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4E0B"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Name of Journal: </w:t>
      </w:r>
      <w:r w:rsidRPr="003E0C02">
        <w:rPr>
          <w:rFonts w:ascii="Book Antiqua" w:eastAsia="Book Antiqua" w:hAnsi="Book Antiqua" w:cs="Book Antiqua"/>
          <w:i/>
        </w:rPr>
        <w:t>World Journal of Diabetes</w:t>
      </w:r>
    </w:p>
    <w:p w14:paraId="752ADEC0"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Manuscript NO: </w:t>
      </w:r>
      <w:r w:rsidRPr="003E0C02">
        <w:rPr>
          <w:rFonts w:ascii="Book Antiqua" w:eastAsia="Book Antiqua" w:hAnsi="Book Antiqua" w:cs="Book Antiqua"/>
        </w:rPr>
        <w:t>56431</w:t>
      </w:r>
    </w:p>
    <w:p w14:paraId="08B05507"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Manuscript Type: </w:t>
      </w:r>
      <w:r w:rsidRPr="003E0C02">
        <w:rPr>
          <w:rFonts w:ascii="Book Antiqua" w:eastAsia="Book Antiqua" w:hAnsi="Book Antiqua" w:cs="Book Antiqua"/>
        </w:rPr>
        <w:t>ORIGINAL ARTICLE</w:t>
      </w:r>
    </w:p>
    <w:p w14:paraId="6FBAA8F5" w14:textId="77777777" w:rsidR="00A77B3E" w:rsidRPr="003E0C02" w:rsidRDefault="00A77B3E" w:rsidP="003E0C02">
      <w:pPr>
        <w:snapToGrid w:val="0"/>
        <w:spacing w:line="360" w:lineRule="auto"/>
        <w:jc w:val="both"/>
      </w:pPr>
    </w:p>
    <w:p w14:paraId="66F0C0C7"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Retrospective Study</w:t>
      </w:r>
    </w:p>
    <w:p w14:paraId="3D208336"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Risk of anemia in morbidly obese patients after bariatric surgery in Taiwan</w:t>
      </w:r>
    </w:p>
    <w:p w14:paraId="23567E31" w14:textId="77777777" w:rsidR="00A77B3E" w:rsidRPr="003E0C02" w:rsidRDefault="00A77B3E" w:rsidP="003E0C02">
      <w:pPr>
        <w:snapToGrid w:val="0"/>
        <w:spacing w:line="360" w:lineRule="auto"/>
        <w:jc w:val="both"/>
      </w:pPr>
    </w:p>
    <w:p w14:paraId="4833F3E5" w14:textId="17433DD6" w:rsidR="00A77B3E" w:rsidRPr="003E0C02" w:rsidRDefault="00750293" w:rsidP="003E0C02">
      <w:pPr>
        <w:snapToGrid w:val="0"/>
        <w:spacing w:line="360" w:lineRule="auto"/>
        <w:jc w:val="both"/>
      </w:pPr>
      <w:r w:rsidRPr="003E0C02">
        <w:rPr>
          <w:rFonts w:ascii="Book Antiqua" w:eastAsia="Book Antiqua" w:hAnsi="Book Antiqua" w:cs="Book Antiqua"/>
        </w:rPr>
        <w:t xml:space="preserve">Wang </w:t>
      </w:r>
      <w:r w:rsidRPr="003E0C02">
        <w:rPr>
          <w:rFonts w:ascii="Book Antiqua" w:hAnsi="Book Antiqua" w:cs="Book Antiqua"/>
          <w:lang w:eastAsia="zh-CN"/>
        </w:rPr>
        <w:t xml:space="preserve">TY </w:t>
      </w:r>
      <w:r w:rsidRPr="003E0C02">
        <w:rPr>
          <w:rFonts w:ascii="Book Antiqua" w:hAnsi="Book Antiqua" w:cs="Book Antiqua"/>
          <w:i/>
          <w:lang w:eastAsia="zh-CN"/>
        </w:rPr>
        <w:t>et al</w:t>
      </w:r>
      <w:r w:rsidRPr="003E0C02">
        <w:rPr>
          <w:rFonts w:ascii="Book Antiqua" w:hAnsi="Book Antiqua" w:cs="Book Antiqua"/>
          <w:lang w:eastAsia="zh-CN"/>
        </w:rPr>
        <w:t xml:space="preserve">. </w:t>
      </w:r>
      <w:r w:rsidR="00AA1E93" w:rsidRPr="003E0C02">
        <w:rPr>
          <w:rFonts w:ascii="Book Antiqua" w:eastAsia="Book Antiqua" w:hAnsi="Book Antiqua" w:cs="Book Antiqua"/>
        </w:rPr>
        <w:t>Anemia in obese after bariatric surgery</w:t>
      </w:r>
    </w:p>
    <w:p w14:paraId="0C2066B8" w14:textId="77777777" w:rsidR="00A77B3E" w:rsidRPr="003E0C02" w:rsidRDefault="00A77B3E" w:rsidP="003E0C02">
      <w:pPr>
        <w:snapToGrid w:val="0"/>
        <w:spacing w:line="360" w:lineRule="auto"/>
        <w:jc w:val="both"/>
      </w:pPr>
    </w:p>
    <w:p w14:paraId="5211621B" w14:textId="77777777" w:rsidR="00A77B3E" w:rsidRPr="003E0C02" w:rsidRDefault="00AA1E93" w:rsidP="003E0C02">
      <w:pPr>
        <w:snapToGrid w:val="0"/>
        <w:spacing w:line="360" w:lineRule="auto"/>
        <w:jc w:val="both"/>
      </w:pPr>
      <w:proofErr w:type="spellStart"/>
      <w:r w:rsidRPr="003E0C02">
        <w:rPr>
          <w:rFonts w:ascii="Book Antiqua" w:eastAsia="Book Antiqua" w:hAnsi="Book Antiqua" w:cs="Book Antiqua"/>
        </w:rPr>
        <w:t>Tse</w:t>
      </w:r>
      <w:proofErr w:type="spellEnd"/>
      <w:r w:rsidRPr="003E0C02">
        <w:rPr>
          <w:rFonts w:ascii="Book Antiqua" w:eastAsia="Book Antiqua" w:hAnsi="Book Antiqua" w:cs="Book Antiqua"/>
        </w:rPr>
        <w:t>-Yao Wang, Hsien-Hao Huang, Ming-Shun Hsieh, Chih-Yen Chen</w:t>
      </w:r>
    </w:p>
    <w:p w14:paraId="7FED87A9" w14:textId="77777777" w:rsidR="00A77B3E" w:rsidRPr="003E0C02" w:rsidRDefault="00A77B3E" w:rsidP="003E0C02">
      <w:pPr>
        <w:snapToGrid w:val="0"/>
        <w:spacing w:line="360" w:lineRule="auto"/>
        <w:jc w:val="both"/>
      </w:pPr>
    </w:p>
    <w:p w14:paraId="567A6723" w14:textId="77777777" w:rsidR="00A77B3E" w:rsidRPr="003E0C02" w:rsidRDefault="00AA1E93" w:rsidP="003E0C02">
      <w:pPr>
        <w:snapToGrid w:val="0"/>
        <w:spacing w:line="360" w:lineRule="auto"/>
        <w:jc w:val="both"/>
      </w:pPr>
      <w:proofErr w:type="spellStart"/>
      <w:r w:rsidRPr="003E0C02">
        <w:rPr>
          <w:rFonts w:ascii="Book Antiqua" w:eastAsia="Book Antiqua" w:hAnsi="Book Antiqua" w:cs="Book Antiqua"/>
          <w:b/>
          <w:bCs/>
        </w:rPr>
        <w:t>Tse</w:t>
      </w:r>
      <w:proofErr w:type="spellEnd"/>
      <w:r w:rsidRPr="003E0C02">
        <w:rPr>
          <w:rFonts w:ascii="Book Antiqua" w:eastAsia="Book Antiqua" w:hAnsi="Book Antiqua" w:cs="Book Antiqua"/>
          <w:b/>
          <w:bCs/>
        </w:rPr>
        <w:t xml:space="preserve">-Yao Wang, Hsien-Hao Huang, </w:t>
      </w:r>
      <w:r w:rsidRPr="003E0C02">
        <w:rPr>
          <w:rFonts w:ascii="Book Antiqua" w:eastAsia="Book Antiqua" w:hAnsi="Book Antiqua" w:cs="Book Antiqua"/>
        </w:rPr>
        <w:t>Department of Emergency Medicine, Taipei Veterans General Hospital, Taipei 112, Taiwan</w:t>
      </w:r>
    </w:p>
    <w:p w14:paraId="30D39696" w14:textId="77777777" w:rsidR="00A77B3E" w:rsidRPr="003E0C02" w:rsidRDefault="00A77B3E" w:rsidP="003E0C02">
      <w:pPr>
        <w:snapToGrid w:val="0"/>
        <w:spacing w:line="360" w:lineRule="auto"/>
        <w:jc w:val="both"/>
      </w:pPr>
    </w:p>
    <w:p w14:paraId="4044CF69"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bCs/>
        </w:rPr>
        <w:t xml:space="preserve">Hsien-Hao Huang, Ming-Shun Hsieh, </w:t>
      </w:r>
      <w:r w:rsidRPr="003E0C02">
        <w:rPr>
          <w:rFonts w:ascii="Book Antiqua" w:eastAsia="Book Antiqua" w:hAnsi="Book Antiqua" w:cs="Book Antiqua"/>
        </w:rPr>
        <w:t>College of Medicine, National Yang-Ming University of Medicine, Taipei 112, Taiwan</w:t>
      </w:r>
    </w:p>
    <w:p w14:paraId="2AD5BD99" w14:textId="77777777" w:rsidR="00A77B3E" w:rsidRPr="003E0C02" w:rsidRDefault="00A77B3E" w:rsidP="003E0C02">
      <w:pPr>
        <w:snapToGrid w:val="0"/>
        <w:spacing w:line="360" w:lineRule="auto"/>
        <w:jc w:val="both"/>
      </w:pPr>
    </w:p>
    <w:p w14:paraId="64D750E0"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Ming-Shun Hsieh, </w:t>
      </w:r>
      <w:r w:rsidRPr="003E0C02">
        <w:rPr>
          <w:rFonts w:ascii="Book Antiqua" w:eastAsia="Book Antiqua" w:hAnsi="Book Antiqua" w:cs="Book Antiqua"/>
        </w:rPr>
        <w:t>Department of Emergency Medicine, Taipei Veterans General Hospital, Taoyuan Branch, Taoyuan 330, Taiwan</w:t>
      </w:r>
    </w:p>
    <w:p w14:paraId="3346875A" w14:textId="77777777" w:rsidR="00A77B3E" w:rsidRPr="003E0C02" w:rsidRDefault="00A77B3E" w:rsidP="003E0C02">
      <w:pPr>
        <w:snapToGrid w:val="0"/>
        <w:spacing w:line="360" w:lineRule="auto"/>
        <w:jc w:val="both"/>
      </w:pPr>
    </w:p>
    <w:p w14:paraId="33C369B4"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Ming-Shun Hsieh, </w:t>
      </w:r>
      <w:r w:rsidRPr="003E0C02">
        <w:rPr>
          <w:rFonts w:ascii="Book Antiqua" w:eastAsia="Book Antiqua" w:hAnsi="Book Antiqua" w:cs="Book Antiqua"/>
        </w:rPr>
        <w:t>Institute of Occupational Medicine and Industrial Hygiene, National Taiwan University College of Public Health, Taipei 112, Taiwan</w:t>
      </w:r>
    </w:p>
    <w:p w14:paraId="6ABAE858" w14:textId="77777777" w:rsidR="00A77B3E" w:rsidRPr="003E0C02" w:rsidRDefault="00A77B3E" w:rsidP="003E0C02">
      <w:pPr>
        <w:snapToGrid w:val="0"/>
        <w:spacing w:line="360" w:lineRule="auto"/>
        <w:jc w:val="both"/>
      </w:pPr>
    </w:p>
    <w:p w14:paraId="1F705C86"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Chih-Yen Chen, </w:t>
      </w:r>
      <w:r w:rsidRPr="003E0C02">
        <w:rPr>
          <w:rFonts w:ascii="Book Antiqua" w:eastAsia="Book Antiqua" w:hAnsi="Book Antiqua" w:cs="Book Antiqua"/>
        </w:rPr>
        <w:t>Division of Gastroenterology and Hepatology, Department of Medicine, Taipei Veterans General Hospital, Taipei 112, Taiwan</w:t>
      </w:r>
    </w:p>
    <w:p w14:paraId="349A5161" w14:textId="77777777" w:rsidR="00A77B3E" w:rsidRPr="003E0C02" w:rsidRDefault="00A77B3E" w:rsidP="003E0C02">
      <w:pPr>
        <w:snapToGrid w:val="0"/>
        <w:spacing w:line="360" w:lineRule="auto"/>
        <w:jc w:val="both"/>
      </w:pPr>
    </w:p>
    <w:p w14:paraId="1F30C1C5" w14:textId="77777777" w:rsidR="00A77B3E" w:rsidRPr="003E0C02" w:rsidRDefault="00AA1E93" w:rsidP="003E0C02">
      <w:pPr>
        <w:snapToGrid w:val="0"/>
        <w:spacing w:line="360" w:lineRule="auto"/>
        <w:jc w:val="both"/>
        <w:rPr>
          <w:rFonts w:ascii="Book Antiqua" w:hAnsi="Book Antiqua"/>
        </w:rPr>
      </w:pPr>
      <w:r w:rsidRPr="003E0C02">
        <w:rPr>
          <w:rFonts w:ascii="Book Antiqua" w:eastAsia="Book Antiqua" w:hAnsi="Book Antiqua" w:cs="Book Antiqua"/>
          <w:b/>
          <w:bCs/>
        </w:rPr>
        <w:t xml:space="preserve">Chih-Yen Chen, </w:t>
      </w:r>
      <w:r w:rsidRPr="003E0C02">
        <w:rPr>
          <w:rFonts w:ascii="Book Antiqua" w:eastAsia="Book Antiqua" w:hAnsi="Book Antiqua" w:cs="Book Antiqua"/>
        </w:rPr>
        <w:t>Faculty of Medicine</w:t>
      </w:r>
      <w:r w:rsidR="005843E0" w:rsidRPr="003E0C02">
        <w:rPr>
          <w:rFonts w:ascii="Book Antiqua" w:hAnsi="Book Antiqua"/>
        </w:rPr>
        <w:t xml:space="preserve"> and Institute of Emergency and Critical Medicine</w:t>
      </w:r>
      <w:r w:rsidRPr="003E0C02">
        <w:rPr>
          <w:rFonts w:ascii="Book Antiqua" w:eastAsia="Book Antiqua" w:hAnsi="Book Antiqua" w:cs="Book Antiqua"/>
        </w:rPr>
        <w:t>, National Yang-Ming University School of Medicine, Taipei 112, Taiwan</w:t>
      </w:r>
    </w:p>
    <w:p w14:paraId="2C8659A4" w14:textId="77777777" w:rsidR="00A77B3E" w:rsidRPr="003E0C02" w:rsidRDefault="00A77B3E" w:rsidP="003E0C02">
      <w:pPr>
        <w:snapToGrid w:val="0"/>
        <w:spacing w:line="360" w:lineRule="auto"/>
        <w:jc w:val="both"/>
      </w:pPr>
    </w:p>
    <w:p w14:paraId="3929AF76"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Chih-Yen Chen, </w:t>
      </w:r>
      <w:r w:rsidRPr="003E0C02">
        <w:rPr>
          <w:rFonts w:ascii="Book Antiqua" w:eastAsia="Book Antiqua" w:hAnsi="Book Antiqua" w:cs="Book Antiqua"/>
        </w:rPr>
        <w:t xml:space="preserve">Chinese Taipei Society for the Study of Obesity, Taipei </w:t>
      </w:r>
      <w:r w:rsidR="005843E0" w:rsidRPr="003E0C02">
        <w:rPr>
          <w:rFonts w:ascii="Book Antiqua" w:eastAsia="PMingLiU" w:hAnsi="Book Antiqua" w:cs="Book Antiqua"/>
          <w:lang w:eastAsia="zh-TW"/>
        </w:rPr>
        <w:t>110</w:t>
      </w:r>
      <w:r w:rsidRPr="003E0C02">
        <w:rPr>
          <w:rFonts w:ascii="Book Antiqua" w:eastAsia="Book Antiqua" w:hAnsi="Book Antiqua" w:cs="Book Antiqua"/>
        </w:rPr>
        <w:t>, Taiwan</w:t>
      </w:r>
    </w:p>
    <w:p w14:paraId="0F3D1544" w14:textId="77777777" w:rsidR="00A77B3E" w:rsidRPr="003E0C02" w:rsidRDefault="00A77B3E" w:rsidP="003E0C02">
      <w:pPr>
        <w:snapToGrid w:val="0"/>
        <w:spacing w:line="360" w:lineRule="auto"/>
        <w:jc w:val="both"/>
      </w:pPr>
    </w:p>
    <w:p w14:paraId="35658B8C" w14:textId="0B997C76"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Author contributions: </w:t>
      </w:r>
      <w:r w:rsidR="005843E0" w:rsidRPr="003E0C02">
        <w:rPr>
          <w:rFonts w:ascii="Book Antiqua" w:eastAsia="Book Antiqua" w:hAnsi="Book Antiqua" w:cs="Book Antiqua"/>
          <w:bCs/>
        </w:rPr>
        <w:t>Hsieh MS and Chen CY contributed equally to this work and should be regarded as co-corresponding authors</w:t>
      </w:r>
      <w:r w:rsidR="00DB1E85">
        <w:rPr>
          <w:rFonts w:ascii="Book Antiqua" w:eastAsia="Book Antiqua" w:hAnsi="Book Antiqua" w:cs="Book Antiqua"/>
          <w:bCs/>
        </w:rPr>
        <w:t>;</w:t>
      </w:r>
      <w:r w:rsidR="005843E0" w:rsidRPr="003E0C02">
        <w:rPr>
          <w:rFonts w:ascii="Book Antiqua" w:eastAsia="Book Antiqua" w:hAnsi="Book Antiqua" w:cs="Book Antiqua"/>
          <w:bCs/>
        </w:rPr>
        <w:t xml:space="preserve"> </w:t>
      </w:r>
      <w:r w:rsidRPr="003E0C02">
        <w:rPr>
          <w:rFonts w:ascii="Book Antiqua" w:eastAsia="Book Antiqua" w:hAnsi="Book Antiqua" w:cs="Book Antiqua"/>
        </w:rPr>
        <w:t>Wang</w:t>
      </w:r>
      <w:r w:rsidR="00380E40" w:rsidRPr="003E0C02">
        <w:rPr>
          <w:rFonts w:ascii="Book Antiqua" w:hAnsi="Book Antiqua" w:cs="Book Antiqua"/>
          <w:lang w:eastAsia="zh-CN"/>
        </w:rPr>
        <w:t xml:space="preserve"> TY</w:t>
      </w:r>
      <w:r w:rsidRPr="003E0C02">
        <w:rPr>
          <w:rFonts w:ascii="Book Antiqua" w:eastAsia="Book Antiqua" w:hAnsi="Book Antiqua" w:cs="Book Antiqua"/>
        </w:rPr>
        <w:t xml:space="preserve"> and Huang</w:t>
      </w:r>
      <w:r w:rsidR="00380E40" w:rsidRPr="003E0C02">
        <w:rPr>
          <w:rFonts w:ascii="Book Antiqua" w:hAnsi="Book Antiqua" w:cs="Book Antiqua"/>
          <w:lang w:eastAsia="zh-CN"/>
        </w:rPr>
        <w:t xml:space="preserve"> HH</w:t>
      </w:r>
      <w:r w:rsidRPr="003E0C02">
        <w:rPr>
          <w:rFonts w:ascii="Book Antiqua" w:eastAsia="Book Antiqua" w:hAnsi="Book Antiqua" w:cs="Book Antiqua"/>
        </w:rPr>
        <w:t xml:space="preserve"> designed and performed the research and wrote the paper; Hsieh</w:t>
      </w:r>
      <w:r w:rsidR="00380E40" w:rsidRPr="003E0C02">
        <w:rPr>
          <w:rFonts w:ascii="Book Antiqua" w:hAnsi="Book Antiqua" w:cs="Book Antiqua"/>
          <w:lang w:eastAsia="zh-CN"/>
        </w:rPr>
        <w:t xml:space="preserve"> MS</w:t>
      </w:r>
      <w:r w:rsidRPr="003E0C02">
        <w:rPr>
          <w:rFonts w:ascii="Book Antiqua" w:eastAsia="Book Antiqua" w:hAnsi="Book Antiqua" w:cs="Book Antiqua"/>
        </w:rPr>
        <w:t xml:space="preserve"> designed the research and contributed to the analysis; Chen</w:t>
      </w:r>
      <w:r w:rsidR="00380E40" w:rsidRPr="003E0C02">
        <w:rPr>
          <w:rFonts w:ascii="Book Antiqua" w:hAnsi="Book Antiqua" w:cs="Book Antiqua"/>
          <w:lang w:eastAsia="zh-CN"/>
        </w:rPr>
        <w:t xml:space="preserve"> CY</w:t>
      </w:r>
      <w:r w:rsidRPr="003E0C02">
        <w:rPr>
          <w:rFonts w:ascii="Book Antiqua" w:eastAsia="Book Antiqua" w:hAnsi="Book Antiqua" w:cs="Book Antiqua"/>
        </w:rPr>
        <w:t xml:space="preserve"> designed the research and supervised the report.</w:t>
      </w:r>
    </w:p>
    <w:p w14:paraId="13A75C65" w14:textId="77777777" w:rsidR="00A77B3E" w:rsidRPr="00283869" w:rsidRDefault="00A77B3E" w:rsidP="003E0C02">
      <w:pPr>
        <w:snapToGrid w:val="0"/>
        <w:spacing w:line="360" w:lineRule="auto"/>
        <w:jc w:val="both"/>
        <w:rPr>
          <w:lang w:eastAsia="zh-CN"/>
        </w:rPr>
      </w:pPr>
    </w:p>
    <w:p w14:paraId="16903CB3" w14:textId="77777777" w:rsidR="0029450A" w:rsidRPr="003E0C02" w:rsidRDefault="00B5524E" w:rsidP="003E0C02">
      <w:pPr>
        <w:snapToGrid w:val="0"/>
        <w:spacing w:line="360" w:lineRule="auto"/>
        <w:jc w:val="both"/>
        <w:rPr>
          <w:rFonts w:ascii="Book Antiqua" w:hAnsi="Book Antiqua" w:cs="Book Antiqua"/>
          <w:lang w:eastAsia="zh-CN"/>
        </w:rPr>
      </w:pPr>
      <w:r w:rsidRPr="003E0C02">
        <w:rPr>
          <w:rFonts w:ascii="Book Antiqua" w:hAnsi="Book Antiqua" w:cs="Book Antiqua"/>
          <w:b/>
          <w:lang w:eastAsia="zh-CN"/>
        </w:rPr>
        <w:t>S</w:t>
      </w:r>
      <w:r w:rsidRPr="003E0C02">
        <w:rPr>
          <w:rFonts w:ascii="Book Antiqua" w:eastAsia="Book Antiqua" w:hAnsi="Book Antiqua" w:cs="Book Antiqua"/>
          <w:b/>
        </w:rPr>
        <w:t xml:space="preserve">upported by </w:t>
      </w:r>
      <w:r w:rsidRPr="003E0C02">
        <w:rPr>
          <w:rFonts w:ascii="Book Antiqua" w:eastAsia="Book Antiqua" w:hAnsi="Book Antiqua" w:cs="Book Antiqua"/>
        </w:rPr>
        <w:t>the Yin Shu-Tien Foundation Taipei Veterans General Hospital-National Yang-Ming University Excellent Physician Scientists Cultivation Program, No. 107-V-B-087.</w:t>
      </w:r>
    </w:p>
    <w:p w14:paraId="367566BC" w14:textId="77777777" w:rsidR="00B5524E" w:rsidRPr="003E0C02" w:rsidRDefault="00B5524E" w:rsidP="003E0C02">
      <w:pPr>
        <w:snapToGrid w:val="0"/>
        <w:spacing w:line="360" w:lineRule="auto"/>
        <w:jc w:val="both"/>
        <w:rPr>
          <w:rFonts w:ascii="Book Antiqua" w:hAnsi="Book Antiqua" w:cs="Book Antiqua"/>
          <w:b/>
          <w:bCs/>
          <w:lang w:eastAsia="zh-CN"/>
        </w:rPr>
      </w:pPr>
    </w:p>
    <w:p w14:paraId="50F30D9E"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Corresponding author: Chih-Yen Chen, AGAF, MD, PhD, Attending Doctor, Professor, </w:t>
      </w:r>
      <w:r w:rsidRPr="003E0C02">
        <w:rPr>
          <w:rFonts w:ascii="Book Antiqua" w:eastAsia="Book Antiqua" w:hAnsi="Book Antiqua" w:cs="Book Antiqua"/>
        </w:rPr>
        <w:t xml:space="preserve">Division of Gastroenterology and Hepatology, Department of Medicine, Taipei Veterans General Hospital, </w:t>
      </w:r>
      <w:r w:rsidR="00757C11" w:rsidRPr="003E0C02">
        <w:rPr>
          <w:rFonts w:ascii="Book Antiqua" w:eastAsia="Book Antiqua" w:hAnsi="Book Antiqua" w:cs="Book Antiqua"/>
        </w:rPr>
        <w:t xml:space="preserve">No. </w:t>
      </w:r>
      <w:r w:rsidRPr="003E0C02">
        <w:rPr>
          <w:rFonts w:ascii="Book Antiqua" w:eastAsia="Book Antiqua" w:hAnsi="Book Antiqua" w:cs="Book Antiqua"/>
        </w:rPr>
        <w:t>201</w:t>
      </w:r>
      <w:r w:rsidR="00757C11" w:rsidRPr="003E0C02">
        <w:rPr>
          <w:rFonts w:ascii="Book Antiqua" w:eastAsia="Book Antiqua" w:hAnsi="Book Antiqua" w:cs="Book Antiqua"/>
        </w:rPr>
        <w:t xml:space="preserve"> </w:t>
      </w:r>
      <w:r w:rsidRPr="003E0C02">
        <w:rPr>
          <w:rFonts w:ascii="Book Antiqua" w:eastAsia="Book Antiqua" w:hAnsi="Book Antiqua" w:cs="Book Antiqua"/>
        </w:rPr>
        <w:t>Sec. 2, Shih-Pai Road, Taipei 112, Taiwan. chency@vghtpe.gov.tw</w:t>
      </w:r>
    </w:p>
    <w:p w14:paraId="175E3FA4" w14:textId="77777777" w:rsidR="00A77B3E" w:rsidRPr="003E0C02" w:rsidRDefault="00A77B3E" w:rsidP="003E0C02">
      <w:pPr>
        <w:snapToGrid w:val="0"/>
        <w:spacing w:line="360" w:lineRule="auto"/>
        <w:jc w:val="both"/>
      </w:pPr>
    </w:p>
    <w:p w14:paraId="15BC36DF"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Received: </w:t>
      </w:r>
      <w:r w:rsidRPr="003E0C02">
        <w:rPr>
          <w:rFonts w:ascii="Book Antiqua" w:eastAsia="Book Antiqua" w:hAnsi="Book Antiqua" w:cs="Book Antiqua"/>
        </w:rPr>
        <w:t>April 30, 2020</w:t>
      </w:r>
    </w:p>
    <w:p w14:paraId="7091B6A4"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Revised: </w:t>
      </w:r>
      <w:r w:rsidRPr="003E0C02">
        <w:rPr>
          <w:rFonts w:ascii="Book Antiqua" w:eastAsia="Book Antiqua" w:hAnsi="Book Antiqua" w:cs="Book Antiqua"/>
        </w:rPr>
        <w:t>June 2, 2020</w:t>
      </w:r>
    </w:p>
    <w:p w14:paraId="2118A32C"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Accepted: </w:t>
      </w:r>
      <w:r w:rsidR="003751A6" w:rsidRPr="003E0C02">
        <w:rPr>
          <w:rFonts w:ascii="Book Antiqua" w:eastAsia="Book Antiqua" w:hAnsi="Book Antiqua" w:cs="Book Antiqua"/>
          <w:bCs/>
          <w:lang w:eastAsia="zh-CN"/>
        </w:rPr>
        <w:t>September 8, 2020</w:t>
      </w:r>
    </w:p>
    <w:p w14:paraId="4938908C"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Published online: </w:t>
      </w:r>
    </w:p>
    <w:p w14:paraId="1A0E223A" w14:textId="77777777" w:rsidR="00A77B3E" w:rsidRPr="003E0C02" w:rsidRDefault="00A77B3E" w:rsidP="003E0C02">
      <w:pPr>
        <w:snapToGrid w:val="0"/>
        <w:spacing w:line="360" w:lineRule="auto"/>
        <w:jc w:val="both"/>
        <w:sectPr w:rsidR="00A77B3E" w:rsidRPr="003E0C02">
          <w:footerReference w:type="default" r:id="rId8"/>
          <w:pgSz w:w="12240" w:h="15840"/>
          <w:pgMar w:top="1440" w:right="1440" w:bottom="1440" w:left="1440" w:header="720" w:footer="720" w:gutter="0"/>
          <w:cols w:space="720"/>
          <w:docGrid w:linePitch="360"/>
        </w:sectPr>
      </w:pPr>
    </w:p>
    <w:p w14:paraId="2B43DCF8" w14:textId="77777777" w:rsidR="00A77B3E" w:rsidRPr="003E0C02" w:rsidRDefault="00AA1E93" w:rsidP="003E0C02">
      <w:pPr>
        <w:snapToGrid w:val="0"/>
        <w:spacing w:line="360" w:lineRule="auto"/>
        <w:jc w:val="both"/>
      </w:pPr>
      <w:bookmarkStart w:id="0" w:name="_Hlk50340902"/>
      <w:bookmarkStart w:id="1" w:name="_Hlk50344838"/>
      <w:r w:rsidRPr="003E0C02">
        <w:rPr>
          <w:rFonts w:ascii="Book Antiqua" w:eastAsia="Book Antiqua" w:hAnsi="Book Antiqua" w:cs="Book Antiqua"/>
          <w:b/>
        </w:rPr>
        <w:lastRenderedPageBreak/>
        <w:t>Abstract</w:t>
      </w:r>
    </w:p>
    <w:p w14:paraId="6580DE06" w14:textId="77777777" w:rsidR="00A77B3E" w:rsidRPr="003E0C02" w:rsidRDefault="00AA1E93" w:rsidP="003E0C02">
      <w:pPr>
        <w:snapToGrid w:val="0"/>
        <w:spacing w:line="360" w:lineRule="auto"/>
        <w:jc w:val="both"/>
      </w:pPr>
      <w:r w:rsidRPr="003E0C02">
        <w:rPr>
          <w:rFonts w:ascii="Book Antiqua" w:eastAsia="Book Antiqua" w:hAnsi="Book Antiqua" w:cs="Book Antiqua"/>
        </w:rPr>
        <w:t>BACKGROUND</w:t>
      </w:r>
    </w:p>
    <w:p w14:paraId="1BD27468" w14:textId="77777777" w:rsidR="00A77B3E" w:rsidRPr="003E0C02" w:rsidRDefault="00AA1E93" w:rsidP="003E0C02">
      <w:pPr>
        <w:snapToGrid w:val="0"/>
        <w:spacing w:line="360" w:lineRule="auto"/>
        <w:jc w:val="both"/>
      </w:pPr>
      <w:r w:rsidRPr="003E0C02">
        <w:rPr>
          <w:rFonts w:ascii="Book Antiqua" w:eastAsia="Book Antiqua" w:hAnsi="Book Antiqua" w:cs="Book Antiqua"/>
        </w:rPr>
        <w:t>Bariatric surgery</w:t>
      </w:r>
      <w:r w:rsidR="00DD1B73" w:rsidRPr="003E0C02">
        <w:rPr>
          <w:rFonts w:ascii="Book Antiqua" w:eastAsia="Book Antiqua" w:hAnsi="Book Antiqua" w:cs="Book Antiqua"/>
        </w:rPr>
        <w:t xml:space="preserve"> is one of</w:t>
      </w:r>
      <w:r w:rsidRPr="003E0C02">
        <w:rPr>
          <w:rFonts w:ascii="Book Antiqua" w:eastAsia="Book Antiqua" w:hAnsi="Book Antiqua" w:cs="Book Antiqua"/>
        </w:rPr>
        <w:t xml:space="preserve"> most effective long-term treatment</w:t>
      </w:r>
      <w:r w:rsidR="00660F5A" w:rsidRPr="003E0C02">
        <w:rPr>
          <w:rFonts w:ascii="Book Antiqua" w:eastAsia="Book Antiqua" w:hAnsi="Book Antiqua" w:cs="Book Antiqua"/>
        </w:rPr>
        <w:t>s</w:t>
      </w:r>
      <w:r w:rsidRPr="003E0C02">
        <w:rPr>
          <w:rFonts w:ascii="Book Antiqua" w:eastAsia="Book Antiqua" w:hAnsi="Book Antiqua" w:cs="Book Antiqua"/>
        </w:rPr>
        <w:t xml:space="preserve"> for morbid obesity. However, post-bariatric surgery anemia is identified as a common adverse effect and remains a challenge nowadays.</w:t>
      </w:r>
    </w:p>
    <w:p w14:paraId="73C886A8" w14:textId="77777777" w:rsidR="00A77B3E" w:rsidRPr="003E0C02" w:rsidRDefault="00A77B3E" w:rsidP="003E0C02">
      <w:pPr>
        <w:snapToGrid w:val="0"/>
        <w:spacing w:line="360" w:lineRule="auto"/>
        <w:jc w:val="both"/>
      </w:pPr>
    </w:p>
    <w:p w14:paraId="6EE2C2CE" w14:textId="77777777" w:rsidR="00A77B3E" w:rsidRPr="003E0C02" w:rsidRDefault="00AA1E93" w:rsidP="003E0C02">
      <w:pPr>
        <w:snapToGrid w:val="0"/>
        <w:spacing w:line="360" w:lineRule="auto"/>
        <w:jc w:val="both"/>
      </w:pPr>
      <w:r w:rsidRPr="003E0C02">
        <w:rPr>
          <w:rFonts w:ascii="Book Antiqua" w:eastAsia="Book Antiqua" w:hAnsi="Book Antiqua" w:cs="Book Antiqua"/>
        </w:rPr>
        <w:t>AIM</w:t>
      </w:r>
    </w:p>
    <w:p w14:paraId="0C5848B5" w14:textId="77777777" w:rsidR="00A77B3E" w:rsidRPr="003E0C02" w:rsidRDefault="00AA1E93" w:rsidP="003E0C02">
      <w:pPr>
        <w:snapToGrid w:val="0"/>
        <w:spacing w:line="360" w:lineRule="auto"/>
        <w:jc w:val="both"/>
      </w:pPr>
      <w:r w:rsidRPr="003E0C02">
        <w:rPr>
          <w:rFonts w:ascii="Book Antiqua" w:eastAsia="Book Antiqua" w:hAnsi="Book Antiqua" w:cs="Book Antiqua"/>
        </w:rPr>
        <w:t>To estimate the risk of post-bariatric surgery anemia and to stratify the association between age,</w:t>
      </w:r>
      <w:r w:rsidR="00DD1B73" w:rsidRPr="003E0C02">
        <w:rPr>
          <w:rFonts w:ascii="Book Antiqua" w:eastAsia="Book Antiqua" w:hAnsi="Book Antiqua" w:cs="Book Antiqua"/>
        </w:rPr>
        <w:t xml:space="preserve"> gender,</w:t>
      </w:r>
      <w:r w:rsidRPr="003E0C02">
        <w:rPr>
          <w:rFonts w:ascii="Book Antiqua" w:eastAsia="Book Antiqua" w:hAnsi="Book Antiqua" w:cs="Book Antiqua"/>
        </w:rPr>
        <w:t xml:space="preserve"> and types of surgery.</w:t>
      </w:r>
    </w:p>
    <w:p w14:paraId="31EA0293" w14:textId="77777777" w:rsidR="00A77B3E" w:rsidRPr="003E0C02" w:rsidRDefault="00A77B3E" w:rsidP="003E0C02">
      <w:pPr>
        <w:snapToGrid w:val="0"/>
        <w:spacing w:line="360" w:lineRule="auto"/>
        <w:jc w:val="both"/>
      </w:pPr>
    </w:p>
    <w:p w14:paraId="79718B6E" w14:textId="77777777" w:rsidR="00A77B3E" w:rsidRPr="003E0C02" w:rsidRDefault="00AA1E93" w:rsidP="003E0C02">
      <w:pPr>
        <w:snapToGrid w:val="0"/>
        <w:spacing w:line="360" w:lineRule="auto"/>
        <w:jc w:val="both"/>
      </w:pPr>
      <w:r w:rsidRPr="003E0C02">
        <w:rPr>
          <w:rFonts w:ascii="Book Antiqua" w:eastAsia="Book Antiqua" w:hAnsi="Book Antiqua" w:cs="Book Antiqua"/>
        </w:rPr>
        <w:t>METHODS</w:t>
      </w:r>
    </w:p>
    <w:p w14:paraId="13FEE67C" w14:textId="77777777" w:rsidR="001E7923" w:rsidRPr="003E0C02" w:rsidRDefault="001E7923" w:rsidP="003E0C02">
      <w:pPr>
        <w:snapToGrid w:val="0"/>
        <w:spacing w:line="360" w:lineRule="auto"/>
        <w:jc w:val="both"/>
      </w:pPr>
      <w:bookmarkStart w:id="2" w:name="_Hlk50189243"/>
      <w:r w:rsidRPr="003E0C02">
        <w:rPr>
          <w:rFonts w:ascii="Book Antiqua" w:eastAsia="Book Antiqua" w:hAnsi="Book Antiqua" w:cs="Book Antiqua"/>
        </w:rPr>
        <w:t>This study is a population-based cohort study. We conducted</w:t>
      </w:r>
      <w:r w:rsidR="00A226C7" w:rsidRPr="003E0C02">
        <w:rPr>
          <w:rFonts w:ascii="Book Antiqua" w:eastAsia="Book Antiqua" w:hAnsi="Book Antiqua" w:cs="Book Antiqua"/>
        </w:rPr>
        <w:t xml:space="preserve"> </w:t>
      </w:r>
      <w:r w:rsidRPr="003E0C02">
        <w:rPr>
          <w:rFonts w:ascii="Book Antiqua" w:eastAsia="Book Antiqua" w:hAnsi="Book Antiqua" w:cs="Book Antiqua"/>
        </w:rPr>
        <w:t>this nationwide study using claims data from National Health Insurance Research Database in Taiwan. There were 4373 morbidly obese patients in this study cohort.</w:t>
      </w:r>
    </w:p>
    <w:bookmarkEnd w:id="2"/>
    <w:p w14:paraId="34DCEFB3" w14:textId="77777777" w:rsidR="00A77B3E" w:rsidRPr="003E0C02" w:rsidRDefault="00A77B3E" w:rsidP="003E0C02">
      <w:pPr>
        <w:snapToGrid w:val="0"/>
        <w:spacing w:line="360" w:lineRule="auto"/>
        <w:jc w:val="both"/>
      </w:pPr>
    </w:p>
    <w:p w14:paraId="1AE478E7" w14:textId="77777777" w:rsidR="00A77B3E" w:rsidRPr="003E0C02" w:rsidRDefault="00AA1E93" w:rsidP="003E0C02">
      <w:pPr>
        <w:snapToGrid w:val="0"/>
        <w:spacing w:line="360" w:lineRule="auto"/>
        <w:jc w:val="both"/>
      </w:pPr>
      <w:r w:rsidRPr="003E0C02">
        <w:rPr>
          <w:rFonts w:ascii="Book Antiqua" w:eastAsia="Book Antiqua" w:hAnsi="Book Antiqua" w:cs="Book Antiqua"/>
        </w:rPr>
        <w:t>RESULTS</w:t>
      </w:r>
    </w:p>
    <w:p w14:paraId="49FEE559" w14:textId="7D74D0A5" w:rsidR="00E47607" w:rsidRPr="003E0C02" w:rsidRDefault="00E47607" w:rsidP="003E0C02">
      <w:pPr>
        <w:snapToGrid w:val="0"/>
        <w:spacing w:line="360" w:lineRule="auto"/>
        <w:jc w:val="both"/>
        <w:rPr>
          <w:rFonts w:ascii="Book Antiqua" w:eastAsia="Book Antiqua" w:hAnsi="Book Antiqua" w:cs="Book Antiqua"/>
        </w:rPr>
      </w:pPr>
      <w:bookmarkStart w:id="3" w:name="_Hlk50179781"/>
      <w:r w:rsidRPr="003E0C02">
        <w:rPr>
          <w:rFonts w:ascii="Book Antiqua" w:eastAsia="Book Antiqua" w:hAnsi="Book Antiqua" w:cs="Book Antiqua"/>
        </w:rPr>
        <w:t xml:space="preserve">Among patients who </w:t>
      </w:r>
      <w:r w:rsidR="00660F5A" w:rsidRPr="003E0C02">
        <w:rPr>
          <w:rFonts w:ascii="Book Antiqua" w:eastAsia="Book Antiqua" w:hAnsi="Book Antiqua" w:cs="Book Antiqua"/>
        </w:rPr>
        <w:t xml:space="preserve">were </w:t>
      </w:r>
      <w:r w:rsidRPr="003E0C02">
        <w:rPr>
          <w:rFonts w:ascii="Book Antiqua" w:eastAsia="Book Antiqua" w:hAnsi="Book Antiqua" w:cs="Book Antiqua"/>
        </w:rPr>
        <w:t>diagnosed with morbid obesity, 2864 received bariatric surgery. All obesity-</w:t>
      </w:r>
      <w:r w:rsidR="001E7923" w:rsidRPr="003E0C02">
        <w:rPr>
          <w:rFonts w:ascii="Book Antiqua" w:eastAsia="Book Antiqua" w:hAnsi="Book Antiqua" w:cs="Book Antiqua"/>
        </w:rPr>
        <w:t>associated</w:t>
      </w:r>
      <w:r w:rsidRPr="003E0C02">
        <w:rPr>
          <w:rFonts w:ascii="Book Antiqua" w:eastAsia="Book Antiqua" w:hAnsi="Book Antiqua" w:cs="Book Antiqua"/>
        </w:rPr>
        <w:t xml:space="preserve"> comorbidities decreased in </w:t>
      </w:r>
      <w:r w:rsidR="00660F5A" w:rsidRPr="003E0C02">
        <w:rPr>
          <w:rFonts w:ascii="Book Antiqua" w:eastAsia="Book Antiqua" w:hAnsi="Book Antiqua" w:cs="Book Antiqua"/>
        </w:rPr>
        <w:t xml:space="preserve">the </w:t>
      </w:r>
      <w:r w:rsidRPr="003E0C02">
        <w:rPr>
          <w:rFonts w:ascii="Book Antiqua" w:eastAsia="Book Antiqua" w:hAnsi="Book Antiqua" w:cs="Book Antiqua"/>
        </w:rPr>
        <w:t xml:space="preserve">surgical group. Increasing risk of post-bariatric surgery anemia among obese patients was found by Cox proportional hazards regression </w:t>
      </w:r>
      <w:r w:rsidR="00283869">
        <w:rPr>
          <w:rFonts w:ascii="Book Antiqua" w:eastAsia="Book Antiqua" w:hAnsi="Book Antiqua" w:cs="Book Antiqua"/>
        </w:rPr>
        <w:t>[</w:t>
      </w:r>
      <w:r w:rsidRPr="003E0C02">
        <w:rPr>
          <w:rFonts w:ascii="Book Antiqua" w:eastAsia="Book Antiqua" w:hAnsi="Book Antiqua" w:cs="Book Antiqua"/>
        </w:rPr>
        <w:t xml:space="preserve">adjusted </w:t>
      </w:r>
      <w:r w:rsidR="00660F5A" w:rsidRPr="003E0C02">
        <w:rPr>
          <w:rFonts w:ascii="Book Antiqua" w:eastAsia="Book Antiqua" w:hAnsi="Book Antiqua" w:cs="Book Antiqua"/>
        </w:rPr>
        <w:t>hazard ratio (</w:t>
      </w:r>
      <w:r w:rsidRPr="003E0C02">
        <w:rPr>
          <w:rFonts w:ascii="Book Antiqua" w:eastAsia="Book Antiqua" w:hAnsi="Book Antiqua" w:cs="Book Antiqua"/>
        </w:rPr>
        <w:t>HR</w:t>
      </w:r>
      <w:r w:rsidR="00660F5A" w:rsidRPr="003E0C02">
        <w:rPr>
          <w:rFonts w:ascii="Book Antiqua" w:eastAsia="Book Antiqua" w:hAnsi="Book Antiqua" w:cs="Book Antiqua"/>
        </w:rPr>
        <w:t>)</w:t>
      </w:r>
      <w:r w:rsidRPr="003E0C02">
        <w:rPr>
          <w:rFonts w:ascii="Book Antiqua" w:eastAsia="Book Antiqua" w:hAnsi="Book Antiqua" w:cs="Book Antiqua"/>
        </w:rPr>
        <w:t>: 2.36</w:t>
      </w:r>
      <w:r w:rsidR="00283869">
        <w:rPr>
          <w:rFonts w:ascii="Book Antiqua" w:eastAsia="Book Antiqua" w:hAnsi="Book Antiqua" w:cs="Book Antiqua"/>
        </w:rPr>
        <w:t>]</w:t>
      </w:r>
      <w:r w:rsidRPr="003E0C02">
        <w:rPr>
          <w:rFonts w:ascii="Book Antiqua" w:eastAsia="Book Antiqua" w:hAnsi="Book Antiqua" w:cs="Book Antiqua"/>
        </w:rPr>
        <w:t xml:space="preserve">. Also, we found significantly increasing cumulative incidence rate of anemia among patients receiving bariatric surgery by log-rank test. After adjusting for age and </w:t>
      </w:r>
      <w:r w:rsidR="00DD1B73" w:rsidRPr="003E0C02">
        <w:rPr>
          <w:rFonts w:ascii="Book Antiqua" w:eastAsia="Book Antiqua" w:hAnsi="Book Antiqua" w:cs="Book Antiqua"/>
        </w:rPr>
        <w:t>gender</w:t>
      </w:r>
      <w:r w:rsidRPr="003E0C02">
        <w:rPr>
          <w:rFonts w:ascii="Book Antiqua" w:eastAsia="Book Antiqua" w:hAnsi="Book Antiqua" w:cs="Book Antiqua"/>
        </w:rPr>
        <w:t>, the increasing incidence of post-bariatric surgery anemia was found among women (adjusted HR: 2.48), patients in the 20–29-year-old group (adjusted HR: 3.83)</w:t>
      </w:r>
      <w:r w:rsidR="00660F5A" w:rsidRPr="003E0C02">
        <w:rPr>
          <w:rFonts w:ascii="Book Antiqua" w:eastAsia="Book Antiqua" w:hAnsi="Book Antiqua" w:cs="Book Antiqua"/>
        </w:rPr>
        <w:t>,</w:t>
      </w:r>
      <w:r w:rsidRPr="003E0C02">
        <w:rPr>
          <w:rFonts w:ascii="Book Antiqua" w:eastAsia="Book Antiqua" w:hAnsi="Book Antiqua" w:cs="Book Antiqua"/>
        </w:rPr>
        <w:t xml:space="preserve"> and patients in</w:t>
      </w:r>
      <w:r w:rsidR="00660F5A" w:rsidRPr="003E0C02">
        <w:rPr>
          <w:rFonts w:ascii="Book Antiqua" w:eastAsia="Book Antiqua" w:hAnsi="Book Antiqua" w:cs="Book Antiqua"/>
        </w:rPr>
        <w:t xml:space="preserve"> the</w:t>
      </w:r>
      <w:r w:rsidRPr="003E0C02">
        <w:rPr>
          <w:rFonts w:ascii="Book Antiqua" w:eastAsia="Book Antiqua" w:hAnsi="Book Antiqua" w:cs="Book Antiqua"/>
        </w:rPr>
        <w:t xml:space="preserve"> 30</w:t>
      </w:r>
      <w:r w:rsidR="007C37EF" w:rsidRPr="003E0C02">
        <w:rPr>
          <w:rFonts w:ascii="Book Antiqua" w:eastAsia="Book Antiqua" w:hAnsi="Book Antiqua" w:cs="Book Antiqua"/>
        </w:rPr>
        <w:t>-</w:t>
      </w:r>
      <w:r w:rsidRPr="003E0C02">
        <w:rPr>
          <w:rFonts w:ascii="Book Antiqua" w:eastAsia="Book Antiqua" w:hAnsi="Book Antiqua" w:cs="Book Antiqua"/>
        </w:rPr>
        <w:t>64-year-old group (adjusted HR: 2.37). Moreover, malabsorptive and restrictive procedures had significantly higher adjusted HRs, 3.18 and 1.55, respectively.</w:t>
      </w:r>
    </w:p>
    <w:bookmarkEnd w:id="3"/>
    <w:p w14:paraId="52B16059" w14:textId="77777777" w:rsidR="00A77B3E" w:rsidRPr="003E0C02" w:rsidRDefault="00A77B3E" w:rsidP="003E0C02">
      <w:pPr>
        <w:snapToGrid w:val="0"/>
        <w:spacing w:line="360" w:lineRule="auto"/>
        <w:jc w:val="both"/>
      </w:pPr>
    </w:p>
    <w:p w14:paraId="79CA0813" w14:textId="77777777" w:rsidR="00A77B3E" w:rsidRPr="003E0C02" w:rsidRDefault="00AA1E93" w:rsidP="003E0C02">
      <w:pPr>
        <w:snapToGrid w:val="0"/>
        <w:spacing w:line="360" w:lineRule="auto"/>
        <w:jc w:val="both"/>
      </w:pPr>
      <w:r w:rsidRPr="003E0C02">
        <w:rPr>
          <w:rFonts w:ascii="Book Antiqua" w:eastAsia="Book Antiqua" w:hAnsi="Book Antiqua" w:cs="Book Antiqua"/>
        </w:rPr>
        <w:t>CONCLUSION</w:t>
      </w:r>
    </w:p>
    <w:p w14:paraId="56A4C79F" w14:textId="612A9319" w:rsidR="00E318C8" w:rsidRPr="003E0C02" w:rsidRDefault="00E318C8" w:rsidP="003E0C02">
      <w:pPr>
        <w:snapToGrid w:val="0"/>
        <w:spacing w:line="360" w:lineRule="auto"/>
        <w:jc w:val="both"/>
      </w:pPr>
      <w:r w:rsidRPr="003E0C02">
        <w:rPr>
          <w:rFonts w:ascii="Book Antiqua" w:eastAsia="Book Antiqua" w:hAnsi="Book Antiqua" w:cs="Book Antiqua"/>
        </w:rPr>
        <w:lastRenderedPageBreak/>
        <w:t xml:space="preserve">Bariatric surgery </w:t>
      </w:r>
      <w:r w:rsidR="006342D7" w:rsidRPr="003E0C02">
        <w:rPr>
          <w:rFonts w:ascii="Book Antiqua" w:eastAsia="Book Antiqua" w:hAnsi="Book Antiqua" w:cs="Book Antiqua"/>
        </w:rPr>
        <w:t xml:space="preserve">give rise to anemia risk </w:t>
      </w:r>
      <w:r w:rsidRPr="003E0C02">
        <w:rPr>
          <w:rFonts w:ascii="Book Antiqua" w:eastAsia="Book Antiqua" w:hAnsi="Book Antiqua" w:cs="Book Antiqua"/>
        </w:rPr>
        <w:t>among obese patients, specifically in women, young- and middle-aged patients, and patients undergoing malabsorptive procedures in our population-based cohort study in Taiwan.</w:t>
      </w:r>
    </w:p>
    <w:p w14:paraId="0A8B0F62" w14:textId="77777777" w:rsidR="00A77B3E" w:rsidRPr="003E0C02" w:rsidRDefault="00A77B3E" w:rsidP="003E0C02">
      <w:pPr>
        <w:snapToGrid w:val="0"/>
        <w:spacing w:line="360" w:lineRule="auto"/>
        <w:jc w:val="both"/>
      </w:pPr>
    </w:p>
    <w:p w14:paraId="13D9D64E" w14:textId="16B289CD" w:rsidR="00A77B3E" w:rsidRPr="003E0C02" w:rsidRDefault="00E72A25" w:rsidP="003E0C02">
      <w:pPr>
        <w:snapToGrid w:val="0"/>
        <w:spacing w:line="360" w:lineRule="auto"/>
        <w:jc w:val="both"/>
      </w:pPr>
      <w:r w:rsidRPr="003E0C02">
        <w:rPr>
          <w:rFonts w:ascii="Book Antiqua" w:eastAsia="Book Antiqua" w:hAnsi="Book Antiqua" w:cs="Book Antiqua"/>
          <w:b/>
          <w:bCs/>
        </w:rPr>
        <w:t xml:space="preserve">Key </w:t>
      </w:r>
      <w:r w:rsidRPr="003E0C02">
        <w:rPr>
          <w:rFonts w:ascii="Book Antiqua" w:hAnsi="Book Antiqua" w:cs="Book Antiqua"/>
          <w:b/>
          <w:bCs/>
          <w:lang w:eastAsia="zh-CN"/>
        </w:rPr>
        <w:t>W</w:t>
      </w:r>
      <w:r w:rsidR="00AA1E93" w:rsidRPr="003E0C02">
        <w:rPr>
          <w:rFonts w:ascii="Book Antiqua" w:eastAsia="Book Antiqua" w:hAnsi="Book Antiqua" w:cs="Book Antiqua"/>
          <w:b/>
          <w:bCs/>
        </w:rPr>
        <w:t xml:space="preserve">ords: </w:t>
      </w:r>
      <w:r w:rsidR="00AA1E93" w:rsidRPr="003E0C02">
        <w:rPr>
          <w:rFonts w:ascii="Book Antiqua" w:eastAsia="Book Antiqua" w:hAnsi="Book Antiqua" w:cs="Book Antiqua"/>
        </w:rPr>
        <w:t>Anemia; Bariatric surgery; Malabsorptive procedure; Obesity; Restrictive procedure; Women</w:t>
      </w:r>
    </w:p>
    <w:p w14:paraId="26FF2E8D" w14:textId="77777777" w:rsidR="00A77B3E" w:rsidRPr="003E0C02" w:rsidRDefault="00A77B3E" w:rsidP="003E0C02">
      <w:pPr>
        <w:snapToGrid w:val="0"/>
        <w:spacing w:line="360" w:lineRule="auto"/>
        <w:jc w:val="both"/>
      </w:pPr>
    </w:p>
    <w:p w14:paraId="26A9A440" w14:textId="77777777" w:rsidR="00A77B3E" w:rsidRPr="003E0C02" w:rsidRDefault="00AA1E93" w:rsidP="003E0C02">
      <w:pPr>
        <w:snapToGrid w:val="0"/>
        <w:spacing w:line="360" w:lineRule="auto"/>
        <w:jc w:val="both"/>
      </w:pPr>
      <w:r w:rsidRPr="003E0C02">
        <w:rPr>
          <w:rFonts w:ascii="Book Antiqua" w:eastAsia="Book Antiqua" w:hAnsi="Book Antiqua" w:cs="Book Antiqua"/>
        </w:rPr>
        <w:t xml:space="preserve">Wang TY, Huang HH, Hsieh MS, Chen CY. Risk of anemia in morbidly obese patients after bariatric surgery in Taiwan. </w:t>
      </w:r>
      <w:r w:rsidRPr="003E0C02">
        <w:rPr>
          <w:rFonts w:ascii="Book Antiqua" w:eastAsia="Book Antiqua" w:hAnsi="Book Antiqua" w:cs="Book Antiqua"/>
          <w:i/>
          <w:iCs/>
        </w:rPr>
        <w:t>World J Diabetes</w:t>
      </w:r>
      <w:r w:rsidRPr="003E0C02">
        <w:rPr>
          <w:rFonts w:ascii="Book Antiqua" w:eastAsia="Book Antiqua" w:hAnsi="Book Antiqua" w:cs="Book Antiqua"/>
        </w:rPr>
        <w:t xml:space="preserve"> 2020; In press</w:t>
      </w:r>
    </w:p>
    <w:p w14:paraId="550EFA99" w14:textId="77777777" w:rsidR="00A77B3E" w:rsidRPr="003E0C02" w:rsidRDefault="00A77B3E" w:rsidP="003E0C02">
      <w:pPr>
        <w:snapToGrid w:val="0"/>
        <w:spacing w:line="360" w:lineRule="auto"/>
        <w:jc w:val="both"/>
      </w:pPr>
    </w:p>
    <w:p w14:paraId="3AB0A722" w14:textId="50312A93" w:rsidR="00A77B3E" w:rsidRPr="003E0C02" w:rsidRDefault="00E72A25" w:rsidP="003E0C02">
      <w:pPr>
        <w:snapToGrid w:val="0"/>
        <w:spacing w:line="360" w:lineRule="auto"/>
        <w:jc w:val="both"/>
      </w:pPr>
      <w:r w:rsidRPr="003E0C02">
        <w:rPr>
          <w:rFonts w:ascii="Book Antiqua" w:eastAsia="Book Antiqua" w:hAnsi="Book Antiqua" w:cs="Book Antiqua"/>
          <w:b/>
          <w:bCs/>
        </w:rPr>
        <w:t xml:space="preserve">Core </w:t>
      </w:r>
      <w:r w:rsidRPr="003E0C02">
        <w:rPr>
          <w:rFonts w:ascii="Book Antiqua" w:hAnsi="Book Antiqua" w:cs="Book Antiqua"/>
          <w:b/>
          <w:bCs/>
          <w:lang w:eastAsia="zh-CN"/>
        </w:rPr>
        <w:t>T</w:t>
      </w:r>
      <w:r w:rsidR="00AA1E93" w:rsidRPr="003E0C02">
        <w:rPr>
          <w:rFonts w:ascii="Book Antiqua" w:eastAsia="Book Antiqua" w:hAnsi="Book Antiqua" w:cs="Book Antiqua"/>
          <w:b/>
          <w:bCs/>
        </w:rPr>
        <w:t xml:space="preserve">ip: </w:t>
      </w:r>
      <w:r w:rsidR="00AA1E93" w:rsidRPr="003E0C02">
        <w:rPr>
          <w:rFonts w:ascii="Book Antiqua" w:eastAsia="Book Antiqua" w:hAnsi="Book Antiqua" w:cs="Book Antiqua"/>
        </w:rPr>
        <w:t xml:space="preserve">Based on </w:t>
      </w:r>
      <w:r w:rsidR="00660F5A" w:rsidRPr="003E0C02">
        <w:rPr>
          <w:rFonts w:ascii="Book Antiqua" w:eastAsia="Book Antiqua" w:hAnsi="Book Antiqua" w:cs="Book Antiqua"/>
        </w:rPr>
        <w:t xml:space="preserve">a </w:t>
      </w:r>
      <w:r w:rsidR="00AA1E93" w:rsidRPr="003E0C02">
        <w:rPr>
          <w:rFonts w:ascii="Book Antiqua" w:eastAsia="Book Antiqua" w:hAnsi="Book Antiqua" w:cs="Book Antiqua"/>
        </w:rPr>
        <w:t>population-based cohort study</w:t>
      </w:r>
      <w:r w:rsidR="00926C46" w:rsidRPr="003E0C02">
        <w:rPr>
          <w:rFonts w:ascii="Book Antiqua" w:eastAsia="Book Antiqua" w:hAnsi="Book Antiqua" w:cs="Book Antiqua"/>
        </w:rPr>
        <w:t xml:space="preserve"> in Taiwan</w:t>
      </w:r>
      <w:r w:rsidR="00AA1E93" w:rsidRPr="003E0C02">
        <w:rPr>
          <w:rFonts w:ascii="Book Antiqua" w:eastAsia="Book Antiqua" w:hAnsi="Book Antiqua" w:cs="Book Antiqua"/>
        </w:rPr>
        <w:t xml:space="preserve">, this study demonstrated that obese patients </w:t>
      </w:r>
      <w:r w:rsidR="00926C46" w:rsidRPr="003E0C02">
        <w:rPr>
          <w:rFonts w:ascii="Book Antiqua" w:eastAsia="Book Antiqua" w:hAnsi="Book Antiqua" w:cs="Book Antiqua"/>
        </w:rPr>
        <w:t xml:space="preserve">receiving </w:t>
      </w:r>
      <w:r w:rsidR="00AA1E93" w:rsidRPr="003E0C02">
        <w:rPr>
          <w:rFonts w:ascii="Book Antiqua" w:eastAsia="Book Antiqua" w:hAnsi="Book Antiqua" w:cs="Book Antiqua"/>
        </w:rPr>
        <w:t xml:space="preserve">bariatric surgery had significantly higher risk of anemia than patients who did not </w:t>
      </w:r>
      <w:r w:rsidR="00926C46" w:rsidRPr="003E0C02">
        <w:rPr>
          <w:rFonts w:ascii="Book Antiqua" w:eastAsia="Book Antiqua" w:hAnsi="Book Antiqua" w:cs="Book Antiqua"/>
        </w:rPr>
        <w:t xml:space="preserve">receive </w:t>
      </w:r>
      <w:r w:rsidR="00AA1E93" w:rsidRPr="003E0C02">
        <w:rPr>
          <w:rFonts w:ascii="Book Antiqua" w:eastAsia="Book Antiqua" w:hAnsi="Book Antiqua" w:cs="Book Antiqua"/>
        </w:rPr>
        <w:t xml:space="preserve">bariatric surgery. After adjusting for </w:t>
      </w:r>
      <w:r w:rsidR="00E318C8" w:rsidRPr="003E0C02">
        <w:rPr>
          <w:rFonts w:ascii="Book Antiqua" w:eastAsia="Book Antiqua" w:hAnsi="Book Antiqua" w:cs="Book Antiqua"/>
        </w:rPr>
        <w:t>gender</w:t>
      </w:r>
      <w:r w:rsidR="00AA1E93" w:rsidRPr="003E0C02">
        <w:rPr>
          <w:rFonts w:ascii="Book Antiqua" w:eastAsia="Book Antiqua" w:hAnsi="Book Antiqua" w:cs="Book Antiqua"/>
        </w:rPr>
        <w:t xml:space="preserve"> and age, wom</w:t>
      </w:r>
      <w:r w:rsidR="00660F5A" w:rsidRPr="003E0C02">
        <w:rPr>
          <w:rFonts w:ascii="Book Antiqua" w:eastAsia="Book Antiqua" w:hAnsi="Book Antiqua" w:cs="Book Antiqua"/>
        </w:rPr>
        <w:t>e</w:t>
      </w:r>
      <w:r w:rsidR="00AA1E93" w:rsidRPr="003E0C02">
        <w:rPr>
          <w:rFonts w:ascii="Book Antiqua" w:eastAsia="Book Antiqua" w:hAnsi="Book Antiqua" w:cs="Book Antiqua"/>
        </w:rPr>
        <w:t>n, young-aged (20</w:t>
      </w:r>
      <w:r w:rsidR="005170BF" w:rsidRPr="003E0C02">
        <w:rPr>
          <w:rFonts w:ascii="Book Antiqua" w:eastAsia="Book Antiqua" w:hAnsi="Book Antiqua" w:cs="Book Antiqua"/>
        </w:rPr>
        <w:t>-</w:t>
      </w:r>
      <w:r w:rsidR="00AA1E93" w:rsidRPr="003E0C02">
        <w:rPr>
          <w:rFonts w:ascii="Book Antiqua" w:eastAsia="Book Antiqua" w:hAnsi="Book Antiqua" w:cs="Book Antiqua"/>
        </w:rPr>
        <w:t>29 years) and middle-aged (30</w:t>
      </w:r>
      <w:r w:rsidR="00F17D85" w:rsidRPr="003E0C02">
        <w:rPr>
          <w:rFonts w:ascii="Book Antiqua" w:eastAsia="Book Antiqua" w:hAnsi="Book Antiqua" w:cs="Book Antiqua"/>
        </w:rPr>
        <w:t>-</w:t>
      </w:r>
      <w:r w:rsidR="00AA1E93" w:rsidRPr="003E0C02">
        <w:rPr>
          <w:rFonts w:ascii="Book Antiqua" w:eastAsia="Book Antiqua" w:hAnsi="Book Antiqua" w:cs="Book Antiqua"/>
        </w:rPr>
        <w:t>64 years)</w:t>
      </w:r>
      <w:r w:rsidR="007208B5" w:rsidRPr="003E0C02">
        <w:rPr>
          <w:rFonts w:ascii="Book Antiqua" w:eastAsia="Book Antiqua" w:hAnsi="Book Antiqua" w:cs="Book Antiqua"/>
        </w:rPr>
        <w:t>,</w:t>
      </w:r>
      <w:r w:rsidR="00AA1E93" w:rsidRPr="003E0C02">
        <w:rPr>
          <w:rFonts w:ascii="Book Antiqua" w:eastAsia="Book Antiqua" w:hAnsi="Book Antiqua" w:cs="Book Antiqua"/>
        </w:rPr>
        <w:t xml:space="preserve"> had significantly higher incidence of post-bariatric surgery anemia. Both malabsorptive procedures and restrictive procedures increased the incidence of anemia. However, malabsorptive procedures had a higher </w:t>
      </w:r>
      <w:r w:rsidR="007208B5" w:rsidRPr="003E0C02">
        <w:rPr>
          <w:rFonts w:ascii="Book Antiqua" w:eastAsia="Book Antiqua" w:hAnsi="Book Antiqua" w:cs="Book Antiqua"/>
        </w:rPr>
        <w:t xml:space="preserve">hazard ratio </w:t>
      </w:r>
      <w:r w:rsidR="00AA1E93" w:rsidRPr="003E0C02">
        <w:rPr>
          <w:rFonts w:ascii="Book Antiqua" w:eastAsia="Book Antiqua" w:hAnsi="Book Antiqua" w:cs="Book Antiqua"/>
        </w:rPr>
        <w:t>of post-bariatric surgery anemia than restrictive procedures.</w:t>
      </w:r>
    </w:p>
    <w:p w14:paraId="26089E3E" w14:textId="77777777" w:rsidR="00A77B3E" w:rsidRPr="003E0C02" w:rsidRDefault="00A77B3E" w:rsidP="003E0C02">
      <w:pPr>
        <w:snapToGrid w:val="0"/>
        <w:spacing w:line="360" w:lineRule="auto"/>
        <w:jc w:val="both"/>
      </w:pPr>
    </w:p>
    <w:p w14:paraId="33AB70AA" w14:textId="77777777" w:rsidR="00A77B3E" w:rsidRPr="003E0C02" w:rsidRDefault="00032DC4" w:rsidP="003E0C02">
      <w:pPr>
        <w:snapToGrid w:val="0"/>
        <w:spacing w:line="360" w:lineRule="auto"/>
        <w:jc w:val="both"/>
        <w:rPr>
          <w:u w:val="single"/>
        </w:rPr>
      </w:pPr>
      <w:r w:rsidRPr="003E0C02">
        <w:rPr>
          <w:rFonts w:ascii="Book Antiqua" w:eastAsia="Book Antiqua" w:hAnsi="Book Antiqua" w:cs="Book Antiqua"/>
          <w:b/>
          <w:caps/>
        </w:rPr>
        <w:br w:type="page"/>
      </w:r>
      <w:r w:rsidR="00AA1E93" w:rsidRPr="003E0C02">
        <w:rPr>
          <w:rFonts w:ascii="Book Antiqua" w:eastAsia="Book Antiqua" w:hAnsi="Book Antiqua" w:cs="Book Antiqua"/>
          <w:b/>
          <w:caps/>
          <w:u w:val="single"/>
        </w:rPr>
        <w:lastRenderedPageBreak/>
        <w:t>INTRODUCTION</w:t>
      </w:r>
    </w:p>
    <w:p w14:paraId="530DEFD1" w14:textId="3C3419AA" w:rsidR="00A77B3E" w:rsidRPr="003E0C02" w:rsidRDefault="00AA1E93" w:rsidP="003E0C02">
      <w:pPr>
        <w:snapToGrid w:val="0"/>
        <w:spacing w:line="360" w:lineRule="auto"/>
        <w:jc w:val="both"/>
      </w:pPr>
      <w:r w:rsidRPr="003E0C02">
        <w:rPr>
          <w:rFonts w:ascii="Book Antiqua" w:eastAsia="Book Antiqua" w:hAnsi="Book Antiqua" w:cs="Book Antiqua"/>
        </w:rPr>
        <w:t>The incidence of obesity</w:t>
      </w:r>
      <w:r w:rsidR="007208B5" w:rsidRPr="003E0C02">
        <w:rPr>
          <w:rFonts w:ascii="Book Antiqua" w:eastAsia="Book Antiqua" w:hAnsi="Book Antiqua" w:cs="Book Antiqua"/>
        </w:rPr>
        <w:t xml:space="preserve"> has</w:t>
      </w:r>
      <w:r w:rsidRPr="003E0C02">
        <w:rPr>
          <w:rFonts w:ascii="Book Antiqua" w:eastAsia="Book Antiqua" w:hAnsi="Book Antiqua" w:cs="Book Antiqua"/>
        </w:rPr>
        <w:t xml:space="preserve"> </w:t>
      </w:r>
      <w:r w:rsidR="00B32BBF" w:rsidRPr="003E0C02">
        <w:rPr>
          <w:rFonts w:ascii="Book Antiqua" w:eastAsia="Book Antiqua" w:hAnsi="Book Antiqua" w:cs="Book Antiqua"/>
        </w:rPr>
        <w:t xml:space="preserve">increased rapidly and </w:t>
      </w:r>
      <w:r w:rsidR="00E7097F" w:rsidRPr="003E0C02">
        <w:rPr>
          <w:rFonts w:ascii="Book Antiqua" w:eastAsia="Book Antiqua" w:hAnsi="Book Antiqua" w:cs="Book Antiqua"/>
        </w:rPr>
        <w:t>ha</w:t>
      </w:r>
      <w:r w:rsidR="007208B5" w:rsidRPr="003E0C02">
        <w:rPr>
          <w:rFonts w:ascii="Book Antiqua" w:eastAsia="Book Antiqua" w:hAnsi="Book Antiqua" w:cs="Book Antiqua"/>
        </w:rPr>
        <w:t>s</w:t>
      </w:r>
      <w:r w:rsidRPr="003E0C02">
        <w:rPr>
          <w:rFonts w:ascii="Book Antiqua" w:eastAsia="Book Antiqua" w:hAnsi="Book Antiqua" w:cs="Book Antiqua"/>
        </w:rPr>
        <w:t xml:space="preserve"> tripled over the past decades</w:t>
      </w:r>
      <w:r w:rsidRPr="003E0C02">
        <w:rPr>
          <w:rFonts w:ascii="Book Antiqua" w:eastAsia="Book Antiqua" w:hAnsi="Book Antiqua" w:cs="Book Antiqua"/>
          <w:vertAlign w:val="superscript"/>
        </w:rPr>
        <w:t>1</w:t>
      </w:r>
      <w:r w:rsidRPr="003E0C02">
        <w:rPr>
          <w:rFonts w:ascii="Book Antiqua" w:eastAsia="Book Antiqua" w:hAnsi="Book Antiqua" w:cs="Book Antiqua"/>
        </w:rPr>
        <w:t xml:space="preserve">, significantly threatening public health. Bariatric surgery has been shown to be the most effective long-term treatment for </w:t>
      </w:r>
      <w:r w:rsidR="00E47607" w:rsidRPr="003E0C02">
        <w:rPr>
          <w:rFonts w:ascii="Book Antiqua" w:eastAsia="Book Antiqua" w:hAnsi="Book Antiqua" w:cs="Book Antiqua"/>
        </w:rPr>
        <w:t xml:space="preserve">morbidly obese </w:t>
      </w:r>
      <w:proofErr w:type="gramStart"/>
      <w:r w:rsidR="00E47607" w:rsidRPr="003E0C02">
        <w:rPr>
          <w:rFonts w:ascii="Book Antiqua" w:eastAsia="Book Antiqua" w:hAnsi="Book Antiqua" w:cs="Book Antiqua"/>
        </w:rPr>
        <w:t>patients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1-4]</w:t>
      </w:r>
      <w:r w:rsidRPr="003E0C02">
        <w:rPr>
          <w:rFonts w:ascii="Book Antiqua" w:eastAsia="Book Antiqua" w:hAnsi="Book Antiqua" w:cs="Book Antiqua"/>
        </w:rPr>
        <w:t xml:space="preserve"> considering that this surgery results in significant and sustainable weight loss and improves comorbidities, long-term mortality</w:t>
      </w:r>
      <w:r w:rsidR="00757723" w:rsidRPr="003E0C02">
        <w:rPr>
          <w:rFonts w:ascii="Book Antiqua" w:eastAsia="Book Antiqua" w:hAnsi="Book Antiqua" w:cs="Book Antiqua"/>
        </w:rPr>
        <w:t>, and patients’ quality of life</w:t>
      </w:r>
      <w:r w:rsidRPr="003E0C02">
        <w:rPr>
          <w:rFonts w:ascii="Book Antiqua" w:eastAsia="Book Antiqua" w:hAnsi="Book Antiqua" w:cs="Book Antiqua"/>
          <w:vertAlign w:val="superscript"/>
        </w:rPr>
        <w:t>[1-8]</w:t>
      </w:r>
      <w:r w:rsidRPr="003E0C02">
        <w:rPr>
          <w:rFonts w:ascii="Book Antiqua" w:eastAsia="Book Antiqua" w:hAnsi="Book Antiqua" w:cs="Book Antiqua"/>
        </w:rPr>
        <w:t>. Although bariatric surgery is considered safe and has beneficial effects, the development of anemia after bariatric surgery remains a concern. Anemia due to micronutrient deficiencies is identified as a common adverse effect, specifically among patients without regular nutrient supplementation postoperatively.</w:t>
      </w:r>
    </w:p>
    <w:p w14:paraId="58B5F865" w14:textId="77777777" w:rsidR="00A77B3E" w:rsidRPr="003E0C02" w:rsidRDefault="00AA1E93" w:rsidP="003E0C02">
      <w:pPr>
        <w:snapToGrid w:val="0"/>
        <w:spacing w:line="360" w:lineRule="auto"/>
        <w:ind w:firstLine="480"/>
        <w:jc w:val="both"/>
      </w:pPr>
      <w:r w:rsidRPr="003E0C02">
        <w:rPr>
          <w:rFonts w:ascii="Book Antiqua" w:eastAsia="Book Antiqua" w:hAnsi="Book Antiqua" w:cs="Book Antiqua"/>
        </w:rPr>
        <w:t xml:space="preserve">Post-bariatric surgery anemia can </w:t>
      </w:r>
      <w:r w:rsidR="000D6419" w:rsidRPr="003E0C02">
        <w:rPr>
          <w:rFonts w:ascii="Book Antiqua" w:eastAsia="Book Antiqua" w:hAnsi="Book Antiqua" w:cs="Book Antiqua"/>
        </w:rPr>
        <w:t xml:space="preserve">influence </w:t>
      </w:r>
      <w:r w:rsidRPr="003E0C02">
        <w:rPr>
          <w:rFonts w:ascii="Book Antiqua" w:eastAsia="Book Antiqua" w:hAnsi="Book Antiqua" w:cs="Book Antiqua"/>
        </w:rPr>
        <w:t xml:space="preserve">as many as two-thirds of patients undergoing bariatric </w:t>
      </w:r>
      <w:proofErr w:type="gramStart"/>
      <w:r w:rsidRPr="003E0C02">
        <w:rPr>
          <w:rFonts w:ascii="Book Antiqua" w:eastAsia="Book Antiqua" w:hAnsi="Book Antiqua" w:cs="Book Antiqua"/>
        </w:rPr>
        <w:t>surgery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9]</w:t>
      </w:r>
      <w:r w:rsidRPr="003E0C02">
        <w:rPr>
          <w:rFonts w:ascii="Book Antiqua" w:eastAsia="Book Antiqua" w:hAnsi="Book Antiqua" w:cs="Book Antiqua"/>
        </w:rPr>
        <w:t xml:space="preserve">. During these years, several efforts were made to decrease the incidence rate of post-bariatric surgery anemia. First, considering the metabolic sequelae of bariatric surgery, lifelong micronutrient supplementation was considered </w:t>
      </w:r>
      <w:proofErr w:type="gramStart"/>
      <w:r w:rsidRPr="003E0C02">
        <w:rPr>
          <w:rFonts w:ascii="Book Antiqua" w:eastAsia="Book Antiqua" w:hAnsi="Book Antiqua" w:cs="Book Antiqua"/>
        </w:rPr>
        <w:t>mandatory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10]</w:t>
      </w:r>
      <w:r w:rsidRPr="003E0C02">
        <w:rPr>
          <w:rFonts w:ascii="Book Antiqua" w:eastAsia="Book Antiqua" w:hAnsi="Book Antiqua" w:cs="Book Antiqua"/>
        </w:rPr>
        <w:t xml:space="preserve">. Moreover, the quality and sustainability of medical follow-up consultation became important </w:t>
      </w:r>
      <w:proofErr w:type="gramStart"/>
      <w:r w:rsidRPr="003E0C02">
        <w:rPr>
          <w:rFonts w:ascii="Book Antiqua" w:eastAsia="Book Antiqua" w:hAnsi="Book Antiqua" w:cs="Book Antiqua"/>
        </w:rPr>
        <w:t>issues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4]</w:t>
      </w:r>
      <w:r w:rsidRPr="003E0C02">
        <w:rPr>
          <w:rFonts w:ascii="Book Antiqua" w:eastAsia="Book Antiqua" w:hAnsi="Book Antiqua" w:cs="Book Antiqua"/>
        </w:rPr>
        <w:t xml:space="preserve">. Some studies revealed that the incidence of anemia is lower in sleeve gastrectomy than that in Roux-en-Y gastric </w:t>
      </w:r>
      <w:proofErr w:type="gramStart"/>
      <w:r w:rsidRPr="003E0C02">
        <w:rPr>
          <w:rFonts w:ascii="Book Antiqua" w:eastAsia="Book Antiqua" w:hAnsi="Book Antiqua" w:cs="Book Antiqua"/>
        </w:rPr>
        <w:t>bypass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11-13]</w:t>
      </w:r>
      <w:r w:rsidRPr="003E0C02">
        <w:rPr>
          <w:rFonts w:ascii="Book Antiqua" w:eastAsia="Book Antiqua" w:hAnsi="Book Antiqua" w:cs="Book Antiqua"/>
        </w:rPr>
        <w:t xml:space="preserve">. Furthermore, a cohort study in France suggested that the increasing popularity of sleeve gastrectomy is another reason why the incidence of anemia has </w:t>
      </w:r>
      <w:proofErr w:type="gramStart"/>
      <w:r w:rsidRPr="003E0C02">
        <w:rPr>
          <w:rFonts w:ascii="Book Antiqua" w:eastAsia="Book Antiqua" w:hAnsi="Book Antiqua" w:cs="Book Antiqua"/>
        </w:rPr>
        <w:t>reduced</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4,11]</w:t>
      </w:r>
      <w:r w:rsidRPr="003E0C02">
        <w:rPr>
          <w:rFonts w:ascii="Book Antiqua" w:eastAsia="Book Antiqua" w:hAnsi="Book Antiqua" w:cs="Book Antiqua"/>
        </w:rPr>
        <w:t xml:space="preserve">. However, recently, the prevalence of post-bariatric surgery anemia is still considered nonnegligible. In France, 5% of </w:t>
      </w:r>
      <w:bookmarkStart w:id="4" w:name="_Hlk50189871"/>
      <w:r w:rsidRPr="003E0C02">
        <w:rPr>
          <w:rFonts w:ascii="Book Antiqua" w:eastAsia="Book Antiqua" w:hAnsi="Book Antiqua" w:cs="Book Antiqua"/>
        </w:rPr>
        <w:t>patients were diagnosed</w:t>
      </w:r>
      <w:bookmarkEnd w:id="4"/>
      <w:r w:rsidRPr="003E0C02">
        <w:rPr>
          <w:rFonts w:ascii="Book Antiqua" w:eastAsia="Book Antiqua" w:hAnsi="Book Antiqua" w:cs="Book Antiqua"/>
        </w:rPr>
        <w:t xml:space="preserve"> with anemia after bariatric surgery between 2008 and 2016</w:t>
      </w:r>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Additionally, if a patient did not receive an outpatient follow-up, the prevalence of anemia could even be 57% 10 years after Roux-en-Y gastric </w:t>
      </w:r>
      <w:proofErr w:type="gramStart"/>
      <w:r w:rsidRPr="003E0C02">
        <w:rPr>
          <w:rFonts w:ascii="Book Antiqua" w:eastAsia="Book Antiqua" w:hAnsi="Book Antiqua" w:cs="Book Antiqua"/>
        </w:rPr>
        <w:t>bypass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14]</w:t>
      </w:r>
      <w:r w:rsidRPr="003E0C02">
        <w:rPr>
          <w:rFonts w:ascii="Book Antiqua" w:eastAsia="Book Antiqua" w:hAnsi="Book Antiqua" w:cs="Book Antiqua"/>
        </w:rPr>
        <w:t>.</w:t>
      </w:r>
    </w:p>
    <w:p w14:paraId="580721DE" w14:textId="35C95005" w:rsidR="00A77B3E" w:rsidRPr="003E0C02" w:rsidRDefault="00AA1E93" w:rsidP="003E0C02">
      <w:pPr>
        <w:snapToGrid w:val="0"/>
        <w:spacing w:line="360" w:lineRule="auto"/>
        <w:ind w:firstLine="480"/>
        <w:jc w:val="both"/>
      </w:pPr>
      <w:r w:rsidRPr="003E0C02">
        <w:rPr>
          <w:rFonts w:ascii="Book Antiqua" w:eastAsia="Book Antiqua" w:hAnsi="Book Antiqua" w:cs="Book Antiqua"/>
        </w:rPr>
        <w:t xml:space="preserve">Postoperative anemia may develop as a result of several factors. First, </w:t>
      </w:r>
      <w:r w:rsidR="000A2821" w:rsidRPr="003E0C02">
        <w:rPr>
          <w:rFonts w:ascii="Book Antiqua" w:eastAsia="Book Antiqua" w:hAnsi="Book Antiqua" w:cs="Book Antiqua"/>
        </w:rPr>
        <w:t>absorption of</w:t>
      </w:r>
      <w:r w:rsidR="00757723" w:rsidRPr="003E0C02">
        <w:rPr>
          <w:rFonts w:ascii="Book Antiqua" w:eastAsia="Book Antiqua" w:hAnsi="Book Antiqua" w:cs="Book Antiqua"/>
        </w:rPr>
        <w:t xml:space="preserve"> </w:t>
      </w:r>
      <w:r w:rsidR="000A2821" w:rsidRPr="003E0C02">
        <w:rPr>
          <w:rFonts w:ascii="Book Antiqua" w:eastAsia="Book Antiqua" w:hAnsi="Book Antiqua" w:cs="Book Antiqua"/>
        </w:rPr>
        <w:t>folate</w:t>
      </w:r>
      <w:r w:rsidR="00757723" w:rsidRPr="003E0C02">
        <w:rPr>
          <w:rFonts w:ascii="Book Antiqua" w:eastAsia="Book Antiqua" w:hAnsi="Book Antiqua" w:cs="Book Antiqua"/>
        </w:rPr>
        <w:t xml:space="preserve"> and iron</w:t>
      </w:r>
      <w:r w:rsidR="000A2821" w:rsidRPr="003E0C02">
        <w:rPr>
          <w:rFonts w:ascii="Book Antiqua" w:eastAsia="Book Antiqua" w:hAnsi="Book Antiqua" w:cs="Book Antiqua"/>
        </w:rPr>
        <w:t xml:space="preserve"> mainly happe</w:t>
      </w:r>
      <w:r w:rsidR="00757723" w:rsidRPr="003E0C02">
        <w:rPr>
          <w:rFonts w:ascii="Book Antiqua" w:eastAsia="Book Antiqua" w:hAnsi="Book Antiqua" w:cs="Book Antiqua"/>
        </w:rPr>
        <w:t>ns</w:t>
      </w:r>
      <w:r w:rsidR="001D432A" w:rsidRPr="003E0C02">
        <w:rPr>
          <w:rFonts w:ascii="Book Antiqua" w:eastAsia="Book Antiqua" w:hAnsi="Book Antiqua" w:cs="Book Antiqua"/>
        </w:rPr>
        <w:t xml:space="preserve"> in the proximal jejunum and duodenum. </w:t>
      </w:r>
      <w:r w:rsidRPr="003E0C02">
        <w:rPr>
          <w:rFonts w:ascii="Book Antiqua" w:eastAsia="Book Antiqua" w:hAnsi="Book Antiqua" w:cs="Book Antiqua"/>
        </w:rPr>
        <w:t xml:space="preserve">Malabsorptive procedures, </w:t>
      </w:r>
      <w:r w:rsidR="007208B5" w:rsidRPr="003E0C02">
        <w:rPr>
          <w:rFonts w:ascii="Book Antiqua" w:eastAsia="Book Antiqua" w:hAnsi="Book Antiqua" w:cs="Book Antiqua"/>
        </w:rPr>
        <w:t>like</w:t>
      </w:r>
      <w:r w:rsidRPr="003E0C02">
        <w:rPr>
          <w:rFonts w:ascii="Book Antiqua" w:eastAsia="Book Antiqua" w:hAnsi="Book Antiqua" w:cs="Book Antiqua"/>
        </w:rPr>
        <w:t xml:space="preserve"> intestinal bypass, may cause </w:t>
      </w:r>
      <w:r w:rsidR="001D432A" w:rsidRPr="003E0C02">
        <w:rPr>
          <w:rFonts w:ascii="Book Antiqua" w:eastAsia="Book Antiqua" w:hAnsi="Book Antiqua" w:cs="Book Antiqua"/>
        </w:rPr>
        <w:t xml:space="preserve">deficiencies of </w:t>
      </w:r>
      <w:r w:rsidR="00B86888" w:rsidRPr="003E0C02">
        <w:rPr>
          <w:rFonts w:ascii="Book Antiqua" w:eastAsia="Book Antiqua" w:hAnsi="Book Antiqua" w:cs="Book Antiqua"/>
        </w:rPr>
        <w:t xml:space="preserve">folate, </w:t>
      </w:r>
      <w:r w:rsidRPr="003E0C02">
        <w:rPr>
          <w:rFonts w:ascii="Book Antiqua" w:eastAsia="Book Antiqua" w:hAnsi="Book Antiqua" w:cs="Book Antiqua"/>
        </w:rPr>
        <w:t xml:space="preserve">iron, and vitamin B12 and lead to </w:t>
      </w:r>
      <w:proofErr w:type="gramStart"/>
      <w:r w:rsidRPr="003E0C02">
        <w:rPr>
          <w:rFonts w:ascii="Book Antiqua" w:eastAsia="Book Antiqua" w:hAnsi="Book Antiqua" w:cs="Book Antiqua"/>
        </w:rPr>
        <w:t>anemia</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11,15]</w:t>
      </w:r>
      <w:r w:rsidRPr="003E0C02">
        <w:rPr>
          <w:rFonts w:ascii="Book Antiqua" w:eastAsia="Book Antiqua" w:hAnsi="Book Antiqua" w:cs="Book Antiqua"/>
        </w:rPr>
        <w:t xml:space="preserve">. Restrictive procedures, </w:t>
      </w:r>
      <w:r w:rsidR="00926C46" w:rsidRPr="003E0C02">
        <w:rPr>
          <w:rFonts w:ascii="Book Antiqua" w:eastAsia="Book Antiqua" w:hAnsi="Book Antiqua" w:cs="Book Antiqua"/>
        </w:rPr>
        <w:t>like</w:t>
      </w:r>
      <w:r w:rsidRPr="003E0C02">
        <w:rPr>
          <w:rFonts w:ascii="Book Antiqua" w:eastAsia="Book Antiqua" w:hAnsi="Book Antiqua" w:cs="Book Antiqua"/>
        </w:rPr>
        <w:t xml:space="preserve"> sleeve gastrectomy, may also reduce the intrinsic factor, gastric acid, and food gastric passing time and subsequently </w:t>
      </w:r>
      <w:r w:rsidRPr="003E0C02">
        <w:rPr>
          <w:rFonts w:ascii="Book Antiqua" w:eastAsia="Book Antiqua" w:hAnsi="Book Antiqua" w:cs="Book Antiqua"/>
        </w:rPr>
        <w:lastRenderedPageBreak/>
        <w:t xml:space="preserve">reduce the bioavailability and digestion of </w:t>
      </w:r>
      <w:proofErr w:type="gramStart"/>
      <w:r w:rsidRPr="003E0C02">
        <w:rPr>
          <w:rFonts w:ascii="Book Antiqua" w:eastAsia="Book Antiqua" w:hAnsi="Book Antiqua" w:cs="Book Antiqua"/>
        </w:rPr>
        <w:t>nutrients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16]</w:t>
      </w:r>
      <w:r w:rsidRPr="003E0C02">
        <w:rPr>
          <w:rFonts w:ascii="Book Antiqua" w:eastAsia="Book Antiqua" w:hAnsi="Book Antiqua" w:cs="Book Antiqua"/>
        </w:rPr>
        <w:t xml:space="preserve">. Furthermore, the net effects observed as a result of the adaptation of bariatric surgery may synergistically affect the hemoglobin level. These complicated factors include reduction of inflammation, adaptation of micronutrient absorption, limited meat intake, attenuated energy intake, and </w:t>
      </w:r>
      <w:proofErr w:type="gramStart"/>
      <w:r w:rsidRPr="003E0C02">
        <w:rPr>
          <w:rFonts w:ascii="Book Antiqua" w:eastAsia="Book Antiqua" w:hAnsi="Book Antiqua" w:cs="Book Antiqua"/>
        </w:rPr>
        <w:t>menstruation</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12,13,17,18]</w:t>
      </w:r>
      <w:r w:rsidRPr="003E0C02">
        <w:rPr>
          <w:rFonts w:ascii="Book Antiqua" w:eastAsia="Book Antiqua" w:hAnsi="Book Antiqua" w:cs="Book Antiqua"/>
        </w:rPr>
        <w:t>.</w:t>
      </w:r>
    </w:p>
    <w:p w14:paraId="24AB200F" w14:textId="65280C14" w:rsidR="00A77B3E" w:rsidRPr="003E0C02" w:rsidRDefault="007208B5" w:rsidP="003E0C02">
      <w:pPr>
        <w:snapToGrid w:val="0"/>
        <w:spacing w:line="360" w:lineRule="auto"/>
        <w:ind w:firstLine="480"/>
        <w:jc w:val="both"/>
      </w:pPr>
      <w:r w:rsidRPr="003E0C02">
        <w:rPr>
          <w:rFonts w:ascii="Book Antiqua" w:eastAsia="Book Antiqua" w:hAnsi="Book Antiqua" w:cs="Book Antiqua"/>
        </w:rPr>
        <w:t xml:space="preserve">A </w:t>
      </w:r>
      <w:r w:rsidR="00570C3A" w:rsidRPr="003E0C02">
        <w:rPr>
          <w:rFonts w:ascii="Book Antiqua" w:eastAsia="Book Antiqua" w:hAnsi="Book Antiqua" w:cs="Book Antiqua"/>
        </w:rPr>
        <w:t xml:space="preserve">large cohort </w:t>
      </w:r>
      <w:r w:rsidR="00AA1E93" w:rsidRPr="003E0C02">
        <w:rPr>
          <w:rFonts w:ascii="Book Antiqua" w:eastAsia="Book Antiqua" w:hAnsi="Book Antiqua" w:cs="Book Antiqua"/>
        </w:rPr>
        <w:t xml:space="preserve">study from France revealed the long-term </w:t>
      </w:r>
      <w:r w:rsidR="00B86888" w:rsidRPr="003E0C02">
        <w:rPr>
          <w:rFonts w:ascii="Book Antiqua" w:eastAsia="Book Antiqua" w:hAnsi="Book Antiqua" w:cs="Book Antiqua"/>
        </w:rPr>
        <w:t xml:space="preserve">anemia </w:t>
      </w:r>
      <w:r w:rsidR="00AA1E93" w:rsidRPr="003E0C02">
        <w:rPr>
          <w:rFonts w:ascii="Book Antiqua" w:eastAsia="Book Antiqua" w:hAnsi="Book Antiqua" w:cs="Book Antiqua"/>
        </w:rPr>
        <w:t xml:space="preserve">incidence </w:t>
      </w:r>
      <w:r w:rsidR="000A2821" w:rsidRPr="003E0C02">
        <w:rPr>
          <w:rFonts w:ascii="Book Antiqua" w:eastAsia="Book Antiqua" w:hAnsi="Book Antiqua" w:cs="Book Antiqua"/>
        </w:rPr>
        <w:t xml:space="preserve">among </w:t>
      </w:r>
      <w:r w:rsidR="00AA1E93" w:rsidRPr="003E0C02">
        <w:rPr>
          <w:rFonts w:ascii="Book Antiqua" w:eastAsia="Book Antiqua" w:hAnsi="Book Antiqua" w:cs="Book Antiqua"/>
        </w:rPr>
        <w:t xml:space="preserve">patients </w:t>
      </w:r>
      <w:r w:rsidR="000A2821" w:rsidRPr="003E0C02">
        <w:rPr>
          <w:rFonts w:ascii="Book Antiqua" w:eastAsia="Book Antiqua" w:hAnsi="Book Antiqua" w:cs="Book Antiqua"/>
        </w:rPr>
        <w:t xml:space="preserve">who </w:t>
      </w:r>
      <w:r w:rsidR="00570C3A" w:rsidRPr="003E0C02">
        <w:rPr>
          <w:rFonts w:ascii="Book Antiqua" w:eastAsia="Book Antiqua" w:hAnsi="Book Antiqua" w:cs="Book Antiqua"/>
        </w:rPr>
        <w:t>receiv</w:t>
      </w:r>
      <w:r w:rsidR="00B86888" w:rsidRPr="003E0C02">
        <w:rPr>
          <w:rFonts w:ascii="Book Antiqua" w:eastAsia="Book Antiqua" w:hAnsi="Book Antiqua" w:cs="Book Antiqua"/>
        </w:rPr>
        <w:t>ing</w:t>
      </w:r>
      <w:r w:rsidR="00570C3A" w:rsidRPr="003E0C02">
        <w:rPr>
          <w:rFonts w:ascii="Book Antiqua" w:eastAsia="Book Antiqua" w:hAnsi="Book Antiqua" w:cs="Book Antiqua"/>
        </w:rPr>
        <w:t xml:space="preserve"> </w:t>
      </w:r>
      <w:r w:rsidR="00AA1E93" w:rsidRPr="003E0C02">
        <w:rPr>
          <w:rFonts w:ascii="Book Antiqua" w:eastAsia="Book Antiqua" w:hAnsi="Book Antiqua" w:cs="Book Antiqua"/>
        </w:rPr>
        <w:t xml:space="preserve">a bariatric </w:t>
      </w:r>
      <w:proofErr w:type="gramStart"/>
      <w:r w:rsidR="00AA1E93" w:rsidRPr="003E0C02">
        <w:rPr>
          <w:rFonts w:ascii="Book Antiqua" w:eastAsia="Book Antiqua" w:hAnsi="Book Antiqua" w:cs="Book Antiqua"/>
        </w:rPr>
        <w:t>procedure</w:t>
      </w:r>
      <w:r w:rsidR="00570C3A" w:rsidRPr="003E0C02">
        <w:rPr>
          <w:rFonts w:ascii="Book Antiqua" w:eastAsia="Book Antiqua" w:hAnsi="Book Antiqua" w:cs="Book Antiqua"/>
          <w:vertAlign w:val="superscript"/>
        </w:rPr>
        <w:t>[</w:t>
      </w:r>
      <w:proofErr w:type="gramEnd"/>
      <w:r w:rsidR="00570C3A" w:rsidRPr="003E0C02">
        <w:rPr>
          <w:rFonts w:ascii="Book Antiqua" w:eastAsia="Book Antiqua" w:hAnsi="Book Antiqua" w:cs="Book Antiqua"/>
          <w:vertAlign w:val="superscript"/>
        </w:rPr>
        <w:t>11]</w:t>
      </w:r>
      <w:r w:rsidR="00AA1E93" w:rsidRPr="003E0C02">
        <w:rPr>
          <w:rFonts w:ascii="Book Antiqua" w:eastAsia="Book Antiqua" w:hAnsi="Book Antiqua" w:cs="Book Antiqua"/>
        </w:rPr>
        <w:t xml:space="preserve">. </w:t>
      </w:r>
      <w:r w:rsidRPr="003E0C02">
        <w:rPr>
          <w:rFonts w:ascii="Book Antiqua" w:eastAsia="Book Antiqua" w:hAnsi="Book Antiqua" w:cs="Book Antiqua"/>
        </w:rPr>
        <w:t>S</w:t>
      </w:r>
      <w:r w:rsidR="00AA1E93" w:rsidRPr="003E0C02">
        <w:rPr>
          <w:rFonts w:ascii="Book Antiqua" w:eastAsia="Book Antiqua" w:hAnsi="Book Antiqua" w:cs="Book Antiqua"/>
        </w:rPr>
        <w:t xml:space="preserve">tudies assessing the long-term incidence of post-bariatric surgery anemia have not been conducted yet. This </w:t>
      </w:r>
      <w:r w:rsidR="00091EAC" w:rsidRPr="003E0C02">
        <w:rPr>
          <w:rFonts w:ascii="Book Antiqua" w:eastAsia="Book Antiqua" w:hAnsi="Book Antiqua" w:cs="Book Antiqua"/>
        </w:rPr>
        <w:t xml:space="preserve">study used the nationwide data </w:t>
      </w:r>
      <w:r w:rsidR="00091EAC" w:rsidRPr="003E0C02">
        <w:rPr>
          <w:rFonts w:ascii="Book Antiqua" w:hAnsi="Book Antiqua" w:cs="Book Antiqua"/>
          <w:lang w:eastAsia="zh-CN"/>
        </w:rPr>
        <w:t>[</w:t>
      </w:r>
      <w:r w:rsidR="00AA1E93" w:rsidRPr="003E0C02">
        <w:rPr>
          <w:rFonts w:ascii="Book Antiqua" w:eastAsia="Book Antiqua" w:hAnsi="Book Antiqua" w:cs="Book Antiqua"/>
        </w:rPr>
        <w:t>Taiwanese National Heal</w:t>
      </w:r>
      <w:r w:rsidR="00091EAC" w:rsidRPr="003E0C02">
        <w:rPr>
          <w:rFonts w:ascii="Book Antiqua" w:eastAsia="Book Antiqua" w:hAnsi="Book Antiqua" w:cs="Book Antiqua"/>
        </w:rPr>
        <w:t xml:space="preserve">th Insurance Research Database </w:t>
      </w:r>
      <w:r w:rsidR="00091EAC" w:rsidRPr="003E0C02">
        <w:rPr>
          <w:rFonts w:ascii="Book Antiqua" w:hAnsi="Book Antiqua" w:cs="Book Antiqua"/>
          <w:lang w:eastAsia="zh-CN"/>
        </w:rPr>
        <w:t>(</w:t>
      </w:r>
      <w:r w:rsidR="00091EAC" w:rsidRPr="003E0C02">
        <w:rPr>
          <w:rFonts w:ascii="Book Antiqua" w:eastAsia="Book Antiqua" w:hAnsi="Book Antiqua" w:cs="Book Antiqua"/>
        </w:rPr>
        <w:t>NHIRD</w:t>
      </w:r>
      <w:r w:rsidR="00AA1E93" w:rsidRPr="003E0C02">
        <w:rPr>
          <w:rFonts w:ascii="Book Antiqua" w:eastAsia="Book Antiqua" w:hAnsi="Book Antiqua" w:cs="Book Antiqua"/>
        </w:rPr>
        <w:t>)</w:t>
      </w:r>
      <w:r w:rsidR="00091EAC" w:rsidRPr="003E0C02">
        <w:rPr>
          <w:rFonts w:ascii="Book Antiqua" w:hAnsi="Book Antiqua" w:cs="Book Antiqua"/>
          <w:lang w:eastAsia="zh-CN"/>
        </w:rPr>
        <w:t>]</w:t>
      </w:r>
      <w:r w:rsidR="00AA1E93" w:rsidRPr="003E0C02">
        <w:rPr>
          <w:rFonts w:ascii="Book Antiqua" w:eastAsia="Book Antiqua" w:hAnsi="Book Antiqua" w:cs="Book Antiqua"/>
        </w:rPr>
        <w:t xml:space="preserve"> with large sample size. This study aimed to estimate and compare the long-term incidence of anemia between morbidly obese patients who underwent bariatric surgery </w:t>
      </w:r>
      <w:r w:rsidR="00AA1E93" w:rsidRPr="003E0C02">
        <w:rPr>
          <w:rFonts w:ascii="Book Antiqua" w:eastAsia="Book Antiqua" w:hAnsi="Book Antiqua" w:cs="Book Antiqua"/>
          <w:i/>
          <w:iCs/>
        </w:rPr>
        <w:t>vs</w:t>
      </w:r>
      <w:r w:rsidR="00AA1E93" w:rsidRPr="003E0C02">
        <w:rPr>
          <w:rFonts w:ascii="Book Antiqua" w:eastAsia="Book Antiqua" w:hAnsi="Book Antiqua" w:cs="Book Antiqua"/>
        </w:rPr>
        <w:t xml:space="preserve"> patients who did not undergo bariatric surgery and to stratify the association between </w:t>
      </w:r>
      <w:r w:rsidR="00B86888" w:rsidRPr="003E0C02">
        <w:rPr>
          <w:rFonts w:ascii="Book Antiqua" w:eastAsia="Book Antiqua" w:hAnsi="Book Antiqua" w:cs="Book Antiqua"/>
        </w:rPr>
        <w:t>gender</w:t>
      </w:r>
      <w:r w:rsidR="00AA1E93" w:rsidRPr="003E0C02">
        <w:rPr>
          <w:rFonts w:ascii="Book Antiqua" w:eastAsia="Book Antiqua" w:hAnsi="Book Antiqua" w:cs="Book Antiqua"/>
        </w:rPr>
        <w:t xml:space="preserve">, age, and types of bariatric surgery in </w:t>
      </w:r>
      <w:r w:rsidR="00926C46" w:rsidRPr="003E0C02">
        <w:rPr>
          <w:rFonts w:ascii="Book Antiqua" w:eastAsia="Book Antiqua" w:hAnsi="Book Antiqua" w:cs="Book Antiqua"/>
        </w:rPr>
        <w:t xml:space="preserve">morbidly </w:t>
      </w:r>
      <w:r w:rsidR="00AA1E93" w:rsidRPr="003E0C02">
        <w:rPr>
          <w:rFonts w:ascii="Book Antiqua" w:eastAsia="Book Antiqua" w:hAnsi="Book Antiqua" w:cs="Book Antiqua"/>
        </w:rPr>
        <w:t xml:space="preserve">obese patients who </w:t>
      </w:r>
      <w:r w:rsidR="004B7D81" w:rsidRPr="003E0C02">
        <w:rPr>
          <w:rFonts w:ascii="Book Antiqua" w:eastAsia="Book Antiqua" w:hAnsi="Book Antiqua" w:cs="Book Antiqua"/>
        </w:rPr>
        <w:t>received</w:t>
      </w:r>
      <w:r w:rsidR="00B32BBF" w:rsidRPr="003E0C02">
        <w:rPr>
          <w:rFonts w:ascii="Book Antiqua" w:eastAsia="Book Antiqua" w:hAnsi="Book Antiqua" w:cs="Book Antiqua"/>
        </w:rPr>
        <w:t xml:space="preserve"> </w:t>
      </w:r>
      <w:r w:rsidR="001D432A" w:rsidRPr="003E0C02">
        <w:rPr>
          <w:rFonts w:ascii="Book Antiqua" w:eastAsia="Book Antiqua" w:hAnsi="Book Antiqua" w:cs="Book Antiqua"/>
        </w:rPr>
        <w:t xml:space="preserve">bariatric surgery or not. </w:t>
      </w:r>
    </w:p>
    <w:p w14:paraId="53F9B431" w14:textId="77777777" w:rsidR="00A77B3E" w:rsidRPr="003E0C02" w:rsidRDefault="00A77B3E" w:rsidP="003E0C02">
      <w:pPr>
        <w:snapToGrid w:val="0"/>
        <w:spacing w:line="360" w:lineRule="auto"/>
        <w:ind w:firstLine="480"/>
        <w:jc w:val="both"/>
      </w:pPr>
    </w:p>
    <w:p w14:paraId="2D82A65A"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MATERIALS AND METHODS</w:t>
      </w:r>
    </w:p>
    <w:p w14:paraId="0834896A" w14:textId="77777777" w:rsidR="00A77B3E" w:rsidRPr="003E0C02" w:rsidRDefault="00AA1E93" w:rsidP="003E0C02">
      <w:pPr>
        <w:snapToGrid w:val="0"/>
        <w:spacing w:line="360" w:lineRule="auto"/>
        <w:jc w:val="both"/>
        <w:rPr>
          <w:b/>
          <w:i/>
        </w:rPr>
      </w:pPr>
      <w:r w:rsidRPr="003E0C02">
        <w:rPr>
          <w:rFonts w:ascii="Book Antiqua" w:eastAsia="Book Antiqua" w:hAnsi="Book Antiqua" w:cs="Book Antiqua"/>
          <w:b/>
          <w:i/>
        </w:rPr>
        <w:t>Data sources</w:t>
      </w:r>
    </w:p>
    <w:p w14:paraId="62885C41" w14:textId="4C645194" w:rsidR="00BB17D1" w:rsidRPr="003E0C02" w:rsidRDefault="00570C3A" w:rsidP="003E0C02">
      <w:pPr>
        <w:snapToGrid w:val="0"/>
        <w:spacing w:line="360" w:lineRule="auto"/>
        <w:jc w:val="both"/>
        <w:rPr>
          <w:rFonts w:ascii="Book Antiqua" w:eastAsia="Book Antiqua" w:hAnsi="Book Antiqua" w:cs="Book Antiqua"/>
        </w:rPr>
      </w:pPr>
      <w:r w:rsidRPr="003E0C02">
        <w:rPr>
          <w:rFonts w:ascii="Book Antiqua" w:eastAsia="Book Antiqua" w:hAnsi="Book Antiqua" w:cs="Book Antiqua"/>
        </w:rPr>
        <w:t xml:space="preserve">This study is </w:t>
      </w:r>
      <w:r w:rsidR="00AA1E93" w:rsidRPr="003E0C02">
        <w:rPr>
          <w:rFonts w:ascii="Book Antiqua" w:eastAsia="Book Antiqua" w:hAnsi="Book Antiqua" w:cs="Book Antiqua"/>
        </w:rPr>
        <w:t>a population-based cohort study</w:t>
      </w:r>
      <w:r w:rsidR="00653BAF" w:rsidRPr="003E0C02">
        <w:rPr>
          <w:rFonts w:ascii="Book Antiqua" w:eastAsia="Book Antiqua" w:hAnsi="Book Antiqua" w:cs="Book Antiqua"/>
        </w:rPr>
        <w:t xml:space="preserve"> in</w:t>
      </w:r>
      <w:r w:rsidR="00AA1E93" w:rsidRPr="003E0C02">
        <w:rPr>
          <w:rFonts w:ascii="Book Antiqua" w:eastAsia="Book Antiqua" w:hAnsi="Book Antiqua" w:cs="Book Antiqua"/>
        </w:rPr>
        <w:t xml:space="preserve"> </w:t>
      </w:r>
      <w:r w:rsidRPr="003E0C02">
        <w:rPr>
          <w:rFonts w:ascii="Book Antiqua" w:eastAsia="Book Antiqua" w:hAnsi="Book Antiqua" w:cs="Book Antiqua"/>
        </w:rPr>
        <w:t xml:space="preserve">which </w:t>
      </w:r>
      <w:r w:rsidR="001D432A" w:rsidRPr="003E0C02">
        <w:rPr>
          <w:rFonts w:ascii="Book Antiqua" w:eastAsia="Book Antiqua" w:hAnsi="Book Antiqua" w:cs="Book Antiqua"/>
        </w:rPr>
        <w:t>data w</w:t>
      </w:r>
      <w:r w:rsidR="00653BAF" w:rsidRPr="003E0C02">
        <w:rPr>
          <w:rFonts w:ascii="Book Antiqua" w:eastAsia="Book Antiqua" w:hAnsi="Book Antiqua" w:cs="Book Antiqua"/>
        </w:rPr>
        <w:t>ere</w:t>
      </w:r>
      <w:r w:rsidR="001D432A" w:rsidRPr="003E0C02">
        <w:rPr>
          <w:rFonts w:ascii="Book Antiqua" w:eastAsia="Book Antiqua" w:hAnsi="Book Antiqua" w:cs="Book Antiqua"/>
        </w:rPr>
        <w:t xml:space="preserve"> obtained </w:t>
      </w:r>
      <w:r w:rsidR="00AA1E93" w:rsidRPr="003E0C02">
        <w:rPr>
          <w:rFonts w:ascii="Book Antiqua" w:eastAsia="Book Antiqua" w:hAnsi="Book Antiqua" w:cs="Book Antiqua"/>
        </w:rPr>
        <w:t>from the NHIRD. The National Health Insurance</w:t>
      </w:r>
      <w:r w:rsidR="00D127AF" w:rsidRPr="003E0C02">
        <w:rPr>
          <w:rFonts w:ascii="Book Antiqua" w:eastAsia="Book Antiqua" w:hAnsi="Book Antiqua" w:cs="Book Antiqua"/>
        </w:rPr>
        <w:t xml:space="preserve"> </w:t>
      </w:r>
      <w:r w:rsidR="00926C46" w:rsidRPr="003E0C02">
        <w:rPr>
          <w:rFonts w:ascii="Book Antiqua" w:eastAsia="Book Antiqua" w:hAnsi="Book Antiqua" w:cs="Book Antiqua"/>
        </w:rPr>
        <w:t>(NHI)</w:t>
      </w:r>
      <w:r w:rsidR="00AA1E93" w:rsidRPr="003E0C02">
        <w:rPr>
          <w:rFonts w:ascii="Book Antiqua" w:eastAsia="Book Antiqua" w:hAnsi="Book Antiqua" w:cs="Book Antiqua"/>
        </w:rPr>
        <w:t xml:space="preserve"> </w:t>
      </w:r>
      <w:r w:rsidR="000A126C" w:rsidRPr="003E0C02">
        <w:rPr>
          <w:rFonts w:ascii="Book Antiqua" w:eastAsia="Book Antiqua" w:hAnsi="Book Antiqua" w:cs="Book Antiqua"/>
        </w:rPr>
        <w:t xml:space="preserve">provided coverage for </w:t>
      </w:r>
      <w:r w:rsidR="004302B1" w:rsidRPr="003E0C02">
        <w:rPr>
          <w:rFonts w:ascii="Book Antiqua" w:eastAsia="Book Antiqua" w:hAnsi="Book Antiqua" w:cs="Book Antiqua"/>
        </w:rPr>
        <w:t>approximately 99.2% of the Taiwan population</w:t>
      </w:r>
      <w:r w:rsidR="00D127AF" w:rsidRPr="003E0C02">
        <w:rPr>
          <w:rFonts w:ascii="Book Antiqua" w:eastAsia="Book Antiqua" w:hAnsi="Book Antiqua" w:cs="Book Antiqua"/>
        </w:rPr>
        <w:t xml:space="preserve"> </w:t>
      </w:r>
      <w:r w:rsidR="004302B1" w:rsidRPr="003E0C02">
        <w:rPr>
          <w:rFonts w:ascii="Book Antiqua" w:eastAsia="Book Antiqua" w:hAnsi="Book Antiqua" w:cs="Book Antiqua"/>
        </w:rPr>
        <w:t>(</w:t>
      </w:r>
      <w:r w:rsidR="000A126C" w:rsidRPr="003E0C02">
        <w:rPr>
          <w:rFonts w:ascii="Book Antiqua" w:eastAsia="Book Antiqua" w:hAnsi="Book Antiqua" w:cs="Book Antiqua"/>
        </w:rPr>
        <w:t>more than 23.03 million residents</w:t>
      </w:r>
      <w:r w:rsidR="004302B1" w:rsidRPr="003E0C02">
        <w:rPr>
          <w:rFonts w:ascii="Book Antiqua" w:eastAsia="Book Antiqua" w:hAnsi="Book Antiqua" w:cs="Book Antiqua"/>
        </w:rPr>
        <w:t xml:space="preserve">). </w:t>
      </w:r>
      <w:r w:rsidR="00332FD7" w:rsidRPr="003E0C02">
        <w:rPr>
          <w:rFonts w:ascii="Book Antiqua" w:eastAsia="Book Antiqua" w:hAnsi="Book Antiqua" w:cs="Book Antiqua"/>
        </w:rPr>
        <w:t xml:space="preserve">The </w:t>
      </w:r>
      <w:r w:rsidR="00BB17D1" w:rsidRPr="003E0C02">
        <w:rPr>
          <w:rFonts w:ascii="Book Antiqua" w:eastAsia="Book Antiqua" w:hAnsi="Book Antiqua" w:cs="Book Antiqua"/>
        </w:rPr>
        <w:t>NHI</w:t>
      </w:r>
      <w:r w:rsidR="00332FD7" w:rsidRPr="003E0C02">
        <w:rPr>
          <w:rFonts w:ascii="Book Antiqua" w:eastAsia="Book Antiqua" w:hAnsi="Book Antiqua" w:cs="Book Antiqua"/>
        </w:rPr>
        <w:t xml:space="preserve"> </w:t>
      </w:r>
      <w:r w:rsidR="00BB17D1" w:rsidRPr="003E0C02">
        <w:rPr>
          <w:rFonts w:ascii="Book Antiqua" w:eastAsia="Book Antiqua" w:hAnsi="Book Antiqua" w:cs="Book Antiqua"/>
        </w:rPr>
        <w:t xml:space="preserve">is </w:t>
      </w:r>
      <w:r w:rsidR="00332FD7" w:rsidRPr="003E0C02">
        <w:rPr>
          <w:rFonts w:ascii="Book Antiqua" w:eastAsia="Book Antiqua" w:hAnsi="Book Antiqua" w:cs="Book Antiqua"/>
        </w:rPr>
        <w:t>managed</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by the National Health Insurance Administration (NHIA)</w:t>
      </w:r>
      <w:r w:rsidR="00740098" w:rsidRPr="003E0C02">
        <w:rPr>
          <w:rFonts w:ascii="Book Antiqua" w:eastAsia="Book Antiqua" w:hAnsi="Book Antiqua" w:cs="Book Antiqua"/>
        </w:rPr>
        <w:t xml:space="preserve"> since</w:t>
      </w:r>
      <w:r w:rsidR="00332FD7" w:rsidRPr="003E0C02">
        <w:rPr>
          <w:rFonts w:ascii="Book Antiqua" w:eastAsia="Book Antiqua" w:hAnsi="Book Antiqua" w:cs="Book Antiqua"/>
        </w:rPr>
        <w:t xml:space="preserve"> 1995</w:t>
      </w:r>
      <w:r w:rsidR="00B2702D" w:rsidRPr="003E0C02">
        <w:rPr>
          <w:rFonts w:ascii="Book Antiqua" w:eastAsia="Book Antiqua" w:hAnsi="Book Antiqua" w:cs="Book Antiqua"/>
        </w:rPr>
        <w:t xml:space="preserve">. </w:t>
      </w:r>
      <w:bookmarkStart w:id="5" w:name="_Hlk50182257"/>
    </w:p>
    <w:p w14:paraId="24482506" w14:textId="3F9A7BB9" w:rsidR="00C91612" w:rsidRDefault="00BB17D1" w:rsidP="00283869">
      <w:pPr>
        <w:snapToGrid w:val="0"/>
        <w:spacing w:line="360" w:lineRule="auto"/>
        <w:ind w:firstLine="240"/>
        <w:jc w:val="both"/>
      </w:pPr>
      <w:r w:rsidRPr="003E0C02">
        <w:rPr>
          <w:rFonts w:ascii="Book Antiqua" w:eastAsia="Book Antiqua" w:hAnsi="Book Antiqua" w:cs="Book Antiqua"/>
        </w:rPr>
        <w:t>The National Health Research Institute (NHRI) obtained the identification-encrypted data f</w:t>
      </w:r>
      <w:r w:rsidR="00B86888" w:rsidRPr="003E0C02">
        <w:rPr>
          <w:rFonts w:ascii="Book Antiqua" w:eastAsia="Book Antiqua" w:hAnsi="Book Antiqua" w:cs="Book Antiqua"/>
        </w:rPr>
        <w:t>ro</w:t>
      </w:r>
      <w:r w:rsidRPr="003E0C02">
        <w:rPr>
          <w:rFonts w:ascii="Book Antiqua" w:eastAsia="Book Antiqua" w:hAnsi="Book Antiqua" w:cs="Book Antiqua"/>
        </w:rPr>
        <w:t>m NHIA and established the NHIRD.</w:t>
      </w:r>
      <w:bookmarkEnd w:id="5"/>
      <w:r w:rsidR="00AA1E93" w:rsidRPr="003E0C02">
        <w:rPr>
          <w:rFonts w:ascii="Book Antiqua" w:eastAsia="Book Antiqua" w:hAnsi="Book Antiqua" w:cs="Book Antiqua"/>
        </w:rPr>
        <w:t xml:space="preserve"> The Longitudinal Health Insurance Database 2000 (LHID2000), which was used in this study, </w:t>
      </w:r>
      <w:r w:rsidR="005A4203" w:rsidRPr="003E0C02">
        <w:rPr>
          <w:rFonts w:ascii="Book Antiqua" w:eastAsia="Book Antiqua" w:hAnsi="Book Antiqua" w:cs="Book Antiqua"/>
        </w:rPr>
        <w:t xml:space="preserve">comprised </w:t>
      </w:r>
      <w:r w:rsidR="00892B0D" w:rsidRPr="003E0C02">
        <w:rPr>
          <w:rFonts w:ascii="Book Antiqua" w:eastAsia="Book Antiqua" w:hAnsi="Book Antiqua" w:cs="Book Antiqua"/>
        </w:rPr>
        <w:t xml:space="preserve">1 million randomly sampled </w:t>
      </w:r>
      <w:r w:rsidR="00AA1E93" w:rsidRPr="003E0C02">
        <w:rPr>
          <w:rFonts w:ascii="Book Antiqua" w:eastAsia="Book Antiqua" w:hAnsi="Book Antiqua" w:cs="Book Antiqua"/>
        </w:rPr>
        <w:t xml:space="preserve">medical information from the registry of all beneficiaries in 2000. </w:t>
      </w:r>
      <w:r w:rsidR="005A4203" w:rsidRPr="003E0C02">
        <w:rPr>
          <w:rFonts w:ascii="Book Antiqua" w:eastAsia="Book Antiqua" w:hAnsi="Book Antiqua" w:cs="Book Antiqua"/>
        </w:rPr>
        <w:t>There was no significant difference in</w:t>
      </w:r>
      <w:r w:rsidR="00E7097F" w:rsidRPr="003E0C02">
        <w:rPr>
          <w:rFonts w:ascii="Book Antiqua" w:hAnsi="Book Antiqua" w:cs="Book Antiqua"/>
          <w:lang w:eastAsia="zh-CN"/>
        </w:rPr>
        <w:t xml:space="preserve"> </w:t>
      </w:r>
      <w:r w:rsidR="00222D68" w:rsidRPr="003E0C02">
        <w:rPr>
          <w:rFonts w:ascii="Book Antiqua" w:eastAsia="Book Antiqua" w:hAnsi="Book Antiqua" w:cs="Book Antiqua"/>
        </w:rPr>
        <w:t>age- and gender-</w:t>
      </w:r>
      <w:r w:rsidR="00AA1E93" w:rsidRPr="003E0C02">
        <w:rPr>
          <w:rFonts w:ascii="Book Antiqua" w:eastAsia="Book Antiqua" w:hAnsi="Book Antiqua" w:cs="Book Antiqua"/>
        </w:rPr>
        <w:t xml:space="preserve">distributions </w:t>
      </w:r>
      <w:r w:rsidR="00222D68" w:rsidRPr="003E0C02">
        <w:rPr>
          <w:rFonts w:ascii="Book Antiqua" w:eastAsia="Book Antiqua" w:hAnsi="Book Antiqua" w:cs="Book Antiqua"/>
        </w:rPr>
        <w:t>between the data in the LHID2000 and the original NHIRD</w:t>
      </w:r>
      <w:r w:rsidR="00AA1E93" w:rsidRPr="003E0C02">
        <w:rPr>
          <w:rFonts w:ascii="Book Antiqua" w:eastAsia="Book Antiqua" w:hAnsi="Book Antiqua" w:cs="Book Antiqua"/>
        </w:rPr>
        <w:t xml:space="preserve">. The </w:t>
      </w:r>
      <w:r w:rsidR="006140F8" w:rsidRPr="003E0C02">
        <w:rPr>
          <w:rFonts w:ascii="Book Antiqua" w:eastAsia="Book Antiqua" w:hAnsi="Book Antiqua" w:cs="Book Antiqua"/>
        </w:rPr>
        <w:t xml:space="preserve">diagnosis code of </w:t>
      </w:r>
      <w:r w:rsidR="00AA1E93" w:rsidRPr="003E0C02">
        <w:rPr>
          <w:rFonts w:ascii="Book Antiqua" w:eastAsia="Book Antiqua" w:hAnsi="Book Antiqua" w:cs="Book Antiqua"/>
        </w:rPr>
        <w:t>International Classification of Diseases, Ninth Revision, Clinical Modification (ICD-9-CM) codes were used.</w:t>
      </w:r>
    </w:p>
    <w:p w14:paraId="7EC110DF" w14:textId="40F6D530" w:rsidR="00A77B3E" w:rsidRPr="003E0C02" w:rsidRDefault="006140F8" w:rsidP="003E0C02">
      <w:pPr>
        <w:snapToGrid w:val="0"/>
        <w:spacing w:line="360" w:lineRule="auto"/>
        <w:ind w:firstLine="240"/>
        <w:jc w:val="both"/>
      </w:pPr>
      <w:r w:rsidRPr="003E0C02">
        <w:rPr>
          <w:rFonts w:ascii="Book Antiqua" w:eastAsia="Book Antiqua" w:hAnsi="Book Antiqua" w:cs="Book Antiqua"/>
        </w:rPr>
        <w:lastRenderedPageBreak/>
        <w:t>The</w:t>
      </w:r>
      <w:r w:rsidR="00BA3260" w:rsidRPr="003E0C02">
        <w:rPr>
          <w:rFonts w:ascii="Book Antiqua" w:eastAsia="Book Antiqua" w:hAnsi="Book Antiqua" w:cs="Book Antiqua"/>
        </w:rPr>
        <w:t>se data of</w:t>
      </w:r>
      <w:r w:rsidR="00E7097F" w:rsidRPr="003E0C02">
        <w:rPr>
          <w:rFonts w:ascii="Book Antiqua" w:hAnsi="Book Antiqua" w:cs="Book Antiqua"/>
          <w:lang w:eastAsia="zh-CN"/>
        </w:rPr>
        <w:t xml:space="preserve"> </w:t>
      </w:r>
      <w:r w:rsidRPr="003E0C02">
        <w:rPr>
          <w:rFonts w:ascii="Book Antiqua" w:eastAsia="Book Antiqua" w:hAnsi="Book Antiqua" w:cs="Book Antiqua"/>
        </w:rPr>
        <w:t xml:space="preserve">NHIRD </w:t>
      </w:r>
      <w:r w:rsidR="00653BAF" w:rsidRPr="003E0C02">
        <w:rPr>
          <w:rFonts w:ascii="Book Antiqua" w:eastAsia="Book Antiqua" w:hAnsi="Book Antiqua" w:cs="Book Antiqua"/>
        </w:rPr>
        <w:t xml:space="preserve">were </w:t>
      </w:r>
      <w:r w:rsidR="00BA3260" w:rsidRPr="003E0C02">
        <w:rPr>
          <w:rFonts w:ascii="Book Antiqua" w:eastAsia="Book Antiqua" w:hAnsi="Book Antiqua" w:cs="Book Antiqua"/>
        </w:rPr>
        <w:t xml:space="preserve">all </w:t>
      </w:r>
      <w:r w:rsidRPr="003E0C02">
        <w:rPr>
          <w:rFonts w:ascii="Book Antiqua" w:eastAsia="Book Antiqua" w:hAnsi="Book Antiqua" w:cs="Book Antiqua"/>
        </w:rPr>
        <w:t xml:space="preserve">de-identified </w:t>
      </w:r>
      <w:r w:rsidR="00BA3260" w:rsidRPr="003E0C02">
        <w:rPr>
          <w:rFonts w:ascii="Book Antiqua" w:eastAsia="Book Antiqua" w:hAnsi="Book Antiqua" w:cs="Book Antiqua"/>
        </w:rPr>
        <w:t>by obfuscat</w:t>
      </w:r>
      <w:r w:rsidR="00653BAF" w:rsidRPr="003E0C02">
        <w:rPr>
          <w:rFonts w:ascii="Book Antiqua" w:eastAsia="Book Antiqua" w:hAnsi="Book Antiqua" w:cs="Book Antiqua"/>
        </w:rPr>
        <w:t>ing</w:t>
      </w:r>
      <w:r w:rsidR="00BA3260" w:rsidRPr="003E0C02">
        <w:rPr>
          <w:rFonts w:ascii="Book Antiqua" w:eastAsia="Book Antiqua" w:hAnsi="Book Antiqua" w:cs="Book Antiqua"/>
        </w:rPr>
        <w:t xml:space="preserve"> </w:t>
      </w:r>
      <w:r w:rsidRPr="003E0C02">
        <w:rPr>
          <w:rFonts w:ascii="Book Antiqua" w:eastAsia="Book Antiqua" w:hAnsi="Book Antiqua" w:cs="Book Antiqua"/>
        </w:rPr>
        <w:t xml:space="preserve">the </w:t>
      </w:r>
      <w:r w:rsidR="00BA3260" w:rsidRPr="003E0C02">
        <w:rPr>
          <w:rFonts w:ascii="Book Antiqua" w:eastAsia="Book Antiqua" w:hAnsi="Book Antiqua" w:cs="Book Antiqua"/>
        </w:rPr>
        <w:t xml:space="preserve">information about </w:t>
      </w:r>
      <w:r w:rsidRPr="003E0C02">
        <w:rPr>
          <w:rFonts w:ascii="Book Antiqua" w:eastAsia="Book Antiqua" w:hAnsi="Book Antiqua" w:cs="Book Antiqua"/>
        </w:rPr>
        <w:t>patients and medical facilities</w:t>
      </w:r>
      <w:r w:rsidR="004215B1" w:rsidRPr="003E0C02">
        <w:rPr>
          <w:rFonts w:ascii="Book Antiqua" w:eastAsia="Book Antiqua" w:hAnsi="Book Antiqua" w:cs="Book Antiqua"/>
        </w:rPr>
        <w:t xml:space="preserve"> to ensure privacy</w:t>
      </w:r>
      <w:r w:rsidR="00BA3260" w:rsidRPr="003E0C02">
        <w:rPr>
          <w:rFonts w:ascii="Book Antiqua" w:eastAsia="Book Antiqua" w:hAnsi="Book Antiqua" w:cs="Book Antiqua"/>
        </w:rPr>
        <w:t>.</w:t>
      </w:r>
      <w:r w:rsidRPr="003E0C02">
        <w:rPr>
          <w:rFonts w:ascii="Book Antiqua" w:eastAsia="Book Antiqua" w:hAnsi="Book Antiqua" w:cs="Book Antiqua"/>
        </w:rPr>
        <w:t xml:space="preserve"> </w:t>
      </w:r>
      <w:r w:rsidR="00BA3260" w:rsidRPr="003E0C02">
        <w:rPr>
          <w:rFonts w:ascii="Book Antiqua" w:eastAsia="Book Antiqua" w:hAnsi="Book Antiqua" w:cs="Book Antiqua"/>
        </w:rPr>
        <w:t xml:space="preserve">Moreover, </w:t>
      </w:r>
      <w:r w:rsidR="00AA1E93" w:rsidRPr="003E0C02">
        <w:rPr>
          <w:rFonts w:ascii="Book Antiqua" w:eastAsia="Book Antiqua" w:hAnsi="Book Antiqua" w:cs="Book Antiqua"/>
        </w:rPr>
        <w:t>data confidentiality is maintained in accordance with the data regulations</w:t>
      </w:r>
      <w:r w:rsidR="00E24AB6" w:rsidRPr="003E0C02">
        <w:rPr>
          <w:rFonts w:ascii="Book Antiqua" w:eastAsia="Book Antiqua" w:hAnsi="Book Antiqua" w:cs="Book Antiqua"/>
        </w:rPr>
        <w:t xml:space="preserve"> of NHIA and NHRI</w:t>
      </w:r>
      <w:r w:rsidR="00AA1E93" w:rsidRPr="003E0C02">
        <w:rPr>
          <w:rFonts w:ascii="Book Antiqua" w:eastAsia="Book Antiqua" w:hAnsi="Book Antiqua" w:cs="Book Antiqua"/>
        </w:rPr>
        <w:t xml:space="preserve">. Because the NHIRD </w:t>
      </w:r>
      <w:r w:rsidR="00E24AB6" w:rsidRPr="003E0C02">
        <w:rPr>
          <w:rFonts w:ascii="Book Antiqua" w:eastAsia="Book Antiqua" w:hAnsi="Book Antiqua" w:cs="Book Antiqua"/>
        </w:rPr>
        <w:t>comprises</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 xml:space="preserve">de-identified secondary data for research, </w:t>
      </w:r>
      <w:r w:rsidR="00A40B35" w:rsidRPr="003E0C02">
        <w:rPr>
          <w:rFonts w:ascii="Book Antiqua" w:eastAsia="Book Antiqua" w:hAnsi="Book Antiqua" w:cs="Book Antiqua"/>
        </w:rPr>
        <w:t xml:space="preserve">informed consent from subjects was waived because anonymous data were used. </w:t>
      </w:r>
      <w:r w:rsidRPr="003E0C02">
        <w:rPr>
          <w:rFonts w:ascii="Book Antiqua" w:eastAsia="Book Antiqua" w:hAnsi="Book Antiqua" w:cs="Book Antiqua"/>
        </w:rPr>
        <w:t xml:space="preserve">Furthermore, </w:t>
      </w:r>
      <w:r w:rsidR="00AA1E93" w:rsidRPr="003E0C02">
        <w:rPr>
          <w:rFonts w:ascii="Book Antiqua" w:eastAsia="Book Antiqua" w:hAnsi="Book Antiqua" w:cs="Book Antiqua"/>
        </w:rPr>
        <w:t>the Institutional Review Board of China Medical University (CMUH104-REC2-115)</w:t>
      </w:r>
      <w:r w:rsidR="00F033EB" w:rsidRPr="003E0C02">
        <w:rPr>
          <w:rFonts w:ascii="Book Antiqua" w:eastAsia="Book Antiqua" w:hAnsi="Book Antiqua" w:cs="Book Antiqua"/>
        </w:rPr>
        <w:t xml:space="preserve"> approved this study</w:t>
      </w:r>
      <w:r w:rsidR="00AA1E93" w:rsidRPr="003E0C02">
        <w:rPr>
          <w:rFonts w:ascii="Book Antiqua" w:eastAsia="Book Antiqua" w:hAnsi="Book Antiqua" w:cs="Book Antiqua"/>
        </w:rPr>
        <w:t>.</w:t>
      </w:r>
    </w:p>
    <w:p w14:paraId="4FB135F8" w14:textId="77777777" w:rsidR="00A77B3E" w:rsidRPr="003E0C02" w:rsidRDefault="00A77B3E" w:rsidP="003E0C02">
      <w:pPr>
        <w:snapToGrid w:val="0"/>
        <w:spacing w:line="360" w:lineRule="auto"/>
        <w:ind w:firstLine="240"/>
        <w:jc w:val="both"/>
      </w:pPr>
    </w:p>
    <w:p w14:paraId="5C7047C7" w14:textId="77777777" w:rsidR="00A77B3E" w:rsidRPr="003E0C02" w:rsidRDefault="00AA1E93" w:rsidP="003E0C02">
      <w:pPr>
        <w:snapToGrid w:val="0"/>
        <w:spacing w:line="360" w:lineRule="auto"/>
        <w:jc w:val="both"/>
        <w:rPr>
          <w:b/>
          <w:i/>
        </w:rPr>
      </w:pPr>
      <w:r w:rsidRPr="003E0C02">
        <w:rPr>
          <w:rFonts w:ascii="Book Antiqua" w:eastAsia="Book Antiqua" w:hAnsi="Book Antiqua" w:cs="Book Antiqua"/>
          <w:b/>
          <w:i/>
        </w:rPr>
        <w:t>Study population and outcomes</w:t>
      </w:r>
    </w:p>
    <w:p w14:paraId="5A7E9195" w14:textId="2748909D" w:rsidR="00A77B3E" w:rsidRPr="003E0C02" w:rsidRDefault="00AA1E93" w:rsidP="003E0C02">
      <w:pPr>
        <w:snapToGrid w:val="0"/>
        <w:spacing w:line="360" w:lineRule="auto"/>
        <w:jc w:val="both"/>
        <w:rPr>
          <w:rFonts w:ascii="Book Antiqua" w:eastAsia="Book Antiqua" w:hAnsi="Book Antiqua" w:cs="Book Antiqua"/>
        </w:rPr>
      </w:pPr>
      <w:r w:rsidRPr="003E0C02">
        <w:rPr>
          <w:rFonts w:ascii="Book Antiqua" w:eastAsia="Book Antiqua" w:hAnsi="Book Antiqua" w:cs="Book Antiqua"/>
        </w:rPr>
        <w:t xml:space="preserve">Patients </w:t>
      </w:r>
      <w:r w:rsidR="00F033EB" w:rsidRPr="003E0C02">
        <w:rPr>
          <w:rFonts w:ascii="Book Antiqua" w:eastAsia="Book Antiqua" w:hAnsi="Book Antiqua" w:cs="Book Antiqua"/>
        </w:rPr>
        <w:t xml:space="preserve">who </w:t>
      </w:r>
      <w:r w:rsidR="00653BAF" w:rsidRPr="003E0C02">
        <w:rPr>
          <w:rFonts w:ascii="Book Antiqua" w:eastAsia="Book Antiqua" w:hAnsi="Book Antiqua" w:cs="Book Antiqua"/>
        </w:rPr>
        <w:t xml:space="preserve">were </w:t>
      </w:r>
      <w:r w:rsidRPr="003E0C02">
        <w:rPr>
          <w:rFonts w:ascii="Book Antiqua" w:eastAsia="Book Antiqua" w:hAnsi="Book Antiqua" w:cs="Book Antiqua"/>
        </w:rPr>
        <w:t xml:space="preserve">diagnosed with morbid obesity (ICD-9-CM, 278.01) </w:t>
      </w:r>
      <w:r w:rsidR="00F033EB" w:rsidRPr="003E0C02">
        <w:rPr>
          <w:rFonts w:ascii="Book Antiqua" w:eastAsia="Book Antiqua" w:hAnsi="Book Antiqua" w:cs="Book Antiqua"/>
        </w:rPr>
        <w:t>with age ≥</w:t>
      </w:r>
      <w:r w:rsidR="00F033EB" w:rsidRPr="003E0C02">
        <w:rPr>
          <w:rFonts w:ascii="Book Antiqua" w:hAnsi="Book Antiqua" w:cs="Book Antiqua"/>
          <w:lang w:eastAsia="zh-CN"/>
        </w:rPr>
        <w:t xml:space="preserve"> </w:t>
      </w:r>
      <w:r w:rsidR="00F033EB" w:rsidRPr="003E0C02">
        <w:rPr>
          <w:rFonts w:ascii="Book Antiqua" w:eastAsia="Book Antiqua" w:hAnsi="Book Antiqua" w:cs="Book Antiqua"/>
        </w:rPr>
        <w:t>20 years and &lt;</w:t>
      </w:r>
      <w:r w:rsidR="00F033EB" w:rsidRPr="003E0C02">
        <w:rPr>
          <w:rFonts w:ascii="Book Antiqua" w:hAnsi="Book Antiqua" w:cs="Book Antiqua"/>
          <w:lang w:eastAsia="zh-CN"/>
        </w:rPr>
        <w:t xml:space="preserve"> </w:t>
      </w:r>
      <w:r w:rsidR="00F033EB" w:rsidRPr="003E0C02">
        <w:rPr>
          <w:rFonts w:ascii="Book Antiqua" w:eastAsia="Book Antiqua" w:hAnsi="Book Antiqua" w:cs="Book Antiqua"/>
        </w:rPr>
        <w:t xml:space="preserve">100 years </w:t>
      </w:r>
      <w:r w:rsidR="00601A4A" w:rsidRPr="003E0C02">
        <w:rPr>
          <w:rFonts w:ascii="Book Antiqua" w:eastAsia="Book Antiqua" w:hAnsi="Book Antiqua" w:cs="Book Antiqua"/>
        </w:rPr>
        <w:t xml:space="preserve">and </w:t>
      </w:r>
      <w:r w:rsidR="006B337A" w:rsidRPr="003E0C02">
        <w:rPr>
          <w:rFonts w:ascii="Book Antiqua" w:eastAsia="Book Antiqua" w:hAnsi="Book Antiqua" w:cs="Book Antiqua"/>
        </w:rPr>
        <w:t xml:space="preserve">received </w:t>
      </w:r>
      <w:r w:rsidRPr="003E0C02">
        <w:rPr>
          <w:rFonts w:ascii="Book Antiqua" w:eastAsia="Book Antiqua" w:hAnsi="Book Antiqua" w:cs="Book Antiqua"/>
        </w:rPr>
        <w:t>bariatric surgery (ICD-9-CM,</w:t>
      </w:r>
      <w:r w:rsidR="00F033EB" w:rsidRPr="003E0C02">
        <w:rPr>
          <w:rFonts w:ascii="Book Antiqua" w:eastAsia="Book Antiqua" w:hAnsi="Book Antiqua" w:cs="Book Antiqua"/>
        </w:rPr>
        <w:t xml:space="preserve"> 44.99, 44.95, 44.68, 44.39, 44.38, 44.31, 43.89, and 43.82</w:t>
      </w:r>
      <w:r w:rsidRPr="003E0C02">
        <w:rPr>
          <w:rFonts w:ascii="Book Antiqua" w:eastAsia="Book Antiqua" w:hAnsi="Book Antiqua" w:cs="Book Antiqua"/>
        </w:rPr>
        <w:t xml:space="preserve">) between </w:t>
      </w:r>
      <w:r w:rsidR="00B00511" w:rsidRPr="003E0C02">
        <w:rPr>
          <w:rFonts w:ascii="Book Antiqua" w:eastAsia="Book Antiqua" w:hAnsi="Book Antiqua" w:cs="Book Antiqua"/>
        </w:rPr>
        <w:t xml:space="preserve">study period </w:t>
      </w:r>
      <w:r w:rsidR="00222D68" w:rsidRPr="003E0C02">
        <w:rPr>
          <w:rFonts w:ascii="Book Antiqua" w:eastAsia="Book Antiqua" w:hAnsi="Book Antiqua" w:cs="Book Antiqua"/>
        </w:rPr>
        <w:t>Jan</w:t>
      </w:r>
      <w:r w:rsidR="00653BAF" w:rsidRPr="003E0C02">
        <w:rPr>
          <w:rFonts w:ascii="Book Antiqua" w:eastAsia="Book Antiqua" w:hAnsi="Book Antiqua" w:cs="Book Antiqua"/>
        </w:rPr>
        <w:t>uary</w:t>
      </w:r>
      <w:r w:rsidR="00222D68" w:rsidRPr="003E0C02">
        <w:rPr>
          <w:rFonts w:ascii="Book Antiqua" w:eastAsia="Book Antiqua" w:hAnsi="Book Antiqua" w:cs="Book Antiqua"/>
        </w:rPr>
        <w:t xml:space="preserve"> </w:t>
      </w:r>
      <w:r w:rsidRPr="003E0C02">
        <w:rPr>
          <w:rFonts w:ascii="Book Antiqua" w:eastAsia="Book Antiqua" w:hAnsi="Book Antiqua" w:cs="Book Antiqua"/>
        </w:rPr>
        <w:t xml:space="preserve">1, 2000 </w:t>
      </w:r>
      <w:r w:rsidR="00B00511" w:rsidRPr="003E0C02">
        <w:rPr>
          <w:rFonts w:ascii="Book Antiqua" w:eastAsia="Book Antiqua" w:hAnsi="Book Antiqua" w:cs="Book Antiqua"/>
        </w:rPr>
        <w:t xml:space="preserve">to </w:t>
      </w:r>
      <w:r w:rsidR="00222D68" w:rsidRPr="003E0C02">
        <w:rPr>
          <w:rFonts w:ascii="Book Antiqua" w:eastAsia="Book Antiqua" w:hAnsi="Book Antiqua" w:cs="Book Antiqua"/>
        </w:rPr>
        <w:t>Dec</w:t>
      </w:r>
      <w:r w:rsidR="00653BAF" w:rsidRPr="003E0C02">
        <w:rPr>
          <w:rFonts w:ascii="Book Antiqua" w:eastAsia="Book Antiqua" w:hAnsi="Book Antiqua" w:cs="Book Antiqua"/>
        </w:rPr>
        <w:t>ember</w:t>
      </w:r>
      <w:r w:rsidR="00222D68" w:rsidRPr="003E0C02">
        <w:rPr>
          <w:rFonts w:ascii="Book Antiqua" w:eastAsia="Book Antiqua" w:hAnsi="Book Antiqua" w:cs="Book Antiqua"/>
        </w:rPr>
        <w:t xml:space="preserve"> </w:t>
      </w:r>
      <w:r w:rsidRPr="003E0C02">
        <w:rPr>
          <w:rFonts w:ascii="Book Antiqua" w:eastAsia="Book Antiqua" w:hAnsi="Book Antiqua" w:cs="Book Antiqua"/>
        </w:rPr>
        <w:t xml:space="preserve">31, 2010 were recruited. </w:t>
      </w:r>
      <w:r w:rsidR="00F04FE3" w:rsidRPr="003E0C02">
        <w:rPr>
          <w:rFonts w:ascii="Book Antiqua" w:eastAsia="Book Antiqua" w:hAnsi="Book Antiqua" w:cs="Book Antiqua"/>
        </w:rPr>
        <w:t>Furthermore, we excluded morbidly obese patients who receiv</w:t>
      </w:r>
      <w:r w:rsidR="004215B1" w:rsidRPr="003E0C02">
        <w:rPr>
          <w:rFonts w:ascii="Book Antiqua" w:eastAsia="Book Antiqua" w:hAnsi="Book Antiqua" w:cs="Book Antiqua"/>
        </w:rPr>
        <w:t>ing</w:t>
      </w:r>
      <w:r w:rsidR="00F04FE3" w:rsidRPr="003E0C02">
        <w:rPr>
          <w:rFonts w:ascii="Book Antiqua" w:eastAsia="Book Antiqua" w:hAnsi="Book Antiqua" w:cs="Book Antiqua"/>
        </w:rPr>
        <w:t xml:space="preserve"> surgery </w:t>
      </w:r>
      <w:r w:rsidR="0027767D" w:rsidRPr="003E0C02">
        <w:rPr>
          <w:rFonts w:ascii="Book Antiqua" w:eastAsia="Book Antiqua" w:hAnsi="Book Antiqua" w:cs="Book Antiqua"/>
        </w:rPr>
        <w:t xml:space="preserve">before obesity diagnosed data, patients who received surgery </w:t>
      </w:r>
      <w:r w:rsidR="00F04FE3" w:rsidRPr="003E0C02">
        <w:rPr>
          <w:rFonts w:ascii="Book Antiqua" w:eastAsia="Book Antiqua" w:hAnsi="Book Antiqua" w:cs="Book Antiqua"/>
        </w:rPr>
        <w:t>out of period between 2000 to 2010, patient</w:t>
      </w:r>
      <w:r w:rsidR="00653BAF" w:rsidRPr="003E0C02">
        <w:rPr>
          <w:rFonts w:ascii="Book Antiqua" w:eastAsia="Book Antiqua" w:hAnsi="Book Antiqua" w:cs="Book Antiqua"/>
        </w:rPr>
        <w:t>s</w:t>
      </w:r>
      <w:r w:rsidR="00F04FE3" w:rsidRPr="003E0C02">
        <w:rPr>
          <w:rFonts w:ascii="Book Antiqua" w:eastAsia="Book Antiqua" w:hAnsi="Book Antiqua" w:cs="Book Antiqua"/>
        </w:rPr>
        <w:t xml:space="preserve"> with diagnosed date of anemia before the index date, those </w:t>
      </w:r>
      <w:r w:rsidR="006342D7" w:rsidRPr="003E0C02">
        <w:rPr>
          <w:rFonts w:ascii="Book Antiqua" w:eastAsia="Book Antiqua" w:hAnsi="Book Antiqua" w:cs="Book Antiqua"/>
        </w:rPr>
        <w:t>aged &lt;</w:t>
      </w:r>
      <w:r w:rsidR="009D3845" w:rsidRPr="003E0C02">
        <w:rPr>
          <w:rFonts w:ascii="Book Antiqua" w:eastAsia="Book Antiqua" w:hAnsi="Book Antiqua" w:cs="Book Antiqua"/>
        </w:rPr>
        <w:t xml:space="preserve"> </w:t>
      </w:r>
      <w:r w:rsidR="006342D7" w:rsidRPr="003E0C02">
        <w:rPr>
          <w:rFonts w:ascii="Book Antiqua" w:eastAsia="Book Antiqua" w:hAnsi="Book Antiqua" w:cs="Book Antiqua"/>
        </w:rPr>
        <w:t>20 y</w:t>
      </w:r>
      <w:r w:rsidR="00F04FE3" w:rsidRPr="003E0C02">
        <w:rPr>
          <w:rFonts w:ascii="Book Antiqua" w:eastAsia="Book Antiqua" w:hAnsi="Book Antiqua" w:cs="Book Antiqua"/>
        </w:rPr>
        <w:t xml:space="preserve">ears or </w:t>
      </w:r>
      <w:r w:rsidR="006342D7" w:rsidRPr="003E0C02">
        <w:rPr>
          <w:rFonts w:ascii="Book Antiqua" w:eastAsia="Book Antiqua" w:hAnsi="Book Antiqua" w:cs="Book Antiqua"/>
        </w:rPr>
        <w:t>≥</w:t>
      </w:r>
      <w:r w:rsidR="006342D7" w:rsidRPr="003E0C02">
        <w:rPr>
          <w:rFonts w:ascii="Book Antiqua" w:hAnsi="Book Antiqua" w:cs="Book Antiqua"/>
          <w:lang w:eastAsia="zh-CN"/>
        </w:rPr>
        <w:t xml:space="preserve"> 100 years</w:t>
      </w:r>
      <w:r w:rsidR="00F04FE3" w:rsidRPr="003E0C02">
        <w:rPr>
          <w:rFonts w:ascii="Book Antiqua" w:eastAsia="Book Antiqua" w:hAnsi="Book Antiqua" w:cs="Book Antiqua"/>
        </w:rPr>
        <w:t xml:space="preserve">, and those with missing information </w:t>
      </w:r>
      <w:r w:rsidR="00740098" w:rsidRPr="003E0C02">
        <w:rPr>
          <w:rFonts w:ascii="Book Antiqua" w:eastAsia="Book Antiqua" w:hAnsi="Book Antiqua" w:cs="Book Antiqua"/>
        </w:rPr>
        <w:t>of</w:t>
      </w:r>
      <w:r w:rsidR="00F04FE3" w:rsidRPr="003E0C02">
        <w:rPr>
          <w:rFonts w:ascii="Book Antiqua" w:eastAsia="Book Antiqua" w:hAnsi="Book Antiqua" w:cs="Book Antiqua"/>
        </w:rPr>
        <w:t xml:space="preserve"> </w:t>
      </w:r>
      <w:r w:rsidR="00BA3260" w:rsidRPr="003E0C02">
        <w:rPr>
          <w:rFonts w:ascii="Book Antiqua" w:eastAsia="Book Antiqua" w:hAnsi="Book Antiqua" w:cs="Book Antiqua"/>
        </w:rPr>
        <w:t>gender</w:t>
      </w:r>
      <w:r w:rsidR="00F04FE3" w:rsidRPr="003E0C02">
        <w:rPr>
          <w:rFonts w:ascii="Book Antiqua" w:eastAsia="Book Antiqua" w:hAnsi="Book Antiqua" w:cs="Book Antiqua"/>
        </w:rPr>
        <w:t xml:space="preserve"> or age. </w:t>
      </w:r>
      <w:r w:rsidRPr="003E0C02">
        <w:rPr>
          <w:rFonts w:ascii="Book Antiqua" w:eastAsia="Book Antiqua" w:hAnsi="Book Antiqua" w:cs="Book Antiqua"/>
        </w:rPr>
        <w:t xml:space="preserve">Patients who </w:t>
      </w:r>
      <w:bookmarkStart w:id="6" w:name="_Hlk50023154"/>
      <w:r w:rsidRPr="003E0C02">
        <w:rPr>
          <w:rFonts w:ascii="Book Antiqua" w:eastAsia="Book Antiqua" w:hAnsi="Book Antiqua" w:cs="Book Antiqua"/>
        </w:rPr>
        <w:t xml:space="preserve">were diagnosed with </w:t>
      </w:r>
      <w:bookmarkEnd w:id="6"/>
      <w:r w:rsidRPr="003E0C02">
        <w:rPr>
          <w:rFonts w:ascii="Book Antiqua" w:eastAsia="Book Antiqua" w:hAnsi="Book Antiqua" w:cs="Book Antiqua"/>
        </w:rPr>
        <w:t xml:space="preserve">anemia (ICD-9-CM, 280 and 281.0) and patients who were not diagnosed were analyzed. </w:t>
      </w:r>
      <w:r w:rsidR="00824540" w:rsidRPr="003E0C02">
        <w:rPr>
          <w:rFonts w:ascii="Book Antiqua" w:eastAsia="Book Antiqua" w:hAnsi="Book Antiqua" w:cs="Book Antiqua"/>
        </w:rPr>
        <w:t xml:space="preserve">Morbidly obese patients </w:t>
      </w:r>
      <w:r w:rsidRPr="003E0C02">
        <w:rPr>
          <w:rFonts w:ascii="Book Antiqua" w:eastAsia="Book Antiqua" w:hAnsi="Book Antiqua" w:cs="Book Antiqua"/>
        </w:rPr>
        <w:t xml:space="preserve">were identified </w:t>
      </w:r>
      <w:r w:rsidR="003A5C45" w:rsidRPr="003E0C02">
        <w:rPr>
          <w:rFonts w:ascii="Book Antiqua" w:eastAsia="Book Antiqua" w:hAnsi="Book Antiqua" w:cs="Book Antiqua"/>
        </w:rPr>
        <w:t xml:space="preserve">by </w:t>
      </w:r>
      <w:r w:rsidRPr="003E0C02">
        <w:rPr>
          <w:rFonts w:ascii="Book Antiqua" w:eastAsia="Book Antiqua" w:hAnsi="Book Antiqua" w:cs="Book Antiqua"/>
        </w:rPr>
        <w:t xml:space="preserve">the ICD-9-CM codes, with at least one diagnosis </w:t>
      </w:r>
      <w:r w:rsidR="00625E81" w:rsidRPr="003E0C02">
        <w:rPr>
          <w:rFonts w:ascii="Book Antiqua" w:eastAsia="Book Antiqua" w:hAnsi="Book Antiqua" w:cs="Book Antiqua"/>
        </w:rPr>
        <w:t xml:space="preserve">in admission </w:t>
      </w:r>
      <w:r w:rsidRPr="003E0C02">
        <w:rPr>
          <w:rFonts w:ascii="Book Antiqua" w:eastAsia="Book Antiqua" w:hAnsi="Book Antiqua" w:cs="Book Antiqua"/>
        </w:rPr>
        <w:t xml:space="preserve">during the </w:t>
      </w:r>
      <w:r w:rsidR="00625E81" w:rsidRPr="003E0C02">
        <w:rPr>
          <w:rFonts w:ascii="Book Antiqua" w:eastAsia="Book Antiqua" w:hAnsi="Book Antiqua" w:cs="Book Antiqua"/>
        </w:rPr>
        <w:t xml:space="preserve">whole </w:t>
      </w:r>
      <w:r w:rsidRPr="003E0C02">
        <w:rPr>
          <w:rFonts w:ascii="Book Antiqua" w:eastAsia="Book Antiqua" w:hAnsi="Book Antiqua" w:cs="Book Antiqua"/>
        </w:rPr>
        <w:t xml:space="preserve">study period. </w:t>
      </w:r>
      <w:r w:rsidR="00824540" w:rsidRPr="003E0C02">
        <w:rPr>
          <w:rFonts w:ascii="Book Antiqua" w:eastAsia="Book Antiqua" w:hAnsi="Book Antiqua" w:cs="Book Antiqua"/>
        </w:rPr>
        <w:t>The data from</w:t>
      </w:r>
      <w:r w:rsidR="00653BAF" w:rsidRPr="003E0C02">
        <w:rPr>
          <w:rFonts w:ascii="Book Antiqua" w:eastAsia="Book Antiqua" w:hAnsi="Book Antiqua" w:cs="Book Antiqua"/>
        </w:rPr>
        <w:t xml:space="preserve"> the</w:t>
      </w:r>
      <w:r w:rsidR="00824540" w:rsidRPr="003E0C02">
        <w:rPr>
          <w:rFonts w:ascii="Book Antiqua" w:eastAsia="Book Antiqua" w:hAnsi="Book Antiqua" w:cs="Book Antiqua"/>
        </w:rPr>
        <w:t xml:space="preserve"> Registry for Catastrophic Illness Patient Database, a subset of the NHIRD, confirmed the </w:t>
      </w:r>
      <w:r w:rsidRPr="003E0C02">
        <w:rPr>
          <w:rFonts w:ascii="Book Antiqua" w:eastAsia="Book Antiqua" w:hAnsi="Book Antiqua" w:cs="Book Antiqua"/>
        </w:rPr>
        <w:t xml:space="preserve">diagnostic accuracy of morbid </w:t>
      </w:r>
      <w:proofErr w:type="gramStart"/>
      <w:r w:rsidRPr="003E0C02">
        <w:rPr>
          <w:rFonts w:ascii="Book Antiqua" w:eastAsia="Book Antiqua" w:hAnsi="Book Antiqua" w:cs="Book Antiqua"/>
        </w:rPr>
        <w:t>obesity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19,20]</w:t>
      </w:r>
      <w:r w:rsidRPr="003E0C02">
        <w:rPr>
          <w:rFonts w:ascii="Book Antiqua" w:eastAsia="Book Antiqua" w:hAnsi="Book Antiqua" w:cs="Book Antiqua"/>
        </w:rPr>
        <w:t>.</w:t>
      </w:r>
    </w:p>
    <w:p w14:paraId="44A3D75F" w14:textId="77777777" w:rsidR="009D3845" w:rsidRPr="003E0C02" w:rsidRDefault="009D3845" w:rsidP="003E0C02">
      <w:pPr>
        <w:snapToGrid w:val="0"/>
        <w:spacing w:line="360" w:lineRule="auto"/>
        <w:jc w:val="both"/>
      </w:pPr>
    </w:p>
    <w:p w14:paraId="5C8A33F9" w14:textId="77777777" w:rsidR="00A77B3E" w:rsidRPr="003E0C02" w:rsidRDefault="00AA1E93" w:rsidP="003E0C02">
      <w:pPr>
        <w:snapToGrid w:val="0"/>
        <w:spacing w:line="360" w:lineRule="auto"/>
        <w:jc w:val="both"/>
        <w:rPr>
          <w:b/>
          <w:i/>
        </w:rPr>
      </w:pPr>
      <w:r w:rsidRPr="003E0C02">
        <w:rPr>
          <w:rFonts w:ascii="Book Antiqua" w:eastAsia="Book Antiqua" w:hAnsi="Book Antiqua" w:cs="Book Antiqua"/>
          <w:b/>
          <w:i/>
        </w:rPr>
        <w:t>Potential confounders</w:t>
      </w:r>
    </w:p>
    <w:p w14:paraId="3CF8B6D7" w14:textId="25E0AA0F" w:rsidR="00A77B3E" w:rsidRPr="003E0C02" w:rsidRDefault="00AE7F9D" w:rsidP="003E0C02">
      <w:pPr>
        <w:snapToGrid w:val="0"/>
        <w:spacing w:line="360" w:lineRule="auto"/>
        <w:jc w:val="both"/>
      </w:pPr>
      <w:r w:rsidRPr="003E0C02">
        <w:rPr>
          <w:rFonts w:ascii="Book Antiqua" w:eastAsia="Book Antiqua" w:hAnsi="Book Antiqua" w:cs="Book Antiqua"/>
        </w:rPr>
        <w:t>By referring to the ICD-9-CM codes, the</w:t>
      </w:r>
      <w:r w:rsidR="00AA1E93" w:rsidRPr="003E0C02">
        <w:rPr>
          <w:rFonts w:ascii="Book Antiqua" w:eastAsia="Book Antiqua" w:hAnsi="Book Antiqua" w:cs="Book Antiqua"/>
        </w:rPr>
        <w:t xml:space="preserve"> potential </w:t>
      </w:r>
      <w:r w:rsidR="00625E81" w:rsidRPr="003E0C02">
        <w:rPr>
          <w:rFonts w:ascii="Book Antiqua" w:eastAsia="Book Antiqua" w:hAnsi="Book Antiqua" w:cs="Book Antiqua"/>
        </w:rPr>
        <w:t xml:space="preserve">confounding factors </w:t>
      </w:r>
      <w:r w:rsidR="00AA1E93" w:rsidRPr="003E0C02">
        <w:rPr>
          <w:rFonts w:ascii="Book Antiqua" w:eastAsia="Book Antiqua" w:hAnsi="Book Antiqua" w:cs="Book Antiqua"/>
        </w:rPr>
        <w:t xml:space="preserve">for morbid obesity </w:t>
      </w:r>
      <w:r w:rsidR="005D6C01" w:rsidRPr="003E0C02">
        <w:rPr>
          <w:rFonts w:ascii="Book Antiqua" w:eastAsia="Book Antiqua" w:hAnsi="Book Antiqua" w:cs="Book Antiqua"/>
        </w:rPr>
        <w:t>were systematically identified</w:t>
      </w:r>
      <w:r w:rsidR="00AA1E93" w:rsidRPr="003E0C02">
        <w:rPr>
          <w:rFonts w:ascii="Book Antiqua" w:eastAsia="Book Antiqua" w:hAnsi="Book Antiqua" w:cs="Book Antiqua"/>
        </w:rPr>
        <w:t xml:space="preserve"> </w:t>
      </w:r>
      <w:r w:rsidR="00625E81" w:rsidRPr="003E0C02">
        <w:rPr>
          <w:rFonts w:ascii="Book Antiqua" w:eastAsia="Book Antiqua" w:hAnsi="Book Antiqua" w:cs="Book Antiqua"/>
        </w:rPr>
        <w:t xml:space="preserve">among </w:t>
      </w:r>
      <w:r w:rsidR="00AA1E93" w:rsidRPr="003E0C02">
        <w:rPr>
          <w:rFonts w:ascii="Book Antiqua" w:eastAsia="Book Antiqua" w:hAnsi="Book Antiqua" w:cs="Book Antiqua"/>
        </w:rPr>
        <w:t>the data</w:t>
      </w:r>
      <w:r w:rsidR="00CD1465" w:rsidRPr="003E0C02">
        <w:rPr>
          <w:rFonts w:ascii="Book Antiqua" w:eastAsia="Book Antiqua" w:hAnsi="Book Antiqua" w:cs="Book Antiqua"/>
        </w:rPr>
        <w:t xml:space="preserve"> from NHIRD</w:t>
      </w:r>
      <w:r w:rsidR="00AA1E93" w:rsidRPr="003E0C02">
        <w:rPr>
          <w:rFonts w:ascii="Book Antiqua" w:eastAsia="Book Antiqua" w:hAnsi="Book Antiqua" w:cs="Book Antiqua"/>
        </w:rPr>
        <w:t xml:space="preserve">. </w:t>
      </w:r>
      <w:r w:rsidR="00F04FE3" w:rsidRPr="003E0C02">
        <w:rPr>
          <w:rFonts w:ascii="Book Antiqua" w:eastAsia="Book Antiqua" w:hAnsi="Book Antiqua" w:cs="Book Antiqua"/>
        </w:rPr>
        <w:t>A</w:t>
      </w:r>
      <w:r w:rsidR="005D6C01" w:rsidRPr="003E0C02">
        <w:rPr>
          <w:rFonts w:ascii="Book Antiqua" w:eastAsia="Book Antiqua" w:hAnsi="Book Antiqua" w:cs="Book Antiqua"/>
        </w:rPr>
        <w:t xml:space="preserve">ge, </w:t>
      </w:r>
      <w:r w:rsidR="00F04FE3" w:rsidRPr="003E0C02">
        <w:rPr>
          <w:rFonts w:ascii="Book Antiqua" w:eastAsia="Book Antiqua" w:hAnsi="Book Antiqua" w:cs="Book Antiqua"/>
        </w:rPr>
        <w:t>gender</w:t>
      </w:r>
      <w:r w:rsidR="005D6C01" w:rsidRPr="003E0C02">
        <w:rPr>
          <w:rFonts w:ascii="Book Antiqua" w:eastAsia="Book Antiqua" w:hAnsi="Book Antiqua" w:cs="Book Antiqua"/>
        </w:rPr>
        <w:t>, comorbidities,</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insurance premium</w:t>
      </w:r>
      <w:proofErr w:type="gramStart"/>
      <w:r w:rsidR="00AA1E93" w:rsidRPr="003E0C02">
        <w:rPr>
          <w:rFonts w:ascii="Book Antiqua" w:eastAsia="Book Antiqua" w:hAnsi="Book Antiqua" w:cs="Book Antiqua"/>
        </w:rPr>
        <w:t>, ,</w:t>
      </w:r>
      <w:proofErr w:type="gramEnd"/>
      <w:r w:rsidR="00AA1E93" w:rsidRPr="003E0C02">
        <w:rPr>
          <w:rFonts w:ascii="Book Antiqua" w:eastAsia="Book Antiqua" w:hAnsi="Book Antiqua" w:cs="Book Antiqua"/>
        </w:rPr>
        <w:t xml:space="preserve"> occupation,</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medications</w:t>
      </w:r>
      <w:r w:rsidRPr="003E0C02">
        <w:rPr>
          <w:rFonts w:ascii="Book Antiqua" w:eastAsia="Book Antiqua" w:hAnsi="Book Antiqua" w:cs="Book Antiqua"/>
        </w:rPr>
        <w:t>, and level of urbanization</w:t>
      </w:r>
      <w:r w:rsidR="00F04FE3" w:rsidRPr="003E0C02">
        <w:rPr>
          <w:rFonts w:ascii="Book Antiqua" w:eastAsia="Book Antiqua" w:hAnsi="Book Antiqua" w:cs="Book Antiqua"/>
        </w:rPr>
        <w:t xml:space="preserve"> </w:t>
      </w:r>
      <w:r w:rsidR="00F056A0" w:rsidRPr="003E0C02">
        <w:rPr>
          <w:rFonts w:ascii="Book Antiqua" w:eastAsia="Book Antiqua" w:hAnsi="Book Antiqua" w:cs="Book Antiqua"/>
        </w:rPr>
        <w:t xml:space="preserve">were </w:t>
      </w:r>
      <w:r w:rsidR="00F04FE3" w:rsidRPr="003E0C02">
        <w:rPr>
          <w:rFonts w:ascii="Book Antiqua" w:eastAsia="Book Antiqua" w:hAnsi="Book Antiqua" w:cs="Book Antiqua"/>
        </w:rPr>
        <w:t>identified as confounding factors</w:t>
      </w:r>
      <w:r w:rsidR="00AA1E93" w:rsidRPr="003E0C02">
        <w:rPr>
          <w:rFonts w:ascii="Book Antiqua" w:eastAsia="Book Antiqua" w:hAnsi="Book Antiqua" w:cs="Book Antiqua"/>
        </w:rPr>
        <w:t xml:space="preserve">. </w:t>
      </w:r>
      <w:r w:rsidR="00F04FE3" w:rsidRPr="003E0C02">
        <w:rPr>
          <w:rFonts w:ascii="Book Antiqua" w:eastAsia="Book Antiqua" w:hAnsi="Book Antiqua" w:cs="Book Antiqua"/>
        </w:rPr>
        <w:t>H</w:t>
      </w:r>
      <w:r w:rsidR="002055F4" w:rsidRPr="003E0C02">
        <w:rPr>
          <w:rFonts w:ascii="Book Antiqua" w:eastAsia="Book Antiqua" w:hAnsi="Book Antiqua" w:cs="Book Antiqua"/>
        </w:rPr>
        <w:t>yperlipidemia (ICD-9-CM, 272), diabetes mellitus</w:t>
      </w:r>
      <w:r w:rsidR="0027767D" w:rsidRPr="003E0C02">
        <w:rPr>
          <w:rFonts w:ascii="Book Antiqua" w:eastAsia="Book Antiqua" w:hAnsi="Book Antiqua" w:cs="Book Antiqua"/>
        </w:rPr>
        <w:t xml:space="preserve"> </w:t>
      </w:r>
      <w:r w:rsidR="002055F4" w:rsidRPr="003E0C02">
        <w:rPr>
          <w:rFonts w:ascii="Book Antiqua" w:eastAsia="Book Antiqua" w:hAnsi="Book Antiqua" w:cs="Book Antiqua"/>
        </w:rPr>
        <w:t xml:space="preserve">(ICD-9-CM, 250, </w:t>
      </w:r>
      <w:r w:rsidR="00DC35D2" w:rsidRPr="003E0C02">
        <w:rPr>
          <w:rFonts w:ascii="Book Antiqua" w:eastAsia="Book Antiqua" w:hAnsi="Book Antiqua" w:cs="Book Antiqua"/>
        </w:rPr>
        <w:t xml:space="preserve">366.41, </w:t>
      </w:r>
      <w:r w:rsidR="002055F4" w:rsidRPr="003E0C02">
        <w:rPr>
          <w:rFonts w:ascii="Book Antiqua" w:eastAsia="Book Antiqua" w:hAnsi="Book Antiqua" w:cs="Book Antiqua"/>
        </w:rPr>
        <w:t>357.2, 362.01</w:t>
      </w:r>
      <w:r w:rsidRPr="003E0C02">
        <w:rPr>
          <w:rFonts w:ascii="Book Antiqua" w:eastAsia="Book Antiqua" w:hAnsi="Book Antiqua" w:cs="Book Antiqua"/>
        </w:rPr>
        <w:t>-</w:t>
      </w:r>
      <w:r w:rsidR="002055F4" w:rsidRPr="003E0C02">
        <w:rPr>
          <w:rFonts w:ascii="Book Antiqua" w:eastAsia="Book Antiqua" w:hAnsi="Book Antiqua" w:cs="Book Antiqua"/>
        </w:rPr>
        <w:t xml:space="preserve">362.02, and </w:t>
      </w:r>
      <w:r w:rsidR="00DC35D2" w:rsidRPr="003E0C02">
        <w:rPr>
          <w:rFonts w:ascii="Book Antiqua" w:eastAsia="Book Antiqua" w:hAnsi="Book Antiqua" w:cs="Book Antiqua"/>
        </w:rPr>
        <w:t>357.2</w:t>
      </w:r>
      <w:r w:rsidR="002055F4" w:rsidRPr="003E0C02">
        <w:rPr>
          <w:rFonts w:ascii="Book Antiqua" w:eastAsia="Book Antiqua" w:hAnsi="Book Antiqua" w:cs="Book Antiqua"/>
        </w:rPr>
        <w:t xml:space="preserve">), </w:t>
      </w:r>
      <w:r w:rsidR="00AA1E93" w:rsidRPr="003E0C02">
        <w:rPr>
          <w:rFonts w:ascii="Book Antiqua" w:eastAsia="Book Antiqua" w:hAnsi="Book Antiqua" w:cs="Book Antiqua"/>
        </w:rPr>
        <w:t>hypertension (ICD-9-CM, 401–405),</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 xml:space="preserve">coronary artery disease (ICD-9-CM, 411–414), congestive heart failure </w:t>
      </w:r>
      <w:r w:rsidR="00AA1E93" w:rsidRPr="003E0C02">
        <w:rPr>
          <w:rFonts w:ascii="Book Antiqua" w:eastAsia="Book Antiqua" w:hAnsi="Book Antiqua" w:cs="Book Antiqua"/>
        </w:rPr>
        <w:lastRenderedPageBreak/>
        <w:t>(ICD-9-CM, 428), stroke (ICD-9-CM, 430–438), asthma (ICD-9-CM, 493), chronic obstructive pulmonary disease (ICD-9-CM, 490–492,</w:t>
      </w:r>
      <w:r w:rsidRPr="003E0C02">
        <w:rPr>
          <w:rFonts w:ascii="Book Antiqua" w:eastAsia="Book Antiqua" w:hAnsi="Book Antiqua" w:cs="Book Antiqua"/>
        </w:rPr>
        <w:t xml:space="preserve"> </w:t>
      </w:r>
      <w:r w:rsidR="00AA1E93" w:rsidRPr="003E0C02">
        <w:rPr>
          <w:rFonts w:ascii="Book Antiqua" w:eastAsia="Book Antiqua" w:hAnsi="Book Antiqua" w:cs="Book Antiqua"/>
        </w:rPr>
        <w:t>494, and 496), peripheral arterial occlusive disease (ICD-9-CM, 440–444)</w:t>
      </w:r>
      <w:r w:rsidR="00F056A0" w:rsidRPr="003E0C02">
        <w:rPr>
          <w:rFonts w:ascii="Book Antiqua" w:eastAsia="Book Antiqua" w:hAnsi="Book Antiqua" w:cs="Book Antiqua"/>
        </w:rPr>
        <w:t>,</w:t>
      </w:r>
      <w:r w:rsidR="002055F4" w:rsidRPr="003E0C02">
        <w:rPr>
          <w:rFonts w:ascii="Book Antiqua" w:eastAsia="Book Antiqua" w:hAnsi="Book Antiqua" w:cs="Book Antiqua"/>
        </w:rPr>
        <w:t xml:space="preserve"> and chronic kidney disease</w:t>
      </w:r>
      <w:r w:rsidR="0027767D" w:rsidRPr="003E0C02">
        <w:rPr>
          <w:rFonts w:ascii="Book Antiqua" w:eastAsia="Book Antiqua" w:hAnsi="Book Antiqua" w:cs="Book Antiqua"/>
        </w:rPr>
        <w:t xml:space="preserve"> </w:t>
      </w:r>
      <w:r w:rsidR="002055F4" w:rsidRPr="003E0C02">
        <w:rPr>
          <w:rFonts w:ascii="Book Antiqua" w:eastAsia="Book Antiqua" w:hAnsi="Book Antiqua" w:cs="Book Antiqua"/>
        </w:rPr>
        <w:t xml:space="preserve">(ICD-9-CM, </w:t>
      </w:r>
      <w:r w:rsidR="00DC35D2" w:rsidRPr="003E0C02">
        <w:rPr>
          <w:rFonts w:ascii="Book Antiqua" w:eastAsia="Book Antiqua" w:hAnsi="Book Antiqua" w:cs="Book Antiqua"/>
        </w:rPr>
        <w:t>285.21, 250.4</w:t>
      </w:r>
      <w:r w:rsidR="002055F4" w:rsidRPr="003E0C02">
        <w:rPr>
          <w:rFonts w:ascii="Book Antiqua" w:eastAsia="Book Antiqua" w:hAnsi="Book Antiqua" w:cs="Book Antiqua"/>
        </w:rPr>
        <w:t>, 403-404,</w:t>
      </w:r>
      <w:r w:rsidR="00DC35D2" w:rsidRPr="003E0C02">
        <w:rPr>
          <w:rFonts w:ascii="Book Antiqua" w:eastAsia="Book Antiqua" w:hAnsi="Book Antiqua" w:cs="Book Antiqua"/>
        </w:rPr>
        <w:t xml:space="preserve"> and 581–588</w:t>
      </w:r>
      <w:r w:rsidR="002055F4" w:rsidRPr="003E0C02">
        <w:rPr>
          <w:rFonts w:ascii="Book Antiqua" w:eastAsia="Book Antiqua" w:hAnsi="Book Antiqua" w:cs="Book Antiqua"/>
        </w:rPr>
        <w:t>)</w:t>
      </w:r>
      <w:r w:rsidR="00F04FE3" w:rsidRPr="003E0C02">
        <w:rPr>
          <w:rFonts w:ascii="Book Antiqua" w:eastAsia="Book Antiqua" w:hAnsi="Book Antiqua" w:cs="Book Antiqua"/>
        </w:rPr>
        <w:t xml:space="preserve"> were found to be the comorbidities associated with major adverse cardiovascular events</w:t>
      </w:r>
      <w:r w:rsidR="00AA1E93" w:rsidRPr="003E0C02">
        <w:rPr>
          <w:rFonts w:ascii="Book Antiqua" w:eastAsia="Book Antiqua" w:hAnsi="Book Antiqua" w:cs="Book Antiqua"/>
        </w:rPr>
        <w:t xml:space="preserve">. </w:t>
      </w:r>
      <w:r w:rsidR="009A400D" w:rsidRPr="003E0C02">
        <w:rPr>
          <w:rFonts w:ascii="Book Antiqua" w:eastAsia="Book Antiqua" w:hAnsi="Book Antiqua" w:cs="Book Antiqua"/>
        </w:rPr>
        <w:t>We applied multivariate logistic regression w</w:t>
      </w:r>
      <w:r w:rsidR="007F5FB1" w:rsidRPr="003E0C02">
        <w:rPr>
          <w:rFonts w:ascii="Book Antiqua" w:eastAsia="Book Antiqua" w:hAnsi="Book Antiqua" w:cs="Book Antiqua"/>
        </w:rPr>
        <w:t>ith</w:t>
      </w:r>
      <w:r w:rsidR="009A400D" w:rsidRPr="003E0C02">
        <w:rPr>
          <w:rFonts w:ascii="Book Antiqua" w:eastAsia="Book Antiqua" w:hAnsi="Book Antiqua" w:cs="Book Antiqua"/>
        </w:rPr>
        <w:t xml:space="preserve"> baseline covariates to calculate propensity scores.</w:t>
      </w:r>
      <w:r w:rsidR="00E7097F" w:rsidRPr="003E0C02">
        <w:rPr>
          <w:rFonts w:ascii="Book Antiqua" w:hAnsi="Book Antiqua" w:cs="Book Antiqua"/>
          <w:lang w:eastAsia="zh-CN"/>
        </w:rPr>
        <w:t xml:space="preserve"> </w:t>
      </w:r>
      <w:r w:rsidR="00AA1E93" w:rsidRPr="003E0C02">
        <w:rPr>
          <w:rFonts w:ascii="Book Antiqua" w:eastAsia="Book Antiqua" w:hAnsi="Book Antiqua" w:cs="Book Antiqua"/>
        </w:rPr>
        <w:t xml:space="preserve">The baseline characteristics of </w:t>
      </w:r>
      <w:r w:rsidR="00DA1243" w:rsidRPr="003E0C02">
        <w:rPr>
          <w:rFonts w:ascii="Book Antiqua" w:eastAsia="Book Antiqua" w:hAnsi="Book Antiqua" w:cs="Book Antiqua"/>
        </w:rPr>
        <w:t xml:space="preserve">study </w:t>
      </w:r>
      <w:r w:rsidR="009A400D" w:rsidRPr="003E0C02">
        <w:rPr>
          <w:rFonts w:ascii="Book Antiqua" w:eastAsia="Book Antiqua" w:hAnsi="Book Antiqua" w:cs="Book Antiqua"/>
        </w:rPr>
        <w:t xml:space="preserve">(with bariatric surgery) </w:t>
      </w:r>
      <w:r w:rsidR="00DA1243" w:rsidRPr="003E0C02">
        <w:rPr>
          <w:rFonts w:ascii="Book Antiqua" w:eastAsia="Book Antiqua" w:hAnsi="Book Antiqua" w:cs="Book Antiqua"/>
        </w:rPr>
        <w:t xml:space="preserve">cohort and comparison </w:t>
      </w:r>
      <w:r w:rsidR="009A400D" w:rsidRPr="003E0C02">
        <w:rPr>
          <w:rFonts w:ascii="Book Antiqua" w:eastAsia="Book Antiqua" w:hAnsi="Book Antiqua" w:cs="Book Antiqua"/>
        </w:rPr>
        <w:t xml:space="preserve">(without bariatric surgery) </w:t>
      </w:r>
      <w:r w:rsidR="00DA1243" w:rsidRPr="003E0C02">
        <w:rPr>
          <w:rFonts w:ascii="Book Antiqua" w:eastAsia="Book Antiqua" w:hAnsi="Book Antiqua" w:cs="Book Antiqua"/>
        </w:rPr>
        <w:t xml:space="preserve">cohort </w:t>
      </w:r>
      <w:r w:rsidR="00AA1E93" w:rsidRPr="003E0C02">
        <w:rPr>
          <w:rFonts w:ascii="Book Antiqua" w:eastAsia="Book Antiqua" w:hAnsi="Book Antiqua" w:cs="Book Antiqua"/>
        </w:rPr>
        <w:t>were compared</w:t>
      </w:r>
      <w:r w:rsidR="009A400D" w:rsidRPr="003E0C02">
        <w:rPr>
          <w:rFonts w:ascii="Book Antiqua" w:eastAsia="Book Antiqua" w:hAnsi="Book Antiqua" w:cs="Book Antiqua"/>
        </w:rPr>
        <w:t>.</w:t>
      </w:r>
      <w:r w:rsidR="00AA1E93" w:rsidRPr="003E0C02">
        <w:rPr>
          <w:rFonts w:ascii="Book Antiqua" w:eastAsia="Book Antiqua" w:hAnsi="Book Antiqua" w:cs="Book Antiqua"/>
        </w:rPr>
        <w:t xml:space="preserve"> </w:t>
      </w:r>
      <w:r w:rsidR="00F04FE3" w:rsidRPr="003E0C02">
        <w:rPr>
          <w:rFonts w:ascii="Book Antiqua" w:eastAsia="Book Antiqua" w:hAnsi="Book Antiqua" w:cs="Book Antiqua"/>
        </w:rPr>
        <w:t>Furthermore</w:t>
      </w:r>
      <w:r w:rsidR="009A400D" w:rsidRPr="003E0C02">
        <w:rPr>
          <w:rFonts w:ascii="Book Antiqua" w:eastAsia="Book Antiqua" w:hAnsi="Book Antiqua" w:cs="Book Antiqua"/>
        </w:rPr>
        <w:t xml:space="preserve">, both cohorts were </w:t>
      </w:r>
      <w:r w:rsidR="00AA1E93" w:rsidRPr="003E0C02">
        <w:rPr>
          <w:rFonts w:ascii="Book Antiqua" w:eastAsia="Book Antiqua" w:hAnsi="Book Antiqua" w:cs="Book Antiqua"/>
        </w:rPr>
        <w:t xml:space="preserve">matched by standardized mean differences, calculated as the difference in proportions </w:t>
      </w:r>
      <w:r w:rsidR="00072C05" w:rsidRPr="003E0C02">
        <w:rPr>
          <w:rFonts w:ascii="Book Antiqua" w:eastAsia="Book Antiqua" w:hAnsi="Book Antiqua" w:cs="Book Antiqua"/>
        </w:rPr>
        <w:t xml:space="preserve">or means </w:t>
      </w:r>
      <w:r w:rsidR="00AA1E93" w:rsidRPr="003E0C02">
        <w:rPr>
          <w:rFonts w:ascii="Book Antiqua" w:eastAsia="Book Antiqua" w:hAnsi="Book Antiqua" w:cs="Book Antiqua"/>
        </w:rPr>
        <w:t>of a variable divided by a pooled estimate of the standard deviation of the variable.</w:t>
      </w:r>
    </w:p>
    <w:p w14:paraId="2C8B38B6" w14:textId="77777777" w:rsidR="00A77B3E" w:rsidRPr="003E0C02" w:rsidRDefault="00A77B3E" w:rsidP="003E0C02">
      <w:pPr>
        <w:snapToGrid w:val="0"/>
        <w:spacing w:line="360" w:lineRule="auto"/>
        <w:jc w:val="both"/>
      </w:pPr>
    </w:p>
    <w:p w14:paraId="740B7974" w14:textId="77777777" w:rsidR="00A77B3E" w:rsidRPr="003E0C02" w:rsidRDefault="00AA1E93" w:rsidP="003E0C02">
      <w:pPr>
        <w:snapToGrid w:val="0"/>
        <w:spacing w:line="360" w:lineRule="auto"/>
        <w:jc w:val="both"/>
        <w:rPr>
          <w:b/>
          <w:i/>
        </w:rPr>
      </w:pPr>
      <w:r w:rsidRPr="003E0C02">
        <w:rPr>
          <w:rFonts w:ascii="Book Antiqua" w:eastAsia="Book Antiqua" w:hAnsi="Book Antiqua" w:cs="Book Antiqua"/>
          <w:b/>
          <w:i/>
        </w:rPr>
        <w:t>Statistical analyses</w:t>
      </w:r>
    </w:p>
    <w:p w14:paraId="773F4116" w14:textId="3A3F2D86" w:rsidR="00A77B3E" w:rsidRPr="003E0C02" w:rsidRDefault="007F5FB1" w:rsidP="003E0C02">
      <w:pPr>
        <w:snapToGrid w:val="0"/>
        <w:spacing w:line="360" w:lineRule="auto"/>
        <w:jc w:val="both"/>
      </w:pPr>
      <w:r w:rsidRPr="003E0C02">
        <w:rPr>
          <w:rFonts w:ascii="Book Antiqua" w:eastAsia="Book Antiqua" w:hAnsi="Book Antiqua" w:cs="Book Antiqua"/>
        </w:rPr>
        <w:t xml:space="preserve">Demographic </w:t>
      </w:r>
      <w:r w:rsidR="00AA1E93" w:rsidRPr="003E0C02">
        <w:rPr>
          <w:rFonts w:ascii="Book Antiqua" w:eastAsia="Book Antiqua" w:hAnsi="Book Antiqua" w:cs="Book Antiqua"/>
        </w:rPr>
        <w:t xml:space="preserve">characteristics </w:t>
      </w:r>
      <w:r w:rsidRPr="003E0C02">
        <w:rPr>
          <w:rFonts w:ascii="Book Antiqua" w:eastAsia="Book Antiqua" w:hAnsi="Book Antiqua" w:cs="Book Antiqua"/>
        </w:rPr>
        <w:t xml:space="preserve">differences </w:t>
      </w:r>
      <w:r w:rsidR="00AA1E93" w:rsidRPr="003E0C02">
        <w:rPr>
          <w:rFonts w:ascii="Book Antiqua" w:eastAsia="Book Antiqua" w:hAnsi="Book Antiqua" w:cs="Book Antiqua"/>
        </w:rPr>
        <w:t>and comorbidities</w:t>
      </w:r>
      <w:r w:rsidRPr="003E0C02">
        <w:rPr>
          <w:rFonts w:ascii="Book Antiqua" w:eastAsia="Book Antiqua" w:hAnsi="Book Antiqua" w:cs="Book Antiqua"/>
        </w:rPr>
        <w:t xml:space="preserve"> </w:t>
      </w:r>
      <w:r w:rsidR="000C38FD" w:rsidRPr="003E0C02">
        <w:rPr>
          <w:rFonts w:ascii="Book Antiqua" w:eastAsia="Book Antiqua" w:hAnsi="Book Antiqua" w:cs="Book Antiqua"/>
        </w:rPr>
        <w:t>differences</w:t>
      </w:r>
      <w:r w:rsidR="00AA1E93" w:rsidRPr="003E0C02">
        <w:rPr>
          <w:rFonts w:ascii="Book Antiqua" w:eastAsia="Book Antiqua" w:hAnsi="Book Antiqua" w:cs="Book Antiqua"/>
        </w:rPr>
        <w:t xml:space="preserve"> between the </w:t>
      </w:r>
      <w:r w:rsidR="00270011" w:rsidRPr="003E0C02">
        <w:rPr>
          <w:rFonts w:ascii="Book Antiqua" w:eastAsia="Book Antiqua" w:hAnsi="Book Antiqua" w:cs="Book Antiqua"/>
        </w:rPr>
        <w:t>study cohort (receiving bariatric surgery)</w:t>
      </w:r>
      <w:r w:rsidRPr="003E0C02">
        <w:rPr>
          <w:rFonts w:ascii="Book Antiqua" w:eastAsia="Book Antiqua" w:hAnsi="Book Antiqua" w:cs="Book Antiqua"/>
        </w:rPr>
        <w:t xml:space="preserve"> </w:t>
      </w:r>
      <w:r w:rsidR="00AA1E93" w:rsidRPr="003E0C02">
        <w:rPr>
          <w:rFonts w:ascii="Book Antiqua" w:eastAsia="Book Antiqua" w:hAnsi="Book Antiqua" w:cs="Book Antiqua"/>
        </w:rPr>
        <w:t xml:space="preserve">and comparison (without </w:t>
      </w:r>
      <w:r w:rsidR="00270011" w:rsidRPr="003E0C02">
        <w:rPr>
          <w:rFonts w:ascii="Book Antiqua" w:eastAsia="Book Antiqua" w:hAnsi="Book Antiqua" w:cs="Book Antiqua"/>
        </w:rPr>
        <w:t>surgery</w:t>
      </w:r>
      <w:r w:rsidR="00AA1E93" w:rsidRPr="003E0C02">
        <w:rPr>
          <w:rFonts w:ascii="Book Antiqua" w:eastAsia="Book Antiqua" w:hAnsi="Book Antiqua" w:cs="Book Antiqua"/>
        </w:rPr>
        <w:t xml:space="preserve">) cohort were </w:t>
      </w:r>
      <w:r w:rsidR="00CD1465" w:rsidRPr="003E0C02">
        <w:rPr>
          <w:rFonts w:ascii="Book Antiqua" w:eastAsia="Book Antiqua" w:hAnsi="Book Antiqua" w:cs="Book Antiqua"/>
        </w:rPr>
        <w:t>analyzed</w:t>
      </w:r>
      <w:r w:rsidR="00072C05" w:rsidRPr="003E0C02">
        <w:rPr>
          <w:rFonts w:ascii="Book Antiqua" w:eastAsia="Book Antiqua" w:hAnsi="Book Antiqua" w:cs="Book Antiqua"/>
        </w:rPr>
        <w:t xml:space="preserve">. We conducted </w:t>
      </w:r>
      <w:r w:rsidR="00AA1E93" w:rsidRPr="003E0C02">
        <w:rPr>
          <w:rFonts w:ascii="Book Antiqua" w:eastAsia="Book Antiqua" w:hAnsi="Book Antiqua" w:cs="Book Antiqua"/>
        </w:rPr>
        <w:t xml:space="preserve">the chi-squared test for noncontinuous variables and </w:t>
      </w:r>
      <w:r w:rsidR="00072C05" w:rsidRPr="003E0C02">
        <w:rPr>
          <w:rFonts w:ascii="Book Antiqua" w:eastAsia="Book Antiqua" w:hAnsi="Book Antiqua" w:cs="Book Antiqua"/>
        </w:rPr>
        <w:t xml:space="preserve">the </w:t>
      </w:r>
      <w:r w:rsidR="00AA1E93" w:rsidRPr="003E0C02">
        <w:rPr>
          <w:rFonts w:ascii="Book Antiqua" w:eastAsia="Book Antiqua" w:hAnsi="Book Antiqua" w:cs="Book Antiqua"/>
        </w:rPr>
        <w:t>two-sample t-test for continuous variables. Cox proportional hazards regression</w:t>
      </w:r>
      <w:r w:rsidR="00942B0C" w:rsidRPr="003E0C02">
        <w:rPr>
          <w:rFonts w:ascii="Book Antiqua" w:eastAsia="Book Antiqua" w:hAnsi="Book Antiqua" w:cs="Book Antiqua"/>
        </w:rPr>
        <w:t xml:space="preserve"> was </w:t>
      </w:r>
      <w:r w:rsidR="00DA1243" w:rsidRPr="003E0C02">
        <w:rPr>
          <w:rFonts w:ascii="Book Antiqua" w:eastAsia="Book Antiqua" w:hAnsi="Book Antiqua" w:cs="Book Antiqua"/>
        </w:rPr>
        <w:t>performed</w:t>
      </w:r>
      <w:r w:rsidRPr="003E0C02">
        <w:rPr>
          <w:rFonts w:ascii="Book Antiqua" w:eastAsia="Book Antiqua" w:hAnsi="Book Antiqua" w:cs="Book Antiqua"/>
        </w:rPr>
        <w:t xml:space="preserve"> to </w:t>
      </w:r>
      <w:proofErr w:type="spellStart"/>
      <w:r w:rsidRPr="003E0C02">
        <w:rPr>
          <w:rFonts w:ascii="Book Antiqua" w:eastAsia="Book Antiqua" w:hAnsi="Book Antiqua" w:cs="Book Antiqua"/>
        </w:rPr>
        <w:t>calculat</w:t>
      </w:r>
      <w:proofErr w:type="spellEnd"/>
      <w:r w:rsidR="00942B0C" w:rsidRPr="003E0C02">
        <w:rPr>
          <w:rFonts w:ascii="Book Antiqua" w:eastAsia="Book Antiqua" w:hAnsi="Book Antiqua" w:cs="Book Antiqua"/>
        </w:rPr>
        <w:t xml:space="preserve"> </w:t>
      </w:r>
      <w:r w:rsidRPr="003E0C02">
        <w:rPr>
          <w:rFonts w:ascii="Book Antiqua" w:eastAsia="Book Antiqua" w:hAnsi="Book Antiqua" w:cs="Book Antiqua"/>
        </w:rPr>
        <w:t>the</w:t>
      </w:r>
      <w:r w:rsidR="00942B0C" w:rsidRPr="003E0C02">
        <w:rPr>
          <w:rFonts w:ascii="Book Antiqua" w:eastAsia="Book Antiqua" w:hAnsi="Book Antiqua" w:cs="Book Antiqua"/>
        </w:rPr>
        <w:t xml:space="preserve"> </w:t>
      </w:r>
      <w:r w:rsidR="00F056A0" w:rsidRPr="003E0C02">
        <w:rPr>
          <w:rFonts w:ascii="Book Antiqua" w:eastAsia="Book Antiqua" w:hAnsi="Book Antiqua" w:cs="Book Antiqua"/>
        </w:rPr>
        <w:t>h</w:t>
      </w:r>
      <w:r w:rsidR="00942B0C" w:rsidRPr="003E0C02">
        <w:rPr>
          <w:rFonts w:ascii="Book Antiqua" w:eastAsia="Book Antiqua" w:hAnsi="Book Antiqua" w:cs="Book Antiqua"/>
        </w:rPr>
        <w:t>azard ratios (HRs) with 95%</w:t>
      </w:r>
      <w:r w:rsidR="00F056A0" w:rsidRPr="003E0C02">
        <w:rPr>
          <w:rFonts w:ascii="Book Antiqua" w:eastAsia="Book Antiqua" w:hAnsi="Book Antiqua" w:cs="Book Antiqua"/>
        </w:rPr>
        <w:t xml:space="preserve"> confidence intervals (</w:t>
      </w:r>
      <w:r w:rsidR="00942B0C" w:rsidRPr="003E0C02">
        <w:rPr>
          <w:rFonts w:ascii="Book Antiqua" w:eastAsia="Book Antiqua" w:hAnsi="Book Antiqua" w:cs="Book Antiqua"/>
        </w:rPr>
        <w:t>C</w:t>
      </w:r>
      <w:r w:rsidR="00283869" w:rsidRPr="00283869">
        <w:rPr>
          <w:rFonts w:ascii="Book Antiqua" w:eastAsia="PMingLiU" w:hAnsi="Book Antiqua" w:cs="Book Antiqua"/>
          <w:lang w:eastAsia="zh-TW"/>
        </w:rPr>
        <w:t>I</w:t>
      </w:r>
      <w:r w:rsidR="00942B0C" w:rsidRPr="003E0C02">
        <w:rPr>
          <w:rFonts w:ascii="Book Antiqua" w:eastAsia="Book Antiqua" w:hAnsi="Book Antiqua" w:cs="Book Antiqua"/>
        </w:rPr>
        <w:t>s</w:t>
      </w:r>
      <w:r w:rsidR="00F056A0" w:rsidRPr="003E0C02">
        <w:rPr>
          <w:rFonts w:ascii="Book Antiqua" w:eastAsia="Book Antiqua" w:hAnsi="Book Antiqua" w:cs="Book Antiqua"/>
        </w:rPr>
        <w:t>)</w:t>
      </w:r>
      <w:r w:rsidR="00942B0C" w:rsidRPr="003E0C02">
        <w:rPr>
          <w:rFonts w:ascii="Book Antiqua" w:eastAsia="Book Antiqua" w:hAnsi="Book Antiqua" w:cs="Book Antiqua"/>
        </w:rPr>
        <w:t xml:space="preserve"> for each variable</w:t>
      </w:r>
      <w:r w:rsidR="00AA1E93" w:rsidRPr="003E0C02">
        <w:rPr>
          <w:rFonts w:ascii="Book Antiqua" w:eastAsia="Book Antiqua" w:hAnsi="Book Antiqua" w:cs="Book Antiqua"/>
        </w:rPr>
        <w:t>. Difference</w:t>
      </w:r>
      <w:r w:rsidR="00B00511" w:rsidRPr="003E0C02">
        <w:rPr>
          <w:rFonts w:ascii="Book Antiqua" w:eastAsia="Book Antiqua" w:hAnsi="Book Antiqua" w:cs="Book Antiqua"/>
        </w:rPr>
        <w:t>s</w:t>
      </w:r>
      <w:r w:rsidR="00AA1E93" w:rsidRPr="003E0C02">
        <w:rPr>
          <w:rFonts w:ascii="Book Antiqua" w:eastAsia="Book Antiqua" w:hAnsi="Book Antiqua" w:cs="Book Antiqua"/>
        </w:rPr>
        <w:t xml:space="preserve"> in the incidence of </w:t>
      </w:r>
      <w:r w:rsidR="00F056A0" w:rsidRPr="003E0C02">
        <w:rPr>
          <w:rFonts w:ascii="Book Antiqua" w:eastAsia="Book Antiqua" w:hAnsi="Book Antiqua" w:cs="Book Antiqua"/>
        </w:rPr>
        <w:t>major adverse cardiovascular events</w:t>
      </w:r>
      <w:r w:rsidR="00AA1E93" w:rsidRPr="003E0C02">
        <w:rPr>
          <w:rFonts w:ascii="Book Antiqua" w:eastAsia="Book Antiqua" w:hAnsi="Book Antiqua" w:cs="Book Antiqua"/>
        </w:rPr>
        <w:t xml:space="preserve"> between the study </w:t>
      </w:r>
      <w:r w:rsidR="00942B0C" w:rsidRPr="003E0C02">
        <w:rPr>
          <w:rFonts w:ascii="Book Antiqua" w:eastAsia="Book Antiqua" w:hAnsi="Book Antiqua" w:cs="Book Antiqua"/>
        </w:rPr>
        <w:t xml:space="preserve">cohort </w:t>
      </w:r>
      <w:r w:rsidR="00AA1E93" w:rsidRPr="003E0C02">
        <w:rPr>
          <w:rFonts w:ascii="Book Antiqua" w:eastAsia="Book Antiqua" w:hAnsi="Book Antiqua" w:cs="Book Antiqua"/>
        </w:rPr>
        <w:t xml:space="preserve">and comparison cohort </w:t>
      </w:r>
      <w:r w:rsidR="00B00511" w:rsidRPr="003E0C02">
        <w:rPr>
          <w:rFonts w:ascii="Book Antiqua" w:eastAsia="Book Antiqua" w:hAnsi="Book Antiqua" w:cs="Book Antiqua"/>
        </w:rPr>
        <w:t xml:space="preserve">were </w:t>
      </w:r>
      <w:r w:rsidR="00AA1E93" w:rsidRPr="003E0C02">
        <w:rPr>
          <w:rFonts w:ascii="Book Antiqua" w:eastAsia="Book Antiqua" w:hAnsi="Book Antiqua" w:cs="Book Antiqua"/>
        </w:rPr>
        <w:t>estimated using the Kaplan-Meier curves by performing the log-rank test. Statistical Analysis System (SAS) version 9.4 statistical package (SAS Institute Inc., Cary, NC, U</w:t>
      </w:r>
      <w:r w:rsidR="00D645D8" w:rsidRPr="003E0C02">
        <w:rPr>
          <w:rFonts w:ascii="Book Antiqua" w:hAnsi="Book Antiqua" w:cs="Book Antiqua"/>
          <w:lang w:eastAsia="zh-CN"/>
        </w:rPr>
        <w:t>nited States</w:t>
      </w:r>
      <w:r w:rsidR="00AA1E93" w:rsidRPr="003E0C02">
        <w:rPr>
          <w:rFonts w:ascii="Book Antiqua" w:eastAsia="Book Antiqua" w:hAnsi="Book Antiqua" w:cs="Book Antiqua"/>
        </w:rPr>
        <w:t>)</w:t>
      </w:r>
      <w:r w:rsidR="00942B0C" w:rsidRPr="003E0C02">
        <w:rPr>
          <w:rFonts w:ascii="Book Antiqua" w:eastAsia="Book Antiqua" w:hAnsi="Book Antiqua" w:cs="Book Antiqua"/>
        </w:rPr>
        <w:t xml:space="preserve"> was used for statistical analyses.</w:t>
      </w:r>
      <w:r w:rsidR="00AA1E93" w:rsidRPr="003E0C02">
        <w:rPr>
          <w:rFonts w:ascii="Book Antiqua" w:eastAsia="Book Antiqua" w:hAnsi="Book Antiqua" w:cs="Book Antiqua"/>
        </w:rPr>
        <w:t xml:space="preserve"> </w:t>
      </w:r>
      <w:r w:rsidR="00942B0C" w:rsidRPr="003E0C02">
        <w:rPr>
          <w:rFonts w:ascii="Book Antiqua" w:eastAsia="Book Antiqua" w:hAnsi="Book Antiqua" w:cs="Book Antiqua"/>
        </w:rPr>
        <w:t xml:space="preserve">The </w:t>
      </w:r>
      <w:r w:rsidR="00AA1E93" w:rsidRPr="003E0C02">
        <w:rPr>
          <w:rFonts w:ascii="Book Antiqua" w:eastAsia="Book Antiqua" w:hAnsi="Book Antiqua" w:cs="Book Antiqua"/>
        </w:rPr>
        <w:t>level of significance was set at 0.05.</w:t>
      </w:r>
    </w:p>
    <w:p w14:paraId="50B0E333" w14:textId="77777777" w:rsidR="00A77B3E" w:rsidRPr="003E0C02" w:rsidRDefault="00A77B3E" w:rsidP="003E0C02">
      <w:pPr>
        <w:snapToGrid w:val="0"/>
        <w:spacing w:line="360" w:lineRule="auto"/>
        <w:ind w:firstLine="480"/>
        <w:jc w:val="both"/>
      </w:pPr>
    </w:p>
    <w:p w14:paraId="2D08FF42"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RESULTS</w:t>
      </w:r>
    </w:p>
    <w:p w14:paraId="4D3557C0" w14:textId="127A0011" w:rsidR="00A77B3E" w:rsidRPr="003E0C02" w:rsidRDefault="00AA1E93" w:rsidP="003E0C02">
      <w:pPr>
        <w:snapToGrid w:val="0"/>
        <w:spacing w:line="360" w:lineRule="auto"/>
        <w:jc w:val="both"/>
      </w:pPr>
      <w:r w:rsidRPr="003E0C02">
        <w:rPr>
          <w:rFonts w:ascii="Book Antiqua" w:eastAsia="Book Antiqua" w:hAnsi="Book Antiqua" w:cs="Book Antiqua"/>
        </w:rPr>
        <w:t xml:space="preserve">A total of 4922 adult </w:t>
      </w:r>
      <w:r w:rsidR="00072C05" w:rsidRPr="003E0C02">
        <w:rPr>
          <w:rFonts w:ascii="Book Antiqua" w:eastAsia="Book Antiqua" w:hAnsi="Book Antiqua" w:cs="Book Antiqua"/>
        </w:rPr>
        <w:t xml:space="preserve">patients </w:t>
      </w:r>
      <w:r w:rsidRPr="003E0C02">
        <w:rPr>
          <w:rFonts w:ascii="Book Antiqua" w:eastAsia="Book Antiqua" w:hAnsi="Book Antiqua" w:cs="Book Antiqua"/>
        </w:rPr>
        <w:t xml:space="preserve">were hospitalized for morbid obesity </w:t>
      </w:r>
      <w:r w:rsidR="00270011" w:rsidRPr="003E0C02">
        <w:rPr>
          <w:rFonts w:ascii="Book Antiqua" w:eastAsia="Book Antiqua" w:hAnsi="Book Antiqua" w:cs="Book Antiqua"/>
        </w:rPr>
        <w:t xml:space="preserve">during </w:t>
      </w:r>
      <w:r w:rsidR="00F056A0" w:rsidRPr="003E0C02">
        <w:rPr>
          <w:rFonts w:ascii="Book Antiqua" w:eastAsia="Book Antiqua" w:hAnsi="Book Antiqua" w:cs="Book Antiqua"/>
        </w:rPr>
        <w:t xml:space="preserve">the </w:t>
      </w:r>
      <w:r w:rsidR="00270011" w:rsidRPr="003E0C02">
        <w:rPr>
          <w:rFonts w:ascii="Book Antiqua" w:eastAsia="Book Antiqua" w:hAnsi="Book Antiqua" w:cs="Book Antiqua"/>
        </w:rPr>
        <w:t xml:space="preserve">study period between </w:t>
      </w:r>
      <w:r w:rsidRPr="003E0C02">
        <w:rPr>
          <w:rFonts w:ascii="Book Antiqua" w:eastAsia="Book Antiqua" w:hAnsi="Book Antiqua" w:cs="Book Antiqua"/>
        </w:rPr>
        <w:t xml:space="preserve">2000 to 2010. Of these, 3086 </w:t>
      </w:r>
      <w:r w:rsidR="006A425E" w:rsidRPr="003E0C02">
        <w:rPr>
          <w:rFonts w:ascii="Book Antiqua" w:eastAsia="Book Antiqua" w:hAnsi="Book Antiqua" w:cs="Book Antiqua"/>
        </w:rPr>
        <w:t xml:space="preserve">patient </w:t>
      </w:r>
      <w:r w:rsidR="00AE7F9D" w:rsidRPr="003E0C02">
        <w:rPr>
          <w:rFonts w:ascii="Book Antiqua" w:eastAsia="Book Antiqua" w:hAnsi="Book Antiqua" w:cs="Book Antiqua"/>
        </w:rPr>
        <w:t xml:space="preserve">received </w:t>
      </w:r>
      <w:r w:rsidR="006A425E" w:rsidRPr="003E0C02">
        <w:rPr>
          <w:rFonts w:ascii="Book Antiqua" w:eastAsia="Book Antiqua" w:hAnsi="Book Antiqua" w:cs="Book Antiqua"/>
        </w:rPr>
        <w:t>bariatric surgery</w:t>
      </w:r>
      <w:r w:rsidR="00F056A0" w:rsidRPr="003E0C02">
        <w:rPr>
          <w:rFonts w:ascii="Book Antiqua" w:eastAsia="Book Antiqua" w:hAnsi="Book Antiqua" w:cs="Book Antiqua"/>
        </w:rPr>
        <w:t>,</w:t>
      </w:r>
      <w:r w:rsidR="006A425E" w:rsidRPr="003E0C02">
        <w:rPr>
          <w:rFonts w:ascii="Book Antiqua" w:eastAsia="Book Antiqua" w:hAnsi="Book Antiqua" w:cs="Book Antiqua"/>
        </w:rPr>
        <w:t xml:space="preserve"> and 1666 patients did not </w:t>
      </w:r>
      <w:r w:rsidR="00AE7F9D" w:rsidRPr="003E0C02">
        <w:rPr>
          <w:rFonts w:ascii="Book Antiqua" w:eastAsia="Book Antiqua" w:hAnsi="Book Antiqua" w:cs="Book Antiqua"/>
        </w:rPr>
        <w:t>receive</w:t>
      </w:r>
      <w:r w:rsidR="006A425E" w:rsidRPr="003E0C02">
        <w:rPr>
          <w:rFonts w:ascii="Book Antiqua" w:eastAsia="Book Antiqua" w:hAnsi="Book Antiqua" w:cs="Book Antiqua"/>
        </w:rPr>
        <w:t xml:space="preserve"> bariatric surgery.</w:t>
      </w:r>
      <w:r w:rsidRPr="003E0C02">
        <w:rPr>
          <w:rFonts w:ascii="Book Antiqua" w:eastAsia="Book Antiqua" w:hAnsi="Book Antiqua" w:cs="Book Antiqua"/>
        </w:rPr>
        <w:t xml:space="preserve"> To reduce the influence of pre-surgery anemia, our study group </w:t>
      </w:r>
      <w:r w:rsidR="00F056A0" w:rsidRPr="003E0C02">
        <w:rPr>
          <w:rFonts w:ascii="Book Antiqua" w:eastAsia="Book Antiqua" w:hAnsi="Book Antiqua" w:cs="Book Antiqua"/>
        </w:rPr>
        <w:t xml:space="preserve">was </w:t>
      </w:r>
      <w:r w:rsidRPr="003E0C02">
        <w:rPr>
          <w:rFonts w:ascii="Book Antiqua" w:eastAsia="Book Antiqua" w:hAnsi="Book Antiqua" w:cs="Book Antiqua"/>
        </w:rPr>
        <w:t xml:space="preserve">recruited and analyzed after the exclusion of </w:t>
      </w:r>
      <w:r w:rsidR="00072C05" w:rsidRPr="003E0C02">
        <w:rPr>
          <w:rFonts w:ascii="Book Antiqua" w:hAnsi="Book Antiqua" w:cs="Arial"/>
        </w:rPr>
        <w:t xml:space="preserve">those who </w:t>
      </w:r>
      <w:r w:rsidR="00F056A0" w:rsidRPr="003E0C02">
        <w:rPr>
          <w:rFonts w:ascii="Book Antiqua" w:hAnsi="Book Antiqua" w:cs="Arial"/>
        </w:rPr>
        <w:t xml:space="preserve">were </w:t>
      </w:r>
      <w:r w:rsidR="00072C05" w:rsidRPr="003E0C02">
        <w:rPr>
          <w:rFonts w:ascii="Book Antiqua" w:hAnsi="Book Antiqua" w:cs="Arial"/>
        </w:rPr>
        <w:t xml:space="preserve">diagnosed anemia </w:t>
      </w:r>
      <w:r w:rsidRPr="003E0C02">
        <w:rPr>
          <w:rFonts w:ascii="Book Antiqua" w:eastAsia="Book Antiqua" w:hAnsi="Book Antiqua" w:cs="Book Antiqua"/>
        </w:rPr>
        <w:t xml:space="preserve">before the index date. </w:t>
      </w:r>
      <w:r w:rsidR="00926F30" w:rsidRPr="003E0C02">
        <w:rPr>
          <w:rFonts w:ascii="Book Antiqua" w:eastAsia="Book Antiqua" w:hAnsi="Book Antiqua" w:cs="Book Antiqua"/>
        </w:rPr>
        <w:t xml:space="preserve">Finally, 2864 </w:t>
      </w:r>
      <w:r w:rsidRPr="003E0C02">
        <w:rPr>
          <w:rFonts w:ascii="Book Antiqua" w:eastAsia="Book Antiqua" w:hAnsi="Book Antiqua" w:cs="Book Antiqua"/>
        </w:rPr>
        <w:t xml:space="preserve">patients who </w:t>
      </w:r>
      <w:r w:rsidR="00896444" w:rsidRPr="003E0C02">
        <w:rPr>
          <w:rFonts w:ascii="Book Antiqua" w:eastAsia="Book Antiqua" w:hAnsi="Book Antiqua" w:cs="Book Antiqua"/>
        </w:rPr>
        <w:t xml:space="preserve">were diagnosed </w:t>
      </w:r>
      <w:r w:rsidR="00F056A0" w:rsidRPr="003E0C02">
        <w:rPr>
          <w:rFonts w:ascii="Book Antiqua" w:eastAsia="Book Antiqua" w:hAnsi="Book Antiqua" w:cs="Book Antiqua"/>
        </w:rPr>
        <w:lastRenderedPageBreak/>
        <w:t xml:space="preserve">with </w:t>
      </w:r>
      <w:r w:rsidR="00896444" w:rsidRPr="003E0C02">
        <w:rPr>
          <w:rFonts w:ascii="Book Antiqua" w:eastAsia="Book Antiqua" w:hAnsi="Book Antiqua" w:cs="Book Antiqua"/>
        </w:rPr>
        <w:t xml:space="preserve">morbid obesity and </w:t>
      </w:r>
      <w:r w:rsidR="009A400D" w:rsidRPr="003E0C02">
        <w:rPr>
          <w:rFonts w:ascii="Book Antiqua" w:eastAsia="Book Antiqua" w:hAnsi="Book Antiqua" w:cs="Book Antiqua"/>
        </w:rPr>
        <w:t xml:space="preserve">received </w:t>
      </w:r>
      <w:r w:rsidRPr="003E0C02">
        <w:rPr>
          <w:rFonts w:ascii="Book Antiqua" w:eastAsia="Book Antiqua" w:hAnsi="Book Antiqua" w:cs="Book Antiqua"/>
        </w:rPr>
        <w:t xml:space="preserve">bariatric surgery in the study cohort and 1509 patients who </w:t>
      </w:r>
      <w:r w:rsidR="00896444" w:rsidRPr="003E0C02">
        <w:rPr>
          <w:rFonts w:ascii="Book Antiqua" w:eastAsia="Book Antiqua" w:hAnsi="Book Antiqua" w:cs="Book Antiqua"/>
        </w:rPr>
        <w:t xml:space="preserve">were diagnosed morbid obesity and </w:t>
      </w:r>
      <w:r w:rsidRPr="003E0C02">
        <w:rPr>
          <w:rFonts w:ascii="Book Antiqua" w:eastAsia="Book Antiqua" w:hAnsi="Book Antiqua" w:cs="Book Antiqua"/>
        </w:rPr>
        <w:t xml:space="preserve">did not </w:t>
      </w:r>
      <w:r w:rsidR="009A400D" w:rsidRPr="003E0C02">
        <w:rPr>
          <w:rFonts w:ascii="Book Antiqua" w:eastAsia="Book Antiqua" w:hAnsi="Book Antiqua" w:cs="Book Antiqua"/>
        </w:rPr>
        <w:t xml:space="preserve">receive </w:t>
      </w:r>
      <w:r w:rsidRPr="003E0C02">
        <w:rPr>
          <w:rFonts w:ascii="Book Antiqua" w:eastAsia="Book Antiqua" w:hAnsi="Book Antiqua" w:cs="Book Antiqua"/>
        </w:rPr>
        <w:t>bariatric surgery in the comparison cohort</w:t>
      </w:r>
      <w:r w:rsidR="00270011" w:rsidRPr="003E0C02">
        <w:rPr>
          <w:rFonts w:ascii="Book Antiqua" w:eastAsia="Book Antiqua" w:hAnsi="Book Antiqua" w:cs="Book Antiqua"/>
        </w:rPr>
        <w:t xml:space="preserve"> were </w:t>
      </w:r>
      <w:r w:rsidR="00307FE7" w:rsidRPr="003E0C02">
        <w:rPr>
          <w:rFonts w:ascii="Book Antiqua" w:eastAsia="Book Antiqua" w:hAnsi="Book Antiqua" w:cs="Book Antiqua"/>
        </w:rPr>
        <w:t>recruited</w:t>
      </w:r>
      <w:r w:rsidR="00270011" w:rsidRPr="003E0C02">
        <w:rPr>
          <w:rFonts w:ascii="Book Antiqua" w:eastAsia="Book Antiqua" w:hAnsi="Book Antiqua" w:cs="Book Antiqua"/>
        </w:rPr>
        <w:t>.</w:t>
      </w:r>
      <w:r w:rsidRPr="003E0C02">
        <w:rPr>
          <w:rFonts w:ascii="Book Antiqua" w:eastAsia="Book Antiqua" w:hAnsi="Book Antiqua" w:cs="Book Antiqua"/>
        </w:rPr>
        <w:t xml:space="preserve"> (Figure 1). </w:t>
      </w:r>
      <w:r w:rsidR="00892B0D" w:rsidRPr="003E0C02">
        <w:rPr>
          <w:rFonts w:ascii="Book Antiqua" w:eastAsia="Book Antiqua" w:hAnsi="Book Antiqua" w:cs="Book Antiqua"/>
        </w:rPr>
        <w:t>There w</w:t>
      </w:r>
      <w:r w:rsidR="00F056A0" w:rsidRPr="003E0C02">
        <w:rPr>
          <w:rFonts w:ascii="Book Antiqua" w:eastAsia="Book Antiqua" w:hAnsi="Book Antiqua" w:cs="Book Antiqua"/>
        </w:rPr>
        <w:t>ere significantly more</w:t>
      </w:r>
      <w:r w:rsidR="00892B0D" w:rsidRPr="003E0C02">
        <w:rPr>
          <w:rFonts w:ascii="Book Antiqua" w:eastAsia="Book Antiqua" w:hAnsi="Book Antiqua" w:cs="Book Antiqua"/>
        </w:rPr>
        <w:t xml:space="preserve"> female patients </w:t>
      </w:r>
      <w:r w:rsidRPr="003E0C02">
        <w:rPr>
          <w:rFonts w:ascii="Book Antiqua" w:eastAsia="Book Antiqua" w:hAnsi="Book Antiqua" w:cs="Book Antiqua"/>
        </w:rPr>
        <w:t xml:space="preserve">in the study cohort than that in the comparison cohort (64.8% </w:t>
      </w:r>
      <w:r w:rsidRPr="003E0C02">
        <w:rPr>
          <w:rFonts w:ascii="Book Antiqua" w:eastAsia="Book Antiqua" w:hAnsi="Book Antiqua" w:cs="Book Antiqua"/>
          <w:i/>
        </w:rPr>
        <w:t>vs</w:t>
      </w:r>
      <w:r w:rsidRPr="003E0C02">
        <w:rPr>
          <w:rFonts w:ascii="Book Antiqua" w:eastAsia="Book Antiqua" w:hAnsi="Book Antiqua" w:cs="Book Antiqua"/>
        </w:rPr>
        <w:t xml:space="preserve"> 54.2%, respectively, </w:t>
      </w:r>
      <w:r w:rsidRPr="003E0C02">
        <w:rPr>
          <w:rFonts w:ascii="Book Antiqua" w:eastAsia="Book Antiqua" w:hAnsi="Book Antiqua" w:cs="Book Antiqua"/>
          <w:i/>
          <w:iCs/>
        </w:rPr>
        <w:t>P</w:t>
      </w:r>
      <w:r w:rsidRPr="003E0C02">
        <w:rPr>
          <w:rFonts w:ascii="Book Antiqua" w:eastAsia="Book Antiqua" w:hAnsi="Book Antiqua" w:cs="Book Antiqua"/>
        </w:rPr>
        <w:t xml:space="preserve"> &lt; 0.0001) (Table 1). The mean age </w:t>
      </w:r>
      <w:r w:rsidR="00086DF8" w:rsidRPr="003E0C02">
        <w:rPr>
          <w:rFonts w:ascii="Book Antiqua" w:eastAsia="Book Antiqua" w:hAnsi="Book Antiqua" w:cs="Book Antiqua"/>
        </w:rPr>
        <w:t xml:space="preserve">of </w:t>
      </w:r>
      <w:r w:rsidRPr="003E0C02">
        <w:rPr>
          <w:rFonts w:ascii="Book Antiqua" w:eastAsia="Book Antiqua" w:hAnsi="Book Antiqua" w:cs="Book Antiqua"/>
        </w:rPr>
        <w:t xml:space="preserve">the study cohort was significant younger than that </w:t>
      </w:r>
      <w:r w:rsidR="00086DF8" w:rsidRPr="003E0C02">
        <w:rPr>
          <w:rFonts w:ascii="Book Antiqua" w:eastAsia="Book Antiqua" w:hAnsi="Book Antiqua" w:cs="Book Antiqua"/>
        </w:rPr>
        <w:t xml:space="preserve">of </w:t>
      </w:r>
      <w:r w:rsidRPr="003E0C02">
        <w:rPr>
          <w:rFonts w:ascii="Book Antiqua" w:eastAsia="Book Antiqua" w:hAnsi="Book Antiqua" w:cs="Book Antiqua"/>
        </w:rPr>
        <w:t xml:space="preserve">the comparison cohort (33.1 ± 9.1 </w:t>
      </w:r>
      <w:r w:rsidRPr="003E0C02">
        <w:rPr>
          <w:rFonts w:ascii="Book Antiqua" w:eastAsia="Book Antiqua" w:hAnsi="Book Antiqua" w:cs="Book Antiqua"/>
          <w:i/>
        </w:rPr>
        <w:t>vs</w:t>
      </w:r>
      <w:r w:rsidRPr="003E0C02">
        <w:rPr>
          <w:rFonts w:ascii="Book Antiqua" w:eastAsia="Book Antiqua" w:hAnsi="Book Antiqua" w:cs="Book Antiqua"/>
        </w:rPr>
        <w:t xml:space="preserve"> 44.3 ± 15.3, respectively, </w:t>
      </w:r>
      <w:r w:rsidRPr="003E0C02">
        <w:rPr>
          <w:rFonts w:ascii="Book Antiqua" w:eastAsia="Book Antiqua" w:hAnsi="Book Antiqua" w:cs="Book Antiqua"/>
          <w:i/>
          <w:iCs/>
        </w:rPr>
        <w:t>P</w:t>
      </w:r>
      <w:r w:rsidRPr="003E0C02">
        <w:rPr>
          <w:rFonts w:ascii="Book Antiqua" w:eastAsia="Book Antiqua" w:hAnsi="Book Antiqua" w:cs="Book Antiqua"/>
        </w:rPr>
        <w:t xml:space="preserve"> &lt; 0.0001). </w:t>
      </w:r>
      <w:r w:rsidR="00086DF8" w:rsidRPr="003E0C02">
        <w:rPr>
          <w:rFonts w:ascii="Book Antiqua" w:eastAsia="Book Antiqua" w:hAnsi="Book Antiqua" w:cs="Book Antiqua"/>
        </w:rPr>
        <w:t xml:space="preserve">Compared to </w:t>
      </w:r>
      <w:r w:rsidR="00F056A0" w:rsidRPr="003E0C02">
        <w:rPr>
          <w:rFonts w:ascii="Book Antiqua" w:eastAsia="Book Antiqua" w:hAnsi="Book Antiqua" w:cs="Book Antiqua"/>
        </w:rPr>
        <w:t xml:space="preserve">the </w:t>
      </w:r>
      <w:r w:rsidR="00086DF8" w:rsidRPr="003E0C02">
        <w:rPr>
          <w:rFonts w:ascii="Book Antiqua" w:eastAsia="Book Antiqua" w:hAnsi="Book Antiqua" w:cs="Book Antiqua"/>
        </w:rPr>
        <w:t>comparison cohort, some</w:t>
      </w:r>
      <w:r w:rsidRPr="003E0C02">
        <w:rPr>
          <w:rFonts w:ascii="Book Antiqua" w:eastAsia="Book Antiqua" w:hAnsi="Book Antiqua" w:cs="Book Antiqua"/>
        </w:rPr>
        <w:t xml:space="preserve"> demographic characteristics, </w:t>
      </w:r>
      <w:r w:rsidR="008A5470" w:rsidRPr="003E0C02">
        <w:rPr>
          <w:rFonts w:ascii="Book Antiqua" w:eastAsia="Book Antiqua" w:hAnsi="Book Antiqua" w:cs="Book Antiqua"/>
        </w:rPr>
        <w:t>like</w:t>
      </w:r>
      <w:r w:rsidRPr="003E0C02">
        <w:rPr>
          <w:rFonts w:ascii="Book Antiqua" w:eastAsia="Book Antiqua" w:hAnsi="Book Antiqua" w:cs="Book Antiqua"/>
        </w:rPr>
        <w:t xml:space="preserve"> </w:t>
      </w:r>
      <w:r w:rsidR="0027767D" w:rsidRPr="003E0C02">
        <w:rPr>
          <w:rFonts w:ascii="Book Antiqua" w:eastAsia="Book Antiqua" w:hAnsi="Book Antiqua" w:cs="Book Antiqua"/>
        </w:rPr>
        <w:t xml:space="preserve">hypertension, </w:t>
      </w:r>
      <w:r w:rsidRPr="003E0C02">
        <w:rPr>
          <w:rFonts w:ascii="Book Antiqua" w:eastAsia="Book Antiqua" w:hAnsi="Book Antiqua" w:cs="Book Antiqua"/>
        </w:rPr>
        <w:t xml:space="preserve">hyperlipidemia, </w:t>
      </w:r>
      <w:r w:rsidR="0027767D" w:rsidRPr="003E0C02">
        <w:rPr>
          <w:rFonts w:ascii="Book Antiqua" w:eastAsia="Book Antiqua" w:hAnsi="Book Antiqua" w:cs="Book Antiqua"/>
        </w:rPr>
        <w:t>coronary artery disease</w:t>
      </w:r>
      <w:r w:rsidRPr="003E0C02">
        <w:rPr>
          <w:rFonts w:ascii="Book Antiqua" w:eastAsia="Book Antiqua" w:hAnsi="Book Antiqua" w:cs="Book Antiqua"/>
        </w:rPr>
        <w:t xml:space="preserve">, </w:t>
      </w:r>
      <w:r w:rsidR="0027767D" w:rsidRPr="003E0C02">
        <w:rPr>
          <w:rFonts w:ascii="Book Antiqua" w:eastAsia="Book Antiqua" w:hAnsi="Book Antiqua" w:cs="Book Antiqua"/>
        </w:rPr>
        <w:t>congestive heart failure</w:t>
      </w:r>
      <w:r w:rsidRPr="003E0C02">
        <w:rPr>
          <w:rFonts w:ascii="Book Antiqua" w:eastAsia="Book Antiqua" w:hAnsi="Book Antiqua" w:cs="Book Antiqua"/>
        </w:rPr>
        <w:t xml:space="preserve">, stroke, </w:t>
      </w:r>
      <w:r w:rsidR="0071421D" w:rsidRPr="003E0C02">
        <w:rPr>
          <w:rFonts w:ascii="Book Antiqua" w:eastAsia="Book Antiqua" w:hAnsi="Book Antiqua" w:cs="Book Antiqua"/>
        </w:rPr>
        <w:t>peripheral arterial occlusive disease</w:t>
      </w:r>
      <w:r w:rsidRPr="003E0C02">
        <w:rPr>
          <w:rFonts w:ascii="Book Antiqua" w:eastAsia="Book Antiqua" w:hAnsi="Book Antiqua" w:cs="Book Antiqua"/>
        </w:rPr>
        <w:t>,</w:t>
      </w:r>
      <w:r w:rsidR="00C95123" w:rsidRPr="003E0C02">
        <w:rPr>
          <w:rFonts w:ascii="Book Antiqua" w:eastAsia="Book Antiqua" w:hAnsi="Book Antiqua" w:cs="Book Antiqua"/>
        </w:rPr>
        <w:t xml:space="preserve"> chronic kidney disease, chronic obstructive pulmonary disease,</w:t>
      </w:r>
      <w:r w:rsidRPr="003E0C02">
        <w:rPr>
          <w:rFonts w:ascii="Book Antiqua" w:eastAsia="Book Antiqua" w:hAnsi="Book Antiqua" w:cs="Book Antiqua"/>
        </w:rPr>
        <w:t xml:space="preserve"> </w:t>
      </w:r>
      <w:r w:rsidR="00C95123" w:rsidRPr="003E0C02">
        <w:rPr>
          <w:rFonts w:ascii="Book Antiqua" w:eastAsia="Book Antiqua" w:hAnsi="Book Antiqua" w:cs="Book Antiqua"/>
        </w:rPr>
        <w:t xml:space="preserve">diabetes mellitus, </w:t>
      </w:r>
      <w:r w:rsidRPr="003E0C02">
        <w:rPr>
          <w:rFonts w:ascii="Book Antiqua" w:eastAsia="Book Antiqua" w:hAnsi="Book Antiqua" w:cs="Book Antiqua"/>
        </w:rPr>
        <w:t>gastrointestinal ulcer,</w:t>
      </w:r>
      <w:r w:rsidR="0071421D" w:rsidRPr="003E0C02">
        <w:rPr>
          <w:rFonts w:ascii="Book Antiqua" w:eastAsia="Book Antiqua" w:hAnsi="Book Antiqua" w:cs="Book Antiqua"/>
        </w:rPr>
        <w:t xml:space="preserve"> </w:t>
      </w:r>
      <w:r w:rsidRPr="003E0C02">
        <w:rPr>
          <w:rFonts w:ascii="Book Antiqua" w:eastAsia="Book Antiqua" w:hAnsi="Book Antiqua" w:cs="Book Antiqua"/>
        </w:rPr>
        <w:t>and gastrointestinal hemorrhage were significantly lower</w:t>
      </w:r>
      <w:r w:rsidR="00086DF8" w:rsidRPr="003E0C02">
        <w:rPr>
          <w:rFonts w:ascii="Book Antiqua" w:eastAsia="Book Antiqua" w:hAnsi="Book Antiqua" w:cs="Book Antiqua"/>
        </w:rPr>
        <w:t xml:space="preserve"> (</w:t>
      </w:r>
      <w:r w:rsidR="00086DF8" w:rsidRPr="003E0C02">
        <w:rPr>
          <w:rFonts w:ascii="Book Antiqua" w:eastAsia="Book Antiqua" w:hAnsi="Book Antiqua" w:cs="Book Antiqua"/>
          <w:i/>
          <w:iCs/>
        </w:rPr>
        <w:t>P</w:t>
      </w:r>
      <w:r w:rsidR="00086DF8" w:rsidRPr="003E0C02">
        <w:rPr>
          <w:rFonts w:ascii="Book Antiqua" w:eastAsia="Book Antiqua" w:hAnsi="Book Antiqua" w:cs="Book Antiqua"/>
        </w:rPr>
        <w:t xml:space="preserve"> &lt; 0.0001)</w:t>
      </w:r>
      <w:r w:rsidRPr="003E0C02">
        <w:rPr>
          <w:rFonts w:ascii="Book Antiqua" w:eastAsia="Book Antiqua" w:hAnsi="Book Antiqua" w:cs="Book Antiqua"/>
        </w:rPr>
        <w:t xml:space="preserve"> in the study cohort. The means (median) of </w:t>
      </w:r>
      <w:r w:rsidR="00F056A0" w:rsidRPr="003E0C02">
        <w:rPr>
          <w:rFonts w:ascii="Book Antiqua" w:eastAsia="Book Antiqua" w:hAnsi="Book Antiqua" w:cs="Book Antiqua"/>
        </w:rPr>
        <w:t xml:space="preserve">the </w:t>
      </w:r>
      <w:r w:rsidRPr="003E0C02">
        <w:rPr>
          <w:rFonts w:ascii="Book Antiqua" w:eastAsia="Book Antiqua" w:hAnsi="Book Antiqua" w:cs="Book Antiqua"/>
        </w:rPr>
        <w:t>follow-up period were 5.68 (5.31) years</w:t>
      </w:r>
      <w:r w:rsidR="00896444" w:rsidRPr="003E0C02">
        <w:rPr>
          <w:rFonts w:ascii="Book Antiqua" w:eastAsia="Book Antiqua" w:hAnsi="Book Antiqua" w:cs="Book Antiqua"/>
        </w:rPr>
        <w:t xml:space="preserve"> for the study</w:t>
      </w:r>
      <w:r w:rsidRPr="003E0C02">
        <w:rPr>
          <w:rFonts w:ascii="Book Antiqua" w:eastAsia="Book Antiqua" w:hAnsi="Book Antiqua" w:cs="Book Antiqua"/>
        </w:rPr>
        <w:t xml:space="preserve"> </w:t>
      </w:r>
      <w:r w:rsidR="00896444" w:rsidRPr="003E0C02">
        <w:rPr>
          <w:rFonts w:ascii="Book Antiqua" w:eastAsia="Book Antiqua" w:hAnsi="Book Antiqua" w:cs="Book Antiqua"/>
        </w:rPr>
        <w:t xml:space="preserve">cohort </w:t>
      </w:r>
      <w:r w:rsidRPr="003E0C02">
        <w:rPr>
          <w:rFonts w:ascii="Book Antiqua" w:eastAsia="Book Antiqua" w:hAnsi="Book Antiqua" w:cs="Book Antiqua"/>
        </w:rPr>
        <w:t>and 4.21 (3.84) years for the comparison cohort.</w:t>
      </w:r>
    </w:p>
    <w:p w14:paraId="12743340" w14:textId="6D6157C7" w:rsidR="00A77B3E" w:rsidRPr="003E0C02" w:rsidRDefault="00667B90" w:rsidP="003E0C02">
      <w:pPr>
        <w:snapToGrid w:val="0"/>
        <w:spacing w:line="360" w:lineRule="auto"/>
        <w:ind w:firstLine="238"/>
        <w:jc w:val="both"/>
      </w:pPr>
      <w:r w:rsidRPr="003E0C02">
        <w:rPr>
          <w:rFonts w:ascii="Book Antiqua" w:eastAsia="Book Antiqua" w:hAnsi="Book Antiqua" w:cs="Book Antiqua"/>
        </w:rPr>
        <w:t xml:space="preserve">In Table 2, </w:t>
      </w:r>
      <w:r w:rsidR="00AA1E93" w:rsidRPr="003E0C02">
        <w:rPr>
          <w:rFonts w:ascii="Book Antiqua" w:eastAsia="Book Antiqua" w:hAnsi="Book Antiqua" w:cs="Book Antiqua"/>
        </w:rPr>
        <w:t xml:space="preserve">asthma, </w:t>
      </w:r>
      <w:r w:rsidR="00892B0D" w:rsidRPr="003E0C02">
        <w:rPr>
          <w:rFonts w:ascii="Book Antiqua" w:eastAsia="Book Antiqua" w:hAnsi="Book Antiqua" w:cs="Book Antiqua"/>
        </w:rPr>
        <w:t xml:space="preserve">female sex, </w:t>
      </w:r>
      <w:r w:rsidR="00AA1E93" w:rsidRPr="003E0C02">
        <w:rPr>
          <w:rFonts w:ascii="Book Antiqua" w:eastAsia="Book Antiqua" w:hAnsi="Book Antiqua" w:cs="Book Antiqua"/>
        </w:rPr>
        <w:t>and gastrointestinal ulcer increased the risk of anemia</w:t>
      </w:r>
      <w:r w:rsidR="00DC35D2" w:rsidRPr="003E0C02">
        <w:rPr>
          <w:rFonts w:ascii="Book Antiqua" w:eastAsia="Book Antiqua" w:hAnsi="Book Antiqua" w:cs="Book Antiqua"/>
        </w:rPr>
        <w:t xml:space="preserve"> significantly</w:t>
      </w:r>
      <w:r w:rsidRPr="003E0C02">
        <w:rPr>
          <w:rFonts w:ascii="Book Antiqua" w:eastAsia="Book Antiqua" w:hAnsi="Book Antiqua" w:cs="Book Antiqua"/>
        </w:rPr>
        <w:t xml:space="preserve"> according to </w:t>
      </w:r>
      <w:r w:rsidR="00F056A0" w:rsidRPr="003E0C02">
        <w:rPr>
          <w:rFonts w:ascii="Book Antiqua" w:eastAsia="Book Antiqua" w:hAnsi="Book Antiqua" w:cs="Book Antiqua"/>
        </w:rPr>
        <w:t xml:space="preserve">the </w:t>
      </w:r>
      <w:r w:rsidRPr="003E0C02">
        <w:rPr>
          <w:rFonts w:ascii="Book Antiqua" w:eastAsia="Book Antiqua" w:hAnsi="Book Antiqua" w:cs="Book Antiqua"/>
        </w:rPr>
        <w:t>univariate analyses</w:t>
      </w:r>
      <w:r w:rsidR="00AA1E93" w:rsidRPr="003E0C02">
        <w:rPr>
          <w:rFonts w:ascii="Book Antiqua" w:eastAsia="Book Antiqua" w:hAnsi="Book Antiqua" w:cs="Book Antiqua"/>
        </w:rPr>
        <w:t xml:space="preserve">. </w:t>
      </w:r>
      <w:r w:rsidR="00896444" w:rsidRPr="003E0C02">
        <w:rPr>
          <w:rFonts w:ascii="Book Antiqua" w:eastAsia="Book Antiqua" w:hAnsi="Book Antiqua" w:cs="Book Antiqua"/>
        </w:rPr>
        <w:t>Receiving</w:t>
      </w:r>
      <w:r w:rsidR="008A5470" w:rsidRPr="003E0C02">
        <w:rPr>
          <w:rFonts w:ascii="Book Antiqua" w:eastAsia="Book Antiqua" w:hAnsi="Book Antiqua" w:cs="Book Antiqua"/>
        </w:rPr>
        <w:t xml:space="preserve"> </w:t>
      </w:r>
      <w:r w:rsidR="00F056A0" w:rsidRPr="003E0C02">
        <w:rPr>
          <w:rFonts w:ascii="Book Antiqua" w:eastAsia="Book Antiqua" w:hAnsi="Book Antiqua" w:cs="Book Antiqua"/>
        </w:rPr>
        <w:t>b</w:t>
      </w:r>
      <w:r w:rsidR="00AA1E93" w:rsidRPr="003E0C02">
        <w:rPr>
          <w:rFonts w:ascii="Book Antiqua" w:eastAsia="Book Antiqua" w:hAnsi="Book Antiqua" w:cs="Book Antiqua"/>
        </w:rPr>
        <w:t>ariatric surgery increased the r</w:t>
      </w:r>
      <w:r w:rsidR="001046F6" w:rsidRPr="003E0C02">
        <w:rPr>
          <w:rFonts w:ascii="Book Antiqua" w:eastAsia="Book Antiqua" w:hAnsi="Book Antiqua" w:cs="Book Antiqua"/>
        </w:rPr>
        <w:t>ate of anemia</w:t>
      </w:r>
      <w:r w:rsidR="00DC35D2" w:rsidRPr="003E0C02">
        <w:rPr>
          <w:rFonts w:ascii="Book Antiqua" w:eastAsia="Book Antiqua" w:hAnsi="Book Antiqua" w:cs="Book Antiqua"/>
        </w:rPr>
        <w:t xml:space="preserve"> significantly</w:t>
      </w:r>
      <w:r w:rsidR="001046F6" w:rsidRPr="003E0C02">
        <w:rPr>
          <w:rFonts w:ascii="Book Antiqua" w:eastAsia="Book Antiqua" w:hAnsi="Book Antiqua" w:cs="Book Antiqua"/>
        </w:rPr>
        <w:t xml:space="preserve"> (HR = 1.71; 95%CI</w:t>
      </w:r>
      <w:r w:rsidR="001046F6" w:rsidRPr="003E0C02">
        <w:rPr>
          <w:rFonts w:ascii="Book Antiqua" w:hAnsi="Book Antiqua" w:cs="Book Antiqua"/>
          <w:lang w:eastAsia="zh-CN"/>
        </w:rPr>
        <w:t>:</w:t>
      </w:r>
      <w:r w:rsidR="00AA1E93" w:rsidRPr="003E0C02">
        <w:rPr>
          <w:rFonts w:ascii="Book Antiqua" w:eastAsia="Book Antiqua" w:hAnsi="Book Antiqua" w:cs="Book Antiqua"/>
        </w:rPr>
        <w:t xml:space="preserve"> 1.2</w:t>
      </w:r>
      <w:r w:rsidR="009D3845" w:rsidRPr="003E0C02">
        <w:rPr>
          <w:rFonts w:ascii="Book Antiqua" w:eastAsia="Book Antiqua" w:hAnsi="Book Antiqua" w:cs="Book Antiqua"/>
        </w:rPr>
        <w:t>-</w:t>
      </w:r>
      <w:r w:rsidR="00AA1E93" w:rsidRPr="003E0C02">
        <w:rPr>
          <w:rFonts w:ascii="Book Antiqua" w:eastAsia="Book Antiqua" w:hAnsi="Book Antiqua" w:cs="Book Antiqua"/>
        </w:rPr>
        <w:t xml:space="preserve">2.44; </w:t>
      </w:r>
      <w:r w:rsidR="00AA1E93" w:rsidRPr="003E0C02">
        <w:rPr>
          <w:rFonts w:ascii="Book Antiqua" w:eastAsia="Book Antiqua" w:hAnsi="Book Antiqua" w:cs="Book Antiqua"/>
          <w:i/>
          <w:iCs/>
        </w:rPr>
        <w:t>P</w:t>
      </w:r>
      <w:r w:rsidR="00AA1E93" w:rsidRPr="003E0C02">
        <w:rPr>
          <w:rFonts w:ascii="Book Antiqua" w:eastAsia="Book Antiqua" w:hAnsi="Book Antiqua" w:cs="Book Antiqua"/>
        </w:rPr>
        <w:t xml:space="preserve"> = 0.003).</w:t>
      </w:r>
      <w:r w:rsidR="00F056A0" w:rsidRPr="003E0C02">
        <w:rPr>
          <w:rFonts w:ascii="Book Antiqua" w:eastAsia="Book Antiqua" w:hAnsi="Book Antiqua" w:cs="Book Antiqua"/>
        </w:rPr>
        <w:t xml:space="preserve"> </w:t>
      </w:r>
      <w:r w:rsidR="002E1D94" w:rsidRPr="003E0C02">
        <w:rPr>
          <w:rFonts w:ascii="Book Antiqua" w:eastAsia="Book Antiqua" w:hAnsi="Book Antiqua" w:cs="Book Antiqua"/>
        </w:rPr>
        <w:t>Receiving</w:t>
      </w:r>
      <w:r w:rsidR="00896444" w:rsidRPr="003E0C02">
        <w:rPr>
          <w:rFonts w:ascii="Book Antiqua" w:eastAsia="Book Antiqua" w:hAnsi="Book Antiqua" w:cs="Book Antiqua"/>
        </w:rPr>
        <w:t xml:space="preserve"> </w:t>
      </w:r>
      <w:r w:rsidR="00AA1E93" w:rsidRPr="003E0C02">
        <w:rPr>
          <w:rFonts w:ascii="Book Antiqua" w:eastAsia="Book Antiqua" w:hAnsi="Book Antiqua" w:cs="Book Antiqua"/>
        </w:rPr>
        <w:t>bariatric surgery</w:t>
      </w:r>
      <w:r w:rsidR="008F073E" w:rsidRPr="003E0C02">
        <w:rPr>
          <w:rFonts w:ascii="Book Antiqua" w:eastAsia="Book Antiqua" w:hAnsi="Book Antiqua" w:cs="Book Antiqua"/>
        </w:rPr>
        <w:t xml:space="preserve"> also</w:t>
      </w:r>
      <w:r w:rsidR="00AA1E93" w:rsidRPr="003E0C02">
        <w:rPr>
          <w:rFonts w:ascii="Book Antiqua" w:eastAsia="Book Antiqua" w:hAnsi="Book Antiqua" w:cs="Book Antiqua"/>
        </w:rPr>
        <w:t xml:space="preserve"> </w:t>
      </w:r>
      <w:r w:rsidR="00892B0D" w:rsidRPr="003E0C02">
        <w:rPr>
          <w:rFonts w:ascii="Book Antiqua" w:eastAsia="Book Antiqua" w:hAnsi="Book Antiqua" w:cs="Book Antiqua"/>
        </w:rPr>
        <w:t xml:space="preserve">caused </w:t>
      </w:r>
      <w:r w:rsidR="00AA1E93" w:rsidRPr="003E0C02">
        <w:rPr>
          <w:rFonts w:ascii="Book Antiqua" w:eastAsia="Book Antiqua" w:hAnsi="Book Antiqua" w:cs="Book Antiqua"/>
        </w:rPr>
        <w:t>a significantly increased rate of anemia after adjusting for the potential confound</w:t>
      </w:r>
      <w:r w:rsidR="00086DF8" w:rsidRPr="003E0C02">
        <w:rPr>
          <w:rFonts w:ascii="Book Antiqua" w:eastAsia="Book Antiqua" w:hAnsi="Book Antiqua" w:cs="Book Antiqua"/>
        </w:rPr>
        <w:t>ing factors</w:t>
      </w:r>
      <w:r w:rsidR="00AA1E93" w:rsidRPr="003E0C02">
        <w:rPr>
          <w:rFonts w:ascii="Book Antiqua" w:eastAsia="Book Antiqua" w:hAnsi="Book Antiqua" w:cs="Book Antiqua"/>
        </w:rPr>
        <w:t xml:space="preserve"> of</w:t>
      </w:r>
      <w:r w:rsidR="00E7097F" w:rsidRPr="003E0C02">
        <w:rPr>
          <w:rFonts w:ascii="Book Antiqua" w:hAnsi="Book Antiqua" w:cs="Book Antiqua"/>
          <w:lang w:eastAsia="zh-CN"/>
        </w:rPr>
        <w:t xml:space="preserve"> </w:t>
      </w:r>
      <w:r w:rsidR="0027767D" w:rsidRPr="003E0C02">
        <w:rPr>
          <w:rFonts w:ascii="Book Antiqua" w:eastAsia="Book Antiqua" w:hAnsi="Book Antiqua" w:cs="Book Antiqua"/>
        </w:rPr>
        <w:t xml:space="preserve">gender, </w:t>
      </w:r>
      <w:r w:rsidR="00086DF8" w:rsidRPr="003E0C02">
        <w:rPr>
          <w:rFonts w:ascii="Book Antiqua" w:eastAsia="Book Antiqua" w:hAnsi="Book Antiqua" w:cs="Book Antiqua"/>
        </w:rPr>
        <w:t>age,</w:t>
      </w:r>
      <w:r w:rsidR="00AA1E93" w:rsidRPr="003E0C02">
        <w:rPr>
          <w:rFonts w:ascii="Book Antiqua" w:eastAsia="Book Antiqua" w:hAnsi="Book Antiqua" w:cs="Book Antiqua"/>
        </w:rPr>
        <w:t xml:space="preserve"> and all comorbidi</w:t>
      </w:r>
      <w:r w:rsidR="001046F6" w:rsidRPr="003E0C02">
        <w:rPr>
          <w:rFonts w:ascii="Book Antiqua" w:eastAsia="Book Antiqua" w:hAnsi="Book Antiqua" w:cs="Book Antiqua"/>
        </w:rPr>
        <w:t>ties</w:t>
      </w:r>
      <w:r w:rsidR="008F073E" w:rsidRPr="003E0C02">
        <w:rPr>
          <w:rFonts w:ascii="Book Antiqua" w:eastAsia="Book Antiqua" w:hAnsi="Book Antiqua" w:cs="Book Antiqua"/>
        </w:rPr>
        <w:t xml:space="preserve"> in multivariate analyses</w:t>
      </w:r>
      <w:r w:rsidR="001046F6" w:rsidRPr="003E0C02">
        <w:rPr>
          <w:rFonts w:ascii="Book Antiqua" w:eastAsia="Book Antiqua" w:hAnsi="Book Antiqua" w:cs="Book Antiqua"/>
        </w:rPr>
        <w:t xml:space="preserve"> (adjusted HR = 2.36; 95%CI</w:t>
      </w:r>
      <w:r w:rsidR="001046F6" w:rsidRPr="003E0C02">
        <w:rPr>
          <w:rFonts w:ascii="Book Antiqua" w:hAnsi="Book Antiqua" w:cs="Book Antiqua"/>
          <w:lang w:eastAsia="zh-CN"/>
        </w:rPr>
        <w:t>:</w:t>
      </w:r>
      <w:r w:rsidR="00AA1E93" w:rsidRPr="003E0C02">
        <w:rPr>
          <w:rFonts w:ascii="Book Antiqua" w:eastAsia="Book Antiqua" w:hAnsi="Book Antiqua" w:cs="Book Antiqua"/>
        </w:rPr>
        <w:t xml:space="preserve"> 1.52</w:t>
      </w:r>
      <w:r w:rsidR="009D3845" w:rsidRPr="003E0C02">
        <w:rPr>
          <w:rFonts w:ascii="Book Antiqua" w:eastAsia="Book Antiqua" w:hAnsi="Book Antiqua" w:cs="Book Antiqua"/>
        </w:rPr>
        <w:t>-</w:t>
      </w:r>
      <w:r w:rsidR="00AA1E93" w:rsidRPr="003E0C02">
        <w:rPr>
          <w:rFonts w:ascii="Book Antiqua" w:eastAsia="Book Antiqua" w:hAnsi="Book Antiqua" w:cs="Book Antiqua"/>
        </w:rPr>
        <w:t xml:space="preserve">3.65; </w:t>
      </w:r>
      <w:r w:rsidR="00AA1E93" w:rsidRPr="003E0C02">
        <w:rPr>
          <w:rFonts w:ascii="Book Antiqua" w:eastAsia="Book Antiqua" w:hAnsi="Book Antiqua" w:cs="Book Antiqua"/>
          <w:i/>
          <w:iCs/>
        </w:rPr>
        <w:t>P</w:t>
      </w:r>
      <w:r w:rsidR="00AA1E93" w:rsidRPr="003E0C02">
        <w:rPr>
          <w:rFonts w:ascii="Book Antiqua" w:eastAsia="Book Antiqua" w:hAnsi="Book Antiqua" w:cs="Book Antiqua"/>
        </w:rPr>
        <w:t xml:space="preserve"> = 0.0001).</w:t>
      </w:r>
    </w:p>
    <w:p w14:paraId="0EDED134" w14:textId="77777777" w:rsidR="00A77B3E" w:rsidRPr="003E0C02" w:rsidRDefault="00667B90" w:rsidP="003E0C02">
      <w:pPr>
        <w:snapToGrid w:val="0"/>
        <w:spacing w:line="360" w:lineRule="auto"/>
        <w:ind w:firstLine="238"/>
        <w:jc w:val="both"/>
      </w:pPr>
      <w:r w:rsidRPr="003E0C02">
        <w:rPr>
          <w:rFonts w:ascii="Book Antiqua" w:eastAsia="Book Antiqua" w:hAnsi="Book Antiqua" w:cs="Book Antiqua"/>
        </w:rPr>
        <w:t>The</w:t>
      </w:r>
      <w:r w:rsidR="00AA1E93" w:rsidRPr="003E0C02">
        <w:rPr>
          <w:rFonts w:ascii="Book Antiqua" w:eastAsia="Book Antiqua" w:hAnsi="Book Antiqua" w:cs="Book Antiqua"/>
        </w:rPr>
        <w:t xml:space="preserve"> Kaplan-Meier curves of </w:t>
      </w:r>
      <w:r w:rsidR="00E63B40" w:rsidRPr="003E0C02">
        <w:rPr>
          <w:rFonts w:ascii="Book Antiqua" w:eastAsia="Book Antiqua" w:hAnsi="Book Antiqua" w:cs="Book Antiqua"/>
        </w:rPr>
        <w:t>the</w:t>
      </w:r>
      <w:r w:rsidR="008F073E" w:rsidRPr="003E0C02">
        <w:rPr>
          <w:rFonts w:ascii="Book Antiqua" w:eastAsia="Book Antiqua" w:hAnsi="Book Antiqua" w:cs="Book Antiqua"/>
        </w:rPr>
        <w:t xml:space="preserve"> both</w:t>
      </w:r>
      <w:r w:rsidR="00AA1E93" w:rsidRPr="003E0C02">
        <w:rPr>
          <w:rFonts w:ascii="Book Antiqua" w:eastAsia="Book Antiqua" w:hAnsi="Book Antiqua" w:cs="Book Antiqua"/>
        </w:rPr>
        <w:t xml:space="preserve"> cohort</w:t>
      </w:r>
      <w:r w:rsidR="008F073E" w:rsidRPr="003E0C02">
        <w:rPr>
          <w:rFonts w:ascii="Book Antiqua" w:eastAsia="Book Antiqua" w:hAnsi="Book Antiqua" w:cs="Book Antiqua"/>
        </w:rPr>
        <w:t>s</w:t>
      </w:r>
      <w:r w:rsidR="00AA1E93" w:rsidRPr="003E0C02">
        <w:rPr>
          <w:rFonts w:ascii="Book Antiqua" w:eastAsia="Book Antiqua" w:hAnsi="Book Antiqua" w:cs="Book Antiqua"/>
        </w:rPr>
        <w:t xml:space="preserve"> </w:t>
      </w:r>
      <w:r w:rsidR="00E63B40" w:rsidRPr="003E0C02">
        <w:rPr>
          <w:rFonts w:ascii="Book Antiqua" w:eastAsia="Book Antiqua" w:hAnsi="Book Antiqua" w:cs="Book Antiqua"/>
        </w:rPr>
        <w:t xml:space="preserve">suggested </w:t>
      </w:r>
      <w:r w:rsidR="00AA1E93" w:rsidRPr="003E0C02">
        <w:rPr>
          <w:rFonts w:ascii="Book Antiqua" w:eastAsia="Book Antiqua" w:hAnsi="Book Antiqua" w:cs="Book Antiqua"/>
        </w:rPr>
        <w:t>significantly increasing cumulative incidence of anemia in the study cohort</w:t>
      </w:r>
      <w:r w:rsidR="004B039E" w:rsidRPr="003E0C02">
        <w:rPr>
          <w:rFonts w:ascii="Book Antiqua" w:eastAsia="Book Antiqua" w:hAnsi="Book Antiqua" w:cs="Book Antiqua"/>
        </w:rPr>
        <w:t xml:space="preserve"> (with bariatric surgery)</w:t>
      </w:r>
      <w:r w:rsidR="00AA1E93" w:rsidRPr="003E0C02">
        <w:rPr>
          <w:rFonts w:ascii="Book Antiqua" w:eastAsia="Book Antiqua" w:hAnsi="Book Antiqua" w:cs="Book Antiqua"/>
        </w:rPr>
        <w:t xml:space="preserve"> (</w:t>
      </w:r>
      <w:r w:rsidR="00AA1E93" w:rsidRPr="003E0C02">
        <w:rPr>
          <w:rFonts w:ascii="Book Antiqua" w:eastAsia="Book Antiqua" w:hAnsi="Book Antiqua" w:cs="Book Antiqua"/>
          <w:i/>
          <w:iCs/>
        </w:rPr>
        <w:t>P</w:t>
      </w:r>
      <w:r w:rsidR="00AA1E93" w:rsidRPr="003E0C02">
        <w:rPr>
          <w:rFonts w:ascii="Book Antiqua" w:eastAsia="Book Antiqua" w:hAnsi="Book Antiqua" w:cs="Book Antiqua"/>
        </w:rPr>
        <w:t xml:space="preserve"> = 0.0002)</w:t>
      </w:r>
      <w:r w:rsidR="009D3845" w:rsidRPr="003E0C02">
        <w:rPr>
          <w:rFonts w:ascii="Book Antiqua" w:eastAsia="Book Antiqua" w:hAnsi="Book Antiqua" w:cs="Book Antiqua"/>
        </w:rPr>
        <w:t xml:space="preserve"> </w:t>
      </w:r>
      <w:proofErr w:type="gramStart"/>
      <w:r w:rsidRPr="003E0C02">
        <w:rPr>
          <w:rFonts w:ascii="Book Antiqua" w:eastAsia="Book Antiqua" w:hAnsi="Book Antiqua" w:cs="Book Antiqua"/>
        </w:rPr>
        <w:t>( Figure</w:t>
      </w:r>
      <w:proofErr w:type="gramEnd"/>
      <w:r w:rsidRPr="003E0C02">
        <w:rPr>
          <w:rFonts w:ascii="Book Antiqua" w:eastAsia="Book Antiqua" w:hAnsi="Book Antiqua" w:cs="Book Antiqua"/>
        </w:rPr>
        <w:t xml:space="preserve"> 2)</w:t>
      </w:r>
      <w:r w:rsidR="00AA1E93" w:rsidRPr="003E0C02">
        <w:rPr>
          <w:rFonts w:ascii="Book Antiqua" w:eastAsia="Book Antiqua" w:hAnsi="Book Antiqua" w:cs="Book Antiqua"/>
        </w:rPr>
        <w:t>.</w:t>
      </w:r>
    </w:p>
    <w:p w14:paraId="150C7F26" w14:textId="77777777" w:rsidR="00A77B3E" w:rsidRPr="003E0C02" w:rsidRDefault="00AA1E93" w:rsidP="003E0C02">
      <w:pPr>
        <w:snapToGrid w:val="0"/>
        <w:spacing w:line="360" w:lineRule="auto"/>
        <w:ind w:firstLine="238"/>
        <w:jc w:val="both"/>
      </w:pPr>
      <w:r w:rsidRPr="003E0C02">
        <w:rPr>
          <w:rFonts w:ascii="Book Antiqua" w:eastAsia="Book Antiqua" w:hAnsi="Book Antiqua" w:cs="Book Antiqua"/>
        </w:rPr>
        <w:t xml:space="preserve">In Table 3, the HR of </w:t>
      </w:r>
      <w:r w:rsidR="008F073E" w:rsidRPr="003E0C02">
        <w:rPr>
          <w:rFonts w:ascii="Book Antiqua" w:eastAsia="Book Antiqua" w:hAnsi="Book Antiqua" w:cs="Book Antiqua"/>
        </w:rPr>
        <w:t xml:space="preserve">post-bariatric surgery anemia </w:t>
      </w:r>
      <w:r w:rsidR="00E63B40" w:rsidRPr="003E0C02">
        <w:rPr>
          <w:rFonts w:ascii="Book Antiqua" w:eastAsia="Book Antiqua" w:hAnsi="Book Antiqua" w:cs="Book Antiqua"/>
        </w:rPr>
        <w:t>and the incidence rate</w:t>
      </w:r>
      <w:r w:rsidR="00892B0D" w:rsidRPr="003E0C02">
        <w:rPr>
          <w:rFonts w:ascii="Book Antiqua" w:eastAsia="Book Antiqua" w:hAnsi="Book Antiqua" w:cs="Book Antiqua"/>
        </w:rPr>
        <w:t xml:space="preserve"> of anemia</w:t>
      </w:r>
      <w:r w:rsidR="00E63B40" w:rsidRPr="003E0C02">
        <w:rPr>
          <w:rFonts w:ascii="Book Antiqua" w:eastAsia="Book Antiqua" w:hAnsi="Book Antiqua" w:cs="Book Antiqua"/>
        </w:rPr>
        <w:t xml:space="preserve"> </w:t>
      </w:r>
      <w:r w:rsidRPr="003E0C02">
        <w:rPr>
          <w:rFonts w:ascii="Book Antiqua" w:eastAsia="Book Antiqua" w:hAnsi="Book Antiqua" w:cs="Book Antiqua"/>
        </w:rPr>
        <w:t xml:space="preserve">were stratified by </w:t>
      </w:r>
      <w:r w:rsidR="001F2923" w:rsidRPr="003E0C02">
        <w:rPr>
          <w:rFonts w:ascii="Book Antiqua" w:eastAsia="Book Antiqua" w:hAnsi="Book Antiqua" w:cs="Book Antiqua"/>
        </w:rPr>
        <w:t xml:space="preserve">age and </w:t>
      </w:r>
      <w:r w:rsidR="008A5470" w:rsidRPr="003E0C02">
        <w:rPr>
          <w:rFonts w:ascii="Book Antiqua" w:eastAsia="Book Antiqua" w:hAnsi="Book Antiqua" w:cs="Book Antiqua"/>
        </w:rPr>
        <w:t>gender</w:t>
      </w:r>
      <w:r w:rsidR="001F2923" w:rsidRPr="003E0C02">
        <w:rPr>
          <w:rFonts w:ascii="Book Antiqua" w:eastAsia="Book Antiqua" w:hAnsi="Book Antiqua" w:cs="Book Antiqua"/>
        </w:rPr>
        <w:t xml:space="preserve">. </w:t>
      </w:r>
      <w:r w:rsidRPr="003E0C02">
        <w:rPr>
          <w:rFonts w:ascii="Book Antiqua" w:eastAsia="Book Antiqua" w:hAnsi="Book Antiqua" w:cs="Book Antiqua"/>
        </w:rPr>
        <w:t>Female</w:t>
      </w:r>
      <w:r w:rsidR="00E84E33" w:rsidRPr="003E0C02">
        <w:rPr>
          <w:rFonts w:ascii="Book Antiqua" w:eastAsia="Book Antiqua" w:hAnsi="Book Antiqua" w:cs="Book Antiqua"/>
        </w:rPr>
        <w:t>,</w:t>
      </w:r>
      <w:r w:rsidRPr="003E0C02">
        <w:rPr>
          <w:rFonts w:ascii="Book Antiqua" w:eastAsia="Book Antiqua" w:hAnsi="Book Antiqua" w:cs="Book Antiqua"/>
        </w:rPr>
        <w:t xml:space="preserve"> age of 20</w:t>
      </w:r>
      <w:r w:rsidR="009D3845" w:rsidRPr="003E0C02">
        <w:rPr>
          <w:rFonts w:ascii="Book Antiqua" w:eastAsia="Book Antiqua" w:hAnsi="Book Antiqua" w:cs="Book Antiqua"/>
        </w:rPr>
        <w:t>-</w:t>
      </w:r>
      <w:r w:rsidRPr="003E0C02">
        <w:rPr>
          <w:rFonts w:ascii="Book Antiqua" w:eastAsia="Book Antiqua" w:hAnsi="Book Antiqua" w:cs="Book Antiqua"/>
        </w:rPr>
        <w:t>29 and 30</w:t>
      </w:r>
      <w:r w:rsidR="009D3845" w:rsidRPr="003E0C02">
        <w:rPr>
          <w:rFonts w:ascii="Book Antiqua" w:eastAsia="Book Antiqua" w:hAnsi="Book Antiqua" w:cs="Book Antiqua"/>
        </w:rPr>
        <w:t>-</w:t>
      </w:r>
      <w:r w:rsidRPr="003E0C02">
        <w:rPr>
          <w:rFonts w:ascii="Book Antiqua" w:eastAsia="Book Antiqua" w:hAnsi="Book Antiqua" w:cs="Book Antiqua"/>
        </w:rPr>
        <w:t>64 years had significantly higher adjusted HRs (3.83 and 2.87, respectively).</w:t>
      </w:r>
    </w:p>
    <w:p w14:paraId="1B76A4AE" w14:textId="77777777" w:rsidR="00A77B3E" w:rsidRPr="003E0C02" w:rsidRDefault="00AA1E93" w:rsidP="003E0C02">
      <w:pPr>
        <w:snapToGrid w:val="0"/>
        <w:spacing w:line="360" w:lineRule="auto"/>
        <w:ind w:firstLine="238"/>
        <w:jc w:val="both"/>
      </w:pPr>
      <w:r w:rsidRPr="003E0C02">
        <w:rPr>
          <w:rFonts w:ascii="Book Antiqua" w:eastAsia="Book Antiqua" w:hAnsi="Book Antiqua" w:cs="Book Antiqua"/>
        </w:rPr>
        <w:t xml:space="preserve">In Table 4, HR of </w:t>
      </w:r>
      <w:r w:rsidR="008F073E" w:rsidRPr="003E0C02">
        <w:rPr>
          <w:rFonts w:ascii="Book Antiqua" w:eastAsia="Book Antiqua" w:hAnsi="Book Antiqua" w:cs="Book Antiqua"/>
        </w:rPr>
        <w:t xml:space="preserve">post-bariatric surgery </w:t>
      </w:r>
      <w:r w:rsidRPr="003E0C02">
        <w:rPr>
          <w:rFonts w:ascii="Book Antiqua" w:eastAsia="Book Antiqua" w:hAnsi="Book Antiqua" w:cs="Book Antiqua"/>
        </w:rPr>
        <w:t>anemia</w:t>
      </w:r>
      <w:r w:rsidR="00E63B40" w:rsidRPr="003E0C02">
        <w:rPr>
          <w:rFonts w:ascii="Book Antiqua" w:eastAsia="Book Antiqua" w:hAnsi="Book Antiqua" w:cs="Book Antiqua"/>
        </w:rPr>
        <w:t xml:space="preserve"> and the incidence rate</w:t>
      </w:r>
      <w:r w:rsidRPr="003E0C02">
        <w:rPr>
          <w:rFonts w:ascii="Book Antiqua" w:eastAsia="Book Antiqua" w:hAnsi="Book Antiqua" w:cs="Book Antiqua"/>
        </w:rPr>
        <w:t xml:space="preserve"> were stratified by malabsorptive and restrictive procedures. Malabsorptive and restrictive procedures had significantly higher adjusted HRs (3.18 and 1.55, respectively).</w:t>
      </w:r>
    </w:p>
    <w:p w14:paraId="319872D1" w14:textId="77777777" w:rsidR="00A77B3E" w:rsidRPr="003E0C02" w:rsidRDefault="00A77B3E" w:rsidP="003E0C02">
      <w:pPr>
        <w:snapToGrid w:val="0"/>
        <w:spacing w:line="360" w:lineRule="auto"/>
        <w:ind w:firstLine="238"/>
        <w:jc w:val="both"/>
      </w:pPr>
    </w:p>
    <w:p w14:paraId="407979F7"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lastRenderedPageBreak/>
        <w:t>DISCUSSION</w:t>
      </w:r>
    </w:p>
    <w:p w14:paraId="0F48E1DC" w14:textId="77777777" w:rsidR="00A77B3E" w:rsidRPr="003E0C02" w:rsidRDefault="00AA1E93" w:rsidP="003E0C02">
      <w:pPr>
        <w:snapToGrid w:val="0"/>
        <w:spacing w:line="360" w:lineRule="auto"/>
        <w:jc w:val="both"/>
      </w:pPr>
      <w:r w:rsidRPr="003E0C02">
        <w:rPr>
          <w:rFonts w:ascii="Book Antiqua" w:eastAsia="Book Antiqua" w:hAnsi="Book Antiqua" w:cs="Book Antiqua"/>
        </w:rPr>
        <w:t xml:space="preserve">Our study demonstrated that </w:t>
      </w:r>
      <w:r w:rsidR="002905D4" w:rsidRPr="003E0C02">
        <w:rPr>
          <w:rFonts w:ascii="Book Antiqua" w:eastAsia="Book Antiqua" w:hAnsi="Book Antiqua" w:cs="Book Antiqua"/>
        </w:rPr>
        <w:t xml:space="preserve">patients who were diagnosed </w:t>
      </w:r>
      <w:r w:rsidR="00F056A0" w:rsidRPr="003E0C02">
        <w:rPr>
          <w:rFonts w:ascii="Book Antiqua" w:eastAsia="Book Antiqua" w:hAnsi="Book Antiqua" w:cs="Book Antiqua"/>
        </w:rPr>
        <w:t xml:space="preserve">with </w:t>
      </w:r>
      <w:r w:rsidR="002905D4" w:rsidRPr="003E0C02">
        <w:rPr>
          <w:rFonts w:ascii="Book Antiqua" w:eastAsia="Book Antiqua" w:hAnsi="Book Antiqua" w:cs="Book Antiqua"/>
        </w:rPr>
        <w:t xml:space="preserve">morbid obesity and received bariatric surgery </w:t>
      </w:r>
      <w:r w:rsidRPr="003E0C02">
        <w:rPr>
          <w:rFonts w:ascii="Book Antiqua" w:eastAsia="Book Antiqua" w:hAnsi="Book Antiqua" w:cs="Book Antiqua"/>
        </w:rPr>
        <w:t xml:space="preserve">had significantly higher risk of anemia than patients who did not </w:t>
      </w:r>
      <w:r w:rsidR="008F073E" w:rsidRPr="003E0C02">
        <w:rPr>
          <w:rFonts w:ascii="Book Antiqua" w:eastAsia="Book Antiqua" w:hAnsi="Book Antiqua" w:cs="Book Antiqua"/>
        </w:rPr>
        <w:t xml:space="preserve">receive </w:t>
      </w:r>
      <w:r w:rsidRPr="003E0C02">
        <w:rPr>
          <w:rFonts w:ascii="Book Antiqua" w:eastAsia="Book Antiqua" w:hAnsi="Book Antiqua" w:cs="Book Antiqua"/>
        </w:rPr>
        <w:t>bariatric surgery. After stratification by</w:t>
      </w:r>
      <w:r w:rsidR="00E7097F" w:rsidRPr="003E0C02">
        <w:rPr>
          <w:rFonts w:ascii="Book Antiqua" w:hAnsi="Book Antiqua" w:cs="Book Antiqua"/>
          <w:lang w:eastAsia="zh-CN"/>
        </w:rPr>
        <w:t xml:space="preserve"> </w:t>
      </w:r>
      <w:r w:rsidR="00E84E33" w:rsidRPr="003E0C02">
        <w:rPr>
          <w:rFonts w:ascii="Book Antiqua" w:eastAsia="Book Antiqua" w:hAnsi="Book Antiqua" w:cs="Book Antiqua"/>
        </w:rPr>
        <w:t xml:space="preserve">gender </w:t>
      </w:r>
      <w:r w:rsidR="00DC35D2" w:rsidRPr="003E0C02">
        <w:rPr>
          <w:rFonts w:ascii="Book Antiqua" w:eastAsia="Book Antiqua" w:hAnsi="Book Antiqua" w:cs="Book Antiqua"/>
        </w:rPr>
        <w:t>and age</w:t>
      </w:r>
      <w:r w:rsidRPr="003E0C02">
        <w:rPr>
          <w:rFonts w:ascii="Book Antiqua" w:eastAsia="Book Antiqua" w:hAnsi="Book Antiqua" w:cs="Book Antiqua"/>
        </w:rPr>
        <w:t>, female sex</w:t>
      </w:r>
      <w:r w:rsidR="00E84E33" w:rsidRPr="003E0C02">
        <w:rPr>
          <w:rFonts w:ascii="Book Antiqua" w:eastAsia="Book Antiqua" w:hAnsi="Book Antiqua" w:cs="Book Antiqua"/>
        </w:rPr>
        <w:t>,</w:t>
      </w:r>
      <w:r w:rsidRPr="003E0C02">
        <w:rPr>
          <w:rFonts w:ascii="Book Antiqua" w:eastAsia="Book Antiqua" w:hAnsi="Book Antiqua" w:cs="Book Antiqua"/>
        </w:rPr>
        <w:t xml:space="preserve"> young-aged (20</w:t>
      </w:r>
      <w:r w:rsidR="009D3845" w:rsidRPr="003E0C02">
        <w:rPr>
          <w:rFonts w:ascii="Book Antiqua" w:eastAsia="Book Antiqua" w:hAnsi="Book Antiqua" w:cs="Book Antiqua"/>
        </w:rPr>
        <w:t>-</w:t>
      </w:r>
      <w:r w:rsidRPr="003E0C02">
        <w:rPr>
          <w:rFonts w:ascii="Book Antiqua" w:eastAsia="Book Antiqua" w:hAnsi="Book Antiqua" w:cs="Book Antiqua"/>
        </w:rPr>
        <w:t>29 years) and middle-aged (30</w:t>
      </w:r>
      <w:r w:rsidR="009D3845" w:rsidRPr="003E0C02">
        <w:rPr>
          <w:rFonts w:ascii="Book Antiqua" w:eastAsia="Book Antiqua" w:hAnsi="Book Antiqua" w:cs="Book Antiqua"/>
        </w:rPr>
        <w:t>-</w:t>
      </w:r>
      <w:r w:rsidRPr="003E0C02">
        <w:rPr>
          <w:rFonts w:ascii="Book Antiqua" w:eastAsia="Book Antiqua" w:hAnsi="Book Antiqua" w:cs="Book Antiqua"/>
        </w:rPr>
        <w:t xml:space="preserve">64 years) patients had significantly higher HRs than male sex and older-aged patients. Malabsorptive procedures had a higher HR of </w:t>
      </w:r>
      <w:r w:rsidR="008A5470" w:rsidRPr="003E0C02">
        <w:rPr>
          <w:rFonts w:ascii="Book Antiqua" w:eastAsia="Book Antiqua" w:hAnsi="Book Antiqua" w:cs="Book Antiqua"/>
        </w:rPr>
        <w:t xml:space="preserve">post-bariatric surgery </w:t>
      </w:r>
      <w:r w:rsidRPr="003E0C02">
        <w:rPr>
          <w:rFonts w:ascii="Book Antiqua" w:eastAsia="Book Antiqua" w:hAnsi="Book Antiqua" w:cs="Book Antiqua"/>
        </w:rPr>
        <w:t>anemia than restrictive procedures.</w:t>
      </w:r>
    </w:p>
    <w:p w14:paraId="7A0D6253" w14:textId="4A7151B2" w:rsidR="00A77B3E" w:rsidRPr="003E0C02" w:rsidRDefault="00AA1E93" w:rsidP="003E0C02">
      <w:pPr>
        <w:snapToGrid w:val="0"/>
        <w:spacing w:line="360" w:lineRule="auto"/>
        <w:ind w:firstLineChars="100" w:firstLine="240"/>
        <w:jc w:val="both"/>
      </w:pPr>
      <w:r w:rsidRPr="003E0C02">
        <w:rPr>
          <w:rFonts w:ascii="Book Antiqua" w:eastAsia="Book Antiqua" w:hAnsi="Book Antiqua" w:cs="Book Antiqua"/>
        </w:rPr>
        <w:t>Currently, bariatric surgery is considered a promising treatment strategy because of its long-term benefits for morbidly obese patients</w:t>
      </w:r>
      <w:r w:rsidR="00DC35D2" w:rsidRPr="003E0C02">
        <w:rPr>
          <w:rFonts w:ascii="Book Antiqua" w:eastAsia="Book Antiqua" w:hAnsi="Book Antiqua" w:cs="Book Antiqua"/>
        </w:rPr>
        <w:t>.</w:t>
      </w:r>
      <w:r w:rsidR="008F073E" w:rsidRPr="003E0C02" w:rsidDel="008F073E">
        <w:rPr>
          <w:rFonts w:ascii="Book Antiqua" w:eastAsia="Book Antiqua" w:hAnsi="Book Antiqua" w:cs="Book Antiqua"/>
        </w:rPr>
        <w:t xml:space="preserve"> </w:t>
      </w:r>
      <w:r w:rsidRPr="003E0C02">
        <w:rPr>
          <w:rFonts w:ascii="Book Antiqua" w:eastAsia="Book Antiqua" w:hAnsi="Book Antiqua" w:cs="Book Antiqua"/>
        </w:rPr>
        <w:t xml:space="preserve">These benefits include the following: </w:t>
      </w:r>
      <w:r w:rsidR="00F056A0" w:rsidRPr="003E0C02">
        <w:rPr>
          <w:rFonts w:ascii="Book Antiqua" w:eastAsia="Book Antiqua" w:hAnsi="Book Antiqua" w:cs="Book Antiqua"/>
        </w:rPr>
        <w:t>S</w:t>
      </w:r>
      <w:r w:rsidRPr="003E0C02">
        <w:rPr>
          <w:rFonts w:ascii="Book Antiqua" w:eastAsia="Book Antiqua" w:hAnsi="Book Antiqua" w:cs="Book Antiqua"/>
        </w:rPr>
        <w:t>ustainable body weight los</w:t>
      </w:r>
      <w:r w:rsidR="009D3845" w:rsidRPr="003E0C02">
        <w:rPr>
          <w:rFonts w:ascii="Book Antiqua" w:eastAsia="Book Antiqua" w:hAnsi="Book Antiqua" w:cs="Book Antiqua"/>
        </w:rPr>
        <w:t>s; improvement in comorbidities</w:t>
      </w:r>
      <w:r w:rsidRPr="003E0C02">
        <w:rPr>
          <w:rFonts w:ascii="Book Antiqua" w:eastAsia="Book Antiqua" w:hAnsi="Book Antiqua" w:cs="Book Antiqua"/>
        </w:rPr>
        <w:t xml:space="preserve">; reduction in medicine use; and improvement in patients’ quality of </w:t>
      </w:r>
      <w:proofErr w:type="gramStart"/>
      <w:r w:rsidRPr="003E0C02">
        <w:rPr>
          <w:rFonts w:ascii="Book Antiqua" w:eastAsia="Book Antiqua" w:hAnsi="Book Antiqua" w:cs="Book Antiqua"/>
        </w:rPr>
        <w:t>life</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1-8]</w:t>
      </w:r>
      <w:r w:rsidRPr="003E0C02">
        <w:rPr>
          <w:rFonts w:ascii="Book Antiqua" w:eastAsia="Book Antiqua" w:hAnsi="Book Antiqua" w:cs="Book Antiqua"/>
        </w:rPr>
        <w:t xml:space="preserve">. However, post-bariatric surgery anemia, which mainly results from micronutrient deficiencies, is recognized as the most common adverse </w:t>
      </w:r>
      <w:proofErr w:type="gramStart"/>
      <w:r w:rsidRPr="003E0C02">
        <w:rPr>
          <w:rFonts w:ascii="Book Antiqua" w:eastAsia="Book Antiqua" w:hAnsi="Book Antiqua" w:cs="Book Antiqua"/>
        </w:rPr>
        <w:t>effect</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3-5]</w:t>
      </w:r>
      <w:r w:rsidRPr="003E0C02">
        <w:rPr>
          <w:rFonts w:ascii="Book Antiqua" w:eastAsia="Book Antiqua" w:hAnsi="Book Antiqua" w:cs="Book Antiqua"/>
        </w:rPr>
        <w:t>. The metabolic sequela, such as anemia, was identified before the 1990</w:t>
      </w:r>
      <w:proofErr w:type="gramStart"/>
      <w:r w:rsidRPr="003E0C02">
        <w:rPr>
          <w:rFonts w:ascii="Book Antiqua" w:eastAsia="Book Antiqua" w:hAnsi="Book Antiqua" w:cs="Book Antiqua"/>
        </w:rPr>
        <w:t>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21,22]</w:t>
      </w:r>
      <w:r w:rsidRPr="003E0C02">
        <w:rPr>
          <w:rFonts w:ascii="Book Antiqua" w:eastAsia="Book Antiqua" w:hAnsi="Book Antiqua" w:cs="Book Antiqua"/>
        </w:rPr>
        <w:t>. Moreover, recently, post-bariatric surgery anemia remains a challenge. The large cohort study from France revealed that 5% were diagnosed with anemia after bariatric surgery. Furthermore, the overall risk rate of diagnosing anemia postoperatively was 7.8</w:t>
      </w:r>
      <w:proofErr w:type="gramStart"/>
      <w:r w:rsidRPr="003E0C02">
        <w:rPr>
          <w:rFonts w:ascii="Book Antiqua" w:eastAsia="Book Antiqua" w:hAnsi="Book Antiqua" w:cs="Book Antiqua"/>
        </w:rPr>
        <w:t>%</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In our study, we demonstrate that obese patients who </w:t>
      </w:r>
      <w:r w:rsidR="008F073E" w:rsidRPr="003E0C02">
        <w:rPr>
          <w:rFonts w:ascii="Book Antiqua" w:eastAsia="Book Antiqua" w:hAnsi="Book Antiqua" w:cs="Book Antiqua"/>
        </w:rPr>
        <w:t xml:space="preserve">received </w:t>
      </w:r>
      <w:r w:rsidRPr="003E0C02">
        <w:rPr>
          <w:rFonts w:ascii="Book Antiqua" w:eastAsia="Book Antiqua" w:hAnsi="Book Antiqua" w:cs="Book Antiqua"/>
        </w:rPr>
        <w:t xml:space="preserve">bariatric surgery significantly had 2.36-fold higher risk of anemia than obese patients who did not </w:t>
      </w:r>
      <w:r w:rsidR="00257FCE" w:rsidRPr="003E0C02">
        <w:rPr>
          <w:rFonts w:ascii="Book Antiqua" w:eastAsia="Book Antiqua" w:hAnsi="Book Antiqua" w:cs="Book Antiqua"/>
        </w:rPr>
        <w:t>receive</w:t>
      </w:r>
      <w:r w:rsidR="008F073E" w:rsidRPr="003E0C02">
        <w:rPr>
          <w:rFonts w:ascii="Book Antiqua" w:eastAsia="Book Antiqua" w:hAnsi="Book Antiqua" w:cs="Book Antiqua"/>
        </w:rPr>
        <w:t xml:space="preserve"> </w:t>
      </w:r>
      <w:r w:rsidRPr="003E0C02">
        <w:rPr>
          <w:rFonts w:ascii="Book Antiqua" w:eastAsia="Book Antiqua" w:hAnsi="Book Antiqua" w:cs="Book Antiqua"/>
        </w:rPr>
        <w:t>bariatric surgery.</w:t>
      </w:r>
    </w:p>
    <w:p w14:paraId="6E820D33" w14:textId="785802C9" w:rsidR="00A77B3E" w:rsidRPr="003E0C02" w:rsidRDefault="00AA1E93" w:rsidP="003E0C02">
      <w:pPr>
        <w:snapToGrid w:val="0"/>
        <w:spacing w:line="360" w:lineRule="auto"/>
        <w:ind w:firstLineChars="100" w:firstLine="240"/>
        <w:jc w:val="both"/>
      </w:pPr>
      <w:r w:rsidRPr="003E0C02">
        <w:rPr>
          <w:rFonts w:ascii="Book Antiqua" w:eastAsia="Book Antiqua" w:hAnsi="Book Antiqua" w:cs="Book Antiqua"/>
        </w:rPr>
        <w:t xml:space="preserve">Post-bariatric surgery anemia is considered mainly due to micronutrient deficiency. </w:t>
      </w:r>
      <w:r w:rsidR="00667B90" w:rsidRPr="003E0C02">
        <w:rPr>
          <w:rFonts w:ascii="Book Antiqua" w:eastAsia="Book Antiqua" w:hAnsi="Book Antiqua" w:cs="Book Antiqua"/>
        </w:rPr>
        <w:t xml:space="preserve">Deficiencies of vitamin B12, </w:t>
      </w:r>
      <w:r w:rsidR="00F056A0" w:rsidRPr="003E0C02">
        <w:rPr>
          <w:rFonts w:ascii="Book Antiqua" w:eastAsia="Book Antiqua" w:hAnsi="Book Antiqua" w:cs="Book Antiqua"/>
        </w:rPr>
        <w:t>i</w:t>
      </w:r>
      <w:r w:rsidR="00667B90" w:rsidRPr="003E0C02">
        <w:rPr>
          <w:rFonts w:ascii="Book Antiqua" w:eastAsia="Book Antiqua" w:hAnsi="Book Antiqua" w:cs="Book Antiqua"/>
        </w:rPr>
        <w:t xml:space="preserve">ron, </w:t>
      </w:r>
      <w:r w:rsidR="00F056A0" w:rsidRPr="003E0C02">
        <w:rPr>
          <w:rFonts w:ascii="Book Antiqua" w:eastAsia="Book Antiqua" w:hAnsi="Book Antiqua" w:cs="Book Antiqua"/>
        </w:rPr>
        <w:t xml:space="preserve">and </w:t>
      </w:r>
      <w:r w:rsidR="00667B90" w:rsidRPr="003E0C02">
        <w:rPr>
          <w:rFonts w:ascii="Book Antiqua" w:eastAsia="Book Antiqua" w:hAnsi="Book Antiqua" w:cs="Book Antiqua"/>
        </w:rPr>
        <w:t xml:space="preserve">vitamin D </w:t>
      </w:r>
      <w:r w:rsidRPr="003E0C02">
        <w:rPr>
          <w:rFonts w:ascii="Book Antiqua" w:eastAsia="Book Antiqua" w:hAnsi="Book Antiqua" w:cs="Book Antiqua"/>
        </w:rPr>
        <w:t xml:space="preserve">were commonly observed </w:t>
      </w:r>
      <w:proofErr w:type="gramStart"/>
      <w:r w:rsidRPr="003E0C02">
        <w:rPr>
          <w:rFonts w:ascii="Book Antiqua" w:eastAsia="Book Antiqua" w:hAnsi="Book Antiqua" w:cs="Book Antiqua"/>
        </w:rPr>
        <w:t>postoperatively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17,23]</w:t>
      </w:r>
      <w:r w:rsidRPr="003E0C02">
        <w:rPr>
          <w:rFonts w:ascii="Book Antiqua" w:eastAsia="Book Antiqua" w:hAnsi="Book Antiqua" w:cs="Book Antiqua"/>
        </w:rPr>
        <w:t xml:space="preserve">. Additionally, oral supplementation of these nutrients was described in the updated </w:t>
      </w:r>
      <w:proofErr w:type="gramStart"/>
      <w:r w:rsidRPr="003E0C02">
        <w:rPr>
          <w:rFonts w:ascii="Book Antiqua" w:eastAsia="Book Antiqua" w:hAnsi="Book Antiqua" w:cs="Book Antiqua"/>
        </w:rPr>
        <w:t>guidelines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10]</w:t>
      </w:r>
      <w:r w:rsidRPr="003E0C02">
        <w:rPr>
          <w:rFonts w:ascii="Book Antiqua" w:eastAsia="Book Antiqua" w:hAnsi="Book Antiqua" w:cs="Book Antiqua"/>
        </w:rPr>
        <w:t xml:space="preserve">. Other beneficial postoperative physiological changes regarding anemia were already determined. Weight loss after bariatric surgery reduces inflammation, consequently reducing anemia. Chronic inflammation has been recognized as a characteristic feature of morbid </w:t>
      </w:r>
      <w:proofErr w:type="gramStart"/>
      <w:r w:rsidRPr="003E0C02">
        <w:rPr>
          <w:rFonts w:ascii="Book Antiqua" w:eastAsia="Book Antiqua" w:hAnsi="Book Antiqua" w:cs="Book Antiqua"/>
        </w:rPr>
        <w:t>obesity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24,25]</w:t>
      </w:r>
      <w:r w:rsidRPr="003E0C02">
        <w:rPr>
          <w:rFonts w:ascii="Book Antiqua" w:eastAsia="Book Antiqua" w:hAnsi="Book Antiqua" w:cs="Book Antiqua"/>
        </w:rPr>
        <w:t xml:space="preserve">. Decreasing inflammatory markers such as ferritin, C-reactive protein, haptoglobin, and white blood cell count were noted after bariatric </w:t>
      </w:r>
      <w:proofErr w:type="gramStart"/>
      <w:r w:rsidRPr="003E0C02">
        <w:rPr>
          <w:rFonts w:ascii="Book Antiqua" w:eastAsia="Book Antiqua" w:hAnsi="Book Antiqua" w:cs="Book Antiqua"/>
        </w:rPr>
        <w:t>surgery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18,26,27]</w:t>
      </w:r>
      <w:r w:rsidRPr="003E0C02">
        <w:rPr>
          <w:rFonts w:ascii="Book Antiqua" w:eastAsia="Book Antiqua" w:hAnsi="Book Antiqua" w:cs="Book Antiqua"/>
        </w:rPr>
        <w:t>. However, the positive effects of post-bariatric surgery anemia are less observed than the negative effects in the long-term.</w:t>
      </w:r>
    </w:p>
    <w:p w14:paraId="0E4151E5" w14:textId="464A6E3A" w:rsidR="00A77B3E" w:rsidRPr="003E0C02" w:rsidRDefault="00AA1E93" w:rsidP="003E0C02">
      <w:pPr>
        <w:snapToGrid w:val="0"/>
        <w:spacing w:line="360" w:lineRule="auto"/>
        <w:ind w:firstLineChars="100" w:firstLine="240"/>
        <w:jc w:val="both"/>
      </w:pPr>
      <w:r w:rsidRPr="003E0C02">
        <w:rPr>
          <w:rFonts w:ascii="Book Antiqua" w:eastAsia="Book Antiqua" w:hAnsi="Book Antiqua" w:cs="Book Antiqua"/>
        </w:rPr>
        <w:lastRenderedPageBreak/>
        <w:t xml:space="preserve">This study also proposed that </w:t>
      </w:r>
      <w:r w:rsidR="0071421D" w:rsidRPr="003E0C02">
        <w:rPr>
          <w:rFonts w:ascii="Book Antiqua" w:eastAsia="Book Antiqua" w:hAnsi="Book Antiqua" w:cs="Book Antiqua"/>
        </w:rPr>
        <w:t>female</w:t>
      </w:r>
      <w:r w:rsidR="00F056A0" w:rsidRPr="003E0C02">
        <w:rPr>
          <w:rFonts w:ascii="Book Antiqua" w:eastAsia="Book Antiqua" w:hAnsi="Book Antiqua" w:cs="Book Antiqua"/>
        </w:rPr>
        <w:t>s</w:t>
      </w:r>
      <w:r w:rsidR="0071421D" w:rsidRPr="003E0C02">
        <w:rPr>
          <w:rFonts w:ascii="Book Antiqua" w:eastAsia="Book Antiqua" w:hAnsi="Book Antiqua" w:cs="Book Antiqua"/>
        </w:rPr>
        <w:t xml:space="preserve"> had </w:t>
      </w:r>
      <w:r w:rsidR="00F056A0" w:rsidRPr="003E0C02">
        <w:rPr>
          <w:rFonts w:ascii="Book Antiqua" w:eastAsia="Book Antiqua" w:hAnsi="Book Antiqua" w:cs="Book Antiqua"/>
        </w:rPr>
        <w:t xml:space="preserve">a </w:t>
      </w:r>
      <w:r w:rsidR="004D157B" w:rsidRPr="003E0C02">
        <w:rPr>
          <w:rFonts w:ascii="Book Antiqua" w:eastAsia="Book Antiqua" w:hAnsi="Book Antiqua" w:cs="Book Antiqua"/>
        </w:rPr>
        <w:t>greater</w:t>
      </w:r>
      <w:r w:rsidR="0071421D" w:rsidRPr="003E0C02">
        <w:rPr>
          <w:rFonts w:ascii="Book Antiqua" w:eastAsia="Book Antiqua" w:hAnsi="Book Antiqua" w:cs="Book Antiqua"/>
        </w:rPr>
        <w:t xml:space="preserve"> risk of post-bariatric surgery anemia than male</w:t>
      </w:r>
      <w:r w:rsidR="00F056A0" w:rsidRPr="003E0C02">
        <w:rPr>
          <w:rFonts w:ascii="Book Antiqua" w:eastAsia="Book Antiqua" w:hAnsi="Book Antiqua" w:cs="Book Antiqua"/>
        </w:rPr>
        <w:t>s</w:t>
      </w:r>
      <w:r w:rsidR="00763EAB" w:rsidRPr="003E0C02">
        <w:rPr>
          <w:rFonts w:ascii="Book Antiqua" w:eastAsia="Book Antiqua" w:hAnsi="Book Antiqua" w:cs="Book Antiqua"/>
        </w:rPr>
        <w:t xml:space="preserve"> among obese patients.</w:t>
      </w:r>
      <w:r w:rsidRPr="003E0C02">
        <w:rPr>
          <w:rFonts w:ascii="Book Antiqua" w:eastAsia="Book Antiqua" w:hAnsi="Book Antiqua" w:cs="Book Antiqua"/>
        </w:rPr>
        <w:t xml:space="preserve"> Women are nearly </w:t>
      </w:r>
      <w:r w:rsidR="00F056A0" w:rsidRPr="003E0C02">
        <w:rPr>
          <w:rFonts w:ascii="Book Antiqua" w:eastAsia="Book Antiqua" w:hAnsi="Book Antiqua" w:cs="Book Antiqua"/>
        </w:rPr>
        <w:t>3-</w:t>
      </w:r>
      <w:r w:rsidRPr="003E0C02">
        <w:rPr>
          <w:rFonts w:ascii="Book Antiqua" w:eastAsia="Book Antiqua" w:hAnsi="Book Antiqua" w:cs="Book Antiqua"/>
        </w:rPr>
        <w:t xml:space="preserve">fold more likely to </w:t>
      </w:r>
      <w:r w:rsidR="00763EAB" w:rsidRPr="003E0C02">
        <w:rPr>
          <w:rFonts w:ascii="Book Antiqua" w:eastAsia="Book Antiqua" w:hAnsi="Book Antiqua" w:cs="Book Antiqua"/>
        </w:rPr>
        <w:t xml:space="preserve">have </w:t>
      </w:r>
      <w:r w:rsidR="00F056A0" w:rsidRPr="003E0C02">
        <w:rPr>
          <w:rFonts w:ascii="Book Antiqua" w:eastAsia="Book Antiqua" w:hAnsi="Book Antiqua" w:cs="Book Antiqua"/>
        </w:rPr>
        <w:t xml:space="preserve">a </w:t>
      </w:r>
      <w:r w:rsidR="00763EAB" w:rsidRPr="003E0C02">
        <w:rPr>
          <w:rFonts w:ascii="Book Antiqua" w:eastAsia="Book Antiqua" w:hAnsi="Book Antiqua" w:cs="Book Antiqua"/>
        </w:rPr>
        <w:t xml:space="preserve">diagnosis of anemia </w:t>
      </w:r>
      <w:r w:rsidRPr="003E0C02">
        <w:rPr>
          <w:rFonts w:ascii="Book Antiqua" w:eastAsia="Book Antiqua" w:hAnsi="Book Antiqua" w:cs="Book Antiqua"/>
        </w:rPr>
        <w:t xml:space="preserve">postoperatively compared with men. The results are similar to the result of a study conducted in </w:t>
      </w:r>
      <w:proofErr w:type="gramStart"/>
      <w:r w:rsidRPr="003E0C02">
        <w:rPr>
          <w:rFonts w:ascii="Book Antiqua" w:eastAsia="Book Antiqua" w:hAnsi="Book Antiqua" w:cs="Book Antiqua"/>
        </w:rPr>
        <w:t>France</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w:t>
      </w:r>
      <w:r w:rsidR="009D3845" w:rsidRPr="003E0C02">
        <w:rPr>
          <w:rFonts w:ascii="Book Antiqua" w:eastAsia="Book Antiqua" w:hAnsi="Book Antiqua" w:cs="Book Antiqua"/>
        </w:rPr>
        <w:t xml:space="preserve">von </w:t>
      </w:r>
      <w:proofErr w:type="spellStart"/>
      <w:r w:rsidRPr="003E0C02">
        <w:rPr>
          <w:rFonts w:ascii="Book Antiqua" w:eastAsia="Book Antiqua" w:hAnsi="Book Antiqua" w:cs="Book Antiqua"/>
        </w:rPr>
        <w:t>Drygalski</w:t>
      </w:r>
      <w:proofErr w:type="spellEnd"/>
      <w:r w:rsidRPr="003E0C02">
        <w:rPr>
          <w:rFonts w:ascii="Book Antiqua" w:eastAsia="Book Antiqua" w:hAnsi="Book Antiqua" w:cs="Book Antiqua"/>
        </w:rPr>
        <w:t xml:space="preserve"> </w:t>
      </w:r>
      <w:r w:rsidRPr="003E0C02">
        <w:rPr>
          <w:rFonts w:ascii="Book Antiqua" w:eastAsia="Book Antiqua" w:hAnsi="Book Antiqua" w:cs="Book Antiqua"/>
          <w:i/>
          <w:iCs/>
        </w:rPr>
        <w:t xml:space="preserve">et </w:t>
      </w:r>
      <w:proofErr w:type="gramStart"/>
      <w:r w:rsidRPr="003E0C02">
        <w:rPr>
          <w:rFonts w:ascii="Book Antiqua" w:eastAsia="Book Antiqua" w:hAnsi="Book Antiqua" w:cs="Book Antiqua"/>
          <w:i/>
          <w:iCs/>
        </w:rPr>
        <w:t>al</w:t>
      </w:r>
      <w:r w:rsidR="009D3845" w:rsidRPr="003E0C02">
        <w:rPr>
          <w:rFonts w:ascii="Book Antiqua" w:eastAsia="Book Antiqua" w:hAnsi="Book Antiqua" w:cs="Book Antiqua"/>
          <w:vertAlign w:val="superscript"/>
        </w:rPr>
        <w:t>[</w:t>
      </w:r>
      <w:proofErr w:type="gramEnd"/>
      <w:r w:rsidR="009D3845" w:rsidRPr="003E0C02">
        <w:rPr>
          <w:rFonts w:ascii="Book Antiqua" w:eastAsia="Book Antiqua" w:hAnsi="Book Antiqua" w:cs="Book Antiqua"/>
          <w:vertAlign w:val="superscript"/>
        </w:rPr>
        <w:t>18]</w:t>
      </w:r>
      <w:r w:rsidRPr="003E0C02">
        <w:rPr>
          <w:rFonts w:ascii="Book Antiqua" w:eastAsia="Book Antiqua" w:hAnsi="Book Antiqua" w:cs="Book Antiqua"/>
        </w:rPr>
        <w:t xml:space="preserve"> revealed that </w:t>
      </w:r>
      <w:r w:rsidR="008B6AE1" w:rsidRPr="003E0C02">
        <w:rPr>
          <w:rFonts w:ascii="Book Antiqua" w:eastAsia="Book Antiqua" w:hAnsi="Book Antiqua" w:cs="Book Antiqua"/>
        </w:rPr>
        <w:t xml:space="preserve">Roux-en-Y bypass surgery increased </w:t>
      </w:r>
      <w:r w:rsidRPr="003E0C02">
        <w:rPr>
          <w:rFonts w:ascii="Book Antiqua" w:eastAsia="Book Antiqua" w:hAnsi="Book Antiqua" w:cs="Book Antiqua"/>
        </w:rPr>
        <w:t xml:space="preserve">the percentage of anemia from 12% to 23%. During the postoperative period, premenopausal women have greater </w:t>
      </w:r>
      <w:r w:rsidR="008B6AE1" w:rsidRPr="003E0C02">
        <w:rPr>
          <w:rFonts w:ascii="Book Antiqua" w:eastAsia="Book Antiqua" w:hAnsi="Book Antiqua" w:cs="Book Antiqua"/>
        </w:rPr>
        <w:t>prevalence</w:t>
      </w:r>
      <w:r w:rsidRPr="003E0C02">
        <w:rPr>
          <w:rFonts w:ascii="Book Antiqua" w:eastAsia="Book Antiqua" w:hAnsi="Book Antiqua" w:cs="Book Antiqua"/>
        </w:rPr>
        <w:t xml:space="preserve"> of anemia than postmenopausal women and men. According to the National Health and Nutrition Examination Survey studies, women in their childbearing years generally have a greater </w:t>
      </w:r>
      <w:r w:rsidR="008B6AE1" w:rsidRPr="003E0C02">
        <w:rPr>
          <w:rFonts w:ascii="Book Antiqua" w:eastAsia="Book Antiqua" w:hAnsi="Book Antiqua" w:cs="Book Antiqua"/>
        </w:rPr>
        <w:t>percentage</w:t>
      </w:r>
      <w:r w:rsidRPr="003E0C02">
        <w:rPr>
          <w:rFonts w:ascii="Book Antiqua" w:eastAsia="Book Antiqua" w:hAnsi="Book Antiqua" w:cs="Book Antiqua"/>
        </w:rPr>
        <w:t xml:space="preserve"> of anemia than men (12.2% </w:t>
      </w:r>
      <w:r w:rsidRPr="003E0C02">
        <w:rPr>
          <w:rFonts w:ascii="Book Antiqua" w:eastAsia="Book Antiqua" w:hAnsi="Book Antiqua" w:cs="Book Antiqua"/>
          <w:i/>
        </w:rPr>
        <w:t>vs</w:t>
      </w:r>
      <w:r w:rsidRPr="003E0C02">
        <w:rPr>
          <w:rFonts w:ascii="Book Antiqua" w:eastAsia="Book Antiqua" w:hAnsi="Book Antiqua" w:cs="Book Antiqua"/>
        </w:rPr>
        <w:t xml:space="preserve"> 1.5%, respectively), and the </w:t>
      </w:r>
      <w:r w:rsidR="004D157B" w:rsidRPr="003E0C02">
        <w:rPr>
          <w:rFonts w:ascii="Book Antiqua" w:eastAsia="Book Antiqua" w:hAnsi="Book Antiqua" w:cs="Book Antiqua"/>
        </w:rPr>
        <w:t xml:space="preserve">gender </w:t>
      </w:r>
      <w:r w:rsidRPr="003E0C02">
        <w:rPr>
          <w:rFonts w:ascii="Book Antiqua" w:eastAsia="Book Antiqua" w:hAnsi="Book Antiqua" w:cs="Book Antiqua"/>
        </w:rPr>
        <w:t xml:space="preserve">differences </w:t>
      </w:r>
      <w:r w:rsidR="00F056A0" w:rsidRPr="003E0C02">
        <w:rPr>
          <w:rFonts w:ascii="Book Antiqua" w:eastAsia="Book Antiqua" w:hAnsi="Book Antiqua" w:cs="Book Antiqua"/>
        </w:rPr>
        <w:t xml:space="preserve">were </w:t>
      </w:r>
      <w:r w:rsidRPr="003E0C02">
        <w:rPr>
          <w:rFonts w:ascii="Book Antiqua" w:eastAsia="Book Antiqua" w:hAnsi="Book Antiqua" w:cs="Book Antiqua"/>
        </w:rPr>
        <w:t xml:space="preserve">no longer observed after the age of 50 </w:t>
      </w:r>
      <w:proofErr w:type="gramStart"/>
      <w:r w:rsidRPr="003E0C02">
        <w:rPr>
          <w:rFonts w:ascii="Book Antiqua" w:eastAsia="Book Antiqua" w:hAnsi="Book Antiqua" w:cs="Book Antiqua"/>
        </w:rPr>
        <w:t>years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28]</w:t>
      </w:r>
      <w:r w:rsidRPr="003E0C02">
        <w:rPr>
          <w:rFonts w:ascii="Book Antiqua" w:eastAsia="Book Antiqua" w:hAnsi="Book Antiqua" w:cs="Book Antiqua"/>
        </w:rPr>
        <w:t xml:space="preserve">. However, data from our study </w:t>
      </w:r>
      <w:r w:rsidR="00667B90" w:rsidRPr="003E0C02">
        <w:rPr>
          <w:rFonts w:ascii="Book Antiqua" w:eastAsia="Book Antiqua" w:hAnsi="Book Antiqua" w:cs="Book Antiqua"/>
        </w:rPr>
        <w:t xml:space="preserve">revealed </w:t>
      </w:r>
      <w:r w:rsidRPr="003E0C02">
        <w:rPr>
          <w:rFonts w:ascii="Book Antiqua" w:eastAsia="Book Antiqua" w:hAnsi="Book Antiqua" w:cs="Book Antiqua"/>
        </w:rPr>
        <w:t xml:space="preserve">that, after adjusting age and other confounding factors, the risk of post-bariatric surgery anemia is still higher in women than in men. Obesity is associated with an irregular menstruation </w:t>
      </w:r>
      <w:proofErr w:type="gramStart"/>
      <w:r w:rsidRPr="003E0C02">
        <w:rPr>
          <w:rFonts w:ascii="Book Antiqua" w:eastAsia="Book Antiqua" w:hAnsi="Book Antiqua" w:cs="Book Antiqua"/>
        </w:rPr>
        <w:t>cycle</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29,30]</w:t>
      </w:r>
      <w:r w:rsidRPr="003E0C02">
        <w:rPr>
          <w:rFonts w:ascii="Book Antiqua" w:eastAsia="Book Antiqua" w:hAnsi="Book Antiqua" w:cs="Book Antiqua"/>
        </w:rPr>
        <w:t xml:space="preserve">. After bariatric surgery, a more consistent menstrual cycle rather than amenorrhea or irregular menstruation cycle is observed. Hence, premenopausal women are highly diagnosed with anemia postoperatively. Another study suggested that women are at a higher risk of eating less than men, although with limited evidence, which may add other risk </w:t>
      </w:r>
      <w:r w:rsidR="00F056A0" w:rsidRPr="003E0C02">
        <w:rPr>
          <w:rFonts w:ascii="Book Antiqua" w:eastAsia="Book Antiqua" w:hAnsi="Book Antiqua" w:cs="Book Antiqua"/>
        </w:rPr>
        <w:t xml:space="preserve">for </w:t>
      </w:r>
      <w:r w:rsidRPr="003E0C02">
        <w:rPr>
          <w:rFonts w:ascii="Book Antiqua" w:eastAsia="Book Antiqua" w:hAnsi="Book Antiqua" w:cs="Book Antiqua"/>
        </w:rPr>
        <w:t xml:space="preserve">iron deficiency </w:t>
      </w:r>
      <w:proofErr w:type="gramStart"/>
      <w:r w:rsidRPr="003E0C02">
        <w:rPr>
          <w:rFonts w:ascii="Book Antiqua" w:eastAsia="Book Antiqua" w:hAnsi="Book Antiqua" w:cs="Book Antiqua"/>
        </w:rPr>
        <w:t>anemia</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12]</w:t>
      </w:r>
      <w:r w:rsidRPr="003E0C02">
        <w:rPr>
          <w:rFonts w:ascii="Book Antiqua" w:eastAsia="Book Antiqua" w:hAnsi="Book Antiqua" w:cs="Book Antiqua"/>
        </w:rPr>
        <w:t>.</w:t>
      </w:r>
    </w:p>
    <w:p w14:paraId="7AEF751C" w14:textId="30737512" w:rsidR="00A77B3E" w:rsidRPr="003E0C02" w:rsidRDefault="00AA1E93" w:rsidP="003E0C02">
      <w:pPr>
        <w:snapToGrid w:val="0"/>
        <w:spacing w:line="360" w:lineRule="auto"/>
        <w:ind w:firstLine="480"/>
        <w:jc w:val="both"/>
      </w:pPr>
      <w:r w:rsidRPr="003E0C02">
        <w:rPr>
          <w:rFonts w:ascii="Book Antiqua" w:eastAsia="Book Antiqua" w:hAnsi="Book Antiqua" w:cs="Book Antiqua"/>
        </w:rPr>
        <w:t>We also found that young-aged (20</w:t>
      </w:r>
      <w:r w:rsidR="00A144B0" w:rsidRPr="003E0C02">
        <w:rPr>
          <w:rFonts w:ascii="Book Antiqua" w:eastAsia="Book Antiqua" w:hAnsi="Book Antiqua" w:cs="Book Antiqua"/>
        </w:rPr>
        <w:t>-</w:t>
      </w:r>
      <w:r w:rsidRPr="003E0C02">
        <w:rPr>
          <w:rFonts w:ascii="Book Antiqua" w:eastAsia="Book Antiqua" w:hAnsi="Book Antiqua" w:cs="Book Antiqua"/>
        </w:rPr>
        <w:t xml:space="preserve">29 years) and middle-aged (30–64 years) patients had significantly higher HRs </w:t>
      </w:r>
      <w:r w:rsidR="008B320B" w:rsidRPr="003E0C02">
        <w:rPr>
          <w:rFonts w:ascii="Book Antiqua" w:eastAsia="Book Antiqua" w:hAnsi="Book Antiqua" w:cs="Book Antiqua"/>
        </w:rPr>
        <w:t xml:space="preserve">post-bariatric surgery anemia </w:t>
      </w:r>
      <w:r w:rsidRPr="003E0C02">
        <w:rPr>
          <w:rFonts w:ascii="Book Antiqua" w:eastAsia="Book Antiqua" w:hAnsi="Book Antiqua" w:cs="Book Antiqua"/>
        </w:rPr>
        <w:t xml:space="preserve">than older-aged patients. A study conducted in France revealed that patients aged less than 52 years have </w:t>
      </w:r>
      <w:r w:rsidR="00F056A0" w:rsidRPr="003E0C02">
        <w:rPr>
          <w:rFonts w:ascii="Book Antiqua" w:eastAsia="Book Antiqua" w:hAnsi="Book Antiqua" w:cs="Book Antiqua"/>
        </w:rPr>
        <w:t xml:space="preserve">a </w:t>
      </w:r>
      <w:r w:rsidRPr="003E0C02">
        <w:rPr>
          <w:rFonts w:ascii="Book Antiqua" w:eastAsia="Book Antiqua" w:hAnsi="Book Antiqua" w:cs="Book Antiqua"/>
        </w:rPr>
        <w:t xml:space="preserve">50% higher risk of developing post-bariatric surgery anemia than elderly </w:t>
      </w:r>
      <w:proofErr w:type="gramStart"/>
      <w:r w:rsidRPr="003E0C02">
        <w:rPr>
          <w:rFonts w:ascii="Book Antiqua" w:eastAsia="Book Antiqua" w:hAnsi="Book Antiqua" w:cs="Book Antiqua"/>
        </w:rPr>
        <w:t>patients</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Groups were classified according to the age of 52 years because menstruation was taken into </w:t>
      </w:r>
      <w:proofErr w:type="gramStart"/>
      <w:r w:rsidRPr="003E0C02">
        <w:rPr>
          <w:rFonts w:ascii="Book Antiqua" w:eastAsia="Book Antiqua" w:hAnsi="Book Antiqua" w:cs="Book Antiqua"/>
        </w:rPr>
        <w:t>consideration</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11]</w:t>
      </w:r>
      <w:r w:rsidRPr="003E0C02">
        <w:rPr>
          <w:rFonts w:ascii="Book Antiqua" w:eastAsia="Book Antiqua" w:hAnsi="Book Antiqua" w:cs="Book Antiqua"/>
        </w:rPr>
        <w:t xml:space="preserve">. Thus, considering that premenopausal women are at an increased risk of developing anemia, a French cohort did not consider the effect of age. The following factors may potentially explain the effect of age on anemia after bariatric surgery, although with insufficient evidence: </w:t>
      </w:r>
      <w:r w:rsidR="00F056A0" w:rsidRPr="003E0C02">
        <w:rPr>
          <w:rFonts w:ascii="Book Antiqua" w:eastAsia="Book Antiqua" w:hAnsi="Book Antiqua" w:cs="Book Antiqua"/>
        </w:rPr>
        <w:t>Y</w:t>
      </w:r>
      <w:r w:rsidRPr="003E0C02">
        <w:rPr>
          <w:rFonts w:ascii="Book Antiqua" w:eastAsia="Book Antiqua" w:hAnsi="Book Antiqua" w:cs="Book Antiqua"/>
        </w:rPr>
        <w:t xml:space="preserve">oung-aged individuals consume less calories and nutrients than required and have limited compliance to medical follow-up and limited adherence to micronutrient supplement consumption. Furthermore, the small sample size of older-aged patients, that is, only six </w:t>
      </w:r>
      <w:r w:rsidRPr="003E0C02">
        <w:rPr>
          <w:rFonts w:ascii="Book Antiqua" w:eastAsia="Book Antiqua" w:hAnsi="Book Antiqua" w:cs="Book Antiqua"/>
        </w:rPr>
        <w:lastRenderedPageBreak/>
        <w:t>older-aged obese patients underwent bariatric surgery, must be taken into consideration.</w:t>
      </w:r>
    </w:p>
    <w:p w14:paraId="4F6CB8D8" w14:textId="1510EF72" w:rsidR="00017BA6" w:rsidRPr="003E0C02" w:rsidRDefault="00AA1E93" w:rsidP="003E0C02">
      <w:pPr>
        <w:snapToGrid w:val="0"/>
        <w:spacing w:line="360" w:lineRule="auto"/>
        <w:ind w:firstLine="238"/>
        <w:jc w:val="both"/>
        <w:rPr>
          <w:lang w:eastAsia="zh-CN"/>
        </w:rPr>
      </w:pPr>
      <w:r w:rsidRPr="003E0C02">
        <w:rPr>
          <w:rFonts w:ascii="Book Antiqua" w:eastAsia="Book Antiqua" w:hAnsi="Book Antiqua" w:cs="Book Antiqua"/>
        </w:rPr>
        <w:t xml:space="preserve">The risks of post-bariatric surgery anemia vary among different types of surgery. Our study revealed that obese patients who underwent malabsorptive procedures have 3.18-fold higher risk of developing anemia than patients who did not undergo malabsorptive procedures. Moreover, obese patients who underwent restrictive procedures also have 1.55-fold higher risk of developing anemia than patients who did not undergo restrictive procedures. Previous studies also demonstrated that malabsorptive procedures have </w:t>
      </w:r>
      <w:r w:rsidR="008B6AE1" w:rsidRPr="003E0C02">
        <w:rPr>
          <w:rFonts w:ascii="Book Antiqua" w:eastAsia="Book Antiqua" w:hAnsi="Book Antiqua" w:cs="Book Antiqua"/>
        </w:rPr>
        <w:t>greater</w:t>
      </w:r>
      <w:r w:rsidRPr="003E0C02">
        <w:rPr>
          <w:rFonts w:ascii="Book Antiqua" w:eastAsia="Book Antiqua" w:hAnsi="Book Antiqua" w:cs="Book Antiqua"/>
        </w:rPr>
        <w:t xml:space="preserve"> risk of anemia than restrictive procedures. The French cohort showed that the risk rates of developing anemia due to micronutrient deficiency were 13.0% after gastric bypass, 5.6% after sleeve gastrectomy, and 4.0% after adjustable gastric banding. Both malabsorptive and restrictive procedures lessen the volume of gastric pouch and also reduce hydrochloric acid production. Gut hypoacidity reduces transit time; consequently, early satiety and decreased intake amount contribute to the risk of micronutrient deficiency anemia after bariatric surgery. In addition to stomach reduction, malabsorptive procedures (</w:t>
      </w:r>
      <w:r w:rsidR="00F056A0" w:rsidRPr="003E0C02">
        <w:rPr>
          <w:rFonts w:ascii="Book Antiqua" w:eastAsia="Book Antiqua" w:hAnsi="Book Antiqua" w:cs="Book Antiqua"/>
          <w:i/>
        </w:rPr>
        <w:t>e.g.</w:t>
      </w:r>
      <w:r w:rsidRPr="003E0C02">
        <w:rPr>
          <w:rFonts w:ascii="Book Antiqua" w:eastAsia="Book Antiqua" w:hAnsi="Book Antiqua" w:cs="Book Antiqua"/>
        </w:rPr>
        <w:t xml:space="preserve">, Roux-en-Y bypass surgery) further bypass the main sites of iron absorption (duodenum and a portion of the jejunum). Hence, malabsorptive procedures theoretically result in more iron deficiency. However, patients who underwent malabsorptive procedures are possibly able to adapt iron </w:t>
      </w:r>
      <w:proofErr w:type="gramStart"/>
      <w:r w:rsidRPr="003E0C02">
        <w:rPr>
          <w:rFonts w:ascii="Book Antiqua" w:eastAsia="Book Antiqua" w:hAnsi="Book Antiqua" w:cs="Book Antiqua"/>
        </w:rPr>
        <w:t>absorption</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5,31]</w:t>
      </w:r>
      <w:r w:rsidRPr="003E0C02">
        <w:rPr>
          <w:rFonts w:ascii="Book Antiqua" w:eastAsia="Book Antiqua" w:hAnsi="Book Antiqua" w:cs="Book Antiqua"/>
        </w:rPr>
        <w:t xml:space="preserve">. Therefore, postoperative iron deficiency is insignificantly different between the two types of surgery. One meta-analysis also revealed that sleeve gastrectomy and Roux-en-Y bypass surgery are comparable regarding the risk of postoperative iron </w:t>
      </w:r>
      <w:proofErr w:type="gramStart"/>
      <w:r w:rsidRPr="003E0C02">
        <w:rPr>
          <w:rFonts w:ascii="Book Antiqua" w:eastAsia="Book Antiqua" w:hAnsi="Book Antiqua" w:cs="Book Antiqua"/>
        </w:rPr>
        <w:t>deficiency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5]</w:t>
      </w:r>
      <w:r w:rsidRPr="003E0C02">
        <w:rPr>
          <w:rFonts w:ascii="Book Antiqua" w:eastAsia="Book Antiqua" w:hAnsi="Book Antiqua" w:cs="Book Antiqua"/>
        </w:rPr>
        <w:t>.</w:t>
      </w:r>
    </w:p>
    <w:p w14:paraId="18FC121C" w14:textId="77777777" w:rsidR="00A77B3E" w:rsidRPr="003E0C02" w:rsidRDefault="00AA1E93" w:rsidP="003E0C02">
      <w:pPr>
        <w:snapToGrid w:val="0"/>
        <w:spacing w:line="360" w:lineRule="auto"/>
        <w:ind w:firstLine="238"/>
        <w:jc w:val="both"/>
      </w:pPr>
      <w:r w:rsidRPr="003E0C02">
        <w:rPr>
          <w:rFonts w:ascii="Book Antiqua" w:eastAsia="Book Antiqua" w:hAnsi="Book Antiqua" w:cs="Book Antiqua"/>
        </w:rPr>
        <w:t xml:space="preserve">On the contrary, malabsorptive procedures have significant effects on vitamin B12 absorption. Roux-en-Y bypass surgery reduces acid secretion, affects intrinsic factor function, and limits the mixing of food with pancreatic secretions. Consequently, vitamin B12 maldigestion and malabsorption lead to higher risk anemia </w:t>
      </w:r>
      <w:proofErr w:type="gramStart"/>
      <w:r w:rsidRPr="003E0C02">
        <w:rPr>
          <w:rFonts w:ascii="Book Antiqua" w:eastAsia="Book Antiqua" w:hAnsi="Book Antiqua" w:cs="Book Antiqua"/>
        </w:rPr>
        <w:t>postoperatively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5,32]</w:t>
      </w:r>
      <w:r w:rsidRPr="003E0C02">
        <w:rPr>
          <w:rFonts w:ascii="Book Antiqua" w:eastAsia="Book Antiqua" w:hAnsi="Book Antiqua" w:cs="Book Antiqua"/>
        </w:rPr>
        <w:t xml:space="preserve">. One meta-analysis revealed that Roux-en-Y bypass surgery had 3.55-fold higher risk of postoperative vitamin B12 deficiency than sleeve </w:t>
      </w:r>
      <w:proofErr w:type="gramStart"/>
      <w:r w:rsidRPr="003E0C02">
        <w:rPr>
          <w:rFonts w:ascii="Book Antiqua" w:eastAsia="Book Antiqua" w:hAnsi="Book Antiqua" w:cs="Book Antiqua"/>
        </w:rPr>
        <w:t>gastrectomy</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5]</w:t>
      </w:r>
      <w:r w:rsidRPr="003E0C02">
        <w:rPr>
          <w:rFonts w:ascii="Book Antiqua" w:eastAsia="Book Antiqua" w:hAnsi="Book Antiqua" w:cs="Book Antiqua"/>
        </w:rPr>
        <w:t xml:space="preserve">. </w:t>
      </w:r>
      <w:r w:rsidRPr="003E0C02">
        <w:rPr>
          <w:rFonts w:ascii="Book Antiqua" w:eastAsia="Book Antiqua" w:hAnsi="Book Antiqua" w:cs="Book Antiqua"/>
        </w:rPr>
        <w:lastRenderedPageBreak/>
        <w:t xml:space="preserve">Recent studies demonstrate that malabsorptive procedures result in excess weight loss at midterm, but the difference was not statistically significant. The morbidity rates of the two procedures were statistically </w:t>
      </w:r>
      <w:proofErr w:type="gramStart"/>
      <w:r w:rsidRPr="003E0C02">
        <w:rPr>
          <w:rFonts w:ascii="Book Antiqua" w:eastAsia="Book Antiqua" w:hAnsi="Book Antiqua" w:cs="Book Antiqua"/>
        </w:rPr>
        <w:t>insignificant</w:t>
      </w:r>
      <w:r w:rsidRPr="003E0C02">
        <w:rPr>
          <w:rFonts w:ascii="Book Antiqua" w:eastAsia="Book Antiqua" w:hAnsi="Book Antiqua" w:cs="Book Antiqua"/>
          <w:vertAlign w:val="superscript"/>
        </w:rPr>
        <w:t>[</w:t>
      </w:r>
      <w:proofErr w:type="gramEnd"/>
      <w:r w:rsidRPr="003E0C02">
        <w:rPr>
          <w:rFonts w:ascii="Book Antiqua" w:eastAsia="Book Antiqua" w:hAnsi="Book Antiqua" w:cs="Book Antiqua"/>
          <w:vertAlign w:val="superscript"/>
        </w:rPr>
        <w:t>33,34]</w:t>
      </w:r>
      <w:r w:rsidRPr="003E0C02">
        <w:rPr>
          <w:rFonts w:ascii="Book Antiqua" w:eastAsia="Book Antiqua" w:hAnsi="Book Antiqua" w:cs="Book Antiqua"/>
        </w:rPr>
        <w:t>.</w:t>
      </w:r>
    </w:p>
    <w:p w14:paraId="194F7545" w14:textId="2816481E" w:rsidR="00A77B3E" w:rsidRPr="003E0C02" w:rsidRDefault="00AA1E93" w:rsidP="003E0C02">
      <w:pPr>
        <w:snapToGrid w:val="0"/>
        <w:spacing w:line="360" w:lineRule="auto"/>
        <w:ind w:firstLineChars="100" w:firstLine="240"/>
        <w:jc w:val="both"/>
      </w:pPr>
      <w:r w:rsidRPr="003E0C02">
        <w:rPr>
          <w:rFonts w:ascii="Book Antiqua" w:eastAsia="Book Antiqua" w:hAnsi="Book Antiqua" w:cs="Book Antiqua"/>
        </w:rPr>
        <w:t>Our study has the following strength:</w:t>
      </w:r>
      <w:r w:rsidR="00E7097F" w:rsidRPr="003E0C02">
        <w:rPr>
          <w:rFonts w:ascii="Book Antiqua" w:hAnsi="Book Antiqua" w:cs="Book Antiqua"/>
          <w:lang w:eastAsia="zh-CN"/>
        </w:rPr>
        <w:t xml:space="preserve"> </w:t>
      </w:r>
      <w:r w:rsidR="00C22172" w:rsidRPr="003E0C02">
        <w:rPr>
          <w:rFonts w:ascii="Book Antiqua" w:eastAsia="Book Antiqua" w:hAnsi="Book Antiqua" w:cs="Book Antiqua"/>
        </w:rPr>
        <w:t>T</w:t>
      </w:r>
      <w:r w:rsidRPr="003E0C02">
        <w:rPr>
          <w:rFonts w:ascii="Book Antiqua" w:eastAsia="Book Antiqua" w:hAnsi="Book Antiqua" w:cs="Book Antiqua"/>
        </w:rPr>
        <w:t xml:space="preserve">he nationwide </w:t>
      </w:r>
      <w:r w:rsidR="008B320B" w:rsidRPr="003E0C02">
        <w:rPr>
          <w:rFonts w:ascii="Book Antiqua" w:eastAsia="Book Antiqua" w:hAnsi="Book Antiqua" w:cs="Book Antiqua"/>
        </w:rPr>
        <w:t xml:space="preserve">cohort </w:t>
      </w:r>
      <w:r w:rsidRPr="003E0C02">
        <w:rPr>
          <w:rFonts w:ascii="Book Antiqua" w:eastAsia="Book Antiqua" w:hAnsi="Book Antiqua" w:cs="Book Antiqua"/>
        </w:rPr>
        <w:t xml:space="preserve">with large sample size, paying careful attention to </w:t>
      </w:r>
      <w:r w:rsidR="008B320B" w:rsidRPr="003E0C02">
        <w:rPr>
          <w:rFonts w:ascii="Book Antiqua" w:eastAsia="Book Antiqua" w:hAnsi="Book Antiqua" w:cs="Book Antiqua"/>
        </w:rPr>
        <w:t xml:space="preserve">post-bariatric surgery </w:t>
      </w:r>
      <w:r w:rsidRPr="003E0C02">
        <w:rPr>
          <w:rFonts w:ascii="Book Antiqua" w:eastAsia="Book Antiqua" w:hAnsi="Book Antiqua" w:cs="Book Antiqua"/>
        </w:rPr>
        <w:t xml:space="preserve">anemia in morbidly obese patients. However, </w:t>
      </w:r>
      <w:r w:rsidR="008B320B" w:rsidRPr="003E0C02">
        <w:rPr>
          <w:rFonts w:ascii="Book Antiqua" w:eastAsia="Book Antiqua" w:hAnsi="Book Antiqua" w:cs="Book Antiqua"/>
        </w:rPr>
        <w:t xml:space="preserve">there </w:t>
      </w:r>
      <w:r w:rsidR="00C22172" w:rsidRPr="003E0C02">
        <w:rPr>
          <w:rFonts w:ascii="Book Antiqua" w:eastAsia="Book Antiqua" w:hAnsi="Book Antiqua" w:cs="Book Antiqua"/>
        </w:rPr>
        <w:t xml:space="preserve">are </w:t>
      </w:r>
      <w:r w:rsidR="008B320B" w:rsidRPr="003E0C02">
        <w:rPr>
          <w:rFonts w:ascii="Book Antiqua" w:eastAsia="Book Antiqua" w:hAnsi="Book Antiqua" w:cs="Book Antiqua"/>
        </w:rPr>
        <w:t xml:space="preserve">some limitations in </w:t>
      </w:r>
      <w:r w:rsidRPr="003E0C02">
        <w:rPr>
          <w:rFonts w:ascii="Book Antiqua" w:eastAsia="Book Antiqua" w:hAnsi="Book Antiqua" w:cs="Book Antiqua"/>
        </w:rPr>
        <w:t xml:space="preserve">our study. First, the </w:t>
      </w:r>
      <w:r w:rsidR="00E84E33" w:rsidRPr="003E0C02">
        <w:rPr>
          <w:rFonts w:ascii="Book Antiqua" w:eastAsia="Book Antiqua" w:hAnsi="Book Antiqua" w:cs="Book Antiqua"/>
        </w:rPr>
        <w:t xml:space="preserve">Taiwan </w:t>
      </w:r>
      <w:r w:rsidRPr="003E0C02">
        <w:rPr>
          <w:rFonts w:ascii="Book Antiqua" w:eastAsia="Book Antiqua" w:hAnsi="Book Antiqua" w:cs="Book Antiqua"/>
        </w:rPr>
        <w:t xml:space="preserve">NHIRD did not </w:t>
      </w:r>
      <w:r w:rsidR="00E84E33" w:rsidRPr="003E0C02">
        <w:rPr>
          <w:rFonts w:ascii="Book Antiqua" w:eastAsia="Book Antiqua" w:hAnsi="Book Antiqua" w:cs="Book Antiqua"/>
        </w:rPr>
        <w:t>comprise information</w:t>
      </w:r>
      <w:r w:rsidRPr="003E0C02">
        <w:rPr>
          <w:rFonts w:ascii="Book Antiqua" w:eastAsia="Book Antiqua" w:hAnsi="Book Antiqua" w:cs="Book Antiqua"/>
        </w:rPr>
        <w:t xml:space="preserve"> regarding hemoglobin level, body weight</w:t>
      </w:r>
      <w:r w:rsidR="00C22172" w:rsidRPr="003E0C02">
        <w:rPr>
          <w:rFonts w:ascii="Book Antiqua" w:eastAsia="Book Antiqua" w:hAnsi="Book Antiqua" w:cs="Book Antiqua"/>
        </w:rPr>
        <w:t>,</w:t>
      </w:r>
      <w:r w:rsidRPr="003E0C02">
        <w:rPr>
          <w:rFonts w:ascii="Book Antiqua" w:eastAsia="Book Antiqua" w:hAnsi="Book Antiqua" w:cs="Book Antiqua"/>
        </w:rPr>
        <w:t xml:space="preserve"> and height. </w:t>
      </w:r>
      <w:r w:rsidR="008B320B" w:rsidRPr="003E0C02">
        <w:rPr>
          <w:rFonts w:ascii="Book Antiqua" w:eastAsia="Book Antiqua" w:hAnsi="Book Antiqua" w:cs="Book Antiqua"/>
        </w:rPr>
        <w:t>Therefore</w:t>
      </w:r>
      <w:r w:rsidRPr="003E0C02">
        <w:rPr>
          <w:rFonts w:ascii="Book Antiqua" w:eastAsia="Book Antiqua" w:hAnsi="Book Antiqua" w:cs="Book Antiqua"/>
        </w:rPr>
        <w:t>, the associations between body mass index</w:t>
      </w:r>
      <w:r w:rsidR="001B7D44" w:rsidRPr="003E0C02">
        <w:rPr>
          <w:rFonts w:ascii="Book Antiqua" w:eastAsia="Book Antiqua" w:hAnsi="Book Antiqua" w:cs="Book Antiqua"/>
        </w:rPr>
        <w:t xml:space="preserve"> changes</w:t>
      </w:r>
      <w:r w:rsidRPr="003E0C02">
        <w:rPr>
          <w:rFonts w:ascii="Book Antiqua" w:eastAsia="Book Antiqua" w:hAnsi="Book Antiqua" w:cs="Book Antiqua"/>
        </w:rPr>
        <w:t>,</w:t>
      </w:r>
      <w:r w:rsidR="00EA796E" w:rsidRPr="003E0C02">
        <w:rPr>
          <w:rFonts w:ascii="Book Antiqua" w:eastAsia="Book Antiqua" w:hAnsi="Book Antiqua" w:cs="Book Antiqua"/>
        </w:rPr>
        <w:t xml:space="preserve"> body weight changes,</w:t>
      </w:r>
      <w:r w:rsidRPr="003E0C02">
        <w:rPr>
          <w:rFonts w:ascii="Book Antiqua" w:eastAsia="Book Antiqua" w:hAnsi="Book Antiqua" w:cs="Book Antiqua"/>
        </w:rPr>
        <w:t xml:space="preserve"> and </w:t>
      </w:r>
      <w:r w:rsidR="00EA796E" w:rsidRPr="003E0C02">
        <w:rPr>
          <w:rFonts w:ascii="Book Antiqua" w:eastAsia="Book Antiqua" w:hAnsi="Book Antiqua" w:cs="Book Antiqua"/>
        </w:rPr>
        <w:t>post-</w:t>
      </w:r>
      <w:r w:rsidRPr="003E0C02">
        <w:rPr>
          <w:rFonts w:ascii="Book Antiqua" w:eastAsia="Book Antiqua" w:hAnsi="Book Antiqua" w:cs="Book Antiqua"/>
        </w:rPr>
        <w:t>bariatric surgery</w:t>
      </w:r>
      <w:r w:rsidR="008B320B" w:rsidRPr="003E0C02">
        <w:rPr>
          <w:rFonts w:ascii="Book Antiqua" w:eastAsia="Book Antiqua" w:hAnsi="Book Antiqua" w:cs="Book Antiqua"/>
        </w:rPr>
        <w:t xml:space="preserve"> </w:t>
      </w:r>
      <w:r w:rsidR="00EA796E" w:rsidRPr="003E0C02">
        <w:rPr>
          <w:rFonts w:ascii="Book Antiqua" w:eastAsia="Book Antiqua" w:hAnsi="Book Antiqua" w:cs="Book Antiqua"/>
        </w:rPr>
        <w:t xml:space="preserve">anemia </w:t>
      </w:r>
      <w:r w:rsidR="008B320B" w:rsidRPr="003E0C02">
        <w:rPr>
          <w:rFonts w:ascii="Book Antiqua" w:eastAsia="Book Antiqua" w:hAnsi="Book Antiqua" w:cs="Book Antiqua"/>
        </w:rPr>
        <w:t>could not be analyzed</w:t>
      </w:r>
      <w:r w:rsidRPr="003E0C02">
        <w:rPr>
          <w:rFonts w:ascii="Book Antiqua" w:eastAsia="Book Antiqua" w:hAnsi="Book Antiqua" w:cs="Book Antiqua"/>
        </w:rPr>
        <w:t xml:space="preserve">. To reduce the influence of pre-surgery anemia, our study group </w:t>
      </w:r>
      <w:r w:rsidR="00C22172" w:rsidRPr="003E0C02">
        <w:rPr>
          <w:rFonts w:ascii="Book Antiqua" w:eastAsia="Book Antiqua" w:hAnsi="Book Antiqua" w:cs="Book Antiqua"/>
        </w:rPr>
        <w:t xml:space="preserve">was </w:t>
      </w:r>
      <w:r w:rsidRPr="003E0C02">
        <w:rPr>
          <w:rFonts w:ascii="Book Antiqua" w:eastAsia="Book Antiqua" w:hAnsi="Book Antiqua" w:cs="Book Antiqua"/>
        </w:rPr>
        <w:t xml:space="preserve">analyzed after </w:t>
      </w:r>
      <w:r w:rsidR="00E84E33" w:rsidRPr="003E0C02">
        <w:rPr>
          <w:rFonts w:ascii="Book Antiqua" w:eastAsia="Book Antiqua" w:hAnsi="Book Antiqua" w:cs="Book Antiqua"/>
        </w:rPr>
        <w:t xml:space="preserve">excluding who had anemia diagnosis before index date. </w:t>
      </w:r>
      <w:r w:rsidRPr="003E0C02">
        <w:rPr>
          <w:rFonts w:ascii="Book Antiqua" w:eastAsia="Book Antiqua" w:hAnsi="Book Antiqua" w:cs="Book Antiqua"/>
        </w:rPr>
        <w:t>Second, due to the retrospective cohort design of the study, the evidence of this study was lower in statistical quality than randomized trials. Third, regimens for micronutrient supplementation were not assessed in this study. Thus, we could not further analyze the micronutrient deficiency between groups.</w:t>
      </w:r>
    </w:p>
    <w:p w14:paraId="18529B48" w14:textId="77777777" w:rsidR="00A77B3E" w:rsidRPr="003E0C02" w:rsidRDefault="00A77B3E" w:rsidP="003E0C02">
      <w:pPr>
        <w:snapToGrid w:val="0"/>
        <w:spacing w:line="360" w:lineRule="auto"/>
        <w:jc w:val="both"/>
      </w:pPr>
    </w:p>
    <w:p w14:paraId="341BCA03"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CONCLUSION</w:t>
      </w:r>
    </w:p>
    <w:p w14:paraId="2921990D" w14:textId="77777777" w:rsidR="00A77B3E" w:rsidRPr="003E0C02" w:rsidRDefault="00AA1E93" w:rsidP="003E0C02">
      <w:pPr>
        <w:snapToGrid w:val="0"/>
        <w:spacing w:line="360" w:lineRule="auto"/>
        <w:jc w:val="both"/>
      </w:pPr>
      <w:r w:rsidRPr="003E0C02">
        <w:rPr>
          <w:rFonts w:ascii="Book Antiqua" w:eastAsia="Book Antiqua" w:hAnsi="Book Antiqua" w:cs="Book Antiqua"/>
        </w:rPr>
        <w:t xml:space="preserve">In conclusion, our study demonstrated that morbidly obese patients who </w:t>
      </w:r>
      <w:r w:rsidR="00EA796E" w:rsidRPr="003E0C02">
        <w:rPr>
          <w:rFonts w:ascii="Book Antiqua" w:eastAsia="Book Antiqua" w:hAnsi="Book Antiqua" w:cs="Book Antiqua"/>
        </w:rPr>
        <w:t>received</w:t>
      </w:r>
      <w:r w:rsidR="00E7097F" w:rsidRPr="003E0C02">
        <w:rPr>
          <w:rFonts w:ascii="Book Antiqua" w:hAnsi="Book Antiqua" w:cs="Book Antiqua"/>
          <w:lang w:eastAsia="zh-CN"/>
        </w:rPr>
        <w:t xml:space="preserve"> </w:t>
      </w:r>
      <w:r w:rsidRPr="003E0C02">
        <w:rPr>
          <w:rFonts w:ascii="Book Antiqua" w:eastAsia="Book Antiqua" w:hAnsi="Book Antiqua" w:cs="Book Antiqua"/>
        </w:rPr>
        <w:t xml:space="preserve">bariatric surgery had a significantly higher risk of developing anemia than patients who did not </w:t>
      </w:r>
      <w:r w:rsidR="00EA796E" w:rsidRPr="003E0C02">
        <w:rPr>
          <w:rFonts w:ascii="Book Antiqua" w:eastAsia="Book Antiqua" w:hAnsi="Book Antiqua" w:cs="Book Antiqua"/>
        </w:rPr>
        <w:t xml:space="preserve">receive </w:t>
      </w:r>
      <w:r w:rsidRPr="003E0C02">
        <w:rPr>
          <w:rFonts w:ascii="Book Antiqua" w:eastAsia="Book Antiqua" w:hAnsi="Book Antiqua" w:cs="Book Antiqua"/>
        </w:rPr>
        <w:t>bariatric surgery. After the stratification of confounding factors, female sex, young-aged (20</w:t>
      </w:r>
      <w:r w:rsidR="00A144B0" w:rsidRPr="003E0C02">
        <w:rPr>
          <w:rFonts w:ascii="Book Antiqua" w:eastAsia="Book Antiqua" w:hAnsi="Book Antiqua" w:cs="Book Antiqua"/>
        </w:rPr>
        <w:t>-</w:t>
      </w:r>
      <w:r w:rsidRPr="003E0C02">
        <w:rPr>
          <w:rFonts w:ascii="Book Antiqua" w:eastAsia="Book Antiqua" w:hAnsi="Book Antiqua" w:cs="Book Antiqua"/>
        </w:rPr>
        <w:t>29 years) and middle-aged (30</w:t>
      </w:r>
      <w:r w:rsidR="00A144B0" w:rsidRPr="003E0C02">
        <w:rPr>
          <w:rFonts w:ascii="Book Antiqua" w:eastAsia="Book Antiqua" w:hAnsi="Book Antiqua" w:cs="Book Antiqua"/>
        </w:rPr>
        <w:t>-</w:t>
      </w:r>
      <w:r w:rsidRPr="003E0C02">
        <w:rPr>
          <w:rFonts w:ascii="Book Antiqua" w:eastAsia="Book Antiqua" w:hAnsi="Book Antiqua" w:cs="Book Antiqua"/>
        </w:rPr>
        <w:t>64 years) patients, and patients who underwent malabsorptive procedures had significantly higher HRs than male sex, older-aged patients, and patients who did not undergo malabsorptive procedures.</w:t>
      </w:r>
    </w:p>
    <w:p w14:paraId="08F957E6" w14:textId="77777777" w:rsidR="00A77B3E" w:rsidRPr="003E0C02" w:rsidRDefault="00A77B3E" w:rsidP="003E0C02">
      <w:pPr>
        <w:snapToGrid w:val="0"/>
        <w:spacing w:line="360" w:lineRule="auto"/>
        <w:ind w:firstLine="480"/>
        <w:jc w:val="both"/>
      </w:pPr>
    </w:p>
    <w:p w14:paraId="60ADD3AA" w14:textId="77777777"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ARTICLE HIGHLIGHTS</w:t>
      </w:r>
    </w:p>
    <w:p w14:paraId="079E1B0B"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background</w:t>
      </w:r>
    </w:p>
    <w:p w14:paraId="57803941" w14:textId="77777777" w:rsidR="00A77B3E" w:rsidRPr="003E0C02" w:rsidRDefault="00AA1E93" w:rsidP="003E0C02">
      <w:pPr>
        <w:snapToGrid w:val="0"/>
        <w:spacing w:line="360" w:lineRule="auto"/>
        <w:jc w:val="both"/>
      </w:pPr>
      <w:r w:rsidRPr="003E0C02">
        <w:rPr>
          <w:rFonts w:ascii="Book Antiqua" w:eastAsia="Book Antiqua" w:hAnsi="Book Antiqua" w:cs="Book Antiqua"/>
        </w:rPr>
        <w:t xml:space="preserve">Bariatric surgery </w:t>
      </w:r>
      <w:r w:rsidR="000049C0" w:rsidRPr="003E0C02">
        <w:rPr>
          <w:rFonts w:ascii="Book Antiqua" w:eastAsia="Book Antiqua" w:hAnsi="Book Antiqua" w:cs="Book Antiqua"/>
        </w:rPr>
        <w:t>is considered</w:t>
      </w:r>
      <w:r w:rsidRPr="003E0C02">
        <w:rPr>
          <w:rFonts w:ascii="Book Antiqua" w:eastAsia="Book Antiqua" w:hAnsi="Book Antiqua" w:cs="Book Antiqua"/>
        </w:rPr>
        <w:t xml:space="preserve"> to be the most effective long-term treatment for </w:t>
      </w:r>
      <w:r w:rsidR="001B7D44" w:rsidRPr="003E0C02">
        <w:rPr>
          <w:rFonts w:ascii="Book Antiqua" w:eastAsia="Book Antiqua" w:hAnsi="Book Antiqua" w:cs="Book Antiqua"/>
        </w:rPr>
        <w:t>morbidly obese patients</w:t>
      </w:r>
      <w:r w:rsidRPr="003E0C02">
        <w:rPr>
          <w:rFonts w:ascii="Book Antiqua" w:eastAsia="Book Antiqua" w:hAnsi="Book Antiqua" w:cs="Book Antiqua"/>
        </w:rPr>
        <w:t xml:space="preserve">. However, post-bariatric surgery anemia is identified as a common adverse effect and remains a challenge nowadays. This study revealed the </w:t>
      </w:r>
      <w:r w:rsidRPr="003E0C02">
        <w:rPr>
          <w:rFonts w:ascii="Book Antiqua" w:eastAsia="Book Antiqua" w:hAnsi="Book Antiqua" w:cs="Book Antiqua"/>
        </w:rPr>
        <w:lastRenderedPageBreak/>
        <w:t xml:space="preserve">long-term incidence of anemia in </w:t>
      </w:r>
      <w:r w:rsidR="001B7D44" w:rsidRPr="003E0C02">
        <w:rPr>
          <w:rFonts w:ascii="Book Antiqua" w:eastAsia="Book Antiqua" w:hAnsi="Book Antiqua" w:cs="Book Antiqua"/>
        </w:rPr>
        <w:t xml:space="preserve">morbidly obese </w:t>
      </w:r>
      <w:r w:rsidRPr="003E0C02">
        <w:rPr>
          <w:rFonts w:ascii="Book Antiqua" w:eastAsia="Book Antiqua" w:hAnsi="Book Antiqua" w:cs="Book Antiqua"/>
        </w:rPr>
        <w:t xml:space="preserve">patients </w:t>
      </w:r>
      <w:r w:rsidR="001B7D44" w:rsidRPr="003E0C02">
        <w:rPr>
          <w:rFonts w:ascii="Book Antiqua" w:eastAsia="Book Antiqua" w:hAnsi="Book Antiqua" w:cs="Book Antiqua"/>
        </w:rPr>
        <w:t xml:space="preserve">who </w:t>
      </w:r>
      <w:r w:rsidR="00307FE7" w:rsidRPr="003E0C02">
        <w:rPr>
          <w:rFonts w:ascii="Book Antiqua" w:eastAsia="Book Antiqua" w:hAnsi="Book Antiqua" w:cs="Book Antiqua"/>
        </w:rPr>
        <w:t>received</w:t>
      </w:r>
      <w:r w:rsidR="001B7D44" w:rsidRPr="003E0C02">
        <w:rPr>
          <w:rFonts w:ascii="Book Antiqua" w:eastAsia="Book Antiqua" w:hAnsi="Book Antiqua" w:cs="Book Antiqua"/>
        </w:rPr>
        <w:t xml:space="preserve"> </w:t>
      </w:r>
      <w:r w:rsidRPr="003E0C02">
        <w:rPr>
          <w:rFonts w:ascii="Book Antiqua" w:eastAsia="Book Antiqua" w:hAnsi="Book Antiqua" w:cs="Book Antiqua"/>
        </w:rPr>
        <w:t>a bariatric procedure in large cohorts.</w:t>
      </w:r>
    </w:p>
    <w:p w14:paraId="6D215EA8" w14:textId="77777777" w:rsidR="00A77B3E" w:rsidRPr="003E0C02" w:rsidRDefault="00A77B3E" w:rsidP="003E0C02">
      <w:pPr>
        <w:snapToGrid w:val="0"/>
        <w:spacing w:line="360" w:lineRule="auto"/>
        <w:jc w:val="both"/>
      </w:pPr>
    </w:p>
    <w:p w14:paraId="34395063"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motivation</w:t>
      </w:r>
    </w:p>
    <w:p w14:paraId="15CDBB76" w14:textId="77777777" w:rsidR="00A77B3E" w:rsidRPr="003E0C02" w:rsidRDefault="00AA1E93" w:rsidP="003E0C02">
      <w:pPr>
        <w:snapToGrid w:val="0"/>
        <w:spacing w:line="360" w:lineRule="auto"/>
        <w:jc w:val="both"/>
      </w:pPr>
      <w:r w:rsidRPr="003E0C02">
        <w:rPr>
          <w:rFonts w:ascii="Book Antiqua" w:eastAsia="Book Antiqua" w:hAnsi="Book Antiqua" w:cs="Book Antiqua"/>
        </w:rPr>
        <w:t>Although post-bariatric surgery anemia is identified as a common adverse effect, there are insufficient population-based cohort studies to demonstrate the long-term incidence of anemia and the risk of post-bariatric surgery anemia.</w:t>
      </w:r>
    </w:p>
    <w:p w14:paraId="109D5B03" w14:textId="77777777" w:rsidR="00A77B3E" w:rsidRPr="003E0C02" w:rsidRDefault="00A77B3E" w:rsidP="003E0C02">
      <w:pPr>
        <w:snapToGrid w:val="0"/>
        <w:spacing w:line="360" w:lineRule="auto"/>
        <w:jc w:val="both"/>
      </w:pPr>
    </w:p>
    <w:p w14:paraId="7FB93DF4"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objectives</w:t>
      </w:r>
    </w:p>
    <w:p w14:paraId="008ABEDE" w14:textId="79D95F9E" w:rsidR="00A77B3E" w:rsidRPr="003E0C02" w:rsidRDefault="00AA1E93" w:rsidP="003E0C02">
      <w:pPr>
        <w:snapToGrid w:val="0"/>
        <w:spacing w:line="360" w:lineRule="auto"/>
        <w:jc w:val="both"/>
      </w:pPr>
      <w:r w:rsidRPr="003E0C02">
        <w:rPr>
          <w:rFonts w:ascii="Book Antiqua" w:eastAsia="Book Antiqua" w:hAnsi="Book Antiqua" w:cs="Book Antiqua"/>
        </w:rPr>
        <w:t>To estimate the risk of post-bariatric surgery anemia and to stratify the association between sex, age, and type of surgery.</w:t>
      </w:r>
    </w:p>
    <w:p w14:paraId="65C8FCA0" w14:textId="77777777" w:rsidR="00A77B3E" w:rsidRPr="003E0C02" w:rsidRDefault="00A77B3E" w:rsidP="003E0C02">
      <w:pPr>
        <w:snapToGrid w:val="0"/>
        <w:spacing w:line="360" w:lineRule="auto"/>
        <w:jc w:val="both"/>
      </w:pPr>
    </w:p>
    <w:p w14:paraId="6A9065E2"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methods</w:t>
      </w:r>
    </w:p>
    <w:p w14:paraId="40A179A6" w14:textId="77777777" w:rsidR="001E7923" w:rsidRPr="003E0C02" w:rsidRDefault="001E7923" w:rsidP="003E0C02">
      <w:pPr>
        <w:snapToGrid w:val="0"/>
        <w:spacing w:line="360" w:lineRule="auto"/>
        <w:jc w:val="both"/>
      </w:pPr>
      <w:r w:rsidRPr="003E0C02">
        <w:rPr>
          <w:rFonts w:ascii="Book Antiqua" w:eastAsia="Book Antiqua" w:hAnsi="Book Antiqua" w:cs="Book Antiqua"/>
        </w:rPr>
        <w:t>This study is a population-based cohort study. We conducted</w:t>
      </w:r>
      <w:r w:rsidR="00A144B0" w:rsidRPr="003E0C02">
        <w:rPr>
          <w:rFonts w:ascii="Book Antiqua" w:eastAsia="Book Antiqua" w:hAnsi="Book Antiqua" w:cs="Book Antiqua"/>
        </w:rPr>
        <w:t xml:space="preserve"> </w:t>
      </w:r>
      <w:r w:rsidRPr="003E0C02">
        <w:rPr>
          <w:rFonts w:ascii="Book Antiqua" w:eastAsia="Book Antiqua" w:hAnsi="Book Antiqua" w:cs="Book Antiqua"/>
        </w:rPr>
        <w:t>this nationwide study using claims data from National Health Insurance Research Database</w:t>
      </w:r>
      <w:r w:rsidR="00653BAF" w:rsidRPr="003E0C02">
        <w:rPr>
          <w:rFonts w:ascii="Book Antiqua" w:eastAsia="Book Antiqua" w:hAnsi="Book Antiqua" w:cs="Book Antiqua"/>
        </w:rPr>
        <w:t xml:space="preserve"> (NHIRD)</w:t>
      </w:r>
      <w:r w:rsidRPr="003E0C02">
        <w:rPr>
          <w:rFonts w:ascii="Book Antiqua" w:eastAsia="Book Antiqua" w:hAnsi="Book Antiqua" w:cs="Book Antiqua"/>
        </w:rPr>
        <w:t xml:space="preserve"> in Taiwan. There were 4373 morbidly obese patients in this study cohort.</w:t>
      </w:r>
    </w:p>
    <w:p w14:paraId="0DC4BA63" w14:textId="77777777" w:rsidR="00A77B3E" w:rsidRPr="003E0C02" w:rsidRDefault="00A77B3E" w:rsidP="003E0C02">
      <w:pPr>
        <w:snapToGrid w:val="0"/>
        <w:spacing w:line="360" w:lineRule="auto"/>
        <w:jc w:val="both"/>
      </w:pPr>
    </w:p>
    <w:p w14:paraId="4F2F1CB7" w14:textId="77777777" w:rsidR="00A77B3E" w:rsidRPr="003E0C02" w:rsidRDefault="00AA1E93" w:rsidP="003E0C02">
      <w:pPr>
        <w:snapToGrid w:val="0"/>
        <w:spacing w:line="360" w:lineRule="auto"/>
        <w:jc w:val="both"/>
      </w:pPr>
      <w:r w:rsidRPr="003E0C02">
        <w:rPr>
          <w:rFonts w:ascii="Book Antiqua" w:eastAsia="Book Antiqua" w:hAnsi="Book Antiqua" w:cs="Book Antiqua"/>
          <w:b/>
          <w:i/>
        </w:rPr>
        <w:t>Research results</w:t>
      </w:r>
    </w:p>
    <w:p w14:paraId="5D6D6D86" w14:textId="23361D7F" w:rsidR="00E47607" w:rsidRPr="003E0C02" w:rsidRDefault="000049C0" w:rsidP="003E0C02">
      <w:pPr>
        <w:snapToGrid w:val="0"/>
        <w:spacing w:line="360" w:lineRule="auto"/>
        <w:jc w:val="both"/>
        <w:rPr>
          <w:rFonts w:ascii="Book Antiqua" w:eastAsia="Book Antiqua" w:hAnsi="Book Antiqua" w:cs="Book Antiqua"/>
        </w:rPr>
      </w:pPr>
      <w:r w:rsidRPr="003E0C02">
        <w:rPr>
          <w:rFonts w:ascii="Book Antiqua" w:eastAsia="Book Antiqua" w:hAnsi="Book Antiqua" w:cs="Book Antiqua"/>
        </w:rPr>
        <w:t>T</w:t>
      </w:r>
      <w:r w:rsidR="00ED09A6" w:rsidRPr="003E0C02">
        <w:rPr>
          <w:rFonts w:ascii="Book Antiqua" w:eastAsia="Book Antiqua" w:hAnsi="Book Antiqua" w:cs="Book Antiqua"/>
        </w:rPr>
        <w:t>here w</w:t>
      </w:r>
      <w:r w:rsidR="00653BAF" w:rsidRPr="003E0C02">
        <w:rPr>
          <w:rFonts w:ascii="Book Antiqua" w:eastAsia="Book Antiqua" w:hAnsi="Book Antiqua" w:cs="Book Antiqua"/>
        </w:rPr>
        <w:t>ere</w:t>
      </w:r>
      <w:r w:rsidR="00ED09A6" w:rsidRPr="003E0C02">
        <w:rPr>
          <w:rFonts w:ascii="Book Antiqua" w:eastAsia="Book Antiqua" w:hAnsi="Book Antiqua" w:cs="Book Antiqua"/>
        </w:rPr>
        <w:t xml:space="preserve"> 4373 patients in t</w:t>
      </w:r>
      <w:r w:rsidRPr="003E0C02">
        <w:rPr>
          <w:rFonts w:ascii="Book Antiqua" w:eastAsia="Book Antiqua" w:hAnsi="Book Antiqua" w:cs="Book Antiqua"/>
        </w:rPr>
        <w:t xml:space="preserve">he cohort. </w:t>
      </w:r>
      <w:r w:rsidR="00E47607" w:rsidRPr="003E0C02">
        <w:rPr>
          <w:rFonts w:ascii="Book Antiqua" w:eastAsia="Book Antiqua" w:hAnsi="Book Antiqua" w:cs="Book Antiqua"/>
        </w:rPr>
        <w:t xml:space="preserve">Among patients who </w:t>
      </w:r>
      <w:r w:rsidR="00653BAF" w:rsidRPr="003E0C02">
        <w:rPr>
          <w:rFonts w:ascii="Book Antiqua" w:eastAsia="Book Antiqua" w:hAnsi="Book Antiqua" w:cs="Book Antiqua"/>
        </w:rPr>
        <w:t xml:space="preserve">were </w:t>
      </w:r>
      <w:r w:rsidR="00E47607" w:rsidRPr="003E0C02">
        <w:rPr>
          <w:rFonts w:ascii="Book Antiqua" w:eastAsia="Book Antiqua" w:hAnsi="Book Antiqua" w:cs="Book Antiqua"/>
        </w:rPr>
        <w:t>diagnosed with morbid obesity, 2864 received bariatric surgery. All obesity-</w:t>
      </w:r>
      <w:r w:rsidR="001E7923" w:rsidRPr="003E0C02">
        <w:rPr>
          <w:rFonts w:ascii="Book Antiqua" w:eastAsia="Book Antiqua" w:hAnsi="Book Antiqua" w:cs="Book Antiqua"/>
        </w:rPr>
        <w:t xml:space="preserve"> </w:t>
      </w:r>
      <w:r w:rsidR="00653BAF" w:rsidRPr="003E0C02">
        <w:rPr>
          <w:rFonts w:ascii="Book Antiqua" w:eastAsia="Book Antiqua" w:hAnsi="Book Antiqua" w:cs="Book Antiqua"/>
        </w:rPr>
        <w:t xml:space="preserve">and </w:t>
      </w:r>
      <w:r w:rsidR="001E7923" w:rsidRPr="003E0C02">
        <w:rPr>
          <w:rFonts w:ascii="Book Antiqua" w:eastAsia="Book Antiqua" w:hAnsi="Book Antiqua" w:cs="Book Antiqua"/>
        </w:rPr>
        <w:t>obesity-associated</w:t>
      </w:r>
      <w:r w:rsidR="00E47607" w:rsidRPr="003E0C02">
        <w:rPr>
          <w:rFonts w:ascii="Book Antiqua" w:eastAsia="Book Antiqua" w:hAnsi="Book Antiqua" w:cs="Book Antiqua"/>
        </w:rPr>
        <w:t xml:space="preserve"> comorbidities decreased in </w:t>
      </w:r>
      <w:r w:rsidR="00653BAF" w:rsidRPr="003E0C02">
        <w:rPr>
          <w:rFonts w:ascii="Book Antiqua" w:eastAsia="Book Antiqua" w:hAnsi="Book Antiqua" w:cs="Book Antiqua"/>
        </w:rPr>
        <w:t xml:space="preserve">the </w:t>
      </w:r>
      <w:r w:rsidR="00E47607" w:rsidRPr="003E0C02">
        <w:rPr>
          <w:rFonts w:ascii="Book Antiqua" w:eastAsia="Book Antiqua" w:hAnsi="Book Antiqua" w:cs="Book Antiqua"/>
        </w:rPr>
        <w:t xml:space="preserve">surgical group. Increasing risk of post-bariatric surgery anemia among obese patients was found by Cox proportional hazards regression </w:t>
      </w:r>
      <w:r w:rsidR="00283869">
        <w:rPr>
          <w:rFonts w:ascii="Book Antiqua" w:eastAsia="Book Antiqua" w:hAnsi="Book Antiqua" w:cs="Book Antiqua"/>
        </w:rPr>
        <w:t>[</w:t>
      </w:r>
      <w:r w:rsidR="00E47607" w:rsidRPr="003E0C02">
        <w:rPr>
          <w:rFonts w:ascii="Book Antiqua" w:eastAsia="Book Antiqua" w:hAnsi="Book Antiqua" w:cs="Book Antiqua"/>
        </w:rPr>
        <w:t xml:space="preserve">adjusted </w:t>
      </w:r>
      <w:r w:rsidR="00653BAF" w:rsidRPr="003E0C02">
        <w:rPr>
          <w:rFonts w:ascii="Book Antiqua" w:eastAsia="Book Antiqua" w:hAnsi="Book Antiqua" w:cs="Book Antiqua"/>
        </w:rPr>
        <w:t xml:space="preserve">hazard </w:t>
      </w:r>
      <w:proofErr w:type="gramStart"/>
      <w:r w:rsidR="00653BAF" w:rsidRPr="003E0C02">
        <w:rPr>
          <w:rFonts w:ascii="Book Antiqua" w:eastAsia="Book Antiqua" w:hAnsi="Book Antiqua" w:cs="Book Antiqua"/>
        </w:rPr>
        <w:t>ratio(</w:t>
      </w:r>
      <w:proofErr w:type="gramEnd"/>
      <w:r w:rsidR="00E47607" w:rsidRPr="003E0C02">
        <w:rPr>
          <w:rFonts w:ascii="Book Antiqua" w:eastAsia="Book Antiqua" w:hAnsi="Book Antiqua" w:cs="Book Antiqua"/>
        </w:rPr>
        <w:t>HR</w:t>
      </w:r>
      <w:r w:rsidR="00653BAF" w:rsidRPr="003E0C02">
        <w:rPr>
          <w:rFonts w:ascii="Book Antiqua" w:eastAsia="Book Antiqua" w:hAnsi="Book Antiqua" w:cs="Book Antiqua"/>
        </w:rPr>
        <w:t>)</w:t>
      </w:r>
      <w:r w:rsidR="00E47607" w:rsidRPr="003E0C02">
        <w:rPr>
          <w:rFonts w:ascii="Book Antiqua" w:eastAsia="Book Antiqua" w:hAnsi="Book Antiqua" w:cs="Book Antiqua"/>
        </w:rPr>
        <w:t>: 2.36</w:t>
      </w:r>
      <w:r w:rsidR="00283869">
        <w:rPr>
          <w:rFonts w:ascii="Book Antiqua" w:eastAsia="Book Antiqua" w:hAnsi="Book Antiqua" w:cs="Book Antiqua"/>
        </w:rPr>
        <w:t>]</w:t>
      </w:r>
      <w:r w:rsidR="00E47607" w:rsidRPr="003E0C02">
        <w:rPr>
          <w:rFonts w:ascii="Book Antiqua" w:eastAsia="Book Antiqua" w:hAnsi="Book Antiqua" w:cs="Book Antiqua"/>
        </w:rPr>
        <w:t>. Also, we found significantly increasing cumulative incidence rate of anemia among patients receiving bariatric surgery by log-rank test.</w:t>
      </w:r>
      <w:r w:rsidR="00307FE7" w:rsidRPr="003E0C02">
        <w:rPr>
          <w:rFonts w:ascii="Book Antiqua" w:eastAsia="Book Antiqua" w:hAnsi="Book Antiqua" w:cs="Book Antiqua"/>
        </w:rPr>
        <w:t xml:space="preserve"> </w:t>
      </w:r>
      <w:r w:rsidR="00E47607" w:rsidRPr="003E0C02">
        <w:rPr>
          <w:rFonts w:ascii="Book Antiqua" w:eastAsia="Book Antiqua" w:hAnsi="Book Antiqua" w:cs="Book Antiqua"/>
        </w:rPr>
        <w:t>After adjusting for age and sex, the increasing incidence of post-bariatric surgery anemia was found among women (adjusted HR: 2.48), patients in the 20</w:t>
      </w:r>
      <w:r w:rsidR="00F51140" w:rsidRPr="003E0C02">
        <w:rPr>
          <w:rFonts w:ascii="Book Antiqua" w:eastAsia="Book Antiqua" w:hAnsi="Book Antiqua" w:cs="Book Antiqua"/>
        </w:rPr>
        <w:t>-</w:t>
      </w:r>
      <w:r w:rsidR="00E47607" w:rsidRPr="003E0C02">
        <w:rPr>
          <w:rFonts w:ascii="Book Antiqua" w:eastAsia="Book Antiqua" w:hAnsi="Book Antiqua" w:cs="Book Antiqua"/>
        </w:rPr>
        <w:t>29-year-old group (adjusted HR: 3.83) and patients in 30–64-year-old group (adjusted HR: 2.37). Moreover, malabsorptive and restrictive procedures had significantly higher adjusted HRs, 3.18 and 1.55, respectively.</w:t>
      </w:r>
    </w:p>
    <w:p w14:paraId="51BD6041" w14:textId="77777777" w:rsidR="00A77B3E" w:rsidRPr="003E0C02" w:rsidRDefault="00A77B3E" w:rsidP="003E0C02">
      <w:pPr>
        <w:snapToGrid w:val="0"/>
        <w:spacing w:line="360" w:lineRule="auto"/>
        <w:jc w:val="both"/>
      </w:pPr>
    </w:p>
    <w:p w14:paraId="69227A39"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i/>
        </w:rPr>
        <w:t>Research conclusions</w:t>
      </w:r>
    </w:p>
    <w:p w14:paraId="6AB7CA06" w14:textId="6A04EDAB"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rPr>
        <w:t>We demonstrate</w:t>
      </w:r>
      <w:r w:rsidR="00653BAF" w:rsidRPr="003E0C02">
        <w:rPr>
          <w:rFonts w:ascii="Book Antiqua" w:eastAsia="Book Antiqua" w:hAnsi="Book Antiqua" w:cs="Book Antiqua"/>
        </w:rPr>
        <w:t>d</w:t>
      </w:r>
      <w:r w:rsidRPr="003E0C02">
        <w:rPr>
          <w:rFonts w:ascii="Book Antiqua" w:eastAsia="Book Antiqua" w:hAnsi="Book Antiqua" w:cs="Book Antiqua"/>
        </w:rPr>
        <w:t xml:space="preserve"> the long-term incidence of post-bariatric surgery anemia and the risk of post-bariatric surgery anemia </w:t>
      </w:r>
      <w:r w:rsidR="00F6113A" w:rsidRPr="00283869">
        <w:rPr>
          <w:rFonts w:ascii="Book Antiqua" w:eastAsia="Book Antiqua" w:hAnsi="Book Antiqua" w:cs="Book Antiqua"/>
          <w:i/>
          <w:iCs/>
        </w:rPr>
        <w:t>via</w:t>
      </w:r>
      <w:r w:rsidRPr="003E0C02">
        <w:rPr>
          <w:rFonts w:ascii="Book Antiqua" w:eastAsia="Book Antiqua" w:hAnsi="Book Antiqua" w:cs="Book Antiqua"/>
        </w:rPr>
        <w:t xml:space="preserve"> a population-based cohort study</w:t>
      </w:r>
      <w:r w:rsidR="00653BAF" w:rsidRPr="003E0C02">
        <w:rPr>
          <w:rFonts w:ascii="Book Antiqua" w:eastAsia="Book Antiqua" w:hAnsi="Book Antiqua" w:cs="Book Antiqua"/>
        </w:rPr>
        <w:t xml:space="preserve"> in</w:t>
      </w:r>
      <w:r w:rsidRPr="003E0C02">
        <w:rPr>
          <w:rFonts w:ascii="Book Antiqua" w:eastAsia="Book Antiqua" w:hAnsi="Book Antiqua" w:cs="Book Antiqua"/>
        </w:rPr>
        <w:t xml:space="preserve"> </w:t>
      </w:r>
      <w:r w:rsidR="001F2923" w:rsidRPr="003E0C02">
        <w:rPr>
          <w:rFonts w:ascii="Book Antiqua" w:eastAsia="Book Antiqua" w:hAnsi="Book Antiqua" w:cs="Book Antiqua"/>
        </w:rPr>
        <w:t xml:space="preserve">which </w:t>
      </w:r>
      <w:r w:rsidRPr="003E0C02">
        <w:rPr>
          <w:rFonts w:ascii="Book Antiqua" w:eastAsia="Book Antiqua" w:hAnsi="Book Antiqua" w:cs="Book Antiqua"/>
        </w:rPr>
        <w:t xml:space="preserve">data </w:t>
      </w:r>
      <w:r w:rsidR="00653BAF" w:rsidRPr="003E0C02">
        <w:rPr>
          <w:rFonts w:ascii="Book Antiqua" w:eastAsia="Book Antiqua" w:hAnsi="Book Antiqua" w:cs="Book Antiqua"/>
        </w:rPr>
        <w:t xml:space="preserve">were </w:t>
      </w:r>
      <w:r w:rsidR="001F2923" w:rsidRPr="003E0C02">
        <w:rPr>
          <w:rFonts w:ascii="Book Antiqua" w:eastAsia="Book Antiqua" w:hAnsi="Book Antiqua" w:cs="Book Antiqua"/>
        </w:rPr>
        <w:t xml:space="preserve">obtained </w:t>
      </w:r>
      <w:r w:rsidRPr="003E0C02">
        <w:rPr>
          <w:rFonts w:ascii="Book Antiqua" w:eastAsia="Book Antiqua" w:hAnsi="Book Antiqua" w:cs="Book Antiqua"/>
        </w:rPr>
        <w:t xml:space="preserve">from the Taiwan </w:t>
      </w:r>
      <w:r w:rsidR="00ED09A6" w:rsidRPr="003E0C02">
        <w:rPr>
          <w:rFonts w:ascii="Book Antiqua" w:eastAsia="Book Antiqua" w:hAnsi="Book Antiqua" w:cs="Book Antiqua"/>
        </w:rPr>
        <w:t>NHIRD</w:t>
      </w:r>
      <w:r w:rsidRPr="003E0C02">
        <w:rPr>
          <w:rFonts w:ascii="Book Antiqua" w:eastAsia="Book Antiqua" w:hAnsi="Book Antiqua" w:cs="Book Antiqua"/>
        </w:rPr>
        <w:t>.</w:t>
      </w:r>
      <w:r w:rsidR="002C3683" w:rsidRPr="003E0C02">
        <w:rPr>
          <w:lang w:eastAsia="zh-CN"/>
        </w:rPr>
        <w:t xml:space="preserve"> </w:t>
      </w:r>
      <w:r w:rsidR="00E318C8" w:rsidRPr="003E0C02">
        <w:rPr>
          <w:rFonts w:ascii="Book Antiqua" w:eastAsia="Book Antiqua" w:hAnsi="Book Antiqua" w:cs="Book Antiqua"/>
        </w:rPr>
        <w:t>Bariatric surgery increases the</w:t>
      </w:r>
      <w:r w:rsidR="00E7097F" w:rsidRPr="003E0C02">
        <w:rPr>
          <w:rFonts w:ascii="Book Antiqua" w:hAnsi="Book Antiqua" w:cs="Book Antiqua"/>
          <w:lang w:eastAsia="zh-CN"/>
        </w:rPr>
        <w:t xml:space="preserve"> </w:t>
      </w:r>
      <w:r w:rsidR="00E318C8" w:rsidRPr="003E0C02">
        <w:rPr>
          <w:rFonts w:ascii="Book Antiqua" w:eastAsia="Book Antiqua" w:hAnsi="Book Antiqua" w:cs="Book Antiqua"/>
        </w:rPr>
        <w:t xml:space="preserve">risk of anemia among obese patients, specifically in women, young- and middle-aged patients, and patients undergoing malabsorptive procedures. </w:t>
      </w:r>
      <w:r w:rsidRPr="003E0C02">
        <w:rPr>
          <w:rFonts w:ascii="Book Antiqua" w:eastAsia="Book Antiqua" w:hAnsi="Book Antiqua" w:cs="Book Antiqua"/>
        </w:rPr>
        <w:t xml:space="preserve">Malabsorptive procedures have </w:t>
      </w:r>
      <w:r w:rsidR="00653BAF" w:rsidRPr="003E0C02">
        <w:rPr>
          <w:rFonts w:ascii="Book Antiqua" w:eastAsia="Book Antiqua" w:hAnsi="Book Antiqua" w:cs="Book Antiqua"/>
        </w:rPr>
        <w:t xml:space="preserve">a </w:t>
      </w:r>
      <w:r w:rsidRPr="003E0C02">
        <w:rPr>
          <w:rFonts w:ascii="Book Antiqua" w:eastAsia="Book Antiqua" w:hAnsi="Book Antiqua" w:cs="Book Antiqua"/>
        </w:rPr>
        <w:t>higher risk of anemia than restrictive procedures.</w:t>
      </w:r>
      <w:r w:rsidR="002C3683" w:rsidRPr="003E0C02">
        <w:rPr>
          <w:lang w:eastAsia="zh-CN"/>
        </w:rPr>
        <w:t xml:space="preserve"> </w:t>
      </w:r>
      <w:r w:rsidRPr="003E0C02">
        <w:rPr>
          <w:rFonts w:ascii="Book Antiqua" w:eastAsia="Book Antiqua" w:hAnsi="Book Antiqua" w:cs="Book Antiqua"/>
        </w:rPr>
        <w:t>Bariatric surgery increases the long-term risk</w:t>
      </w:r>
      <w:r w:rsidR="001F2923" w:rsidRPr="003E0C02">
        <w:rPr>
          <w:rFonts w:ascii="Book Antiqua" w:eastAsia="Book Antiqua" w:hAnsi="Book Antiqua" w:cs="Book Antiqua"/>
        </w:rPr>
        <w:t xml:space="preserve"> of anemia</w:t>
      </w:r>
      <w:r w:rsidRPr="003E0C02">
        <w:rPr>
          <w:rFonts w:ascii="Book Antiqua" w:eastAsia="Book Antiqua" w:hAnsi="Book Antiqua" w:cs="Book Antiqua"/>
        </w:rPr>
        <w:t xml:space="preserve">. Considering the risk of post-bariatric surgery anemia, lifelong micronutrient supplementation was considered mandatory. Moreover, the quality and sustainability of medical follow-up consultation became </w:t>
      </w:r>
      <w:r w:rsidR="00653BAF" w:rsidRPr="003E0C02">
        <w:rPr>
          <w:rFonts w:ascii="Book Antiqua" w:eastAsia="Book Antiqua" w:hAnsi="Book Antiqua" w:cs="Book Antiqua"/>
        </w:rPr>
        <w:t xml:space="preserve">an </w:t>
      </w:r>
      <w:r w:rsidRPr="003E0C02">
        <w:rPr>
          <w:rFonts w:ascii="Book Antiqua" w:eastAsia="Book Antiqua" w:hAnsi="Book Antiqua" w:cs="Book Antiqua"/>
        </w:rPr>
        <w:t>important consideration of bariatric surgery.</w:t>
      </w:r>
    </w:p>
    <w:p w14:paraId="27CE48E9" w14:textId="77777777" w:rsidR="00A77B3E" w:rsidRPr="003E0C02" w:rsidRDefault="00A77B3E" w:rsidP="003E0C02">
      <w:pPr>
        <w:snapToGrid w:val="0"/>
        <w:spacing w:line="360" w:lineRule="auto"/>
        <w:jc w:val="both"/>
      </w:pPr>
    </w:p>
    <w:p w14:paraId="2FCFC85F"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i/>
        </w:rPr>
        <w:t>Research perspectives</w:t>
      </w:r>
    </w:p>
    <w:p w14:paraId="5146A10E" w14:textId="088A204F" w:rsidR="00A77B3E" w:rsidRPr="003E0C02" w:rsidRDefault="003054AA" w:rsidP="003E0C02">
      <w:pPr>
        <w:snapToGrid w:val="0"/>
        <w:spacing w:line="360" w:lineRule="auto"/>
        <w:jc w:val="both"/>
        <w:rPr>
          <w:rFonts w:ascii="Book Antiqua" w:hAnsi="Book Antiqua" w:cs="Book Antiqua"/>
          <w:lang w:eastAsia="zh-CN"/>
        </w:rPr>
      </w:pPr>
      <w:r w:rsidRPr="003E0C02">
        <w:rPr>
          <w:rFonts w:ascii="Book Antiqua" w:eastAsia="Book Antiqua" w:hAnsi="Book Antiqua" w:cs="Book Antiqua"/>
        </w:rPr>
        <w:t>A p</w:t>
      </w:r>
      <w:r w:rsidR="00AA1E93" w:rsidRPr="003E0C02">
        <w:rPr>
          <w:rFonts w:ascii="Book Antiqua" w:eastAsia="Book Antiqua" w:hAnsi="Book Antiqua" w:cs="Book Antiqua"/>
        </w:rPr>
        <w:t>opulation-based database</w:t>
      </w:r>
      <w:r w:rsidR="00ED09A6" w:rsidRPr="003E0C02">
        <w:rPr>
          <w:rFonts w:ascii="Book Antiqua" w:eastAsia="Book Antiqua" w:hAnsi="Book Antiqua" w:cs="Book Antiqua"/>
        </w:rPr>
        <w:t>,</w:t>
      </w:r>
      <w:r w:rsidR="00AA1E93" w:rsidRPr="003E0C02">
        <w:rPr>
          <w:rFonts w:ascii="Book Antiqua" w:eastAsia="Book Antiqua" w:hAnsi="Book Antiqua" w:cs="Book Antiqua"/>
        </w:rPr>
        <w:t xml:space="preserve"> like the Taiwan </w:t>
      </w:r>
      <w:r w:rsidR="00ED09A6" w:rsidRPr="003E0C02">
        <w:rPr>
          <w:rFonts w:ascii="Book Antiqua" w:eastAsia="Book Antiqua" w:hAnsi="Book Antiqua" w:cs="Book Antiqua"/>
        </w:rPr>
        <w:t>NHIRD,</w:t>
      </w:r>
      <w:r w:rsidR="00AA1E93" w:rsidRPr="003E0C02">
        <w:rPr>
          <w:rFonts w:ascii="Book Antiqua" w:eastAsia="Book Antiqua" w:hAnsi="Book Antiqua" w:cs="Book Antiqua"/>
        </w:rPr>
        <w:t xml:space="preserve"> could provide the evidence of long-term risk. The data could also provide information for further analysis of the associated risks. </w:t>
      </w:r>
      <w:r w:rsidRPr="003E0C02">
        <w:rPr>
          <w:rFonts w:ascii="Book Antiqua" w:eastAsia="Book Antiqua" w:hAnsi="Book Antiqua" w:cs="Book Antiqua"/>
        </w:rPr>
        <w:t>A p</w:t>
      </w:r>
      <w:r w:rsidR="00AA1E93" w:rsidRPr="003E0C02">
        <w:rPr>
          <w:rFonts w:ascii="Book Antiqua" w:eastAsia="Book Antiqua" w:hAnsi="Book Antiqua" w:cs="Book Antiqua"/>
        </w:rPr>
        <w:t>rospective cohort study or</w:t>
      </w:r>
      <w:r w:rsidR="00AA1E93" w:rsidRPr="003E0C02">
        <w:rPr>
          <w:rFonts w:ascii="Book Antiqua" w:eastAsia="Book Antiqua" w:hAnsi="Book Antiqua" w:cs="Book Antiqua"/>
          <w:u w:val="single" w:color="0000FF"/>
        </w:rPr>
        <w:t xml:space="preserve"> </w:t>
      </w:r>
      <w:r w:rsidR="00AA1E93" w:rsidRPr="003E0C02">
        <w:rPr>
          <w:rFonts w:ascii="Book Antiqua" w:eastAsia="Book Antiqua" w:hAnsi="Book Antiqua" w:cs="Book Antiqua"/>
        </w:rPr>
        <w:t>randomized trial could provide better statistical quality.</w:t>
      </w:r>
      <w:r w:rsidR="002C3683" w:rsidRPr="003E0C02">
        <w:rPr>
          <w:lang w:eastAsia="zh-CN"/>
        </w:rPr>
        <w:t xml:space="preserve"> </w:t>
      </w:r>
    </w:p>
    <w:bookmarkEnd w:id="0"/>
    <w:p w14:paraId="1D9D66F0" w14:textId="77777777" w:rsidR="00606B88" w:rsidRPr="003E0C02" w:rsidRDefault="00606B88" w:rsidP="003E0C02">
      <w:pPr>
        <w:snapToGrid w:val="0"/>
        <w:spacing w:line="360" w:lineRule="auto"/>
        <w:jc w:val="both"/>
        <w:rPr>
          <w:lang w:eastAsia="zh-CN"/>
        </w:rPr>
      </w:pPr>
    </w:p>
    <w:p w14:paraId="3A82B84A" w14:textId="36061F63" w:rsidR="00A77B3E" w:rsidRPr="003E0C02" w:rsidRDefault="00AA1E93" w:rsidP="003E0C02">
      <w:pPr>
        <w:snapToGrid w:val="0"/>
        <w:spacing w:line="360" w:lineRule="auto"/>
        <w:jc w:val="both"/>
      </w:pPr>
      <w:r w:rsidRPr="003E0C02">
        <w:rPr>
          <w:rFonts w:ascii="Book Antiqua" w:eastAsia="Book Antiqua" w:hAnsi="Book Antiqua" w:cs="Book Antiqua"/>
          <w:b/>
          <w:caps/>
          <w:u w:val="single"/>
        </w:rPr>
        <w:t>ACKNOWLEDGMENTS</w:t>
      </w:r>
    </w:p>
    <w:p w14:paraId="43E4C414" w14:textId="77777777" w:rsidR="00A77B3E" w:rsidRPr="003E0C02" w:rsidRDefault="00AA1E93" w:rsidP="003E0C02">
      <w:pPr>
        <w:snapToGrid w:val="0"/>
        <w:spacing w:line="360" w:lineRule="auto"/>
        <w:jc w:val="both"/>
      </w:pPr>
      <w:r w:rsidRPr="003E0C02">
        <w:rPr>
          <w:rFonts w:ascii="Book Antiqua" w:eastAsia="Book Antiqua" w:hAnsi="Book Antiqua" w:cs="Book Antiqua"/>
        </w:rPr>
        <w:t>We would like to thank the Clinical Research Core Laboratory of Taipei Veterans General Hospital for providing experimental space and facilities.</w:t>
      </w:r>
    </w:p>
    <w:bookmarkEnd w:id="1"/>
    <w:p w14:paraId="3A42FAE6" w14:textId="77777777" w:rsidR="00A77B3E" w:rsidRPr="003E0C02" w:rsidRDefault="00A77B3E" w:rsidP="003E0C02">
      <w:pPr>
        <w:snapToGrid w:val="0"/>
        <w:spacing w:line="360" w:lineRule="auto"/>
        <w:jc w:val="both"/>
      </w:pPr>
    </w:p>
    <w:p w14:paraId="36A015E8"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REFERENCES</w:t>
      </w:r>
    </w:p>
    <w:p w14:paraId="367542A5"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 </w:t>
      </w:r>
      <w:r w:rsidRPr="003E0C02">
        <w:rPr>
          <w:rFonts w:ascii="Book Antiqua" w:eastAsia="宋体" w:hAnsi="Book Antiqua"/>
          <w:b/>
          <w:kern w:val="2"/>
          <w:lang w:eastAsia="zh-CN"/>
        </w:rPr>
        <w:t>Cheng J</w:t>
      </w:r>
      <w:r w:rsidRPr="003E0C02">
        <w:rPr>
          <w:rFonts w:ascii="Book Antiqua" w:eastAsia="宋体" w:hAnsi="Book Antiqua"/>
          <w:kern w:val="2"/>
          <w:lang w:eastAsia="zh-CN"/>
        </w:rPr>
        <w:t xml:space="preserve">, Gao J, Shuai X, Wang G, Tao K. The comprehensive summary of surgical versus non-surgical treatment for obesity: a systematic review and meta-analysis of randomized controlled trials. </w:t>
      </w:r>
      <w:proofErr w:type="spellStart"/>
      <w:r w:rsidRPr="003E0C02">
        <w:rPr>
          <w:rFonts w:ascii="Book Antiqua" w:eastAsia="宋体" w:hAnsi="Book Antiqua"/>
          <w:i/>
          <w:kern w:val="2"/>
          <w:lang w:eastAsia="zh-CN"/>
        </w:rPr>
        <w:t>Oncotarget</w:t>
      </w:r>
      <w:proofErr w:type="spellEnd"/>
      <w:r w:rsidRPr="003E0C02">
        <w:rPr>
          <w:rFonts w:ascii="Book Antiqua" w:eastAsia="宋体" w:hAnsi="Book Antiqua"/>
          <w:kern w:val="2"/>
          <w:lang w:eastAsia="zh-CN"/>
        </w:rPr>
        <w:t xml:space="preserve"> 2016; </w:t>
      </w:r>
      <w:r w:rsidRPr="003E0C02">
        <w:rPr>
          <w:rFonts w:ascii="Book Antiqua" w:eastAsia="宋体" w:hAnsi="Book Antiqua"/>
          <w:b/>
          <w:kern w:val="2"/>
          <w:lang w:eastAsia="zh-CN"/>
        </w:rPr>
        <w:t>7</w:t>
      </w:r>
      <w:r w:rsidRPr="003E0C02">
        <w:rPr>
          <w:rFonts w:ascii="Book Antiqua" w:eastAsia="宋体" w:hAnsi="Book Antiqua"/>
          <w:kern w:val="2"/>
          <w:lang w:eastAsia="zh-CN"/>
        </w:rPr>
        <w:t>: 39216-39230 [PMID: 27233078 DOI: 10.18632/oncotarget.9581]</w:t>
      </w:r>
    </w:p>
    <w:p w14:paraId="4B8A73D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 </w:t>
      </w:r>
      <w:r w:rsidRPr="003E0C02">
        <w:rPr>
          <w:rFonts w:ascii="Book Antiqua" w:eastAsia="宋体" w:hAnsi="Book Antiqua"/>
          <w:b/>
          <w:kern w:val="2"/>
          <w:lang w:eastAsia="zh-CN"/>
        </w:rPr>
        <w:t>Christou NV</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Sampalis</w:t>
      </w:r>
      <w:proofErr w:type="spellEnd"/>
      <w:r w:rsidRPr="003E0C02">
        <w:rPr>
          <w:rFonts w:ascii="Book Antiqua" w:eastAsia="宋体" w:hAnsi="Book Antiqua"/>
          <w:kern w:val="2"/>
          <w:lang w:eastAsia="zh-CN"/>
        </w:rPr>
        <w:t xml:space="preserve"> JS, Liberman M, Look D, Auger S, McLean AP, MacLean LD. </w:t>
      </w:r>
      <w:r w:rsidRPr="003E0C02">
        <w:rPr>
          <w:rFonts w:ascii="Book Antiqua" w:eastAsia="宋体" w:hAnsi="Book Antiqua"/>
          <w:kern w:val="2"/>
          <w:lang w:eastAsia="zh-CN"/>
        </w:rPr>
        <w:lastRenderedPageBreak/>
        <w:t xml:space="preserve">Surgery decreases long-term mortality, morbidity, and health care use in morbidly obese patients. </w:t>
      </w:r>
      <w:r w:rsidRPr="003E0C02">
        <w:rPr>
          <w:rFonts w:ascii="Book Antiqua" w:eastAsia="宋体" w:hAnsi="Book Antiqua"/>
          <w:i/>
          <w:kern w:val="2"/>
          <w:lang w:eastAsia="zh-CN"/>
        </w:rPr>
        <w:t>Ann Surg</w:t>
      </w:r>
      <w:r w:rsidRPr="003E0C02">
        <w:rPr>
          <w:rFonts w:ascii="Book Antiqua" w:eastAsia="宋体" w:hAnsi="Book Antiqua"/>
          <w:kern w:val="2"/>
          <w:lang w:eastAsia="zh-CN"/>
        </w:rPr>
        <w:t xml:space="preserve"> 2004; </w:t>
      </w:r>
      <w:r w:rsidRPr="003E0C02">
        <w:rPr>
          <w:rFonts w:ascii="Book Antiqua" w:eastAsia="宋体" w:hAnsi="Book Antiqua"/>
          <w:b/>
          <w:kern w:val="2"/>
          <w:lang w:eastAsia="zh-CN"/>
        </w:rPr>
        <w:t>240</w:t>
      </w:r>
      <w:r w:rsidRPr="003E0C02">
        <w:rPr>
          <w:rFonts w:ascii="Book Antiqua" w:eastAsia="宋体" w:hAnsi="Book Antiqua"/>
          <w:kern w:val="2"/>
          <w:lang w:eastAsia="zh-CN"/>
        </w:rPr>
        <w:t>: 416-23; discussion 423-4 [PMID: 15319713 DOI: 10.1097/01.sla.0000137343.63376.19]</w:t>
      </w:r>
    </w:p>
    <w:p w14:paraId="198B7014"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 </w:t>
      </w:r>
      <w:r w:rsidRPr="003E0C02">
        <w:rPr>
          <w:rFonts w:ascii="Book Antiqua" w:eastAsia="宋体" w:hAnsi="Book Antiqua"/>
          <w:b/>
          <w:kern w:val="2"/>
          <w:lang w:eastAsia="zh-CN"/>
        </w:rPr>
        <w:t>Schauer PR</w:t>
      </w:r>
      <w:r w:rsidRPr="003E0C02">
        <w:rPr>
          <w:rFonts w:ascii="Book Antiqua" w:eastAsia="宋体" w:hAnsi="Book Antiqua"/>
          <w:kern w:val="2"/>
          <w:lang w:eastAsia="zh-CN"/>
        </w:rPr>
        <w:t xml:space="preserve">, Bhatt DL, Kirwan JP, Wolski K, </w:t>
      </w:r>
      <w:proofErr w:type="spellStart"/>
      <w:r w:rsidRPr="003E0C02">
        <w:rPr>
          <w:rFonts w:ascii="Book Antiqua" w:eastAsia="宋体" w:hAnsi="Book Antiqua"/>
          <w:kern w:val="2"/>
          <w:lang w:eastAsia="zh-CN"/>
        </w:rPr>
        <w:t>Aminian</w:t>
      </w:r>
      <w:proofErr w:type="spellEnd"/>
      <w:r w:rsidRPr="003E0C02">
        <w:rPr>
          <w:rFonts w:ascii="Book Antiqua" w:eastAsia="宋体" w:hAnsi="Book Antiqua"/>
          <w:kern w:val="2"/>
          <w:lang w:eastAsia="zh-CN"/>
        </w:rPr>
        <w:t xml:space="preserve"> A, </w:t>
      </w:r>
      <w:proofErr w:type="spellStart"/>
      <w:r w:rsidRPr="003E0C02">
        <w:rPr>
          <w:rFonts w:ascii="Book Antiqua" w:eastAsia="宋体" w:hAnsi="Book Antiqua"/>
          <w:kern w:val="2"/>
          <w:lang w:eastAsia="zh-CN"/>
        </w:rPr>
        <w:t>Brethauer</w:t>
      </w:r>
      <w:proofErr w:type="spellEnd"/>
      <w:r w:rsidRPr="003E0C02">
        <w:rPr>
          <w:rFonts w:ascii="Book Antiqua" w:eastAsia="宋体" w:hAnsi="Book Antiqua"/>
          <w:kern w:val="2"/>
          <w:lang w:eastAsia="zh-CN"/>
        </w:rPr>
        <w:t xml:space="preserve"> SA, Navaneethan SD, Singh RP, </w:t>
      </w:r>
      <w:proofErr w:type="spellStart"/>
      <w:r w:rsidRPr="003E0C02">
        <w:rPr>
          <w:rFonts w:ascii="Book Antiqua" w:eastAsia="宋体" w:hAnsi="Book Antiqua"/>
          <w:kern w:val="2"/>
          <w:lang w:eastAsia="zh-CN"/>
        </w:rPr>
        <w:t>Pothier</w:t>
      </w:r>
      <w:proofErr w:type="spellEnd"/>
      <w:r w:rsidRPr="003E0C02">
        <w:rPr>
          <w:rFonts w:ascii="Book Antiqua" w:eastAsia="宋体" w:hAnsi="Book Antiqua"/>
          <w:kern w:val="2"/>
          <w:lang w:eastAsia="zh-CN"/>
        </w:rPr>
        <w:t xml:space="preserve"> CE, Nissen SE, Kashyap SR; STAMPEDE Investigators. Bariatric Surgery versus Intensive Medical Therapy for Diabetes - 5-Year Outcomes. </w:t>
      </w:r>
      <w:r w:rsidRPr="003E0C02">
        <w:rPr>
          <w:rFonts w:ascii="Book Antiqua" w:eastAsia="宋体" w:hAnsi="Book Antiqua"/>
          <w:i/>
          <w:kern w:val="2"/>
          <w:lang w:eastAsia="zh-CN"/>
        </w:rPr>
        <w:t xml:space="preserve">N </w:t>
      </w:r>
      <w:proofErr w:type="spellStart"/>
      <w:r w:rsidRPr="003E0C02">
        <w:rPr>
          <w:rFonts w:ascii="Book Antiqua" w:eastAsia="宋体" w:hAnsi="Book Antiqua"/>
          <w:i/>
          <w:kern w:val="2"/>
          <w:lang w:eastAsia="zh-CN"/>
        </w:rPr>
        <w:t>Engl</w:t>
      </w:r>
      <w:proofErr w:type="spellEnd"/>
      <w:r w:rsidRPr="003E0C02">
        <w:rPr>
          <w:rFonts w:ascii="Book Antiqua" w:eastAsia="宋体" w:hAnsi="Book Antiqua"/>
          <w:i/>
          <w:kern w:val="2"/>
          <w:lang w:eastAsia="zh-CN"/>
        </w:rPr>
        <w:t xml:space="preserve"> J Med</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376</w:t>
      </w:r>
      <w:r w:rsidRPr="003E0C02">
        <w:rPr>
          <w:rFonts w:ascii="Book Antiqua" w:eastAsia="宋体" w:hAnsi="Book Antiqua"/>
          <w:kern w:val="2"/>
          <w:lang w:eastAsia="zh-CN"/>
        </w:rPr>
        <w:t>: 641-651 [PMID: 28199805 DOI: 10.1056/NEJMoa1600869]</w:t>
      </w:r>
    </w:p>
    <w:p w14:paraId="155768BD"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4 </w:t>
      </w:r>
      <w:proofErr w:type="spellStart"/>
      <w:r w:rsidRPr="003E0C02">
        <w:rPr>
          <w:rFonts w:ascii="Book Antiqua" w:eastAsia="宋体" w:hAnsi="Book Antiqua"/>
          <w:b/>
          <w:kern w:val="2"/>
          <w:lang w:eastAsia="zh-CN"/>
        </w:rPr>
        <w:t>Thereaux</w:t>
      </w:r>
      <w:proofErr w:type="spellEnd"/>
      <w:r w:rsidRPr="003E0C02">
        <w:rPr>
          <w:rFonts w:ascii="Book Antiqua" w:eastAsia="宋体" w:hAnsi="Book Antiqua"/>
          <w:b/>
          <w:kern w:val="2"/>
          <w:lang w:eastAsia="zh-CN"/>
        </w:rPr>
        <w:t xml:space="preserve"> J</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Lesuffleur</w:t>
      </w:r>
      <w:proofErr w:type="spellEnd"/>
      <w:r w:rsidRPr="003E0C02">
        <w:rPr>
          <w:rFonts w:ascii="Book Antiqua" w:eastAsia="宋体" w:hAnsi="Book Antiqua"/>
          <w:kern w:val="2"/>
          <w:lang w:eastAsia="zh-CN"/>
        </w:rPr>
        <w:t xml:space="preserve"> T, </w:t>
      </w:r>
      <w:proofErr w:type="spellStart"/>
      <w:r w:rsidRPr="003E0C02">
        <w:rPr>
          <w:rFonts w:ascii="Book Antiqua" w:eastAsia="宋体" w:hAnsi="Book Antiqua"/>
          <w:kern w:val="2"/>
          <w:lang w:eastAsia="zh-CN"/>
        </w:rPr>
        <w:t>Païta</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Czernichow</w:t>
      </w:r>
      <w:proofErr w:type="spellEnd"/>
      <w:r w:rsidRPr="003E0C02">
        <w:rPr>
          <w:rFonts w:ascii="Book Antiqua" w:eastAsia="宋体" w:hAnsi="Book Antiqua"/>
          <w:kern w:val="2"/>
          <w:lang w:eastAsia="zh-CN"/>
        </w:rPr>
        <w:t xml:space="preserve"> S, </w:t>
      </w:r>
      <w:proofErr w:type="spellStart"/>
      <w:r w:rsidRPr="003E0C02">
        <w:rPr>
          <w:rFonts w:ascii="Book Antiqua" w:eastAsia="宋体" w:hAnsi="Book Antiqua"/>
          <w:kern w:val="2"/>
          <w:lang w:eastAsia="zh-CN"/>
        </w:rPr>
        <w:t>Basdevant</w:t>
      </w:r>
      <w:proofErr w:type="spellEnd"/>
      <w:r w:rsidRPr="003E0C02">
        <w:rPr>
          <w:rFonts w:ascii="Book Antiqua" w:eastAsia="宋体" w:hAnsi="Book Antiqua"/>
          <w:kern w:val="2"/>
          <w:lang w:eastAsia="zh-CN"/>
        </w:rPr>
        <w:t xml:space="preserve"> A, </w:t>
      </w:r>
      <w:proofErr w:type="spellStart"/>
      <w:r w:rsidRPr="003E0C02">
        <w:rPr>
          <w:rFonts w:ascii="Book Antiqua" w:eastAsia="宋体" w:hAnsi="Book Antiqua"/>
          <w:kern w:val="2"/>
          <w:lang w:eastAsia="zh-CN"/>
        </w:rPr>
        <w:t>Msika</w:t>
      </w:r>
      <w:proofErr w:type="spellEnd"/>
      <w:r w:rsidRPr="003E0C02">
        <w:rPr>
          <w:rFonts w:ascii="Book Antiqua" w:eastAsia="宋体" w:hAnsi="Book Antiqua"/>
          <w:kern w:val="2"/>
          <w:lang w:eastAsia="zh-CN"/>
        </w:rPr>
        <w:t xml:space="preserve"> S, Millat B, Fagot-Campagna A. Long-term follow-up after bariatric surgery in a national cohort. </w:t>
      </w:r>
      <w:r w:rsidRPr="003E0C02">
        <w:rPr>
          <w:rFonts w:ascii="Book Antiqua" w:eastAsia="宋体" w:hAnsi="Book Antiqua"/>
          <w:i/>
          <w:kern w:val="2"/>
          <w:lang w:eastAsia="zh-CN"/>
        </w:rPr>
        <w:t>Br J Surg</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104</w:t>
      </w:r>
      <w:r w:rsidRPr="003E0C02">
        <w:rPr>
          <w:rFonts w:ascii="Book Antiqua" w:eastAsia="宋体" w:hAnsi="Book Antiqua"/>
          <w:kern w:val="2"/>
          <w:lang w:eastAsia="zh-CN"/>
        </w:rPr>
        <w:t>: 1362-1371 [PMID: 28657109 DOI: 10.1002/bjs.10557]</w:t>
      </w:r>
    </w:p>
    <w:p w14:paraId="5559DA59"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5 </w:t>
      </w:r>
      <w:proofErr w:type="spellStart"/>
      <w:r w:rsidRPr="003E0C02">
        <w:rPr>
          <w:rFonts w:ascii="Book Antiqua" w:eastAsia="宋体" w:hAnsi="Book Antiqua"/>
          <w:b/>
          <w:kern w:val="2"/>
          <w:lang w:eastAsia="zh-CN"/>
        </w:rPr>
        <w:t>Gloy</w:t>
      </w:r>
      <w:proofErr w:type="spellEnd"/>
      <w:r w:rsidRPr="003E0C02">
        <w:rPr>
          <w:rFonts w:ascii="Book Antiqua" w:eastAsia="宋体" w:hAnsi="Book Antiqua"/>
          <w:b/>
          <w:kern w:val="2"/>
          <w:lang w:eastAsia="zh-CN"/>
        </w:rPr>
        <w:t xml:space="preserve"> VL</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Briel</w:t>
      </w:r>
      <w:proofErr w:type="spellEnd"/>
      <w:r w:rsidRPr="003E0C02">
        <w:rPr>
          <w:rFonts w:ascii="Book Antiqua" w:eastAsia="宋体" w:hAnsi="Book Antiqua"/>
          <w:kern w:val="2"/>
          <w:lang w:eastAsia="zh-CN"/>
        </w:rPr>
        <w:t xml:space="preserve"> M, Bhatt DL, Kashyap SR, Schauer PR, </w:t>
      </w:r>
      <w:proofErr w:type="spellStart"/>
      <w:r w:rsidRPr="003E0C02">
        <w:rPr>
          <w:rFonts w:ascii="Book Antiqua" w:eastAsia="宋体" w:hAnsi="Book Antiqua"/>
          <w:kern w:val="2"/>
          <w:lang w:eastAsia="zh-CN"/>
        </w:rPr>
        <w:t>Mingrone</w:t>
      </w:r>
      <w:proofErr w:type="spellEnd"/>
      <w:r w:rsidRPr="003E0C02">
        <w:rPr>
          <w:rFonts w:ascii="Book Antiqua" w:eastAsia="宋体" w:hAnsi="Book Antiqua"/>
          <w:kern w:val="2"/>
          <w:lang w:eastAsia="zh-CN"/>
        </w:rPr>
        <w:t xml:space="preserve"> G, Bucher HC, Nordmann AJ. Bariatric surgery versus non-surgical treatment for obesity: a systematic review and meta-analysis of </w:t>
      </w:r>
      <w:proofErr w:type="spellStart"/>
      <w:r w:rsidRPr="003E0C02">
        <w:rPr>
          <w:rFonts w:ascii="Book Antiqua" w:eastAsia="宋体" w:hAnsi="Book Antiqua"/>
          <w:kern w:val="2"/>
          <w:lang w:eastAsia="zh-CN"/>
        </w:rPr>
        <w:t>randomised</w:t>
      </w:r>
      <w:proofErr w:type="spellEnd"/>
      <w:r w:rsidRPr="003E0C02">
        <w:rPr>
          <w:rFonts w:ascii="Book Antiqua" w:eastAsia="宋体" w:hAnsi="Book Antiqua"/>
          <w:kern w:val="2"/>
          <w:lang w:eastAsia="zh-CN"/>
        </w:rPr>
        <w:t xml:space="preserve"> controlled trials. </w:t>
      </w:r>
      <w:r w:rsidRPr="003E0C02">
        <w:rPr>
          <w:rFonts w:ascii="Book Antiqua" w:eastAsia="宋体" w:hAnsi="Book Antiqua"/>
          <w:i/>
          <w:kern w:val="2"/>
          <w:lang w:eastAsia="zh-CN"/>
        </w:rPr>
        <w:t>BMJ</w:t>
      </w:r>
      <w:r w:rsidRPr="003E0C02">
        <w:rPr>
          <w:rFonts w:ascii="Book Antiqua" w:eastAsia="宋体" w:hAnsi="Book Antiqua"/>
          <w:kern w:val="2"/>
          <w:lang w:eastAsia="zh-CN"/>
        </w:rPr>
        <w:t xml:space="preserve"> 2013; </w:t>
      </w:r>
      <w:r w:rsidRPr="003E0C02">
        <w:rPr>
          <w:rFonts w:ascii="Book Antiqua" w:eastAsia="宋体" w:hAnsi="Book Antiqua"/>
          <w:b/>
          <w:kern w:val="2"/>
          <w:lang w:eastAsia="zh-CN"/>
        </w:rPr>
        <w:t>347</w:t>
      </w:r>
      <w:r w:rsidRPr="003E0C02">
        <w:rPr>
          <w:rFonts w:ascii="Book Antiqua" w:eastAsia="宋体" w:hAnsi="Book Antiqua"/>
          <w:kern w:val="2"/>
          <w:lang w:eastAsia="zh-CN"/>
        </w:rPr>
        <w:t>: f5934 [PMID: 24149519 DOI: 10.1136/bmj.f5934]</w:t>
      </w:r>
    </w:p>
    <w:p w14:paraId="731A714E"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6 </w:t>
      </w:r>
      <w:proofErr w:type="spellStart"/>
      <w:r w:rsidRPr="003E0C02">
        <w:rPr>
          <w:rFonts w:ascii="Book Antiqua" w:eastAsia="宋体" w:hAnsi="Book Antiqua"/>
          <w:b/>
          <w:kern w:val="2"/>
          <w:lang w:eastAsia="zh-CN"/>
        </w:rPr>
        <w:t>Sjöström</w:t>
      </w:r>
      <w:proofErr w:type="spellEnd"/>
      <w:r w:rsidRPr="003E0C02">
        <w:rPr>
          <w:rFonts w:ascii="Book Antiqua" w:eastAsia="宋体" w:hAnsi="Book Antiqua"/>
          <w:b/>
          <w:kern w:val="2"/>
          <w:lang w:eastAsia="zh-CN"/>
        </w:rPr>
        <w:t xml:space="preserve"> L</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Peltonen</w:t>
      </w:r>
      <w:proofErr w:type="spellEnd"/>
      <w:r w:rsidRPr="003E0C02">
        <w:rPr>
          <w:rFonts w:ascii="Book Antiqua" w:eastAsia="宋体" w:hAnsi="Book Antiqua"/>
          <w:kern w:val="2"/>
          <w:lang w:eastAsia="zh-CN"/>
        </w:rPr>
        <w:t xml:space="preserve"> M, Jacobson P, </w:t>
      </w:r>
      <w:proofErr w:type="spellStart"/>
      <w:r w:rsidRPr="003E0C02">
        <w:rPr>
          <w:rFonts w:ascii="Book Antiqua" w:eastAsia="宋体" w:hAnsi="Book Antiqua"/>
          <w:kern w:val="2"/>
          <w:lang w:eastAsia="zh-CN"/>
        </w:rPr>
        <w:t>Sjöström</w:t>
      </w:r>
      <w:proofErr w:type="spellEnd"/>
      <w:r w:rsidRPr="003E0C02">
        <w:rPr>
          <w:rFonts w:ascii="Book Antiqua" w:eastAsia="宋体" w:hAnsi="Book Antiqua"/>
          <w:kern w:val="2"/>
          <w:lang w:eastAsia="zh-CN"/>
        </w:rPr>
        <w:t xml:space="preserve"> CD, </w:t>
      </w:r>
      <w:proofErr w:type="spellStart"/>
      <w:r w:rsidRPr="003E0C02">
        <w:rPr>
          <w:rFonts w:ascii="Book Antiqua" w:eastAsia="宋体" w:hAnsi="Book Antiqua"/>
          <w:kern w:val="2"/>
          <w:lang w:eastAsia="zh-CN"/>
        </w:rPr>
        <w:t>Karason</w:t>
      </w:r>
      <w:proofErr w:type="spellEnd"/>
      <w:r w:rsidRPr="003E0C02">
        <w:rPr>
          <w:rFonts w:ascii="Book Antiqua" w:eastAsia="宋体" w:hAnsi="Book Antiqua"/>
          <w:kern w:val="2"/>
          <w:lang w:eastAsia="zh-CN"/>
        </w:rPr>
        <w:t xml:space="preserve"> K, Wedel H, </w:t>
      </w:r>
      <w:proofErr w:type="spellStart"/>
      <w:r w:rsidRPr="003E0C02">
        <w:rPr>
          <w:rFonts w:ascii="Book Antiqua" w:eastAsia="宋体" w:hAnsi="Book Antiqua"/>
          <w:kern w:val="2"/>
          <w:lang w:eastAsia="zh-CN"/>
        </w:rPr>
        <w:t>Ahlin</w:t>
      </w:r>
      <w:proofErr w:type="spellEnd"/>
      <w:r w:rsidRPr="003E0C02">
        <w:rPr>
          <w:rFonts w:ascii="Book Antiqua" w:eastAsia="宋体" w:hAnsi="Book Antiqua"/>
          <w:kern w:val="2"/>
          <w:lang w:eastAsia="zh-CN"/>
        </w:rPr>
        <w:t xml:space="preserve"> S, </w:t>
      </w:r>
      <w:proofErr w:type="spellStart"/>
      <w:r w:rsidRPr="003E0C02">
        <w:rPr>
          <w:rFonts w:ascii="Book Antiqua" w:eastAsia="宋体" w:hAnsi="Book Antiqua"/>
          <w:kern w:val="2"/>
          <w:lang w:eastAsia="zh-CN"/>
        </w:rPr>
        <w:t>Anveden</w:t>
      </w:r>
      <w:proofErr w:type="spellEnd"/>
      <w:r w:rsidRPr="003E0C02">
        <w:rPr>
          <w:rFonts w:ascii="Book Antiqua" w:eastAsia="宋体" w:hAnsi="Book Antiqua"/>
          <w:kern w:val="2"/>
          <w:lang w:eastAsia="zh-CN"/>
        </w:rPr>
        <w:t xml:space="preserve"> Å, Bengtsson C, </w:t>
      </w:r>
      <w:proofErr w:type="spellStart"/>
      <w:r w:rsidRPr="003E0C02">
        <w:rPr>
          <w:rFonts w:ascii="Book Antiqua" w:eastAsia="宋体" w:hAnsi="Book Antiqua"/>
          <w:kern w:val="2"/>
          <w:lang w:eastAsia="zh-CN"/>
        </w:rPr>
        <w:t>Bergmark</w:t>
      </w:r>
      <w:proofErr w:type="spellEnd"/>
      <w:r w:rsidRPr="003E0C02">
        <w:rPr>
          <w:rFonts w:ascii="Book Antiqua" w:eastAsia="宋体" w:hAnsi="Book Antiqua"/>
          <w:kern w:val="2"/>
          <w:lang w:eastAsia="zh-CN"/>
        </w:rPr>
        <w:t xml:space="preserve"> G, Bouchard C, Carlsson B, Dahlgren S, Karlsson J, </w:t>
      </w:r>
      <w:proofErr w:type="spellStart"/>
      <w:r w:rsidRPr="003E0C02">
        <w:rPr>
          <w:rFonts w:ascii="Book Antiqua" w:eastAsia="宋体" w:hAnsi="Book Antiqua"/>
          <w:kern w:val="2"/>
          <w:lang w:eastAsia="zh-CN"/>
        </w:rPr>
        <w:t>Lindroos</w:t>
      </w:r>
      <w:proofErr w:type="spellEnd"/>
      <w:r w:rsidRPr="003E0C02">
        <w:rPr>
          <w:rFonts w:ascii="Book Antiqua" w:eastAsia="宋体" w:hAnsi="Book Antiqua"/>
          <w:kern w:val="2"/>
          <w:lang w:eastAsia="zh-CN"/>
        </w:rPr>
        <w:t xml:space="preserve"> AK, </w:t>
      </w:r>
      <w:proofErr w:type="spellStart"/>
      <w:r w:rsidRPr="003E0C02">
        <w:rPr>
          <w:rFonts w:ascii="Book Antiqua" w:eastAsia="宋体" w:hAnsi="Book Antiqua"/>
          <w:kern w:val="2"/>
          <w:lang w:eastAsia="zh-CN"/>
        </w:rPr>
        <w:t>Lönroth</w:t>
      </w:r>
      <w:proofErr w:type="spellEnd"/>
      <w:r w:rsidRPr="003E0C02">
        <w:rPr>
          <w:rFonts w:ascii="Book Antiqua" w:eastAsia="宋体" w:hAnsi="Book Antiqua"/>
          <w:kern w:val="2"/>
          <w:lang w:eastAsia="zh-CN"/>
        </w:rPr>
        <w:t xml:space="preserve"> H, </w:t>
      </w:r>
      <w:proofErr w:type="spellStart"/>
      <w:r w:rsidRPr="003E0C02">
        <w:rPr>
          <w:rFonts w:ascii="Book Antiqua" w:eastAsia="宋体" w:hAnsi="Book Antiqua"/>
          <w:kern w:val="2"/>
          <w:lang w:eastAsia="zh-CN"/>
        </w:rPr>
        <w:t>Narbro</w:t>
      </w:r>
      <w:proofErr w:type="spellEnd"/>
      <w:r w:rsidRPr="003E0C02">
        <w:rPr>
          <w:rFonts w:ascii="Book Antiqua" w:eastAsia="宋体" w:hAnsi="Book Antiqua"/>
          <w:kern w:val="2"/>
          <w:lang w:eastAsia="zh-CN"/>
        </w:rPr>
        <w:t xml:space="preserve"> K, </w:t>
      </w:r>
      <w:proofErr w:type="spellStart"/>
      <w:r w:rsidRPr="003E0C02">
        <w:rPr>
          <w:rFonts w:ascii="Book Antiqua" w:eastAsia="宋体" w:hAnsi="Book Antiqua"/>
          <w:kern w:val="2"/>
          <w:lang w:eastAsia="zh-CN"/>
        </w:rPr>
        <w:t>Näslund</w:t>
      </w:r>
      <w:proofErr w:type="spellEnd"/>
      <w:r w:rsidRPr="003E0C02">
        <w:rPr>
          <w:rFonts w:ascii="Book Antiqua" w:eastAsia="宋体" w:hAnsi="Book Antiqua"/>
          <w:kern w:val="2"/>
          <w:lang w:eastAsia="zh-CN"/>
        </w:rPr>
        <w:t xml:space="preserve"> I, </w:t>
      </w:r>
      <w:proofErr w:type="spellStart"/>
      <w:r w:rsidRPr="003E0C02">
        <w:rPr>
          <w:rFonts w:ascii="Book Antiqua" w:eastAsia="宋体" w:hAnsi="Book Antiqua"/>
          <w:kern w:val="2"/>
          <w:lang w:eastAsia="zh-CN"/>
        </w:rPr>
        <w:t>Olbers</w:t>
      </w:r>
      <w:proofErr w:type="spellEnd"/>
      <w:r w:rsidRPr="003E0C02">
        <w:rPr>
          <w:rFonts w:ascii="Book Antiqua" w:eastAsia="宋体" w:hAnsi="Book Antiqua"/>
          <w:kern w:val="2"/>
          <w:lang w:eastAsia="zh-CN"/>
        </w:rPr>
        <w:t xml:space="preserve"> T, </w:t>
      </w:r>
      <w:proofErr w:type="spellStart"/>
      <w:r w:rsidRPr="003E0C02">
        <w:rPr>
          <w:rFonts w:ascii="Book Antiqua" w:eastAsia="宋体" w:hAnsi="Book Antiqua"/>
          <w:kern w:val="2"/>
          <w:lang w:eastAsia="zh-CN"/>
        </w:rPr>
        <w:t>Svensson</w:t>
      </w:r>
      <w:proofErr w:type="spellEnd"/>
      <w:r w:rsidRPr="003E0C02">
        <w:rPr>
          <w:rFonts w:ascii="Book Antiqua" w:eastAsia="宋体" w:hAnsi="Book Antiqua"/>
          <w:kern w:val="2"/>
          <w:lang w:eastAsia="zh-CN"/>
        </w:rPr>
        <w:t xml:space="preserve"> PA, Carlsson LM. Bariatric surgery and long-term cardiovascular events. </w:t>
      </w:r>
      <w:r w:rsidRPr="003E0C02">
        <w:rPr>
          <w:rFonts w:ascii="Book Antiqua" w:eastAsia="宋体" w:hAnsi="Book Antiqua"/>
          <w:i/>
          <w:kern w:val="2"/>
          <w:lang w:eastAsia="zh-CN"/>
        </w:rPr>
        <w:t>JAMA</w:t>
      </w:r>
      <w:r w:rsidRPr="003E0C02">
        <w:rPr>
          <w:rFonts w:ascii="Book Antiqua" w:eastAsia="宋体" w:hAnsi="Book Antiqua"/>
          <w:kern w:val="2"/>
          <w:lang w:eastAsia="zh-CN"/>
        </w:rPr>
        <w:t xml:space="preserve"> 2012; </w:t>
      </w:r>
      <w:r w:rsidRPr="003E0C02">
        <w:rPr>
          <w:rFonts w:ascii="Book Antiqua" w:eastAsia="宋体" w:hAnsi="Book Antiqua"/>
          <w:b/>
          <w:kern w:val="2"/>
          <w:lang w:eastAsia="zh-CN"/>
        </w:rPr>
        <w:t>307</w:t>
      </w:r>
      <w:r w:rsidRPr="003E0C02">
        <w:rPr>
          <w:rFonts w:ascii="Book Antiqua" w:eastAsia="宋体" w:hAnsi="Book Antiqua"/>
          <w:kern w:val="2"/>
          <w:lang w:eastAsia="zh-CN"/>
        </w:rPr>
        <w:t>: 56-65 [PMID: 22215166 DOI: 10.1001/jama.2011.1914]</w:t>
      </w:r>
    </w:p>
    <w:p w14:paraId="5879A988"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7 </w:t>
      </w:r>
      <w:r w:rsidRPr="003E0C02">
        <w:rPr>
          <w:rFonts w:ascii="Book Antiqua" w:eastAsia="宋体" w:hAnsi="Book Antiqua"/>
          <w:b/>
          <w:kern w:val="2"/>
          <w:lang w:eastAsia="zh-CN"/>
        </w:rPr>
        <w:t>Huang HH</w:t>
      </w:r>
      <w:r w:rsidRPr="003E0C02">
        <w:rPr>
          <w:rFonts w:ascii="Book Antiqua" w:eastAsia="宋体" w:hAnsi="Book Antiqua"/>
          <w:kern w:val="2"/>
          <w:lang w:eastAsia="zh-CN"/>
        </w:rPr>
        <w:t xml:space="preserve">, Lee WJ, Chen SC, Chen TF, Lee SD, Chen CY. Bile Acid and Fibroblast Growth Factor 19 Regulation in Obese Diabetics, and Non-Alcoholic Fatty Liver Disease after Sleeve Gastrectomy. </w:t>
      </w:r>
      <w:r w:rsidRPr="003E0C02">
        <w:rPr>
          <w:rFonts w:ascii="Book Antiqua" w:eastAsia="宋体" w:hAnsi="Book Antiqua"/>
          <w:i/>
          <w:kern w:val="2"/>
          <w:lang w:eastAsia="zh-CN"/>
        </w:rPr>
        <w:t>J Clin Med</w:t>
      </w:r>
      <w:r w:rsidRPr="003E0C02">
        <w:rPr>
          <w:rFonts w:ascii="Book Antiqua" w:eastAsia="宋体" w:hAnsi="Book Antiqua"/>
          <w:kern w:val="2"/>
          <w:lang w:eastAsia="zh-CN"/>
        </w:rPr>
        <w:t xml:space="preserve"> 2019; </w:t>
      </w:r>
      <w:r w:rsidRPr="003E0C02">
        <w:rPr>
          <w:rFonts w:ascii="Book Antiqua" w:eastAsia="宋体" w:hAnsi="Book Antiqua"/>
          <w:b/>
          <w:kern w:val="2"/>
          <w:lang w:eastAsia="zh-CN"/>
        </w:rPr>
        <w:t>8</w:t>
      </w:r>
      <w:r w:rsidRPr="003E0C02">
        <w:rPr>
          <w:rFonts w:ascii="Book Antiqua" w:eastAsia="宋体" w:hAnsi="Book Antiqua"/>
          <w:kern w:val="2"/>
          <w:lang w:eastAsia="zh-CN"/>
        </w:rPr>
        <w:t xml:space="preserve">: </w:t>
      </w:r>
      <w:r w:rsidR="00227000" w:rsidRPr="003E0C02">
        <w:rPr>
          <w:rFonts w:ascii="Book Antiqua" w:eastAsia="宋体" w:hAnsi="Book Antiqua"/>
          <w:kern w:val="2"/>
          <w:lang w:eastAsia="zh-CN"/>
        </w:rPr>
        <w:t>815</w:t>
      </w:r>
      <w:r w:rsidRPr="003E0C02">
        <w:rPr>
          <w:rFonts w:ascii="Book Antiqua" w:eastAsia="宋体" w:hAnsi="Book Antiqua"/>
          <w:kern w:val="2"/>
          <w:lang w:eastAsia="zh-CN"/>
        </w:rPr>
        <w:t xml:space="preserve"> [PMID: 31181641 DOI: 10.3390/jcm8060815]</w:t>
      </w:r>
    </w:p>
    <w:p w14:paraId="4E69AB56"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8 </w:t>
      </w:r>
      <w:r w:rsidRPr="003E0C02">
        <w:rPr>
          <w:rFonts w:ascii="Book Antiqua" w:eastAsia="宋体" w:hAnsi="Book Antiqua"/>
          <w:b/>
          <w:kern w:val="2"/>
          <w:lang w:eastAsia="zh-CN"/>
        </w:rPr>
        <w:t>Wang W</w:t>
      </w:r>
      <w:r w:rsidRPr="003E0C02">
        <w:rPr>
          <w:rFonts w:ascii="Book Antiqua" w:eastAsia="宋体" w:hAnsi="Book Antiqua"/>
          <w:kern w:val="2"/>
          <w:lang w:eastAsia="zh-CN"/>
        </w:rPr>
        <w:t xml:space="preserve">, Fann CSJ, Yang SH, Chen HH, Chen CY. Weight loss and metabolic improvements in obese patients undergoing gastric banding and gastric banded plication: A comparison. </w:t>
      </w:r>
      <w:r w:rsidRPr="003E0C02">
        <w:rPr>
          <w:rFonts w:ascii="Book Antiqua" w:eastAsia="宋体" w:hAnsi="Book Antiqua"/>
          <w:i/>
          <w:kern w:val="2"/>
          <w:lang w:eastAsia="zh-CN"/>
        </w:rPr>
        <w:t>Nutrition</w:t>
      </w:r>
      <w:r w:rsidRPr="003E0C02">
        <w:rPr>
          <w:rFonts w:ascii="Book Antiqua" w:eastAsia="宋体" w:hAnsi="Book Antiqua"/>
          <w:kern w:val="2"/>
          <w:lang w:eastAsia="zh-CN"/>
        </w:rPr>
        <w:t xml:space="preserve"> 2019; </w:t>
      </w:r>
      <w:r w:rsidRPr="003E0C02">
        <w:rPr>
          <w:rFonts w:ascii="Book Antiqua" w:eastAsia="宋体" w:hAnsi="Book Antiqua"/>
          <w:b/>
          <w:kern w:val="2"/>
          <w:lang w:eastAsia="zh-CN"/>
        </w:rPr>
        <w:t>57</w:t>
      </w:r>
      <w:r w:rsidRPr="003E0C02">
        <w:rPr>
          <w:rFonts w:ascii="Book Antiqua" w:eastAsia="宋体" w:hAnsi="Book Antiqua"/>
          <w:kern w:val="2"/>
          <w:lang w:eastAsia="zh-CN"/>
        </w:rPr>
        <w:t>: 290-299 [PMID: 30219686 DOI: 10.1016/j.nut.2018.05.024]</w:t>
      </w:r>
    </w:p>
    <w:p w14:paraId="46DECF6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9 </w:t>
      </w:r>
      <w:r w:rsidRPr="003E0C02">
        <w:rPr>
          <w:rFonts w:ascii="Book Antiqua" w:eastAsia="宋体" w:hAnsi="Book Antiqua"/>
          <w:b/>
          <w:kern w:val="2"/>
          <w:lang w:eastAsia="zh-CN"/>
        </w:rPr>
        <w:t>Brolin RE</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LaMarca</w:t>
      </w:r>
      <w:proofErr w:type="spellEnd"/>
      <w:r w:rsidRPr="003E0C02">
        <w:rPr>
          <w:rFonts w:ascii="Book Antiqua" w:eastAsia="宋体" w:hAnsi="Book Antiqua"/>
          <w:kern w:val="2"/>
          <w:lang w:eastAsia="zh-CN"/>
        </w:rPr>
        <w:t xml:space="preserve"> LB, </w:t>
      </w:r>
      <w:proofErr w:type="spellStart"/>
      <w:r w:rsidRPr="003E0C02">
        <w:rPr>
          <w:rFonts w:ascii="Book Antiqua" w:eastAsia="宋体" w:hAnsi="Book Antiqua"/>
          <w:kern w:val="2"/>
          <w:lang w:eastAsia="zh-CN"/>
        </w:rPr>
        <w:t>Kenler</w:t>
      </w:r>
      <w:proofErr w:type="spellEnd"/>
      <w:r w:rsidRPr="003E0C02">
        <w:rPr>
          <w:rFonts w:ascii="Book Antiqua" w:eastAsia="宋体" w:hAnsi="Book Antiqua"/>
          <w:kern w:val="2"/>
          <w:lang w:eastAsia="zh-CN"/>
        </w:rPr>
        <w:t xml:space="preserve"> HA, Cody RP. Malabsorptive gastric bypass in patients with </w:t>
      </w:r>
      <w:proofErr w:type="spellStart"/>
      <w:r w:rsidRPr="003E0C02">
        <w:rPr>
          <w:rFonts w:ascii="Book Antiqua" w:eastAsia="宋体" w:hAnsi="Book Antiqua"/>
          <w:kern w:val="2"/>
          <w:lang w:eastAsia="zh-CN"/>
        </w:rPr>
        <w:t>superobesity</w:t>
      </w:r>
      <w:proofErr w:type="spellEnd"/>
      <w:r w:rsidRPr="003E0C02">
        <w:rPr>
          <w:rFonts w:ascii="Book Antiqua" w:eastAsia="宋体" w:hAnsi="Book Antiqua"/>
          <w:kern w:val="2"/>
          <w:lang w:eastAsia="zh-CN"/>
        </w:rPr>
        <w:t xml:space="preserve">. </w:t>
      </w:r>
      <w:r w:rsidRPr="003E0C02">
        <w:rPr>
          <w:rFonts w:ascii="Book Antiqua" w:eastAsia="宋体" w:hAnsi="Book Antiqua"/>
          <w:i/>
          <w:kern w:val="2"/>
          <w:lang w:eastAsia="zh-CN"/>
        </w:rPr>
        <w:t xml:space="preserve">J </w:t>
      </w:r>
      <w:proofErr w:type="spellStart"/>
      <w:r w:rsidRPr="003E0C02">
        <w:rPr>
          <w:rFonts w:ascii="Book Antiqua" w:eastAsia="宋体" w:hAnsi="Book Antiqua"/>
          <w:i/>
          <w:kern w:val="2"/>
          <w:lang w:eastAsia="zh-CN"/>
        </w:rPr>
        <w:t>Gastrointest</w:t>
      </w:r>
      <w:proofErr w:type="spellEnd"/>
      <w:r w:rsidRPr="003E0C02">
        <w:rPr>
          <w:rFonts w:ascii="Book Antiqua" w:eastAsia="宋体" w:hAnsi="Book Antiqua"/>
          <w:i/>
          <w:kern w:val="2"/>
          <w:lang w:eastAsia="zh-CN"/>
        </w:rPr>
        <w:t xml:space="preserve"> Surg</w:t>
      </w:r>
      <w:r w:rsidRPr="003E0C02">
        <w:rPr>
          <w:rFonts w:ascii="Book Antiqua" w:eastAsia="宋体" w:hAnsi="Book Antiqua"/>
          <w:kern w:val="2"/>
          <w:lang w:eastAsia="zh-CN"/>
        </w:rPr>
        <w:t xml:space="preserve"> 2002; </w:t>
      </w:r>
      <w:r w:rsidRPr="003E0C02">
        <w:rPr>
          <w:rFonts w:ascii="Book Antiqua" w:eastAsia="宋体" w:hAnsi="Book Antiqua"/>
          <w:b/>
          <w:kern w:val="2"/>
          <w:lang w:eastAsia="zh-CN"/>
        </w:rPr>
        <w:t>6</w:t>
      </w:r>
      <w:r w:rsidRPr="003E0C02">
        <w:rPr>
          <w:rFonts w:ascii="Book Antiqua" w:eastAsia="宋体" w:hAnsi="Book Antiqua"/>
          <w:kern w:val="2"/>
          <w:lang w:eastAsia="zh-CN"/>
        </w:rPr>
        <w:t xml:space="preserve">: 195-203; discussion 204-5 [PMID: </w:t>
      </w:r>
      <w:r w:rsidRPr="003E0C02">
        <w:rPr>
          <w:rFonts w:ascii="Book Antiqua" w:eastAsia="宋体" w:hAnsi="Book Antiqua"/>
          <w:kern w:val="2"/>
          <w:lang w:eastAsia="zh-CN"/>
        </w:rPr>
        <w:lastRenderedPageBreak/>
        <w:t>11992805 DOI: 10.1016/s1091-255</w:t>
      </w:r>
      <w:proofErr w:type="gramStart"/>
      <w:r w:rsidRPr="003E0C02">
        <w:rPr>
          <w:rFonts w:ascii="Book Antiqua" w:eastAsia="宋体" w:hAnsi="Book Antiqua"/>
          <w:kern w:val="2"/>
          <w:lang w:eastAsia="zh-CN"/>
        </w:rPr>
        <w:t>x(</w:t>
      </w:r>
      <w:proofErr w:type="gramEnd"/>
      <w:r w:rsidRPr="003E0C02">
        <w:rPr>
          <w:rFonts w:ascii="Book Antiqua" w:eastAsia="宋体" w:hAnsi="Book Antiqua"/>
          <w:kern w:val="2"/>
          <w:lang w:eastAsia="zh-CN"/>
        </w:rPr>
        <w:t>01)00022-1]</w:t>
      </w:r>
    </w:p>
    <w:p w14:paraId="6CC81928"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10 </w:t>
      </w:r>
      <w:r w:rsidRPr="003E0C02">
        <w:rPr>
          <w:rFonts w:ascii="Book Antiqua" w:eastAsia="宋体" w:hAnsi="Book Antiqua"/>
          <w:b/>
          <w:kern w:val="2"/>
          <w:lang w:eastAsia="zh-CN"/>
        </w:rPr>
        <w:t>Parrott J</w:t>
      </w:r>
      <w:r w:rsidRPr="003E0C02">
        <w:rPr>
          <w:rFonts w:ascii="Book Antiqua" w:eastAsia="宋体" w:hAnsi="Book Antiqua"/>
          <w:kern w:val="2"/>
          <w:lang w:eastAsia="zh-CN"/>
        </w:rPr>
        <w:t xml:space="preserve">, Frank L, </w:t>
      </w:r>
      <w:proofErr w:type="spellStart"/>
      <w:r w:rsidRPr="003E0C02">
        <w:rPr>
          <w:rFonts w:ascii="Book Antiqua" w:eastAsia="宋体" w:hAnsi="Book Antiqua"/>
          <w:kern w:val="2"/>
          <w:lang w:eastAsia="zh-CN"/>
        </w:rPr>
        <w:t>Rabena</w:t>
      </w:r>
      <w:proofErr w:type="spellEnd"/>
      <w:r w:rsidRPr="003E0C02">
        <w:rPr>
          <w:rFonts w:ascii="Book Antiqua" w:eastAsia="宋体" w:hAnsi="Book Antiqua"/>
          <w:kern w:val="2"/>
          <w:lang w:eastAsia="zh-CN"/>
        </w:rPr>
        <w:t xml:space="preserve"> R, Craggs-Dino L, Isom KA, </w:t>
      </w:r>
      <w:proofErr w:type="spellStart"/>
      <w:r w:rsidRPr="003E0C02">
        <w:rPr>
          <w:rFonts w:ascii="Book Antiqua" w:eastAsia="宋体" w:hAnsi="Book Antiqua"/>
          <w:kern w:val="2"/>
          <w:lang w:eastAsia="zh-CN"/>
        </w:rPr>
        <w:t>Greiman</w:t>
      </w:r>
      <w:proofErr w:type="spellEnd"/>
      <w:r w:rsidRPr="003E0C02">
        <w:rPr>
          <w:rFonts w:ascii="Book Antiqua" w:eastAsia="宋体" w:hAnsi="Book Antiqua"/>
          <w:kern w:val="2"/>
          <w:lang w:eastAsia="zh-CN"/>
        </w:rPr>
        <w:t xml:space="preserve"> L. American Society for Metabolic and Bariatric Surgery Integrated Health Nutritional Guidelines for the Surgical Weight Loss Patient 2016 Update: Micronutrients. </w:t>
      </w:r>
      <w:r w:rsidRPr="003E0C02">
        <w:rPr>
          <w:rFonts w:ascii="Book Antiqua" w:eastAsia="宋体" w:hAnsi="Book Antiqua"/>
          <w:i/>
          <w:kern w:val="2"/>
          <w:lang w:eastAsia="zh-CN"/>
        </w:rPr>
        <w:t xml:space="preserve">Surg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13</w:t>
      </w:r>
      <w:r w:rsidRPr="003E0C02">
        <w:rPr>
          <w:rFonts w:ascii="Book Antiqua" w:eastAsia="宋体" w:hAnsi="Book Antiqua"/>
          <w:kern w:val="2"/>
          <w:lang w:eastAsia="zh-CN"/>
        </w:rPr>
        <w:t>: 727-741 [PMID: 28392254 DOI: 10.1016/j.soard.2016.12.018]</w:t>
      </w:r>
    </w:p>
    <w:p w14:paraId="5379F2D7"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11 </w:t>
      </w:r>
      <w:r w:rsidRPr="003E0C02">
        <w:rPr>
          <w:rFonts w:ascii="Book Antiqua" w:eastAsia="宋体" w:hAnsi="Book Antiqua"/>
          <w:b/>
          <w:kern w:val="2"/>
          <w:lang w:eastAsia="zh-CN"/>
        </w:rPr>
        <w:t>Bailly L</w:t>
      </w:r>
      <w:r w:rsidRPr="003E0C02">
        <w:rPr>
          <w:rFonts w:ascii="Book Antiqua" w:eastAsia="宋体" w:hAnsi="Book Antiqua"/>
          <w:kern w:val="2"/>
          <w:lang w:eastAsia="zh-CN"/>
        </w:rPr>
        <w:t xml:space="preserve">, Schiavo L, </w:t>
      </w:r>
      <w:proofErr w:type="spellStart"/>
      <w:r w:rsidRPr="003E0C02">
        <w:rPr>
          <w:rFonts w:ascii="Book Antiqua" w:eastAsia="宋体" w:hAnsi="Book Antiqua"/>
          <w:kern w:val="2"/>
          <w:lang w:eastAsia="zh-CN"/>
        </w:rPr>
        <w:t>Sebastianelli</w:t>
      </w:r>
      <w:proofErr w:type="spellEnd"/>
      <w:r w:rsidRPr="003E0C02">
        <w:rPr>
          <w:rFonts w:ascii="Book Antiqua" w:eastAsia="宋体" w:hAnsi="Book Antiqua"/>
          <w:kern w:val="2"/>
          <w:lang w:eastAsia="zh-CN"/>
        </w:rPr>
        <w:t xml:space="preserve"> L, Fabre R, </w:t>
      </w:r>
      <w:proofErr w:type="spellStart"/>
      <w:r w:rsidRPr="003E0C02">
        <w:rPr>
          <w:rFonts w:ascii="Book Antiqua" w:eastAsia="宋体" w:hAnsi="Book Antiqua"/>
          <w:kern w:val="2"/>
          <w:lang w:eastAsia="zh-CN"/>
        </w:rPr>
        <w:t>Pradier</w:t>
      </w:r>
      <w:proofErr w:type="spellEnd"/>
      <w:r w:rsidRPr="003E0C02">
        <w:rPr>
          <w:rFonts w:ascii="Book Antiqua" w:eastAsia="宋体" w:hAnsi="Book Antiqua"/>
          <w:kern w:val="2"/>
          <w:lang w:eastAsia="zh-CN"/>
        </w:rPr>
        <w:t xml:space="preserve"> C, </w:t>
      </w:r>
      <w:proofErr w:type="spellStart"/>
      <w:r w:rsidRPr="003E0C02">
        <w:rPr>
          <w:rFonts w:ascii="Book Antiqua" w:eastAsia="宋体" w:hAnsi="Book Antiqua"/>
          <w:kern w:val="2"/>
          <w:lang w:eastAsia="zh-CN"/>
        </w:rPr>
        <w:t>Iannelli</w:t>
      </w:r>
      <w:proofErr w:type="spellEnd"/>
      <w:r w:rsidRPr="003E0C02">
        <w:rPr>
          <w:rFonts w:ascii="Book Antiqua" w:eastAsia="宋体" w:hAnsi="Book Antiqua"/>
          <w:kern w:val="2"/>
          <w:lang w:eastAsia="zh-CN"/>
        </w:rPr>
        <w:t xml:space="preserve"> A. Anemia and Bariatric Surgery: Results of a National French Survey on Administrative Data of 306,298 Consecutive Patients Between 2008 and 2016.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Surg</w:t>
      </w:r>
      <w:r w:rsidRPr="003E0C02">
        <w:rPr>
          <w:rFonts w:ascii="Book Antiqua" w:eastAsia="宋体" w:hAnsi="Book Antiqua"/>
          <w:kern w:val="2"/>
          <w:lang w:eastAsia="zh-CN"/>
        </w:rPr>
        <w:t xml:space="preserve"> 2018; </w:t>
      </w:r>
      <w:r w:rsidRPr="003E0C02">
        <w:rPr>
          <w:rFonts w:ascii="Book Antiqua" w:eastAsia="宋体" w:hAnsi="Book Antiqua"/>
          <w:b/>
          <w:kern w:val="2"/>
          <w:lang w:eastAsia="zh-CN"/>
        </w:rPr>
        <w:t>28</w:t>
      </w:r>
      <w:r w:rsidRPr="003E0C02">
        <w:rPr>
          <w:rFonts w:ascii="Book Antiqua" w:eastAsia="宋体" w:hAnsi="Book Antiqua"/>
          <w:kern w:val="2"/>
          <w:lang w:eastAsia="zh-CN"/>
        </w:rPr>
        <w:t>: 2313-2320 [PMID: 29516395 DOI: 10.1007/s11695-018-3143-x]</w:t>
      </w:r>
    </w:p>
    <w:p w14:paraId="0865FDBF"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12 </w:t>
      </w:r>
      <w:proofErr w:type="spellStart"/>
      <w:r w:rsidRPr="003E0C02">
        <w:rPr>
          <w:rFonts w:ascii="Book Antiqua" w:eastAsia="宋体" w:hAnsi="Book Antiqua"/>
          <w:b/>
          <w:kern w:val="2"/>
          <w:lang w:eastAsia="zh-CN"/>
        </w:rPr>
        <w:t>Kheniser</w:t>
      </w:r>
      <w:proofErr w:type="spellEnd"/>
      <w:r w:rsidRPr="003E0C02">
        <w:rPr>
          <w:rFonts w:ascii="Book Antiqua" w:eastAsia="宋体" w:hAnsi="Book Antiqua"/>
          <w:b/>
          <w:kern w:val="2"/>
          <w:lang w:eastAsia="zh-CN"/>
        </w:rPr>
        <w:t xml:space="preserve"> KG</w:t>
      </w:r>
      <w:r w:rsidRPr="003E0C02">
        <w:rPr>
          <w:rFonts w:ascii="Book Antiqua" w:eastAsia="宋体" w:hAnsi="Book Antiqua"/>
          <w:kern w:val="2"/>
          <w:lang w:eastAsia="zh-CN"/>
        </w:rPr>
        <w:t xml:space="preserve">, Kashyap SR, Schauer PR, Lam ETC, </w:t>
      </w:r>
      <w:proofErr w:type="spellStart"/>
      <w:r w:rsidRPr="003E0C02">
        <w:rPr>
          <w:rFonts w:ascii="Book Antiqua" w:eastAsia="宋体" w:hAnsi="Book Antiqua"/>
          <w:kern w:val="2"/>
          <w:lang w:eastAsia="zh-CN"/>
        </w:rPr>
        <w:t>Kullman</w:t>
      </w:r>
      <w:proofErr w:type="spellEnd"/>
      <w:r w:rsidRPr="003E0C02">
        <w:rPr>
          <w:rFonts w:ascii="Book Antiqua" w:eastAsia="宋体" w:hAnsi="Book Antiqua"/>
          <w:kern w:val="2"/>
          <w:lang w:eastAsia="zh-CN"/>
        </w:rPr>
        <w:t xml:space="preserve"> ES. Prevalence of Anemia in Subjects Randomized into Roux-en-Y Gastric Bypass or Sleeve Gastrectomy.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Surg</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27</w:t>
      </w:r>
      <w:r w:rsidRPr="003E0C02">
        <w:rPr>
          <w:rFonts w:ascii="Book Antiqua" w:eastAsia="宋体" w:hAnsi="Book Antiqua"/>
          <w:kern w:val="2"/>
          <w:lang w:eastAsia="zh-CN"/>
        </w:rPr>
        <w:t>: 1381-1386 [PMID: 28185151 DOI: 10.1007/s11695-017-2573-1]</w:t>
      </w:r>
    </w:p>
    <w:p w14:paraId="4BC4417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13 </w:t>
      </w:r>
      <w:r w:rsidRPr="003E0C02">
        <w:rPr>
          <w:rFonts w:ascii="Book Antiqua" w:eastAsia="宋体" w:hAnsi="Book Antiqua"/>
          <w:b/>
          <w:kern w:val="2"/>
          <w:lang w:eastAsia="zh-CN"/>
        </w:rPr>
        <w:t>Kwon Y</w:t>
      </w:r>
      <w:r w:rsidRPr="003E0C02">
        <w:rPr>
          <w:rFonts w:ascii="Book Antiqua" w:eastAsia="宋体" w:hAnsi="Book Antiqua"/>
          <w:kern w:val="2"/>
          <w:lang w:eastAsia="zh-CN"/>
        </w:rPr>
        <w:t xml:space="preserve">, Kim HJ, Lo </w:t>
      </w:r>
      <w:proofErr w:type="spellStart"/>
      <w:r w:rsidRPr="003E0C02">
        <w:rPr>
          <w:rFonts w:ascii="Book Antiqua" w:eastAsia="宋体" w:hAnsi="Book Antiqua"/>
          <w:kern w:val="2"/>
          <w:lang w:eastAsia="zh-CN"/>
        </w:rPr>
        <w:t>Menzo</w:t>
      </w:r>
      <w:proofErr w:type="spellEnd"/>
      <w:r w:rsidRPr="003E0C02">
        <w:rPr>
          <w:rFonts w:ascii="Book Antiqua" w:eastAsia="宋体" w:hAnsi="Book Antiqua"/>
          <w:kern w:val="2"/>
          <w:lang w:eastAsia="zh-CN"/>
        </w:rPr>
        <w:t xml:space="preserve"> E, Park S, </w:t>
      </w:r>
      <w:proofErr w:type="spellStart"/>
      <w:r w:rsidRPr="003E0C02">
        <w:rPr>
          <w:rFonts w:ascii="Book Antiqua" w:eastAsia="宋体" w:hAnsi="Book Antiqua"/>
          <w:kern w:val="2"/>
          <w:lang w:eastAsia="zh-CN"/>
        </w:rPr>
        <w:t>Szomstein</w:t>
      </w:r>
      <w:proofErr w:type="spellEnd"/>
      <w:r w:rsidRPr="003E0C02">
        <w:rPr>
          <w:rFonts w:ascii="Book Antiqua" w:eastAsia="宋体" w:hAnsi="Book Antiqua"/>
          <w:kern w:val="2"/>
          <w:lang w:eastAsia="zh-CN"/>
        </w:rPr>
        <w:t xml:space="preserve"> S, Rosenthal RJ. Anemia, iron and vitamin B12 deficiencies after sleeve gastrectomy compared to Roux-en-Y gastric bypass: a meta-analysis. </w:t>
      </w:r>
      <w:r w:rsidRPr="003E0C02">
        <w:rPr>
          <w:rFonts w:ascii="Book Antiqua" w:eastAsia="宋体" w:hAnsi="Book Antiqua"/>
          <w:i/>
          <w:kern w:val="2"/>
          <w:lang w:eastAsia="zh-CN"/>
        </w:rPr>
        <w:t xml:space="preserve">Surg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2014; </w:t>
      </w:r>
      <w:r w:rsidRPr="003E0C02">
        <w:rPr>
          <w:rFonts w:ascii="Book Antiqua" w:eastAsia="宋体" w:hAnsi="Book Antiqua"/>
          <w:b/>
          <w:kern w:val="2"/>
          <w:lang w:eastAsia="zh-CN"/>
        </w:rPr>
        <w:t>10</w:t>
      </w:r>
      <w:r w:rsidRPr="003E0C02">
        <w:rPr>
          <w:rFonts w:ascii="Book Antiqua" w:eastAsia="宋体" w:hAnsi="Book Antiqua"/>
          <w:kern w:val="2"/>
          <w:lang w:eastAsia="zh-CN"/>
        </w:rPr>
        <w:t>: 589-597 [PMID: 24582411 DOI: 10.1016/j.soard.2013.12.005]</w:t>
      </w:r>
    </w:p>
    <w:p w14:paraId="4310F542"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14 </w:t>
      </w:r>
      <w:r w:rsidRPr="003E0C02">
        <w:rPr>
          <w:rFonts w:ascii="Book Antiqua" w:eastAsia="宋体" w:hAnsi="Book Antiqua"/>
          <w:b/>
          <w:kern w:val="2"/>
          <w:lang w:eastAsia="zh-CN"/>
        </w:rPr>
        <w:t>Chen GL</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Kubat</w:t>
      </w:r>
      <w:proofErr w:type="spellEnd"/>
      <w:r w:rsidRPr="003E0C02">
        <w:rPr>
          <w:rFonts w:ascii="Book Antiqua" w:eastAsia="宋体" w:hAnsi="Book Antiqua"/>
          <w:kern w:val="2"/>
          <w:lang w:eastAsia="zh-CN"/>
        </w:rPr>
        <w:t xml:space="preserve"> E, Eisenberg D. Prevalence of Anemia 10 Years After Roux-en-Y Gastric Bypass in a Single Veterans Affairs Medical Center. </w:t>
      </w:r>
      <w:r w:rsidRPr="003E0C02">
        <w:rPr>
          <w:rFonts w:ascii="Book Antiqua" w:eastAsia="宋体" w:hAnsi="Book Antiqua"/>
          <w:i/>
          <w:kern w:val="2"/>
          <w:lang w:eastAsia="zh-CN"/>
        </w:rPr>
        <w:t>JAMA Surg</w:t>
      </w:r>
      <w:r w:rsidRPr="003E0C02">
        <w:rPr>
          <w:rFonts w:ascii="Book Antiqua" w:eastAsia="宋体" w:hAnsi="Book Antiqua"/>
          <w:kern w:val="2"/>
          <w:lang w:eastAsia="zh-CN"/>
        </w:rPr>
        <w:t xml:space="preserve"> 2018; </w:t>
      </w:r>
      <w:r w:rsidRPr="003E0C02">
        <w:rPr>
          <w:rFonts w:ascii="Book Antiqua" w:eastAsia="宋体" w:hAnsi="Book Antiqua"/>
          <w:b/>
          <w:kern w:val="2"/>
          <w:lang w:eastAsia="zh-CN"/>
        </w:rPr>
        <w:t>153</w:t>
      </w:r>
      <w:r w:rsidRPr="003E0C02">
        <w:rPr>
          <w:rFonts w:ascii="Book Antiqua" w:eastAsia="宋体" w:hAnsi="Book Antiqua"/>
          <w:kern w:val="2"/>
          <w:lang w:eastAsia="zh-CN"/>
        </w:rPr>
        <w:t>: 86-87 [PMID: 28975250 DOI: 10.1001/jamasurg.2017.3158]</w:t>
      </w:r>
    </w:p>
    <w:p w14:paraId="7C9DBC31"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15 </w:t>
      </w:r>
      <w:r w:rsidRPr="003E0C02">
        <w:rPr>
          <w:rFonts w:ascii="Book Antiqua" w:eastAsia="宋体" w:hAnsi="Book Antiqua"/>
          <w:b/>
          <w:kern w:val="2"/>
          <w:lang w:eastAsia="zh-CN"/>
        </w:rPr>
        <w:t>Malinowski SS</w:t>
      </w:r>
      <w:r w:rsidRPr="003E0C02">
        <w:rPr>
          <w:rFonts w:ascii="Book Antiqua" w:eastAsia="宋体" w:hAnsi="Book Antiqua"/>
          <w:kern w:val="2"/>
          <w:lang w:eastAsia="zh-CN"/>
        </w:rPr>
        <w:t xml:space="preserve">. Nutritional and metabolic complications of bariatric surgery. </w:t>
      </w:r>
      <w:r w:rsidRPr="003E0C02">
        <w:rPr>
          <w:rFonts w:ascii="Book Antiqua" w:eastAsia="宋体" w:hAnsi="Book Antiqua"/>
          <w:i/>
          <w:kern w:val="2"/>
          <w:lang w:eastAsia="zh-CN"/>
        </w:rPr>
        <w:t>Am J Med Sci</w:t>
      </w:r>
      <w:r w:rsidRPr="003E0C02">
        <w:rPr>
          <w:rFonts w:ascii="Book Antiqua" w:eastAsia="宋体" w:hAnsi="Book Antiqua"/>
          <w:kern w:val="2"/>
          <w:lang w:eastAsia="zh-CN"/>
        </w:rPr>
        <w:t xml:space="preserve"> 2006; </w:t>
      </w:r>
      <w:r w:rsidRPr="003E0C02">
        <w:rPr>
          <w:rFonts w:ascii="Book Antiqua" w:eastAsia="宋体" w:hAnsi="Book Antiqua"/>
          <w:b/>
          <w:kern w:val="2"/>
          <w:lang w:eastAsia="zh-CN"/>
        </w:rPr>
        <w:t>331</w:t>
      </w:r>
      <w:r w:rsidRPr="003E0C02">
        <w:rPr>
          <w:rFonts w:ascii="Book Antiqua" w:eastAsia="宋体" w:hAnsi="Book Antiqua"/>
          <w:kern w:val="2"/>
          <w:lang w:eastAsia="zh-CN"/>
        </w:rPr>
        <w:t>: 219-225 [PMID: 16617238 DOI: 10.1097/00000441-200604000-00009]</w:t>
      </w:r>
    </w:p>
    <w:p w14:paraId="4A498E20"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16 </w:t>
      </w:r>
      <w:proofErr w:type="spellStart"/>
      <w:r w:rsidRPr="003E0C02">
        <w:rPr>
          <w:rFonts w:ascii="Book Antiqua" w:eastAsia="宋体" w:hAnsi="Book Antiqua"/>
          <w:b/>
          <w:kern w:val="2"/>
          <w:lang w:eastAsia="zh-CN"/>
        </w:rPr>
        <w:t>Braghetto</w:t>
      </w:r>
      <w:proofErr w:type="spellEnd"/>
      <w:r w:rsidRPr="003E0C02">
        <w:rPr>
          <w:rFonts w:ascii="Book Antiqua" w:eastAsia="宋体" w:hAnsi="Book Antiqua"/>
          <w:b/>
          <w:kern w:val="2"/>
          <w:lang w:eastAsia="zh-CN"/>
        </w:rPr>
        <w:t xml:space="preserve"> I</w:t>
      </w:r>
      <w:r w:rsidRPr="003E0C02">
        <w:rPr>
          <w:rFonts w:ascii="Book Antiqua" w:eastAsia="宋体" w:hAnsi="Book Antiqua"/>
          <w:kern w:val="2"/>
          <w:lang w:eastAsia="zh-CN"/>
        </w:rPr>
        <w:t xml:space="preserve">, Davanzo C, Korn O, </w:t>
      </w:r>
      <w:proofErr w:type="spellStart"/>
      <w:r w:rsidRPr="003E0C02">
        <w:rPr>
          <w:rFonts w:ascii="Book Antiqua" w:eastAsia="宋体" w:hAnsi="Book Antiqua"/>
          <w:kern w:val="2"/>
          <w:lang w:eastAsia="zh-CN"/>
        </w:rPr>
        <w:t>Csendes</w:t>
      </w:r>
      <w:proofErr w:type="spellEnd"/>
      <w:r w:rsidRPr="003E0C02">
        <w:rPr>
          <w:rFonts w:ascii="Book Antiqua" w:eastAsia="宋体" w:hAnsi="Book Antiqua"/>
          <w:kern w:val="2"/>
          <w:lang w:eastAsia="zh-CN"/>
        </w:rPr>
        <w:t xml:space="preserve"> A, Valladares H, Herrera E, Gonzalez P, </w:t>
      </w:r>
      <w:proofErr w:type="spellStart"/>
      <w:r w:rsidRPr="003E0C02">
        <w:rPr>
          <w:rFonts w:ascii="Book Antiqua" w:eastAsia="宋体" w:hAnsi="Book Antiqua"/>
          <w:kern w:val="2"/>
          <w:lang w:eastAsia="zh-CN"/>
        </w:rPr>
        <w:t>Papapietro</w:t>
      </w:r>
      <w:proofErr w:type="spellEnd"/>
      <w:r w:rsidRPr="003E0C02">
        <w:rPr>
          <w:rFonts w:ascii="Book Antiqua" w:eastAsia="宋体" w:hAnsi="Book Antiqua"/>
          <w:kern w:val="2"/>
          <w:lang w:eastAsia="zh-CN"/>
        </w:rPr>
        <w:t xml:space="preserve"> K. </w:t>
      </w:r>
      <w:proofErr w:type="spellStart"/>
      <w:r w:rsidRPr="003E0C02">
        <w:rPr>
          <w:rFonts w:ascii="Book Antiqua" w:eastAsia="宋体" w:hAnsi="Book Antiqua"/>
          <w:kern w:val="2"/>
          <w:lang w:eastAsia="zh-CN"/>
        </w:rPr>
        <w:t>Scintigraphic</w:t>
      </w:r>
      <w:proofErr w:type="spellEnd"/>
      <w:r w:rsidRPr="003E0C02">
        <w:rPr>
          <w:rFonts w:ascii="Book Antiqua" w:eastAsia="宋体" w:hAnsi="Book Antiqua"/>
          <w:kern w:val="2"/>
          <w:lang w:eastAsia="zh-CN"/>
        </w:rPr>
        <w:t xml:space="preserve"> evaluation of gastric emptying in obese patients submitted to sleeve gastrectomy compared to normal subjects.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Surg</w:t>
      </w:r>
      <w:r w:rsidRPr="003E0C02">
        <w:rPr>
          <w:rFonts w:ascii="Book Antiqua" w:eastAsia="宋体" w:hAnsi="Book Antiqua"/>
          <w:kern w:val="2"/>
          <w:lang w:eastAsia="zh-CN"/>
        </w:rPr>
        <w:t xml:space="preserve"> 2009; </w:t>
      </w:r>
      <w:r w:rsidRPr="003E0C02">
        <w:rPr>
          <w:rFonts w:ascii="Book Antiqua" w:eastAsia="宋体" w:hAnsi="Book Antiqua"/>
          <w:b/>
          <w:kern w:val="2"/>
          <w:lang w:eastAsia="zh-CN"/>
        </w:rPr>
        <w:t>19</w:t>
      </w:r>
      <w:r w:rsidRPr="003E0C02">
        <w:rPr>
          <w:rFonts w:ascii="Book Antiqua" w:eastAsia="宋体" w:hAnsi="Book Antiqua"/>
          <w:kern w:val="2"/>
          <w:lang w:eastAsia="zh-CN"/>
        </w:rPr>
        <w:t>: 1515-1521 [PMID: 19714384 DOI: 10.1007/s11695-009-9954-z]</w:t>
      </w:r>
    </w:p>
    <w:p w14:paraId="02DE31E1"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17 </w:t>
      </w:r>
      <w:r w:rsidRPr="003E0C02">
        <w:rPr>
          <w:rFonts w:ascii="Book Antiqua" w:eastAsia="宋体" w:hAnsi="Book Antiqua"/>
          <w:b/>
          <w:kern w:val="2"/>
          <w:lang w:eastAsia="zh-CN"/>
        </w:rPr>
        <w:t>Chou JJ</w:t>
      </w:r>
      <w:r w:rsidRPr="003E0C02">
        <w:rPr>
          <w:rFonts w:ascii="Book Antiqua" w:eastAsia="宋体" w:hAnsi="Book Antiqua"/>
          <w:kern w:val="2"/>
          <w:lang w:eastAsia="zh-CN"/>
        </w:rPr>
        <w:t xml:space="preserve">, Lee WJ, </w:t>
      </w:r>
      <w:proofErr w:type="spellStart"/>
      <w:r w:rsidRPr="003E0C02">
        <w:rPr>
          <w:rFonts w:ascii="Book Antiqua" w:eastAsia="宋体" w:hAnsi="Book Antiqua"/>
          <w:kern w:val="2"/>
          <w:lang w:eastAsia="zh-CN"/>
        </w:rPr>
        <w:t>Almalki</w:t>
      </w:r>
      <w:proofErr w:type="spellEnd"/>
      <w:r w:rsidRPr="003E0C02">
        <w:rPr>
          <w:rFonts w:ascii="Book Antiqua" w:eastAsia="宋体" w:hAnsi="Book Antiqua"/>
          <w:kern w:val="2"/>
          <w:lang w:eastAsia="zh-CN"/>
        </w:rPr>
        <w:t xml:space="preserve"> O, Chen JC, Tsai PL, Yang SH. Dietary Intake and Weight Changes 5 Years After Laparoscopic Sleeve Gastrectomy.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Surg</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27</w:t>
      </w:r>
      <w:r w:rsidRPr="003E0C02">
        <w:rPr>
          <w:rFonts w:ascii="Book Antiqua" w:eastAsia="宋体" w:hAnsi="Book Antiqua"/>
          <w:kern w:val="2"/>
          <w:lang w:eastAsia="zh-CN"/>
        </w:rPr>
        <w:t>: 3240-3246 [PMID: 28589529 DOI: 10.1007/s11695-017-2765-8]</w:t>
      </w:r>
    </w:p>
    <w:p w14:paraId="212C2675"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18 </w:t>
      </w:r>
      <w:r w:rsidRPr="003E0C02">
        <w:rPr>
          <w:rFonts w:ascii="Book Antiqua" w:eastAsia="宋体" w:hAnsi="Book Antiqua"/>
          <w:b/>
          <w:kern w:val="2"/>
          <w:lang w:eastAsia="zh-CN"/>
        </w:rPr>
        <w:t xml:space="preserve">von </w:t>
      </w:r>
      <w:proofErr w:type="spellStart"/>
      <w:r w:rsidRPr="003E0C02">
        <w:rPr>
          <w:rFonts w:ascii="Book Antiqua" w:eastAsia="宋体" w:hAnsi="Book Antiqua"/>
          <w:b/>
          <w:kern w:val="2"/>
          <w:lang w:eastAsia="zh-CN"/>
        </w:rPr>
        <w:t>Drygalski</w:t>
      </w:r>
      <w:proofErr w:type="spellEnd"/>
      <w:r w:rsidRPr="003E0C02">
        <w:rPr>
          <w:rFonts w:ascii="Book Antiqua" w:eastAsia="宋体" w:hAnsi="Book Antiqua"/>
          <w:b/>
          <w:kern w:val="2"/>
          <w:lang w:eastAsia="zh-CN"/>
        </w:rPr>
        <w:t xml:space="preserve"> A</w:t>
      </w:r>
      <w:r w:rsidRPr="003E0C02">
        <w:rPr>
          <w:rFonts w:ascii="Book Antiqua" w:eastAsia="宋体" w:hAnsi="Book Antiqua"/>
          <w:kern w:val="2"/>
          <w:lang w:eastAsia="zh-CN"/>
        </w:rPr>
        <w:t xml:space="preserve">, Andris DA, </w:t>
      </w:r>
      <w:proofErr w:type="spellStart"/>
      <w:r w:rsidRPr="003E0C02">
        <w:rPr>
          <w:rFonts w:ascii="Book Antiqua" w:eastAsia="宋体" w:hAnsi="Book Antiqua"/>
          <w:kern w:val="2"/>
          <w:lang w:eastAsia="zh-CN"/>
        </w:rPr>
        <w:t>Nuttleman</w:t>
      </w:r>
      <w:proofErr w:type="spellEnd"/>
      <w:r w:rsidRPr="003E0C02">
        <w:rPr>
          <w:rFonts w:ascii="Book Antiqua" w:eastAsia="宋体" w:hAnsi="Book Antiqua"/>
          <w:kern w:val="2"/>
          <w:lang w:eastAsia="zh-CN"/>
        </w:rPr>
        <w:t xml:space="preserve"> PR, Jackson S, Klein J, Wallace JR. Anemia </w:t>
      </w:r>
      <w:r w:rsidRPr="003E0C02">
        <w:rPr>
          <w:rFonts w:ascii="Book Antiqua" w:eastAsia="宋体" w:hAnsi="Book Antiqua"/>
          <w:kern w:val="2"/>
          <w:lang w:eastAsia="zh-CN"/>
        </w:rPr>
        <w:lastRenderedPageBreak/>
        <w:t xml:space="preserve">after bariatric surgery cannot be explained by iron deficiency alone: results of a large cohort study. </w:t>
      </w:r>
      <w:r w:rsidRPr="003E0C02">
        <w:rPr>
          <w:rFonts w:ascii="Book Antiqua" w:eastAsia="宋体" w:hAnsi="Book Antiqua"/>
          <w:i/>
          <w:kern w:val="2"/>
          <w:lang w:eastAsia="zh-CN"/>
        </w:rPr>
        <w:t xml:space="preserve">Surg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2011; </w:t>
      </w:r>
      <w:r w:rsidRPr="003E0C02">
        <w:rPr>
          <w:rFonts w:ascii="Book Antiqua" w:eastAsia="宋体" w:hAnsi="Book Antiqua"/>
          <w:b/>
          <w:kern w:val="2"/>
          <w:lang w:eastAsia="zh-CN"/>
        </w:rPr>
        <w:t>7</w:t>
      </w:r>
      <w:r w:rsidRPr="003E0C02">
        <w:rPr>
          <w:rFonts w:ascii="Book Antiqua" w:eastAsia="宋体" w:hAnsi="Book Antiqua"/>
          <w:kern w:val="2"/>
          <w:lang w:eastAsia="zh-CN"/>
        </w:rPr>
        <w:t>: 151-156 [PMID: 20702143 DOI: 10.1016/j.soard.2010.04.008]</w:t>
      </w:r>
    </w:p>
    <w:p w14:paraId="35CC264E"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19 </w:t>
      </w:r>
      <w:r w:rsidRPr="003E0C02">
        <w:rPr>
          <w:rFonts w:ascii="Book Antiqua" w:eastAsia="宋体" w:hAnsi="Book Antiqua"/>
          <w:b/>
          <w:kern w:val="2"/>
          <w:lang w:eastAsia="zh-CN"/>
        </w:rPr>
        <w:t>Huang HH</w:t>
      </w:r>
      <w:r w:rsidRPr="003E0C02">
        <w:rPr>
          <w:rFonts w:ascii="Book Antiqua" w:eastAsia="宋体" w:hAnsi="Book Antiqua"/>
          <w:kern w:val="2"/>
          <w:lang w:eastAsia="zh-CN"/>
        </w:rPr>
        <w:t xml:space="preserve">, Hsieh MS, Chen CY. Risk of cholecystectomy in morbidly obese patients after bariatric surgery in Taiwan.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Res Clin </w:t>
      </w:r>
      <w:proofErr w:type="spellStart"/>
      <w:r w:rsidRPr="003E0C02">
        <w:rPr>
          <w:rFonts w:ascii="Book Antiqua" w:eastAsia="宋体" w:hAnsi="Book Antiqua"/>
          <w:i/>
          <w:kern w:val="2"/>
          <w:lang w:eastAsia="zh-CN"/>
        </w:rPr>
        <w:t>Pract</w:t>
      </w:r>
      <w:proofErr w:type="spellEnd"/>
      <w:r w:rsidRPr="003E0C02">
        <w:rPr>
          <w:rFonts w:ascii="Book Antiqua" w:eastAsia="宋体" w:hAnsi="Book Antiqua"/>
          <w:kern w:val="2"/>
          <w:lang w:eastAsia="zh-CN"/>
        </w:rPr>
        <w:t xml:space="preserve"> 2019; </w:t>
      </w:r>
      <w:r w:rsidRPr="003E0C02">
        <w:rPr>
          <w:rFonts w:ascii="Book Antiqua" w:eastAsia="宋体" w:hAnsi="Book Antiqua"/>
          <w:b/>
          <w:kern w:val="2"/>
          <w:lang w:eastAsia="zh-CN"/>
        </w:rPr>
        <w:t>13</w:t>
      </w:r>
      <w:r w:rsidRPr="003E0C02">
        <w:rPr>
          <w:rFonts w:ascii="Book Antiqua" w:eastAsia="宋体" w:hAnsi="Book Antiqua"/>
          <w:kern w:val="2"/>
          <w:lang w:eastAsia="zh-CN"/>
        </w:rPr>
        <w:t>: 191-196 [PMID: 30665822 DOI: 10.1016/j.orcp.2019.01.001]</w:t>
      </w:r>
    </w:p>
    <w:p w14:paraId="73E659F8"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20 </w:t>
      </w:r>
      <w:r w:rsidRPr="003E0C02">
        <w:rPr>
          <w:rFonts w:ascii="Book Antiqua" w:eastAsia="宋体" w:hAnsi="Book Antiqua"/>
          <w:b/>
          <w:kern w:val="2"/>
          <w:lang w:eastAsia="zh-CN"/>
        </w:rPr>
        <w:t>Chang CM</w:t>
      </w:r>
      <w:r w:rsidRPr="003E0C02">
        <w:rPr>
          <w:rFonts w:ascii="Book Antiqua" w:eastAsia="宋体" w:hAnsi="Book Antiqua"/>
          <w:kern w:val="2"/>
          <w:lang w:eastAsia="zh-CN"/>
        </w:rPr>
        <w:t xml:space="preserve">, Hsieh MS, Yang TC, Hsieh VC, Chiang JH, Huang HH, How CK, Hu SY, Yen DH. Selective serotonin reuptake inhibitors and the risk of hepatocellular carcinoma in hepatitis B virus-infected patients. </w:t>
      </w:r>
      <w:r w:rsidRPr="003E0C02">
        <w:rPr>
          <w:rFonts w:ascii="Book Antiqua" w:eastAsia="宋体" w:hAnsi="Book Antiqua"/>
          <w:i/>
          <w:kern w:val="2"/>
          <w:lang w:eastAsia="zh-CN"/>
        </w:rPr>
        <w:t xml:space="preserve">Cancer </w:t>
      </w:r>
      <w:proofErr w:type="spellStart"/>
      <w:r w:rsidRPr="003E0C02">
        <w:rPr>
          <w:rFonts w:ascii="Book Antiqua" w:eastAsia="宋体" w:hAnsi="Book Antiqua"/>
          <w:i/>
          <w:kern w:val="2"/>
          <w:lang w:eastAsia="zh-CN"/>
        </w:rPr>
        <w:t>Manag</w:t>
      </w:r>
      <w:proofErr w:type="spellEnd"/>
      <w:r w:rsidRPr="003E0C02">
        <w:rPr>
          <w:rFonts w:ascii="Book Antiqua" w:eastAsia="宋体" w:hAnsi="Book Antiqua"/>
          <w:i/>
          <w:kern w:val="2"/>
          <w:lang w:eastAsia="zh-CN"/>
        </w:rPr>
        <w:t xml:space="preserve"> Res</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9</w:t>
      </w:r>
      <w:r w:rsidRPr="003E0C02">
        <w:rPr>
          <w:rFonts w:ascii="Book Antiqua" w:eastAsia="宋体" w:hAnsi="Book Antiqua"/>
          <w:kern w:val="2"/>
          <w:lang w:eastAsia="zh-CN"/>
        </w:rPr>
        <w:t>: 709-720 [PMID: 29238221 DOI: 10.2147/CMAR.S148097]</w:t>
      </w:r>
    </w:p>
    <w:p w14:paraId="671684EA"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21 </w:t>
      </w:r>
      <w:r w:rsidRPr="003E0C02">
        <w:rPr>
          <w:rFonts w:ascii="Book Antiqua" w:eastAsia="宋体" w:hAnsi="Book Antiqua"/>
          <w:b/>
          <w:kern w:val="2"/>
          <w:lang w:eastAsia="zh-CN"/>
        </w:rPr>
        <w:t>Amaral JF</w:t>
      </w:r>
      <w:r w:rsidRPr="003E0C02">
        <w:rPr>
          <w:rFonts w:ascii="Book Antiqua" w:eastAsia="宋体" w:hAnsi="Book Antiqua"/>
          <w:kern w:val="2"/>
          <w:lang w:eastAsia="zh-CN"/>
        </w:rPr>
        <w:t xml:space="preserve">, Thompson WR, Caldwell MD, Martin HF, Randall HT. Prospective hematologic evaluation of gastric exclusion surgery for morbid obesity. </w:t>
      </w:r>
      <w:r w:rsidRPr="003E0C02">
        <w:rPr>
          <w:rFonts w:ascii="Book Antiqua" w:eastAsia="宋体" w:hAnsi="Book Antiqua"/>
          <w:i/>
          <w:kern w:val="2"/>
          <w:lang w:eastAsia="zh-CN"/>
        </w:rPr>
        <w:t>Ann Surg</w:t>
      </w:r>
      <w:r w:rsidRPr="003E0C02">
        <w:rPr>
          <w:rFonts w:ascii="Book Antiqua" w:eastAsia="宋体" w:hAnsi="Book Antiqua"/>
          <w:kern w:val="2"/>
          <w:lang w:eastAsia="zh-CN"/>
        </w:rPr>
        <w:t xml:space="preserve"> 1985; </w:t>
      </w:r>
      <w:r w:rsidRPr="003E0C02">
        <w:rPr>
          <w:rFonts w:ascii="Book Antiqua" w:eastAsia="宋体" w:hAnsi="Book Antiqua"/>
          <w:b/>
          <w:kern w:val="2"/>
          <w:lang w:eastAsia="zh-CN"/>
        </w:rPr>
        <w:t>201</w:t>
      </w:r>
      <w:r w:rsidRPr="003E0C02">
        <w:rPr>
          <w:rFonts w:ascii="Book Antiqua" w:eastAsia="宋体" w:hAnsi="Book Antiqua"/>
          <w:kern w:val="2"/>
          <w:lang w:eastAsia="zh-CN"/>
        </w:rPr>
        <w:t>: 186-193 [PMID: 3970598 DOI: 10.1097/00000658-198502000-00009]</w:t>
      </w:r>
    </w:p>
    <w:p w14:paraId="65F5EEB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22 </w:t>
      </w:r>
      <w:proofErr w:type="spellStart"/>
      <w:r w:rsidRPr="003E0C02">
        <w:rPr>
          <w:rFonts w:ascii="Book Antiqua" w:eastAsia="宋体" w:hAnsi="Book Antiqua"/>
          <w:b/>
          <w:kern w:val="2"/>
          <w:lang w:eastAsia="zh-CN"/>
        </w:rPr>
        <w:t>Ponsky</w:t>
      </w:r>
      <w:proofErr w:type="spellEnd"/>
      <w:r w:rsidRPr="003E0C02">
        <w:rPr>
          <w:rFonts w:ascii="Book Antiqua" w:eastAsia="宋体" w:hAnsi="Book Antiqua"/>
          <w:b/>
          <w:kern w:val="2"/>
          <w:lang w:eastAsia="zh-CN"/>
        </w:rPr>
        <w:t xml:space="preserve"> TA</w:t>
      </w:r>
      <w:r w:rsidRPr="003E0C02">
        <w:rPr>
          <w:rFonts w:ascii="Book Antiqua" w:eastAsia="宋体" w:hAnsi="Book Antiqua"/>
          <w:kern w:val="2"/>
          <w:lang w:eastAsia="zh-CN"/>
        </w:rPr>
        <w:t xml:space="preserve">, Brody F, Pucci E. Alterations in gastrointestinal physiology after Roux-en-Y gastric bypass. </w:t>
      </w:r>
      <w:r w:rsidRPr="003E0C02">
        <w:rPr>
          <w:rFonts w:ascii="Book Antiqua" w:eastAsia="宋体" w:hAnsi="Book Antiqua"/>
          <w:i/>
          <w:kern w:val="2"/>
          <w:lang w:eastAsia="zh-CN"/>
        </w:rPr>
        <w:t>J Am Coll Surg</w:t>
      </w:r>
      <w:r w:rsidRPr="003E0C02">
        <w:rPr>
          <w:rFonts w:ascii="Book Antiqua" w:eastAsia="宋体" w:hAnsi="Book Antiqua"/>
          <w:kern w:val="2"/>
          <w:lang w:eastAsia="zh-CN"/>
        </w:rPr>
        <w:t xml:space="preserve"> 2005; </w:t>
      </w:r>
      <w:r w:rsidRPr="003E0C02">
        <w:rPr>
          <w:rFonts w:ascii="Book Antiqua" w:eastAsia="宋体" w:hAnsi="Book Antiqua"/>
          <w:b/>
          <w:kern w:val="2"/>
          <w:lang w:eastAsia="zh-CN"/>
        </w:rPr>
        <w:t>201</w:t>
      </w:r>
      <w:r w:rsidRPr="003E0C02">
        <w:rPr>
          <w:rFonts w:ascii="Book Antiqua" w:eastAsia="宋体" w:hAnsi="Book Antiqua"/>
          <w:kern w:val="2"/>
          <w:lang w:eastAsia="zh-CN"/>
        </w:rPr>
        <w:t>: 125-131 [PMID: 15978453 DOI: 10.1016/j.jamcollsurg.2005.03.021]</w:t>
      </w:r>
    </w:p>
    <w:p w14:paraId="26D46117"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23 </w:t>
      </w:r>
      <w:proofErr w:type="spellStart"/>
      <w:r w:rsidRPr="003E0C02">
        <w:rPr>
          <w:rFonts w:ascii="Book Antiqua" w:eastAsia="宋体" w:hAnsi="Book Antiqua"/>
          <w:b/>
          <w:kern w:val="2"/>
          <w:lang w:eastAsia="zh-CN"/>
        </w:rPr>
        <w:t>Gletsu</w:t>
      </w:r>
      <w:proofErr w:type="spellEnd"/>
      <w:r w:rsidRPr="003E0C02">
        <w:rPr>
          <w:rFonts w:ascii="Book Antiqua" w:eastAsia="宋体" w:hAnsi="Book Antiqua"/>
          <w:b/>
          <w:kern w:val="2"/>
          <w:lang w:eastAsia="zh-CN"/>
        </w:rPr>
        <w:t>-Miller N</w:t>
      </w:r>
      <w:r w:rsidRPr="003E0C02">
        <w:rPr>
          <w:rFonts w:ascii="Book Antiqua" w:eastAsia="宋体" w:hAnsi="Book Antiqua"/>
          <w:kern w:val="2"/>
          <w:lang w:eastAsia="zh-CN"/>
        </w:rPr>
        <w:t xml:space="preserve">, Wright BN. Mineral malnutrition following bariatric surgery. </w:t>
      </w:r>
      <w:r w:rsidRPr="003E0C02">
        <w:rPr>
          <w:rFonts w:ascii="Book Antiqua" w:eastAsia="宋体" w:hAnsi="Book Antiqua"/>
          <w:i/>
          <w:kern w:val="2"/>
          <w:lang w:eastAsia="zh-CN"/>
        </w:rPr>
        <w:t xml:space="preserve">Adv </w:t>
      </w:r>
      <w:proofErr w:type="spellStart"/>
      <w:r w:rsidRPr="003E0C02">
        <w:rPr>
          <w:rFonts w:ascii="Book Antiqua" w:eastAsia="宋体" w:hAnsi="Book Antiqua"/>
          <w:i/>
          <w:kern w:val="2"/>
          <w:lang w:eastAsia="zh-CN"/>
        </w:rPr>
        <w:t>Nutr</w:t>
      </w:r>
      <w:proofErr w:type="spellEnd"/>
      <w:r w:rsidRPr="003E0C02">
        <w:rPr>
          <w:rFonts w:ascii="Book Antiqua" w:eastAsia="宋体" w:hAnsi="Book Antiqua"/>
          <w:kern w:val="2"/>
          <w:lang w:eastAsia="zh-CN"/>
        </w:rPr>
        <w:t xml:space="preserve"> 2013; </w:t>
      </w:r>
      <w:r w:rsidRPr="003E0C02">
        <w:rPr>
          <w:rFonts w:ascii="Book Antiqua" w:eastAsia="宋体" w:hAnsi="Book Antiqua"/>
          <w:b/>
          <w:kern w:val="2"/>
          <w:lang w:eastAsia="zh-CN"/>
        </w:rPr>
        <w:t>4</w:t>
      </w:r>
      <w:r w:rsidRPr="003E0C02">
        <w:rPr>
          <w:rFonts w:ascii="Book Antiqua" w:eastAsia="宋体" w:hAnsi="Book Antiqua"/>
          <w:kern w:val="2"/>
          <w:lang w:eastAsia="zh-CN"/>
        </w:rPr>
        <w:t>: 506-517 [PMID: 24038242 DOI: 10.3945/an.113.004341]</w:t>
      </w:r>
    </w:p>
    <w:p w14:paraId="3C9D6B13"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24 </w:t>
      </w:r>
      <w:r w:rsidRPr="003E0C02">
        <w:rPr>
          <w:rFonts w:ascii="Book Antiqua" w:eastAsia="宋体" w:hAnsi="Book Antiqua"/>
          <w:b/>
          <w:kern w:val="2"/>
          <w:lang w:eastAsia="zh-CN"/>
        </w:rPr>
        <w:t>Cottam DR</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Mattar</w:t>
      </w:r>
      <w:proofErr w:type="spellEnd"/>
      <w:r w:rsidRPr="003E0C02">
        <w:rPr>
          <w:rFonts w:ascii="Book Antiqua" w:eastAsia="宋体" w:hAnsi="Book Antiqua"/>
          <w:kern w:val="2"/>
          <w:lang w:eastAsia="zh-CN"/>
        </w:rPr>
        <w:t xml:space="preserve"> SG, Barinas-Mitchell E, Eid G, </w:t>
      </w:r>
      <w:proofErr w:type="spellStart"/>
      <w:r w:rsidRPr="003E0C02">
        <w:rPr>
          <w:rFonts w:ascii="Book Antiqua" w:eastAsia="宋体" w:hAnsi="Book Antiqua"/>
          <w:kern w:val="2"/>
          <w:lang w:eastAsia="zh-CN"/>
        </w:rPr>
        <w:t>Kuller</w:t>
      </w:r>
      <w:proofErr w:type="spellEnd"/>
      <w:r w:rsidRPr="003E0C02">
        <w:rPr>
          <w:rFonts w:ascii="Book Antiqua" w:eastAsia="宋体" w:hAnsi="Book Antiqua"/>
          <w:kern w:val="2"/>
          <w:lang w:eastAsia="zh-CN"/>
        </w:rPr>
        <w:t xml:space="preserve"> L, Kelley DE, Schauer PR. The chronic inflammatory hypothesis for the morbidity associated with morbid obesity: implications and effects of weight loss.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Surg</w:t>
      </w:r>
      <w:r w:rsidRPr="003E0C02">
        <w:rPr>
          <w:rFonts w:ascii="Book Antiqua" w:eastAsia="宋体" w:hAnsi="Book Antiqua"/>
          <w:kern w:val="2"/>
          <w:lang w:eastAsia="zh-CN"/>
        </w:rPr>
        <w:t xml:space="preserve"> 2004; </w:t>
      </w:r>
      <w:r w:rsidRPr="003E0C02">
        <w:rPr>
          <w:rFonts w:ascii="Book Antiqua" w:eastAsia="宋体" w:hAnsi="Book Antiqua"/>
          <w:b/>
          <w:kern w:val="2"/>
          <w:lang w:eastAsia="zh-CN"/>
        </w:rPr>
        <w:t>14</w:t>
      </w:r>
      <w:r w:rsidRPr="003E0C02">
        <w:rPr>
          <w:rFonts w:ascii="Book Antiqua" w:eastAsia="宋体" w:hAnsi="Book Antiqua"/>
          <w:kern w:val="2"/>
          <w:lang w:eastAsia="zh-CN"/>
        </w:rPr>
        <w:t>: 589-600 [PMID: 15186624 DOI: 10.1381/096089204323093345]</w:t>
      </w:r>
    </w:p>
    <w:p w14:paraId="7E2188D2"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25 </w:t>
      </w:r>
      <w:r w:rsidRPr="003E0C02">
        <w:rPr>
          <w:rFonts w:ascii="Book Antiqua" w:eastAsia="宋体" w:hAnsi="Book Antiqua"/>
          <w:b/>
          <w:kern w:val="2"/>
          <w:lang w:eastAsia="zh-CN"/>
        </w:rPr>
        <w:t>Chen CY</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Fujimiya</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Laviano</w:t>
      </w:r>
      <w:proofErr w:type="spellEnd"/>
      <w:r w:rsidRPr="003E0C02">
        <w:rPr>
          <w:rFonts w:ascii="Book Antiqua" w:eastAsia="宋体" w:hAnsi="Book Antiqua"/>
          <w:kern w:val="2"/>
          <w:lang w:eastAsia="zh-CN"/>
        </w:rPr>
        <w:t xml:space="preserve"> A, Chang FY, Lin HC, Lee SD. Modulation of </w:t>
      </w:r>
      <w:proofErr w:type="spellStart"/>
      <w:r w:rsidRPr="003E0C02">
        <w:rPr>
          <w:rFonts w:ascii="Book Antiqua" w:eastAsia="宋体" w:hAnsi="Book Antiqua"/>
          <w:kern w:val="2"/>
          <w:lang w:eastAsia="zh-CN"/>
        </w:rPr>
        <w:t>ingestive</w:t>
      </w:r>
      <w:proofErr w:type="spellEnd"/>
      <w:r w:rsidRPr="003E0C02">
        <w:rPr>
          <w:rFonts w:ascii="Book Antiqua" w:eastAsia="宋体" w:hAnsi="Book Antiqua"/>
          <w:kern w:val="2"/>
          <w:lang w:eastAsia="zh-CN"/>
        </w:rPr>
        <w:t xml:space="preserve"> behavior and gastrointestinal motility by ghrelin in diabetic animals and humans. </w:t>
      </w:r>
      <w:r w:rsidRPr="003E0C02">
        <w:rPr>
          <w:rFonts w:ascii="Book Antiqua" w:eastAsia="宋体" w:hAnsi="Book Antiqua"/>
          <w:i/>
          <w:kern w:val="2"/>
          <w:lang w:eastAsia="zh-CN"/>
        </w:rPr>
        <w:t>J Chin Med Assoc</w:t>
      </w:r>
      <w:r w:rsidRPr="003E0C02">
        <w:rPr>
          <w:rFonts w:ascii="Book Antiqua" w:eastAsia="宋体" w:hAnsi="Book Antiqua"/>
          <w:kern w:val="2"/>
          <w:lang w:eastAsia="zh-CN"/>
        </w:rPr>
        <w:t xml:space="preserve"> 2010; </w:t>
      </w:r>
      <w:r w:rsidRPr="003E0C02">
        <w:rPr>
          <w:rFonts w:ascii="Book Antiqua" w:eastAsia="宋体" w:hAnsi="Book Antiqua"/>
          <w:b/>
          <w:kern w:val="2"/>
          <w:lang w:eastAsia="zh-CN"/>
        </w:rPr>
        <w:t>73</w:t>
      </w:r>
      <w:r w:rsidRPr="003E0C02">
        <w:rPr>
          <w:rFonts w:ascii="Book Antiqua" w:eastAsia="宋体" w:hAnsi="Book Antiqua"/>
          <w:kern w:val="2"/>
          <w:lang w:eastAsia="zh-CN"/>
        </w:rPr>
        <w:t>: 225-229 [PMID: 20685586 DOI: 10.1016/S1726-4901(10)70048-4]</w:t>
      </w:r>
    </w:p>
    <w:p w14:paraId="678AE715"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26 </w:t>
      </w:r>
      <w:r w:rsidRPr="003E0C02">
        <w:rPr>
          <w:rFonts w:ascii="Book Antiqua" w:eastAsia="宋体" w:hAnsi="Book Antiqua"/>
          <w:b/>
          <w:kern w:val="2"/>
          <w:lang w:eastAsia="zh-CN"/>
        </w:rPr>
        <w:t>Agrawal V</w:t>
      </w:r>
      <w:r w:rsidRPr="003E0C02">
        <w:rPr>
          <w:rFonts w:ascii="Book Antiqua" w:eastAsia="宋体" w:hAnsi="Book Antiqua"/>
          <w:kern w:val="2"/>
          <w:lang w:eastAsia="zh-CN"/>
        </w:rPr>
        <w:t xml:space="preserve">, Krause KR, </w:t>
      </w:r>
      <w:proofErr w:type="spellStart"/>
      <w:r w:rsidRPr="003E0C02">
        <w:rPr>
          <w:rFonts w:ascii="Book Antiqua" w:eastAsia="宋体" w:hAnsi="Book Antiqua"/>
          <w:kern w:val="2"/>
          <w:lang w:eastAsia="zh-CN"/>
        </w:rPr>
        <w:t>Chengelis</w:t>
      </w:r>
      <w:proofErr w:type="spellEnd"/>
      <w:r w:rsidRPr="003E0C02">
        <w:rPr>
          <w:rFonts w:ascii="Book Antiqua" w:eastAsia="宋体" w:hAnsi="Book Antiqua"/>
          <w:kern w:val="2"/>
          <w:lang w:eastAsia="zh-CN"/>
        </w:rPr>
        <w:t xml:space="preserve"> DL, </w:t>
      </w:r>
      <w:proofErr w:type="spellStart"/>
      <w:r w:rsidRPr="003E0C02">
        <w:rPr>
          <w:rFonts w:ascii="Book Antiqua" w:eastAsia="宋体" w:hAnsi="Book Antiqua"/>
          <w:kern w:val="2"/>
          <w:lang w:eastAsia="zh-CN"/>
        </w:rPr>
        <w:t>Zalesin</w:t>
      </w:r>
      <w:proofErr w:type="spellEnd"/>
      <w:r w:rsidRPr="003E0C02">
        <w:rPr>
          <w:rFonts w:ascii="Book Antiqua" w:eastAsia="宋体" w:hAnsi="Book Antiqua"/>
          <w:kern w:val="2"/>
          <w:lang w:eastAsia="zh-CN"/>
        </w:rPr>
        <w:t xml:space="preserve"> KC, Rocher LL, McCullough PA. Relation between degree of weight loss after bariatric surgery and reduction in albuminuria and C-reactive protein. </w:t>
      </w:r>
      <w:r w:rsidRPr="003E0C02">
        <w:rPr>
          <w:rFonts w:ascii="Book Antiqua" w:eastAsia="宋体" w:hAnsi="Book Antiqua"/>
          <w:i/>
          <w:kern w:val="2"/>
          <w:lang w:eastAsia="zh-CN"/>
        </w:rPr>
        <w:t xml:space="preserve">Surg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2009; </w:t>
      </w:r>
      <w:r w:rsidRPr="003E0C02">
        <w:rPr>
          <w:rFonts w:ascii="Book Antiqua" w:eastAsia="宋体" w:hAnsi="Book Antiqua"/>
          <w:b/>
          <w:kern w:val="2"/>
          <w:lang w:eastAsia="zh-CN"/>
        </w:rPr>
        <w:t>5</w:t>
      </w:r>
      <w:r w:rsidRPr="003E0C02">
        <w:rPr>
          <w:rFonts w:ascii="Book Antiqua" w:eastAsia="宋体" w:hAnsi="Book Antiqua"/>
          <w:kern w:val="2"/>
          <w:lang w:eastAsia="zh-CN"/>
        </w:rPr>
        <w:t xml:space="preserve">: 20-26 [PMID: 18951068 </w:t>
      </w:r>
      <w:r w:rsidRPr="003E0C02">
        <w:rPr>
          <w:rFonts w:ascii="Book Antiqua" w:eastAsia="宋体" w:hAnsi="Book Antiqua"/>
          <w:kern w:val="2"/>
          <w:lang w:eastAsia="zh-CN"/>
        </w:rPr>
        <w:lastRenderedPageBreak/>
        <w:t>DOI: 10.1016/j.soard.2008.07.011]</w:t>
      </w:r>
    </w:p>
    <w:p w14:paraId="56D00823"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27 </w:t>
      </w:r>
      <w:proofErr w:type="spellStart"/>
      <w:r w:rsidRPr="003E0C02">
        <w:rPr>
          <w:rFonts w:ascii="Book Antiqua" w:eastAsia="宋体" w:hAnsi="Book Antiqua"/>
          <w:b/>
          <w:kern w:val="2"/>
          <w:lang w:eastAsia="zh-CN"/>
        </w:rPr>
        <w:t>Anty</w:t>
      </w:r>
      <w:proofErr w:type="spellEnd"/>
      <w:r w:rsidRPr="003E0C02">
        <w:rPr>
          <w:rFonts w:ascii="Book Antiqua" w:eastAsia="宋体" w:hAnsi="Book Antiqua"/>
          <w:b/>
          <w:kern w:val="2"/>
          <w:lang w:eastAsia="zh-CN"/>
        </w:rPr>
        <w:t xml:space="preserve"> R</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Dahman</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Iannelli</w:t>
      </w:r>
      <w:proofErr w:type="spellEnd"/>
      <w:r w:rsidRPr="003E0C02">
        <w:rPr>
          <w:rFonts w:ascii="Book Antiqua" w:eastAsia="宋体" w:hAnsi="Book Antiqua"/>
          <w:kern w:val="2"/>
          <w:lang w:eastAsia="zh-CN"/>
        </w:rPr>
        <w:t xml:space="preserve"> A, </w:t>
      </w:r>
      <w:proofErr w:type="spellStart"/>
      <w:r w:rsidRPr="003E0C02">
        <w:rPr>
          <w:rFonts w:ascii="Book Antiqua" w:eastAsia="宋体" w:hAnsi="Book Antiqua"/>
          <w:kern w:val="2"/>
          <w:lang w:eastAsia="zh-CN"/>
        </w:rPr>
        <w:t>Gual</w:t>
      </w:r>
      <w:proofErr w:type="spellEnd"/>
      <w:r w:rsidRPr="003E0C02">
        <w:rPr>
          <w:rFonts w:ascii="Book Antiqua" w:eastAsia="宋体" w:hAnsi="Book Antiqua"/>
          <w:kern w:val="2"/>
          <w:lang w:eastAsia="zh-CN"/>
        </w:rPr>
        <w:t xml:space="preserve"> P, </w:t>
      </w:r>
      <w:proofErr w:type="spellStart"/>
      <w:r w:rsidRPr="003E0C02">
        <w:rPr>
          <w:rFonts w:ascii="Book Antiqua" w:eastAsia="宋体" w:hAnsi="Book Antiqua"/>
          <w:kern w:val="2"/>
          <w:lang w:eastAsia="zh-CN"/>
        </w:rPr>
        <w:t>Staccini-Myx</w:t>
      </w:r>
      <w:proofErr w:type="spellEnd"/>
      <w:r w:rsidRPr="003E0C02">
        <w:rPr>
          <w:rFonts w:ascii="Book Antiqua" w:eastAsia="宋体" w:hAnsi="Book Antiqua"/>
          <w:kern w:val="2"/>
          <w:lang w:eastAsia="zh-CN"/>
        </w:rPr>
        <w:t xml:space="preserve"> A, Amor IB, </w:t>
      </w:r>
      <w:proofErr w:type="spellStart"/>
      <w:r w:rsidRPr="003E0C02">
        <w:rPr>
          <w:rFonts w:ascii="Book Antiqua" w:eastAsia="宋体" w:hAnsi="Book Antiqua"/>
          <w:kern w:val="2"/>
          <w:lang w:eastAsia="zh-CN"/>
        </w:rPr>
        <w:t>Luciani</w:t>
      </w:r>
      <w:proofErr w:type="spellEnd"/>
      <w:r w:rsidRPr="003E0C02">
        <w:rPr>
          <w:rFonts w:ascii="Book Antiqua" w:eastAsia="宋体" w:hAnsi="Book Antiqua"/>
          <w:kern w:val="2"/>
          <w:lang w:eastAsia="zh-CN"/>
        </w:rPr>
        <w:t xml:space="preserve"> N, Saint-Paul MC, </w:t>
      </w:r>
      <w:proofErr w:type="spellStart"/>
      <w:r w:rsidRPr="003E0C02">
        <w:rPr>
          <w:rFonts w:ascii="Book Antiqua" w:eastAsia="宋体" w:hAnsi="Book Antiqua"/>
          <w:kern w:val="2"/>
          <w:lang w:eastAsia="zh-CN"/>
        </w:rPr>
        <w:t>Huet</w:t>
      </w:r>
      <w:proofErr w:type="spellEnd"/>
      <w:r w:rsidRPr="003E0C02">
        <w:rPr>
          <w:rFonts w:ascii="Book Antiqua" w:eastAsia="宋体" w:hAnsi="Book Antiqua"/>
          <w:kern w:val="2"/>
          <w:lang w:eastAsia="zh-CN"/>
        </w:rPr>
        <w:t xml:space="preserve"> PM, </w:t>
      </w:r>
      <w:proofErr w:type="spellStart"/>
      <w:r w:rsidRPr="003E0C02">
        <w:rPr>
          <w:rFonts w:ascii="Book Antiqua" w:eastAsia="宋体" w:hAnsi="Book Antiqua"/>
          <w:kern w:val="2"/>
          <w:lang w:eastAsia="zh-CN"/>
        </w:rPr>
        <w:t>Sadoul</w:t>
      </w:r>
      <w:proofErr w:type="spellEnd"/>
      <w:r w:rsidRPr="003E0C02">
        <w:rPr>
          <w:rFonts w:ascii="Book Antiqua" w:eastAsia="宋体" w:hAnsi="Book Antiqua"/>
          <w:kern w:val="2"/>
          <w:lang w:eastAsia="zh-CN"/>
        </w:rPr>
        <w:t xml:space="preserve"> JL, </w:t>
      </w:r>
      <w:proofErr w:type="spellStart"/>
      <w:r w:rsidRPr="003E0C02">
        <w:rPr>
          <w:rFonts w:ascii="Book Antiqua" w:eastAsia="宋体" w:hAnsi="Book Antiqua"/>
          <w:kern w:val="2"/>
          <w:lang w:eastAsia="zh-CN"/>
        </w:rPr>
        <w:t>Srai</w:t>
      </w:r>
      <w:proofErr w:type="spellEnd"/>
      <w:r w:rsidRPr="003E0C02">
        <w:rPr>
          <w:rFonts w:ascii="Book Antiqua" w:eastAsia="宋体" w:hAnsi="Book Antiqua"/>
          <w:kern w:val="2"/>
          <w:lang w:eastAsia="zh-CN"/>
        </w:rPr>
        <w:t xml:space="preserve"> SK, Unwin R, </w:t>
      </w:r>
      <w:proofErr w:type="spellStart"/>
      <w:r w:rsidRPr="003E0C02">
        <w:rPr>
          <w:rFonts w:ascii="Book Antiqua" w:eastAsia="宋体" w:hAnsi="Book Antiqua"/>
          <w:kern w:val="2"/>
          <w:lang w:eastAsia="zh-CN"/>
        </w:rPr>
        <w:t>Gugenheim</w:t>
      </w:r>
      <w:proofErr w:type="spellEnd"/>
      <w:r w:rsidRPr="003E0C02">
        <w:rPr>
          <w:rFonts w:ascii="Book Antiqua" w:eastAsia="宋体" w:hAnsi="Book Antiqua"/>
          <w:kern w:val="2"/>
          <w:lang w:eastAsia="zh-CN"/>
        </w:rPr>
        <w:t xml:space="preserve"> J, Le Marchand-</w:t>
      </w:r>
      <w:proofErr w:type="spellStart"/>
      <w:r w:rsidRPr="003E0C02">
        <w:rPr>
          <w:rFonts w:ascii="Book Antiqua" w:eastAsia="宋体" w:hAnsi="Book Antiqua"/>
          <w:kern w:val="2"/>
          <w:lang w:eastAsia="zh-CN"/>
        </w:rPr>
        <w:t>Brustel</w:t>
      </w:r>
      <w:proofErr w:type="spellEnd"/>
      <w:r w:rsidRPr="003E0C02">
        <w:rPr>
          <w:rFonts w:ascii="Book Antiqua" w:eastAsia="宋体" w:hAnsi="Book Antiqua"/>
          <w:kern w:val="2"/>
          <w:lang w:eastAsia="zh-CN"/>
        </w:rPr>
        <w:t xml:space="preserve"> Y, Tran A, </w:t>
      </w:r>
      <w:proofErr w:type="spellStart"/>
      <w:r w:rsidRPr="003E0C02">
        <w:rPr>
          <w:rFonts w:ascii="Book Antiqua" w:eastAsia="宋体" w:hAnsi="Book Antiqua"/>
          <w:kern w:val="2"/>
          <w:lang w:eastAsia="zh-CN"/>
        </w:rPr>
        <w:t>Bekri</w:t>
      </w:r>
      <w:proofErr w:type="spellEnd"/>
      <w:r w:rsidRPr="003E0C02">
        <w:rPr>
          <w:rFonts w:ascii="Book Antiqua" w:eastAsia="宋体" w:hAnsi="Book Antiqua"/>
          <w:kern w:val="2"/>
          <w:lang w:eastAsia="zh-CN"/>
        </w:rPr>
        <w:t xml:space="preserve"> S. Bariatric surgery can correct iron depletion in morbidly obese women: a link with chronic inflammation.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Surg</w:t>
      </w:r>
      <w:r w:rsidRPr="003E0C02">
        <w:rPr>
          <w:rFonts w:ascii="Book Antiqua" w:eastAsia="宋体" w:hAnsi="Book Antiqua"/>
          <w:kern w:val="2"/>
          <w:lang w:eastAsia="zh-CN"/>
        </w:rPr>
        <w:t xml:space="preserve"> 2008; </w:t>
      </w:r>
      <w:r w:rsidRPr="003E0C02">
        <w:rPr>
          <w:rFonts w:ascii="Book Antiqua" w:eastAsia="宋体" w:hAnsi="Book Antiqua"/>
          <w:b/>
          <w:kern w:val="2"/>
          <w:lang w:eastAsia="zh-CN"/>
        </w:rPr>
        <w:t>18</w:t>
      </w:r>
      <w:r w:rsidRPr="003E0C02">
        <w:rPr>
          <w:rFonts w:ascii="Book Antiqua" w:eastAsia="宋体" w:hAnsi="Book Antiqua"/>
          <w:kern w:val="2"/>
          <w:lang w:eastAsia="zh-CN"/>
        </w:rPr>
        <w:t>: 709-714 [PMID: 18330662 DOI: 10.1007/s11695-007-9276-y]</w:t>
      </w:r>
    </w:p>
    <w:p w14:paraId="05D51C0E"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28 </w:t>
      </w:r>
      <w:proofErr w:type="spellStart"/>
      <w:r w:rsidRPr="003E0C02">
        <w:rPr>
          <w:rFonts w:ascii="Book Antiqua" w:eastAsia="宋体" w:hAnsi="Book Antiqua"/>
          <w:b/>
          <w:kern w:val="2"/>
          <w:lang w:eastAsia="zh-CN"/>
        </w:rPr>
        <w:t>Guralnik</w:t>
      </w:r>
      <w:proofErr w:type="spellEnd"/>
      <w:r w:rsidRPr="003E0C02">
        <w:rPr>
          <w:rFonts w:ascii="Book Antiqua" w:eastAsia="宋体" w:hAnsi="Book Antiqua"/>
          <w:b/>
          <w:kern w:val="2"/>
          <w:lang w:eastAsia="zh-CN"/>
        </w:rPr>
        <w:t xml:space="preserve"> JM</w:t>
      </w:r>
      <w:r w:rsidRPr="003E0C02">
        <w:rPr>
          <w:rFonts w:ascii="Book Antiqua" w:eastAsia="宋体" w:hAnsi="Book Antiqua"/>
          <w:kern w:val="2"/>
          <w:lang w:eastAsia="zh-CN"/>
        </w:rPr>
        <w:t xml:space="preserve">, Eisenstaedt RS, </w:t>
      </w:r>
      <w:proofErr w:type="spellStart"/>
      <w:r w:rsidRPr="003E0C02">
        <w:rPr>
          <w:rFonts w:ascii="Book Antiqua" w:eastAsia="宋体" w:hAnsi="Book Antiqua"/>
          <w:kern w:val="2"/>
          <w:lang w:eastAsia="zh-CN"/>
        </w:rPr>
        <w:t>Ferrucci</w:t>
      </w:r>
      <w:proofErr w:type="spellEnd"/>
      <w:r w:rsidRPr="003E0C02">
        <w:rPr>
          <w:rFonts w:ascii="Book Antiqua" w:eastAsia="宋体" w:hAnsi="Book Antiqua"/>
          <w:kern w:val="2"/>
          <w:lang w:eastAsia="zh-CN"/>
        </w:rPr>
        <w:t xml:space="preserve"> L, Klein HG, Woodman RC. Prevalence of anemia in persons 65 years and older in the United States: evidence for a high rate of unexplained anemia. </w:t>
      </w:r>
      <w:r w:rsidRPr="003E0C02">
        <w:rPr>
          <w:rFonts w:ascii="Book Antiqua" w:eastAsia="宋体" w:hAnsi="Book Antiqua"/>
          <w:i/>
          <w:kern w:val="2"/>
          <w:lang w:eastAsia="zh-CN"/>
        </w:rPr>
        <w:t>Blood</w:t>
      </w:r>
      <w:r w:rsidRPr="003E0C02">
        <w:rPr>
          <w:rFonts w:ascii="Book Antiqua" w:eastAsia="宋体" w:hAnsi="Book Antiqua"/>
          <w:kern w:val="2"/>
          <w:lang w:eastAsia="zh-CN"/>
        </w:rPr>
        <w:t xml:space="preserve"> 2004; </w:t>
      </w:r>
      <w:r w:rsidRPr="003E0C02">
        <w:rPr>
          <w:rFonts w:ascii="Book Antiqua" w:eastAsia="宋体" w:hAnsi="Book Antiqua"/>
          <w:b/>
          <w:kern w:val="2"/>
          <w:lang w:eastAsia="zh-CN"/>
        </w:rPr>
        <w:t>104</w:t>
      </w:r>
      <w:r w:rsidRPr="003E0C02">
        <w:rPr>
          <w:rFonts w:ascii="Book Antiqua" w:eastAsia="宋体" w:hAnsi="Book Antiqua"/>
          <w:kern w:val="2"/>
          <w:lang w:eastAsia="zh-CN"/>
        </w:rPr>
        <w:t>: 2263-2268 [PMID: 15238427 DOI: 10.1182/blood-2004-05-1812]</w:t>
      </w:r>
    </w:p>
    <w:p w14:paraId="5BA209CB"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29 </w:t>
      </w:r>
      <w:r w:rsidRPr="003E0C02">
        <w:rPr>
          <w:rFonts w:ascii="Book Antiqua" w:eastAsia="宋体" w:hAnsi="Book Antiqua"/>
          <w:b/>
          <w:kern w:val="2"/>
          <w:lang w:eastAsia="zh-CN"/>
        </w:rPr>
        <w:t>Chang PJ</w:t>
      </w:r>
      <w:r w:rsidRPr="003E0C02">
        <w:rPr>
          <w:rFonts w:ascii="Book Antiqua" w:eastAsia="宋体" w:hAnsi="Book Antiqua"/>
          <w:kern w:val="2"/>
          <w:lang w:eastAsia="zh-CN"/>
        </w:rPr>
        <w:t xml:space="preserve">, Chen PC, Hsieh CJ, Chiu LT. Risk factors on the menstrual cycle of healthy Taiwanese college nursing students. </w:t>
      </w:r>
      <w:r w:rsidRPr="003E0C02">
        <w:rPr>
          <w:rFonts w:ascii="Book Antiqua" w:eastAsia="宋体" w:hAnsi="Book Antiqua"/>
          <w:i/>
          <w:kern w:val="2"/>
          <w:lang w:eastAsia="zh-CN"/>
        </w:rPr>
        <w:t xml:space="preserve">Aust N Z J </w:t>
      </w:r>
      <w:proofErr w:type="spellStart"/>
      <w:r w:rsidRPr="003E0C02">
        <w:rPr>
          <w:rFonts w:ascii="Book Antiqua" w:eastAsia="宋体" w:hAnsi="Book Antiqua"/>
          <w:i/>
          <w:kern w:val="2"/>
          <w:lang w:eastAsia="zh-CN"/>
        </w:rPr>
        <w:t>Obstet</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Gynaecol</w:t>
      </w:r>
      <w:proofErr w:type="spellEnd"/>
      <w:r w:rsidRPr="003E0C02">
        <w:rPr>
          <w:rFonts w:ascii="Book Antiqua" w:eastAsia="宋体" w:hAnsi="Book Antiqua"/>
          <w:kern w:val="2"/>
          <w:lang w:eastAsia="zh-CN"/>
        </w:rPr>
        <w:t xml:space="preserve"> 2009; </w:t>
      </w:r>
      <w:r w:rsidRPr="003E0C02">
        <w:rPr>
          <w:rFonts w:ascii="Book Antiqua" w:eastAsia="宋体" w:hAnsi="Book Antiqua"/>
          <w:b/>
          <w:kern w:val="2"/>
          <w:lang w:eastAsia="zh-CN"/>
        </w:rPr>
        <w:t>49</w:t>
      </w:r>
      <w:r w:rsidRPr="003E0C02">
        <w:rPr>
          <w:rFonts w:ascii="Book Antiqua" w:eastAsia="宋体" w:hAnsi="Book Antiqua"/>
          <w:kern w:val="2"/>
          <w:lang w:eastAsia="zh-CN"/>
        </w:rPr>
        <w:t>: 689-694 [PMID: 20070725 DOI: 10.1111/j.1479-828X.2009.01097.x]</w:t>
      </w:r>
    </w:p>
    <w:p w14:paraId="725EA03D"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30 </w:t>
      </w:r>
      <w:r w:rsidRPr="003E0C02">
        <w:rPr>
          <w:rFonts w:ascii="Book Antiqua" w:eastAsia="宋体" w:hAnsi="Book Antiqua"/>
          <w:b/>
          <w:kern w:val="2"/>
          <w:lang w:eastAsia="zh-CN"/>
        </w:rPr>
        <w:t>Wei S</w:t>
      </w:r>
      <w:r w:rsidRPr="003E0C02">
        <w:rPr>
          <w:rFonts w:ascii="Book Antiqua" w:eastAsia="宋体" w:hAnsi="Book Antiqua"/>
          <w:kern w:val="2"/>
          <w:lang w:eastAsia="zh-CN"/>
        </w:rPr>
        <w:t xml:space="preserve">, Schmidt MD, Dwyer T, Norman RJ, Venn AJ. Obesity and menstrual irregularity: associations with SHBG, testosterone, and insulin. </w:t>
      </w:r>
      <w:r w:rsidRPr="003E0C02">
        <w:rPr>
          <w:rFonts w:ascii="Book Antiqua" w:eastAsia="宋体" w:hAnsi="Book Antiqua"/>
          <w:i/>
          <w:kern w:val="2"/>
          <w:lang w:eastAsia="zh-CN"/>
        </w:rPr>
        <w:t>Obesity (Silver Spring)</w:t>
      </w:r>
      <w:r w:rsidRPr="003E0C02">
        <w:rPr>
          <w:rFonts w:ascii="Book Antiqua" w:eastAsia="宋体" w:hAnsi="Book Antiqua"/>
          <w:kern w:val="2"/>
          <w:lang w:eastAsia="zh-CN"/>
        </w:rPr>
        <w:t xml:space="preserve"> 2009; </w:t>
      </w:r>
      <w:r w:rsidRPr="003E0C02">
        <w:rPr>
          <w:rFonts w:ascii="Book Antiqua" w:eastAsia="宋体" w:hAnsi="Book Antiqua"/>
          <w:b/>
          <w:kern w:val="2"/>
          <w:lang w:eastAsia="zh-CN"/>
        </w:rPr>
        <w:t>17</w:t>
      </w:r>
      <w:r w:rsidRPr="003E0C02">
        <w:rPr>
          <w:rFonts w:ascii="Book Antiqua" w:eastAsia="宋体" w:hAnsi="Book Antiqua"/>
          <w:kern w:val="2"/>
          <w:lang w:eastAsia="zh-CN"/>
        </w:rPr>
        <w:t>: 1070-1076 [PMID: 19180069 DOI: 10.1038/oby.2008.641]</w:t>
      </w:r>
    </w:p>
    <w:p w14:paraId="333628CA"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31 </w:t>
      </w:r>
      <w:proofErr w:type="spellStart"/>
      <w:r w:rsidRPr="003E0C02">
        <w:rPr>
          <w:rFonts w:ascii="Book Antiqua" w:eastAsia="宋体" w:hAnsi="Book Antiqua"/>
          <w:b/>
          <w:kern w:val="2"/>
          <w:lang w:eastAsia="zh-CN"/>
        </w:rPr>
        <w:t>Schümann</w:t>
      </w:r>
      <w:proofErr w:type="spellEnd"/>
      <w:r w:rsidRPr="003E0C02">
        <w:rPr>
          <w:rFonts w:ascii="Book Antiqua" w:eastAsia="宋体" w:hAnsi="Book Antiqua"/>
          <w:b/>
          <w:kern w:val="2"/>
          <w:lang w:eastAsia="zh-CN"/>
        </w:rPr>
        <w:t xml:space="preserve"> K</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Elsenhans</w:t>
      </w:r>
      <w:proofErr w:type="spellEnd"/>
      <w:r w:rsidRPr="003E0C02">
        <w:rPr>
          <w:rFonts w:ascii="Book Antiqua" w:eastAsia="宋体" w:hAnsi="Book Antiqua"/>
          <w:kern w:val="2"/>
          <w:lang w:eastAsia="zh-CN"/>
        </w:rPr>
        <w:t xml:space="preserve"> B, Forth W, Schroeder P. Intestinal iron transfer after </w:t>
      </w:r>
      <w:proofErr w:type="spellStart"/>
      <w:r w:rsidRPr="003E0C02">
        <w:rPr>
          <w:rFonts w:ascii="Book Antiqua" w:eastAsia="宋体" w:hAnsi="Book Antiqua"/>
          <w:kern w:val="2"/>
          <w:lang w:eastAsia="zh-CN"/>
        </w:rPr>
        <w:t>ileojejunal</w:t>
      </w:r>
      <w:proofErr w:type="spellEnd"/>
      <w:r w:rsidRPr="003E0C02">
        <w:rPr>
          <w:rFonts w:ascii="Book Antiqua" w:eastAsia="宋体" w:hAnsi="Book Antiqua"/>
          <w:kern w:val="2"/>
          <w:lang w:eastAsia="zh-CN"/>
        </w:rPr>
        <w:t xml:space="preserve"> transposition. </w:t>
      </w:r>
      <w:r w:rsidRPr="003E0C02">
        <w:rPr>
          <w:rFonts w:ascii="Book Antiqua" w:eastAsia="宋体" w:hAnsi="Book Antiqua"/>
          <w:i/>
          <w:kern w:val="2"/>
          <w:lang w:eastAsia="zh-CN"/>
        </w:rPr>
        <w:t>Digestion</w:t>
      </w:r>
      <w:r w:rsidRPr="003E0C02">
        <w:rPr>
          <w:rFonts w:ascii="Book Antiqua" w:eastAsia="宋体" w:hAnsi="Book Antiqua"/>
          <w:kern w:val="2"/>
          <w:lang w:eastAsia="zh-CN"/>
        </w:rPr>
        <w:t xml:space="preserve"> 1991; </w:t>
      </w:r>
      <w:r w:rsidRPr="003E0C02">
        <w:rPr>
          <w:rFonts w:ascii="Book Antiqua" w:eastAsia="宋体" w:hAnsi="Book Antiqua"/>
          <w:b/>
          <w:kern w:val="2"/>
          <w:lang w:eastAsia="zh-CN"/>
        </w:rPr>
        <w:t>50</w:t>
      </w:r>
      <w:r w:rsidRPr="003E0C02">
        <w:rPr>
          <w:rFonts w:ascii="Book Antiqua" w:eastAsia="宋体" w:hAnsi="Book Antiqua"/>
          <w:kern w:val="2"/>
          <w:lang w:eastAsia="zh-CN"/>
        </w:rPr>
        <w:t>: 182-193 [PMID: 1812044 DOI: 10.1159/000200760]</w:t>
      </w:r>
    </w:p>
    <w:p w14:paraId="3FC7A520"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32 </w:t>
      </w:r>
      <w:r w:rsidRPr="003E0C02">
        <w:rPr>
          <w:rFonts w:ascii="Book Antiqua" w:eastAsia="宋体" w:hAnsi="Book Antiqua"/>
          <w:b/>
          <w:kern w:val="2"/>
          <w:lang w:eastAsia="zh-CN"/>
        </w:rPr>
        <w:t>Smith CD</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Herkes</w:t>
      </w:r>
      <w:proofErr w:type="spellEnd"/>
      <w:r w:rsidRPr="003E0C02">
        <w:rPr>
          <w:rFonts w:ascii="Book Antiqua" w:eastAsia="宋体" w:hAnsi="Book Antiqua"/>
          <w:kern w:val="2"/>
          <w:lang w:eastAsia="zh-CN"/>
        </w:rPr>
        <w:t xml:space="preserve"> SB, </w:t>
      </w:r>
      <w:proofErr w:type="spellStart"/>
      <w:r w:rsidRPr="003E0C02">
        <w:rPr>
          <w:rFonts w:ascii="Book Antiqua" w:eastAsia="宋体" w:hAnsi="Book Antiqua"/>
          <w:kern w:val="2"/>
          <w:lang w:eastAsia="zh-CN"/>
        </w:rPr>
        <w:t>Behrns</w:t>
      </w:r>
      <w:proofErr w:type="spellEnd"/>
      <w:r w:rsidRPr="003E0C02">
        <w:rPr>
          <w:rFonts w:ascii="Book Antiqua" w:eastAsia="宋体" w:hAnsi="Book Antiqua"/>
          <w:kern w:val="2"/>
          <w:lang w:eastAsia="zh-CN"/>
        </w:rPr>
        <w:t xml:space="preserve"> KE, Fairbanks VF, Kelly KA, </w:t>
      </w:r>
      <w:proofErr w:type="spellStart"/>
      <w:r w:rsidRPr="003E0C02">
        <w:rPr>
          <w:rFonts w:ascii="Book Antiqua" w:eastAsia="宋体" w:hAnsi="Book Antiqua"/>
          <w:kern w:val="2"/>
          <w:lang w:eastAsia="zh-CN"/>
        </w:rPr>
        <w:t>Sarr</w:t>
      </w:r>
      <w:proofErr w:type="spellEnd"/>
      <w:r w:rsidRPr="003E0C02">
        <w:rPr>
          <w:rFonts w:ascii="Book Antiqua" w:eastAsia="宋体" w:hAnsi="Book Antiqua"/>
          <w:kern w:val="2"/>
          <w:lang w:eastAsia="zh-CN"/>
        </w:rPr>
        <w:t xml:space="preserve"> MG. Gastric acid secretion and vitamin B12 absorption after vertical Roux-en-Y gastric bypass for morbid obesity. </w:t>
      </w:r>
      <w:r w:rsidRPr="003E0C02">
        <w:rPr>
          <w:rFonts w:ascii="Book Antiqua" w:eastAsia="宋体" w:hAnsi="Book Antiqua"/>
          <w:i/>
          <w:kern w:val="2"/>
          <w:lang w:eastAsia="zh-CN"/>
        </w:rPr>
        <w:t>Ann Surg</w:t>
      </w:r>
      <w:r w:rsidRPr="003E0C02">
        <w:rPr>
          <w:rFonts w:ascii="Book Antiqua" w:eastAsia="宋体" w:hAnsi="Book Antiqua"/>
          <w:kern w:val="2"/>
          <w:lang w:eastAsia="zh-CN"/>
        </w:rPr>
        <w:t xml:space="preserve"> 1993; </w:t>
      </w:r>
      <w:r w:rsidRPr="003E0C02">
        <w:rPr>
          <w:rFonts w:ascii="Book Antiqua" w:eastAsia="宋体" w:hAnsi="Book Antiqua"/>
          <w:b/>
          <w:kern w:val="2"/>
          <w:lang w:eastAsia="zh-CN"/>
        </w:rPr>
        <w:t>218</w:t>
      </w:r>
      <w:r w:rsidRPr="003E0C02">
        <w:rPr>
          <w:rFonts w:ascii="Book Antiqua" w:eastAsia="宋体" w:hAnsi="Book Antiqua"/>
          <w:kern w:val="2"/>
          <w:lang w:eastAsia="zh-CN"/>
        </w:rPr>
        <w:t>: 91-96 [PMID: 8328834 DOI: 10.1097/00000658-199307000-00014]</w:t>
      </w:r>
    </w:p>
    <w:p w14:paraId="69168AFF"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33 </w:t>
      </w:r>
      <w:proofErr w:type="spellStart"/>
      <w:r w:rsidRPr="003E0C02">
        <w:rPr>
          <w:rFonts w:ascii="Book Antiqua" w:eastAsia="宋体" w:hAnsi="Book Antiqua"/>
          <w:b/>
          <w:kern w:val="2"/>
          <w:lang w:eastAsia="zh-CN"/>
        </w:rPr>
        <w:t>Salminen</w:t>
      </w:r>
      <w:proofErr w:type="spellEnd"/>
      <w:r w:rsidRPr="003E0C02">
        <w:rPr>
          <w:rFonts w:ascii="Book Antiqua" w:eastAsia="宋体" w:hAnsi="Book Antiqua"/>
          <w:b/>
          <w:kern w:val="2"/>
          <w:lang w:eastAsia="zh-CN"/>
        </w:rPr>
        <w:t xml:space="preserve"> P</w:t>
      </w:r>
      <w:r w:rsidRPr="003E0C02">
        <w:rPr>
          <w:rFonts w:ascii="Book Antiqua" w:eastAsia="宋体" w:hAnsi="Book Antiqua"/>
          <w:kern w:val="2"/>
          <w:lang w:eastAsia="zh-CN"/>
        </w:rPr>
        <w:t xml:space="preserve">, </w:t>
      </w:r>
      <w:proofErr w:type="spellStart"/>
      <w:r w:rsidRPr="003E0C02">
        <w:rPr>
          <w:rFonts w:ascii="Book Antiqua" w:eastAsia="宋体" w:hAnsi="Book Antiqua"/>
          <w:kern w:val="2"/>
          <w:lang w:eastAsia="zh-CN"/>
        </w:rPr>
        <w:t>Helmiö</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Ovaska</w:t>
      </w:r>
      <w:proofErr w:type="spellEnd"/>
      <w:r w:rsidRPr="003E0C02">
        <w:rPr>
          <w:rFonts w:ascii="Book Antiqua" w:eastAsia="宋体" w:hAnsi="Book Antiqua"/>
          <w:kern w:val="2"/>
          <w:lang w:eastAsia="zh-CN"/>
        </w:rPr>
        <w:t xml:space="preserve"> J, </w:t>
      </w:r>
      <w:proofErr w:type="spellStart"/>
      <w:r w:rsidRPr="003E0C02">
        <w:rPr>
          <w:rFonts w:ascii="Book Antiqua" w:eastAsia="宋体" w:hAnsi="Book Antiqua"/>
          <w:kern w:val="2"/>
          <w:lang w:eastAsia="zh-CN"/>
        </w:rPr>
        <w:t>Juuti</w:t>
      </w:r>
      <w:proofErr w:type="spellEnd"/>
      <w:r w:rsidRPr="003E0C02">
        <w:rPr>
          <w:rFonts w:ascii="Book Antiqua" w:eastAsia="宋体" w:hAnsi="Book Antiqua"/>
          <w:kern w:val="2"/>
          <w:lang w:eastAsia="zh-CN"/>
        </w:rPr>
        <w:t xml:space="preserve"> A, </w:t>
      </w:r>
      <w:proofErr w:type="spellStart"/>
      <w:r w:rsidRPr="003E0C02">
        <w:rPr>
          <w:rFonts w:ascii="Book Antiqua" w:eastAsia="宋体" w:hAnsi="Book Antiqua"/>
          <w:kern w:val="2"/>
          <w:lang w:eastAsia="zh-CN"/>
        </w:rPr>
        <w:t>Leivonen</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Peromaa-Haavisto</w:t>
      </w:r>
      <w:proofErr w:type="spellEnd"/>
      <w:r w:rsidRPr="003E0C02">
        <w:rPr>
          <w:rFonts w:ascii="Book Antiqua" w:eastAsia="宋体" w:hAnsi="Book Antiqua"/>
          <w:kern w:val="2"/>
          <w:lang w:eastAsia="zh-CN"/>
        </w:rPr>
        <w:t xml:space="preserve"> P, </w:t>
      </w:r>
      <w:proofErr w:type="spellStart"/>
      <w:r w:rsidRPr="003E0C02">
        <w:rPr>
          <w:rFonts w:ascii="Book Antiqua" w:eastAsia="宋体" w:hAnsi="Book Antiqua"/>
          <w:kern w:val="2"/>
          <w:lang w:eastAsia="zh-CN"/>
        </w:rPr>
        <w:t>Hurme</w:t>
      </w:r>
      <w:proofErr w:type="spellEnd"/>
      <w:r w:rsidRPr="003E0C02">
        <w:rPr>
          <w:rFonts w:ascii="Book Antiqua" w:eastAsia="宋体" w:hAnsi="Book Antiqua"/>
          <w:kern w:val="2"/>
          <w:lang w:eastAsia="zh-CN"/>
        </w:rPr>
        <w:t xml:space="preserve"> S, </w:t>
      </w:r>
      <w:proofErr w:type="spellStart"/>
      <w:r w:rsidRPr="003E0C02">
        <w:rPr>
          <w:rFonts w:ascii="Book Antiqua" w:eastAsia="宋体" w:hAnsi="Book Antiqua"/>
          <w:kern w:val="2"/>
          <w:lang w:eastAsia="zh-CN"/>
        </w:rPr>
        <w:t>Soinio</w:t>
      </w:r>
      <w:proofErr w:type="spellEnd"/>
      <w:r w:rsidRPr="003E0C02">
        <w:rPr>
          <w:rFonts w:ascii="Book Antiqua" w:eastAsia="宋体" w:hAnsi="Book Antiqua"/>
          <w:kern w:val="2"/>
          <w:lang w:eastAsia="zh-CN"/>
        </w:rPr>
        <w:t xml:space="preserve"> M, </w:t>
      </w:r>
      <w:proofErr w:type="spellStart"/>
      <w:r w:rsidRPr="003E0C02">
        <w:rPr>
          <w:rFonts w:ascii="Book Antiqua" w:eastAsia="宋体" w:hAnsi="Book Antiqua"/>
          <w:kern w:val="2"/>
          <w:lang w:eastAsia="zh-CN"/>
        </w:rPr>
        <w:t>Nuutila</w:t>
      </w:r>
      <w:proofErr w:type="spellEnd"/>
      <w:r w:rsidRPr="003E0C02">
        <w:rPr>
          <w:rFonts w:ascii="Book Antiqua" w:eastAsia="宋体" w:hAnsi="Book Antiqua"/>
          <w:kern w:val="2"/>
          <w:lang w:eastAsia="zh-CN"/>
        </w:rPr>
        <w:t xml:space="preserve"> P, </w:t>
      </w:r>
      <w:proofErr w:type="spellStart"/>
      <w:r w:rsidRPr="003E0C02">
        <w:rPr>
          <w:rFonts w:ascii="Book Antiqua" w:eastAsia="宋体" w:hAnsi="Book Antiqua"/>
          <w:kern w:val="2"/>
          <w:lang w:eastAsia="zh-CN"/>
        </w:rPr>
        <w:t>Victorzon</w:t>
      </w:r>
      <w:proofErr w:type="spellEnd"/>
      <w:r w:rsidRPr="003E0C02">
        <w:rPr>
          <w:rFonts w:ascii="Book Antiqua" w:eastAsia="宋体" w:hAnsi="Book Antiqua"/>
          <w:kern w:val="2"/>
          <w:lang w:eastAsia="zh-CN"/>
        </w:rPr>
        <w:t xml:space="preserve"> M. Effect of Laparoscopic Sleeve Gastrectomy vs Laparoscopic Roux-en-Y Gastric Bypass on Weight Loss at 5 Years Among Patients With Morbid Obesity: The SLEEVEPASS Randomized Clinical Trial. </w:t>
      </w:r>
      <w:r w:rsidRPr="003E0C02">
        <w:rPr>
          <w:rFonts w:ascii="Book Antiqua" w:eastAsia="宋体" w:hAnsi="Book Antiqua"/>
          <w:i/>
          <w:kern w:val="2"/>
          <w:lang w:eastAsia="zh-CN"/>
        </w:rPr>
        <w:t>JAMA</w:t>
      </w:r>
      <w:r w:rsidRPr="003E0C02">
        <w:rPr>
          <w:rFonts w:ascii="Book Antiqua" w:eastAsia="宋体" w:hAnsi="Book Antiqua"/>
          <w:kern w:val="2"/>
          <w:lang w:eastAsia="zh-CN"/>
        </w:rPr>
        <w:t xml:space="preserve"> 2018; </w:t>
      </w:r>
      <w:r w:rsidRPr="003E0C02">
        <w:rPr>
          <w:rFonts w:ascii="Book Antiqua" w:eastAsia="宋体" w:hAnsi="Book Antiqua"/>
          <w:b/>
          <w:kern w:val="2"/>
          <w:lang w:eastAsia="zh-CN"/>
        </w:rPr>
        <w:t>319</w:t>
      </w:r>
      <w:r w:rsidRPr="003E0C02">
        <w:rPr>
          <w:rFonts w:ascii="Book Antiqua" w:eastAsia="宋体" w:hAnsi="Book Antiqua"/>
          <w:kern w:val="2"/>
          <w:lang w:eastAsia="zh-CN"/>
        </w:rPr>
        <w:t>: 241-254 [PMID: 29340676 DOI: 10.1001/jama.2017.20313]</w:t>
      </w:r>
    </w:p>
    <w:p w14:paraId="20DF58B1" w14:textId="77777777" w:rsidR="00CF630F" w:rsidRPr="003E0C02" w:rsidRDefault="00CF630F" w:rsidP="003E0C02">
      <w:pPr>
        <w:widowControl w:val="0"/>
        <w:adjustRightInd w:val="0"/>
        <w:snapToGrid w:val="0"/>
        <w:spacing w:line="360" w:lineRule="auto"/>
        <w:jc w:val="both"/>
        <w:rPr>
          <w:rFonts w:ascii="Book Antiqua" w:eastAsia="宋体" w:hAnsi="Book Antiqua"/>
          <w:kern w:val="2"/>
          <w:lang w:eastAsia="zh-CN"/>
        </w:rPr>
      </w:pPr>
      <w:r w:rsidRPr="003E0C02">
        <w:rPr>
          <w:rFonts w:ascii="Book Antiqua" w:eastAsia="宋体" w:hAnsi="Book Antiqua"/>
          <w:kern w:val="2"/>
          <w:lang w:eastAsia="zh-CN"/>
        </w:rPr>
        <w:t xml:space="preserve">34 </w:t>
      </w:r>
      <w:proofErr w:type="spellStart"/>
      <w:r w:rsidRPr="003E0C02">
        <w:rPr>
          <w:rFonts w:ascii="Book Antiqua" w:eastAsia="宋体" w:hAnsi="Book Antiqua"/>
          <w:b/>
          <w:kern w:val="2"/>
          <w:lang w:eastAsia="zh-CN"/>
        </w:rPr>
        <w:t>Shoar</w:t>
      </w:r>
      <w:proofErr w:type="spellEnd"/>
      <w:r w:rsidRPr="003E0C02">
        <w:rPr>
          <w:rFonts w:ascii="Book Antiqua" w:eastAsia="宋体" w:hAnsi="Book Antiqua"/>
          <w:b/>
          <w:kern w:val="2"/>
          <w:lang w:eastAsia="zh-CN"/>
        </w:rPr>
        <w:t xml:space="preserve"> S</w:t>
      </w:r>
      <w:r w:rsidRPr="003E0C02">
        <w:rPr>
          <w:rFonts w:ascii="Book Antiqua" w:eastAsia="宋体" w:hAnsi="Book Antiqua"/>
          <w:kern w:val="2"/>
          <w:lang w:eastAsia="zh-CN"/>
        </w:rPr>
        <w:t xml:space="preserve">, Saber AA. Long-term and midterm outcomes of laparoscopic sleeve </w:t>
      </w:r>
      <w:r w:rsidRPr="003E0C02">
        <w:rPr>
          <w:rFonts w:ascii="Book Antiqua" w:eastAsia="宋体" w:hAnsi="Book Antiqua"/>
          <w:kern w:val="2"/>
          <w:lang w:eastAsia="zh-CN"/>
        </w:rPr>
        <w:lastRenderedPageBreak/>
        <w:t xml:space="preserve">gastrectomy versus Roux-en-Y gastric bypass: a systematic review and meta-analysis of comparative studies. </w:t>
      </w:r>
      <w:r w:rsidRPr="003E0C02">
        <w:rPr>
          <w:rFonts w:ascii="Book Antiqua" w:eastAsia="宋体" w:hAnsi="Book Antiqua"/>
          <w:i/>
          <w:kern w:val="2"/>
          <w:lang w:eastAsia="zh-CN"/>
        </w:rPr>
        <w:t xml:space="preserve">Surg </w:t>
      </w:r>
      <w:proofErr w:type="spellStart"/>
      <w:r w:rsidRPr="003E0C02">
        <w:rPr>
          <w:rFonts w:ascii="Book Antiqua" w:eastAsia="宋体" w:hAnsi="Book Antiqua"/>
          <w:i/>
          <w:kern w:val="2"/>
          <w:lang w:eastAsia="zh-CN"/>
        </w:rPr>
        <w:t>Obes</w:t>
      </w:r>
      <w:proofErr w:type="spellEnd"/>
      <w:r w:rsidRPr="003E0C02">
        <w:rPr>
          <w:rFonts w:ascii="Book Antiqua" w:eastAsia="宋体" w:hAnsi="Book Antiqua"/>
          <w:i/>
          <w:kern w:val="2"/>
          <w:lang w:eastAsia="zh-CN"/>
        </w:rPr>
        <w:t xml:space="preserve"> </w:t>
      </w:r>
      <w:proofErr w:type="spellStart"/>
      <w:r w:rsidRPr="003E0C02">
        <w:rPr>
          <w:rFonts w:ascii="Book Antiqua" w:eastAsia="宋体" w:hAnsi="Book Antiqua"/>
          <w:i/>
          <w:kern w:val="2"/>
          <w:lang w:eastAsia="zh-CN"/>
        </w:rPr>
        <w:t>Relat</w:t>
      </w:r>
      <w:proofErr w:type="spellEnd"/>
      <w:r w:rsidRPr="003E0C02">
        <w:rPr>
          <w:rFonts w:ascii="Book Antiqua" w:eastAsia="宋体" w:hAnsi="Book Antiqua"/>
          <w:i/>
          <w:kern w:val="2"/>
          <w:lang w:eastAsia="zh-CN"/>
        </w:rPr>
        <w:t xml:space="preserve"> Dis</w:t>
      </w:r>
      <w:r w:rsidRPr="003E0C02">
        <w:rPr>
          <w:rFonts w:ascii="Book Antiqua" w:eastAsia="宋体" w:hAnsi="Book Antiqua"/>
          <w:kern w:val="2"/>
          <w:lang w:eastAsia="zh-CN"/>
        </w:rPr>
        <w:t xml:space="preserve"> 2017; </w:t>
      </w:r>
      <w:r w:rsidRPr="003E0C02">
        <w:rPr>
          <w:rFonts w:ascii="Book Antiqua" w:eastAsia="宋体" w:hAnsi="Book Antiqua"/>
          <w:b/>
          <w:kern w:val="2"/>
          <w:lang w:eastAsia="zh-CN"/>
        </w:rPr>
        <w:t>13</w:t>
      </w:r>
      <w:r w:rsidRPr="003E0C02">
        <w:rPr>
          <w:rFonts w:ascii="Book Antiqua" w:eastAsia="宋体" w:hAnsi="Book Antiqua"/>
          <w:kern w:val="2"/>
          <w:lang w:eastAsia="zh-CN"/>
        </w:rPr>
        <w:t>: 170-180 [PMID: 27720197 DOI: 10.1016/j.soard.2016.08.011]</w:t>
      </w:r>
    </w:p>
    <w:p w14:paraId="335A4209" w14:textId="77777777" w:rsidR="00A77B3E" w:rsidRPr="003E0C02" w:rsidRDefault="00A77B3E" w:rsidP="003E0C02">
      <w:pPr>
        <w:snapToGrid w:val="0"/>
        <w:spacing w:line="360" w:lineRule="auto"/>
        <w:jc w:val="both"/>
        <w:sectPr w:rsidR="00A77B3E" w:rsidRPr="003E0C02">
          <w:pgSz w:w="12240" w:h="15840"/>
          <w:pgMar w:top="1440" w:right="1440" w:bottom="1440" w:left="1440" w:header="720" w:footer="720" w:gutter="0"/>
          <w:cols w:space="720"/>
          <w:docGrid w:linePitch="360"/>
        </w:sectPr>
      </w:pPr>
    </w:p>
    <w:p w14:paraId="28A434E7" w14:textId="77777777" w:rsidR="00A77B3E" w:rsidRPr="003E0C02" w:rsidRDefault="00AA1E93" w:rsidP="003E0C02">
      <w:pPr>
        <w:snapToGrid w:val="0"/>
        <w:spacing w:line="360" w:lineRule="auto"/>
        <w:jc w:val="both"/>
      </w:pPr>
      <w:r w:rsidRPr="003E0C02">
        <w:rPr>
          <w:rFonts w:ascii="Book Antiqua" w:eastAsia="Book Antiqua" w:hAnsi="Book Antiqua" w:cs="Book Antiqua"/>
          <w:b/>
        </w:rPr>
        <w:lastRenderedPageBreak/>
        <w:t>Footnotes</w:t>
      </w:r>
    </w:p>
    <w:p w14:paraId="3E8E4F65"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bCs/>
        </w:rPr>
        <w:t xml:space="preserve">Institutional review board statement: </w:t>
      </w:r>
      <w:r w:rsidRPr="003E0C02">
        <w:rPr>
          <w:rFonts w:ascii="Book Antiqua" w:eastAsia="Book Antiqua" w:hAnsi="Book Antiqua" w:cs="Book Antiqua"/>
        </w:rPr>
        <w:t xml:space="preserve">This study was reviewed and approved by the </w:t>
      </w:r>
      <w:r w:rsidR="0053727C" w:rsidRPr="003E0C02">
        <w:rPr>
          <w:rFonts w:ascii="Book Antiqua" w:eastAsia="Book Antiqua" w:hAnsi="Book Antiqua" w:cs="Book Antiqua"/>
        </w:rPr>
        <w:t>Institutional Review Board of China Medical University (CMUH104-REC2-115)</w:t>
      </w:r>
      <w:r w:rsidR="0053727C" w:rsidRPr="003E0C02">
        <w:rPr>
          <w:rFonts w:ascii="Book Antiqua" w:hAnsi="Book Antiqua" w:cs="Book Antiqua"/>
          <w:lang w:eastAsia="zh-CN"/>
        </w:rPr>
        <w:t>.</w:t>
      </w:r>
    </w:p>
    <w:p w14:paraId="7488A87C" w14:textId="77777777" w:rsidR="00A77B3E" w:rsidRPr="003E0C02" w:rsidRDefault="00A77B3E" w:rsidP="003E0C02">
      <w:pPr>
        <w:snapToGrid w:val="0"/>
        <w:spacing w:line="360" w:lineRule="auto"/>
        <w:jc w:val="both"/>
      </w:pPr>
    </w:p>
    <w:p w14:paraId="39B4923C" w14:textId="77777777" w:rsidR="00A77B3E" w:rsidRPr="003E0C02" w:rsidRDefault="00AA1E93" w:rsidP="003E0C02">
      <w:pPr>
        <w:snapToGrid w:val="0"/>
        <w:spacing w:line="360" w:lineRule="auto"/>
        <w:jc w:val="both"/>
        <w:rPr>
          <w:lang w:eastAsia="zh-CN"/>
        </w:rPr>
      </w:pPr>
      <w:r w:rsidRPr="003E0C02">
        <w:rPr>
          <w:rFonts w:ascii="Book Antiqua" w:eastAsia="Book Antiqua" w:hAnsi="Book Antiqua" w:cs="Book Antiqua"/>
          <w:b/>
          <w:bCs/>
        </w:rPr>
        <w:t xml:space="preserve">Informed consent statement: </w:t>
      </w:r>
      <w:r w:rsidRPr="003E0C02">
        <w:rPr>
          <w:rFonts w:ascii="Book Antiqua" w:eastAsia="Book Antiqua" w:hAnsi="Book Antiqua" w:cs="Book Antiqua"/>
        </w:rPr>
        <w:t>Patients were not required to give informed consent to the study</w:t>
      </w:r>
      <w:r w:rsidR="000D726F" w:rsidRPr="003E0C02">
        <w:rPr>
          <w:rFonts w:ascii="Book Antiqua" w:hAnsi="Book Antiqua" w:cs="Book Antiqua"/>
          <w:lang w:eastAsia="zh-CN"/>
        </w:rPr>
        <w:t>.</w:t>
      </w:r>
    </w:p>
    <w:p w14:paraId="5F5AE4EE" w14:textId="77777777" w:rsidR="00A77B3E" w:rsidRPr="003E0C02" w:rsidRDefault="00A77B3E" w:rsidP="003E0C02">
      <w:pPr>
        <w:snapToGrid w:val="0"/>
        <w:spacing w:line="360" w:lineRule="auto"/>
        <w:jc w:val="both"/>
      </w:pPr>
    </w:p>
    <w:p w14:paraId="3D0D7632"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Conflict-of-interest statement: </w:t>
      </w:r>
      <w:r w:rsidRPr="003E0C02">
        <w:rPr>
          <w:rFonts w:ascii="Book Antiqua" w:eastAsia="Book Antiqua" w:hAnsi="Book Antiqua" w:cs="Book Antiqua"/>
        </w:rPr>
        <w:t>We have no financial relationships to disclose.</w:t>
      </w:r>
    </w:p>
    <w:p w14:paraId="487C400B" w14:textId="77777777" w:rsidR="00A77B3E" w:rsidRPr="003E0C02" w:rsidRDefault="00A77B3E" w:rsidP="003E0C02">
      <w:pPr>
        <w:snapToGrid w:val="0"/>
        <w:spacing w:line="360" w:lineRule="auto"/>
        <w:jc w:val="both"/>
      </w:pPr>
    </w:p>
    <w:p w14:paraId="61B1C4B4"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Data sharing statement: </w:t>
      </w:r>
      <w:r w:rsidRPr="003E0C02">
        <w:rPr>
          <w:rFonts w:ascii="Book Antiqua" w:eastAsia="Book Antiqua" w:hAnsi="Book Antiqua" w:cs="Book Antiqua"/>
        </w:rPr>
        <w:t>No additional data are available.</w:t>
      </w:r>
    </w:p>
    <w:p w14:paraId="7BD41E01" w14:textId="77777777" w:rsidR="00A77B3E" w:rsidRPr="003E0C02" w:rsidRDefault="00A77B3E" w:rsidP="003E0C02">
      <w:pPr>
        <w:snapToGrid w:val="0"/>
        <w:spacing w:line="360" w:lineRule="auto"/>
        <w:jc w:val="both"/>
      </w:pPr>
    </w:p>
    <w:p w14:paraId="13900CCB" w14:textId="77777777" w:rsidR="00A77B3E" w:rsidRPr="003E0C02" w:rsidRDefault="00AA1E93" w:rsidP="003E0C02">
      <w:pPr>
        <w:snapToGrid w:val="0"/>
        <w:spacing w:line="360" w:lineRule="auto"/>
        <w:jc w:val="both"/>
      </w:pPr>
      <w:r w:rsidRPr="003E0C02">
        <w:rPr>
          <w:rFonts w:ascii="Book Antiqua" w:eastAsia="Book Antiqua" w:hAnsi="Book Antiqua" w:cs="Book Antiqua"/>
          <w:b/>
          <w:bCs/>
        </w:rPr>
        <w:t xml:space="preserve">Open-Access: </w:t>
      </w:r>
      <w:r w:rsidRPr="003E0C0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E0C02">
        <w:rPr>
          <w:rFonts w:ascii="Book Antiqua" w:eastAsia="Book Antiqua" w:hAnsi="Book Antiqua" w:cs="Book Antiqua"/>
        </w:rPr>
        <w:t>NonCommercial</w:t>
      </w:r>
      <w:proofErr w:type="spellEnd"/>
      <w:r w:rsidRPr="003E0C0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47881D" w14:textId="77777777" w:rsidR="00A77B3E" w:rsidRPr="003E0C02" w:rsidRDefault="00A77B3E" w:rsidP="003E0C02">
      <w:pPr>
        <w:snapToGrid w:val="0"/>
        <w:spacing w:line="360" w:lineRule="auto"/>
        <w:jc w:val="both"/>
      </w:pPr>
    </w:p>
    <w:p w14:paraId="0B3D7523"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Manuscript source: </w:t>
      </w:r>
      <w:r w:rsidRPr="003E0C02">
        <w:rPr>
          <w:rFonts w:ascii="Book Antiqua" w:eastAsia="Book Antiqua" w:hAnsi="Book Antiqua" w:cs="Book Antiqua"/>
        </w:rPr>
        <w:t xml:space="preserve">Invited </w:t>
      </w:r>
      <w:r w:rsidR="00386021" w:rsidRPr="003E0C02">
        <w:rPr>
          <w:rFonts w:ascii="Book Antiqua" w:eastAsia="Book Antiqua" w:hAnsi="Book Antiqua" w:cs="Book Antiqua"/>
        </w:rPr>
        <w:t>m</w:t>
      </w:r>
      <w:r w:rsidRPr="003E0C02">
        <w:rPr>
          <w:rFonts w:ascii="Book Antiqua" w:eastAsia="Book Antiqua" w:hAnsi="Book Antiqua" w:cs="Book Antiqua"/>
        </w:rPr>
        <w:t>anuscript</w:t>
      </w:r>
    </w:p>
    <w:p w14:paraId="4FC386D2" w14:textId="77777777" w:rsidR="00A77B3E" w:rsidRPr="003E0C02" w:rsidRDefault="00A77B3E" w:rsidP="003E0C02">
      <w:pPr>
        <w:snapToGrid w:val="0"/>
        <w:spacing w:line="360" w:lineRule="auto"/>
        <w:jc w:val="both"/>
      </w:pPr>
    </w:p>
    <w:p w14:paraId="1B180E98"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Peer-review started: </w:t>
      </w:r>
      <w:r w:rsidRPr="003E0C02">
        <w:rPr>
          <w:rFonts w:ascii="Book Antiqua" w:eastAsia="Book Antiqua" w:hAnsi="Book Antiqua" w:cs="Book Antiqua"/>
        </w:rPr>
        <w:t>April 30, 2020</w:t>
      </w:r>
    </w:p>
    <w:p w14:paraId="04F48AB4"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First decision: </w:t>
      </w:r>
      <w:r w:rsidRPr="003E0C02">
        <w:rPr>
          <w:rFonts w:ascii="Book Antiqua" w:eastAsia="Book Antiqua" w:hAnsi="Book Antiqua" w:cs="Book Antiqua"/>
        </w:rPr>
        <w:t>May 24, 2020</w:t>
      </w:r>
    </w:p>
    <w:p w14:paraId="3479D8AF"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Article in press: </w:t>
      </w:r>
    </w:p>
    <w:p w14:paraId="417A7B61" w14:textId="77777777" w:rsidR="00A77B3E" w:rsidRPr="003E0C02" w:rsidRDefault="00A77B3E" w:rsidP="003E0C02">
      <w:pPr>
        <w:snapToGrid w:val="0"/>
        <w:spacing w:line="360" w:lineRule="auto"/>
        <w:jc w:val="both"/>
      </w:pPr>
    </w:p>
    <w:p w14:paraId="12DC0EDC"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Specialty type: </w:t>
      </w:r>
      <w:r w:rsidRPr="003E0C02">
        <w:rPr>
          <w:rFonts w:ascii="Book Antiqua" w:eastAsia="Book Antiqua" w:hAnsi="Book Antiqua" w:cs="Book Antiqua"/>
        </w:rPr>
        <w:t xml:space="preserve">Gastroenterology and </w:t>
      </w:r>
      <w:r w:rsidR="00386021" w:rsidRPr="003E0C02">
        <w:rPr>
          <w:rFonts w:ascii="Book Antiqua" w:eastAsia="Book Antiqua" w:hAnsi="Book Antiqua" w:cs="Book Antiqua"/>
        </w:rPr>
        <w:t>h</w:t>
      </w:r>
      <w:r w:rsidRPr="003E0C02">
        <w:rPr>
          <w:rFonts w:ascii="Book Antiqua" w:eastAsia="Book Antiqua" w:hAnsi="Book Antiqua" w:cs="Book Antiqua"/>
        </w:rPr>
        <w:t>epatology</w:t>
      </w:r>
    </w:p>
    <w:p w14:paraId="1F32C080"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 xml:space="preserve">Country/Territory of origin: </w:t>
      </w:r>
      <w:r w:rsidRPr="003E0C02">
        <w:rPr>
          <w:rFonts w:ascii="Book Antiqua" w:eastAsia="Book Antiqua" w:hAnsi="Book Antiqua" w:cs="Book Antiqua"/>
        </w:rPr>
        <w:t>Taiwan</w:t>
      </w:r>
    </w:p>
    <w:p w14:paraId="790FB946" w14:textId="77777777" w:rsidR="00A77B3E" w:rsidRPr="003E0C02" w:rsidRDefault="00AA1E93" w:rsidP="003E0C02">
      <w:pPr>
        <w:snapToGrid w:val="0"/>
        <w:spacing w:line="360" w:lineRule="auto"/>
        <w:jc w:val="both"/>
      </w:pPr>
      <w:r w:rsidRPr="003E0C02">
        <w:rPr>
          <w:rFonts w:ascii="Book Antiqua" w:eastAsia="Book Antiqua" w:hAnsi="Book Antiqua" w:cs="Book Antiqua"/>
          <w:b/>
        </w:rPr>
        <w:t>Peer-review report’s scientific quality classification</w:t>
      </w:r>
    </w:p>
    <w:p w14:paraId="6B43BD45" w14:textId="77777777" w:rsidR="00A77B3E" w:rsidRPr="003E0C02" w:rsidRDefault="00AA1E93" w:rsidP="003E0C02">
      <w:pPr>
        <w:snapToGrid w:val="0"/>
        <w:spacing w:line="360" w:lineRule="auto"/>
        <w:jc w:val="both"/>
      </w:pPr>
      <w:r w:rsidRPr="003E0C02">
        <w:rPr>
          <w:rFonts w:ascii="Book Antiqua" w:eastAsia="Book Antiqua" w:hAnsi="Book Antiqua" w:cs="Book Antiqua"/>
        </w:rPr>
        <w:t>Grade A (Excellent): 0</w:t>
      </w:r>
    </w:p>
    <w:p w14:paraId="20C0F03C" w14:textId="77777777" w:rsidR="00A77B3E" w:rsidRPr="003E0C02" w:rsidRDefault="00AA1E93" w:rsidP="003E0C02">
      <w:pPr>
        <w:snapToGrid w:val="0"/>
        <w:spacing w:line="360" w:lineRule="auto"/>
        <w:jc w:val="both"/>
      </w:pPr>
      <w:r w:rsidRPr="003E0C02">
        <w:rPr>
          <w:rFonts w:ascii="Book Antiqua" w:eastAsia="Book Antiqua" w:hAnsi="Book Antiqua" w:cs="Book Antiqua"/>
        </w:rPr>
        <w:lastRenderedPageBreak/>
        <w:t>Grade B (Very good): B</w:t>
      </w:r>
    </w:p>
    <w:p w14:paraId="24CD047E" w14:textId="77777777" w:rsidR="00A77B3E" w:rsidRPr="003E0C02" w:rsidRDefault="00AA1E93" w:rsidP="003E0C02">
      <w:pPr>
        <w:snapToGrid w:val="0"/>
        <w:spacing w:line="360" w:lineRule="auto"/>
        <w:jc w:val="both"/>
      </w:pPr>
      <w:r w:rsidRPr="003E0C02">
        <w:rPr>
          <w:rFonts w:ascii="Book Antiqua" w:eastAsia="Book Antiqua" w:hAnsi="Book Antiqua" w:cs="Book Antiqua"/>
        </w:rPr>
        <w:t>Grade C (Good): C</w:t>
      </w:r>
    </w:p>
    <w:p w14:paraId="68320F51" w14:textId="77777777" w:rsidR="00A77B3E" w:rsidRPr="003E0C02" w:rsidRDefault="00AA1E93" w:rsidP="003E0C02">
      <w:pPr>
        <w:snapToGrid w:val="0"/>
        <w:spacing w:line="360" w:lineRule="auto"/>
        <w:jc w:val="both"/>
      </w:pPr>
      <w:r w:rsidRPr="003E0C02">
        <w:rPr>
          <w:rFonts w:ascii="Book Antiqua" w:eastAsia="Book Antiqua" w:hAnsi="Book Antiqua" w:cs="Book Antiqua"/>
        </w:rPr>
        <w:t>Grade D (Fair): 0</w:t>
      </w:r>
    </w:p>
    <w:p w14:paraId="63828372" w14:textId="77777777" w:rsidR="00A77B3E" w:rsidRPr="003E0C02" w:rsidRDefault="00AA1E93" w:rsidP="003E0C02">
      <w:pPr>
        <w:snapToGrid w:val="0"/>
        <w:spacing w:line="360" w:lineRule="auto"/>
        <w:jc w:val="both"/>
      </w:pPr>
      <w:r w:rsidRPr="003E0C02">
        <w:rPr>
          <w:rFonts w:ascii="Book Antiqua" w:eastAsia="Book Antiqua" w:hAnsi="Book Antiqua" w:cs="Book Antiqua"/>
        </w:rPr>
        <w:t>Grade E (Poor): 0</w:t>
      </w:r>
    </w:p>
    <w:p w14:paraId="20F99145" w14:textId="77777777" w:rsidR="00A77B3E" w:rsidRPr="003E0C02" w:rsidRDefault="00A77B3E" w:rsidP="003E0C02">
      <w:pPr>
        <w:snapToGrid w:val="0"/>
        <w:spacing w:line="360" w:lineRule="auto"/>
        <w:jc w:val="both"/>
      </w:pPr>
    </w:p>
    <w:p w14:paraId="2146CA47" w14:textId="77777777" w:rsidR="00AA1E93" w:rsidRPr="003E0C02" w:rsidRDefault="00AA1E93" w:rsidP="003E0C02">
      <w:pPr>
        <w:snapToGrid w:val="0"/>
        <w:spacing w:line="360" w:lineRule="auto"/>
        <w:jc w:val="both"/>
        <w:rPr>
          <w:rFonts w:ascii="Book Antiqua" w:eastAsia="Book Antiqua" w:hAnsi="Book Antiqua" w:cs="Book Antiqua"/>
          <w:b/>
        </w:rPr>
      </w:pPr>
      <w:r w:rsidRPr="003E0C02">
        <w:rPr>
          <w:rFonts w:ascii="Book Antiqua" w:eastAsia="Book Antiqua" w:hAnsi="Book Antiqua" w:cs="Book Antiqua"/>
          <w:b/>
        </w:rPr>
        <w:t xml:space="preserve">P-Reviewer: </w:t>
      </w:r>
      <w:r w:rsidRPr="003E0C02">
        <w:rPr>
          <w:rFonts w:ascii="Book Antiqua" w:eastAsia="Book Antiqua" w:hAnsi="Book Antiqua" w:cs="Book Antiqua"/>
        </w:rPr>
        <w:t>Farhat S, Zhu SH</w:t>
      </w:r>
      <w:r w:rsidRPr="003E0C02">
        <w:rPr>
          <w:rFonts w:ascii="Book Antiqua" w:eastAsia="Book Antiqua" w:hAnsi="Book Antiqua" w:cs="Book Antiqua"/>
          <w:b/>
        </w:rPr>
        <w:t xml:space="preserve"> S-Editor: </w:t>
      </w:r>
      <w:r w:rsidRPr="003E0C02">
        <w:rPr>
          <w:rFonts w:ascii="Book Antiqua" w:eastAsia="Book Antiqua" w:hAnsi="Book Antiqua" w:cs="Book Antiqua"/>
        </w:rPr>
        <w:t>Zhang H</w:t>
      </w:r>
      <w:r w:rsidRPr="003E0C02">
        <w:rPr>
          <w:rFonts w:ascii="Book Antiqua" w:eastAsia="Book Antiqua" w:hAnsi="Book Antiqua" w:cs="Book Antiqua"/>
          <w:b/>
        </w:rPr>
        <w:t xml:space="preserve"> L-Editor: </w:t>
      </w:r>
      <w:r w:rsidR="00C908D5" w:rsidRPr="003E0C02">
        <w:rPr>
          <w:rFonts w:ascii="Book Antiqua" w:eastAsia="Book Antiqua" w:hAnsi="Book Antiqua" w:cs="Book Antiqua"/>
          <w:bCs/>
        </w:rPr>
        <w:t xml:space="preserve">Filipodia </w:t>
      </w:r>
      <w:r w:rsidRPr="003E0C02">
        <w:rPr>
          <w:rFonts w:ascii="Book Antiqua" w:eastAsia="Book Antiqua" w:hAnsi="Book Antiqua" w:cs="Book Antiqua"/>
          <w:b/>
        </w:rPr>
        <w:t xml:space="preserve">P-Editor: </w:t>
      </w:r>
    </w:p>
    <w:p w14:paraId="33CAC0D6" w14:textId="77777777" w:rsidR="000D726F" w:rsidRPr="003E0C02" w:rsidRDefault="00AA1E93" w:rsidP="003E0C02">
      <w:pPr>
        <w:adjustRightInd w:val="0"/>
        <w:snapToGrid w:val="0"/>
        <w:spacing w:line="360" w:lineRule="auto"/>
        <w:jc w:val="both"/>
        <w:rPr>
          <w:rFonts w:ascii="Book Antiqua" w:hAnsi="Book Antiqua" w:cs="Book Antiqua"/>
          <w:b/>
          <w:lang w:eastAsia="zh-CN"/>
        </w:rPr>
      </w:pPr>
      <w:r w:rsidRPr="003E0C02">
        <w:rPr>
          <w:rFonts w:ascii="Book Antiqua" w:eastAsia="Book Antiqua" w:hAnsi="Book Antiqua" w:cs="Book Antiqua"/>
          <w:b/>
        </w:rPr>
        <w:br w:type="page"/>
      </w:r>
      <w:r w:rsidR="000D726F" w:rsidRPr="003E0C02">
        <w:rPr>
          <w:rFonts w:ascii="Book Antiqua" w:hAnsi="Book Antiqua" w:cs="Book Antiqua"/>
          <w:b/>
          <w:lang w:eastAsia="zh-CN"/>
        </w:rPr>
        <w:lastRenderedPageBreak/>
        <w:t>Figure legends</w:t>
      </w:r>
    </w:p>
    <w:p w14:paraId="0454B0AE" w14:textId="77777777" w:rsidR="00AA1E93" w:rsidRPr="003E0C02" w:rsidRDefault="008B5DDE" w:rsidP="003E0C02">
      <w:pPr>
        <w:adjustRightInd w:val="0"/>
        <w:snapToGrid w:val="0"/>
        <w:spacing w:line="360" w:lineRule="auto"/>
        <w:jc w:val="both"/>
        <w:rPr>
          <w:rFonts w:ascii="Book Antiqua" w:hAnsi="Book Antiqua"/>
        </w:rPr>
      </w:pPr>
      <w:r w:rsidRPr="003E0C02">
        <w:rPr>
          <w:rFonts w:ascii="Book Antiqua" w:hAnsi="Book Antiqua"/>
          <w:noProof/>
          <w:lang w:eastAsia="zh-TW"/>
        </w:rPr>
        <w:drawing>
          <wp:inline distT="0" distB="0" distL="0" distR="0" wp14:anchorId="21666FA5" wp14:editId="71D5DB3D">
            <wp:extent cx="5979230" cy="6524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534" cy="6527139"/>
                    </a:xfrm>
                    <a:prstGeom prst="rect">
                      <a:avLst/>
                    </a:prstGeom>
                    <a:noFill/>
                  </pic:spPr>
                </pic:pic>
              </a:graphicData>
            </a:graphic>
          </wp:inline>
        </w:drawing>
      </w:r>
    </w:p>
    <w:p w14:paraId="400ABC02" w14:textId="461A6A23" w:rsidR="008B5DDE" w:rsidRPr="003E0C02" w:rsidRDefault="00640981" w:rsidP="003E0C02">
      <w:pPr>
        <w:adjustRightInd w:val="0"/>
        <w:snapToGrid w:val="0"/>
        <w:spacing w:line="360" w:lineRule="auto"/>
        <w:jc w:val="both"/>
        <w:rPr>
          <w:rFonts w:ascii="Book Antiqua" w:hAnsi="Book Antiqua"/>
          <w:lang w:eastAsia="zh-CN"/>
        </w:rPr>
      </w:pPr>
      <w:r w:rsidRPr="003E0C02">
        <w:rPr>
          <w:rFonts w:ascii="Book Antiqua" w:hAnsi="Book Antiqua" w:cs="Arial"/>
          <w:b/>
          <w:bCs/>
        </w:rPr>
        <w:t>Figure 1</w:t>
      </w:r>
      <w:r w:rsidRPr="003E0C02">
        <w:rPr>
          <w:rFonts w:ascii="Book Antiqua" w:hAnsi="Book Antiqua" w:cs="Arial"/>
        </w:rPr>
        <w:t xml:space="preserve"> </w:t>
      </w:r>
      <w:r w:rsidRPr="003E0C02">
        <w:rPr>
          <w:rFonts w:ascii="Book Antiqua" w:hAnsi="Book Antiqua"/>
          <w:b/>
        </w:rPr>
        <w:t>Flowchart of the patient selection (</w:t>
      </w:r>
      <w:r w:rsidR="00EA796E" w:rsidRPr="003E0C02">
        <w:rPr>
          <w:rFonts w:ascii="Book Antiqua" w:hAnsi="Book Antiqua"/>
          <w:b/>
        </w:rPr>
        <w:t>patient</w:t>
      </w:r>
      <w:r w:rsidR="00BB252B" w:rsidRPr="003E0C02">
        <w:rPr>
          <w:rFonts w:ascii="Book Antiqua" w:hAnsi="Book Antiqua"/>
          <w:b/>
        </w:rPr>
        <w:t>s</w:t>
      </w:r>
      <w:r w:rsidR="00EA796E" w:rsidRPr="003E0C02">
        <w:rPr>
          <w:rFonts w:ascii="Book Antiqua" w:hAnsi="Book Antiqua"/>
          <w:b/>
        </w:rPr>
        <w:t xml:space="preserve"> diagnosed </w:t>
      </w:r>
      <w:r w:rsidR="00C22172" w:rsidRPr="003E0C02">
        <w:rPr>
          <w:rFonts w:ascii="Book Antiqua" w:hAnsi="Book Antiqua"/>
          <w:b/>
        </w:rPr>
        <w:t xml:space="preserve">with </w:t>
      </w:r>
      <w:r w:rsidR="00EA796E" w:rsidRPr="003E0C02">
        <w:rPr>
          <w:rFonts w:ascii="Book Antiqua" w:hAnsi="Book Antiqua"/>
          <w:b/>
        </w:rPr>
        <w:t xml:space="preserve">morbid obesity </w:t>
      </w:r>
      <w:r w:rsidRPr="003E0C02">
        <w:rPr>
          <w:rFonts w:ascii="Book Antiqua" w:hAnsi="Book Antiqua"/>
          <w:b/>
        </w:rPr>
        <w:t xml:space="preserve">who </w:t>
      </w:r>
      <w:r w:rsidR="00EA796E" w:rsidRPr="003E0C02">
        <w:rPr>
          <w:rFonts w:ascii="Book Antiqua" w:hAnsi="Book Antiqua"/>
          <w:b/>
        </w:rPr>
        <w:t xml:space="preserve">received </w:t>
      </w:r>
      <w:r w:rsidRPr="003E0C02">
        <w:rPr>
          <w:rFonts w:ascii="Book Antiqua" w:hAnsi="Book Antiqua"/>
          <w:b/>
        </w:rPr>
        <w:t>bariatric surgery) and comparison cohort (</w:t>
      </w:r>
      <w:r w:rsidR="00EA796E" w:rsidRPr="003E0C02">
        <w:rPr>
          <w:rFonts w:ascii="Book Antiqua" w:hAnsi="Book Antiqua"/>
          <w:b/>
        </w:rPr>
        <w:t>patient</w:t>
      </w:r>
      <w:r w:rsidR="00BB252B" w:rsidRPr="003E0C02">
        <w:rPr>
          <w:rFonts w:ascii="Book Antiqua" w:hAnsi="Book Antiqua"/>
          <w:b/>
        </w:rPr>
        <w:t>s</w:t>
      </w:r>
      <w:r w:rsidR="00EA796E" w:rsidRPr="003E0C02">
        <w:rPr>
          <w:rFonts w:ascii="Book Antiqua" w:hAnsi="Book Antiqua"/>
          <w:b/>
        </w:rPr>
        <w:t xml:space="preserve"> diagnosed </w:t>
      </w:r>
      <w:r w:rsidR="00C22172" w:rsidRPr="003E0C02">
        <w:rPr>
          <w:rFonts w:ascii="Book Antiqua" w:hAnsi="Book Antiqua"/>
          <w:b/>
        </w:rPr>
        <w:t xml:space="preserve">with </w:t>
      </w:r>
      <w:r w:rsidR="00EA796E" w:rsidRPr="003E0C02">
        <w:rPr>
          <w:rFonts w:ascii="Book Antiqua" w:hAnsi="Book Antiqua"/>
          <w:b/>
        </w:rPr>
        <w:t xml:space="preserve">morbid obesity </w:t>
      </w:r>
      <w:r w:rsidRPr="003E0C02">
        <w:rPr>
          <w:rFonts w:ascii="Book Antiqua" w:hAnsi="Book Antiqua"/>
          <w:b/>
        </w:rPr>
        <w:t xml:space="preserve">who did not </w:t>
      </w:r>
      <w:r w:rsidR="00EA796E" w:rsidRPr="003E0C02">
        <w:rPr>
          <w:rFonts w:ascii="Book Antiqua" w:hAnsi="Book Antiqua"/>
          <w:b/>
        </w:rPr>
        <w:t xml:space="preserve">receive </w:t>
      </w:r>
      <w:r w:rsidRPr="003E0C02">
        <w:rPr>
          <w:rFonts w:ascii="Book Antiqua" w:hAnsi="Book Antiqua"/>
          <w:b/>
        </w:rPr>
        <w:t>bariatric surgery).</w:t>
      </w:r>
      <w:r w:rsidR="00C22172" w:rsidRPr="003E0C02">
        <w:rPr>
          <w:rFonts w:ascii="Book Antiqua" w:hAnsi="Book Antiqua"/>
          <w:b/>
        </w:rPr>
        <w:t xml:space="preserve"> </w:t>
      </w:r>
      <w:r w:rsidR="00C22172" w:rsidRPr="003E0C02">
        <w:rPr>
          <w:rFonts w:ascii="Book Antiqua" w:eastAsia="Book Antiqua" w:hAnsi="Book Antiqua" w:cs="Book Antiqua"/>
        </w:rPr>
        <w:t>ICD-9-CM: International Classification of Diseases, Ninth Revision, Clinical Modification.</w:t>
      </w:r>
    </w:p>
    <w:p w14:paraId="76DB666D" w14:textId="77777777" w:rsidR="008B5DDE" w:rsidRPr="003E0C02" w:rsidRDefault="008B5DDE" w:rsidP="003E0C02">
      <w:pPr>
        <w:adjustRightInd w:val="0"/>
        <w:snapToGrid w:val="0"/>
        <w:spacing w:line="360" w:lineRule="auto"/>
        <w:jc w:val="both"/>
        <w:rPr>
          <w:rFonts w:ascii="Book Antiqua" w:hAnsi="Book Antiqua" w:cs="Arial"/>
          <w:b/>
          <w:lang w:eastAsia="zh-CN"/>
        </w:rPr>
      </w:pPr>
      <w:r w:rsidRPr="003E0C02">
        <w:rPr>
          <w:rFonts w:ascii="Book Antiqua" w:hAnsi="Book Antiqua" w:cs="Arial"/>
          <w:b/>
          <w:noProof/>
          <w:lang w:eastAsia="zh-TW"/>
        </w:rPr>
        <w:lastRenderedPageBreak/>
        <w:drawing>
          <wp:inline distT="0" distB="0" distL="0" distR="0" wp14:anchorId="3448AC3F" wp14:editId="6304B4BE">
            <wp:extent cx="4763459" cy="4381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5341" cy="4383231"/>
                    </a:xfrm>
                    <a:prstGeom prst="rect">
                      <a:avLst/>
                    </a:prstGeom>
                    <a:noFill/>
                  </pic:spPr>
                </pic:pic>
              </a:graphicData>
            </a:graphic>
          </wp:inline>
        </w:drawing>
      </w:r>
    </w:p>
    <w:p w14:paraId="59F54B4C" w14:textId="4224412C" w:rsidR="003062D2" w:rsidRPr="003E0C02" w:rsidRDefault="003062D2" w:rsidP="003E0C02">
      <w:pPr>
        <w:adjustRightInd w:val="0"/>
        <w:snapToGrid w:val="0"/>
        <w:spacing w:line="360" w:lineRule="auto"/>
        <w:jc w:val="both"/>
        <w:rPr>
          <w:rFonts w:ascii="Book Antiqua" w:hAnsi="Book Antiqua"/>
          <w:lang w:eastAsia="zh-CN"/>
        </w:rPr>
      </w:pPr>
      <w:r w:rsidRPr="003E0C02">
        <w:rPr>
          <w:rFonts w:ascii="Book Antiqua" w:hAnsi="Book Antiqua" w:cs="Arial"/>
          <w:b/>
        </w:rPr>
        <w:t xml:space="preserve">Figure 2 Cumulative incidence of anemia </w:t>
      </w:r>
      <w:r w:rsidR="00C22172" w:rsidRPr="003E0C02">
        <w:rPr>
          <w:rFonts w:ascii="Book Antiqua" w:hAnsi="Book Antiqua" w:cs="Arial"/>
          <w:b/>
        </w:rPr>
        <w:t>in</w:t>
      </w:r>
      <w:r w:rsidRPr="003E0C02">
        <w:rPr>
          <w:rFonts w:ascii="Book Antiqua" w:hAnsi="Book Antiqua" w:cs="Arial"/>
          <w:b/>
        </w:rPr>
        <w:t xml:space="preserve"> morbidly obese patients who </w:t>
      </w:r>
      <w:r w:rsidR="009A703F" w:rsidRPr="003E0C02">
        <w:rPr>
          <w:rFonts w:ascii="Book Antiqua" w:hAnsi="Book Antiqua" w:cs="Arial"/>
          <w:b/>
        </w:rPr>
        <w:t xml:space="preserve">received </w:t>
      </w:r>
      <w:r w:rsidRPr="003E0C02">
        <w:rPr>
          <w:rFonts w:ascii="Book Antiqua" w:hAnsi="Book Antiqua" w:cs="Arial"/>
          <w:b/>
        </w:rPr>
        <w:t xml:space="preserve">bariatric surgery </w:t>
      </w:r>
      <w:r w:rsidR="00C22172" w:rsidRPr="003E0C02">
        <w:rPr>
          <w:rFonts w:ascii="Book Antiqua" w:hAnsi="Book Antiqua" w:cs="Arial"/>
          <w:b/>
        </w:rPr>
        <w:t>and</w:t>
      </w:r>
      <w:r w:rsidRPr="003E0C02">
        <w:rPr>
          <w:rFonts w:ascii="Book Antiqua" w:hAnsi="Book Antiqua" w:cs="Arial"/>
          <w:b/>
        </w:rPr>
        <w:t xml:space="preserve"> patients who did not </w:t>
      </w:r>
      <w:r w:rsidR="00C92B83" w:rsidRPr="003E0C02">
        <w:rPr>
          <w:rFonts w:ascii="Book Antiqua" w:hAnsi="Book Antiqua" w:cs="Arial"/>
          <w:b/>
        </w:rPr>
        <w:t>receive</w:t>
      </w:r>
      <w:r w:rsidR="009A703F" w:rsidRPr="003E0C02">
        <w:rPr>
          <w:rFonts w:ascii="Book Antiqua" w:hAnsi="Book Antiqua" w:cs="Arial"/>
          <w:b/>
        </w:rPr>
        <w:t xml:space="preserve"> </w:t>
      </w:r>
      <w:r w:rsidRPr="003E0C02">
        <w:rPr>
          <w:rFonts w:ascii="Book Antiqua" w:hAnsi="Book Antiqua" w:cs="Arial"/>
          <w:b/>
        </w:rPr>
        <w:t>bariatric surgery.</w:t>
      </w:r>
    </w:p>
    <w:p w14:paraId="32568B6F" w14:textId="77777777" w:rsidR="00AA1E93" w:rsidRPr="003E0C02" w:rsidRDefault="003062D2" w:rsidP="003E0C02">
      <w:pPr>
        <w:adjustRightInd w:val="0"/>
        <w:snapToGrid w:val="0"/>
        <w:spacing w:line="360" w:lineRule="auto"/>
        <w:jc w:val="both"/>
        <w:rPr>
          <w:rFonts w:ascii="Book Antiqua" w:hAnsi="Book Antiqua"/>
          <w:b/>
          <w:lang w:eastAsia="zh-CN"/>
        </w:rPr>
      </w:pPr>
      <w:r w:rsidRPr="003E0C02">
        <w:rPr>
          <w:rFonts w:ascii="Book Antiqua" w:hAnsi="Book Antiqua"/>
          <w:lang w:eastAsia="zh-CN"/>
        </w:rPr>
        <w:br w:type="page"/>
      </w:r>
      <w:r w:rsidRPr="003E0C02">
        <w:rPr>
          <w:rFonts w:ascii="Book Antiqua" w:hAnsi="Book Antiqua"/>
          <w:b/>
          <w:lang w:eastAsia="zh-CN"/>
        </w:rPr>
        <w:lastRenderedPageBreak/>
        <w:t xml:space="preserve">Table 1 Demographic characteristics of </w:t>
      </w:r>
      <w:r w:rsidR="00EA796E" w:rsidRPr="003E0C02">
        <w:rPr>
          <w:rFonts w:ascii="Book Antiqua" w:hAnsi="Book Antiqua"/>
          <w:b/>
        </w:rPr>
        <w:t>patient</w:t>
      </w:r>
      <w:r w:rsidR="00BB252B" w:rsidRPr="003E0C02">
        <w:rPr>
          <w:rFonts w:ascii="Book Antiqua" w:hAnsi="Book Antiqua"/>
          <w:b/>
        </w:rPr>
        <w:t>s</w:t>
      </w:r>
      <w:r w:rsidR="00EA796E" w:rsidRPr="003E0C02">
        <w:rPr>
          <w:rFonts w:ascii="Book Antiqua" w:hAnsi="Book Antiqua"/>
          <w:b/>
        </w:rPr>
        <w:t xml:space="preserve"> diagnosed morbid obesity </w:t>
      </w:r>
      <w:r w:rsidRPr="003E0C02">
        <w:rPr>
          <w:rFonts w:ascii="Book Antiqua" w:hAnsi="Book Antiqua"/>
          <w:b/>
          <w:lang w:eastAsia="zh-CN"/>
        </w:rPr>
        <w:t>receiving and not-receiving bariatric surgery</w:t>
      </w:r>
    </w:p>
    <w:tbl>
      <w:tblPr>
        <w:tblW w:w="10490" w:type="dxa"/>
        <w:tblInd w:w="-539"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648"/>
        <w:gridCol w:w="1575"/>
        <w:gridCol w:w="1440"/>
        <w:gridCol w:w="1417"/>
        <w:gridCol w:w="1276"/>
        <w:gridCol w:w="1134"/>
      </w:tblGrid>
      <w:tr w:rsidR="003E0C02" w:rsidRPr="003E0C02" w14:paraId="428A6F62" w14:textId="77777777" w:rsidTr="008442F5">
        <w:trPr>
          <w:trHeight w:val="330"/>
        </w:trPr>
        <w:tc>
          <w:tcPr>
            <w:tcW w:w="3648" w:type="dxa"/>
            <w:vMerge w:val="restart"/>
            <w:tcBorders>
              <w:top w:val="single" w:sz="4" w:space="0" w:color="auto"/>
              <w:bottom w:val="nil"/>
            </w:tcBorders>
            <w:shd w:val="clear" w:color="auto" w:fill="auto"/>
            <w:vAlign w:val="center"/>
            <w:hideMark/>
          </w:tcPr>
          <w:p w14:paraId="3D2FFF96" w14:textId="77777777" w:rsidR="004A5B73" w:rsidRPr="003E0C02" w:rsidRDefault="004A5B73"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Variable</w:t>
            </w:r>
          </w:p>
        </w:tc>
        <w:tc>
          <w:tcPr>
            <w:tcW w:w="5708" w:type="dxa"/>
            <w:gridSpan w:val="4"/>
            <w:tcBorders>
              <w:top w:val="single" w:sz="4" w:space="0" w:color="auto"/>
              <w:bottom w:val="nil"/>
            </w:tcBorders>
            <w:shd w:val="clear" w:color="auto" w:fill="auto"/>
            <w:vAlign w:val="center"/>
            <w:hideMark/>
          </w:tcPr>
          <w:p w14:paraId="756CE44C" w14:textId="77777777" w:rsidR="004A5B73" w:rsidRPr="003E0C02" w:rsidRDefault="004A5B73"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Receiving bariatric surgery</w:t>
            </w:r>
          </w:p>
        </w:tc>
        <w:tc>
          <w:tcPr>
            <w:tcW w:w="1134" w:type="dxa"/>
            <w:vMerge w:val="restart"/>
            <w:tcBorders>
              <w:top w:val="single" w:sz="4" w:space="0" w:color="auto"/>
              <w:bottom w:val="single" w:sz="4" w:space="0" w:color="auto"/>
            </w:tcBorders>
            <w:shd w:val="clear" w:color="auto" w:fill="auto"/>
            <w:vAlign w:val="center"/>
            <w:hideMark/>
          </w:tcPr>
          <w:p w14:paraId="6D7F2A66" w14:textId="77777777" w:rsidR="004A5B73" w:rsidRPr="003E0C02" w:rsidRDefault="004A5B73"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i/>
              </w:rPr>
              <w:t>P</w:t>
            </w:r>
            <w:r w:rsidRPr="003E0C02">
              <w:rPr>
                <w:rFonts w:ascii="Book Antiqua" w:hAnsi="Book Antiqua" w:cs="Calibri"/>
                <w:b/>
                <w:bCs/>
              </w:rPr>
              <w:t xml:space="preserve"> value</w:t>
            </w:r>
            <w:r w:rsidRPr="003E0C02">
              <w:rPr>
                <w:rFonts w:ascii="Book Antiqua" w:hAnsi="Book Antiqua" w:cs="Calibri"/>
                <w:b/>
                <w:bCs/>
                <w:vertAlign w:val="superscript"/>
                <w:lang w:eastAsia="zh-CN"/>
              </w:rPr>
              <w:t>1</w:t>
            </w:r>
          </w:p>
        </w:tc>
      </w:tr>
      <w:tr w:rsidR="003E0C02" w:rsidRPr="003E0C02" w14:paraId="70C6F747" w14:textId="77777777" w:rsidTr="008442F5">
        <w:trPr>
          <w:trHeight w:val="315"/>
        </w:trPr>
        <w:tc>
          <w:tcPr>
            <w:tcW w:w="3648" w:type="dxa"/>
            <w:vMerge/>
            <w:tcBorders>
              <w:top w:val="nil"/>
              <w:bottom w:val="nil"/>
            </w:tcBorders>
            <w:vAlign w:val="center"/>
            <w:hideMark/>
          </w:tcPr>
          <w:p w14:paraId="53DFE4D5" w14:textId="77777777" w:rsidR="004A5B73" w:rsidRPr="003E0C02" w:rsidRDefault="004A5B73" w:rsidP="003E0C02">
            <w:pPr>
              <w:adjustRightInd w:val="0"/>
              <w:snapToGrid w:val="0"/>
              <w:spacing w:line="360" w:lineRule="auto"/>
              <w:jc w:val="both"/>
              <w:rPr>
                <w:rFonts w:ascii="Book Antiqua" w:hAnsi="Book Antiqua" w:cs="Calibri"/>
                <w:b/>
                <w:bCs/>
              </w:rPr>
            </w:pPr>
          </w:p>
        </w:tc>
        <w:tc>
          <w:tcPr>
            <w:tcW w:w="3015" w:type="dxa"/>
            <w:gridSpan w:val="2"/>
            <w:tcBorders>
              <w:top w:val="nil"/>
              <w:bottom w:val="nil"/>
            </w:tcBorders>
            <w:shd w:val="clear" w:color="auto" w:fill="auto"/>
            <w:vAlign w:val="center"/>
            <w:hideMark/>
          </w:tcPr>
          <w:p w14:paraId="4F5A9E3D" w14:textId="77777777" w:rsidR="004A5B73" w:rsidRPr="003E0C02" w:rsidRDefault="004A5B73"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 xml:space="preserve">No </w:t>
            </w:r>
            <w:r w:rsidR="006654F7" w:rsidRPr="003E0C02">
              <w:rPr>
                <w:rFonts w:ascii="Book Antiqua" w:hAnsi="Book Antiqua" w:cs="Calibri"/>
                <w:b/>
                <w:bCs/>
                <w:lang w:eastAsia="zh-CN"/>
              </w:rPr>
              <w:t>[</w:t>
            </w:r>
            <w:r w:rsidRPr="003E0C02">
              <w:rPr>
                <w:rFonts w:ascii="Book Antiqua" w:hAnsi="Book Antiqua" w:cs="Calibri"/>
                <w:b/>
                <w:bCs/>
                <w:i/>
              </w:rPr>
              <w:t>n</w:t>
            </w:r>
            <w:r w:rsidRPr="003E0C02">
              <w:rPr>
                <w:rFonts w:ascii="Book Antiqua" w:hAnsi="Book Antiqua" w:cs="Calibri"/>
                <w:b/>
                <w:bCs/>
                <w:lang w:eastAsia="zh-CN"/>
              </w:rPr>
              <w:t xml:space="preserve"> </w:t>
            </w:r>
            <w:r w:rsidRPr="003E0C02">
              <w:rPr>
                <w:rFonts w:ascii="Book Antiqua" w:hAnsi="Book Antiqua" w:cs="Calibri"/>
                <w:b/>
                <w:bCs/>
              </w:rPr>
              <w:t>=</w:t>
            </w:r>
            <w:r w:rsidRPr="003E0C02">
              <w:rPr>
                <w:rFonts w:ascii="Book Antiqua" w:hAnsi="Book Antiqua" w:cs="Calibri"/>
                <w:b/>
                <w:bCs/>
                <w:lang w:eastAsia="zh-CN"/>
              </w:rPr>
              <w:t xml:space="preserve"> </w:t>
            </w:r>
            <w:r w:rsidRPr="003E0C02">
              <w:rPr>
                <w:rFonts w:ascii="Book Antiqua" w:hAnsi="Book Antiqua" w:cs="Calibri"/>
                <w:b/>
                <w:bCs/>
              </w:rPr>
              <w:t>1509 (34.51%)</w:t>
            </w:r>
            <w:r w:rsidR="006654F7" w:rsidRPr="003E0C02">
              <w:rPr>
                <w:rFonts w:ascii="Book Antiqua" w:hAnsi="Book Antiqua" w:cs="Calibri"/>
                <w:b/>
                <w:bCs/>
                <w:lang w:eastAsia="zh-CN"/>
              </w:rPr>
              <w:t>]</w:t>
            </w:r>
          </w:p>
        </w:tc>
        <w:tc>
          <w:tcPr>
            <w:tcW w:w="2693" w:type="dxa"/>
            <w:gridSpan w:val="2"/>
            <w:tcBorders>
              <w:top w:val="nil"/>
              <w:bottom w:val="nil"/>
            </w:tcBorders>
            <w:shd w:val="clear" w:color="auto" w:fill="auto"/>
            <w:vAlign w:val="center"/>
            <w:hideMark/>
          </w:tcPr>
          <w:p w14:paraId="62756259" w14:textId="77777777" w:rsidR="004A5B73" w:rsidRPr="003E0C02" w:rsidRDefault="004A5B73"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Yes</w:t>
            </w:r>
            <w:r w:rsidRPr="003E0C02">
              <w:rPr>
                <w:rFonts w:ascii="Book Antiqua" w:hAnsi="Book Antiqua"/>
                <w:b/>
              </w:rPr>
              <w:t xml:space="preserve"> </w:t>
            </w:r>
            <w:r w:rsidR="006654F7" w:rsidRPr="003E0C02">
              <w:rPr>
                <w:rFonts w:ascii="Book Antiqua" w:hAnsi="Book Antiqua"/>
                <w:b/>
                <w:lang w:eastAsia="zh-CN"/>
              </w:rPr>
              <w:t>[</w:t>
            </w:r>
            <w:r w:rsidRPr="003E0C02">
              <w:rPr>
                <w:rFonts w:ascii="Book Antiqua" w:hAnsi="Book Antiqua" w:cs="Calibri"/>
                <w:b/>
                <w:bCs/>
                <w:i/>
              </w:rPr>
              <w:t>n</w:t>
            </w:r>
            <w:r w:rsidRPr="003E0C02">
              <w:rPr>
                <w:rFonts w:ascii="Book Antiqua" w:hAnsi="Book Antiqua" w:cs="Calibri"/>
                <w:b/>
                <w:bCs/>
                <w:lang w:eastAsia="zh-CN"/>
              </w:rPr>
              <w:t xml:space="preserve"> </w:t>
            </w:r>
            <w:r w:rsidRPr="003E0C02">
              <w:rPr>
                <w:rFonts w:ascii="Book Antiqua" w:hAnsi="Book Antiqua" w:cs="Calibri"/>
                <w:b/>
                <w:bCs/>
              </w:rPr>
              <w:t>=</w:t>
            </w:r>
            <w:r w:rsidRPr="003E0C02">
              <w:rPr>
                <w:rFonts w:ascii="Book Antiqua" w:hAnsi="Book Antiqua" w:cs="Calibri"/>
                <w:b/>
                <w:bCs/>
                <w:lang w:eastAsia="zh-CN"/>
              </w:rPr>
              <w:t xml:space="preserve"> </w:t>
            </w:r>
            <w:r w:rsidRPr="003E0C02">
              <w:rPr>
                <w:rFonts w:ascii="Book Antiqua" w:hAnsi="Book Antiqua" w:cs="Calibri"/>
                <w:b/>
                <w:bCs/>
              </w:rPr>
              <w:t>2864 (65.49%)</w:t>
            </w:r>
            <w:r w:rsidR="006654F7" w:rsidRPr="003E0C02">
              <w:rPr>
                <w:rFonts w:ascii="Book Antiqua" w:hAnsi="Book Antiqua" w:cs="Calibri"/>
                <w:b/>
                <w:bCs/>
                <w:lang w:eastAsia="zh-CN"/>
              </w:rPr>
              <w:t>]</w:t>
            </w:r>
          </w:p>
        </w:tc>
        <w:tc>
          <w:tcPr>
            <w:tcW w:w="1134" w:type="dxa"/>
            <w:vMerge/>
            <w:tcBorders>
              <w:top w:val="nil"/>
              <w:bottom w:val="single" w:sz="4" w:space="0" w:color="auto"/>
            </w:tcBorders>
            <w:vAlign w:val="center"/>
            <w:hideMark/>
          </w:tcPr>
          <w:p w14:paraId="4C4AE884" w14:textId="77777777" w:rsidR="004A5B73" w:rsidRPr="003E0C02" w:rsidRDefault="004A5B73" w:rsidP="003E0C02">
            <w:pPr>
              <w:adjustRightInd w:val="0"/>
              <w:snapToGrid w:val="0"/>
              <w:spacing w:line="360" w:lineRule="auto"/>
              <w:jc w:val="both"/>
              <w:rPr>
                <w:rFonts w:ascii="Book Antiqua" w:hAnsi="Book Antiqua" w:cs="Calibri"/>
                <w:bCs/>
              </w:rPr>
            </w:pPr>
          </w:p>
        </w:tc>
      </w:tr>
      <w:tr w:rsidR="003E0C02" w:rsidRPr="003E0C02" w14:paraId="2AFF85EC" w14:textId="77777777" w:rsidTr="008442F5">
        <w:trPr>
          <w:trHeight w:val="330"/>
        </w:trPr>
        <w:tc>
          <w:tcPr>
            <w:tcW w:w="3648" w:type="dxa"/>
            <w:vMerge/>
            <w:tcBorders>
              <w:top w:val="nil"/>
              <w:bottom w:val="single" w:sz="4" w:space="0" w:color="auto"/>
            </w:tcBorders>
            <w:vAlign w:val="center"/>
            <w:hideMark/>
          </w:tcPr>
          <w:p w14:paraId="1C094B24" w14:textId="77777777" w:rsidR="004A5B73" w:rsidRPr="003E0C02" w:rsidRDefault="004A5B73" w:rsidP="003E0C02">
            <w:pPr>
              <w:adjustRightInd w:val="0"/>
              <w:snapToGrid w:val="0"/>
              <w:spacing w:line="360" w:lineRule="auto"/>
              <w:jc w:val="both"/>
              <w:rPr>
                <w:rFonts w:ascii="Book Antiqua" w:hAnsi="Book Antiqua" w:cs="Calibri"/>
                <w:b/>
                <w:bCs/>
              </w:rPr>
            </w:pPr>
          </w:p>
        </w:tc>
        <w:tc>
          <w:tcPr>
            <w:tcW w:w="1575" w:type="dxa"/>
            <w:tcBorders>
              <w:top w:val="nil"/>
              <w:bottom w:val="single" w:sz="4" w:space="0" w:color="auto"/>
            </w:tcBorders>
            <w:shd w:val="clear" w:color="auto" w:fill="auto"/>
            <w:vAlign w:val="center"/>
            <w:hideMark/>
          </w:tcPr>
          <w:p w14:paraId="2B9470BB" w14:textId="77777777" w:rsidR="004A5B73" w:rsidRPr="003E0C02" w:rsidRDefault="004A5B73" w:rsidP="003E0C02">
            <w:pPr>
              <w:adjustRightInd w:val="0"/>
              <w:snapToGrid w:val="0"/>
              <w:spacing w:line="360" w:lineRule="auto"/>
              <w:jc w:val="both"/>
              <w:rPr>
                <w:rFonts w:ascii="Book Antiqua" w:hAnsi="Book Antiqua" w:cs="Calibri"/>
                <w:b/>
                <w:bCs/>
                <w:i/>
              </w:rPr>
            </w:pPr>
            <w:r w:rsidRPr="003E0C02">
              <w:rPr>
                <w:rFonts w:ascii="Book Antiqua" w:hAnsi="Book Antiqua" w:cs="Calibri"/>
                <w:b/>
                <w:bCs/>
                <w:i/>
              </w:rPr>
              <w:t>n</w:t>
            </w:r>
          </w:p>
        </w:tc>
        <w:tc>
          <w:tcPr>
            <w:tcW w:w="1440" w:type="dxa"/>
            <w:tcBorders>
              <w:top w:val="nil"/>
              <w:bottom w:val="single" w:sz="4" w:space="0" w:color="auto"/>
            </w:tcBorders>
            <w:shd w:val="clear" w:color="auto" w:fill="auto"/>
            <w:vAlign w:val="center"/>
            <w:hideMark/>
          </w:tcPr>
          <w:p w14:paraId="78B588CD" w14:textId="77777777" w:rsidR="004A5B73" w:rsidRPr="003E0C02" w:rsidRDefault="004A5B73"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w:t>
            </w:r>
          </w:p>
        </w:tc>
        <w:tc>
          <w:tcPr>
            <w:tcW w:w="1417" w:type="dxa"/>
            <w:tcBorders>
              <w:top w:val="nil"/>
              <w:bottom w:val="single" w:sz="4" w:space="0" w:color="auto"/>
            </w:tcBorders>
            <w:shd w:val="clear" w:color="auto" w:fill="auto"/>
            <w:vAlign w:val="center"/>
            <w:hideMark/>
          </w:tcPr>
          <w:p w14:paraId="674E1CA0" w14:textId="77777777" w:rsidR="004A5B73" w:rsidRPr="003E0C02" w:rsidRDefault="004A5B73" w:rsidP="003E0C02">
            <w:pPr>
              <w:adjustRightInd w:val="0"/>
              <w:snapToGrid w:val="0"/>
              <w:spacing w:line="360" w:lineRule="auto"/>
              <w:jc w:val="both"/>
              <w:rPr>
                <w:rFonts w:ascii="Book Antiqua" w:hAnsi="Book Antiqua" w:cs="Calibri"/>
                <w:b/>
                <w:bCs/>
                <w:i/>
              </w:rPr>
            </w:pPr>
            <w:r w:rsidRPr="003E0C02">
              <w:rPr>
                <w:rFonts w:ascii="Book Antiqua" w:hAnsi="Book Antiqua" w:cs="Calibri"/>
                <w:b/>
                <w:bCs/>
                <w:i/>
              </w:rPr>
              <w:t>n</w:t>
            </w:r>
          </w:p>
        </w:tc>
        <w:tc>
          <w:tcPr>
            <w:tcW w:w="1276" w:type="dxa"/>
            <w:tcBorders>
              <w:top w:val="nil"/>
              <w:bottom w:val="single" w:sz="4" w:space="0" w:color="auto"/>
            </w:tcBorders>
            <w:shd w:val="clear" w:color="auto" w:fill="auto"/>
            <w:vAlign w:val="center"/>
            <w:hideMark/>
          </w:tcPr>
          <w:p w14:paraId="3AAD2594" w14:textId="77777777" w:rsidR="004A5B73" w:rsidRPr="003E0C02" w:rsidRDefault="004A5B73"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w:t>
            </w:r>
          </w:p>
        </w:tc>
        <w:tc>
          <w:tcPr>
            <w:tcW w:w="1134" w:type="dxa"/>
            <w:vMerge/>
            <w:tcBorders>
              <w:top w:val="nil"/>
              <w:bottom w:val="single" w:sz="4" w:space="0" w:color="auto"/>
            </w:tcBorders>
            <w:vAlign w:val="center"/>
            <w:hideMark/>
          </w:tcPr>
          <w:p w14:paraId="1F87777C" w14:textId="77777777" w:rsidR="004A5B73" w:rsidRPr="003E0C02" w:rsidRDefault="004A5B73" w:rsidP="003E0C02">
            <w:pPr>
              <w:adjustRightInd w:val="0"/>
              <w:snapToGrid w:val="0"/>
              <w:spacing w:line="360" w:lineRule="auto"/>
              <w:jc w:val="both"/>
              <w:rPr>
                <w:rFonts w:ascii="Book Antiqua" w:hAnsi="Book Antiqua" w:cs="Calibri"/>
                <w:bCs/>
              </w:rPr>
            </w:pPr>
          </w:p>
        </w:tc>
      </w:tr>
      <w:tr w:rsidR="003E0C02" w:rsidRPr="003E0C02" w14:paraId="5571EEF0" w14:textId="77777777" w:rsidTr="008442F5">
        <w:trPr>
          <w:trHeight w:val="315"/>
        </w:trPr>
        <w:tc>
          <w:tcPr>
            <w:tcW w:w="3648" w:type="dxa"/>
            <w:tcBorders>
              <w:top w:val="single" w:sz="4" w:space="0" w:color="auto"/>
            </w:tcBorders>
            <w:shd w:val="clear" w:color="auto" w:fill="auto"/>
            <w:vAlign w:val="center"/>
            <w:hideMark/>
          </w:tcPr>
          <w:p w14:paraId="27C17937" w14:textId="77777777" w:rsidR="00601B00" w:rsidRPr="003E0C02" w:rsidRDefault="00601B00" w:rsidP="003E0C02">
            <w:pPr>
              <w:adjustRightInd w:val="0"/>
              <w:snapToGrid w:val="0"/>
              <w:spacing w:line="360" w:lineRule="auto"/>
              <w:jc w:val="both"/>
              <w:rPr>
                <w:rFonts w:ascii="Book Antiqua" w:hAnsi="Book Antiqua" w:cs="Calibri"/>
                <w:bCs/>
              </w:rPr>
            </w:pPr>
            <w:r w:rsidRPr="003E0C02">
              <w:rPr>
                <w:rFonts w:ascii="Book Antiqua" w:hAnsi="Book Antiqua" w:cs="Calibri"/>
                <w:bCs/>
              </w:rPr>
              <w:t>Malabsorptive procedures</w:t>
            </w:r>
          </w:p>
        </w:tc>
        <w:tc>
          <w:tcPr>
            <w:tcW w:w="1575" w:type="dxa"/>
            <w:tcBorders>
              <w:top w:val="single" w:sz="4" w:space="0" w:color="auto"/>
            </w:tcBorders>
            <w:shd w:val="clear" w:color="auto" w:fill="auto"/>
            <w:noWrap/>
            <w:vAlign w:val="center"/>
            <w:hideMark/>
          </w:tcPr>
          <w:p w14:paraId="4453FB9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440" w:type="dxa"/>
            <w:tcBorders>
              <w:top w:val="single" w:sz="4" w:space="0" w:color="auto"/>
            </w:tcBorders>
            <w:shd w:val="clear" w:color="auto" w:fill="auto"/>
            <w:noWrap/>
            <w:vAlign w:val="center"/>
            <w:hideMark/>
          </w:tcPr>
          <w:p w14:paraId="64E783B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417" w:type="dxa"/>
            <w:tcBorders>
              <w:top w:val="single" w:sz="4" w:space="0" w:color="auto"/>
            </w:tcBorders>
            <w:shd w:val="clear" w:color="auto" w:fill="auto"/>
            <w:noWrap/>
            <w:vAlign w:val="center"/>
            <w:hideMark/>
          </w:tcPr>
          <w:p w14:paraId="20B484E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1773</w:t>
            </w:r>
          </w:p>
        </w:tc>
        <w:tc>
          <w:tcPr>
            <w:tcW w:w="1276" w:type="dxa"/>
            <w:tcBorders>
              <w:top w:val="single" w:sz="4" w:space="0" w:color="auto"/>
            </w:tcBorders>
            <w:shd w:val="clear" w:color="auto" w:fill="auto"/>
            <w:noWrap/>
            <w:vAlign w:val="center"/>
            <w:hideMark/>
          </w:tcPr>
          <w:p w14:paraId="485B7D1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61.91</w:t>
            </w:r>
          </w:p>
        </w:tc>
        <w:tc>
          <w:tcPr>
            <w:tcW w:w="1134" w:type="dxa"/>
            <w:tcBorders>
              <w:top w:val="single" w:sz="4" w:space="0" w:color="auto"/>
            </w:tcBorders>
            <w:shd w:val="clear" w:color="auto" w:fill="auto"/>
            <w:vAlign w:val="center"/>
            <w:hideMark/>
          </w:tcPr>
          <w:p w14:paraId="78D9C54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r>
      <w:tr w:rsidR="003E0C02" w:rsidRPr="003E0C02" w14:paraId="4E34F46D" w14:textId="77777777" w:rsidTr="006654F7">
        <w:trPr>
          <w:trHeight w:val="315"/>
        </w:trPr>
        <w:tc>
          <w:tcPr>
            <w:tcW w:w="3648" w:type="dxa"/>
            <w:shd w:val="clear" w:color="auto" w:fill="auto"/>
            <w:vAlign w:val="center"/>
            <w:hideMark/>
          </w:tcPr>
          <w:p w14:paraId="0EE8453B" w14:textId="77777777" w:rsidR="00601B00" w:rsidRPr="003E0C02" w:rsidRDefault="00601B00" w:rsidP="003E0C02">
            <w:pPr>
              <w:adjustRightInd w:val="0"/>
              <w:snapToGrid w:val="0"/>
              <w:spacing w:line="360" w:lineRule="auto"/>
              <w:jc w:val="both"/>
              <w:rPr>
                <w:rFonts w:ascii="Book Antiqua" w:hAnsi="Book Antiqua" w:cs="Calibri"/>
                <w:bCs/>
              </w:rPr>
            </w:pPr>
            <w:r w:rsidRPr="003E0C02">
              <w:rPr>
                <w:rFonts w:ascii="Book Antiqua" w:hAnsi="Book Antiqua" w:cs="Calibri"/>
                <w:bCs/>
              </w:rPr>
              <w:t>Restrictive procedures</w:t>
            </w:r>
          </w:p>
        </w:tc>
        <w:tc>
          <w:tcPr>
            <w:tcW w:w="1575" w:type="dxa"/>
            <w:shd w:val="clear" w:color="auto" w:fill="auto"/>
            <w:noWrap/>
            <w:vAlign w:val="center"/>
            <w:hideMark/>
          </w:tcPr>
          <w:p w14:paraId="7FB4AC5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440" w:type="dxa"/>
            <w:shd w:val="clear" w:color="auto" w:fill="auto"/>
            <w:noWrap/>
            <w:vAlign w:val="center"/>
            <w:hideMark/>
          </w:tcPr>
          <w:p w14:paraId="51438EF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417" w:type="dxa"/>
            <w:shd w:val="clear" w:color="auto" w:fill="auto"/>
            <w:noWrap/>
            <w:vAlign w:val="center"/>
            <w:hideMark/>
          </w:tcPr>
          <w:p w14:paraId="27D191F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2465</w:t>
            </w:r>
          </w:p>
        </w:tc>
        <w:tc>
          <w:tcPr>
            <w:tcW w:w="1276" w:type="dxa"/>
            <w:shd w:val="clear" w:color="auto" w:fill="auto"/>
            <w:noWrap/>
            <w:vAlign w:val="center"/>
            <w:hideMark/>
          </w:tcPr>
          <w:p w14:paraId="2DD8CB6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86.07</w:t>
            </w:r>
          </w:p>
        </w:tc>
        <w:tc>
          <w:tcPr>
            <w:tcW w:w="1134" w:type="dxa"/>
            <w:shd w:val="clear" w:color="auto" w:fill="auto"/>
            <w:vAlign w:val="center"/>
            <w:hideMark/>
          </w:tcPr>
          <w:p w14:paraId="7100FE9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r>
      <w:tr w:rsidR="003E0C02" w:rsidRPr="003E0C02" w14:paraId="424A9DA7" w14:textId="77777777" w:rsidTr="006654F7">
        <w:trPr>
          <w:trHeight w:val="315"/>
        </w:trPr>
        <w:tc>
          <w:tcPr>
            <w:tcW w:w="3648" w:type="dxa"/>
            <w:shd w:val="clear" w:color="auto" w:fill="auto"/>
            <w:vAlign w:val="center"/>
            <w:hideMark/>
          </w:tcPr>
          <w:p w14:paraId="6091CB58" w14:textId="77777777" w:rsidR="00601B00" w:rsidRPr="003E0C02" w:rsidRDefault="00601B00" w:rsidP="003E0C02">
            <w:pPr>
              <w:adjustRightInd w:val="0"/>
              <w:snapToGrid w:val="0"/>
              <w:spacing w:line="360" w:lineRule="auto"/>
              <w:jc w:val="both"/>
              <w:rPr>
                <w:rFonts w:ascii="Book Antiqua" w:hAnsi="Book Antiqua" w:cs="Calibri"/>
                <w:bCs/>
              </w:rPr>
            </w:pPr>
            <w:r w:rsidRPr="003E0C02">
              <w:rPr>
                <w:rFonts w:ascii="Book Antiqua" w:hAnsi="Book Antiqua" w:cs="Calibri"/>
                <w:bCs/>
              </w:rPr>
              <w:t>Sex</w:t>
            </w:r>
          </w:p>
        </w:tc>
        <w:tc>
          <w:tcPr>
            <w:tcW w:w="1575" w:type="dxa"/>
            <w:shd w:val="clear" w:color="auto" w:fill="auto"/>
            <w:noWrap/>
            <w:vAlign w:val="bottom"/>
            <w:hideMark/>
          </w:tcPr>
          <w:p w14:paraId="5432CF53" w14:textId="77777777" w:rsidR="00601B00" w:rsidRPr="003E0C02" w:rsidRDefault="00601B00" w:rsidP="003E0C02">
            <w:pPr>
              <w:adjustRightInd w:val="0"/>
              <w:snapToGrid w:val="0"/>
              <w:spacing w:line="360" w:lineRule="auto"/>
              <w:jc w:val="both"/>
              <w:rPr>
                <w:rFonts w:ascii="Book Antiqua" w:hAnsi="Book Antiqua" w:cs="Calibri"/>
                <w:bCs/>
              </w:rPr>
            </w:pPr>
          </w:p>
        </w:tc>
        <w:tc>
          <w:tcPr>
            <w:tcW w:w="1440" w:type="dxa"/>
            <w:shd w:val="clear" w:color="auto" w:fill="auto"/>
            <w:vAlign w:val="center"/>
            <w:hideMark/>
          </w:tcPr>
          <w:p w14:paraId="3C48939F" w14:textId="77777777" w:rsidR="00601B00" w:rsidRPr="003E0C02" w:rsidRDefault="00601B00" w:rsidP="003E0C02">
            <w:pPr>
              <w:adjustRightInd w:val="0"/>
              <w:snapToGrid w:val="0"/>
              <w:spacing w:line="360" w:lineRule="auto"/>
              <w:jc w:val="both"/>
              <w:rPr>
                <w:rFonts w:ascii="Book Antiqua" w:eastAsia="Times New Roman" w:hAnsi="Book Antiqua"/>
              </w:rPr>
            </w:pPr>
          </w:p>
        </w:tc>
        <w:tc>
          <w:tcPr>
            <w:tcW w:w="1417" w:type="dxa"/>
            <w:shd w:val="clear" w:color="auto" w:fill="auto"/>
            <w:vAlign w:val="center"/>
            <w:hideMark/>
          </w:tcPr>
          <w:p w14:paraId="475406E4" w14:textId="77777777" w:rsidR="00601B00" w:rsidRPr="003E0C02" w:rsidRDefault="00601B00" w:rsidP="003E0C02">
            <w:pPr>
              <w:adjustRightInd w:val="0"/>
              <w:snapToGrid w:val="0"/>
              <w:spacing w:line="360" w:lineRule="auto"/>
              <w:jc w:val="both"/>
              <w:rPr>
                <w:rFonts w:ascii="Book Antiqua" w:eastAsia="Times New Roman" w:hAnsi="Book Antiqua"/>
              </w:rPr>
            </w:pPr>
          </w:p>
        </w:tc>
        <w:tc>
          <w:tcPr>
            <w:tcW w:w="1276" w:type="dxa"/>
            <w:shd w:val="clear" w:color="auto" w:fill="auto"/>
            <w:vAlign w:val="center"/>
            <w:hideMark/>
          </w:tcPr>
          <w:p w14:paraId="7D992148" w14:textId="77777777" w:rsidR="00601B00" w:rsidRPr="003E0C02" w:rsidRDefault="00601B00" w:rsidP="003E0C02">
            <w:pPr>
              <w:adjustRightInd w:val="0"/>
              <w:snapToGrid w:val="0"/>
              <w:spacing w:line="360" w:lineRule="auto"/>
              <w:jc w:val="both"/>
              <w:rPr>
                <w:rFonts w:ascii="Book Antiqua" w:eastAsia="Times New Roman" w:hAnsi="Book Antiqua"/>
              </w:rPr>
            </w:pPr>
          </w:p>
        </w:tc>
        <w:tc>
          <w:tcPr>
            <w:tcW w:w="1134" w:type="dxa"/>
            <w:shd w:val="clear" w:color="auto" w:fill="auto"/>
            <w:vAlign w:val="center"/>
            <w:hideMark/>
          </w:tcPr>
          <w:p w14:paraId="769EB9CB"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4A9D65E1" w14:textId="77777777" w:rsidTr="006654F7">
        <w:trPr>
          <w:trHeight w:val="315"/>
        </w:trPr>
        <w:tc>
          <w:tcPr>
            <w:tcW w:w="3648" w:type="dxa"/>
            <w:shd w:val="clear" w:color="auto" w:fill="auto"/>
            <w:vAlign w:val="center"/>
            <w:hideMark/>
          </w:tcPr>
          <w:p w14:paraId="438EE1B7"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Female</w:t>
            </w:r>
          </w:p>
        </w:tc>
        <w:tc>
          <w:tcPr>
            <w:tcW w:w="1575" w:type="dxa"/>
            <w:shd w:val="clear" w:color="auto" w:fill="auto"/>
            <w:vAlign w:val="center"/>
            <w:hideMark/>
          </w:tcPr>
          <w:p w14:paraId="5B75FF59"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818</w:t>
            </w:r>
          </w:p>
        </w:tc>
        <w:tc>
          <w:tcPr>
            <w:tcW w:w="1440" w:type="dxa"/>
            <w:shd w:val="clear" w:color="auto" w:fill="auto"/>
            <w:vAlign w:val="center"/>
            <w:hideMark/>
          </w:tcPr>
          <w:p w14:paraId="58D1D95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54.21</w:t>
            </w:r>
          </w:p>
        </w:tc>
        <w:tc>
          <w:tcPr>
            <w:tcW w:w="1417" w:type="dxa"/>
            <w:shd w:val="clear" w:color="auto" w:fill="auto"/>
            <w:vAlign w:val="center"/>
            <w:hideMark/>
          </w:tcPr>
          <w:p w14:paraId="058AC60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1855</w:t>
            </w:r>
          </w:p>
        </w:tc>
        <w:tc>
          <w:tcPr>
            <w:tcW w:w="1276" w:type="dxa"/>
            <w:shd w:val="clear" w:color="auto" w:fill="auto"/>
            <w:vAlign w:val="center"/>
            <w:hideMark/>
          </w:tcPr>
          <w:p w14:paraId="37DCC17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64.77</w:t>
            </w:r>
          </w:p>
        </w:tc>
        <w:tc>
          <w:tcPr>
            <w:tcW w:w="1134" w:type="dxa"/>
            <w:shd w:val="clear" w:color="auto" w:fill="auto"/>
            <w:noWrap/>
            <w:vAlign w:val="center"/>
            <w:hideMark/>
          </w:tcPr>
          <w:p w14:paraId="2AF66C17"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66D868B9" w14:textId="77777777" w:rsidTr="006654F7">
        <w:trPr>
          <w:trHeight w:val="315"/>
        </w:trPr>
        <w:tc>
          <w:tcPr>
            <w:tcW w:w="3648" w:type="dxa"/>
            <w:shd w:val="clear" w:color="auto" w:fill="auto"/>
            <w:vAlign w:val="center"/>
            <w:hideMark/>
          </w:tcPr>
          <w:p w14:paraId="135A3312"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Male</w:t>
            </w:r>
          </w:p>
        </w:tc>
        <w:tc>
          <w:tcPr>
            <w:tcW w:w="1575" w:type="dxa"/>
            <w:shd w:val="clear" w:color="auto" w:fill="auto"/>
            <w:vAlign w:val="center"/>
            <w:hideMark/>
          </w:tcPr>
          <w:p w14:paraId="0665F43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691</w:t>
            </w:r>
          </w:p>
        </w:tc>
        <w:tc>
          <w:tcPr>
            <w:tcW w:w="1440" w:type="dxa"/>
            <w:shd w:val="clear" w:color="auto" w:fill="auto"/>
            <w:vAlign w:val="center"/>
            <w:hideMark/>
          </w:tcPr>
          <w:p w14:paraId="105677B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45.79</w:t>
            </w:r>
          </w:p>
        </w:tc>
        <w:tc>
          <w:tcPr>
            <w:tcW w:w="1417" w:type="dxa"/>
            <w:shd w:val="clear" w:color="auto" w:fill="auto"/>
            <w:vAlign w:val="center"/>
            <w:hideMark/>
          </w:tcPr>
          <w:p w14:paraId="603B4E8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1009</w:t>
            </w:r>
          </w:p>
        </w:tc>
        <w:tc>
          <w:tcPr>
            <w:tcW w:w="1276" w:type="dxa"/>
            <w:shd w:val="clear" w:color="auto" w:fill="auto"/>
            <w:vAlign w:val="center"/>
            <w:hideMark/>
          </w:tcPr>
          <w:p w14:paraId="5E40102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35.23</w:t>
            </w:r>
          </w:p>
        </w:tc>
        <w:tc>
          <w:tcPr>
            <w:tcW w:w="1134" w:type="dxa"/>
            <w:shd w:val="clear" w:color="auto" w:fill="auto"/>
            <w:noWrap/>
            <w:vAlign w:val="center"/>
            <w:hideMark/>
          </w:tcPr>
          <w:p w14:paraId="5AB82E63"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795A6087" w14:textId="77777777" w:rsidTr="00570C3A">
        <w:trPr>
          <w:trHeight w:val="315"/>
        </w:trPr>
        <w:tc>
          <w:tcPr>
            <w:tcW w:w="9356" w:type="dxa"/>
            <w:gridSpan w:val="5"/>
            <w:shd w:val="clear" w:color="auto" w:fill="auto"/>
            <w:vAlign w:val="center"/>
            <w:hideMark/>
          </w:tcPr>
          <w:p w14:paraId="17367C78" w14:textId="77777777" w:rsidR="00772969" w:rsidRPr="003E0C02" w:rsidRDefault="00772969"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Age at baseline, yr</w:t>
            </w:r>
          </w:p>
        </w:tc>
        <w:tc>
          <w:tcPr>
            <w:tcW w:w="1134" w:type="dxa"/>
            <w:shd w:val="clear" w:color="auto" w:fill="auto"/>
            <w:vAlign w:val="center"/>
            <w:hideMark/>
          </w:tcPr>
          <w:p w14:paraId="2051B35B" w14:textId="77777777" w:rsidR="00772969" w:rsidRPr="003E0C02" w:rsidRDefault="00772969"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31F6AB62" w14:textId="77777777" w:rsidTr="006654F7">
        <w:trPr>
          <w:trHeight w:val="315"/>
        </w:trPr>
        <w:tc>
          <w:tcPr>
            <w:tcW w:w="3648" w:type="dxa"/>
            <w:shd w:val="clear" w:color="auto" w:fill="auto"/>
            <w:vAlign w:val="center"/>
            <w:hideMark/>
          </w:tcPr>
          <w:p w14:paraId="1B361D45" w14:textId="77777777" w:rsidR="00601B00" w:rsidRPr="003E0C02" w:rsidRDefault="008258CE"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20-29</w:t>
            </w:r>
          </w:p>
        </w:tc>
        <w:tc>
          <w:tcPr>
            <w:tcW w:w="1575" w:type="dxa"/>
            <w:shd w:val="clear" w:color="auto" w:fill="auto"/>
            <w:noWrap/>
            <w:vAlign w:val="bottom"/>
            <w:hideMark/>
          </w:tcPr>
          <w:p w14:paraId="060DAE3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302</w:t>
            </w:r>
          </w:p>
        </w:tc>
        <w:tc>
          <w:tcPr>
            <w:tcW w:w="1440" w:type="dxa"/>
            <w:shd w:val="clear" w:color="auto" w:fill="auto"/>
            <w:noWrap/>
            <w:vAlign w:val="bottom"/>
            <w:hideMark/>
          </w:tcPr>
          <w:p w14:paraId="55E15F2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20.01</w:t>
            </w:r>
          </w:p>
        </w:tc>
        <w:tc>
          <w:tcPr>
            <w:tcW w:w="1417" w:type="dxa"/>
            <w:shd w:val="clear" w:color="auto" w:fill="auto"/>
            <w:noWrap/>
            <w:vAlign w:val="bottom"/>
            <w:hideMark/>
          </w:tcPr>
          <w:p w14:paraId="420B451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1305</w:t>
            </w:r>
          </w:p>
        </w:tc>
        <w:tc>
          <w:tcPr>
            <w:tcW w:w="1276" w:type="dxa"/>
            <w:shd w:val="clear" w:color="auto" w:fill="auto"/>
            <w:noWrap/>
            <w:vAlign w:val="bottom"/>
            <w:hideMark/>
          </w:tcPr>
          <w:p w14:paraId="45663D8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45.57</w:t>
            </w:r>
          </w:p>
        </w:tc>
        <w:tc>
          <w:tcPr>
            <w:tcW w:w="1134" w:type="dxa"/>
            <w:shd w:val="clear" w:color="auto" w:fill="auto"/>
            <w:noWrap/>
            <w:vAlign w:val="center"/>
            <w:hideMark/>
          </w:tcPr>
          <w:p w14:paraId="7E522F8A"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1A5C7981" w14:textId="77777777" w:rsidTr="006654F7">
        <w:trPr>
          <w:trHeight w:val="315"/>
        </w:trPr>
        <w:tc>
          <w:tcPr>
            <w:tcW w:w="3648" w:type="dxa"/>
            <w:shd w:val="clear" w:color="auto" w:fill="auto"/>
            <w:vAlign w:val="center"/>
            <w:hideMark/>
          </w:tcPr>
          <w:p w14:paraId="5F1997F4" w14:textId="77777777" w:rsidR="00601B00" w:rsidRPr="003E0C02" w:rsidRDefault="00601B00"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30-</w:t>
            </w:r>
            <w:r w:rsidR="008258CE" w:rsidRPr="003E0C02">
              <w:rPr>
                <w:rFonts w:ascii="Book Antiqua" w:hAnsi="Book Antiqua" w:cs="Calibri"/>
              </w:rPr>
              <w:t>64</w:t>
            </w:r>
          </w:p>
        </w:tc>
        <w:tc>
          <w:tcPr>
            <w:tcW w:w="1575" w:type="dxa"/>
            <w:shd w:val="clear" w:color="auto" w:fill="auto"/>
            <w:noWrap/>
            <w:vAlign w:val="center"/>
            <w:hideMark/>
          </w:tcPr>
          <w:p w14:paraId="73E7652C"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1034</w:t>
            </w:r>
          </w:p>
        </w:tc>
        <w:tc>
          <w:tcPr>
            <w:tcW w:w="1440" w:type="dxa"/>
            <w:shd w:val="clear" w:color="auto" w:fill="auto"/>
            <w:noWrap/>
            <w:vAlign w:val="center"/>
            <w:hideMark/>
          </w:tcPr>
          <w:p w14:paraId="0F213AA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68.52</w:t>
            </w:r>
          </w:p>
        </w:tc>
        <w:tc>
          <w:tcPr>
            <w:tcW w:w="1417" w:type="dxa"/>
            <w:shd w:val="clear" w:color="auto" w:fill="auto"/>
            <w:noWrap/>
            <w:vAlign w:val="center"/>
            <w:hideMark/>
          </w:tcPr>
          <w:p w14:paraId="08D3E14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1558</w:t>
            </w:r>
          </w:p>
        </w:tc>
        <w:tc>
          <w:tcPr>
            <w:tcW w:w="1276" w:type="dxa"/>
            <w:shd w:val="clear" w:color="auto" w:fill="auto"/>
            <w:noWrap/>
            <w:vAlign w:val="center"/>
            <w:hideMark/>
          </w:tcPr>
          <w:p w14:paraId="437614A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54.4</w:t>
            </w:r>
          </w:p>
        </w:tc>
        <w:tc>
          <w:tcPr>
            <w:tcW w:w="1134" w:type="dxa"/>
            <w:shd w:val="clear" w:color="auto" w:fill="auto"/>
            <w:noWrap/>
            <w:vAlign w:val="center"/>
            <w:hideMark/>
          </w:tcPr>
          <w:p w14:paraId="2402CC18"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611D8105" w14:textId="77777777" w:rsidTr="006654F7">
        <w:trPr>
          <w:trHeight w:val="315"/>
        </w:trPr>
        <w:tc>
          <w:tcPr>
            <w:tcW w:w="3648" w:type="dxa"/>
            <w:shd w:val="clear" w:color="auto" w:fill="auto"/>
            <w:vAlign w:val="center"/>
            <w:hideMark/>
          </w:tcPr>
          <w:p w14:paraId="68AE19F6" w14:textId="77777777" w:rsidR="00601B00" w:rsidRPr="003E0C02" w:rsidRDefault="008258CE"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65-100</w:t>
            </w:r>
          </w:p>
        </w:tc>
        <w:tc>
          <w:tcPr>
            <w:tcW w:w="1575" w:type="dxa"/>
            <w:shd w:val="clear" w:color="auto" w:fill="auto"/>
            <w:noWrap/>
            <w:vAlign w:val="center"/>
            <w:hideMark/>
          </w:tcPr>
          <w:p w14:paraId="7A26D2DF"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173</w:t>
            </w:r>
          </w:p>
        </w:tc>
        <w:tc>
          <w:tcPr>
            <w:tcW w:w="1440" w:type="dxa"/>
            <w:shd w:val="clear" w:color="auto" w:fill="auto"/>
            <w:noWrap/>
            <w:vAlign w:val="center"/>
            <w:hideMark/>
          </w:tcPr>
          <w:p w14:paraId="3E74B36B"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11.46</w:t>
            </w:r>
          </w:p>
        </w:tc>
        <w:tc>
          <w:tcPr>
            <w:tcW w:w="1417" w:type="dxa"/>
            <w:shd w:val="clear" w:color="auto" w:fill="auto"/>
            <w:noWrap/>
            <w:vAlign w:val="center"/>
            <w:hideMark/>
          </w:tcPr>
          <w:p w14:paraId="1E13D3D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1276" w:type="dxa"/>
            <w:shd w:val="clear" w:color="auto" w:fill="auto"/>
            <w:noWrap/>
            <w:vAlign w:val="center"/>
            <w:hideMark/>
          </w:tcPr>
          <w:p w14:paraId="79B2628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0.03</w:t>
            </w:r>
          </w:p>
        </w:tc>
        <w:tc>
          <w:tcPr>
            <w:tcW w:w="1134" w:type="dxa"/>
            <w:shd w:val="clear" w:color="auto" w:fill="auto"/>
            <w:noWrap/>
            <w:vAlign w:val="center"/>
            <w:hideMark/>
          </w:tcPr>
          <w:p w14:paraId="4B7BA2B3" w14:textId="77777777" w:rsidR="00601B00" w:rsidRPr="003E0C02" w:rsidRDefault="00601B00" w:rsidP="003E0C02">
            <w:pPr>
              <w:adjustRightInd w:val="0"/>
              <w:snapToGrid w:val="0"/>
              <w:spacing w:line="360" w:lineRule="auto"/>
              <w:jc w:val="both"/>
              <w:rPr>
                <w:rFonts w:ascii="Book Antiqua" w:eastAsia="Times New Roman" w:hAnsi="Book Antiqua"/>
              </w:rPr>
            </w:pPr>
          </w:p>
        </w:tc>
      </w:tr>
      <w:tr w:rsidR="003E0C02" w:rsidRPr="003E0C02" w14:paraId="6E7875D3" w14:textId="77777777" w:rsidTr="006654F7">
        <w:trPr>
          <w:trHeight w:val="360"/>
        </w:trPr>
        <w:tc>
          <w:tcPr>
            <w:tcW w:w="3648" w:type="dxa"/>
            <w:shd w:val="clear" w:color="auto" w:fill="auto"/>
            <w:vAlign w:val="center"/>
            <w:hideMark/>
          </w:tcPr>
          <w:p w14:paraId="43EB8E68" w14:textId="77777777" w:rsidR="00601B00" w:rsidRPr="003E0C02" w:rsidRDefault="008258CE"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lang w:eastAsia="zh-CN"/>
              </w:rPr>
              <w:t>m</w:t>
            </w:r>
            <w:r w:rsidR="00601B00" w:rsidRPr="003E0C02">
              <w:rPr>
                <w:rFonts w:ascii="Book Antiqua" w:hAnsi="Book Antiqua" w:cs="Calibri"/>
              </w:rPr>
              <w:t xml:space="preserve">ean </w:t>
            </w:r>
            <w:r w:rsidRPr="003E0C02">
              <w:rPr>
                <w:rFonts w:ascii="Book Antiqua" w:eastAsia="宋体" w:hAnsi="Book Antiqua" w:cs="Calibri"/>
              </w:rPr>
              <w:t>±</w:t>
            </w:r>
            <w:r w:rsidRPr="003E0C02">
              <w:rPr>
                <w:rFonts w:ascii="Book Antiqua" w:eastAsia="宋体" w:hAnsi="Book Antiqua" w:cs="Calibri"/>
                <w:lang w:eastAsia="zh-CN"/>
              </w:rPr>
              <w:t xml:space="preserve"> </w:t>
            </w:r>
            <w:r w:rsidR="00601B00" w:rsidRPr="003E0C02">
              <w:rPr>
                <w:rFonts w:ascii="Book Antiqua" w:hAnsi="Book Antiqua" w:cs="Calibri"/>
              </w:rPr>
              <w:t>SD</w:t>
            </w:r>
          </w:p>
        </w:tc>
        <w:tc>
          <w:tcPr>
            <w:tcW w:w="3015" w:type="dxa"/>
            <w:gridSpan w:val="2"/>
            <w:shd w:val="clear" w:color="auto" w:fill="auto"/>
            <w:vAlign w:val="center"/>
            <w:hideMark/>
          </w:tcPr>
          <w:p w14:paraId="3EC313B5" w14:textId="77777777" w:rsidR="00601B00" w:rsidRPr="003E0C02" w:rsidRDefault="00601B00"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44.30</w:t>
            </w:r>
            <w:r w:rsidR="008258CE" w:rsidRPr="003E0C02">
              <w:rPr>
                <w:rFonts w:ascii="Book Antiqua" w:hAnsi="Book Antiqua" w:cs="Calibri"/>
              </w:rPr>
              <w:t xml:space="preserve"> </w:t>
            </w:r>
            <w:r w:rsidR="008258CE" w:rsidRPr="003E0C02">
              <w:rPr>
                <w:rFonts w:ascii="Book Antiqua" w:eastAsia="宋体" w:hAnsi="Book Antiqua" w:cs="Calibri"/>
              </w:rPr>
              <w:t>±</w:t>
            </w:r>
            <w:r w:rsidR="008258CE" w:rsidRPr="003E0C02">
              <w:rPr>
                <w:rFonts w:ascii="Book Antiqua" w:eastAsia="宋体" w:hAnsi="Book Antiqua" w:cs="Calibri"/>
                <w:lang w:eastAsia="zh-CN"/>
              </w:rPr>
              <w:t xml:space="preserve"> </w:t>
            </w:r>
            <w:r w:rsidR="008258CE" w:rsidRPr="003E0C02">
              <w:rPr>
                <w:rFonts w:ascii="Book Antiqua" w:hAnsi="Book Antiqua" w:cs="Calibri"/>
              </w:rPr>
              <w:t>15.25</w:t>
            </w:r>
          </w:p>
        </w:tc>
        <w:tc>
          <w:tcPr>
            <w:tcW w:w="2693" w:type="dxa"/>
            <w:gridSpan w:val="2"/>
            <w:shd w:val="clear" w:color="auto" w:fill="auto"/>
            <w:vAlign w:val="center"/>
            <w:hideMark/>
          </w:tcPr>
          <w:p w14:paraId="5CD7DE1E" w14:textId="77777777" w:rsidR="00601B00" w:rsidRPr="003E0C02" w:rsidRDefault="00601B00"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33.09</w:t>
            </w:r>
            <w:r w:rsidR="008258CE" w:rsidRPr="003E0C02">
              <w:rPr>
                <w:rFonts w:ascii="Book Antiqua" w:hAnsi="Book Antiqua" w:cs="Calibri"/>
              </w:rPr>
              <w:t xml:space="preserve"> </w:t>
            </w:r>
            <w:r w:rsidR="008258CE" w:rsidRPr="003E0C02">
              <w:rPr>
                <w:rFonts w:ascii="Book Antiqua" w:eastAsia="宋体" w:hAnsi="Book Antiqua" w:cs="Calibri"/>
              </w:rPr>
              <w:t>±</w:t>
            </w:r>
            <w:r w:rsidR="008258CE" w:rsidRPr="003E0C02">
              <w:rPr>
                <w:rFonts w:ascii="Book Antiqua" w:eastAsia="宋体" w:hAnsi="Book Antiqua" w:cs="Calibri"/>
                <w:lang w:eastAsia="zh-CN"/>
              </w:rPr>
              <w:t xml:space="preserve"> </w:t>
            </w:r>
            <w:r w:rsidR="008258CE" w:rsidRPr="003E0C02">
              <w:rPr>
                <w:rFonts w:ascii="Book Antiqua" w:hAnsi="Book Antiqua" w:cs="Calibri"/>
              </w:rPr>
              <w:t>9.07</w:t>
            </w:r>
          </w:p>
        </w:tc>
        <w:tc>
          <w:tcPr>
            <w:tcW w:w="1134" w:type="dxa"/>
            <w:shd w:val="clear" w:color="auto" w:fill="auto"/>
            <w:vAlign w:val="center"/>
            <w:hideMark/>
          </w:tcPr>
          <w:p w14:paraId="60711D28" w14:textId="77777777" w:rsidR="00601B00" w:rsidRPr="003E0C02" w:rsidRDefault="00601B00"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r w:rsidRPr="003E0C02">
              <w:rPr>
                <w:rFonts w:ascii="Book Antiqua" w:hAnsi="Book Antiqua" w:cs="Calibri"/>
                <w:vertAlign w:val="superscript"/>
                <w:lang w:eastAsia="zh-CN"/>
              </w:rPr>
              <w:t>2</w:t>
            </w:r>
          </w:p>
        </w:tc>
      </w:tr>
      <w:tr w:rsidR="003E0C02" w:rsidRPr="003E0C02" w14:paraId="0C340FB1" w14:textId="77777777" w:rsidTr="00570C3A">
        <w:trPr>
          <w:trHeight w:val="315"/>
        </w:trPr>
        <w:tc>
          <w:tcPr>
            <w:tcW w:w="10490" w:type="dxa"/>
            <w:gridSpan w:val="6"/>
            <w:shd w:val="clear" w:color="auto" w:fill="auto"/>
            <w:vAlign w:val="center"/>
            <w:hideMark/>
          </w:tcPr>
          <w:p w14:paraId="1E4D07E1" w14:textId="77777777" w:rsidR="00772969" w:rsidRPr="003E0C02" w:rsidRDefault="00772969"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Comorbidities</w:t>
            </w:r>
          </w:p>
        </w:tc>
      </w:tr>
      <w:tr w:rsidR="003E0C02" w:rsidRPr="003E0C02" w14:paraId="3CF0FF35" w14:textId="77777777" w:rsidTr="006654F7">
        <w:trPr>
          <w:trHeight w:val="315"/>
        </w:trPr>
        <w:tc>
          <w:tcPr>
            <w:tcW w:w="3648" w:type="dxa"/>
            <w:shd w:val="clear" w:color="auto" w:fill="auto"/>
            <w:vAlign w:val="center"/>
            <w:hideMark/>
          </w:tcPr>
          <w:p w14:paraId="444AC1AE"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Hypertension</w:t>
            </w:r>
          </w:p>
        </w:tc>
        <w:tc>
          <w:tcPr>
            <w:tcW w:w="1575" w:type="dxa"/>
            <w:shd w:val="clear" w:color="auto" w:fill="auto"/>
            <w:noWrap/>
            <w:vAlign w:val="center"/>
            <w:hideMark/>
          </w:tcPr>
          <w:p w14:paraId="02F51BE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751</w:t>
            </w:r>
          </w:p>
        </w:tc>
        <w:tc>
          <w:tcPr>
            <w:tcW w:w="1440" w:type="dxa"/>
            <w:shd w:val="clear" w:color="auto" w:fill="auto"/>
            <w:noWrap/>
            <w:vAlign w:val="center"/>
            <w:hideMark/>
          </w:tcPr>
          <w:p w14:paraId="103B879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49.77</w:t>
            </w:r>
          </w:p>
        </w:tc>
        <w:tc>
          <w:tcPr>
            <w:tcW w:w="1417" w:type="dxa"/>
            <w:shd w:val="clear" w:color="auto" w:fill="auto"/>
            <w:noWrap/>
            <w:vAlign w:val="center"/>
            <w:hideMark/>
          </w:tcPr>
          <w:p w14:paraId="56CE7C0F"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254</w:t>
            </w:r>
          </w:p>
        </w:tc>
        <w:tc>
          <w:tcPr>
            <w:tcW w:w="1276" w:type="dxa"/>
            <w:shd w:val="clear" w:color="auto" w:fill="auto"/>
            <w:noWrap/>
            <w:vAlign w:val="center"/>
            <w:hideMark/>
          </w:tcPr>
          <w:p w14:paraId="4A7A3D1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8.87</w:t>
            </w:r>
          </w:p>
        </w:tc>
        <w:tc>
          <w:tcPr>
            <w:tcW w:w="1134" w:type="dxa"/>
            <w:shd w:val="clear" w:color="auto" w:fill="auto"/>
            <w:vAlign w:val="center"/>
            <w:hideMark/>
          </w:tcPr>
          <w:p w14:paraId="4E87706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28A238BB" w14:textId="77777777" w:rsidTr="006654F7">
        <w:trPr>
          <w:trHeight w:val="315"/>
        </w:trPr>
        <w:tc>
          <w:tcPr>
            <w:tcW w:w="3648" w:type="dxa"/>
            <w:shd w:val="clear" w:color="auto" w:fill="auto"/>
            <w:vAlign w:val="center"/>
            <w:hideMark/>
          </w:tcPr>
          <w:p w14:paraId="047B6687"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Hyperlipidemia</w:t>
            </w:r>
          </w:p>
        </w:tc>
        <w:tc>
          <w:tcPr>
            <w:tcW w:w="1575" w:type="dxa"/>
            <w:shd w:val="clear" w:color="auto" w:fill="auto"/>
            <w:noWrap/>
            <w:vAlign w:val="center"/>
            <w:hideMark/>
          </w:tcPr>
          <w:p w14:paraId="0D190D7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314</w:t>
            </w:r>
          </w:p>
        </w:tc>
        <w:tc>
          <w:tcPr>
            <w:tcW w:w="1440" w:type="dxa"/>
            <w:shd w:val="clear" w:color="auto" w:fill="auto"/>
            <w:noWrap/>
            <w:vAlign w:val="center"/>
            <w:hideMark/>
          </w:tcPr>
          <w:p w14:paraId="1525EEC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20.81</w:t>
            </w:r>
          </w:p>
        </w:tc>
        <w:tc>
          <w:tcPr>
            <w:tcW w:w="1417" w:type="dxa"/>
            <w:shd w:val="clear" w:color="auto" w:fill="auto"/>
            <w:noWrap/>
            <w:vAlign w:val="center"/>
            <w:hideMark/>
          </w:tcPr>
          <w:p w14:paraId="6B457D9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110</w:t>
            </w:r>
          </w:p>
        </w:tc>
        <w:tc>
          <w:tcPr>
            <w:tcW w:w="1276" w:type="dxa"/>
            <w:shd w:val="clear" w:color="auto" w:fill="auto"/>
            <w:noWrap/>
            <w:vAlign w:val="center"/>
            <w:hideMark/>
          </w:tcPr>
          <w:p w14:paraId="63EFE00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3.84</w:t>
            </w:r>
          </w:p>
        </w:tc>
        <w:tc>
          <w:tcPr>
            <w:tcW w:w="1134" w:type="dxa"/>
            <w:shd w:val="clear" w:color="auto" w:fill="auto"/>
            <w:vAlign w:val="center"/>
            <w:hideMark/>
          </w:tcPr>
          <w:p w14:paraId="04721BD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7091EAD5" w14:textId="77777777" w:rsidTr="006654F7">
        <w:trPr>
          <w:trHeight w:val="315"/>
        </w:trPr>
        <w:tc>
          <w:tcPr>
            <w:tcW w:w="3648" w:type="dxa"/>
            <w:shd w:val="clear" w:color="auto" w:fill="auto"/>
            <w:vAlign w:val="center"/>
            <w:hideMark/>
          </w:tcPr>
          <w:p w14:paraId="726737EB"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D</w:t>
            </w:r>
            <w:r w:rsidRPr="003E0C02">
              <w:rPr>
                <w:rFonts w:ascii="Book Antiqua" w:eastAsia="Book Antiqua" w:hAnsi="Book Antiqua" w:cs="Book Antiqua"/>
              </w:rPr>
              <w:t>iabetes mellitus</w:t>
            </w:r>
          </w:p>
        </w:tc>
        <w:tc>
          <w:tcPr>
            <w:tcW w:w="1575" w:type="dxa"/>
            <w:shd w:val="clear" w:color="auto" w:fill="auto"/>
            <w:noWrap/>
            <w:vAlign w:val="center"/>
            <w:hideMark/>
          </w:tcPr>
          <w:p w14:paraId="7CD9385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525</w:t>
            </w:r>
          </w:p>
        </w:tc>
        <w:tc>
          <w:tcPr>
            <w:tcW w:w="1440" w:type="dxa"/>
            <w:shd w:val="clear" w:color="auto" w:fill="auto"/>
            <w:noWrap/>
            <w:vAlign w:val="center"/>
            <w:hideMark/>
          </w:tcPr>
          <w:p w14:paraId="3453591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34.79</w:t>
            </w:r>
          </w:p>
        </w:tc>
        <w:tc>
          <w:tcPr>
            <w:tcW w:w="1417" w:type="dxa"/>
            <w:shd w:val="clear" w:color="auto" w:fill="auto"/>
            <w:noWrap/>
            <w:vAlign w:val="center"/>
            <w:hideMark/>
          </w:tcPr>
          <w:p w14:paraId="7C8EA2F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174</w:t>
            </w:r>
          </w:p>
        </w:tc>
        <w:tc>
          <w:tcPr>
            <w:tcW w:w="1276" w:type="dxa"/>
            <w:shd w:val="clear" w:color="auto" w:fill="auto"/>
            <w:noWrap/>
            <w:vAlign w:val="center"/>
            <w:hideMark/>
          </w:tcPr>
          <w:p w14:paraId="070E0FF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6.08</w:t>
            </w:r>
          </w:p>
        </w:tc>
        <w:tc>
          <w:tcPr>
            <w:tcW w:w="1134" w:type="dxa"/>
            <w:shd w:val="clear" w:color="auto" w:fill="auto"/>
            <w:vAlign w:val="center"/>
            <w:hideMark/>
          </w:tcPr>
          <w:p w14:paraId="4186EF2A"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7FCF72DD" w14:textId="77777777" w:rsidTr="006654F7">
        <w:trPr>
          <w:trHeight w:val="315"/>
        </w:trPr>
        <w:tc>
          <w:tcPr>
            <w:tcW w:w="3648" w:type="dxa"/>
            <w:shd w:val="clear" w:color="auto" w:fill="auto"/>
            <w:vAlign w:val="center"/>
            <w:hideMark/>
          </w:tcPr>
          <w:p w14:paraId="28EADFA5"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 xml:space="preserve"> C</w:t>
            </w:r>
            <w:r w:rsidRPr="003E0C02">
              <w:rPr>
                <w:rFonts w:ascii="Book Antiqua" w:eastAsia="Book Antiqua" w:hAnsi="Book Antiqua" w:cs="Book Antiqua"/>
              </w:rPr>
              <w:t>oronary artery disease</w:t>
            </w:r>
          </w:p>
        </w:tc>
        <w:tc>
          <w:tcPr>
            <w:tcW w:w="1575" w:type="dxa"/>
            <w:shd w:val="clear" w:color="auto" w:fill="auto"/>
            <w:noWrap/>
            <w:vAlign w:val="center"/>
            <w:hideMark/>
          </w:tcPr>
          <w:p w14:paraId="559296E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261</w:t>
            </w:r>
          </w:p>
        </w:tc>
        <w:tc>
          <w:tcPr>
            <w:tcW w:w="1440" w:type="dxa"/>
            <w:shd w:val="clear" w:color="auto" w:fill="auto"/>
            <w:noWrap/>
            <w:vAlign w:val="center"/>
            <w:hideMark/>
          </w:tcPr>
          <w:p w14:paraId="73B5081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17.3</w:t>
            </w:r>
          </w:p>
        </w:tc>
        <w:tc>
          <w:tcPr>
            <w:tcW w:w="1417" w:type="dxa"/>
            <w:shd w:val="clear" w:color="auto" w:fill="auto"/>
            <w:noWrap/>
            <w:vAlign w:val="center"/>
            <w:hideMark/>
          </w:tcPr>
          <w:p w14:paraId="03036BB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69</w:t>
            </w:r>
          </w:p>
        </w:tc>
        <w:tc>
          <w:tcPr>
            <w:tcW w:w="1276" w:type="dxa"/>
            <w:shd w:val="clear" w:color="auto" w:fill="auto"/>
            <w:noWrap/>
            <w:vAlign w:val="center"/>
            <w:hideMark/>
          </w:tcPr>
          <w:p w14:paraId="35470DF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2.41</w:t>
            </w:r>
          </w:p>
        </w:tc>
        <w:tc>
          <w:tcPr>
            <w:tcW w:w="1134" w:type="dxa"/>
            <w:shd w:val="clear" w:color="auto" w:fill="auto"/>
            <w:vAlign w:val="center"/>
            <w:hideMark/>
          </w:tcPr>
          <w:p w14:paraId="01F06E9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0B96497E" w14:textId="77777777" w:rsidTr="006654F7">
        <w:trPr>
          <w:trHeight w:val="315"/>
        </w:trPr>
        <w:tc>
          <w:tcPr>
            <w:tcW w:w="3648" w:type="dxa"/>
            <w:shd w:val="clear" w:color="auto" w:fill="auto"/>
            <w:vAlign w:val="center"/>
            <w:hideMark/>
          </w:tcPr>
          <w:p w14:paraId="54768A96"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 xml:space="preserve"> C</w:t>
            </w:r>
            <w:r w:rsidRPr="003E0C02">
              <w:rPr>
                <w:rFonts w:ascii="Book Antiqua" w:eastAsia="Book Antiqua" w:hAnsi="Book Antiqua" w:cs="Book Antiqua"/>
              </w:rPr>
              <w:t>ongestive heart failure</w:t>
            </w:r>
          </w:p>
        </w:tc>
        <w:tc>
          <w:tcPr>
            <w:tcW w:w="1575" w:type="dxa"/>
            <w:shd w:val="clear" w:color="auto" w:fill="auto"/>
            <w:noWrap/>
            <w:vAlign w:val="center"/>
            <w:hideMark/>
          </w:tcPr>
          <w:p w14:paraId="62AF887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243</w:t>
            </w:r>
          </w:p>
        </w:tc>
        <w:tc>
          <w:tcPr>
            <w:tcW w:w="1440" w:type="dxa"/>
            <w:shd w:val="clear" w:color="auto" w:fill="auto"/>
            <w:noWrap/>
            <w:vAlign w:val="center"/>
            <w:hideMark/>
          </w:tcPr>
          <w:p w14:paraId="03130D4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16.1</w:t>
            </w:r>
          </w:p>
        </w:tc>
        <w:tc>
          <w:tcPr>
            <w:tcW w:w="1417" w:type="dxa"/>
            <w:shd w:val="clear" w:color="auto" w:fill="auto"/>
            <w:noWrap/>
            <w:vAlign w:val="center"/>
            <w:hideMark/>
          </w:tcPr>
          <w:p w14:paraId="0CF0502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39</w:t>
            </w:r>
          </w:p>
        </w:tc>
        <w:tc>
          <w:tcPr>
            <w:tcW w:w="1276" w:type="dxa"/>
            <w:shd w:val="clear" w:color="auto" w:fill="auto"/>
            <w:noWrap/>
            <w:vAlign w:val="center"/>
            <w:hideMark/>
          </w:tcPr>
          <w:p w14:paraId="7A3FC45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1.36</w:t>
            </w:r>
          </w:p>
        </w:tc>
        <w:tc>
          <w:tcPr>
            <w:tcW w:w="1134" w:type="dxa"/>
            <w:shd w:val="clear" w:color="auto" w:fill="auto"/>
            <w:vAlign w:val="center"/>
            <w:hideMark/>
          </w:tcPr>
          <w:p w14:paraId="7B5BCB6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150F32C2" w14:textId="77777777" w:rsidTr="006654F7">
        <w:trPr>
          <w:trHeight w:val="315"/>
        </w:trPr>
        <w:tc>
          <w:tcPr>
            <w:tcW w:w="3648" w:type="dxa"/>
            <w:shd w:val="clear" w:color="auto" w:fill="auto"/>
            <w:vAlign w:val="center"/>
            <w:hideMark/>
          </w:tcPr>
          <w:p w14:paraId="1F8E26FD"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Stroke</w:t>
            </w:r>
          </w:p>
        </w:tc>
        <w:tc>
          <w:tcPr>
            <w:tcW w:w="1575" w:type="dxa"/>
            <w:shd w:val="clear" w:color="auto" w:fill="auto"/>
            <w:noWrap/>
            <w:vAlign w:val="center"/>
            <w:hideMark/>
          </w:tcPr>
          <w:p w14:paraId="2B7A84F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123</w:t>
            </w:r>
          </w:p>
        </w:tc>
        <w:tc>
          <w:tcPr>
            <w:tcW w:w="1440" w:type="dxa"/>
            <w:shd w:val="clear" w:color="auto" w:fill="auto"/>
            <w:noWrap/>
            <w:vAlign w:val="center"/>
            <w:hideMark/>
          </w:tcPr>
          <w:p w14:paraId="164ABA8A"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8.15</w:t>
            </w:r>
          </w:p>
        </w:tc>
        <w:tc>
          <w:tcPr>
            <w:tcW w:w="1417" w:type="dxa"/>
            <w:shd w:val="clear" w:color="auto" w:fill="auto"/>
            <w:noWrap/>
            <w:vAlign w:val="center"/>
            <w:hideMark/>
          </w:tcPr>
          <w:p w14:paraId="4BE3015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37</w:t>
            </w:r>
          </w:p>
        </w:tc>
        <w:tc>
          <w:tcPr>
            <w:tcW w:w="1276" w:type="dxa"/>
            <w:shd w:val="clear" w:color="auto" w:fill="auto"/>
            <w:noWrap/>
            <w:vAlign w:val="center"/>
            <w:hideMark/>
          </w:tcPr>
          <w:p w14:paraId="5EB681A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1.29</w:t>
            </w:r>
          </w:p>
        </w:tc>
        <w:tc>
          <w:tcPr>
            <w:tcW w:w="1134" w:type="dxa"/>
            <w:shd w:val="clear" w:color="auto" w:fill="auto"/>
            <w:vAlign w:val="center"/>
            <w:hideMark/>
          </w:tcPr>
          <w:p w14:paraId="1A99B05A"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0CCF1833" w14:textId="77777777" w:rsidTr="006654F7">
        <w:trPr>
          <w:trHeight w:val="315"/>
        </w:trPr>
        <w:tc>
          <w:tcPr>
            <w:tcW w:w="3648" w:type="dxa"/>
            <w:shd w:val="clear" w:color="auto" w:fill="auto"/>
            <w:vAlign w:val="center"/>
            <w:hideMark/>
          </w:tcPr>
          <w:p w14:paraId="031AE996"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 xml:space="preserve"> C</w:t>
            </w:r>
            <w:r w:rsidRPr="003E0C02">
              <w:rPr>
                <w:rFonts w:ascii="Book Antiqua" w:eastAsia="Book Antiqua" w:hAnsi="Book Antiqua" w:cs="Book Antiqua"/>
              </w:rPr>
              <w:t>hronic kidney disease</w:t>
            </w:r>
          </w:p>
        </w:tc>
        <w:tc>
          <w:tcPr>
            <w:tcW w:w="1575" w:type="dxa"/>
            <w:shd w:val="clear" w:color="auto" w:fill="auto"/>
            <w:noWrap/>
            <w:vAlign w:val="center"/>
            <w:hideMark/>
          </w:tcPr>
          <w:p w14:paraId="3A7FE04E"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124</w:t>
            </w:r>
          </w:p>
        </w:tc>
        <w:tc>
          <w:tcPr>
            <w:tcW w:w="1440" w:type="dxa"/>
            <w:shd w:val="clear" w:color="auto" w:fill="auto"/>
            <w:noWrap/>
            <w:vAlign w:val="center"/>
            <w:hideMark/>
          </w:tcPr>
          <w:p w14:paraId="56CCEEBF"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8.22</w:t>
            </w:r>
          </w:p>
        </w:tc>
        <w:tc>
          <w:tcPr>
            <w:tcW w:w="1417" w:type="dxa"/>
            <w:shd w:val="clear" w:color="auto" w:fill="auto"/>
            <w:noWrap/>
            <w:vAlign w:val="center"/>
            <w:hideMark/>
          </w:tcPr>
          <w:p w14:paraId="0EF0012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22</w:t>
            </w:r>
          </w:p>
        </w:tc>
        <w:tc>
          <w:tcPr>
            <w:tcW w:w="1276" w:type="dxa"/>
            <w:shd w:val="clear" w:color="auto" w:fill="auto"/>
            <w:noWrap/>
            <w:vAlign w:val="center"/>
            <w:hideMark/>
          </w:tcPr>
          <w:p w14:paraId="286856D6"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0.77</w:t>
            </w:r>
          </w:p>
        </w:tc>
        <w:tc>
          <w:tcPr>
            <w:tcW w:w="1134" w:type="dxa"/>
            <w:shd w:val="clear" w:color="auto" w:fill="auto"/>
            <w:vAlign w:val="center"/>
            <w:hideMark/>
          </w:tcPr>
          <w:p w14:paraId="45D80F48"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5D216776" w14:textId="77777777" w:rsidTr="006654F7">
        <w:trPr>
          <w:trHeight w:val="315"/>
        </w:trPr>
        <w:tc>
          <w:tcPr>
            <w:tcW w:w="3648" w:type="dxa"/>
            <w:shd w:val="clear" w:color="auto" w:fill="auto"/>
            <w:vAlign w:val="center"/>
            <w:hideMark/>
          </w:tcPr>
          <w:p w14:paraId="7FE0043C"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Asthma</w:t>
            </w:r>
          </w:p>
        </w:tc>
        <w:tc>
          <w:tcPr>
            <w:tcW w:w="1575" w:type="dxa"/>
            <w:shd w:val="clear" w:color="auto" w:fill="auto"/>
            <w:noWrap/>
            <w:vAlign w:val="center"/>
            <w:hideMark/>
          </w:tcPr>
          <w:p w14:paraId="500F7C57"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186</w:t>
            </w:r>
          </w:p>
        </w:tc>
        <w:tc>
          <w:tcPr>
            <w:tcW w:w="1440" w:type="dxa"/>
            <w:shd w:val="clear" w:color="auto" w:fill="auto"/>
            <w:noWrap/>
            <w:vAlign w:val="center"/>
            <w:hideMark/>
          </w:tcPr>
          <w:p w14:paraId="7D21E9E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12.33</w:t>
            </w:r>
          </w:p>
        </w:tc>
        <w:tc>
          <w:tcPr>
            <w:tcW w:w="1417" w:type="dxa"/>
            <w:shd w:val="clear" w:color="auto" w:fill="auto"/>
            <w:noWrap/>
            <w:vAlign w:val="center"/>
            <w:hideMark/>
          </w:tcPr>
          <w:p w14:paraId="191703A9"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75</w:t>
            </w:r>
          </w:p>
        </w:tc>
        <w:tc>
          <w:tcPr>
            <w:tcW w:w="1276" w:type="dxa"/>
            <w:shd w:val="clear" w:color="auto" w:fill="auto"/>
            <w:noWrap/>
            <w:vAlign w:val="center"/>
            <w:hideMark/>
          </w:tcPr>
          <w:p w14:paraId="22F41B7A"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2.62</w:t>
            </w:r>
          </w:p>
        </w:tc>
        <w:tc>
          <w:tcPr>
            <w:tcW w:w="1134" w:type="dxa"/>
            <w:shd w:val="clear" w:color="auto" w:fill="auto"/>
            <w:vAlign w:val="center"/>
            <w:hideMark/>
          </w:tcPr>
          <w:p w14:paraId="09CEC9D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0C68C35A" w14:textId="77777777" w:rsidTr="006654F7">
        <w:trPr>
          <w:trHeight w:val="315"/>
        </w:trPr>
        <w:tc>
          <w:tcPr>
            <w:tcW w:w="3648" w:type="dxa"/>
            <w:shd w:val="clear" w:color="auto" w:fill="auto"/>
            <w:vAlign w:val="center"/>
            <w:hideMark/>
          </w:tcPr>
          <w:p w14:paraId="658B0277"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Chronic obstructive pulmonary disease</w:t>
            </w:r>
          </w:p>
        </w:tc>
        <w:tc>
          <w:tcPr>
            <w:tcW w:w="1575" w:type="dxa"/>
            <w:shd w:val="clear" w:color="auto" w:fill="auto"/>
            <w:noWrap/>
            <w:vAlign w:val="center"/>
            <w:hideMark/>
          </w:tcPr>
          <w:p w14:paraId="20EA7EF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145</w:t>
            </w:r>
          </w:p>
        </w:tc>
        <w:tc>
          <w:tcPr>
            <w:tcW w:w="1440" w:type="dxa"/>
            <w:shd w:val="clear" w:color="auto" w:fill="auto"/>
            <w:noWrap/>
            <w:vAlign w:val="center"/>
            <w:hideMark/>
          </w:tcPr>
          <w:p w14:paraId="5F15037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9.61</w:t>
            </w:r>
          </w:p>
        </w:tc>
        <w:tc>
          <w:tcPr>
            <w:tcW w:w="1417" w:type="dxa"/>
            <w:shd w:val="clear" w:color="auto" w:fill="auto"/>
            <w:noWrap/>
            <w:vAlign w:val="center"/>
            <w:hideMark/>
          </w:tcPr>
          <w:p w14:paraId="44321E1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34</w:t>
            </w:r>
          </w:p>
        </w:tc>
        <w:tc>
          <w:tcPr>
            <w:tcW w:w="1276" w:type="dxa"/>
            <w:shd w:val="clear" w:color="auto" w:fill="auto"/>
            <w:noWrap/>
            <w:vAlign w:val="center"/>
            <w:hideMark/>
          </w:tcPr>
          <w:p w14:paraId="51B8D429"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1.19</w:t>
            </w:r>
          </w:p>
        </w:tc>
        <w:tc>
          <w:tcPr>
            <w:tcW w:w="1134" w:type="dxa"/>
            <w:shd w:val="clear" w:color="auto" w:fill="auto"/>
            <w:vAlign w:val="center"/>
            <w:hideMark/>
          </w:tcPr>
          <w:p w14:paraId="3AAFFC24"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33C46EA7" w14:textId="77777777" w:rsidTr="006654F7">
        <w:trPr>
          <w:trHeight w:val="360"/>
        </w:trPr>
        <w:tc>
          <w:tcPr>
            <w:tcW w:w="3648" w:type="dxa"/>
            <w:shd w:val="clear" w:color="auto" w:fill="auto"/>
            <w:vAlign w:val="center"/>
            <w:hideMark/>
          </w:tcPr>
          <w:p w14:paraId="2A1B181B" w14:textId="77777777" w:rsidR="00601B00"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Book Antiqua"/>
                <w:lang w:eastAsia="zh-CN"/>
              </w:rPr>
              <w:t>P</w:t>
            </w:r>
            <w:r w:rsidRPr="003E0C02">
              <w:rPr>
                <w:rFonts w:ascii="Book Antiqua" w:eastAsia="Book Antiqua" w:hAnsi="Book Antiqua" w:cs="Book Antiqua"/>
              </w:rPr>
              <w:t>eripheral arterial occlusive disease</w:t>
            </w:r>
          </w:p>
        </w:tc>
        <w:tc>
          <w:tcPr>
            <w:tcW w:w="1575" w:type="dxa"/>
            <w:shd w:val="clear" w:color="auto" w:fill="auto"/>
            <w:noWrap/>
            <w:vAlign w:val="center"/>
            <w:hideMark/>
          </w:tcPr>
          <w:p w14:paraId="6C78976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29</w:t>
            </w:r>
          </w:p>
        </w:tc>
        <w:tc>
          <w:tcPr>
            <w:tcW w:w="1440" w:type="dxa"/>
            <w:shd w:val="clear" w:color="auto" w:fill="auto"/>
            <w:noWrap/>
            <w:vAlign w:val="center"/>
            <w:hideMark/>
          </w:tcPr>
          <w:p w14:paraId="695625B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1.92</w:t>
            </w:r>
          </w:p>
        </w:tc>
        <w:tc>
          <w:tcPr>
            <w:tcW w:w="1417" w:type="dxa"/>
            <w:shd w:val="clear" w:color="auto" w:fill="auto"/>
            <w:noWrap/>
            <w:vAlign w:val="center"/>
            <w:hideMark/>
          </w:tcPr>
          <w:p w14:paraId="28F18D5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3</w:t>
            </w:r>
          </w:p>
        </w:tc>
        <w:tc>
          <w:tcPr>
            <w:tcW w:w="1276" w:type="dxa"/>
            <w:shd w:val="clear" w:color="auto" w:fill="auto"/>
            <w:noWrap/>
            <w:vAlign w:val="center"/>
            <w:hideMark/>
          </w:tcPr>
          <w:p w14:paraId="55C8DEE2"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0.1</w:t>
            </w:r>
          </w:p>
        </w:tc>
        <w:tc>
          <w:tcPr>
            <w:tcW w:w="1134" w:type="dxa"/>
            <w:shd w:val="clear" w:color="auto" w:fill="auto"/>
            <w:vAlign w:val="center"/>
            <w:hideMark/>
          </w:tcPr>
          <w:p w14:paraId="161B637D"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r w:rsidRPr="003E0C02">
              <w:rPr>
                <w:rFonts w:ascii="Book Antiqua" w:hAnsi="Book Antiqua" w:cs="Calibri"/>
                <w:vertAlign w:val="superscript"/>
              </w:rPr>
              <w:t>a</w:t>
            </w:r>
          </w:p>
        </w:tc>
      </w:tr>
      <w:tr w:rsidR="003E0C02" w:rsidRPr="003E0C02" w14:paraId="4F279E2E" w14:textId="77777777" w:rsidTr="006654F7">
        <w:trPr>
          <w:trHeight w:val="315"/>
        </w:trPr>
        <w:tc>
          <w:tcPr>
            <w:tcW w:w="3648" w:type="dxa"/>
            <w:shd w:val="clear" w:color="auto" w:fill="auto"/>
            <w:vAlign w:val="center"/>
            <w:hideMark/>
          </w:tcPr>
          <w:p w14:paraId="11D5D802"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lastRenderedPageBreak/>
              <w:t>Gastrointestinal ulcer</w:t>
            </w:r>
          </w:p>
        </w:tc>
        <w:tc>
          <w:tcPr>
            <w:tcW w:w="1575" w:type="dxa"/>
            <w:shd w:val="clear" w:color="auto" w:fill="auto"/>
            <w:noWrap/>
            <w:vAlign w:val="center"/>
            <w:hideMark/>
          </w:tcPr>
          <w:p w14:paraId="53CC8850"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185</w:t>
            </w:r>
          </w:p>
        </w:tc>
        <w:tc>
          <w:tcPr>
            <w:tcW w:w="1440" w:type="dxa"/>
            <w:shd w:val="clear" w:color="auto" w:fill="auto"/>
            <w:noWrap/>
            <w:vAlign w:val="center"/>
            <w:hideMark/>
          </w:tcPr>
          <w:p w14:paraId="689638C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12.26</w:t>
            </w:r>
          </w:p>
        </w:tc>
        <w:tc>
          <w:tcPr>
            <w:tcW w:w="1417" w:type="dxa"/>
            <w:shd w:val="clear" w:color="auto" w:fill="auto"/>
            <w:noWrap/>
            <w:vAlign w:val="center"/>
            <w:hideMark/>
          </w:tcPr>
          <w:p w14:paraId="660C403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73</w:t>
            </w:r>
          </w:p>
        </w:tc>
        <w:tc>
          <w:tcPr>
            <w:tcW w:w="1276" w:type="dxa"/>
            <w:shd w:val="clear" w:color="auto" w:fill="auto"/>
            <w:noWrap/>
            <w:vAlign w:val="center"/>
            <w:hideMark/>
          </w:tcPr>
          <w:p w14:paraId="7F07903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2.55</w:t>
            </w:r>
          </w:p>
        </w:tc>
        <w:tc>
          <w:tcPr>
            <w:tcW w:w="1134" w:type="dxa"/>
            <w:shd w:val="clear" w:color="auto" w:fill="auto"/>
            <w:vAlign w:val="center"/>
            <w:hideMark/>
          </w:tcPr>
          <w:p w14:paraId="60343D7C"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7DB36D90" w14:textId="77777777" w:rsidTr="006654F7">
        <w:trPr>
          <w:trHeight w:val="315"/>
        </w:trPr>
        <w:tc>
          <w:tcPr>
            <w:tcW w:w="3648" w:type="dxa"/>
            <w:shd w:val="clear" w:color="auto" w:fill="auto"/>
            <w:vAlign w:val="center"/>
            <w:hideMark/>
          </w:tcPr>
          <w:p w14:paraId="3DEC2646" w14:textId="77777777" w:rsidR="00601B00" w:rsidRPr="003E0C02" w:rsidRDefault="00601B00"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Gastrointestinal bleeding</w:t>
            </w:r>
          </w:p>
        </w:tc>
        <w:tc>
          <w:tcPr>
            <w:tcW w:w="1575" w:type="dxa"/>
            <w:shd w:val="clear" w:color="auto" w:fill="auto"/>
            <w:noWrap/>
            <w:vAlign w:val="center"/>
            <w:hideMark/>
          </w:tcPr>
          <w:p w14:paraId="278523EC"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44</w:t>
            </w:r>
          </w:p>
        </w:tc>
        <w:tc>
          <w:tcPr>
            <w:tcW w:w="1440" w:type="dxa"/>
            <w:shd w:val="clear" w:color="auto" w:fill="auto"/>
            <w:noWrap/>
            <w:vAlign w:val="center"/>
            <w:hideMark/>
          </w:tcPr>
          <w:p w14:paraId="39BFDC11"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2.92</w:t>
            </w:r>
          </w:p>
        </w:tc>
        <w:tc>
          <w:tcPr>
            <w:tcW w:w="1417" w:type="dxa"/>
            <w:shd w:val="clear" w:color="auto" w:fill="auto"/>
            <w:noWrap/>
            <w:vAlign w:val="center"/>
            <w:hideMark/>
          </w:tcPr>
          <w:p w14:paraId="106A4F05"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12</w:t>
            </w:r>
          </w:p>
        </w:tc>
        <w:tc>
          <w:tcPr>
            <w:tcW w:w="1276" w:type="dxa"/>
            <w:shd w:val="clear" w:color="auto" w:fill="auto"/>
            <w:noWrap/>
            <w:vAlign w:val="center"/>
            <w:hideMark/>
          </w:tcPr>
          <w:p w14:paraId="59663A4C"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0.42</w:t>
            </w:r>
          </w:p>
        </w:tc>
        <w:tc>
          <w:tcPr>
            <w:tcW w:w="1134" w:type="dxa"/>
            <w:shd w:val="clear" w:color="auto" w:fill="auto"/>
            <w:vAlign w:val="center"/>
            <w:hideMark/>
          </w:tcPr>
          <w:p w14:paraId="41D75A63" w14:textId="77777777" w:rsidR="00601B00" w:rsidRPr="003E0C02" w:rsidRDefault="00601B00"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bl>
    <w:p w14:paraId="677F3934" w14:textId="03E4FFD7" w:rsidR="00BB252B" w:rsidRPr="003E0C02" w:rsidRDefault="00601B00" w:rsidP="003E0C02">
      <w:pPr>
        <w:pStyle w:val="a4"/>
        <w:adjustRightInd w:val="0"/>
        <w:snapToGrid w:val="0"/>
        <w:spacing w:line="360" w:lineRule="auto"/>
        <w:ind w:leftChars="0" w:left="0"/>
        <w:jc w:val="both"/>
        <w:rPr>
          <w:rFonts w:ascii="Book Antiqua" w:hAnsi="Book Antiqua" w:cs="Calibri"/>
          <w:szCs w:val="24"/>
        </w:rPr>
      </w:pPr>
      <w:r w:rsidRPr="003E0C02">
        <w:rPr>
          <w:rFonts w:ascii="Book Antiqua" w:eastAsiaTheme="minorEastAsia" w:hAnsi="Book Antiqua" w:cs="Calibri"/>
          <w:szCs w:val="24"/>
          <w:vertAlign w:val="superscript"/>
          <w:lang w:eastAsia="zh-CN"/>
        </w:rPr>
        <w:t>1</w:t>
      </w:r>
      <w:r w:rsidRPr="003E0C02">
        <w:rPr>
          <w:rFonts w:ascii="Book Antiqua" w:eastAsiaTheme="minorEastAsia" w:hAnsi="Book Antiqua" w:cs="Calibri"/>
          <w:szCs w:val="24"/>
          <w:lang w:eastAsia="zh-CN"/>
        </w:rPr>
        <w:t>C</w:t>
      </w:r>
      <w:r w:rsidRPr="003E0C02">
        <w:rPr>
          <w:rFonts w:ascii="Book Antiqua" w:eastAsia="DFKai-SB" w:hAnsi="Book Antiqua" w:cs="Calibri"/>
          <w:szCs w:val="24"/>
        </w:rPr>
        <w:t>hi-square test;</w:t>
      </w:r>
      <w:r w:rsidRPr="003E0C02">
        <w:rPr>
          <w:rFonts w:ascii="Book Antiqua" w:eastAsiaTheme="minorEastAsia" w:hAnsi="Book Antiqua" w:cs="Calibri"/>
          <w:szCs w:val="24"/>
          <w:lang w:eastAsia="zh-CN"/>
        </w:rPr>
        <w:t xml:space="preserve"> </w:t>
      </w:r>
      <w:r w:rsidRPr="003E0C02">
        <w:rPr>
          <w:rFonts w:ascii="Book Antiqua" w:eastAsiaTheme="minorEastAsia" w:hAnsi="Book Antiqua" w:cs="Calibri"/>
          <w:szCs w:val="24"/>
          <w:vertAlign w:val="superscript"/>
          <w:lang w:eastAsia="zh-CN"/>
        </w:rPr>
        <w:t>2</w:t>
      </w:r>
      <w:r w:rsidRPr="003E0C02">
        <w:rPr>
          <w:rFonts w:ascii="Book Antiqua" w:eastAsia="DFKai-SB" w:hAnsi="Book Antiqua" w:cs="Calibri"/>
          <w:i/>
          <w:szCs w:val="24"/>
        </w:rPr>
        <w:t>t</w:t>
      </w:r>
      <w:r w:rsidRPr="003E0C02">
        <w:rPr>
          <w:rFonts w:ascii="Book Antiqua" w:eastAsia="DFKai-SB" w:hAnsi="Book Antiqua" w:cs="Calibri"/>
          <w:szCs w:val="24"/>
        </w:rPr>
        <w:t xml:space="preserve"> test; </w:t>
      </w:r>
      <w:proofErr w:type="spellStart"/>
      <w:r w:rsidR="00F6113A" w:rsidRPr="00283869">
        <w:rPr>
          <w:rFonts w:ascii="Book Antiqua" w:eastAsia="DFKai-SB" w:hAnsi="Book Antiqua" w:cs="Calibri"/>
          <w:szCs w:val="24"/>
          <w:vertAlign w:val="superscript"/>
        </w:rPr>
        <w:t>a</w:t>
      </w:r>
      <w:r w:rsidRPr="003E0C02">
        <w:rPr>
          <w:rFonts w:ascii="Book Antiqua" w:eastAsia="DFKai-SB" w:hAnsi="Book Antiqua" w:cs="Calibri"/>
          <w:szCs w:val="24"/>
        </w:rPr>
        <w:t>Fisher</w:t>
      </w:r>
      <w:r w:rsidR="00DB1E85">
        <w:rPr>
          <w:rFonts w:ascii="Book Antiqua" w:eastAsia="DFKai-SB" w:hAnsi="Book Antiqua" w:cs="Calibri"/>
          <w:szCs w:val="24"/>
        </w:rPr>
        <w:t>’s</w:t>
      </w:r>
      <w:proofErr w:type="spellEnd"/>
      <w:r w:rsidRPr="003E0C02">
        <w:rPr>
          <w:rFonts w:ascii="Book Antiqua" w:eastAsia="DFKai-SB" w:hAnsi="Book Antiqua" w:cs="Calibri"/>
          <w:szCs w:val="24"/>
        </w:rPr>
        <w:t xml:space="preserve"> exact test</w:t>
      </w:r>
      <w:r w:rsidRPr="003E0C02">
        <w:rPr>
          <w:rFonts w:ascii="Book Antiqua" w:eastAsiaTheme="minorEastAsia" w:hAnsi="Book Antiqua" w:cs="Calibri"/>
          <w:szCs w:val="24"/>
          <w:lang w:eastAsia="zh-CN"/>
        </w:rPr>
        <w:t xml:space="preserve">. </w:t>
      </w:r>
      <w:r w:rsidRPr="003E0C02">
        <w:rPr>
          <w:rFonts w:ascii="Book Antiqua" w:eastAsia="DFKai-SB" w:hAnsi="Book Antiqua" w:cs="Calibri"/>
          <w:szCs w:val="24"/>
        </w:rPr>
        <w:t>The means (median) of follow-up period were 5.68 (5.31) years and 4.21 (3.84) years for the study bariatric surgery cohort and comparison cohorts, respectively.</w:t>
      </w:r>
      <w:r w:rsidR="006D7688" w:rsidRPr="003E0C02">
        <w:rPr>
          <w:rFonts w:ascii="Book Antiqua" w:hAnsi="Book Antiqua" w:cs="Calibri"/>
          <w:szCs w:val="24"/>
        </w:rPr>
        <w:t xml:space="preserve"> </w:t>
      </w:r>
      <w:r w:rsidR="00C22172" w:rsidRPr="003E0C02">
        <w:rPr>
          <w:rFonts w:ascii="Book Antiqua" w:hAnsi="Book Antiqua" w:cs="Calibri"/>
          <w:szCs w:val="24"/>
        </w:rPr>
        <w:t>SD: Standard deviation.</w:t>
      </w:r>
    </w:p>
    <w:p w14:paraId="16C25E87" w14:textId="08093D6A" w:rsidR="00AA1E93" w:rsidRPr="003E0C02" w:rsidRDefault="00C92B83" w:rsidP="003E0C02">
      <w:pPr>
        <w:adjustRightInd w:val="0"/>
        <w:snapToGrid w:val="0"/>
        <w:spacing w:line="360" w:lineRule="auto"/>
        <w:jc w:val="both"/>
        <w:rPr>
          <w:rFonts w:ascii="Book Antiqua" w:eastAsia="DFKai-SB" w:hAnsi="Book Antiqua" w:cs="Calibri"/>
        </w:rPr>
      </w:pPr>
      <w:r w:rsidRPr="003E0C02">
        <w:rPr>
          <w:rFonts w:ascii="Book Antiqua" w:hAnsi="Book Antiqua" w:cs="Calibri"/>
          <w:b/>
          <w:bCs/>
        </w:rPr>
        <w:br w:type="page"/>
      </w:r>
      <w:r w:rsidR="00F25707" w:rsidRPr="003E0C02">
        <w:rPr>
          <w:rFonts w:ascii="Book Antiqua" w:hAnsi="Book Antiqua" w:cs="Calibri"/>
          <w:b/>
          <w:bCs/>
        </w:rPr>
        <w:lastRenderedPageBreak/>
        <w:t xml:space="preserve">Table 2 Cox model with </w:t>
      </w:r>
      <w:r w:rsidR="00C22172" w:rsidRPr="003E0C02">
        <w:rPr>
          <w:rFonts w:ascii="Book Antiqua" w:hAnsi="Book Antiqua" w:cs="Calibri"/>
          <w:b/>
          <w:bCs/>
        </w:rPr>
        <w:t>hazard ratio</w:t>
      </w:r>
      <w:r w:rsidR="00F25707" w:rsidRPr="003E0C02">
        <w:rPr>
          <w:rFonts w:ascii="Book Antiqua" w:hAnsi="Book Antiqua" w:cs="Calibri"/>
          <w:b/>
          <w:bCs/>
        </w:rPr>
        <w:t xml:space="preserve"> and 95%</w:t>
      </w:r>
      <w:r w:rsidR="00C22172" w:rsidRPr="003E0C02">
        <w:rPr>
          <w:rFonts w:ascii="Book Antiqua" w:hAnsi="Book Antiqua" w:cs="Calibri"/>
          <w:b/>
          <w:bCs/>
        </w:rPr>
        <w:t xml:space="preserve"> confidence intervals</w:t>
      </w:r>
      <w:r w:rsidR="00F25707" w:rsidRPr="003E0C02">
        <w:rPr>
          <w:rFonts w:ascii="Book Antiqua" w:hAnsi="Book Antiqua" w:cs="Calibri"/>
          <w:b/>
          <w:bCs/>
        </w:rPr>
        <w:t xml:space="preserve"> of anemia associated with receiving bariatric surgery among morbid</w:t>
      </w:r>
      <w:r w:rsidR="00C22172" w:rsidRPr="003E0C02">
        <w:rPr>
          <w:rFonts w:ascii="Book Antiqua" w:hAnsi="Book Antiqua" w:cs="Calibri"/>
          <w:b/>
          <w:bCs/>
        </w:rPr>
        <w:t>ly</w:t>
      </w:r>
      <w:r w:rsidR="00F25707" w:rsidRPr="003E0C02">
        <w:rPr>
          <w:rFonts w:ascii="Book Antiqua" w:hAnsi="Book Antiqua" w:cs="Calibri"/>
          <w:b/>
          <w:bCs/>
        </w:rPr>
        <w:t xml:space="preserve"> obese patients</w:t>
      </w:r>
    </w:p>
    <w:tbl>
      <w:tblPr>
        <w:tblW w:w="10286" w:type="dxa"/>
        <w:tblInd w:w="-681" w:type="dxa"/>
        <w:tblCellMar>
          <w:left w:w="28" w:type="dxa"/>
          <w:right w:w="28" w:type="dxa"/>
        </w:tblCellMar>
        <w:tblLook w:val="04A0" w:firstRow="1" w:lastRow="0" w:firstColumn="1" w:lastColumn="0" w:noHBand="0" w:noVBand="1"/>
      </w:tblPr>
      <w:tblGrid>
        <w:gridCol w:w="3828"/>
        <w:gridCol w:w="1954"/>
        <w:gridCol w:w="476"/>
        <w:gridCol w:w="1136"/>
        <w:gridCol w:w="922"/>
        <w:gridCol w:w="476"/>
        <w:gridCol w:w="1136"/>
        <w:gridCol w:w="922"/>
      </w:tblGrid>
      <w:tr w:rsidR="003E0C02" w:rsidRPr="003E0C02" w14:paraId="3AD91523" w14:textId="77777777" w:rsidTr="00F47475">
        <w:trPr>
          <w:trHeight w:val="330"/>
        </w:trPr>
        <w:tc>
          <w:tcPr>
            <w:tcW w:w="3828" w:type="dxa"/>
            <w:vMerge w:val="restart"/>
            <w:tcBorders>
              <w:top w:val="single" w:sz="4" w:space="0" w:color="auto"/>
              <w:left w:val="nil"/>
              <w:bottom w:val="single" w:sz="4" w:space="0" w:color="auto"/>
              <w:right w:val="nil"/>
            </w:tcBorders>
            <w:shd w:val="clear" w:color="auto" w:fill="auto"/>
            <w:vAlign w:val="center"/>
            <w:hideMark/>
          </w:tcPr>
          <w:p w14:paraId="39B12454"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Variable</w:t>
            </w:r>
          </w:p>
        </w:tc>
        <w:tc>
          <w:tcPr>
            <w:tcW w:w="1954" w:type="dxa"/>
            <w:tcBorders>
              <w:top w:val="single" w:sz="4" w:space="0" w:color="auto"/>
              <w:left w:val="nil"/>
              <w:bottom w:val="single" w:sz="4" w:space="0" w:color="auto"/>
              <w:right w:val="nil"/>
            </w:tcBorders>
            <w:shd w:val="clear" w:color="auto" w:fill="auto"/>
            <w:vAlign w:val="center"/>
            <w:hideMark/>
          </w:tcPr>
          <w:p w14:paraId="5BCB88B3"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Anemia</w:t>
            </w:r>
          </w:p>
        </w:tc>
        <w:tc>
          <w:tcPr>
            <w:tcW w:w="0" w:type="auto"/>
            <w:gridSpan w:val="3"/>
            <w:tcBorders>
              <w:top w:val="single" w:sz="4" w:space="0" w:color="auto"/>
              <w:left w:val="nil"/>
              <w:bottom w:val="single" w:sz="4" w:space="0" w:color="auto"/>
              <w:right w:val="nil"/>
            </w:tcBorders>
            <w:shd w:val="clear" w:color="auto" w:fill="auto"/>
            <w:vAlign w:val="center"/>
            <w:hideMark/>
          </w:tcPr>
          <w:p w14:paraId="2A48213B" w14:textId="77777777" w:rsidR="00475EB8" w:rsidRPr="003E0C02" w:rsidRDefault="00475EB8"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Crude</w:t>
            </w:r>
            <w:r w:rsidR="00EF75B1" w:rsidRPr="003E0C02">
              <w:rPr>
                <w:rFonts w:ascii="Book Antiqua" w:hAnsi="Book Antiqua" w:cs="Calibri"/>
                <w:b/>
                <w:bCs/>
                <w:vertAlign w:val="superscript"/>
                <w:lang w:eastAsia="zh-CN"/>
              </w:rPr>
              <w:t>1</w:t>
            </w:r>
          </w:p>
        </w:tc>
        <w:tc>
          <w:tcPr>
            <w:tcW w:w="0" w:type="auto"/>
            <w:gridSpan w:val="3"/>
            <w:tcBorders>
              <w:top w:val="single" w:sz="4" w:space="0" w:color="auto"/>
              <w:left w:val="nil"/>
              <w:bottom w:val="single" w:sz="4" w:space="0" w:color="auto"/>
              <w:right w:val="nil"/>
            </w:tcBorders>
            <w:shd w:val="clear" w:color="auto" w:fill="auto"/>
            <w:vAlign w:val="center"/>
            <w:hideMark/>
          </w:tcPr>
          <w:p w14:paraId="2C2FA4FC" w14:textId="77777777" w:rsidR="00475EB8" w:rsidRPr="003E0C02" w:rsidRDefault="00475EB8"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Adjusted</w:t>
            </w:r>
            <w:r w:rsidR="00EF75B1" w:rsidRPr="003E0C02">
              <w:rPr>
                <w:rFonts w:ascii="Book Antiqua" w:hAnsi="Book Antiqua" w:cs="Calibri"/>
                <w:b/>
                <w:bCs/>
                <w:vertAlign w:val="superscript"/>
                <w:lang w:eastAsia="zh-CN"/>
              </w:rPr>
              <w:t>2</w:t>
            </w:r>
          </w:p>
        </w:tc>
      </w:tr>
      <w:tr w:rsidR="003E0C02" w:rsidRPr="003E0C02" w14:paraId="36E1D4E1" w14:textId="77777777" w:rsidTr="00F47475">
        <w:trPr>
          <w:trHeight w:val="330"/>
        </w:trPr>
        <w:tc>
          <w:tcPr>
            <w:tcW w:w="3828" w:type="dxa"/>
            <w:vMerge/>
            <w:tcBorders>
              <w:top w:val="single" w:sz="4" w:space="0" w:color="auto"/>
              <w:left w:val="nil"/>
              <w:bottom w:val="single" w:sz="4" w:space="0" w:color="auto"/>
              <w:right w:val="nil"/>
            </w:tcBorders>
            <w:vAlign w:val="center"/>
            <w:hideMark/>
          </w:tcPr>
          <w:p w14:paraId="350CC565" w14:textId="77777777" w:rsidR="00475EB8" w:rsidRPr="003E0C02" w:rsidRDefault="00475EB8" w:rsidP="003E0C02">
            <w:pPr>
              <w:adjustRightInd w:val="0"/>
              <w:snapToGrid w:val="0"/>
              <w:spacing w:line="360" w:lineRule="auto"/>
              <w:jc w:val="both"/>
              <w:rPr>
                <w:rFonts w:ascii="Book Antiqua" w:hAnsi="Book Antiqua" w:cs="Calibri"/>
                <w:b/>
                <w:bCs/>
              </w:rPr>
            </w:pPr>
          </w:p>
        </w:tc>
        <w:tc>
          <w:tcPr>
            <w:tcW w:w="1954" w:type="dxa"/>
            <w:tcBorders>
              <w:top w:val="single" w:sz="4" w:space="0" w:color="auto"/>
              <w:left w:val="nil"/>
              <w:bottom w:val="single" w:sz="4" w:space="0" w:color="auto"/>
              <w:right w:val="nil"/>
            </w:tcBorders>
            <w:shd w:val="clear" w:color="auto" w:fill="auto"/>
            <w:vAlign w:val="center"/>
            <w:hideMark/>
          </w:tcPr>
          <w:p w14:paraId="45FD79D3"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lang w:eastAsia="zh-CN"/>
              </w:rPr>
              <w:t>N</w:t>
            </w:r>
            <w:r w:rsidRPr="003E0C02">
              <w:rPr>
                <w:rFonts w:ascii="Book Antiqua" w:hAnsi="Book Antiqua" w:cs="Calibri"/>
                <w:b/>
                <w:bCs/>
              </w:rPr>
              <w:t>o. (</w:t>
            </w:r>
            <w:r w:rsidRPr="003E0C02">
              <w:rPr>
                <w:rFonts w:ascii="Book Antiqua" w:hAnsi="Book Antiqua" w:cs="Calibri"/>
                <w:b/>
                <w:bCs/>
                <w:i/>
              </w:rPr>
              <w:t>n</w:t>
            </w:r>
            <w:r w:rsidRPr="003E0C02">
              <w:rPr>
                <w:rFonts w:ascii="Book Antiqua" w:hAnsi="Book Antiqua" w:cs="Calibri"/>
                <w:b/>
                <w:bCs/>
                <w:lang w:eastAsia="zh-CN"/>
              </w:rPr>
              <w:t xml:space="preserve"> </w:t>
            </w:r>
            <w:r w:rsidRPr="003E0C02">
              <w:rPr>
                <w:rFonts w:ascii="Book Antiqua" w:hAnsi="Book Antiqua" w:cs="Calibri"/>
                <w:b/>
                <w:bCs/>
              </w:rPr>
              <w:t>=</w:t>
            </w:r>
            <w:r w:rsidRPr="003E0C02">
              <w:rPr>
                <w:rFonts w:ascii="Book Antiqua" w:hAnsi="Book Antiqua" w:cs="Calibri"/>
                <w:b/>
                <w:bCs/>
                <w:lang w:eastAsia="zh-CN"/>
              </w:rPr>
              <w:t xml:space="preserve"> </w:t>
            </w:r>
            <w:r w:rsidRPr="003E0C02">
              <w:rPr>
                <w:rFonts w:ascii="Book Antiqua" w:hAnsi="Book Antiqua" w:cs="Calibri"/>
                <w:b/>
                <w:bCs/>
              </w:rPr>
              <w:t>221)</w:t>
            </w:r>
          </w:p>
        </w:tc>
        <w:tc>
          <w:tcPr>
            <w:tcW w:w="0" w:type="auto"/>
            <w:tcBorders>
              <w:top w:val="single" w:sz="4" w:space="0" w:color="auto"/>
              <w:left w:val="nil"/>
              <w:bottom w:val="single" w:sz="4" w:space="0" w:color="auto"/>
              <w:right w:val="nil"/>
            </w:tcBorders>
            <w:shd w:val="clear" w:color="auto" w:fill="auto"/>
            <w:vAlign w:val="center"/>
            <w:hideMark/>
          </w:tcPr>
          <w:p w14:paraId="28376E18"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HR </w:t>
            </w:r>
          </w:p>
        </w:tc>
        <w:tc>
          <w:tcPr>
            <w:tcW w:w="0" w:type="auto"/>
            <w:tcBorders>
              <w:top w:val="single" w:sz="4" w:space="0" w:color="auto"/>
              <w:left w:val="nil"/>
              <w:bottom w:val="single" w:sz="4" w:space="0" w:color="auto"/>
              <w:right w:val="nil"/>
            </w:tcBorders>
            <w:shd w:val="clear" w:color="auto" w:fill="auto"/>
            <w:vAlign w:val="center"/>
            <w:hideMark/>
          </w:tcPr>
          <w:p w14:paraId="71874B68"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(95%CI)</w:t>
            </w:r>
          </w:p>
        </w:tc>
        <w:tc>
          <w:tcPr>
            <w:tcW w:w="0" w:type="auto"/>
            <w:tcBorders>
              <w:top w:val="single" w:sz="4" w:space="0" w:color="auto"/>
              <w:left w:val="nil"/>
              <w:bottom w:val="single" w:sz="4" w:space="0" w:color="auto"/>
              <w:right w:val="nil"/>
            </w:tcBorders>
            <w:shd w:val="clear" w:color="auto" w:fill="auto"/>
            <w:vAlign w:val="center"/>
            <w:hideMark/>
          </w:tcPr>
          <w:p w14:paraId="6E64D9ED"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i/>
              </w:rPr>
              <w:t>P</w:t>
            </w:r>
            <w:r w:rsidRPr="003E0C02">
              <w:rPr>
                <w:rFonts w:ascii="Book Antiqua" w:hAnsi="Book Antiqua" w:cs="Calibri"/>
                <w:b/>
                <w:bCs/>
              </w:rPr>
              <w:t xml:space="preserve"> value</w:t>
            </w:r>
          </w:p>
        </w:tc>
        <w:tc>
          <w:tcPr>
            <w:tcW w:w="0" w:type="auto"/>
            <w:tcBorders>
              <w:top w:val="single" w:sz="4" w:space="0" w:color="auto"/>
              <w:left w:val="nil"/>
              <w:bottom w:val="single" w:sz="4" w:space="0" w:color="auto"/>
              <w:right w:val="nil"/>
            </w:tcBorders>
            <w:shd w:val="clear" w:color="auto" w:fill="auto"/>
            <w:vAlign w:val="center"/>
            <w:hideMark/>
          </w:tcPr>
          <w:p w14:paraId="2E0950C2"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HR </w:t>
            </w:r>
          </w:p>
        </w:tc>
        <w:tc>
          <w:tcPr>
            <w:tcW w:w="0" w:type="auto"/>
            <w:tcBorders>
              <w:top w:val="single" w:sz="4" w:space="0" w:color="auto"/>
              <w:left w:val="nil"/>
              <w:bottom w:val="single" w:sz="4" w:space="0" w:color="auto"/>
              <w:right w:val="nil"/>
            </w:tcBorders>
            <w:shd w:val="clear" w:color="auto" w:fill="auto"/>
            <w:vAlign w:val="center"/>
            <w:hideMark/>
          </w:tcPr>
          <w:p w14:paraId="366BFF77"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(95%CI)</w:t>
            </w:r>
          </w:p>
        </w:tc>
        <w:tc>
          <w:tcPr>
            <w:tcW w:w="0" w:type="auto"/>
            <w:tcBorders>
              <w:top w:val="single" w:sz="4" w:space="0" w:color="auto"/>
              <w:left w:val="nil"/>
              <w:bottom w:val="single" w:sz="4" w:space="0" w:color="auto"/>
              <w:right w:val="nil"/>
            </w:tcBorders>
            <w:shd w:val="clear" w:color="auto" w:fill="auto"/>
            <w:vAlign w:val="center"/>
            <w:hideMark/>
          </w:tcPr>
          <w:p w14:paraId="68343BAA" w14:textId="77777777" w:rsidR="00475EB8" w:rsidRPr="003E0C02" w:rsidRDefault="00475EB8" w:rsidP="003E0C02">
            <w:pPr>
              <w:adjustRightInd w:val="0"/>
              <w:snapToGrid w:val="0"/>
              <w:spacing w:line="360" w:lineRule="auto"/>
              <w:jc w:val="both"/>
              <w:rPr>
                <w:rFonts w:ascii="Book Antiqua" w:hAnsi="Book Antiqua" w:cs="Calibri"/>
                <w:b/>
                <w:bCs/>
              </w:rPr>
            </w:pPr>
            <w:r w:rsidRPr="003E0C02">
              <w:rPr>
                <w:rFonts w:ascii="Book Antiqua" w:hAnsi="Book Antiqua" w:cs="Calibri"/>
                <w:b/>
                <w:bCs/>
                <w:i/>
              </w:rPr>
              <w:t>P</w:t>
            </w:r>
            <w:r w:rsidRPr="003E0C02">
              <w:rPr>
                <w:rFonts w:ascii="Book Antiqua" w:hAnsi="Book Antiqua" w:cs="Calibri"/>
                <w:b/>
                <w:bCs/>
              </w:rPr>
              <w:t xml:space="preserve"> value</w:t>
            </w:r>
          </w:p>
        </w:tc>
      </w:tr>
      <w:tr w:rsidR="003E0C02" w:rsidRPr="003E0C02" w14:paraId="62053953" w14:textId="77777777" w:rsidTr="00F47475">
        <w:trPr>
          <w:trHeight w:val="315"/>
        </w:trPr>
        <w:tc>
          <w:tcPr>
            <w:tcW w:w="10285" w:type="dxa"/>
            <w:gridSpan w:val="8"/>
            <w:tcBorders>
              <w:top w:val="single" w:sz="4" w:space="0" w:color="auto"/>
              <w:left w:val="nil"/>
              <w:bottom w:val="nil"/>
              <w:right w:val="nil"/>
            </w:tcBorders>
            <w:shd w:val="clear" w:color="auto" w:fill="auto"/>
            <w:noWrap/>
            <w:vAlign w:val="center"/>
            <w:hideMark/>
          </w:tcPr>
          <w:p w14:paraId="10B099B4" w14:textId="77777777" w:rsidR="00B87D53" w:rsidRPr="003E0C02" w:rsidRDefault="00B87D53"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Receiving bariatric surgery</w:t>
            </w:r>
          </w:p>
        </w:tc>
      </w:tr>
      <w:tr w:rsidR="003E0C02" w:rsidRPr="003E0C02" w14:paraId="56090008" w14:textId="77777777" w:rsidTr="00F47475">
        <w:trPr>
          <w:trHeight w:val="315"/>
        </w:trPr>
        <w:tc>
          <w:tcPr>
            <w:tcW w:w="3828" w:type="dxa"/>
            <w:tcBorders>
              <w:top w:val="nil"/>
              <w:left w:val="nil"/>
              <w:bottom w:val="nil"/>
              <w:right w:val="nil"/>
            </w:tcBorders>
            <w:shd w:val="clear" w:color="auto" w:fill="auto"/>
            <w:noWrap/>
            <w:vAlign w:val="center"/>
            <w:hideMark/>
          </w:tcPr>
          <w:p w14:paraId="7D75020F"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No</w:t>
            </w:r>
          </w:p>
        </w:tc>
        <w:tc>
          <w:tcPr>
            <w:tcW w:w="1954" w:type="dxa"/>
            <w:tcBorders>
              <w:top w:val="nil"/>
              <w:left w:val="nil"/>
              <w:bottom w:val="nil"/>
              <w:right w:val="nil"/>
            </w:tcBorders>
            <w:shd w:val="clear" w:color="auto" w:fill="auto"/>
            <w:noWrap/>
            <w:vAlign w:val="center"/>
            <w:hideMark/>
          </w:tcPr>
          <w:p w14:paraId="0CDD02A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38</w:t>
            </w:r>
          </w:p>
        </w:tc>
        <w:tc>
          <w:tcPr>
            <w:tcW w:w="0" w:type="auto"/>
            <w:tcBorders>
              <w:top w:val="nil"/>
              <w:left w:val="nil"/>
              <w:bottom w:val="nil"/>
              <w:right w:val="nil"/>
            </w:tcBorders>
            <w:shd w:val="clear" w:color="auto" w:fill="auto"/>
            <w:vAlign w:val="center"/>
            <w:hideMark/>
          </w:tcPr>
          <w:p w14:paraId="15BB3DE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4B425EB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vAlign w:val="center"/>
            <w:hideMark/>
          </w:tcPr>
          <w:p w14:paraId="4C399616" w14:textId="77777777" w:rsidR="00475EB8" w:rsidRPr="003E0C02" w:rsidRDefault="00475EB8" w:rsidP="003E0C02">
            <w:pPr>
              <w:adjustRightInd w:val="0"/>
              <w:snapToGrid w:val="0"/>
              <w:spacing w:line="360" w:lineRule="auto"/>
              <w:jc w:val="both"/>
              <w:rPr>
                <w:rFonts w:ascii="Book Antiqua" w:hAnsi="Book Antiqua" w:cs="Calibri"/>
              </w:rPr>
            </w:pPr>
          </w:p>
        </w:tc>
        <w:tc>
          <w:tcPr>
            <w:tcW w:w="0" w:type="auto"/>
            <w:tcBorders>
              <w:top w:val="nil"/>
              <w:left w:val="nil"/>
              <w:bottom w:val="nil"/>
              <w:right w:val="nil"/>
            </w:tcBorders>
            <w:shd w:val="clear" w:color="auto" w:fill="auto"/>
            <w:vAlign w:val="center"/>
            <w:hideMark/>
          </w:tcPr>
          <w:p w14:paraId="583F958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1A57ECC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vAlign w:val="center"/>
            <w:hideMark/>
          </w:tcPr>
          <w:p w14:paraId="3A226EFF" w14:textId="77777777" w:rsidR="00475EB8" w:rsidRPr="003E0C02" w:rsidRDefault="00475EB8" w:rsidP="003E0C02">
            <w:pPr>
              <w:adjustRightInd w:val="0"/>
              <w:snapToGrid w:val="0"/>
              <w:spacing w:line="360" w:lineRule="auto"/>
              <w:jc w:val="both"/>
              <w:rPr>
                <w:rFonts w:ascii="Book Antiqua" w:hAnsi="Book Antiqua" w:cs="Calibri"/>
              </w:rPr>
            </w:pPr>
          </w:p>
        </w:tc>
      </w:tr>
      <w:tr w:rsidR="003E0C02" w:rsidRPr="003E0C02" w14:paraId="4D463D5C" w14:textId="77777777" w:rsidTr="00F47475">
        <w:trPr>
          <w:trHeight w:val="315"/>
        </w:trPr>
        <w:tc>
          <w:tcPr>
            <w:tcW w:w="3828" w:type="dxa"/>
            <w:tcBorders>
              <w:top w:val="nil"/>
              <w:left w:val="nil"/>
              <w:bottom w:val="nil"/>
              <w:right w:val="nil"/>
            </w:tcBorders>
            <w:shd w:val="clear" w:color="auto" w:fill="auto"/>
            <w:noWrap/>
            <w:vAlign w:val="center"/>
            <w:hideMark/>
          </w:tcPr>
          <w:p w14:paraId="3253131E"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Yes</w:t>
            </w:r>
          </w:p>
        </w:tc>
        <w:tc>
          <w:tcPr>
            <w:tcW w:w="1954" w:type="dxa"/>
            <w:tcBorders>
              <w:top w:val="nil"/>
              <w:left w:val="nil"/>
              <w:bottom w:val="nil"/>
              <w:right w:val="nil"/>
            </w:tcBorders>
            <w:shd w:val="clear" w:color="auto" w:fill="auto"/>
            <w:noWrap/>
            <w:vAlign w:val="center"/>
            <w:hideMark/>
          </w:tcPr>
          <w:p w14:paraId="3811221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183</w:t>
            </w:r>
          </w:p>
        </w:tc>
        <w:tc>
          <w:tcPr>
            <w:tcW w:w="0" w:type="auto"/>
            <w:tcBorders>
              <w:top w:val="nil"/>
              <w:left w:val="nil"/>
              <w:bottom w:val="nil"/>
              <w:right w:val="nil"/>
            </w:tcBorders>
            <w:shd w:val="clear" w:color="auto" w:fill="auto"/>
            <w:noWrap/>
            <w:vAlign w:val="bottom"/>
            <w:hideMark/>
          </w:tcPr>
          <w:p w14:paraId="0454BA8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1.71</w:t>
            </w:r>
          </w:p>
        </w:tc>
        <w:tc>
          <w:tcPr>
            <w:tcW w:w="0" w:type="auto"/>
            <w:tcBorders>
              <w:top w:val="nil"/>
              <w:left w:val="nil"/>
              <w:bottom w:val="nil"/>
              <w:right w:val="nil"/>
            </w:tcBorders>
            <w:shd w:val="clear" w:color="auto" w:fill="auto"/>
            <w:noWrap/>
            <w:vAlign w:val="bottom"/>
            <w:hideMark/>
          </w:tcPr>
          <w:p w14:paraId="4185549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(1.2-2.44)</w:t>
            </w:r>
          </w:p>
        </w:tc>
        <w:tc>
          <w:tcPr>
            <w:tcW w:w="0" w:type="auto"/>
            <w:tcBorders>
              <w:top w:val="nil"/>
              <w:left w:val="nil"/>
              <w:bottom w:val="nil"/>
              <w:right w:val="nil"/>
            </w:tcBorders>
            <w:shd w:val="clear" w:color="auto" w:fill="auto"/>
            <w:noWrap/>
            <w:vAlign w:val="bottom"/>
            <w:hideMark/>
          </w:tcPr>
          <w:p w14:paraId="330A11F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0.003</w:t>
            </w:r>
          </w:p>
        </w:tc>
        <w:tc>
          <w:tcPr>
            <w:tcW w:w="0" w:type="auto"/>
            <w:tcBorders>
              <w:top w:val="nil"/>
              <w:left w:val="nil"/>
              <w:bottom w:val="nil"/>
              <w:right w:val="nil"/>
            </w:tcBorders>
            <w:shd w:val="clear" w:color="auto" w:fill="auto"/>
            <w:vAlign w:val="center"/>
            <w:hideMark/>
          </w:tcPr>
          <w:p w14:paraId="24613CE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2.36 </w:t>
            </w:r>
          </w:p>
        </w:tc>
        <w:tc>
          <w:tcPr>
            <w:tcW w:w="0" w:type="auto"/>
            <w:tcBorders>
              <w:top w:val="nil"/>
              <w:left w:val="nil"/>
              <w:bottom w:val="nil"/>
              <w:right w:val="nil"/>
            </w:tcBorders>
            <w:shd w:val="clear" w:color="auto" w:fill="auto"/>
            <w:vAlign w:val="center"/>
            <w:hideMark/>
          </w:tcPr>
          <w:p w14:paraId="4169440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(1.52-3.65)</w:t>
            </w:r>
          </w:p>
        </w:tc>
        <w:tc>
          <w:tcPr>
            <w:tcW w:w="0" w:type="auto"/>
            <w:tcBorders>
              <w:top w:val="nil"/>
              <w:left w:val="nil"/>
              <w:bottom w:val="nil"/>
              <w:right w:val="nil"/>
            </w:tcBorders>
            <w:shd w:val="clear" w:color="auto" w:fill="auto"/>
            <w:vAlign w:val="center"/>
            <w:hideMark/>
          </w:tcPr>
          <w:p w14:paraId="7E63948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0.0001</w:t>
            </w:r>
          </w:p>
        </w:tc>
      </w:tr>
      <w:tr w:rsidR="003E0C02" w:rsidRPr="003E0C02" w14:paraId="74415FB2" w14:textId="77777777" w:rsidTr="00F47475">
        <w:trPr>
          <w:trHeight w:val="315"/>
        </w:trPr>
        <w:tc>
          <w:tcPr>
            <w:tcW w:w="10285" w:type="dxa"/>
            <w:gridSpan w:val="8"/>
            <w:tcBorders>
              <w:top w:val="nil"/>
              <w:left w:val="nil"/>
              <w:bottom w:val="nil"/>
              <w:right w:val="nil"/>
            </w:tcBorders>
            <w:shd w:val="clear" w:color="auto" w:fill="auto"/>
            <w:vAlign w:val="center"/>
            <w:hideMark/>
          </w:tcPr>
          <w:p w14:paraId="1AACDA5A" w14:textId="77777777" w:rsidR="00B87D53" w:rsidRPr="003E0C02" w:rsidRDefault="00B87D53"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Gender</w:t>
            </w:r>
          </w:p>
        </w:tc>
      </w:tr>
      <w:tr w:rsidR="003E0C02" w:rsidRPr="003E0C02" w14:paraId="14F3B566" w14:textId="77777777" w:rsidTr="00F47475">
        <w:trPr>
          <w:trHeight w:val="315"/>
        </w:trPr>
        <w:tc>
          <w:tcPr>
            <w:tcW w:w="3828" w:type="dxa"/>
            <w:tcBorders>
              <w:top w:val="nil"/>
              <w:left w:val="nil"/>
              <w:bottom w:val="nil"/>
              <w:right w:val="nil"/>
            </w:tcBorders>
            <w:shd w:val="clear" w:color="auto" w:fill="auto"/>
            <w:vAlign w:val="center"/>
            <w:hideMark/>
          </w:tcPr>
          <w:p w14:paraId="0B0127ED"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Female</w:t>
            </w:r>
          </w:p>
        </w:tc>
        <w:tc>
          <w:tcPr>
            <w:tcW w:w="1954" w:type="dxa"/>
            <w:tcBorders>
              <w:top w:val="nil"/>
              <w:left w:val="nil"/>
              <w:bottom w:val="nil"/>
              <w:right w:val="nil"/>
            </w:tcBorders>
            <w:shd w:val="clear" w:color="auto" w:fill="auto"/>
            <w:noWrap/>
            <w:vAlign w:val="center"/>
            <w:hideMark/>
          </w:tcPr>
          <w:p w14:paraId="4665771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186</w:t>
            </w:r>
          </w:p>
        </w:tc>
        <w:tc>
          <w:tcPr>
            <w:tcW w:w="0" w:type="auto"/>
            <w:tcBorders>
              <w:top w:val="nil"/>
              <w:left w:val="nil"/>
              <w:bottom w:val="nil"/>
              <w:right w:val="nil"/>
            </w:tcBorders>
            <w:shd w:val="clear" w:color="auto" w:fill="auto"/>
            <w:vAlign w:val="center"/>
            <w:hideMark/>
          </w:tcPr>
          <w:p w14:paraId="3D970FA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673FCF5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vAlign w:val="center"/>
            <w:hideMark/>
          </w:tcPr>
          <w:p w14:paraId="1601D808" w14:textId="77777777" w:rsidR="00475EB8" w:rsidRPr="003E0C02" w:rsidRDefault="00475EB8" w:rsidP="003E0C02">
            <w:pPr>
              <w:adjustRightInd w:val="0"/>
              <w:snapToGrid w:val="0"/>
              <w:spacing w:line="360" w:lineRule="auto"/>
              <w:jc w:val="both"/>
              <w:rPr>
                <w:rFonts w:ascii="Book Antiqua" w:hAnsi="Book Antiqua" w:cs="Calibri"/>
              </w:rPr>
            </w:pPr>
          </w:p>
        </w:tc>
        <w:tc>
          <w:tcPr>
            <w:tcW w:w="0" w:type="auto"/>
            <w:tcBorders>
              <w:top w:val="nil"/>
              <w:left w:val="nil"/>
              <w:bottom w:val="nil"/>
              <w:right w:val="nil"/>
            </w:tcBorders>
            <w:shd w:val="clear" w:color="auto" w:fill="auto"/>
            <w:vAlign w:val="center"/>
            <w:hideMark/>
          </w:tcPr>
          <w:p w14:paraId="5FC970D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4DF9C77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noWrap/>
            <w:vAlign w:val="bottom"/>
            <w:hideMark/>
          </w:tcPr>
          <w:p w14:paraId="0265C2ED" w14:textId="77777777" w:rsidR="00475EB8" w:rsidRPr="003E0C02" w:rsidRDefault="00475EB8" w:rsidP="003E0C02">
            <w:pPr>
              <w:adjustRightInd w:val="0"/>
              <w:snapToGrid w:val="0"/>
              <w:spacing w:line="360" w:lineRule="auto"/>
              <w:jc w:val="both"/>
              <w:rPr>
                <w:rFonts w:ascii="Book Antiqua" w:hAnsi="Book Antiqua" w:cs="Calibri"/>
              </w:rPr>
            </w:pPr>
          </w:p>
        </w:tc>
      </w:tr>
      <w:tr w:rsidR="003E0C02" w:rsidRPr="003E0C02" w14:paraId="4DB26D17" w14:textId="77777777" w:rsidTr="00F47475">
        <w:trPr>
          <w:trHeight w:val="315"/>
        </w:trPr>
        <w:tc>
          <w:tcPr>
            <w:tcW w:w="3828" w:type="dxa"/>
            <w:tcBorders>
              <w:top w:val="nil"/>
              <w:left w:val="nil"/>
              <w:bottom w:val="nil"/>
              <w:right w:val="nil"/>
            </w:tcBorders>
            <w:shd w:val="clear" w:color="auto" w:fill="auto"/>
            <w:vAlign w:val="center"/>
            <w:hideMark/>
          </w:tcPr>
          <w:p w14:paraId="6482BF7B"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Male</w:t>
            </w:r>
          </w:p>
        </w:tc>
        <w:tc>
          <w:tcPr>
            <w:tcW w:w="1954" w:type="dxa"/>
            <w:tcBorders>
              <w:top w:val="nil"/>
              <w:left w:val="nil"/>
              <w:bottom w:val="nil"/>
              <w:right w:val="nil"/>
            </w:tcBorders>
            <w:shd w:val="clear" w:color="auto" w:fill="auto"/>
            <w:noWrap/>
            <w:vAlign w:val="center"/>
            <w:hideMark/>
          </w:tcPr>
          <w:p w14:paraId="06F8AFB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35</w:t>
            </w:r>
          </w:p>
        </w:tc>
        <w:tc>
          <w:tcPr>
            <w:tcW w:w="0" w:type="auto"/>
            <w:tcBorders>
              <w:top w:val="nil"/>
              <w:left w:val="nil"/>
              <w:bottom w:val="nil"/>
              <w:right w:val="nil"/>
            </w:tcBorders>
            <w:shd w:val="clear" w:color="auto" w:fill="auto"/>
            <w:noWrap/>
            <w:vAlign w:val="bottom"/>
            <w:hideMark/>
          </w:tcPr>
          <w:p w14:paraId="0D79FE1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0.32</w:t>
            </w:r>
          </w:p>
        </w:tc>
        <w:tc>
          <w:tcPr>
            <w:tcW w:w="0" w:type="auto"/>
            <w:tcBorders>
              <w:top w:val="nil"/>
              <w:left w:val="nil"/>
              <w:bottom w:val="nil"/>
              <w:right w:val="nil"/>
            </w:tcBorders>
            <w:shd w:val="clear" w:color="auto" w:fill="auto"/>
            <w:noWrap/>
            <w:vAlign w:val="bottom"/>
            <w:hideMark/>
          </w:tcPr>
          <w:p w14:paraId="1C1650F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(0.22-0.46)</w:t>
            </w:r>
          </w:p>
        </w:tc>
        <w:tc>
          <w:tcPr>
            <w:tcW w:w="0" w:type="auto"/>
            <w:tcBorders>
              <w:top w:val="nil"/>
              <w:left w:val="nil"/>
              <w:bottom w:val="nil"/>
              <w:right w:val="nil"/>
            </w:tcBorders>
            <w:shd w:val="clear" w:color="auto" w:fill="auto"/>
            <w:noWrap/>
            <w:vAlign w:val="bottom"/>
            <w:hideMark/>
          </w:tcPr>
          <w:p w14:paraId="1F2CD09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c>
          <w:tcPr>
            <w:tcW w:w="0" w:type="auto"/>
            <w:tcBorders>
              <w:top w:val="nil"/>
              <w:left w:val="nil"/>
              <w:bottom w:val="nil"/>
              <w:right w:val="nil"/>
            </w:tcBorders>
            <w:shd w:val="clear" w:color="auto" w:fill="auto"/>
            <w:noWrap/>
            <w:vAlign w:val="bottom"/>
            <w:hideMark/>
          </w:tcPr>
          <w:p w14:paraId="154A5DC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0.33 </w:t>
            </w:r>
          </w:p>
        </w:tc>
        <w:tc>
          <w:tcPr>
            <w:tcW w:w="0" w:type="auto"/>
            <w:tcBorders>
              <w:top w:val="nil"/>
              <w:left w:val="nil"/>
              <w:bottom w:val="nil"/>
              <w:right w:val="nil"/>
            </w:tcBorders>
            <w:shd w:val="clear" w:color="auto" w:fill="auto"/>
            <w:noWrap/>
            <w:vAlign w:val="bottom"/>
            <w:hideMark/>
          </w:tcPr>
          <w:p w14:paraId="60FBCAD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(0.23-0.48)</w:t>
            </w:r>
          </w:p>
        </w:tc>
        <w:tc>
          <w:tcPr>
            <w:tcW w:w="0" w:type="auto"/>
            <w:tcBorders>
              <w:top w:val="nil"/>
              <w:left w:val="nil"/>
              <w:bottom w:val="nil"/>
              <w:right w:val="nil"/>
            </w:tcBorders>
            <w:shd w:val="clear" w:color="auto" w:fill="auto"/>
            <w:noWrap/>
            <w:vAlign w:val="bottom"/>
            <w:hideMark/>
          </w:tcPr>
          <w:p w14:paraId="36A0B0F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6CB85FBA" w14:textId="77777777" w:rsidTr="00F47475">
        <w:trPr>
          <w:trHeight w:val="315"/>
        </w:trPr>
        <w:tc>
          <w:tcPr>
            <w:tcW w:w="10285" w:type="dxa"/>
            <w:gridSpan w:val="8"/>
            <w:tcBorders>
              <w:top w:val="nil"/>
              <w:left w:val="nil"/>
              <w:bottom w:val="nil"/>
              <w:right w:val="nil"/>
            </w:tcBorders>
            <w:shd w:val="clear" w:color="auto" w:fill="auto"/>
            <w:vAlign w:val="center"/>
            <w:hideMark/>
          </w:tcPr>
          <w:p w14:paraId="510FF860" w14:textId="77777777" w:rsidR="00B87D53" w:rsidRPr="003E0C02" w:rsidRDefault="00B87D53"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 xml:space="preserve">Age </w:t>
            </w:r>
          </w:p>
        </w:tc>
      </w:tr>
      <w:tr w:rsidR="003E0C02" w:rsidRPr="003E0C02" w14:paraId="5C7104C6" w14:textId="77777777" w:rsidTr="00F47475">
        <w:trPr>
          <w:trHeight w:val="315"/>
        </w:trPr>
        <w:tc>
          <w:tcPr>
            <w:tcW w:w="3828" w:type="dxa"/>
            <w:tcBorders>
              <w:top w:val="nil"/>
              <w:left w:val="nil"/>
              <w:bottom w:val="nil"/>
              <w:right w:val="nil"/>
            </w:tcBorders>
            <w:shd w:val="clear" w:color="auto" w:fill="auto"/>
            <w:vAlign w:val="center"/>
            <w:hideMark/>
          </w:tcPr>
          <w:p w14:paraId="783D4F23"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20-29 years</w:t>
            </w:r>
          </w:p>
        </w:tc>
        <w:tc>
          <w:tcPr>
            <w:tcW w:w="1954" w:type="dxa"/>
            <w:tcBorders>
              <w:top w:val="nil"/>
              <w:left w:val="nil"/>
              <w:bottom w:val="nil"/>
              <w:right w:val="nil"/>
            </w:tcBorders>
            <w:shd w:val="clear" w:color="auto" w:fill="auto"/>
            <w:noWrap/>
            <w:vAlign w:val="center"/>
            <w:hideMark/>
          </w:tcPr>
          <w:p w14:paraId="6311F98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88</w:t>
            </w:r>
          </w:p>
        </w:tc>
        <w:tc>
          <w:tcPr>
            <w:tcW w:w="0" w:type="auto"/>
            <w:tcBorders>
              <w:top w:val="nil"/>
              <w:left w:val="nil"/>
              <w:bottom w:val="nil"/>
              <w:right w:val="nil"/>
            </w:tcBorders>
            <w:shd w:val="clear" w:color="auto" w:fill="auto"/>
            <w:vAlign w:val="center"/>
            <w:hideMark/>
          </w:tcPr>
          <w:p w14:paraId="439FC8E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63EC0E1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vAlign w:val="center"/>
            <w:hideMark/>
          </w:tcPr>
          <w:p w14:paraId="71E5EBC3" w14:textId="77777777" w:rsidR="00475EB8" w:rsidRPr="003E0C02" w:rsidRDefault="00475EB8" w:rsidP="003E0C02">
            <w:pPr>
              <w:adjustRightInd w:val="0"/>
              <w:snapToGrid w:val="0"/>
              <w:spacing w:line="360" w:lineRule="auto"/>
              <w:jc w:val="both"/>
              <w:rPr>
                <w:rFonts w:ascii="Book Antiqua" w:hAnsi="Book Antiqua" w:cs="Calibri"/>
              </w:rPr>
            </w:pPr>
          </w:p>
        </w:tc>
        <w:tc>
          <w:tcPr>
            <w:tcW w:w="0" w:type="auto"/>
            <w:tcBorders>
              <w:top w:val="nil"/>
              <w:left w:val="nil"/>
              <w:bottom w:val="nil"/>
              <w:right w:val="nil"/>
            </w:tcBorders>
            <w:shd w:val="clear" w:color="auto" w:fill="auto"/>
            <w:vAlign w:val="center"/>
            <w:hideMark/>
          </w:tcPr>
          <w:p w14:paraId="1C927C6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1.00 </w:t>
            </w:r>
          </w:p>
        </w:tc>
        <w:tc>
          <w:tcPr>
            <w:tcW w:w="0" w:type="auto"/>
            <w:tcBorders>
              <w:top w:val="nil"/>
              <w:left w:val="nil"/>
              <w:bottom w:val="nil"/>
              <w:right w:val="nil"/>
            </w:tcBorders>
            <w:shd w:val="clear" w:color="auto" w:fill="auto"/>
            <w:vAlign w:val="center"/>
            <w:hideMark/>
          </w:tcPr>
          <w:p w14:paraId="3ABAFF8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reference</w:t>
            </w:r>
          </w:p>
        </w:tc>
        <w:tc>
          <w:tcPr>
            <w:tcW w:w="0" w:type="auto"/>
            <w:tcBorders>
              <w:top w:val="nil"/>
              <w:left w:val="nil"/>
              <w:bottom w:val="nil"/>
              <w:right w:val="nil"/>
            </w:tcBorders>
            <w:shd w:val="clear" w:color="auto" w:fill="auto"/>
            <w:noWrap/>
            <w:vAlign w:val="bottom"/>
            <w:hideMark/>
          </w:tcPr>
          <w:p w14:paraId="32EA2A99" w14:textId="77777777" w:rsidR="00475EB8" w:rsidRPr="003E0C02" w:rsidRDefault="00475EB8" w:rsidP="003E0C02">
            <w:pPr>
              <w:adjustRightInd w:val="0"/>
              <w:snapToGrid w:val="0"/>
              <w:spacing w:line="360" w:lineRule="auto"/>
              <w:jc w:val="both"/>
              <w:rPr>
                <w:rFonts w:ascii="Book Antiqua" w:hAnsi="Book Antiqua" w:cs="Calibri"/>
              </w:rPr>
            </w:pPr>
          </w:p>
        </w:tc>
      </w:tr>
      <w:tr w:rsidR="003E0C02" w:rsidRPr="003E0C02" w14:paraId="4FF34808" w14:textId="77777777" w:rsidTr="00F47475">
        <w:trPr>
          <w:trHeight w:val="315"/>
        </w:trPr>
        <w:tc>
          <w:tcPr>
            <w:tcW w:w="3828" w:type="dxa"/>
            <w:tcBorders>
              <w:top w:val="nil"/>
              <w:left w:val="nil"/>
              <w:bottom w:val="nil"/>
              <w:right w:val="nil"/>
            </w:tcBorders>
            <w:shd w:val="clear" w:color="auto" w:fill="auto"/>
            <w:vAlign w:val="center"/>
            <w:hideMark/>
          </w:tcPr>
          <w:p w14:paraId="76D10DEC"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30-64 years</w:t>
            </w:r>
          </w:p>
        </w:tc>
        <w:tc>
          <w:tcPr>
            <w:tcW w:w="1954" w:type="dxa"/>
            <w:tcBorders>
              <w:top w:val="nil"/>
              <w:left w:val="nil"/>
              <w:bottom w:val="nil"/>
              <w:right w:val="nil"/>
            </w:tcBorders>
            <w:shd w:val="clear" w:color="auto" w:fill="auto"/>
            <w:noWrap/>
            <w:vAlign w:val="center"/>
            <w:hideMark/>
          </w:tcPr>
          <w:p w14:paraId="4D10097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126</w:t>
            </w:r>
          </w:p>
        </w:tc>
        <w:tc>
          <w:tcPr>
            <w:tcW w:w="0" w:type="auto"/>
            <w:tcBorders>
              <w:top w:val="nil"/>
              <w:left w:val="nil"/>
              <w:bottom w:val="nil"/>
              <w:right w:val="nil"/>
            </w:tcBorders>
            <w:shd w:val="clear" w:color="auto" w:fill="auto"/>
            <w:noWrap/>
            <w:vAlign w:val="bottom"/>
            <w:hideMark/>
          </w:tcPr>
          <w:p w14:paraId="7B475E3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1.08</w:t>
            </w:r>
          </w:p>
        </w:tc>
        <w:tc>
          <w:tcPr>
            <w:tcW w:w="0" w:type="auto"/>
            <w:tcBorders>
              <w:top w:val="nil"/>
              <w:left w:val="nil"/>
              <w:bottom w:val="nil"/>
              <w:right w:val="nil"/>
            </w:tcBorders>
            <w:shd w:val="clear" w:color="auto" w:fill="auto"/>
            <w:noWrap/>
            <w:vAlign w:val="bottom"/>
            <w:hideMark/>
          </w:tcPr>
          <w:p w14:paraId="7BF62AD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(0.82-1.41)</w:t>
            </w:r>
          </w:p>
        </w:tc>
        <w:tc>
          <w:tcPr>
            <w:tcW w:w="0" w:type="auto"/>
            <w:tcBorders>
              <w:top w:val="nil"/>
              <w:left w:val="nil"/>
              <w:bottom w:val="nil"/>
              <w:right w:val="nil"/>
            </w:tcBorders>
            <w:shd w:val="clear" w:color="auto" w:fill="auto"/>
            <w:noWrap/>
            <w:vAlign w:val="bottom"/>
            <w:hideMark/>
          </w:tcPr>
          <w:p w14:paraId="2DD733D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0.6028</w:t>
            </w:r>
          </w:p>
        </w:tc>
        <w:tc>
          <w:tcPr>
            <w:tcW w:w="0" w:type="auto"/>
            <w:tcBorders>
              <w:top w:val="nil"/>
              <w:left w:val="nil"/>
              <w:bottom w:val="nil"/>
              <w:right w:val="nil"/>
            </w:tcBorders>
            <w:shd w:val="clear" w:color="auto" w:fill="auto"/>
            <w:vAlign w:val="center"/>
            <w:hideMark/>
          </w:tcPr>
          <w:p w14:paraId="33EC3A3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1.06 </w:t>
            </w:r>
          </w:p>
        </w:tc>
        <w:tc>
          <w:tcPr>
            <w:tcW w:w="0" w:type="auto"/>
            <w:tcBorders>
              <w:top w:val="nil"/>
              <w:left w:val="nil"/>
              <w:bottom w:val="nil"/>
              <w:right w:val="nil"/>
            </w:tcBorders>
            <w:shd w:val="clear" w:color="auto" w:fill="auto"/>
            <w:vAlign w:val="center"/>
            <w:hideMark/>
          </w:tcPr>
          <w:p w14:paraId="0882F10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(0.79-1.41)</w:t>
            </w:r>
          </w:p>
        </w:tc>
        <w:tc>
          <w:tcPr>
            <w:tcW w:w="0" w:type="auto"/>
            <w:tcBorders>
              <w:top w:val="nil"/>
              <w:left w:val="nil"/>
              <w:bottom w:val="nil"/>
              <w:right w:val="nil"/>
            </w:tcBorders>
            <w:shd w:val="clear" w:color="auto" w:fill="auto"/>
            <w:vAlign w:val="center"/>
            <w:hideMark/>
          </w:tcPr>
          <w:p w14:paraId="2266771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0.6956</w:t>
            </w:r>
          </w:p>
        </w:tc>
      </w:tr>
      <w:tr w:rsidR="003E0C02" w:rsidRPr="003E0C02" w14:paraId="1228B352" w14:textId="77777777" w:rsidTr="00F47475">
        <w:trPr>
          <w:trHeight w:val="315"/>
        </w:trPr>
        <w:tc>
          <w:tcPr>
            <w:tcW w:w="3828" w:type="dxa"/>
            <w:tcBorders>
              <w:top w:val="nil"/>
              <w:left w:val="nil"/>
              <w:bottom w:val="nil"/>
              <w:right w:val="nil"/>
            </w:tcBorders>
            <w:shd w:val="clear" w:color="auto" w:fill="auto"/>
            <w:vAlign w:val="center"/>
            <w:hideMark/>
          </w:tcPr>
          <w:p w14:paraId="431F27DC"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65-100 years</w:t>
            </w:r>
          </w:p>
        </w:tc>
        <w:tc>
          <w:tcPr>
            <w:tcW w:w="1954" w:type="dxa"/>
            <w:tcBorders>
              <w:top w:val="nil"/>
              <w:left w:val="nil"/>
              <w:bottom w:val="nil"/>
              <w:right w:val="nil"/>
            </w:tcBorders>
            <w:shd w:val="clear" w:color="auto" w:fill="auto"/>
            <w:noWrap/>
            <w:vAlign w:val="center"/>
            <w:hideMark/>
          </w:tcPr>
          <w:p w14:paraId="1D48EB4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7</w:t>
            </w:r>
          </w:p>
        </w:tc>
        <w:tc>
          <w:tcPr>
            <w:tcW w:w="0" w:type="auto"/>
            <w:tcBorders>
              <w:top w:val="nil"/>
              <w:left w:val="nil"/>
              <w:bottom w:val="nil"/>
              <w:right w:val="nil"/>
            </w:tcBorders>
            <w:shd w:val="clear" w:color="auto" w:fill="auto"/>
            <w:noWrap/>
            <w:vAlign w:val="bottom"/>
            <w:hideMark/>
          </w:tcPr>
          <w:p w14:paraId="1177D4A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1.33</w:t>
            </w:r>
          </w:p>
        </w:tc>
        <w:tc>
          <w:tcPr>
            <w:tcW w:w="0" w:type="auto"/>
            <w:tcBorders>
              <w:top w:val="nil"/>
              <w:left w:val="nil"/>
              <w:bottom w:val="nil"/>
              <w:right w:val="nil"/>
            </w:tcBorders>
            <w:shd w:val="clear" w:color="auto" w:fill="auto"/>
            <w:noWrap/>
            <w:vAlign w:val="bottom"/>
            <w:hideMark/>
          </w:tcPr>
          <w:p w14:paraId="3D25987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(0.61-2.88)</w:t>
            </w:r>
          </w:p>
        </w:tc>
        <w:tc>
          <w:tcPr>
            <w:tcW w:w="0" w:type="auto"/>
            <w:tcBorders>
              <w:top w:val="nil"/>
              <w:left w:val="nil"/>
              <w:bottom w:val="nil"/>
              <w:right w:val="nil"/>
            </w:tcBorders>
            <w:shd w:val="clear" w:color="auto" w:fill="auto"/>
            <w:noWrap/>
            <w:vAlign w:val="bottom"/>
            <w:hideMark/>
          </w:tcPr>
          <w:p w14:paraId="6656842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0.4724</w:t>
            </w:r>
          </w:p>
        </w:tc>
        <w:tc>
          <w:tcPr>
            <w:tcW w:w="0" w:type="auto"/>
            <w:tcBorders>
              <w:top w:val="nil"/>
              <w:left w:val="nil"/>
              <w:bottom w:val="nil"/>
              <w:right w:val="nil"/>
            </w:tcBorders>
            <w:shd w:val="clear" w:color="auto" w:fill="auto"/>
            <w:noWrap/>
            <w:vAlign w:val="bottom"/>
            <w:hideMark/>
          </w:tcPr>
          <w:p w14:paraId="201919E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1.33 </w:t>
            </w:r>
          </w:p>
        </w:tc>
        <w:tc>
          <w:tcPr>
            <w:tcW w:w="0" w:type="auto"/>
            <w:tcBorders>
              <w:top w:val="nil"/>
              <w:left w:val="nil"/>
              <w:bottom w:val="nil"/>
              <w:right w:val="nil"/>
            </w:tcBorders>
            <w:shd w:val="clear" w:color="auto" w:fill="auto"/>
            <w:noWrap/>
            <w:vAlign w:val="bottom"/>
            <w:hideMark/>
          </w:tcPr>
          <w:p w14:paraId="7E04445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(0.54-3.3)</w:t>
            </w:r>
          </w:p>
        </w:tc>
        <w:tc>
          <w:tcPr>
            <w:tcW w:w="0" w:type="auto"/>
            <w:tcBorders>
              <w:top w:val="nil"/>
              <w:left w:val="nil"/>
              <w:bottom w:val="nil"/>
              <w:right w:val="nil"/>
            </w:tcBorders>
            <w:shd w:val="clear" w:color="auto" w:fill="auto"/>
            <w:noWrap/>
            <w:vAlign w:val="bottom"/>
            <w:hideMark/>
          </w:tcPr>
          <w:p w14:paraId="04BE434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0.5391</w:t>
            </w:r>
          </w:p>
        </w:tc>
      </w:tr>
      <w:tr w:rsidR="003E0C02" w:rsidRPr="003E0C02" w14:paraId="07696D20" w14:textId="77777777" w:rsidTr="00F47475">
        <w:trPr>
          <w:trHeight w:val="315"/>
        </w:trPr>
        <w:tc>
          <w:tcPr>
            <w:tcW w:w="10285" w:type="dxa"/>
            <w:gridSpan w:val="8"/>
            <w:tcBorders>
              <w:top w:val="nil"/>
              <w:left w:val="nil"/>
              <w:bottom w:val="nil"/>
              <w:right w:val="nil"/>
            </w:tcBorders>
            <w:shd w:val="clear" w:color="auto" w:fill="auto"/>
            <w:vAlign w:val="center"/>
            <w:hideMark/>
          </w:tcPr>
          <w:p w14:paraId="3E741C2B" w14:textId="77777777" w:rsidR="00B87D53" w:rsidRPr="003E0C02" w:rsidRDefault="00B87D53"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Comorbidities (ref</w:t>
            </w:r>
            <w:r w:rsidRPr="003E0C02">
              <w:rPr>
                <w:rFonts w:ascii="Book Antiqua" w:hAnsi="Book Antiqua" w:cs="Calibri"/>
                <w:bCs/>
                <w:lang w:eastAsia="zh-CN"/>
              </w:rPr>
              <w:t xml:space="preserve"> </w:t>
            </w:r>
            <w:r w:rsidRPr="003E0C02">
              <w:rPr>
                <w:rFonts w:ascii="Book Antiqua" w:hAnsi="Book Antiqua" w:cs="Calibri"/>
                <w:bCs/>
              </w:rPr>
              <w:t>=</w:t>
            </w:r>
            <w:r w:rsidRPr="003E0C02">
              <w:rPr>
                <w:rFonts w:ascii="Book Antiqua" w:hAnsi="Book Antiqua" w:cs="Calibri"/>
                <w:bCs/>
                <w:lang w:eastAsia="zh-CN"/>
              </w:rPr>
              <w:t xml:space="preserve"> </w:t>
            </w:r>
            <w:r w:rsidRPr="003E0C02">
              <w:rPr>
                <w:rFonts w:ascii="Book Antiqua" w:hAnsi="Book Antiqua" w:cs="Calibri"/>
                <w:bCs/>
              </w:rPr>
              <w:t>non-)</w:t>
            </w:r>
          </w:p>
        </w:tc>
      </w:tr>
      <w:tr w:rsidR="003E0C02" w:rsidRPr="003E0C02" w14:paraId="05988634" w14:textId="77777777" w:rsidTr="00F47475">
        <w:trPr>
          <w:trHeight w:val="315"/>
        </w:trPr>
        <w:tc>
          <w:tcPr>
            <w:tcW w:w="3828" w:type="dxa"/>
            <w:tcBorders>
              <w:top w:val="nil"/>
              <w:left w:val="nil"/>
              <w:bottom w:val="nil"/>
              <w:right w:val="nil"/>
            </w:tcBorders>
            <w:shd w:val="clear" w:color="auto" w:fill="auto"/>
            <w:vAlign w:val="center"/>
            <w:hideMark/>
          </w:tcPr>
          <w:p w14:paraId="728C0D62"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 xml:space="preserve"> Hypertension</w:t>
            </w:r>
          </w:p>
        </w:tc>
        <w:tc>
          <w:tcPr>
            <w:tcW w:w="1954" w:type="dxa"/>
            <w:tcBorders>
              <w:top w:val="nil"/>
              <w:left w:val="nil"/>
              <w:bottom w:val="nil"/>
              <w:right w:val="nil"/>
            </w:tcBorders>
            <w:shd w:val="clear" w:color="auto" w:fill="auto"/>
            <w:noWrap/>
            <w:vAlign w:val="center"/>
            <w:hideMark/>
          </w:tcPr>
          <w:p w14:paraId="01EA619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41</w:t>
            </w:r>
          </w:p>
        </w:tc>
        <w:tc>
          <w:tcPr>
            <w:tcW w:w="0" w:type="auto"/>
            <w:tcBorders>
              <w:top w:val="nil"/>
              <w:left w:val="nil"/>
              <w:bottom w:val="nil"/>
              <w:right w:val="nil"/>
            </w:tcBorders>
            <w:shd w:val="clear" w:color="auto" w:fill="auto"/>
            <w:noWrap/>
            <w:vAlign w:val="bottom"/>
            <w:hideMark/>
          </w:tcPr>
          <w:p w14:paraId="17AF850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1.07</w:t>
            </w:r>
          </w:p>
        </w:tc>
        <w:tc>
          <w:tcPr>
            <w:tcW w:w="0" w:type="auto"/>
            <w:tcBorders>
              <w:top w:val="nil"/>
              <w:left w:val="nil"/>
              <w:bottom w:val="nil"/>
              <w:right w:val="nil"/>
            </w:tcBorders>
            <w:shd w:val="clear" w:color="auto" w:fill="auto"/>
            <w:noWrap/>
            <w:vAlign w:val="bottom"/>
            <w:hideMark/>
          </w:tcPr>
          <w:p w14:paraId="438E16F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(0.76-1.51)</w:t>
            </w:r>
          </w:p>
        </w:tc>
        <w:tc>
          <w:tcPr>
            <w:tcW w:w="0" w:type="auto"/>
            <w:tcBorders>
              <w:top w:val="nil"/>
              <w:left w:val="nil"/>
              <w:bottom w:val="nil"/>
              <w:right w:val="nil"/>
            </w:tcBorders>
            <w:shd w:val="clear" w:color="auto" w:fill="auto"/>
            <w:noWrap/>
            <w:vAlign w:val="bottom"/>
            <w:hideMark/>
          </w:tcPr>
          <w:p w14:paraId="3D14A50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0.6837</w:t>
            </w:r>
          </w:p>
        </w:tc>
        <w:tc>
          <w:tcPr>
            <w:tcW w:w="0" w:type="auto"/>
            <w:tcBorders>
              <w:top w:val="nil"/>
              <w:left w:val="nil"/>
              <w:bottom w:val="nil"/>
              <w:right w:val="nil"/>
            </w:tcBorders>
            <w:shd w:val="clear" w:color="auto" w:fill="auto"/>
            <w:noWrap/>
            <w:vAlign w:val="bottom"/>
            <w:hideMark/>
          </w:tcPr>
          <w:p w14:paraId="5C0CC5F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1.43 </w:t>
            </w:r>
          </w:p>
        </w:tc>
        <w:tc>
          <w:tcPr>
            <w:tcW w:w="0" w:type="auto"/>
            <w:tcBorders>
              <w:top w:val="nil"/>
              <w:left w:val="nil"/>
              <w:bottom w:val="nil"/>
              <w:right w:val="nil"/>
            </w:tcBorders>
            <w:shd w:val="clear" w:color="auto" w:fill="auto"/>
            <w:noWrap/>
            <w:vAlign w:val="bottom"/>
            <w:hideMark/>
          </w:tcPr>
          <w:p w14:paraId="7113007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(0.9-2.27)</w:t>
            </w:r>
          </w:p>
        </w:tc>
        <w:tc>
          <w:tcPr>
            <w:tcW w:w="0" w:type="auto"/>
            <w:tcBorders>
              <w:top w:val="nil"/>
              <w:left w:val="nil"/>
              <w:bottom w:val="nil"/>
              <w:right w:val="nil"/>
            </w:tcBorders>
            <w:shd w:val="clear" w:color="auto" w:fill="auto"/>
            <w:noWrap/>
            <w:vAlign w:val="bottom"/>
            <w:hideMark/>
          </w:tcPr>
          <w:p w14:paraId="010706B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0.1349</w:t>
            </w:r>
          </w:p>
        </w:tc>
      </w:tr>
      <w:tr w:rsidR="003E0C02" w:rsidRPr="003E0C02" w14:paraId="2B3622CD" w14:textId="77777777" w:rsidTr="00F47475">
        <w:trPr>
          <w:trHeight w:val="315"/>
        </w:trPr>
        <w:tc>
          <w:tcPr>
            <w:tcW w:w="3828" w:type="dxa"/>
            <w:tcBorders>
              <w:top w:val="nil"/>
              <w:left w:val="nil"/>
              <w:bottom w:val="nil"/>
              <w:right w:val="nil"/>
            </w:tcBorders>
            <w:shd w:val="clear" w:color="auto" w:fill="auto"/>
            <w:vAlign w:val="center"/>
            <w:hideMark/>
          </w:tcPr>
          <w:p w14:paraId="47611A76" w14:textId="77777777" w:rsidR="00475EB8" w:rsidRPr="003E0C02" w:rsidRDefault="00DB1E85" w:rsidP="003E0C02">
            <w:pPr>
              <w:adjustRightInd w:val="0"/>
              <w:snapToGrid w:val="0"/>
              <w:spacing w:line="360" w:lineRule="auto"/>
              <w:ind w:firstLineChars="50" w:firstLine="120"/>
              <w:jc w:val="both"/>
              <w:rPr>
                <w:rFonts w:ascii="Book Antiqua" w:hAnsi="Book Antiqua" w:cs="Calibri"/>
              </w:rPr>
            </w:pPr>
            <w:r>
              <w:rPr>
                <w:rFonts w:ascii="Book Antiqua" w:hAnsi="Book Antiqua" w:cs="Calibri"/>
              </w:rPr>
              <w:t xml:space="preserve"> </w:t>
            </w:r>
            <w:r w:rsidR="00475EB8" w:rsidRPr="003E0C02">
              <w:rPr>
                <w:rFonts w:ascii="Book Antiqua" w:hAnsi="Book Antiqua" w:cs="Calibri"/>
              </w:rPr>
              <w:t>Hyperlipidemia</w:t>
            </w:r>
          </w:p>
        </w:tc>
        <w:tc>
          <w:tcPr>
            <w:tcW w:w="1954" w:type="dxa"/>
            <w:tcBorders>
              <w:top w:val="nil"/>
              <w:left w:val="nil"/>
              <w:bottom w:val="nil"/>
              <w:right w:val="nil"/>
            </w:tcBorders>
            <w:shd w:val="clear" w:color="auto" w:fill="auto"/>
            <w:noWrap/>
            <w:vAlign w:val="center"/>
            <w:hideMark/>
          </w:tcPr>
          <w:p w14:paraId="7340EE3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18</w:t>
            </w:r>
          </w:p>
        </w:tc>
        <w:tc>
          <w:tcPr>
            <w:tcW w:w="0" w:type="auto"/>
            <w:tcBorders>
              <w:top w:val="nil"/>
              <w:left w:val="nil"/>
              <w:bottom w:val="nil"/>
              <w:right w:val="nil"/>
            </w:tcBorders>
            <w:shd w:val="clear" w:color="auto" w:fill="auto"/>
            <w:noWrap/>
            <w:vAlign w:val="bottom"/>
            <w:hideMark/>
          </w:tcPr>
          <w:p w14:paraId="1CFFFAF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1.06</w:t>
            </w:r>
          </w:p>
        </w:tc>
        <w:tc>
          <w:tcPr>
            <w:tcW w:w="0" w:type="auto"/>
            <w:tcBorders>
              <w:top w:val="nil"/>
              <w:left w:val="nil"/>
              <w:bottom w:val="nil"/>
              <w:right w:val="nil"/>
            </w:tcBorders>
            <w:shd w:val="clear" w:color="auto" w:fill="auto"/>
            <w:noWrap/>
            <w:vAlign w:val="bottom"/>
            <w:hideMark/>
          </w:tcPr>
          <w:p w14:paraId="234CA68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(0.65-1.71)</w:t>
            </w:r>
          </w:p>
        </w:tc>
        <w:tc>
          <w:tcPr>
            <w:tcW w:w="0" w:type="auto"/>
            <w:tcBorders>
              <w:top w:val="nil"/>
              <w:left w:val="nil"/>
              <w:bottom w:val="nil"/>
              <w:right w:val="nil"/>
            </w:tcBorders>
            <w:shd w:val="clear" w:color="auto" w:fill="auto"/>
            <w:noWrap/>
            <w:vAlign w:val="bottom"/>
            <w:hideMark/>
          </w:tcPr>
          <w:p w14:paraId="4E9D9B7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0.8249</w:t>
            </w:r>
          </w:p>
        </w:tc>
        <w:tc>
          <w:tcPr>
            <w:tcW w:w="0" w:type="auto"/>
            <w:tcBorders>
              <w:top w:val="nil"/>
              <w:left w:val="nil"/>
              <w:bottom w:val="nil"/>
              <w:right w:val="nil"/>
            </w:tcBorders>
            <w:shd w:val="clear" w:color="auto" w:fill="auto"/>
            <w:vAlign w:val="center"/>
            <w:hideMark/>
          </w:tcPr>
          <w:p w14:paraId="0F61882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1.14 </w:t>
            </w:r>
          </w:p>
        </w:tc>
        <w:tc>
          <w:tcPr>
            <w:tcW w:w="0" w:type="auto"/>
            <w:tcBorders>
              <w:top w:val="nil"/>
              <w:left w:val="nil"/>
              <w:bottom w:val="nil"/>
              <w:right w:val="nil"/>
            </w:tcBorders>
            <w:shd w:val="clear" w:color="auto" w:fill="auto"/>
            <w:vAlign w:val="center"/>
            <w:hideMark/>
          </w:tcPr>
          <w:p w14:paraId="2BB055C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(0.64-2.01)</w:t>
            </w:r>
          </w:p>
        </w:tc>
        <w:tc>
          <w:tcPr>
            <w:tcW w:w="0" w:type="auto"/>
            <w:tcBorders>
              <w:top w:val="nil"/>
              <w:left w:val="nil"/>
              <w:bottom w:val="nil"/>
              <w:right w:val="nil"/>
            </w:tcBorders>
            <w:shd w:val="clear" w:color="auto" w:fill="auto"/>
            <w:vAlign w:val="center"/>
            <w:hideMark/>
          </w:tcPr>
          <w:p w14:paraId="26D7431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0.6595</w:t>
            </w:r>
          </w:p>
        </w:tc>
      </w:tr>
      <w:tr w:rsidR="003E0C02" w:rsidRPr="003E0C02" w14:paraId="382FD8E2" w14:textId="77777777" w:rsidTr="00F47475">
        <w:trPr>
          <w:trHeight w:val="315"/>
        </w:trPr>
        <w:tc>
          <w:tcPr>
            <w:tcW w:w="3828" w:type="dxa"/>
            <w:tcBorders>
              <w:top w:val="nil"/>
              <w:left w:val="nil"/>
              <w:bottom w:val="nil"/>
              <w:right w:val="nil"/>
            </w:tcBorders>
            <w:shd w:val="clear" w:color="auto" w:fill="auto"/>
            <w:vAlign w:val="center"/>
            <w:hideMark/>
          </w:tcPr>
          <w:p w14:paraId="56E1CA98"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 xml:space="preserve"> Diabetes mellitus</w:t>
            </w:r>
          </w:p>
        </w:tc>
        <w:tc>
          <w:tcPr>
            <w:tcW w:w="1954" w:type="dxa"/>
            <w:tcBorders>
              <w:top w:val="nil"/>
              <w:left w:val="nil"/>
              <w:bottom w:val="nil"/>
              <w:right w:val="nil"/>
            </w:tcBorders>
            <w:shd w:val="clear" w:color="auto" w:fill="auto"/>
            <w:noWrap/>
            <w:vAlign w:val="center"/>
            <w:hideMark/>
          </w:tcPr>
          <w:p w14:paraId="2F2604E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26</w:t>
            </w:r>
          </w:p>
        </w:tc>
        <w:tc>
          <w:tcPr>
            <w:tcW w:w="0" w:type="auto"/>
            <w:tcBorders>
              <w:top w:val="nil"/>
              <w:left w:val="nil"/>
              <w:bottom w:val="nil"/>
              <w:right w:val="nil"/>
            </w:tcBorders>
            <w:shd w:val="clear" w:color="auto" w:fill="auto"/>
            <w:noWrap/>
            <w:vAlign w:val="bottom"/>
            <w:hideMark/>
          </w:tcPr>
          <w:p w14:paraId="609804E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0.95</w:t>
            </w:r>
          </w:p>
        </w:tc>
        <w:tc>
          <w:tcPr>
            <w:tcW w:w="0" w:type="auto"/>
            <w:tcBorders>
              <w:top w:val="nil"/>
              <w:left w:val="nil"/>
              <w:bottom w:val="nil"/>
              <w:right w:val="nil"/>
            </w:tcBorders>
            <w:shd w:val="clear" w:color="auto" w:fill="auto"/>
            <w:noWrap/>
            <w:vAlign w:val="bottom"/>
            <w:hideMark/>
          </w:tcPr>
          <w:p w14:paraId="43005DE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(0.63-1.44)</w:t>
            </w:r>
          </w:p>
        </w:tc>
        <w:tc>
          <w:tcPr>
            <w:tcW w:w="0" w:type="auto"/>
            <w:tcBorders>
              <w:top w:val="nil"/>
              <w:left w:val="nil"/>
              <w:bottom w:val="nil"/>
              <w:right w:val="nil"/>
            </w:tcBorders>
            <w:shd w:val="clear" w:color="auto" w:fill="auto"/>
            <w:noWrap/>
            <w:vAlign w:val="bottom"/>
            <w:hideMark/>
          </w:tcPr>
          <w:p w14:paraId="001FD7F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0.812</w:t>
            </w:r>
          </w:p>
        </w:tc>
        <w:tc>
          <w:tcPr>
            <w:tcW w:w="0" w:type="auto"/>
            <w:tcBorders>
              <w:top w:val="nil"/>
              <w:left w:val="nil"/>
              <w:bottom w:val="nil"/>
              <w:right w:val="nil"/>
            </w:tcBorders>
            <w:shd w:val="clear" w:color="auto" w:fill="auto"/>
            <w:vAlign w:val="center"/>
            <w:hideMark/>
          </w:tcPr>
          <w:p w14:paraId="60ACDF2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0.96 </w:t>
            </w:r>
          </w:p>
        </w:tc>
        <w:tc>
          <w:tcPr>
            <w:tcW w:w="0" w:type="auto"/>
            <w:tcBorders>
              <w:top w:val="nil"/>
              <w:left w:val="nil"/>
              <w:bottom w:val="nil"/>
              <w:right w:val="nil"/>
            </w:tcBorders>
            <w:shd w:val="clear" w:color="auto" w:fill="auto"/>
            <w:vAlign w:val="center"/>
            <w:hideMark/>
          </w:tcPr>
          <w:p w14:paraId="62FA568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(0.59-1.57)</w:t>
            </w:r>
          </w:p>
        </w:tc>
        <w:tc>
          <w:tcPr>
            <w:tcW w:w="0" w:type="auto"/>
            <w:tcBorders>
              <w:top w:val="nil"/>
              <w:left w:val="nil"/>
              <w:bottom w:val="nil"/>
              <w:right w:val="nil"/>
            </w:tcBorders>
            <w:shd w:val="clear" w:color="auto" w:fill="auto"/>
            <w:vAlign w:val="center"/>
            <w:hideMark/>
          </w:tcPr>
          <w:p w14:paraId="38D756F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0.8826</w:t>
            </w:r>
          </w:p>
        </w:tc>
      </w:tr>
      <w:tr w:rsidR="003E0C02" w:rsidRPr="003E0C02" w14:paraId="557DE221" w14:textId="77777777" w:rsidTr="00F47475">
        <w:trPr>
          <w:trHeight w:val="315"/>
        </w:trPr>
        <w:tc>
          <w:tcPr>
            <w:tcW w:w="3828" w:type="dxa"/>
            <w:tcBorders>
              <w:top w:val="nil"/>
              <w:left w:val="nil"/>
              <w:bottom w:val="nil"/>
              <w:right w:val="nil"/>
            </w:tcBorders>
            <w:shd w:val="clear" w:color="auto" w:fill="auto"/>
            <w:vAlign w:val="center"/>
            <w:hideMark/>
          </w:tcPr>
          <w:p w14:paraId="1EA034D0"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 xml:space="preserve"> Coronary artery disease</w:t>
            </w:r>
          </w:p>
        </w:tc>
        <w:tc>
          <w:tcPr>
            <w:tcW w:w="1954" w:type="dxa"/>
            <w:tcBorders>
              <w:top w:val="nil"/>
              <w:left w:val="nil"/>
              <w:bottom w:val="nil"/>
              <w:right w:val="nil"/>
            </w:tcBorders>
            <w:shd w:val="clear" w:color="auto" w:fill="auto"/>
            <w:noWrap/>
            <w:vAlign w:val="center"/>
            <w:hideMark/>
          </w:tcPr>
          <w:p w14:paraId="0316D9D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15</w:t>
            </w:r>
          </w:p>
        </w:tc>
        <w:tc>
          <w:tcPr>
            <w:tcW w:w="0" w:type="auto"/>
            <w:tcBorders>
              <w:top w:val="nil"/>
              <w:left w:val="nil"/>
              <w:bottom w:val="nil"/>
              <w:right w:val="nil"/>
            </w:tcBorders>
            <w:shd w:val="clear" w:color="auto" w:fill="auto"/>
            <w:noWrap/>
            <w:vAlign w:val="bottom"/>
            <w:hideMark/>
          </w:tcPr>
          <w:p w14:paraId="1EAF00F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1.23</w:t>
            </w:r>
          </w:p>
        </w:tc>
        <w:tc>
          <w:tcPr>
            <w:tcW w:w="0" w:type="auto"/>
            <w:tcBorders>
              <w:top w:val="nil"/>
              <w:left w:val="nil"/>
              <w:bottom w:val="nil"/>
              <w:right w:val="nil"/>
            </w:tcBorders>
            <w:shd w:val="clear" w:color="auto" w:fill="auto"/>
            <w:noWrap/>
            <w:vAlign w:val="bottom"/>
            <w:hideMark/>
          </w:tcPr>
          <w:p w14:paraId="3AC5D07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(0.73-2.08)</w:t>
            </w:r>
          </w:p>
        </w:tc>
        <w:tc>
          <w:tcPr>
            <w:tcW w:w="0" w:type="auto"/>
            <w:tcBorders>
              <w:top w:val="nil"/>
              <w:left w:val="nil"/>
              <w:bottom w:val="nil"/>
              <w:right w:val="nil"/>
            </w:tcBorders>
            <w:shd w:val="clear" w:color="auto" w:fill="auto"/>
            <w:noWrap/>
            <w:vAlign w:val="bottom"/>
            <w:hideMark/>
          </w:tcPr>
          <w:p w14:paraId="51DC2F7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0.441</w:t>
            </w:r>
          </w:p>
        </w:tc>
        <w:tc>
          <w:tcPr>
            <w:tcW w:w="0" w:type="auto"/>
            <w:tcBorders>
              <w:top w:val="nil"/>
              <w:left w:val="nil"/>
              <w:bottom w:val="nil"/>
              <w:right w:val="nil"/>
            </w:tcBorders>
            <w:shd w:val="clear" w:color="auto" w:fill="auto"/>
            <w:noWrap/>
            <w:vAlign w:val="bottom"/>
            <w:hideMark/>
          </w:tcPr>
          <w:p w14:paraId="0714C85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1.17 </w:t>
            </w:r>
          </w:p>
        </w:tc>
        <w:tc>
          <w:tcPr>
            <w:tcW w:w="0" w:type="auto"/>
            <w:tcBorders>
              <w:top w:val="nil"/>
              <w:left w:val="nil"/>
              <w:bottom w:val="nil"/>
              <w:right w:val="nil"/>
            </w:tcBorders>
            <w:shd w:val="clear" w:color="auto" w:fill="auto"/>
            <w:noWrap/>
            <w:vAlign w:val="bottom"/>
            <w:hideMark/>
          </w:tcPr>
          <w:p w14:paraId="43564D4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(0.61-2.25)</w:t>
            </w:r>
          </w:p>
        </w:tc>
        <w:tc>
          <w:tcPr>
            <w:tcW w:w="0" w:type="auto"/>
            <w:tcBorders>
              <w:top w:val="nil"/>
              <w:left w:val="nil"/>
              <w:bottom w:val="nil"/>
              <w:right w:val="nil"/>
            </w:tcBorders>
            <w:shd w:val="clear" w:color="auto" w:fill="auto"/>
            <w:noWrap/>
            <w:vAlign w:val="bottom"/>
            <w:hideMark/>
          </w:tcPr>
          <w:p w14:paraId="60DE916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0.6403</w:t>
            </w:r>
          </w:p>
        </w:tc>
      </w:tr>
      <w:tr w:rsidR="003E0C02" w:rsidRPr="003E0C02" w14:paraId="09862B80" w14:textId="77777777" w:rsidTr="00F47475">
        <w:trPr>
          <w:trHeight w:val="315"/>
        </w:trPr>
        <w:tc>
          <w:tcPr>
            <w:tcW w:w="3828" w:type="dxa"/>
            <w:tcBorders>
              <w:top w:val="nil"/>
              <w:left w:val="nil"/>
              <w:bottom w:val="nil"/>
              <w:right w:val="nil"/>
            </w:tcBorders>
            <w:shd w:val="clear" w:color="auto" w:fill="auto"/>
            <w:vAlign w:val="center"/>
            <w:hideMark/>
          </w:tcPr>
          <w:p w14:paraId="5958FC88"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 xml:space="preserve"> Congestive heart failure</w:t>
            </w:r>
          </w:p>
        </w:tc>
        <w:tc>
          <w:tcPr>
            <w:tcW w:w="1954" w:type="dxa"/>
            <w:tcBorders>
              <w:top w:val="nil"/>
              <w:left w:val="nil"/>
              <w:bottom w:val="nil"/>
              <w:right w:val="nil"/>
            </w:tcBorders>
            <w:shd w:val="clear" w:color="auto" w:fill="auto"/>
            <w:noWrap/>
            <w:vAlign w:val="center"/>
            <w:hideMark/>
          </w:tcPr>
          <w:p w14:paraId="45DCC08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w:t>
            </w:r>
          </w:p>
        </w:tc>
        <w:tc>
          <w:tcPr>
            <w:tcW w:w="0" w:type="auto"/>
            <w:tcBorders>
              <w:top w:val="nil"/>
              <w:left w:val="nil"/>
              <w:bottom w:val="nil"/>
              <w:right w:val="nil"/>
            </w:tcBorders>
            <w:shd w:val="clear" w:color="auto" w:fill="auto"/>
            <w:noWrap/>
            <w:vAlign w:val="bottom"/>
            <w:hideMark/>
          </w:tcPr>
          <w:p w14:paraId="40D1D93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1.02</w:t>
            </w:r>
          </w:p>
        </w:tc>
        <w:tc>
          <w:tcPr>
            <w:tcW w:w="0" w:type="auto"/>
            <w:tcBorders>
              <w:top w:val="nil"/>
              <w:left w:val="nil"/>
              <w:bottom w:val="nil"/>
              <w:right w:val="nil"/>
            </w:tcBorders>
            <w:shd w:val="clear" w:color="auto" w:fill="auto"/>
            <w:noWrap/>
            <w:vAlign w:val="bottom"/>
            <w:hideMark/>
          </w:tcPr>
          <w:p w14:paraId="4D86462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(0.54-1.93)</w:t>
            </w:r>
          </w:p>
        </w:tc>
        <w:tc>
          <w:tcPr>
            <w:tcW w:w="0" w:type="auto"/>
            <w:tcBorders>
              <w:top w:val="nil"/>
              <w:left w:val="nil"/>
              <w:bottom w:val="nil"/>
              <w:right w:val="nil"/>
            </w:tcBorders>
            <w:shd w:val="clear" w:color="auto" w:fill="auto"/>
            <w:noWrap/>
            <w:vAlign w:val="bottom"/>
            <w:hideMark/>
          </w:tcPr>
          <w:p w14:paraId="333F259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0.9436</w:t>
            </w:r>
          </w:p>
        </w:tc>
        <w:tc>
          <w:tcPr>
            <w:tcW w:w="0" w:type="auto"/>
            <w:tcBorders>
              <w:top w:val="nil"/>
              <w:left w:val="nil"/>
              <w:bottom w:val="nil"/>
              <w:right w:val="nil"/>
            </w:tcBorders>
            <w:shd w:val="clear" w:color="auto" w:fill="auto"/>
            <w:noWrap/>
            <w:vAlign w:val="bottom"/>
            <w:hideMark/>
          </w:tcPr>
          <w:p w14:paraId="18919AE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0.91 </w:t>
            </w:r>
          </w:p>
        </w:tc>
        <w:tc>
          <w:tcPr>
            <w:tcW w:w="0" w:type="auto"/>
            <w:tcBorders>
              <w:top w:val="nil"/>
              <w:left w:val="nil"/>
              <w:bottom w:val="nil"/>
              <w:right w:val="nil"/>
            </w:tcBorders>
            <w:shd w:val="clear" w:color="auto" w:fill="auto"/>
            <w:noWrap/>
            <w:vAlign w:val="bottom"/>
            <w:hideMark/>
          </w:tcPr>
          <w:p w14:paraId="24F128C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(0.42-1.94)</w:t>
            </w:r>
          </w:p>
        </w:tc>
        <w:tc>
          <w:tcPr>
            <w:tcW w:w="0" w:type="auto"/>
            <w:tcBorders>
              <w:top w:val="nil"/>
              <w:left w:val="nil"/>
              <w:bottom w:val="nil"/>
              <w:right w:val="nil"/>
            </w:tcBorders>
            <w:shd w:val="clear" w:color="auto" w:fill="auto"/>
            <w:noWrap/>
            <w:vAlign w:val="bottom"/>
            <w:hideMark/>
          </w:tcPr>
          <w:p w14:paraId="52B51F7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0.8027</w:t>
            </w:r>
          </w:p>
        </w:tc>
      </w:tr>
      <w:tr w:rsidR="003E0C02" w:rsidRPr="003E0C02" w14:paraId="2683501C" w14:textId="77777777" w:rsidTr="00F47475">
        <w:trPr>
          <w:trHeight w:val="315"/>
        </w:trPr>
        <w:tc>
          <w:tcPr>
            <w:tcW w:w="3828" w:type="dxa"/>
            <w:tcBorders>
              <w:top w:val="nil"/>
              <w:left w:val="nil"/>
              <w:bottom w:val="nil"/>
              <w:right w:val="nil"/>
            </w:tcBorders>
            <w:shd w:val="clear" w:color="auto" w:fill="auto"/>
            <w:vAlign w:val="center"/>
            <w:hideMark/>
          </w:tcPr>
          <w:p w14:paraId="7B3F713D"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Stroke</w:t>
            </w:r>
          </w:p>
        </w:tc>
        <w:tc>
          <w:tcPr>
            <w:tcW w:w="1954" w:type="dxa"/>
            <w:tcBorders>
              <w:top w:val="nil"/>
              <w:left w:val="nil"/>
              <w:bottom w:val="nil"/>
              <w:right w:val="nil"/>
            </w:tcBorders>
            <w:shd w:val="clear" w:color="auto" w:fill="auto"/>
            <w:noWrap/>
            <w:vAlign w:val="center"/>
            <w:hideMark/>
          </w:tcPr>
          <w:p w14:paraId="4BE823A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4</w:t>
            </w:r>
          </w:p>
        </w:tc>
        <w:tc>
          <w:tcPr>
            <w:tcW w:w="0" w:type="auto"/>
            <w:tcBorders>
              <w:top w:val="nil"/>
              <w:left w:val="nil"/>
              <w:bottom w:val="nil"/>
              <w:right w:val="nil"/>
            </w:tcBorders>
            <w:shd w:val="clear" w:color="auto" w:fill="auto"/>
            <w:noWrap/>
            <w:vAlign w:val="bottom"/>
            <w:hideMark/>
          </w:tcPr>
          <w:p w14:paraId="23AC862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0.63</w:t>
            </w:r>
          </w:p>
        </w:tc>
        <w:tc>
          <w:tcPr>
            <w:tcW w:w="0" w:type="auto"/>
            <w:tcBorders>
              <w:top w:val="nil"/>
              <w:left w:val="nil"/>
              <w:bottom w:val="nil"/>
              <w:right w:val="nil"/>
            </w:tcBorders>
            <w:shd w:val="clear" w:color="auto" w:fill="auto"/>
            <w:noWrap/>
            <w:vAlign w:val="bottom"/>
            <w:hideMark/>
          </w:tcPr>
          <w:p w14:paraId="2CA245E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(0.23-1.7)</w:t>
            </w:r>
          </w:p>
        </w:tc>
        <w:tc>
          <w:tcPr>
            <w:tcW w:w="0" w:type="auto"/>
            <w:tcBorders>
              <w:top w:val="nil"/>
              <w:left w:val="nil"/>
              <w:bottom w:val="nil"/>
              <w:right w:val="nil"/>
            </w:tcBorders>
            <w:shd w:val="clear" w:color="auto" w:fill="auto"/>
            <w:noWrap/>
            <w:vAlign w:val="bottom"/>
            <w:hideMark/>
          </w:tcPr>
          <w:p w14:paraId="6860854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0.3611</w:t>
            </w:r>
          </w:p>
        </w:tc>
        <w:tc>
          <w:tcPr>
            <w:tcW w:w="0" w:type="auto"/>
            <w:tcBorders>
              <w:top w:val="nil"/>
              <w:left w:val="nil"/>
              <w:bottom w:val="nil"/>
              <w:right w:val="nil"/>
            </w:tcBorders>
            <w:shd w:val="clear" w:color="auto" w:fill="auto"/>
            <w:noWrap/>
            <w:vAlign w:val="bottom"/>
            <w:hideMark/>
          </w:tcPr>
          <w:p w14:paraId="59E7121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0.52 </w:t>
            </w:r>
          </w:p>
        </w:tc>
        <w:tc>
          <w:tcPr>
            <w:tcW w:w="0" w:type="auto"/>
            <w:tcBorders>
              <w:top w:val="nil"/>
              <w:left w:val="nil"/>
              <w:bottom w:val="nil"/>
              <w:right w:val="nil"/>
            </w:tcBorders>
            <w:shd w:val="clear" w:color="auto" w:fill="auto"/>
            <w:noWrap/>
            <w:vAlign w:val="bottom"/>
            <w:hideMark/>
          </w:tcPr>
          <w:p w14:paraId="10AE203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(0.18-1.5)</w:t>
            </w:r>
          </w:p>
        </w:tc>
        <w:tc>
          <w:tcPr>
            <w:tcW w:w="0" w:type="auto"/>
            <w:tcBorders>
              <w:top w:val="nil"/>
              <w:left w:val="nil"/>
              <w:bottom w:val="nil"/>
              <w:right w:val="nil"/>
            </w:tcBorders>
            <w:shd w:val="clear" w:color="auto" w:fill="auto"/>
            <w:noWrap/>
            <w:vAlign w:val="bottom"/>
            <w:hideMark/>
          </w:tcPr>
          <w:p w14:paraId="03170E1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0.2286</w:t>
            </w:r>
          </w:p>
        </w:tc>
      </w:tr>
      <w:tr w:rsidR="003E0C02" w:rsidRPr="003E0C02" w14:paraId="3B16E3A2" w14:textId="77777777" w:rsidTr="00F47475">
        <w:trPr>
          <w:trHeight w:val="315"/>
        </w:trPr>
        <w:tc>
          <w:tcPr>
            <w:tcW w:w="3828" w:type="dxa"/>
            <w:tcBorders>
              <w:top w:val="nil"/>
              <w:left w:val="nil"/>
              <w:bottom w:val="nil"/>
              <w:right w:val="nil"/>
            </w:tcBorders>
            <w:shd w:val="clear" w:color="auto" w:fill="auto"/>
            <w:vAlign w:val="center"/>
            <w:hideMark/>
          </w:tcPr>
          <w:p w14:paraId="16A502EA"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Chronic kidney disease</w:t>
            </w:r>
          </w:p>
        </w:tc>
        <w:tc>
          <w:tcPr>
            <w:tcW w:w="1954" w:type="dxa"/>
            <w:tcBorders>
              <w:top w:val="nil"/>
              <w:left w:val="nil"/>
              <w:bottom w:val="nil"/>
              <w:right w:val="nil"/>
            </w:tcBorders>
            <w:shd w:val="clear" w:color="auto" w:fill="auto"/>
            <w:noWrap/>
            <w:vAlign w:val="center"/>
            <w:hideMark/>
          </w:tcPr>
          <w:p w14:paraId="536D931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7</w:t>
            </w:r>
          </w:p>
        </w:tc>
        <w:tc>
          <w:tcPr>
            <w:tcW w:w="0" w:type="auto"/>
            <w:tcBorders>
              <w:top w:val="nil"/>
              <w:left w:val="nil"/>
              <w:bottom w:val="nil"/>
              <w:right w:val="nil"/>
            </w:tcBorders>
            <w:shd w:val="clear" w:color="auto" w:fill="auto"/>
            <w:noWrap/>
            <w:vAlign w:val="bottom"/>
            <w:hideMark/>
          </w:tcPr>
          <w:p w14:paraId="2DB0A92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1.32</w:t>
            </w:r>
          </w:p>
        </w:tc>
        <w:tc>
          <w:tcPr>
            <w:tcW w:w="0" w:type="auto"/>
            <w:tcBorders>
              <w:top w:val="nil"/>
              <w:left w:val="nil"/>
              <w:bottom w:val="nil"/>
              <w:right w:val="nil"/>
            </w:tcBorders>
            <w:shd w:val="clear" w:color="auto" w:fill="auto"/>
            <w:noWrap/>
            <w:vAlign w:val="bottom"/>
            <w:hideMark/>
          </w:tcPr>
          <w:p w14:paraId="6D56282A"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(0.62-2.8)</w:t>
            </w:r>
          </w:p>
        </w:tc>
        <w:tc>
          <w:tcPr>
            <w:tcW w:w="0" w:type="auto"/>
            <w:tcBorders>
              <w:top w:val="nil"/>
              <w:left w:val="nil"/>
              <w:bottom w:val="nil"/>
              <w:right w:val="nil"/>
            </w:tcBorders>
            <w:shd w:val="clear" w:color="auto" w:fill="auto"/>
            <w:noWrap/>
            <w:vAlign w:val="bottom"/>
            <w:hideMark/>
          </w:tcPr>
          <w:p w14:paraId="1D4FBBC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0.4752</w:t>
            </w:r>
          </w:p>
        </w:tc>
        <w:tc>
          <w:tcPr>
            <w:tcW w:w="0" w:type="auto"/>
            <w:tcBorders>
              <w:top w:val="nil"/>
              <w:left w:val="nil"/>
              <w:bottom w:val="nil"/>
              <w:right w:val="nil"/>
            </w:tcBorders>
            <w:shd w:val="clear" w:color="auto" w:fill="auto"/>
            <w:vAlign w:val="center"/>
            <w:hideMark/>
          </w:tcPr>
          <w:p w14:paraId="16E3D07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1.47 </w:t>
            </w:r>
          </w:p>
        </w:tc>
        <w:tc>
          <w:tcPr>
            <w:tcW w:w="0" w:type="auto"/>
            <w:tcBorders>
              <w:top w:val="nil"/>
              <w:left w:val="nil"/>
              <w:bottom w:val="nil"/>
              <w:right w:val="nil"/>
            </w:tcBorders>
            <w:shd w:val="clear" w:color="auto" w:fill="auto"/>
            <w:vAlign w:val="center"/>
            <w:hideMark/>
          </w:tcPr>
          <w:p w14:paraId="3CC1DCF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(0.66-3.28)</w:t>
            </w:r>
          </w:p>
        </w:tc>
        <w:tc>
          <w:tcPr>
            <w:tcW w:w="0" w:type="auto"/>
            <w:tcBorders>
              <w:top w:val="nil"/>
              <w:left w:val="nil"/>
              <w:bottom w:val="nil"/>
              <w:right w:val="nil"/>
            </w:tcBorders>
            <w:shd w:val="clear" w:color="auto" w:fill="auto"/>
            <w:vAlign w:val="center"/>
            <w:hideMark/>
          </w:tcPr>
          <w:p w14:paraId="7445F6B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0.3504</w:t>
            </w:r>
          </w:p>
        </w:tc>
      </w:tr>
      <w:tr w:rsidR="003E0C02" w:rsidRPr="003E0C02" w14:paraId="5B6EAEBF" w14:textId="77777777" w:rsidTr="00F47475">
        <w:trPr>
          <w:trHeight w:val="315"/>
        </w:trPr>
        <w:tc>
          <w:tcPr>
            <w:tcW w:w="3828" w:type="dxa"/>
            <w:tcBorders>
              <w:top w:val="nil"/>
              <w:left w:val="nil"/>
              <w:bottom w:val="nil"/>
              <w:right w:val="nil"/>
            </w:tcBorders>
            <w:shd w:val="clear" w:color="auto" w:fill="auto"/>
            <w:vAlign w:val="center"/>
            <w:hideMark/>
          </w:tcPr>
          <w:p w14:paraId="7827A22D"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Asthma</w:t>
            </w:r>
          </w:p>
        </w:tc>
        <w:tc>
          <w:tcPr>
            <w:tcW w:w="1954" w:type="dxa"/>
            <w:tcBorders>
              <w:top w:val="nil"/>
              <w:left w:val="nil"/>
              <w:bottom w:val="nil"/>
              <w:right w:val="nil"/>
            </w:tcBorders>
            <w:shd w:val="clear" w:color="auto" w:fill="auto"/>
            <w:noWrap/>
            <w:vAlign w:val="center"/>
            <w:hideMark/>
          </w:tcPr>
          <w:p w14:paraId="2385A0DE"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17</w:t>
            </w:r>
          </w:p>
        </w:tc>
        <w:tc>
          <w:tcPr>
            <w:tcW w:w="0" w:type="auto"/>
            <w:tcBorders>
              <w:top w:val="nil"/>
              <w:left w:val="nil"/>
              <w:bottom w:val="nil"/>
              <w:right w:val="nil"/>
            </w:tcBorders>
            <w:shd w:val="clear" w:color="auto" w:fill="auto"/>
            <w:noWrap/>
            <w:vAlign w:val="bottom"/>
            <w:hideMark/>
          </w:tcPr>
          <w:p w14:paraId="58793CB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1.74</w:t>
            </w:r>
          </w:p>
        </w:tc>
        <w:tc>
          <w:tcPr>
            <w:tcW w:w="0" w:type="auto"/>
            <w:tcBorders>
              <w:top w:val="nil"/>
              <w:left w:val="nil"/>
              <w:bottom w:val="nil"/>
              <w:right w:val="nil"/>
            </w:tcBorders>
            <w:shd w:val="clear" w:color="auto" w:fill="auto"/>
            <w:noWrap/>
            <w:vAlign w:val="bottom"/>
            <w:hideMark/>
          </w:tcPr>
          <w:p w14:paraId="3E1A163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(1.06-2.85)</w:t>
            </w:r>
          </w:p>
        </w:tc>
        <w:tc>
          <w:tcPr>
            <w:tcW w:w="0" w:type="auto"/>
            <w:tcBorders>
              <w:top w:val="nil"/>
              <w:left w:val="nil"/>
              <w:bottom w:val="nil"/>
              <w:right w:val="nil"/>
            </w:tcBorders>
            <w:shd w:val="clear" w:color="auto" w:fill="auto"/>
            <w:noWrap/>
            <w:vAlign w:val="bottom"/>
            <w:hideMark/>
          </w:tcPr>
          <w:p w14:paraId="09D1F8A5"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0.0293</w:t>
            </w:r>
          </w:p>
        </w:tc>
        <w:tc>
          <w:tcPr>
            <w:tcW w:w="0" w:type="auto"/>
            <w:tcBorders>
              <w:top w:val="nil"/>
              <w:left w:val="nil"/>
              <w:bottom w:val="nil"/>
              <w:right w:val="nil"/>
            </w:tcBorders>
            <w:shd w:val="clear" w:color="auto" w:fill="auto"/>
            <w:vAlign w:val="center"/>
            <w:hideMark/>
          </w:tcPr>
          <w:p w14:paraId="573C972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1.85 </w:t>
            </w:r>
          </w:p>
        </w:tc>
        <w:tc>
          <w:tcPr>
            <w:tcW w:w="0" w:type="auto"/>
            <w:tcBorders>
              <w:top w:val="nil"/>
              <w:left w:val="nil"/>
              <w:bottom w:val="nil"/>
              <w:right w:val="nil"/>
            </w:tcBorders>
            <w:shd w:val="clear" w:color="auto" w:fill="auto"/>
            <w:vAlign w:val="center"/>
            <w:hideMark/>
          </w:tcPr>
          <w:p w14:paraId="4A806CE4"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(1.05-3.25)</w:t>
            </w:r>
          </w:p>
        </w:tc>
        <w:tc>
          <w:tcPr>
            <w:tcW w:w="0" w:type="auto"/>
            <w:tcBorders>
              <w:top w:val="nil"/>
              <w:left w:val="nil"/>
              <w:bottom w:val="nil"/>
              <w:right w:val="nil"/>
            </w:tcBorders>
            <w:shd w:val="clear" w:color="auto" w:fill="auto"/>
            <w:vAlign w:val="center"/>
            <w:hideMark/>
          </w:tcPr>
          <w:p w14:paraId="3BDE54F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0.034</w:t>
            </w:r>
          </w:p>
        </w:tc>
      </w:tr>
      <w:tr w:rsidR="003E0C02" w:rsidRPr="003E0C02" w14:paraId="14DDE074" w14:textId="77777777" w:rsidTr="00F47475">
        <w:trPr>
          <w:trHeight w:val="315"/>
        </w:trPr>
        <w:tc>
          <w:tcPr>
            <w:tcW w:w="3828" w:type="dxa"/>
            <w:tcBorders>
              <w:top w:val="nil"/>
              <w:left w:val="nil"/>
              <w:bottom w:val="nil"/>
              <w:right w:val="nil"/>
            </w:tcBorders>
            <w:shd w:val="clear" w:color="auto" w:fill="auto"/>
            <w:vAlign w:val="center"/>
            <w:hideMark/>
          </w:tcPr>
          <w:p w14:paraId="4032AA81"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Chronic obstructive pulmonary disease</w:t>
            </w:r>
          </w:p>
        </w:tc>
        <w:tc>
          <w:tcPr>
            <w:tcW w:w="1954" w:type="dxa"/>
            <w:tcBorders>
              <w:top w:val="nil"/>
              <w:left w:val="nil"/>
              <w:bottom w:val="nil"/>
              <w:right w:val="nil"/>
            </w:tcBorders>
            <w:shd w:val="clear" w:color="auto" w:fill="auto"/>
            <w:noWrap/>
            <w:vAlign w:val="center"/>
            <w:hideMark/>
          </w:tcPr>
          <w:p w14:paraId="72C3FDE3"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6</w:t>
            </w:r>
          </w:p>
        </w:tc>
        <w:tc>
          <w:tcPr>
            <w:tcW w:w="0" w:type="auto"/>
            <w:tcBorders>
              <w:top w:val="nil"/>
              <w:left w:val="nil"/>
              <w:bottom w:val="nil"/>
              <w:right w:val="nil"/>
            </w:tcBorders>
            <w:shd w:val="clear" w:color="auto" w:fill="auto"/>
            <w:noWrap/>
            <w:vAlign w:val="bottom"/>
            <w:hideMark/>
          </w:tcPr>
          <w:p w14:paraId="63EFE44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0.93</w:t>
            </w:r>
          </w:p>
        </w:tc>
        <w:tc>
          <w:tcPr>
            <w:tcW w:w="0" w:type="auto"/>
            <w:tcBorders>
              <w:top w:val="nil"/>
              <w:left w:val="nil"/>
              <w:bottom w:val="nil"/>
              <w:right w:val="nil"/>
            </w:tcBorders>
            <w:shd w:val="clear" w:color="auto" w:fill="auto"/>
            <w:noWrap/>
            <w:vAlign w:val="bottom"/>
            <w:hideMark/>
          </w:tcPr>
          <w:p w14:paraId="05163B1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(0.41-2.08)</w:t>
            </w:r>
          </w:p>
        </w:tc>
        <w:tc>
          <w:tcPr>
            <w:tcW w:w="0" w:type="auto"/>
            <w:tcBorders>
              <w:top w:val="nil"/>
              <w:left w:val="nil"/>
              <w:bottom w:val="nil"/>
              <w:right w:val="nil"/>
            </w:tcBorders>
            <w:shd w:val="clear" w:color="auto" w:fill="auto"/>
            <w:noWrap/>
            <w:vAlign w:val="bottom"/>
            <w:hideMark/>
          </w:tcPr>
          <w:p w14:paraId="40E6728B"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0.8514</w:t>
            </w:r>
          </w:p>
        </w:tc>
        <w:tc>
          <w:tcPr>
            <w:tcW w:w="0" w:type="auto"/>
            <w:tcBorders>
              <w:top w:val="nil"/>
              <w:left w:val="nil"/>
              <w:bottom w:val="nil"/>
              <w:right w:val="nil"/>
            </w:tcBorders>
            <w:shd w:val="clear" w:color="auto" w:fill="auto"/>
            <w:noWrap/>
            <w:vAlign w:val="center"/>
            <w:hideMark/>
          </w:tcPr>
          <w:p w14:paraId="63C5226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0.56 </w:t>
            </w:r>
          </w:p>
        </w:tc>
        <w:tc>
          <w:tcPr>
            <w:tcW w:w="0" w:type="auto"/>
            <w:tcBorders>
              <w:top w:val="nil"/>
              <w:left w:val="nil"/>
              <w:bottom w:val="nil"/>
              <w:right w:val="nil"/>
            </w:tcBorders>
            <w:shd w:val="clear" w:color="auto" w:fill="auto"/>
            <w:noWrap/>
            <w:vAlign w:val="center"/>
            <w:hideMark/>
          </w:tcPr>
          <w:p w14:paraId="1CC49B9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(0.22-1.43)</w:t>
            </w:r>
          </w:p>
        </w:tc>
        <w:tc>
          <w:tcPr>
            <w:tcW w:w="0" w:type="auto"/>
            <w:tcBorders>
              <w:top w:val="nil"/>
              <w:left w:val="nil"/>
              <w:bottom w:val="nil"/>
              <w:right w:val="nil"/>
            </w:tcBorders>
            <w:shd w:val="clear" w:color="auto" w:fill="auto"/>
            <w:noWrap/>
            <w:vAlign w:val="center"/>
            <w:hideMark/>
          </w:tcPr>
          <w:p w14:paraId="3D9193B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0.2267</w:t>
            </w:r>
          </w:p>
        </w:tc>
      </w:tr>
      <w:tr w:rsidR="003E0C02" w:rsidRPr="003E0C02" w14:paraId="3F28A66C" w14:textId="77777777" w:rsidTr="00F47475">
        <w:trPr>
          <w:trHeight w:val="315"/>
        </w:trPr>
        <w:tc>
          <w:tcPr>
            <w:tcW w:w="3828" w:type="dxa"/>
            <w:tcBorders>
              <w:top w:val="nil"/>
              <w:left w:val="nil"/>
              <w:bottom w:val="nil"/>
              <w:right w:val="nil"/>
            </w:tcBorders>
            <w:shd w:val="clear" w:color="auto" w:fill="auto"/>
            <w:vAlign w:val="center"/>
            <w:hideMark/>
          </w:tcPr>
          <w:p w14:paraId="1EF8825B" w14:textId="77777777" w:rsidR="00475EB8" w:rsidRPr="003E0C02" w:rsidRDefault="00F4747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bCs/>
              </w:rPr>
              <w:t>Peripheral arterial occlusive disease</w:t>
            </w:r>
          </w:p>
        </w:tc>
        <w:tc>
          <w:tcPr>
            <w:tcW w:w="1954" w:type="dxa"/>
            <w:tcBorders>
              <w:top w:val="nil"/>
              <w:left w:val="nil"/>
              <w:bottom w:val="nil"/>
              <w:right w:val="nil"/>
            </w:tcBorders>
            <w:shd w:val="clear" w:color="auto" w:fill="auto"/>
            <w:noWrap/>
            <w:vAlign w:val="center"/>
            <w:hideMark/>
          </w:tcPr>
          <w:p w14:paraId="3EADAA1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bottom w:val="nil"/>
              <w:right w:val="nil"/>
            </w:tcBorders>
            <w:shd w:val="clear" w:color="auto" w:fill="auto"/>
            <w:noWrap/>
            <w:vAlign w:val="bottom"/>
            <w:hideMark/>
          </w:tcPr>
          <w:p w14:paraId="2762DD5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0.99</w:t>
            </w:r>
          </w:p>
        </w:tc>
        <w:tc>
          <w:tcPr>
            <w:tcW w:w="0" w:type="auto"/>
            <w:tcBorders>
              <w:top w:val="nil"/>
              <w:left w:val="nil"/>
              <w:bottom w:val="nil"/>
              <w:right w:val="nil"/>
            </w:tcBorders>
            <w:shd w:val="clear" w:color="auto" w:fill="auto"/>
            <w:noWrap/>
            <w:vAlign w:val="bottom"/>
            <w:hideMark/>
          </w:tcPr>
          <w:p w14:paraId="16D23A2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(0.14-7.05)</w:t>
            </w:r>
          </w:p>
        </w:tc>
        <w:tc>
          <w:tcPr>
            <w:tcW w:w="0" w:type="auto"/>
            <w:tcBorders>
              <w:top w:val="nil"/>
              <w:left w:val="nil"/>
              <w:bottom w:val="nil"/>
              <w:right w:val="nil"/>
            </w:tcBorders>
            <w:shd w:val="clear" w:color="auto" w:fill="auto"/>
            <w:noWrap/>
            <w:vAlign w:val="bottom"/>
            <w:hideMark/>
          </w:tcPr>
          <w:p w14:paraId="1A0DEB6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0.9905</w:t>
            </w:r>
          </w:p>
        </w:tc>
        <w:tc>
          <w:tcPr>
            <w:tcW w:w="0" w:type="auto"/>
            <w:tcBorders>
              <w:top w:val="nil"/>
              <w:left w:val="nil"/>
              <w:bottom w:val="nil"/>
              <w:right w:val="nil"/>
            </w:tcBorders>
            <w:shd w:val="clear" w:color="auto" w:fill="auto"/>
            <w:noWrap/>
            <w:vAlign w:val="bottom"/>
            <w:hideMark/>
          </w:tcPr>
          <w:p w14:paraId="230D4E6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1.47 </w:t>
            </w:r>
          </w:p>
        </w:tc>
        <w:tc>
          <w:tcPr>
            <w:tcW w:w="0" w:type="auto"/>
            <w:tcBorders>
              <w:top w:val="nil"/>
              <w:left w:val="nil"/>
              <w:bottom w:val="nil"/>
              <w:right w:val="nil"/>
            </w:tcBorders>
            <w:shd w:val="clear" w:color="auto" w:fill="auto"/>
            <w:noWrap/>
            <w:vAlign w:val="bottom"/>
            <w:hideMark/>
          </w:tcPr>
          <w:p w14:paraId="50847EE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(0.2-10.88)</w:t>
            </w:r>
          </w:p>
        </w:tc>
        <w:tc>
          <w:tcPr>
            <w:tcW w:w="0" w:type="auto"/>
            <w:tcBorders>
              <w:top w:val="nil"/>
              <w:left w:val="nil"/>
              <w:bottom w:val="nil"/>
              <w:right w:val="nil"/>
            </w:tcBorders>
            <w:shd w:val="clear" w:color="auto" w:fill="auto"/>
            <w:noWrap/>
            <w:vAlign w:val="bottom"/>
            <w:hideMark/>
          </w:tcPr>
          <w:p w14:paraId="06066A4C"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0.705</w:t>
            </w:r>
          </w:p>
        </w:tc>
      </w:tr>
      <w:tr w:rsidR="003E0C02" w:rsidRPr="003E0C02" w14:paraId="592210C8" w14:textId="77777777" w:rsidTr="00283869">
        <w:trPr>
          <w:trHeight w:val="315"/>
        </w:trPr>
        <w:tc>
          <w:tcPr>
            <w:tcW w:w="3828" w:type="dxa"/>
            <w:tcBorders>
              <w:top w:val="nil"/>
              <w:left w:val="nil"/>
              <w:right w:val="nil"/>
            </w:tcBorders>
            <w:shd w:val="clear" w:color="auto" w:fill="auto"/>
            <w:vAlign w:val="center"/>
            <w:hideMark/>
          </w:tcPr>
          <w:p w14:paraId="15855BA6"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Gastrointestinal ulcer</w:t>
            </w:r>
          </w:p>
        </w:tc>
        <w:tc>
          <w:tcPr>
            <w:tcW w:w="1954" w:type="dxa"/>
            <w:tcBorders>
              <w:top w:val="nil"/>
              <w:left w:val="nil"/>
              <w:right w:val="nil"/>
            </w:tcBorders>
            <w:shd w:val="clear" w:color="auto" w:fill="auto"/>
            <w:noWrap/>
            <w:vAlign w:val="center"/>
            <w:hideMark/>
          </w:tcPr>
          <w:p w14:paraId="38199DB0"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20</w:t>
            </w:r>
          </w:p>
        </w:tc>
        <w:tc>
          <w:tcPr>
            <w:tcW w:w="0" w:type="auto"/>
            <w:tcBorders>
              <w:top w:val="nil"/>
              <w:left w:val="nil"/>
              <w:right w:val="nil"/>
            </w:tcBorders>
            <w:shd w:val="clear" w:color="auto" w:fill="auto"/>
            <w:noWrap/>
            <w:vAlign w:val="bottom"/>
            <w:hideMark/>
          </w:tcPr>
          <w:p w14:paraId="49C32D1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2.17</w:t>
            </w:r>
          </w:p>
        </w:tc>
        <w:tc>
          <w:tcPr>
            <w:tcW w:w="0" w:type="auto"/>
            <w:tcBorders>
              <w:top w:val="nil"/>
              <w:left w:val="nil"/>
              <w:right w:val="nil"/>
            </w:tcBorders>
            <w:shd w:val="clear" w:color="auto" w:fill="auto"/>
            <w:noWrap/>
            <w:vAlign w:val="bottom"/>
            <w:hideMark/>
          </w:tcPr>
          <w:p w14:paraId="5FA6E357"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(1.37-3.44)</w:t>
            </w:r>
          </w:p>
        </w:tc>
        <w:tc>
          <w:tcPr>
            <w:tcW w:w="0" w:type="auto"/>
            <w:tcBorders>
              <w:top w:val="nil"/>
              <w:left w:val="nil"/>
              <w:right w:val="nil"/>
            </w:tcBorders>
            <w:shd w:val="clear" w:color="auto" w:fill="auto"/>
            <w:noWrap/>
            <w:vAlign w:val="bottom"/>
            <w:hideMark/>
          </w:tcPr>
          <w:p w14:paraId="206C5BB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0.001</w:t>
            </w:r>
          </w:p>
        </w:tc>
        <w:tc>
          <w:tcPr>
            <w:tcW w:w="0" w:type="auto"/>
            <w:tcBorders>
              <w:top w:val="nil"/>
              <w:left w:val="nil"/>
              <w:right w:val="nil"/>
            </w:tcBorders>
            <w:shd w:val="clear" w:color="auto" w:fill="auto"/>
            <w:noWrap/>
            <w:vAlign w:val="bottom"/>
            <w:hideMark/>
          </w:tcPr>
          <w:p w14:paraId="780776E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2.25 </w:t>
            </w:r>
          </w:p>
        </w:tc>
        <w:tc>
          <w:tcPr>
            <w:tcW w:w="0" w:type="auto"/>
            <w:tcBorders>
              <w:top w:val="nil"/>
              <w:left w:val="nil"/>
              <w:right w:val="nil"/>
            </w:tcBorders>
            <w:shd w:val="clear" w:color="auto" w:fill="auto"/>
            <w:noWrap/>
            <w:vAlign w:val="bottom"/>
            <w:hideMark/>
          </w:tcPr>
          <w:p w14:paraId="5168C286"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(1.34-3.77)</w:t>
            </w:r>
          </w:p>
        </w:tc>
        <w:tc>
          <w:tcPr>
            <w:tcW w:w="0" w:type="auto"/>
            <w:tcBorders>
              <w:top w:val="nil"/>
              <w:left w:val="nil"/>
              <w:right w:val="nil"/>
            </w:tcBorders>
            <w:shd w:val="clear" w:color="auto" w:fill="auto"/>
            <w:noWrap/>
            <w:vAlign w:val="bottom"/>
            <w:hideMark/>
          </w:tcPr>
          <w:p w14:paraId="3AFB636D"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0.0021</w:t>
            </w:r>
          </w:p>
        </w:tc>
      </w:tr>
      <w:tr w:rsidR="003E0C02" w:rsidRPr="003E0C02" w14:paraId="778D72B4" w14:textId="77777777" w:rsidTr="00283869">
        <w:trPr>
          <w:trHeight w:val="330"/>
        </w:trPr>
        <w:tc>
          <w:tcPr>
            <w:tcW w:w="3828" w:type="dxa"/>
            <w:tcBorders>
              <w:top w:val="nil"/>
              <w:left w:val="nil"/>
              <w:bottom w:val="single" w:sz="4" w:space="0" w:color="auto"/>
              <w:right w:val="nil"/>
            </w:tcBorders>
            <w:shd w:val="clear" w:color="auto" w:fill="auto"/>
            <w:vAlign w:val="center"/>
            <w:hideMark/>
          </w:tcPr>
          <w:p w14:paraId="0AEAADBD" w14:textId="77777777" w:rsidR="00475EB8" w:rsidRPr="003E0C02" w:rsidRDefault="00475EB8"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lastRenderedPageBreak/>
              <w:t>Gastrointestinal bleeding</w:t>
            </w:r>
          </w:p>
        </w:tc>
        <w:tc>
          <w:tcPr>
            <w:tcW w:w="1954" w:type="dxa"/>
            <w:tcBorders>
              <w:top w:val="nil"/>
              <w:left w:val="nil"/>
              <w:bottom w:val="single" w:sz="4" w:space="0" w:color="auto"/>
              <w:right w:val="nil"/>
            </w:tcBorders>
            <w:shd w:val="clear" w:color="auto" w:fill="auto"/>
            <w:noWrap/>
            <w:vAlign w:val="center"/>
            <w:hideMark/>
          </w:tcPr>
          <w:p w14:paraId="6817E06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5</w:t>
            </w:r>
          </w:p>
        </w:tc>
        <w:tc>
          <w:tcPr>
            <w:tcW w:w="0" w:type="auto"/>
            <w:tcBorders>
              <w:top w:val="nil"/>
              <w:left w:val="nil"/>
              <w:bottom w:val="single" w:sz="4" w:space="0" w:color="auto"/>
              <w:right w:val="nil"/>
            </w:tcBorders>
            <w:shd w:val="clear" w:color="auto" w:fill="auto"/>
            <w:noWrap/>
            <w:vAlign w:val="bottom"/>
            <w:hideMark/>
          </w:tcPr>
          <w:p w14:paraId="7708F12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2.64</w:t>
            </w:r>
          </w:p>
        </w:tc>
        <w:tc>
          <w:tcPr>
            <w:tcW w:w="0" w:type="auto"/>
            <w:tcBorders>
              <w:top w:val="nil"/>
              <w:left w:val="nil"/>
              <w:bottom w:val="single" w:sz="4" w:space="0" w:color="auto"/>
              <w:right w:val="nil"/>
            </w:tcBorders>
            <w:shd w:val="clear" w:color="auto" w:fill="auto"/>
            <w:noWrap/>
            <w:vAlign w:val="bottom"/>
            <w:hideMark/>
          </w:tcPr>
          <w:p w14:paraId="2D199E7F"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(1.09-6.42)</w:t>
            </w:r>
          </w:p>
        </w:tc>
        <w:tc>
          <w:tcPr>
            <w:tcW w:w="0" w:type="auto"/>
            <w:tcBorders>
              <w:top w:val="nil"/>
              <w:left w:val="nil"/>
              <w:bottom w:val="single" w:sz="4" w:space="0" w:color="auto"/>
              <w:right w:val="nil"/>
            </w:tcBorders>
            <w:shd w:val="clear" w:color="auto" w:fill="auto"/>
            <w:noWrap/>
            <w:vAlign w:val="bottom"/>
            <w:hideMark/>
          </w:tcPr>
          <w:p w14:paraId="4AE242E1"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0.0321</w:t>
            </w:r>
          </w:p>
        </w:tc>
        <w:tc>
          <w:tcPr>
            <w:tcW w:w="0" w:type="auto"/>
            <w:tcBorders>
              <w:top w:val="nil"/>
              <w:left w:val="nil"/>
              <w:bottom w:val="single" w:sz="4" w:space="0" w:color="auto"/>
              <w:right w:val="nil"/>
            </w:tcBorders>
            <w:shd w:val="clear" w:color="auto" w:fill="auto"/>
            <w:noWrap/>
            <w:vAlign w:val="center"/>
            <w:hideMark/>
          </w:tcPr>
          <w:p w14:paraId="652C9C49"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1.83 </w:t>
            </w:r>
          </w:p>
        </w:tc>
        <w:tc>
          <w:tcPr>
            <w:tcW w:w="0" w:type="auto"/>
            <w:tcBorders>
              <w:top w:val="nil"/>
              <w:left w:val="nil"/>
              <w:bottom w:val="single" w:sz="4" w:space="0" w:color="auto"/>
              <w:right w:val="nil"/>
            </w:tcBorders>
            <w:shd w:val="clear" w:color="auto" w:fill="auto"/>
            <w:noWrap/>
            <w:vAlign w:val="center"/>
            <w:hideMark/>
          </w:tcPr>
          <w:p w14:paraId="7B748198"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(0.7-4.78)</w:t>
            </w:r>
          </w:p>
        </w:tc>
        <w:tc>
          <w:tcPr>
            <w:tcW w:w="0" w:type="auto"/>
            <w:tcBorders>
              <w:top w:val="nil"/>
              <w:left w:val="nil"/>
              <w:bottom w:val="single" w:sz="4" w:space="0" w:color="auto"/>
              <w:right w:val="nil"/>
            </w:tcBorders>
            <w:shd w:val="clear" w:color="auto" w:fill="auto"/>
            <w:noWrap/>
            <w:vAlign w:val="center"/>
            <w:hideMark/>
          </w:tcPr>
          <w:p w14:paraId="3F9CA5B2" w14:textId="77777777" w:rsidR="00475EB8" w:rsidRPr="003E0C02" w:rsidRDefault="00475EB8" w:rsidP="003E0C02">
            <w:pPr>
              <w:adjustRightInd w:val="0"/>
              <w:snapToGrid w:val="0"/>
              <w:spacing w:line="360" w:lineRule="auto"/>
              <w:jc w:val="both"/>
              <w:rPr>
                <w:rFonts w:ascii="Book Antiqua" w:hAnsi="Book Antiqua" w:cs="Calibri"/>
              </w:rPr>
            </w:pPr>
            <w:r w:rsidRPr="003E0C02">
              <w:rPr>
                <w:rFonts w:ascii="Book Antiqua" w:hAnsi="Book Antiqua" w:cs="Calibri"/>
              </w:rPr>
              <w:t>0.2204</w:t>
            </w:r>
          </w:p>
        </w:tc>
      </w:tr>
    </w:tbl>
    <w:p w14:paraId="087669D1" w14:textId="77777777" w:rsidR="00AA1E93" w:rsidRPr="003E0C02" w:rsidRDefault="00336ACE" w:rsidP="003E0C02">
      <w:pPr>
        <w:adjustRightInd w:val="0"/>
        <w:snapToGrid w:val="0"/>
        <w:spacing w:line="360" w:lineRule="auto"/>
        <w:jc w:val="both"/>
        <w:rPr>
          <w:rFonts w:ascii="Book Antiqua" w:hAnsi="Book Antiqua" w:cs="Calibri"/>
          <w:bCs/>
        </w:rPr>
      </w:pPr>
      <w:r w:rsidRPr="003E0C02">
        <w:rPr>
          <w:rFonts w:ascii="Book Antiqua" w:hAnsi="Book Antiqua" w:cs="Calibri"/>
          <w:bCs/>
        </w:rPr>
        <w:t>Crude HR</w:t>
      </w:r>
      <w:r w:rsidRPr="003E0C02">
        <w:rPr>
          <w:rFonts w:ascii="Book Antiqua" w:hAnsi="Book Antiqua" w:cs="Calibri"/>
          <w:bCs/>
          <w:vertAlign w:val="superscript"/>
          <w:lang w:eastAsia="zh-CN"/>
        </w:rPr>
        <w:t>1</w:t>
      </w:r>
      <w:r w:rsidRPr="003E0C02">
        <w:rPr>
          <w:rFonts w:ascii="Book Antiqua" w:hAnsi="Book Antiqua" w:cs="Calibri"/>
          <w:bCs/>
          <w:lang w:eastAsia="zh-CN"/>
        </w:rPr>
        <w:t>:</w:t>
      </w:r>
      <w:r w:rsidRPr="003E0C02">
        <w:rPr>
          <w:rFonts w:ascii="Book Antiqua" w:hAnsi="Book Antiqua" w:cs="Calibri"/>
          <w:bCs/>
        </w:rPr>
        <w:t xml:space="preserve"> </w:t>
      </w:r>
      <w:r w:rsidRPr="003E0C02">
        <w:rPr>
          <w:rFonts w:ascii="Book Antiqua" w:hAnsi="Book Antiqua" w:cs="Calibri"/>
          <w:bCs/>
          <w:lang w:eastAsia="zh-CN"/>
        </w:rPr>
        <w:t>R</w:t>
      </w:r>
      <w:r w:rsidRPr="003E0C02">
        <w:rPr>
          <w:rFonts w:ascii="Book Antiqua" w:hAnsi="Book Antiqua" w:cs="Calibri"/>
          <w:bCs/>
        </w:rPr>
        <w:t>epresented relative hazard ratio; Adjusted HR</w:t>
      </w:r>
      <w:r w:rsidRPr="003E0C02">
        <w:rPr>
          <w:rFonts w:ascii="Book Antiqua" w:hAnsi="Book Antiqua" w:cs="Calibri"/>
          <w:bCs/>
          <w:vertAlign w:val="superscript"/>
          <w:lang w:eastAsia="zh-CN"/>
        </w:rPr>
        <w:t>2</w:t>
      </w:r>
      <w:r w:rsidRPr="003E0C02">
        <w:rPr>
          <w:rFonts w:ascii="Book Antiqua" w:hAnsi="Book Antiqua" w:cs="Calibri"/>
          <w:bCs/>
          <w:lang w:eastAsia="zh-CN"/>
        </w:rPr>
        <w:t>:</w:t>
      </w:r>
      <w:r w:rsidRPr="003E0C02">
        <w:rPr>
          <w:rFonts w:ascii="Book Antiqua" w:hAnsi="Book Antiqua" w:cs="Calibri"/>
          <w:bCs/>
        </w:rPr>
        <w:t xml:space="preserve"> </w:t>
      </w:r>
      <w:r w:rsidRPr="003E0C02">
        <w:rPr>
          <w:rFonts w:ascii="Book Antiqua" w:hAnsi="Book Antiqua" w:cs="Calibri"/>
          <w:bCs/>
          <w:lang w:eastAsia="zh-CN"/>
        </w:rPr>
        <w:t>R</w:t>
      </w:r>
      <w:r w:rsidRPr="003E0C02">
        <w:rPr>
          <w:rFonts w:ascii="Book Antiqua" w:hAnsi="Book Antiqua" w:cs="Calibri"/>
          <w:bCs/>
        </w:rPr>
        <w:t>epr</w:t>
      </w:r>
      <w:r w:rsidR="00DA1BC1" w:rsidRPr="003E0C02">
        <w:rPr>
          <w:rFonts w:ascii="Book Antiqua" w:hAnsi="Book Antiqua" w:cs="Calibri"/>
          <w:bCs/>
        </w:rPr>
        <w:t xml:space="preserve">esented adjusted hazard ratio: </w:t>
      </w:r>
      <w:r w:rsidR="00DA1BC1" w:rsidRPr="003E0C02">
        <w:rPr>
          <w:rFonts w:ascii="Book Antiqua" w:hAnsi="Book Antiqua" w:cs="Calibri"/>
          <w:bCs/>
          <w:lang w:eastAsia="zh-CN"/>
        </w:rPr>
        <w:t>M</w:t>
      </w:r>
      <w:r w:rsidRPr="003E0C02">
        <w:rPr>
          <w:rFonts w:ascii="Book Antiqua" w:hAnsi="Book Antiqua" w:cs="Calibri"/>
          <w:bCs/>
        </w:rPr>
        <w:t xml:space="preserve">utually adjusted for </w:t>
      </w:r>
      <w:r w:rsidR="00BB252B" w:rsidRPr="003E0C02">
        <w:rPr>
          <w:rFonts w:ascii="Book Antiqua" w:hAnsi="Book Antiqua" w:cs="Calibri"/>
          <w:bCs/>
        </w:rPr>
        <w:t xml:space="preserve">sex, age, receiving </w:t>
      </w:r>
      <w:r w:rsidRPr="003E0C02">
        <w:rPr>
          <w:rFonts w:ascii="Book Antiqua" w:hAnsi="Book Antiqua" w:cs="Calibri"/>
          <w:bCs/>
        </w:rPr>
        <w:t xml:space="preserve">bariatric surgery, </w:t>
      </w:r>
      <w:r w:rsidR="00BB252B" w:rsidRPr="003E0C02">
        <w:rPr>
          <w:rFonts w:ascii="Book Antiqua" w:hAnsi="Book Antiqua" w:cs="Calibri"/>
          <w:bCs/>
        </w:rPr>
        <w:t>and</w:t>
      </w:r>
      <w:r w:rsidRPr="003E0C02">
        <w:rPr>
          <w:rFonts w:ascii="Book Antiqua" w:hAnsi="Book Antiqua" w:cs="Calibri"/>
          <w:bCs/>
        </w:rPr>
        <w:t xml:space="preserve"> baseline comorbidities (as like tables) in Cox proportional hazard regression.</w:t>
      </w:r>
      <w:r w:rsidR="000F2167" w:rsidRPr="003E0C02">
        <w:rPr>
          <w:rFonts w:ascii="Book Antiqua" w:hAnsi="Book Antiqua"/>
        </w:rPr>
        <w:t xml:space="preserve"> </w:t>
      </w:r>
    </w:p>
    <w:p w14:paraId="41C6254E" w14:textId="55842327" w:rsidR="00AA1E93" w:rsidRPr="003E0C02" w:rsidRDefault="00AA1E93"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br w:type="page"/>
      </w:r>
      <w:r w:rsidR="005A0CBC" w:rsidRPr="003E0C02">
        <w:rPr>
          <w:rFonts w:ascii="Book Antiqua" w:hAnsi="Book Antiqua" w:cs="Calibri"/>
          <w:b/>
          <w:bCs/>
        </w:rPr>
        <w:lastRenderedPageBreak/>
        <w:t xml:space="preserve">Table 3 Incidence rate and </w:t>
      </w:r>
      <w:r w:rsidR="00C22172" w:rsidRPr="003E0C02">
        <w:rPr>
          <w:rFonts w:ascii="Book Antiqua" w:hAnsi="Book Antiqua" w:cs="Calibri"/>
          <w:b/>
          <w:bCs/>
        </w:rPr>
        <w:t>hazard ratio</w:t>
      </w:r>
      <w:r w:rsidR="005A0CBC" w:rsidRPr="003E0C02">
        <w:rPr>
          <w:rFonts w:ascii="Book Antiqua" w:hAnsi="Book Antiqua" w:cs="Calibri"/>
          <w:b/>
          <w:bCs/>
        </w:rPr>
        <w:t xml:space="preserve"> with 95%</w:t>
      </w:r>
      <w:r w:rsidR="00C22172" w:rsidRPr="003E0C02">
        <w:rPr>
          <w:rFonts w:ascii="Book Antiqua" w:hAnsi="Book Antiqua" w:cs="Calibri"/>
          <w:b/>
          <w:bCs/>
        </w:rPr>
        <w:t xml:space="preserve"> confidence intervals</w:t>
      </w:r>
      <w:r w:rsidR="005A0CBC" w:rsidRPr="003E0C02">
        <w:rPr>
          <w:rFonts w:ascii="Book Antiqua" w:hAnsi="Book Antiqua" w:cs="Calibri"/>
          <w:b/>
          <w:bCs/>
        </w:rPr>
        <w:t xml:space="preserve"> of anemia associated with receiving bariatric surgery, stratified by</w:t>
      </w:r>
      <w:r w:rsidR="00BB252B" w:rsidRPr="003E0C02">
        <w:rPr>
          <w:rFonts w:ascii="Book Antiqua" w:hAnsi="Book Antiqua" w:cs="Calibri"/>
          <w:b/>
          <w:bCs/>
        </w:rPr>
        <w:t xml:space="preserve"> sex and </w:t>
      </w:r>
      <w:r w:rsidR="005A0CBC" w:rsidRPr="003E0C02">
        <w:rPr>
          <w:rFonts w:ascii="Book Antiqua" w:hAnsi="Book Antiqua" w:cs="Calibri"/>
          <w:b/>
          <w:bCs/>
        </w:rPr>
        <w:t xml:space="preserve">age </w:t>
      </w:r>
    </w:p>
    <w:tbl>
      <w:tblPr>
        <w:tblW w:w="9602" w:type="dxa"/>
        <w:tblInd w:w="28" w:type="dxa"/>
        <w:tblLayout w:type="fixed"/>
        <w:tblCellMar>
          <w:left w:w="28" w:type="dxa"/>
          <w:right w:w="28" w:type="dxa"/>
        </w:tblCellMar>
        <w:tblLook w:val="04A0" w:firstRow="1" w:lastRow="0" w:firstColumn="1" w:lastColumn="0" w:noHBand="0" w:noVBand="1"/>
      </w:tblPr>
      <w:tblGrid>
        <w:gridCol w:w="1275"/>
        <w:gridCol w:w="595"/>
        <w:gridCol w:w="938"/>
        <w:gridCol w:w="596"/>
        <w:gridCol w:w="683"/>
        <w:gridCol w:w="1158"/>
        <w:gridCol w:w="851"/>
        <w:gridCol w:w="1701"/>
        <w:gridCol w:w="1805"/>
      </w:tblGrid>
      <w:tr w:rsidR="003E0C02" w:rsidRPr="003E0C02" w14:paraId="73D328B1" w14:textId="77777777" w:rsidTr="007D3146">
        <w:trPr>
          <w:trHeight w:val="345"/>
        </w:trPr>
        <w:tc>
          <w:tcPr>
            <w:tcW w:w="1275" w:type="dxa"/>
            <w:vMerge w:val="restart"/>
            <w:tcBorders>
              <w:top w:val="nil"/>
              <w:left w:val="nil"/>
              <w:bottom w:val="single" w:sz="8" w:space="0" w:color="000000"/>
              <w:right w:val="nil"/>
            </w:tcBorders>
            <w:shd w:val="clear" w:color="auto" w:fill="auto"/>
            <w:vAlign w:val="center"/>
            <w:hideMark/>
          </w:tcPr>
          <w:p w14:paraId="69920BE2"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Variable</w:t>
            </w:r>
          </w:p>
        </w:tc>
        <w:tc>
          <w:tcPr>
            <w:tcW w:w="4821" w:type="dxa"/>
            <w:gridSpan w:val="6"/>
            <w:tcBorders>
              <w:top w:val="single" w:sz="8" w:space="0" w:color="auto"/>
              <w:left w:val="nil"/>
              <w:bottom w:val="single" w:sz="8" w:space="0" w:color="auto"/>
              <w:right w:val="nil"/>
            </w:tcBorders>
            <w:shd w:val="clear" w:color="auto" w:fill="auto"/>
            <w:vAlign w:val="center"/>
            <w:hideMark/>
          </w:tcPr>
          <w:p w14:paraId="22DEC22F"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Receiving bariatric surgery</w:t>
            </w:r>
          </w:p>
        </w:tc>
        <w:tc>
          <w:tcPr>
            <w:tcW w:w="3506" w:type="dxa"/>
            <w:gridSpan w:val="2"/>
            <w:tcBorders>
              <w:top w:val="single" w:sz="8" w:space="0" w:color="auto"/>
              <w:left w:val="nil"/>
              <w:bottom w:val="single" w:sz="8" w:space="0" w:color="auto"/>
              <w:right w:val="nil"/>
            </w:tcBorders>
            <w:shd w:val="clear" w:color="auto" w:fill="auto"/>
            <w:vAlign w:val="center"/>
            <w:hideMark/>
          </w:tcPr>
          <w:p w14:paraId="56CC39D3"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Receiving </w:t>
            </w:r>
            <w:r w:rsidRPr="003E0C02">
              <w:rPr>
                <w:rFonts w:ascii="Book Antiqua" w:hAnsi="Book Antiqua" w:cs="Calibri"/>
                <w:b/>
                <w:bCs/>
                <w:i/>
              </w:rPr>
              <w:t>vs</w:t>
            </w:r>
            <w:r w:rsidRPr="003E0C02">
              <w:rPr>
                <w:rFonts w:ascii="Book Antiqua" w:hAnsi="Book Antiqua" w:cs="Calibri"/>
                <w:b/>
                <w:bCs/>
              </w:rPr>
              <w:t xml:space="preserve"> not-receiving bariatric surgery</w:t>
            </w:r>
          </w:p>
        </w:tc>
      </w:tr>
      <w:tr w:rsidR="003E0C02" w:rsidRPr="003E0C02" w14:paraId="62F07E67" w14:textId="77777777" w:rsidTr="007D3146">
        <w:trPr>
          <w:trHeight w:val="330"/>
        </w:trPr>
        <w:tc>
          <w:tcPr>
            <w:tcW w:w="1275" w:type="dxa"/>
            <w:vMerge/>
            <w:tcBorders>
              <w:top w:val="nil"/>
              <w:left w:val="nil"/>
              <w:bottom w:val="single" w:sz="8" w:space="0" w:color="000000"/>
              <w:right w:val="nil"/>
            </w:tcBorders>
            <w:vAlign w:val="center"/>
            <w:hideMark/>
          </w:tcPr>
          <w:p w14:paraId="06CD14BA" w14:textId="77777777" w:rsidR="000A5135" w:rsidRPr="003E0C02" w:rsidRDefault="000A5135" w:rsidP="003E0C02">
            <w:pPr>
              <w:adjustRightInd w:val="0"/>
              <w:snapToGrid w:val="0"/>
              <w:spacing w:line="360" w:lineRule="auto"/>
              <w:jc w:val="both"/>
              <w:rPr>
                <w:rFonts w:ascii="Book Antiqua" w:hAnsi="Book Antiqua" w:cs="Calibri"/>
                <w:b/>
                <w:bCs/>
              </w:rPr>
            </w:pPr>
          </w:p>
        </w:tc>
        <w:tc>
          <w:tcPr>
            <w:tcW w:w="2129" w:type="dxa"/>
            <w:gridSpan w:val="3"/>
            <w:tcBorders>
              <w:top w:val="single" w:sz="8" w:space="0" w:color="auto"/>
              <w:left w:val="nil"/>
              <w:bottom w:val="single" w:sz="8" w:space="0" w:color="auto"/>
              <w:right w:val="nil"/>
            </w:tcBorders>
            <w:shd w:val="clear" w:color="auto" w:fill="auto"/>
            <w:vAlign w:val="center"/>
            <w:hideMark/>
          </w:tcPr>
          <w:p w14:paraId="04A0D1F4"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No</w:t>
            </w:r>
          </w:p>
        </w:tc>
        <w:tc>
          <w:tcPr>
            <w:tcW w:w="2692" w:type="dxa"/>
            <w:gridSpan w:val="3"/>
            <w:tcBorders>
              <w:top w:val="single" w:sz="8" w:space="0" w:color="auto"/>
              <w:left w:val="nil"/>
              <w:bottom w:val="single" w:sz="8" w:space="0" w:color="auto"/>
              <w:right w:val="nil"/>
            </w:tcBorders>
            <w:shd w:val="clear" w:color="auto" w:fill="auto"/>
            <w:vAlign w:val="center"/>
            <w:hideMark/>
          </w:tcPr>
          <w:p w14:paraId="28A341D4"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Yes</w:t>
            </w:r>
          </w:p>
        </w:tc>
        <w:tc>
          <w:tcPr>
            <w:tcW w:w="1701" w:type="dxa"/>
            <w:vMerge w:val="restart"/>
            <w:tcBorders>
              <w:top w:val="nil"/>
              <w:left w:val="nil"/>
              <w:bottom w:val="single" w:sz="8" w:space="0" w:color="000000"/>
              <w:right w:val="nil"/>
            </w:tcBorders>
            <w:shd w:val="clear" w:color="auto" w:fill="auto"/>
            <w:noWrap/>
            <w:vAlign w:val="center"/>
            <w:hideMark/>
          </w:tcPr>
          <w:p w14:paraId="1A2120BC"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Crude HR</w:t>
            </w:r>
          </w:p>
        </w:tc>
        <w:tc>
          <w:tcPr>
            <w:tcW w:w="1805" w:type="dxa"/>
            <w:vMerge w:val="restart"/>
            <w:tcBorders>
              <w:top w:val="nil"/>
              <w:left w:val="nil"/>
              <w:bottom w:val="single" w:sz="8" w:space="0" w:color="000000"/>
              <w:right w:val="nil"/>
            </w:tcBorders>
            <w:shd w:val="clear" w:color="auto" w:fill="auto"/>
            <w:noWrap/>
            <w:vAlign w:val="center"/>
            <w:hideMark/>
          </w:tcPr>
          <w:p w14:paraId="03F1810D" w14:textId="77777777" w:rsidR="000A5135" w:rsidRPr="003E0C02" w:rsidRDefault="000A5135"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Adjusted HR</w:t>
            </w:r>
            <w:r w:rsidRPr="003E0C02">
              <w:rPr>
                <w:rFonts w:ascii="Book Antiqua" w:hAnsi="Book Antiqua" w:cs="Calibri"/>
                <w:b/>
                <w:bCs/>
                <w:vertAlign w:val="superscript"/>
                <w:lang w:eastAsia="zh-CN"/>
              </w:rPr>
              <w:t>2</w:t>
            </w:r>
          </w:p>
        </w:tc>
      </w:tr>
      <w:tr w:rsidR="003E0C02" w:rsidRPr="003E0C02" w14:paraId="4C44435C" w14:textId="77777777" w:rsidTr="007D3146">
        <w:trPr>
          <w:trHeight w:val="645"/>
        </w:trPr>
        <w:tc>
          <w:tcPr>
            <w:tcW w:w="1275" w:type="dxa"/>
            <w:vMerge/>
            <w:tcBorders>
              <w:top w:val="nil"/>
              <w:left w:val="nil"/>
              <w:bottom w:val="single" w:sz="8" w:space="0" w:color="000000"/>
              <w:right w:val="nil"/>
            </w:tcBorders>
            <w:vAlign w:val="center"/>
            <w:hideMark/>
          </w:tcPr>
          <w:p w14:paraId="3F2E157A" w14:textId="77777777" w:rsidR="000A5135" w:rsidRPr="003E0C02" w:rsidRDefault="000A5135" w:rsidP="003E0C02">
            <w:pPr>
              <w:adjustRightInd w:val="0"/>
              <w:snapToGrid w:val="0"/>
              <w:spacing w:line="360" w:lineRule="auto"/>
              <w:jc w:val="both"/>
              <w:rPr>
                <w:rFonts w:ascii="Book Antiqua" w:hAnsi="Book Antiqua" w:cs="Calibri"/>
                <w:b/>
                <w:bCs/>
              </w:rPr>
            </w:pPr>
          </w:p>
        </w:tc>
        <w:tc>
          <w:tcPr>
            <w:tcW w:w="595" w:type="dxa"/>
            <w:tcBorders>
              <w:top w:val="nil"/>
              <w:left w:val="nil"/>
              <w:bottom w:val="single" w:sz="8" w:space="0" w:color="auto"/>
              <w:right w:val="nil"/>
            </w:tcBorders>
            <w:shd w:val="clear" w:color="auto" w:fill="auto"/>
            <w:vAlign w:val="center"/>
            <w:hideMark/>
          </w:tcPr>
          <w:p w14:paraId="65FABDEA"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Event</w:t>
            </w:r>
          </w:p>
        </w:tc>
        <w:tc>
          <w:tcPr>
            <w:tcW w:w="938" w:type="dxa"/>
            <w:tcBorders>
              <w:top w:val="nil"/>
              <w:left w:val="nil"/>
              <w:bottom w:val="single" w:sz="8" w:space="0" w:color="auto"/>
              <w:right w:val="nil"/>
            </w:tcBorders>
            <w:shd w:val="clear" w:color="auto" w:fill="auto"/>
            <w:vAlign w:val="center"/>
            <w:hideMark/>
          </w:tcPr>
          <w:p w14:paraId="5F54969E" w14:textId="77777777" w:rsidR="000A5135" w:rsidRPr="003E0C02" w:rsidRDefault="000A5135"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Person years</w:t>
            </w:r>
          </w:p>
        </w:tc>
        <w:tc>
          <w:tcPr>
            <w:tcW w:w="596" w:type="dxa"/>
            <w:tcBorders>
              <w:top w:val="nil"/>
              <w:left w:val="nil"/>
              <w:bottom w:val="single" w:sz="8" w:space="0" w:color="auto"/>
              <w:right w:val="nil"/>
            </w:tcBorders>
            <w:shd w:val="clear" w:color="auto" w:fill="auto"/>
            <w:vAlign w:val="center"/>
            <w:hideMark/>
          </w:tcPr>
          <w:p w14:paraId="4B2318B8" w14:textId="77777777" w:rsidR="000A5135" w:rsidRPr="003E0C02" w:rsidRDefault="000A5135"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IR</w:t>
            </w:r>
            <w:r w:rsidRPr="003E0C02">
              <w:rPr>
                <w:rFonts w:ascii="Book Antiqua" w:hAnsi="Book Antiqua" w:cs="Calibri"/>
                <w:b/>
                <w:bCs/>
                <w:vertAlign w:val="superscript"/>
                <w:lang w:eastAsia="zh-CN"/>
              </w:rPr>
              <w:t>1</w:t>
            </w:r>
          </w:p>
        </w:tc>
        <w:tc>
          <w:tcPr>
            <w:tcW w:w="683" w:type="dxa"/>
            <w:tcBorders>
              <w:top w:val="nil"/>
              <w:left w:val="nil"/>
              <w:bottom w:val="single" w:sz="8" w:space="0" w:color="auto"/>
              <w:right w:val="nil"/>
            </w:tcBorders>
            <w:shd w:val="clear" w:color="auto" w:fill="auto"/>
            <w:vAlign w:val="center"/>
            <w:hideMark/>
          </w:tcPr>
          <w:p w14:paraId="1C782536"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Event</w:t>
            </w:r>
          </w:p>
        </w:tc>
        <w:tc>
          <w:tcPr>
            <w:tcW w:w="1158" w:type="dxa"/>
            <w:tcBorders>
              <w:top w:val="nil"/>
              <w:left w:val="nil"/>
              <w:bottom w:val="single" w:sz="8" w:space="0" w:color="auto"/>
              <w:right w:val="nil"/>
            </w:tcBorders>
            <w:shd w:val="clear" w:color="auto" w:fill="auto"/>
            <w:vAlign w:val="center"/>
            <w:hideMark/>
          </w:tcPr>
          <w:p w14:paraId="48383E57" w14:textId="77777777" w:rsidR="000A5135" w:rsidRPr="003E0C02" w:rsidRDefault="000A5135"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Person years</w:t>
            </w:r>
          </w:p>
        </w:tc>
        <w:tc>
          <w:tcPr>
            <w:tcW w:w="851" w:type="dxa"/>
            <w:tcBorders>
              <w:top w:val="nil"/>
              <w:left w:val="nil"/>
              <w:bottom w:val="single" w:sz="8" w:space="0" w:color="auto"/>
              <w:right w:val="nil"/>
            </w:tcBorders>
            <w:shd w:val="clear" w:color="auto" w:fill="auto"/>
            <w:vAlign w:val="center"/>
            <w:hideMark/>
          </w:tcPr>
          <w:p w14:paraId="30BC7283" w14:textId="77777777" w:rsidR="000A5135" w:rsidRPr="003E0C02" w:rsidRDefault="000A5135"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IR</w:t>
            </w:r>
            <w:r w:rsidRPr="003E0C02">
              <w:rPr>
                <w:rFonts w:ascii="Book Antiqua" w:hAnsi="Book Antiqua" w:cs="Calibri"/>
                <w:b/>
                <w:bCs/>
                <w:vertAlign w:val="superscript"/>
                <w:lang w:eastAsia="zh-CN"/>
              </w:rPr>
              <w:t>1</w:t>
            </w:r>
          </w:p>
        </w:tc>
        <w:tc>
          <w:tcPr>
            <w:tcW w:w="1701" w:type="dxa"/>
            <w:vMerge/>
            <w:tcBorders>
              <w:top w:val="nil"/>
              <w:left w:val="nil"/>
              <w:bottom w:val="single" w:sz="8" w:space="0" w:color="000000"/>
              <w:right w:val="nil"/>
            </w:tcBorders>
            <w:vAlign w:val="center"/>
            <w:hideMark/>
          </w:tcPr>
          <w:p w14:paraId="4881DC70" w14:textId="77777777" w:rsidR="000A5135" w:rsidRPr="003E0C02" w:rsidRDefault="000A5135" w:rsidP="003E0C02">
            <w:pPr>
              <w:adjustRightInd w:val="0"/>
              <w:snapToGrid w:val="0"/>
              <w:spacing w:line="360" w:lineRule="auto"/>
              <w:jc w:val="both"/>
              <w:rPr>
                <w:rFonts w:ascii="Book Antiqua" w:hAnsi="Book Antiqua" w:cs="Calibri"/>
                <w:b/>
                <w:bCs/>
              </w:rPr>
            </w:pPr>
          </w:p>
        </w:tc>
        <w:tc>
          <w:tcPr>
            <w:tcW w:w="1805" w:type="dxa"/>
            <w:vMerge/>
            <w:tcBorders>
              <w:top w:val="nil"/>
              <w:left w:val="nil"/>
              <w:bottom w:val="single" w:sz="8" w:space="0" w:color="000000"/>
              <w:right w:val="nil"/>
            </w:tcBorders>
            <w:vAlign w:val="center"/>
            <w:hideMark/>
          </w:tcPr>
          <w:p w14:paraId="38F28E27" w14:textId="77777777" w:rsidR="000A5135" w:rsidRPr="003E0C02" w:rsidRDefault="000A5135" w:rsidP="003E0C02">
            <w:pPr>
              <w:adjustRightInd w:val="0"/>
              <w:snapToGrid w:val="0"/>
              <w:spacing w:line="360" w:lineRule="auto"/>
              <w:jc w:val="both"/>
              <w:rPr>
                <w:rFonts w:ascii="Book Antiqua" w:hAnsi="Book Antiqua" w:cs="Calibri"/>
                <w:b/>
                <w:bCs/>
              </w:rPr>
            </w:pPr>
          </w:p>
        </w:tc>
      </w:tr>
      <w:tr w:rsidR="003E0C02" w:rsidRPr="003E0C02" w14:paraId="7ABBFFC5" w14:textId="77777777" w:rsidTr="007D3146">
        <w:trPr>
          <w:trHeight w:val="315"/>
        </w:trPr>
        <w:tc>
          <w:tcPr>
            <w:tcW w:w="1275" w:type="dxa"/>
            <w:tcBorders>
              <w:top w:val="nil"/>
              <w:left w:val="nil"/>
              <w:bottom w:val="nil"/>
              <w:right w:val="nil"/>
            </w:tcBorders>
            <w:shd w:val="clear" w:color="auto" w:fill="auto"/>
            <w:vAlign w:val="center"/>
            <w:hideMark/>
          </w:tcPr>
          <w:p w14:paraId="71D90E6A" w14:textId="77777777" w:rsidR="000A5135" w:rsidRPr="003E0C02" w:rsidRDefault="000A5135" w:rsidP="003E0C02">
            <w:pPr>
              <w:adjustRightInd w:val="0"/>
              <w:snapToGrid w:val="0"/>
              <w:spacing w:line="360" w:lineRule="auto"/>
              <w:jc w:val="both"/>
              <w:rPr>
                <w:rFonts w:ascii="Book Antiqua" w:hAnsi="Book Antiqua" w:cs="Calibri"/>
                <w:bCs/>
              </w:rPr>
            </w:pPr>
            <w:r w:rsidRPr="003E0C02">
              <w:rPr>
                <w:rFonts w:ascii="Book Antiqua" w:hAnsi="Book Antiqua" w:cs="Calibri"/>
                <w:bCs/>
              </w:rPr>
              <w:t>Total</w:t>
            </w:r>
          </w:p>
        </w:tc>
        <w:tc>
          <w:tcPr>
            <w:tcW w:w="595" w:type="dxa"/>
            <w:tcBorders>
              <w:top w:val="nil"/>
              <w:left w:val="nil"/>
              <w:bottom w:val="nil"/>
              <w:right w:val="nil"/>
            </w:tcBorders>
            <w:shd w:val="clear" w:color="auto" w:fill="auto"/>
            <w:noWrap/>
            <w:vAlign w:val="center"/>
            <w:hideMark/>
          </w:tcPr>
          <w:p w14:paraId="2F0AEB39"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38</w:t>
            </w:r>
          </w:p>
        </w:tc>
        <w:tc>
          <w:tcPr>
            <w:tcW w:w="938" w:type="dxa"/>
            <w:tcBorders>
              <w:top w:val="nil"/>
              <w:left w:val="nil"/>
              <w:bottom w:val="nil"/>
              <w:right w:val="nil"/>
            </w:tcBorders>
            <w:shd w:val="clear" w:color="auto" w:fill="auto"/>
            <w:noWrap/>
            <w:vAlign w:val="center"/>
            <w:hideMark/>
          </w:tcPr>
          <w:p w14:paraId="50EEC72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6359 </w:t>
            </w:r>
          </w:p>
        </w:tc>
        <w:tc>
          <w:tcPr>
            <w:tcW w:w="596" w:type="dxa"/>
            <w:tcBorders>
              <w:top w:val="nil"/>
              <w:left w:val="nil"/>
              <w:bottom w:val="nil"/>
              <w:right w:val="nil"/>
            </w:tcBorders>
            <w:shd w:val="clear" w:color="auto" w:fill="auto"/>
            <w:noWrap/>
            <w:vAlign w:val="center"/>
            <w:hideMark/>
          </w:tcPr>
          <w:p w14:paraId="735A9D52"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5.98</w:t>
            </w:r>
          </w:p>
        </w:tc>
        <w:tc>
          <w:tcPr>
            <w:tcW w:w="683" w:type="dxa"/>
            <w:tcBorders>
              <w:top w:val="nil"/>
              <w:left w:val="nil"/>
              <w:bottom w:val="nil"/>
              <w:right w:val="nil"/>
            </w:tcBorders>
            <w:shd w:val="clear" w:color="auto" w:fill="auto"/>
            <w:noWrap/>
            <w:vAlign w:val="center"/>
            <w:hideMark/>
          </w:tcPr>
          <w:p w14:paraId="76524C8B"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183</w:t>
            </w:r>
          </w:p>
        </w:tc>
        <w:tc>
          <w:tcPr>
            <w:tcW w:w="1158" w:type="dxa"/>
            <w:tcBorders>
              <w:top w:val="nil"/>
              <w:left w:val="nil"/>
              <w:bottom w:val="nil"/>
              <w:right w:val="nil"/>
            </w:tcBorders>
            <w:shd w:val="clear" w:color="auto" w:fill="auto"/>
            <w:noWrap/>
            <w:vAlign w:val="center"/>
            <w:hideMark/>
          </w:tcPr>
          <w:p w14:paraId="4E4F772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16277 </w:t>
            </w:r>
          </w:p>
        </w:tc>
        <w:tc>
          <w:tcPr>
            <w:tcW w:w="851" w:type="dxa"/>
            <w:tcBorders>
              <w:top w:val="nil"/>
              <w:left w:val="nil"/>
              <w:bottom w:val="nil"/>
              <w:right w:val="nil"/>
            </w:tcBorders>
            <w:shd w:val="clear" w:color="auto" w:fill="auto"/>
            <w:noWrap/>
            <w:vAlign w:val="center"/>
            <w:hideMark/>
          </w:tcPr>
          <w:p w14:paraId="599A89A7"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11.24</w:t>
            </w:r>
          </w:p>
        </w:tc>
        <w:tc>
          <w:tcPr>
            <w:tcW w:w="1701" w:type="dxa"/>
            <w:tcBorders>
              <w:top w:val="nil"/>
              <w:left w:val="nil"/>
              <w:bottom w:val="nil"/>
              <w:right w:val="nil"/>
            </w:tcBorders>
            <w:shd w:val="clear" w:color="auto" w:fill="auto"/>
            <w:noWrap/>
            <w:vAlign w:val="center"/>
            <w:hideMark/>
          </w:tcPr>
          <w:p w14:paraId="189FA2E3"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1.71(1.20-2.44)</w:t>
            </w:r>
            <w:r w:rsidRPr="003E0C02">
              <w:rPr>
                <w:rFonts w:ascii="Book Antiqua" w:hAnsi="Book Antiqua" w:cs="Calibri"/>
                <w:vertAlign w:val="superscript"/>
                <w:lang w:eastAsia="zh-CN"/>
              </w:rPr>
              <w:t>b</w:t>
            </w:r>
          </w:p>
        </w:tc>
        <w:tc>
          <w:tcPr>
            <w:tcW w:w="1805" w:type="dxa"/>
            <w:tcBorders>
              <w:top w:val="nil"/>
              <w:left w:val="nil"/>
              <w:bottom w:val="nil"/>
              <w:right w:val="nil"/>
            </w:tcBorders>
            <w:shd w:val="clear" w:color="auto" w:fill="auto"/>
            <w:vAlign w:val="center"/>
            <w:hideMark/>
          </w:tcPr>
          <w:p w14:paraId="3F38A26D"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2.36(1.52-3.65)</w:t>
            </w:r>
            <w:r w:rsidRPr="003E0C02">
              <w:rPr>
                <w:rFonts w:ascii="Book Antiqua" w:hAnsi="Book Antiqua" w:cs="Calibri"/>
                <w:vertAlign w:val="superscript"/>
                <w:lang w:eastAsia="zh-CN"/>
              </w:rPr>
              <w:t>c</w:t>
            </w:r>
          </w:p>
        </w:tc>
      </w:tr>
      <w:tr w:rsidR="003E0C02" w:rsidRPr="003E0C02" w14:paraId="2F8449FE" w14:textId="77777777" w:rsidTr="007D3146">
        <w:trPr>
          <w:trHeight w:val="315"/>
        </w:trPr>
        <w:tc>
          <w:tcPr>
            <w:tcW w:w="9602" w:type="dxa"/>
            <w:gridSpan w:val="9"/>
            <w:tcBorders>
              <w:top w:val="nil"/>
              <w:left w:val="nil"/>
              <w:bottom w:val="nil"/>
              <w:right w:val="nil"/>
            </w:tcBorders>
            <w:shd w:val="clear" w:color="auto" w:fill="auto"/>
            <w:noWrap/>
            <w:vAlign w:val="center"/>
            <w:hideMark/>
          </w:tcPr>
          <w:p w14:paraId="1950100C" w14:textId="77777777" w:rsidR="007D3146" w:rsidRPr="003E0C02" w:rsidRDefault="007D3146"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Gender</w:t>
            </w:r>
          </w:p>
        </w:tc>
      </w:tr>
      <w:tr w:rsidR="003E0C02" w:rsidRPr="003E0C02" w14:paraId="33FCE7D3" w14:textId="77777777" w:rsidTr="007D3146">
        <w:trPr>
          <w:trHeight w:val="315"/>
        </w:trPr>
        <w:tc>
          <w:tcPr>
            <w:tcW w:w="1275" w:type="dxa"/>
            <w:tcBorders>
              <w:top w:val="nil"/>
              <w:left w:val="nil"/>
              <w:bottom w:val="nil"/>
              <w:right w:val="nil"/>
            </w:tcBorders>
            <w:shd w:val="clear" w:color="auto" w:fill="auto"/>
            <w:noWrap/>
            <w:vAlign w:val="center"/>
            <w:hideMark/>
          </w:tcPr>
          <w:p w14:paraId="01176081" w14:textId="77777777" w:rsidR="000A5135" w:rsidRPr="003E0C02" w:rsidRDefault="000A513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Female</w:t>
            </w:r>
          </w:p>
        </w:tc>
        <w:tc>
          <w:tcPr>
            <w:tcW w:w="595" w:type="dxa"/>
            <w:tcBorders>
              <w:top w:val="nil"/>
              <w:left w:val="nil"/>
              <w:bottom w:val="nil"/>
              <w:right w:val="nil"/>
            </w:tcBorders>
            <w:shd w:val="clear" w:color="auto" w:fill="auto"/>
            <w:noWrap/>
            <w:vAlign w:val="center"/>
            <w:hideMark/>
          </w:tcPr>
          <w:p w14:paraId="78DDF66C"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27</w:t>
            </w:r>
          </w:p>
        </w:tc>
        <w:tc>
          <w:tcPr>
            <w:tcW w:w="938" w:type="dxa"/>
            <w:tcBorders>
              <w:top w:val="nil"/>
              <w:left w:val="nil"/>
              <w:bottom w:val="nil"/>
              <w:right w:val="nil"/>
            </w:tcBorders>
            <w:shd w:val="clear" w:color="auto" w:fill="auto"/>
            <w:noWrap/>
            <w:vAlign w:val="center"/>
            <w:hideMark/>
          </w:tcPr>
          <w:p w14:paraId="76438AF6"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3455 </w:t>
            </w:r>
          </w:p>
        </w:tc>
        <w:tc>
          <w:tcPr>
            <w:tcW w:w="596" w:type="dxa"/>
            <w:tcBorders>
              <w:top w:val="nil"/>
              <w:left w:val="nil"/>
              <w:bottom w:val="nil"/>
              <w:right w:val="nil"/>
            </w:tcBorders>
            <w:shd w:val="clear" w:color="auto" w:fill="auto"/>
            <w:noWrap/>
            <w:vAlign w:val="center"/>
            <w:hideMark/>
          </w:tcPr>
          <w:p w14:paraId="1837032B"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7.82</w:t>
            </w:r>
          </w:p>
        </w:tc>
        <w:tc>
          <w:tcPr>
            <w:tcW w:w="683" w:type="dxa"/>
            <w:tcBorders>
              <w:top w:val="nil"/>
              <w:left w:val="nil"/>
              <w:bottom w:val="nil"/>
              <w:right w:val="nil"/>
            </w:tcBorders>
            <w:shd w:val="clear" w:color="auto" w:fill="auto"/>
            <w:noWrap/>
            <w:vAlign w:val="center"/>
            <w:hideMark/>
          </w:tcPr>
          <w:p w14:paraId="11814F95"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159</w:t>
            </w:r>
          </w:p>
        </w:tc>
        <w:tc>
          <w:tcPr>
            <w:tcW w:w="1158" w:type="dxa"/>
            <w:tcBorders>
              <w:top w:val="nil"/>
              <w:left w:val="nil"/>
              <w:bottom w:val="nil"/>
              <w:right w:val="nil"/>
            </w:tcBorders>
            <w:shd w:val="clear" w:color="auto" w:fill="auto"/>
            <w:noWrap/>
            <w:vAlign w:val="center"/>
            <w:hideMark/>
          </w:tcPr>
          <w:p w14:paraId="28D6BB22"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10688 </w:t>
            </w:r>
          </w:p>
        </w:tc>
        <w:tc>
          <w:tcPr>
            <w:tcW w:w="851" w:type="dxa"/>
            <w:tcBorders>
              <w:top w:val="nil"/>
              <w:left w:val="nil"/>
              <w:bottom w:val="nil"/>
              <w:right w:val="nil"/>
            </w:tcBorders>
            <w:shd w:val="clear" w:color="auto" w:fill="auto"/>
            <w:noWrap/>
            <w:vAlign w:val="center"/>
            <w:hideMark/>
          </w:tcPr>
          <w:p w14:paraId="50D5BD13"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14.88</w:t>
            </w:r>
          </w:p>
        </w:tc>
        <w:tc>
          <w:tcPr>
            <w:tcW w:w="1701" w:type="dxa"/>
            <w:tcBorders>
              <w:top w:val="nil"/>
              <w:left w:val="nil"/>
              <w:bottom w:val="nil"/>
              <w:right w:val="nil"/>
            </w:tcBorders>
            <w:shd w:val="clear" w:color="auto" w:fill="auto"/>
            <w:noWrap/>
            <w:vAlign w:val="center"/>
            <w:hideMark/>
          </w:tcPr>
          <w:p w14:paraId="32C364CF"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1.67(1.10-2.53)</w:t>
            </w:r>
            <w:r w:rsidRPr="003E0C02">
              <w:rPr>
                <w:rFonts w:ascii="Book Antiqua" w:hAnsi="Book Antiqua" w:cs="Calibri"/>
                <w:vertAlign w:val="superscript"/>
                <w:lang w:eastAsia="zh-CN"/>
              </w:rPr>
              <w:t>a</w:t>
            </w:r>
          </w:p>
        </w:tc>
        <w:tc>
          <w:tcPr>
            <w:tcW w:w="1805" w:type="dxa"/>
            <w:tcBorders>
              <w:top w:val="nil"/>
              <w:left w:val="nil"/>
              <w:bottom w:val="nil"/>
              <w:right w:val="nil"/>
            </w:tcBorders>
            <w:shd w:val="clear" w:color="auto" w:fill="auto"/>
            <w:noWrap/>
            <w:vAlign w:val="center"/>
            <w:hideMark/>
          </w:tcPr>
          <w:p w14:paraId="0CFF2A0D"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2.48(1.50-4.09)</w:t>
            </w:r>
            <w:r w:rsidRPr="003E0C02">
              <w:rPr>
                <w:rFonts w:ascii="Book Antiqua" w:hAnsi="Book Antiqua" w:cs="Calibri"/>
                <w:vertAlign w:val="superscript"/>
                <w:lang w:eastAsia="zh-CN"/>
              </w:rPr>
              <w:t>c</w:t>
            </w:r>
          </w:p>
        </w:tc>
      </w:tr>
      <w:tr w:rsidR="003E0C02" w:rsidRPr="003E0C02" w14:paraId="4A25D3D3" w14:textId="77777777" w:rsidTr="007D3146">
        <w:trPr>
          <w:trHeight w:val="315"/>
        </w:trPr>
        <w:tc>
          <w:tcPr>
            <w:tcW w:w="1275" w:type="dxa"/>
            <w:tcBorders>
              <w:top w:val="nil"/>
              <w:left w:val="nil"/>
              <w:bottom w:val="nil"/>
              <w:right w:val="nil"/>
            </w:tcBorders>
            <w:shd w:val="clear" w:color="auto" w:fill="auto"/>
            <w:noWrap/>
            <w:vAlign w:val="center"/>
            <w:hideMark/>
          </w:tcPr>
          <w:p w14:paraId="08565ED9" w14:textId="77777777" w:rsidR="000A5135" w:rsidRPr="003E0C02" w:rsidRDefault="000A5135"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Male</w:t>
            </w:r>
          </w:p>
        </w:tc>
        <w:tc>
          <w:tcPr>
            <w:tcW w:w="595" w:type="dxa"/>
            <w:tcBorders>
              <w:top w:val="nil"/>
              <w:left w:val="nil"/>
              <w:bottom w:val="nil"/>
              <w:right w:val="nil"/>
            </w:tcBorders>
            <w:shd w:val="clear" w:color="auto" w:fill="auto"/>
            <w:noWrap/>
            <w:vAlign w:val="center"/>
            <w:hideMark/>
          </w:tcPr>
          <w:p w14:paraId="74817276"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11</w:t>
            </w:r>
          </w:p>
        </w:tc>
        <w:tc>
          <w:tcPr>
            <w:tcW w:w="938" w:type="dxa"/>
            <w:tcBorders>
              <w:top w:val="nil"/>
              <w:left w:val="nil"/>
              <w:bottom w:val="nil"/>
              <w:right w:val="nil"/>
            </w:tcBorders>
            <w:shd w:val="clear" w:color="auto" w:fill="auto"/>
            <w:noWrap/>
            <w:vAlign w:val="center"/>
            <w:hideMark/>
          </w:tcPr>
          <w:p w14:paraId="25110B96"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2905 </w:t>
            </w:r>
          </w:p>
        </w:tc>
        <w:tc>
          <w:tcPr>
            <w:tcW w:w="596" w:type="dxa"/>
            <w:tcBorders>
              <w:top w:val="nil"/>
              <w:left w:val="nil"/>
              <w:bottom w:val="nil"/>
              <w:right w:val="nil"/>
            </w:tcBorders>
            <w:shd w:val="clear" w:color="auto" w:fill="auto"/>
            <w:noWrap/>
            <w:vAlign w:val="center"/>
            <w:hideMark/>
          </w:tcPr>
          <w:p w14:paraId="19F63091"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3.79</w:t>
            </w:r>
          </w:p>
        </w:tc>
        <w:tc>
          <w:tcPr>
            <w:tcW w:w="683" w:type="dxa"/>
            <w:tcBorders>
              <w:top w:val="nil"/>
              <w:left w:val="nil"/>
              <w:bottom w:val="nil"/>
              <w:right w:val="nil"/>
            </w:tcBorders>
            <w:shd w:val="clear" w:color="auto" w:fill="auto"/>
            <w:noWrap/>
            <w:vAlign w:val="center"/>
            <w:hideMark/>
          </w:tcPr>
          <w:p w14:paraId="14B1F190"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24</w:t>
            </w:r>
          </w:p>
        </w:tc>
        <w:tc>
          <w:tcPr>
            <w:tcW w:w="1158" w:type="dxa"/>
            <w:tcBorders>
              <w:top w:val="nil"/>
              <w:left w:val="nil"/>
              <w:bottom w:val="nil"/>
              <w:right w:val="nil"/>
            </w:tcBorders>
            <w:shd w:val="clear" w:color="auto" w:fill="auto"/>
            <w:noWrap/>
            <w:vAlign w:val="center"/>
            <w:hideMark/>
          </w:tcPr>
          <w:p w14:paraId="098CCE59"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5588 </w:t>
            </w:r>
          </w:p>
        </w:tc>
        <w:tc>
          <w:tcPr>
            <w:tcW w:w="851" w:type="dxa"/>
            <w:tcBorders>
              <w:top w:val="nil"/>
              <w:left w:val="nil"/>
              <w:bottom w:val="nil"/>
              <w:right w:val="nil"/>
            </w:tcBorders>
            <w:shd w:val="clear" w:color="auto" w:fill="auto"/>
            <w:noWrap/>
            <w:vAlign w:val="center"/>
            <w:hideMark/>
          </w:tcPr>
          <w:p w14:paraId="79D4E62C"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4.29</w:t>
            </w:r>
          </w:p>
        </w:tc>
        <w:tc>
          <w:tcPr>
            <w:tcW w:w="1701" w:type="dxa"/>
            <w:tcBorders>
              <w:top w:val="nil"/>
              <w:left w:val="nil"/>
              <w:bottom w:val="nil"/>
              <w:right w:val="nil"/>
            </w:tcBorders>
            <w:shd w:val="clear" w:color="auto" w:fill="auto"/>
            <w:noWrap/>
            <w:vAlign w:val="center"/>
            <w:hideMark/>
          </w:tcPr>
          <w:p w14:paraId="778F2EE0"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1.24(0.60-2.55)</w:t>
            </w:r>
          </w:p>
        </w:tc>
        <w:tc>
          <w:tcPr>
            <w:tcW w:w="1805" w:type="dxa"/>
            <w:tcBorders>
              <w:top w:val="nil"/>
              <w:left w:val="nil"/>
              <w:bottom w:val="nil"/>
              <w:right w:val="nil"/>
            </w:tcBorders>
            <w:shd w:val="clear" w:color="auto" w:fill="auto"/>
            <w:noWrap/>
            <w:vAlign w:val="center"/>
            <w:hideMark/>
          </w:tcPr>
          <w:p w14:paraId="4B06422F"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2.04(0.89-4.70)</w:t>
            </w:r>
          </w:p>
        </w:tc>
      </w:tr>
      <w:tr w:rsidR="003E0C02" w:rsidRPr="003E0C02" w14:paraId="25041CC9" w14:textId="77777777" w:rsidTr="007D3146">
        <w:trPr>
          <w:trHeight w:val="315"/>
        </w:trPr>
        <w:tc>
          <w:tcPr>
            <w:tcW w:w="9602" w:type="dxa"/>
            <w:gridSpan w:val="9"/>
            <w:tcBorders>
              <w:top w:val="nil"/>
              <w:left w:val="nil"/>
              <w:bottom w:val="nil"/>
              <w:right w:val="nil"/>
            </w:tcBorders>
            <w:shd w:val="clear" w:color="auto" w:fill="auto"/>
            <w:noWrap/>
            <w:vAlign w:val="center"/>
            <w:hideMark/>
          </w:tcPr>
          <w:p w14:paraId="283C1BD2" w14:textId="77777777" w:rsidR="000A5135" w:rsidRPr="003E0C02" w:rsidRDefault="007D3146"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Age group, y</w:t>
            </w:r>
            <w:r w:rsidR="000A5135" w:rsidRPr="003E0C02">
              <w:rPr>
                <w:rFonts w:ascii="Book Antiqua" w:hAnsi="Book Antiqua" w:cs="Calibri"/>
                <w:bCs/>
              </w:rPr>
              <w:t>r</w:t>
            </w:r>
          </w:p>
        </w:tc>
      </w:tr>
      <w:tr w:rsidR="003E0C02" w:rsidRPr="003E0C02" w14:paraId="57BD1584" w14:textId="77777777" w:rsidTr="007D3146">
        <w:trPr>
          <w:trHeight w:val="315"/>
        </w:trPr>
        <w:tc>
          <w:tcPr>
            <w:tcW w:w="1275" w:type="dxa"/>
            <w:tcBorders>
              <w:top w:val="nil"/>
              <w:left w:val="nil"/>
              <w:bottom w:val="nil"/>
              <w:right w:val="nil"/>
            </w:tcBorders>
            <w:shd w:val="clear" w:color="auto" w:fill="auto"/>
            <w:vAlign w:val="center"/>
            <w:hideMark/>
          </w:tcPr>
          <w:p w14:paraId="29D1082A" w14:textId="77777777" w:rsidR="000A5135" w:rsidRPr="003E0C02" w:rsidRDefault="007D3146"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20-29 y</w:t>
            </w:r>
            <w:r w:rsidR="000A5135" w:rsidRPr="003E0C02">
              <w:rPr>
                <w:rFonts w:ascii="Book Antiqua" w:hAnsi="Book Antiqua" w:cs="Calibri"/>
              </w:rPr>
              <w:t>r</w:t>
            </w:r>
          </w:p>
        </w:tc>
        <w:tc>
          <w:tcPr>
            <w:tcW w:w="595" w:type="dxa"/>
            <w:tcBorders>
              <w:top w:val="nil"/>
              <w:left w:val="nil"/>
              <w:bottom w:val="nil"/>
              <w:right w:val="nil"/>
            </w:tcBorders>
            <w:shd w:val="clear" w:color="auto" w:fill="auto"/>
            <w:noWrap/>
            <w:vAlign w:val="center"/>
            <w:hideMark/>
          </w:tcPr>
          <w:p w14:paraId="5332EF20"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4</w:t>
            </w:r>
          </w:p>
        </w:tc>
        <w:tc>
          <w:tcPr>
            <w:tcW w:w="938" w:type="dxa"/>
            <w:tcBorders>
              <w:top w:val="nil"/>
              <w:left w:val="nil"/>
              <w:bottom w:val="nil"/>
              <w:right w:val="nil"/>
            </w:tcBorders>
            <w:shd w:val="clear" w:color="auto" w:fill="auto"/>
            <w:noWrap/>
            <w:vAlign w:val="center"/>
            <w:hideMark/>
          </w:tcPr>
          <w:p w14:paraId="640C7D7B"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1386 </w:t>
            </w:r>
          </w:p>
        </w:tc>
        <w:tc>
          <w:tcPr>
            <w:tcW w:w="596" w:type="dxa"/>
            <w:tcBorders>
              <w:top w:val="nil"/>
              <w:left w:val="nil"/>
              <w:bottom w:val="nil"/>
              <w:right w:val="nil"/>
            </w:tcBorders>
            <w:shd w:val="clear" w:color="auto" w:fill="auto"/>
            <w:noWrap/>
            <w:vAlign w:val="center"/>
            <w:hideMark/>
          </w:tcPr>
          <w:p w14:paraId="4E36D63D"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2.89</w:t>
            </w:r>
          </w:p>
        </w:tc>
        <w:tc>
          <w:tcPr>
            <w:tcW w:w="683" w:type="dxa"/>
            <w:tcBorders>
              <w:top w:val="nil"/>
              <w:left w:val="nil"/>
              <w:bottom w:val="nil"/>
              <w:right w:val="nil"/>
            </w:tcBorders>
            <w:shd w:val="clear" w:color="auto" w:fill="auto"/>
            <w:noWrap/>
            <w:vAlign w:val="center"/>
            <w:hideMark/>
          </w:tcPr>
          <w:p w14:paraId="28C5B3FC"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84</w:t>
            </w:r>
          </w:p>
        </w:tc>
        <w:tc>
          <w:tcPr>
            <w:tcW w:w="1158" w:type="dxa"/>
            <w:tcBorders>
              <w:top w:val="nil"/>
              <w:left w:val="nil"/>
              <w:bottom w:val="nil"/>
              <w:right w:val="nil"/>
            </w:tcBorders>
            <w:shd w:val="clear" w:color="auto" w:fill="auto"/>
            <w:noWrap/>
            <w:vAlign w:val="center"/>
            <w:hideMark/>
          </w:tcPr>
          <w:p w14:paraId="43968B83"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7825 </w:t>
            </w:r>
          </w:p>
        </w:tc>
        <w:tc>
          <w:tcPr>
            <w:tcW w:w="851" w:type="dxa"/>
            <w:tcBorders>
              <w:top w:val="nil"/>
              <w:left w:val="nil"/>
              <w:bottom w:val="nil"/>
              <w:right w:val="nil"/>
            </w:tcBorders>
            <w:shd w:val="clear" w:color="auto" w:fill="auto"/>
            <w:noWrap/>
            <w:vAlign w:val="center"/>
            <w:hideMark/>
          </w:tcPr>
          <w:p w14:paraId="0172E69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10.73</w:t>
            </w:r>
          </w:p>
        </w:tc>
        <w:tc>
          <w:tcPr>
            <w:tcW w:w="1701" w:type="dxa"/>
            <w:tcBorders>
              <w:top w:val="nil"/>
              <w:left w:val="nil"/>
              <w:bottom w:val="nil"/>
              <w:right w:val="nil"/>
            </w:tcBorders>
            <w:shd w:val="clear" w:color="auto" w:fill="auto"/>
            <w:noWrap/>
            <w:vAlign w:val="bottom"/>
            <w:hideMark/>
          </w:tcPr>
          <w:p w14:paraId="300461E8"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3.11(1.14-8.54)</w:t>
            </w:r>
            <w:r w:rsidRPr="003E0C02">
              <w:rPr>
                <w:rFonts w:ascii="Book Antiqua" w:hAnsi="Book Antiqua" w:cs="Calibri"/>
                <w:vertAlign w:val="superscript"/>
                <w:lang w:eastAsia="zh-CN"/>
              </w:rPr>
              <w:t>a</w:t>
            </w:r>
          </w:p>
        </w:tc>
        <w:tc>
          <w:tcPr>
            <w:tcW w:w="1805" w:type="dxa"/>
            <w:tcBorders>
              <w:top w:val="nil"/>
              <w:left w:val="nil"/>
              <w:bottom w:val="nil"/>
              <w:right w:val="nil"/>
            </w:tcBorders>
            <w:shd w:val="clear" w:color="auto" w:fill="auto"/>
            <w:vAlign w:val="center"/>
            <w:hideMark/>
          </w:tcPr>
          <w:p w14:paraId="332CC638"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3.83(1.13-12.99)</w:t>
            </w:r>
            <w:r w:rsidRPr="003E0C02">
              <w:rPr>
                <w:rFonts w:ascii="Book Antiqua" w:hAnsi="Book Antiqua" w:cs="Calibri"/>
                <w:vertAlign w:val="superscript"/>
                <w:lang w:eastAsia="zh-CN"/>
              </w:rPr>
              <w:t>a</w:t>
            </w:r>
          </w:p>
        </w:tc>
      </w:tr>
      <w:tr w:rsidR="003E0C02" w:rsidRPr="003E0C02" w14:paraId="5BCF87E2" w14:textId="77777777" w:rsidTr="007D3146">
        <w:trPr>
          <w:trHeight w:val="315"/>
        </w:trPr>
        <w:tc>
          <w:tcPr>
            <w:tcW w:w="1275" w:type="dxa"/>
            <w:tcBorders>
              <w:top w:val="nil"/>
              <w:left w:val="nil"/>
              <w:bottom w:val="nil"/>
              <w:right w:val="nil"/>
            </w:tcBorders>
            <w:shd w:val="clear" w:color="auto" w:fill="auto"/>
            <w:vAlign w:val="center"/>
            <w:hideMark/>
          </w:tcPr>
          <w:p w14:paraId="0BEF4FDF" w14:textId="77777777" w:rsidR="000A5135" w:rsidRPr="003E0C02" w:rsidRDefault="007D3146"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30-64 y</w:t>
            </w:r>
            <w:r w:rsidR="000A5135" w:rsidRPr="003E0C02">
              <w:rPr>
                <w:rFonts w:ascii="Book Antiqua" w:hAnsi="Book Antiqua" w:cs="Calibri"/>
              </w:rPr>
              <w:t>r</w:t>
            </w:r>
          </w:p>
        </w:tc>
        <w:tc>
          <w:tcPr>
            <w:tcW w:w="595" w:type="dxa"/>
            <w:tcBorders>
              <w:top w:val="nil"/>
              <w:left w:val="nil"/>
              <w:bottom w:val="nil"/>
              <w:right w:val="nil"/>
            </w:tcBorders>
            <w:shd w:val="clear" w:color="auto" w:fill="auto"/>
            <w:noWrap/>
            <w:vAlign w:val="center"/>
            <w:hideMark/>
          </w:tcPr>
          <w:p w14:paraId="76D7D0CF"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27</w:t>
            </w:r>
          </w:p>
        </w:tc>
        <w:tc>
          <w:tcPr>
            <w:tcW w:w="938" w:type="dxa"/>
            <w:tcBorders>
              <w:top w:val="nil"/>
              <w:left w:val="nil"/>
              <w:bottom w:val="nil"/>
              <w:right w:val="nil"/>
            </w:tcBorders>
            <w:shd w:val="clear" w:color="auto" w:fill="auto"/>
            <w:noWrap/>
            <w:vAlign w:val="center"/>
            <w:hideMark/>
          </w:tcPr>
          <w:p w14:paraId="50729B3F"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4341 </w:t>
            </w:r>
          </w:p>
        </w:tc>
        <w:tc>
          <w:tcPr>
            <w:tcW w:w="596" w:type="dxa"/>
            <w:tcBorders>
              <w:top w:val="nil"/>
              <w:left w:val="nil"/>
              <w:bottom w:val="nil"/>
              <w:right w:val="nil"/>
            </w:tcBorders>
            <w:shd w:val="clear" w:color="auto" w:fill="auto"/>
            <w:noWrap/>
            <w:vAlign w:val="center"/>
            <w:hideMark/>
          </w:tcPr>
          <w:p w14:paraId="57BA981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6.22</w:t>
            </w:r>
          </w:p>
        </w:tc>
        <w:tc>
          <w:tcPr>
            <w:tcW w:w="683" w:type="dxa"/>
            <w:tcBorders>
              <w:top w:val="nil"/>
              <w:left w:val="nil"/>
              <w:bottom w:val="nil"/>
              <w:right w:val="nil"/>
            </w:tcBorders>
            <w:shd w:val="clear" w:color="auto" w:fill="auto"/>
            <w:noWrap/>
            <w:vAlign w:val="center"/>
            <w:hideMark/>
          </w:tcPr>
          <w:p w14:paraId="2C690917"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99</w:t>
            </w:r>
          </w:p>
        </w:tc>
        <w:tc>
          <w:tcPr>
            <w:tcW w:w="1158" w:type="dxa"/>
            <w:tcBorders>
              <w:top w:val="nil"/>
              <w:left w:val="nil"/>
              <w:bottom w:val="nil"/>
              <w:right w:val="nil"/>
            </w:tcBorders>
            <w:shd w:val="clear" w:color="auto" w:fill="auto"/>
            <w:noWrap/>
            <w:vAlign w:val="center"/>
            <w:hideMark/>
          </w:tcPr>
          <w:p w14:paraId="548E7851"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8446 </w:t>
            </w:r>
          </w:p>
        </w:tc>
        <w:tc>
          <w:tcPr>
            <w:tcW w:w="851" w:type="dxa"/>
            <w:tcBorders>
              <w:top w:val="nil"/>
              <w:left w:val="nil"/>
              <w:bottom w:val="nil"/>
              <w:right w:val="nil"/>
            </w:tcBorders>
            <w:shd w:val="clear" w:color="auto" w:fill="auto"/>
            <w:noWrap/>
            <w:vAlign w:val="center"/>
            <w:hideMark/>
          </w:tcPr>
          <w:p w14:paraId="78AAA7C5"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11.72</w:t>
            </w:r>
          </w:p>
        </w:tc>
        <w:tc>
          <w:tcPr>
            <w:tcW w:w="1701" w:type="dxa"/>
            <w:tcBorders>
              <w:top w:val="nil"/>
              <w:left w:val="nil"/>
              <w:bottom w:val="nil"/>
              <w:right w:val="nil"/>
            </w:tcBorders>
            <w:shd w:val="clear" w:color="auto" w:fill="auto"/>
            <w:noWrap/>
            <w:vAlign w:val="center"/>
            <w:hideMark/>
          </w:tcPr>
          <w:p w14:paraId="45F3236E"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1.81(1.18-2.79)</w:t>
            </w:r>
            <w:r w:rsidRPr="003E0C02">
              <w:rPr>
                <w:rFonts w:ascii="Book Antiqua" w:hAnsi="Book Antiqua" w:cs="Calibri"/>
                <w:vertAlign w:val="superscript"/>
                <w:lang w:eastAsia="zh-CN"/>
              </w:rPr>
              <w:t>b</w:t>
            </w:r>
          </w:p>
        </w:tc>
        <w:tc>
          <w:tcPr>
            <w:tcW w:w="1805" w:type="dxa"/>
            <w:tcBorders>
              <w:top w:val="nil"/>
              <w:left w:val="nil"/>
              <w:bottom w:val="nil"/>
              <w:right w:val="nil"/>
            </w:tcBorders>
            <w:shd w:val="clear" w:color="auto" w:fill="auto"/>
            <w:vAlign w:val="center"/>
            <w:hideMark/>
          </w:tcPr>
          <w:p w14:paraId="1BA31E56" w14:textId="77777777" w:rsidR="000A5135"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rPr>
              <w:t>2.37(1.45-3.88)</w:t>
            </w:r>
            <w:r w:rsidRPr="003E0C02">
              <w:rPr>
                <w:rFonts w:ascii="Book Antiqua" w:hAnsi="Book Antiqua" w:cs="Calibri"/>
                <w:vertAlign w:val="superscript"/>
                <w:lang w:eastAsia="zh-CN"/>
              </w:rPr>
              <w:t>c</w:t>
            </w:r>
          </w:p>
        </w:tc>
      </w:tr>
      <w:tr w:rsidR="003E0C02" w:rsidRPr="003E0C02" w14:paraId="595A883F" w14:textId="77777777" w:rsidTr="007D3146">
        <w:trPr>
          <w:trHeight w:val="330"/>
        </w:trPr>
        <w:tc>
          <w:tcPr>
            <w:tcW w:w="1275" w:type="dxa"/>
            <w:tcBorders>
              <w:top w:val="nil"/>
              <w:left w:val="nil"/>
              <w:bottom w:val="single" w:sz="8" w:space="0" w:color="auto"/>
              <w:right w:val="nil"/>
            </w:tcBorders>
            <w:shd w:val="clear" w:color="auto" w:fill="auto"/>
            <w:vAlign w:val="center"/>
            <w:hideMark/>
          </w:tcPr>
          <w:p w14:paraId="439CBD3F" w14:textId="77777777" w:rsidR="000A5135" w:rsidRPr="003E0C02" w:rsidRDefault="007D3146" w:rsidP="003E0C02">
            <w:pPr>
              <w:adjustRightInd w:val="0"/>
              <w:snapToGrid w:val="0"/>
              <w:spacing w:line="360" w:lineRule="auto"/>
              <w:ind w:firstLineChars="50" w:firstLine="120"/>
              <w:jc w:val="both"/>
              <w:rPr>
                <w:rFonts w:ascii="Book Antiqua" w:hAnsi="Book Antiqua" w:cs="Calibri"/>
                <w:lang w:eastAsia="zh-CN"/>
              </w:rPr>
            </w:pPr>
            <w:r w:rsidRPr="003E0C02">
              <w:rPr>
                <w:rFonts w:ascii="Book Antiqua" w:hAnsi="Book Antiqua" w:cs="Calibri"/>
              </w:rPr>
              <w:t>65-100 y</w:t>
            </w:r>
            <w:r w:rsidR="000A5135" w:rsidRPr="003E0C02">
              <w:rPr>
                <w:rFonts w:ascii="Book Antiqua" w:hAnsi="Book Antiqua" w:cs="Calibri"/>
              </w:rPr>
              <w:t>r</w:t>
            </w:r>
          </w:p>
        </w:tc>
        <w:tc>
          <w:tcPr>
            <w:tcW w:w="595" w:type="dxa"/>
            <w:tcBorders>
              <w:top w:val="nil"/>
              <w:left w:val="nil"/>
              <w:bottom w:val="single" w:sz="8" w:space="0" w:color="auto"/>
              <w:right w:val="nil"/>
            </w:tcBorders>
            <w:shd w:val="clear" w:color="auto" w:fill="auto"/>
            <w:noWrap/>
            <w:vAlign w:val="center"/>
            <w:hideMark/>
          </w:tcPr>
          <w:p w14:paraId="6F14F30D"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7</w:t>
            </w:r>
          </w:p>
        </w:tc>
        <w:tc>
          <w:tcPr>
            <w:tcW w:w="938" w:type="dxa"/>
            <w:tcBorders>
              <w:top w:val="nil"/>
              <w:left w:val="nil"/>
              <w:bottom w:val="single" w:sz="8" w:space="0" w:color="auto"/>
              <w:right w:val="nil"/>
            </w:tcBorders>
            <w:shd w:val="clear" w:color="auto" w:fill="auto"/>
            <w:noWrap/>
            <w:vAlign w:val="center"/>
            <w:hideMark/>
          </w:tcPr>
          <w:p w14:paraId="11BD1969"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632 </w:t>
            </w:r>
          </w:p>
        </w:tc>
        <w:tc>
          <w:tcPr>
            <w:tcW w:w="596" w:type="dxa"/>
            <w:tcBorders>
              <w:top w:val="nil"/>
              <w:left w:val="nil"/>
              <w:bottom w:val="single" w:sz="8" w:space="0" w:color="auto"/>
              <w:right w:val="nil"/>
            </w:tcBorders>
            <w:shd w:val="clear" w:color="auto" w:fill="auto"/>
            <w:noWrap/>
            <w:vAlign w:val="center"/>
            <w:hideMark/>
          </w:tcPr>
          <w:p w14:paraId="1E8482F9"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11.07</w:t>
            </w:r>
          </w:p>
        </w:tc>
        <w:tc>
          <w:tcPr>
            <w:tcW w:w="683" w:type="dxa"/>
            <w:tcBorders>
              <w:top w:val="nil"/>
              <w:left w:val="nil"/>
              <w:bottom w:val="single" w:sz="8" w:space="0" w:color="auto"/>
              <w:right w:val="nil"/>
            </w:tcBorders>
            <w:shd w:val="clear" w:color="auto" w:fill="auto"/>
            <w:noWrap/>
            <w:vAlign w:val="center"/>
            <w:hideMark/>
          </w:tcPr>
          <w:p w14:paraId="5CA15C47"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0</w:t>
            </w:r>
          </w:p>
        </w:tc>
        <w:tc>
          <w:tcPr>
            <w:tcW w:w="1158" w:type="dxa"/>
            <w:tcBorders>
              <w:top w:val="nil"/>
              <w:left w:val="nil"/>
              <w:bottom w:val="single" w:sz="8" w:space="0" w:color="auto"/>
              <w:right w:val="nil"/>
            </w:tcBorders>
            <w:shd w:val="clear" w:color="auto" w:fill="auto"/>
            <w:noWrap/>
            <w:vAlign w:val="center"/>
            <w:hideMark/>
          </w:tcPr>
          <w:p w14:paraId="355DF71F"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 xml:space="preserve">6 </w:t>
            </w:r>
          </w:p>
        </w:tc>
        <w:tc>
          <w:tcPr>
            <w:tcW w:w="851" w:type="dxa"/>
            <w:tcBorders>
              <w:top w:val="nil"/>
              <w:left w:val="nil"/>
              <w:bottom w:val="single" w:sz="8" w:space="0" w:color="auto"/>
              <w:right w:val="nil"/>
            </w:tcBorders>
            <w:shd w:val="clear" w:color="auto" w:fill="auto"/>
            <w:noWrap/>
            <w:vAlign w:val="center"/>
            <w:hideMark/>
          </w:tcPr>
          <w:p w14:paraId="70DE263E"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0</w:t>
            </w:r>
          </w:p>
        </w:tc>
        <w:tc>
          <w:tcPr>
            <w:tcW w:w="1701" w:type="dxa"/>
            <w:tcBorders>
              <w:top w:val="nil"/>
              <w:left w:val="nil"/>
              <w:bottom w:val="single" w:sz="8" w:space="0" w:color="auto"/>
              <w:right w:val="nil"/>
            </w:tcBorders>
            <w:shd w:val="clear" w:color="auto" w:fill="auto"/>
            <w:noWrap/>
            <w:vAlign w:val="center"/>
            <w:hideMark/>
          </w:tcPr>
          <w:p w14:paraId="156E0B64"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c>
          <w:tcPr>
            <w:tcW w:w="1805" w:type="dxa"/>
            <w:tcBorders>
              <w:top w:val="nil"/>
              <w:left w:val="nil"/>
              <w:bottom w:val="single" w:sz="8" w:space="0" w:color="auto"/>
              <w:right w:val="nil"/>
            </w:tcBorders>
            <w:shd w:val="clear" w:color="auto" w:fill="auto"/>
            <w:vAlign w:val="center"/>
            <w:hideMark/>
          </w:tcPr>
          <w:p w14:paraId="39B7C056" w14:textId="77777777" w:rsidR="000A5135" w:rsidRPr="003E0C02" w:rsidRDefault="000A5135" w:rsidP="003E0C02">
            <w:pPr>
              <w:adjustRightInd w:val="0"/>
              <w:snapToGrid w:val="0"/>
              <w:spacing w:line="360" w:lineRule="auto"/>
              <w:jc w:val="both"/>
              <w:rPr>
                <w:rFonts w:ascii="Book Antiqua" w:hAnsi="Book Antiqua" w:cs="Calibri"/>
              </w:rPr>
            </w:pPr>
            <w:r w:rsidRPr="003E0C02">
              <w:rPr>
                <w:rFonts w:ascii="Book Antiqua" w:hAnsi="Book Antiqua" w:cs="Calibri"/>
              </w:rPr>
              <w:t>-</w:t>
            </w:r>
          </w:p>
        </w:tc>
      </w:tr>
    </w:tbl>
    <w:p w14:paraId="0129AD09" w14:textId="55763DC5" w:rsidR="009E3CAE" w:rsidRPr="003E0C02" w:rsidRDefault="000A5135" w:rsidP="003E0C02">
      <w:pPr>
        <w:adjustRightInd w:val="0"/>
        <w:snapToGrid w:val="0"/>
        <w:spacing w:line="360" w:lineRule="auto"/>
        <w:jc w:val="both"/>
        <w:rPr>
          <w:rFonts w:ascii="Book Antiqua" w:hAnsi="Book Antiqua" w:cs="Calibri"/>
          <w:lang w:eastAsia="zh-CN"/>
        </w:rPr>
      </w:pPr>
      <w:r w:rsidRPr="003E0C02">
        <w:rPr>
          <w:rFonts w:ascii="Book Antiqua" w:hAnsi="Book Antiqua" w:cs="Calibri"/>
          <w:vertAlign w:val="superscript"/>
          <w:lang w:eastAsia="zh-CN"/>
        </w:rPr>
        <w:t>1</w:t>
      </w:r>
      <w:r w:rsidRPr="003E0C02">
        <w:rPr>
          <w:rFonts w:ascii="Book Antiqua" w:eastAsia="DFKai-SB" w:hAnsi="Book Antiqua" w:cs="Calibri"/>
        </w:rPr>
        <w:t>IR</w:t>
      </w:r>
      <w:r w:rsidRPr="003E0C02">
        <w:rPr>
          <w:rFonts w:ascii="Book Antiqua" w:hAnsi="Book Antiqua" w:cs="Calibri"/>
          <w:lang w:eastAsia="zh-CN"/>
        </w:rPr>
        <w:t>:</w:t>
      </w:r>
      <w:r w:rsidRPr="003E0C02">
        <w:rPr>
          <w:rFonts w:ascii="Book Antiqua" w:eastAsia="DFKai-SB" w:hAnsi="Book Antiqua" w:cs="Calibri"/>
        </w:rPr>
        <w:t xml:space="preserve"> </w:t>
      </w:r>
      <w:r w:rsidRPr="003E0C02">
        <w:rPr>
          <w:rFonts w:ascii="Book Antiqua" w:hAnsi="Book Antiqua" w:cs="Calibri"/>
          <w:lang w:eastAsia="zh-CN"/>
        </w:rPr>
        <w:t>I</w:t>
      </w:r>
      <w:r w:rsidRPr="003E0C02">
        <w:rPr>
          <w:rFonts w:ascii="Book Antiqua" w:eastAsia="DFKai-SB" w:hAnsi="Book Antiqua" w:cs="Calibri"/>
        </w:rPr>
        <w:t xml:space="preserve">ncidence rates, per 1000 person-years; </w:t>
      </w:r>
      <w:r w:rsidRPr="003E0C02">
        <w:rPr>
          <w:rFonts w:ascii="Book Antiqua" w:hAnsi="Book Antiqua" w:cs="Calibri"/>
          <w:vertAlign w:val="superscript"/>
          <w:lang w:eastAsia="zh-CN"/>
        </w:rPr>
        <w:t>2</w:t>
      </w:r>
      <w:r w:rsidRPr="003E0C02">
        <w:rPr>
          <w:rFonts w:ascii="Book Antiqua" w:hAnsi="Book Antiqua" w:cs="Calibri"/>
          <w:lang w:eastAsia="zh-CN"/>
        </w:rPr>
        <w:t>R</w:t>
      </w:r>
      <w:r w:rsidRPr="003E0C02">
        <w:rPr>
          <w:rFonts w:ascii="Book Antiqua" w:eastAsia="DFKai-SB" w:hAnsi="Book Antiqua" w:cs="Calibri"/>
        </w:rPr>
        <w:t xml:space="preserve">epresented adjusted hazard ratio: </w:t>
      </w:r>
      <w:r w:rsidRPr="003E0C02">
        <w:rPr>
          <w:rFonts w:ascii="Book Antiqua" w:hAnsi="Book Antiqua" w:cs="Calibri"/>
          <w:lang w:eastAsia="zh-CN"/>
        </w:rPr>
        <w:t>M</w:t>
      </w:r>
      <w:r w:rsidRPr="003E0C02">
        <w:rPr>
          <w:rFonts w:ascii="Book Antiqua" w:eastAsia="DFKai-SB" w:hAnsi="Book Antiqua" w:cs="Calibri"/>
        </w:rPr>
        <w:t xml:space="preserve">utually adjusted for </w:t>
      </w:r>
      <w:r w:rsidR="00BB252B" w:rsidRPr="003E0C02">
        <w:rPr>
          <w:rFonts w:ascii="Book Antiqua" w:hAnsi="Book Antiqua" w:cs="Calibri"/>
          <w:bCs/>
        </w:rPr>
        <w:t xml:space="preserve">sex, age, receiving bariatric surgery, </w:t>
      </w:r>
      <w:r w:rsidR="00BB252B" w:rsidRPr="003E0C02">
        <w:rPr>
          <w:rFonts w:ascii="Book Antiqua" w:eastAsia="DFKai-SB" w:hAnsi="Book Antiqua" w:cs="Calibri"/>
        </w:rPr>
        <w:t xml:space="preserve">and </w:t>
      </w:r>
      <w:r w:rsidRPr="003E0C02">
        <w:rPr>
          <w:rFonts w:ascii="Book Antiqua" w:eastAsia="DFKai-SB" w:hAnsi="Book Antiqua" w:cs="Calibri"/>
        </w:rPr>
        <w:t xml:space="preserve">baseline comorbidities </w:t>
      </w:r>
      <w:r w:rsidR="00BB252B" w:rsidRPr="003E0C02">
        <w:rPr>
          <w:rFonts w:ascii="Book Antiqua" w:hAnsi="Book Antiqua" w:cs="Calibri"/>
          <w:bCs/>
        </w:rPr>
        <w:t xml:space="preserve">(as like tables) </w:t>
      </w:r>
      <w:r w:rsidRPr="003E0C02">
        <w:rPr>
          <w:rFonts w:ascii="Book Antiqua" w:eastAsia="DFKai-SB" w:hAnsi="Book Antiqua" w:cs="Calibri"/>
        </w:rPr>
        <w:t>in Cox proportional hazard regression.</w:t>
      </w:r>
      <w:r w:rsidR="00846E68" w:rsidRPr="003E0C02">
        <w:rPr>
          <w:rFonts w:ascii="Book Antiqua" w:eastAsia="DFKai-SB" w:hAnsi="Book Antiqua" w:cs="Calibri"/>
        </w:rPr>
        <w:br/>
      </w:r>
      <w:r w:rsidRPr="003E0C02">
        <w:rPr>
          <w:rFonts w:ascii="Book Antiqua" w:hAnsi="Book Antiqua" w:cs="Calibri"/>
          <w:lang w:eastAsia="zh-CN"/>
        </w:rPr>
        <w:t xml:space="preserve"> </w:t>
      </w:r>
      <w:proofErr w:type="spellStart"/>
      <w:r w:rsidRPr="003E0C02">
        <w:rPr>
          <w:rFonts w:ascii="Book Antiqua" w:hAnsi="Book Antiqua" w:cs="Calibri"/>
          <w:vertAlign w:val="superscript"/>
          <w:lang w:eastAsia="zh-CN"/>
        </w:rPr>
        <w:t>a</w:t>
      </w:r>
      <w:r w:rsidRPr="003E0C02">
        <w:rPr>
          <w:rFonts w:ascii="Book Antiqua" w:hAnsi="Book Antiqua" w:cs="Calibri"/>
          <w:i/>
          <w:lang w:eastAsia="zh-CN"/>
        </w:rPr>
        <w:t>P</w:t>
      </w:r>
      <w:proofErr w:type="spellEnd"/>
      <w:r w:rsidRPr="003E0C02">
        <w:rPr>
          <w:rFonts w:ascii="Book Antiqua" w:hAnsi="Book Antiqua" w:cs="Calibri"/>
          <w:lang w:eastAsia="zh-CN"/>
        </w:rPr>
        <w:t xml:space="preserve"> &lt; 0.05; </w:t>
      </w:r>
      <w:proofErr w:type="spellStart"/>
      <w:r w:rsidRPr="003E0C02">
        <w:rPr>
          <w:rFonts w:ascii="Book Antiqua" w:hAnsi="Book Antiqua" w:cs="Calibri"/>
          <w:vertAlign w:val="superscript"/>
          <w:lang w:eastAsia="zh-CN"/>
        </w:rPr>
        <w:t>b</w:t>
      </w:r>
      <w:r w:rsidRPr="003E0C02">
        <w:rPr>
          <w:rFonts w:ascii="Book Antiqua" w:hAnsi="Book Antiqua" w:cs="Calibri"/>
          <w:i/>
          <w:lang w:eastAsia="zh-CN"/>
        </w:rPr>
        <w:t>P</w:t>
      </w:r>
      <w:proofErr w:type="spellEnd"/>
      <w:r w:rsidRPr="003E0C02">
        <w:rPr>
          <w:rFonts w:ascii="Book Antiqua" w:hAnsi="Book Antiqua" w:cs="Calibri"/>
          <w:lang w:eastAsia="zh-CN"/>
        </w:rPr>
        <w:t xml:space="preserve"> &lt; 0.01; </w:t>
      </w:r>
      <w:proofErr w:type="spellStart"/>
      <w:r w:rsidRPr="003E0C02">
        <w:rPr>
          <w:rFonts w:ascii="Book Antiqua" w:hAnsi="Book Antiqua" w:cs="Calibri"/>
          <w:vertAlign w:val="superscript"/>
          <w:lang w:eastAsia="zh-CN"/>
        </w:rPr>
        <w:t>c</w:t>
      </w:r>
      <w:r w:rsidRPr="003E0C02">
        <w:rPr>
          <w:rFonts w:ascii="Book Antiqua" w:hAnsi="Book Antiqua" w:cs="Calibri"/>
          <w:i/>
          <w:lang w:eastAsia="zh-CN"/>
        </w:rPr>
        <w:t>P</w:t>
      </w:r>
      <w:proofErr w:type="spellEnd"/>
      <w:r w:rsidRPr="003E0C02">
        <w:rPr>
          <w:rFonts w:ascii="Book Antiqua" w:hAnsi="Book Antiqua" w:cs="Calibri"/>
          <w:i/>
          <w:lang w:eastAsia="zh-CN"/>
        </w:rPr>
        <w:t xml:space="preserve"> </w:t>
      </w:r>
      <w:r w:rsidRPr="003E0C02">
        <w:rPr>
          <w:rFonts w:ascii="Book Antiqua" w:hAnsi="Book Antiqua" w:cs="Calibri"/>
          <w:lang w:eastAsia="zh-CN"/>
        </w:rPr>
        <w:t>&lt; 0.001.</w:t>
      </w:r>
      <w:r w:rsidR="00C22172" w:rsidRPr="003E0C02">
        <w:rPr>
          <w:rFonts w:ascii="Book Antiqua" w:hAnsi="Book Antiqua" w:cs="Calibri"/>
          <w:lang w:eastAsia="zh-CN"/>
        </w:rPr>
        <w:t xml:space="preserve"> HR: Hazard ratio.</w:t>
      </w:r>
    </w:p>
    <w:p w14:paraId="36DFE512" w14:textId="342C9D89" w:rsidR="00AA1E93" w:rsidRPr="003E0C02" w:rsidRDefault="00AA1E93" w:rsidP="003E0C02">
      <w:pPr>
        <w:adjustRightInd w:val="0"/>
        <w:snapToGrid w:val="0"/>
        <w:spacing w:line="360" w:lineRule="auto"/>
        <w:jc w:val="both"/>
        <w:rPr>
          <w:rFonts w:ascii="Book Antiqua" w:eastAsia="DFKai-SB" w:hAnsi="Book Antiqua" w:cs="Calibri"/>
        </w:rPr>
      </w:pPr>
      <w:r w:rsidRPr="003E0C02">
        <w:rPr>
          <w:rFonts w:ascii="Book Antiqua" w:eastAsia="DFKai-SB" w:hAnsi="Book Antiqua" w:cs="Calibri"/>
        </w:rPr>
        <w:br w:type="page"/>
      </w:r>
      <w:r w:rsidR="00E92595" w:rsidRPr="003E0C02">
        <w:rPr>
          <w:rFonts w:ascii="Book Antiqua" w:hAnsi="Book Antiqua" w:cs="Calibri"/>
          <w:b/>
          <w:bCs/>
        </w:rPr>
        <w:lastRenderedPageBreak/>
        <w:t xml:space="preserve">Table 4 Cox model with </w:t>
      </w:r>
      <w:r w:rsidR="00B94EDC" w:rsidRPr="003E0C02">
        <w:rPr>
          <w:rFonts w:ascii="Book Antiqua" w:hAnsi="Book Antiqua" w:cs="Calibri"/>
          <w:b/>
          <w:bCs/>
        </w:rPr>
        <w:t>hazard ratio</w:t>
      </w:r>
      <w:r w:rsidR="00E92595" w:rsidRPr="003E0C02">
        <w:rPr>
          <w:rFonts w:ascii="Book Antiqua" w:hAnsi="Book Antiqua" w:cs="Calibri"/>
          <w:b/>
          <w:bCs/>
        </w:rPr>
        <w:t xml:space="preserve"> and 95%</w:t>
      </w:r>
      <w:r w:rsidR="00C22172" w:rsidRPr="003E0C02">
        <w:rPr>
          <w:rFonts w:ascii="Book Antiqua" w:hAnsi="Book Antiqua" w:cs="Calibri"/>
          <w:b/>
          <w:bCs/>
        </w:rPr>
        <w:t xml:space="preserve"> confidence intervals</w:t>
      </w:r>
      <w:r w:rsidR="00E92595" w:rsidRPr="003E0C02">
        <w:rPr>
          <w:rFonts w:ascii="Book Antiqua" w:hAnsi="Book Antiqua" w:cs="Calibri"/>
          <w:b/>
          <w:bCs/>
        </w:rPr>
        <w:t xml:space="preserve"> of anemia associated with receiving malabsorptive procedures or restrictive procedures among morbid</w:t>
      </w:r>
      <w:r w:rsidR="00C22172" w:rsidRPr="003E0C02">
        <w:rPr>
          <w:rFonts w:ascii="Book Antiqua" w:hAnsi="Book Antiqua" w:cs="Calibri"/>
          <w:b/>
          <w:bCs/>
        </w:rPr>
        <w:t>ly</w:t>
      </w:r>
      <w:r w:rsidR="00E92595" w:rsidRPr="003E0C02">
        <w:rPr>
          <w:rFonts w:ascii="Book Antiqua" w:hAnsi="Book Antiqua" w:cs="Calibri"/>
          <w:b/>
          <w:bCs/>
        </w:rPr>
        <w:t xml:space="preserve"> obese patients</w:t>
      </w:r>
    </w:p>
    <w:tbl>
      <w:tblPr>
        <w:tblW w:w="0" w:type="auto"/>
        <w:tblInd w:w="28" w:type="dxa"/>
        <w:tblCellMar>
          <w:left w:w="28" w:type="dxa"/>
          <w:right w:w="28" w:type="dxa"/>
        </w:tblCellMar>
        <w:tblLook w:val="04A0" w:firstRow="1" w:lastRow="0" w:firstColumn="1" w:lastColumn="0" w:noHBand="0" w:noVBand="1"/>
      </w:tblPr>
      <w:tblGrid>
        <w:gridCol w:w="1305"/>
        <w:gridCol w:w="1529"/>
        <w:gridCol w:w="680"/>
        <w:gridCol w:w="1511"/>
        <w:gridCol w:w="1226"/>
        <w:gridCol w:w="619"/>
        <w:gridCol w:w="1453"/>
        <w:gridCol w:w="1065"/>
      </w:tblGrid>
      <w:tr w:rsidR="003E0C02" w:rsidRPr="003E0C02" w14:paraId="2B317FB2" w14:textId="77777777" w:rsidTr="00B85B8F">
        <w:trPr>
          <w:trHeight w:val="330"/>
        </w:trPr>
        <w:tc>
          <w:tcPr>
            <w:tcW w:w="0" w:type="auto"/>
            <w:vMerge w:val="restart"/>
            <w:tcBorders>
              <w:top w:val="single" w:sz="4" w:space="0" w:color="auto"/>
              <w:left w:val="nil"/>
              <w:bottom w:val="single" w:sz="4" w:space="0" w:color="auto"/>
              <w:right w:val="nil"/>
            </w:tcBorders>
            <w:shd w:val="clear" w:color="auto" w:fill="auto"/>
            <w:vAlign w:val="center"/>
            <w:hideMark/>
          </w:tcPr>
          <w:p w14:paraId="4663C339"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Variable</w:t>
            </w:r>
          </w:p>
        </w:tc>
        <w:tc>
          <w:tcPr>
            <w:tcW w:w="0" w:type="auto"/>
            <w:tcBorders>
              <w:top w:val="single" w:sz="4" w:space="0" w:color="auto"/>
              <w:left w:val="nil"/>
              <w:bottom w:val="single" w:sz="4" w:space="0" w:color="auto"/>
              <w:right w:val="nil"/>
            </w:tcBorders>
            <w:shd w:val="clear" w:color="auto" w:fill="auto"/>
            <w:vAlign w:val="center"/>
            <w:hideMark/>
          </w:tcPr>
          <w:p w14:paraId="7C454549"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Anemia</w:t>
            </w:r>
          </w:p>
        </w:tc>
        <w:tc>
          <w:tcPr>
            <w:tcW w:w="2721" w:type="dxa"/>
            <w:gridSpan w:val="3"/>
            <w:tcBorders>
              <w:top w:val="single" w:sz="4" w:space="0" w:color="auto"/>
              <w:left w:val="nil"/>
              <w:bottom w:val="single" w:sz="4" w:space="0" w:color="auto"/>
              <w:right w:val="nil"/>
            </w:tcBorders>
            <w:shd w:val="clear" w:color="auto" w:fill="auto"/>
            <w:vAlign w:val="center"/>
            <w:hideMark/>
          </w:tcPr>
          <w:p w14:paraId="087FEAB9" w14:textId="77777777" w:rsidR="00887334" w:rsidRPr="003E0C02" w:rsidRDefault="00887334"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Crude</w:t>
            </w:r>
            <w:r w:rsidRPr="003E0C02">
              <w:rPr>
                <w:rFonts w:ascii="Book Antiqua" w:hAnsi="Book Antiqua" w:cs="Calibri"/>
                <w:b/>
                <w:bCs/>
                <w:vertAlign w:val="superscript"/>
                <w:lang w:eastAsia="zh-CN"/>
              </w:rPr>
              <w:t>1</w:t>
            </w:r>
          </w:p>
        </w:tc>
        <w:tc>
          <w:tcPr>
            <w:tcW w:w="0" w:type="auto"/>
            <w:gridSpan w:val="3"/>
            <w:tcBorders>
              <w:top w:val="single" w:sz="4" w:space="0" w:color="auto"/>
              <w:left w:val="nil"/>
              <w:bottom w:val="single" w:sz="4" w:space="0" w:color="auto"/>
              <w:right w:val="nil"/>
            </w:tcBorders>
            <w:shd w:val="clear" w:color="auto" w:fill="auto"/>
            <w:vAlign w:val="center"/>
            <w:hideMark/>
          </w:tcPr>
          <w:p w14:paraId="2E5C6F95" w14:textId="77777777" w:rsidR="00887334" w:rsidRPr="003E0C02" w:rsidRDefault="00887334" w:rsidP="003E0C02">
            <w:pPr>
              <w:adjustRightInd w:val="0"/>
              <w:snapToGrid w:val="0"/>
              <w:spacing w:line="360" w:lineRule="auto"/>
              <w:jc w:val="both"/>
              <w:rPr>
                <w:rFonts w:ascii="Book Antiqua" w:hAnsi="Book Antiqua" w:cs="Calibri"/>
                <w:b/>
                <w:bCs/>
                <w:lang w:eastAsia="zh-CN"/>
              </w:rPr>
            </w:pPr>
            <w:r w:rsidRPr="003E0C02">
              <w:rPr>
                <w:rFonts w:ascii="Book Antiqua" w:hAnsi="Book Antiqua" w:cs="Calibri"/>
                <w:b/>
                <w:bCs/>
              </w:rPr>
              <w:t>Adjusted</w:t>
            </w:r>
            <w:r w:rsidRPr="003E0C02">
              <w:rPr>
                <w:rFonts w:ascii="Book Antiqua" w:hAnsi="Book Antiqua" w:cs="Calibri"/>
                <w:b/>
                <w:bCs/>
                <w:vertAlign w:val="superscript"/>
                <w:lang w:eastAsia="zh-CN"/>
              </w:rPr>
              <w:t>2</w:t>
            </w:r>
          </w:p>
        </w:tc>
      </w:tr>
      <w:tr w:rsidR="003E0C02" w:rsidRPr="003E0C02" w14:paraId="44ECF9B0" w14:textId="77777777" w:rsidTr="00887334">
        <w:trPr>
          <w:trHeight w:val="645"/>
        </w:trPr>
        <w:tc>
          <w:tcPr>
            <w:tcW w:w="0" w:type="auto"/>
            <w:vMerge/>
            <w:tcBorders>
              <w:top w:val="single" w:sz="4" w:space="0" w:color="auto"/>
              <w:left w:val="nil"/>
              <w:bottom w:val="single" w:sz="4" w:space="0" w:color="auto"/>
              <w:right w:val="nil"/>
            </w:tcBorders>
            <w:vAlign w:val="center"/>
            <w:hideMark/>
          </w:tcPr>
          <w:p w14:paraId="24FC9DF7" w14:textId="77777777" w:rsidR="00887334" w:rsidRPr="003E0C02" w:rsidRDefault="00887334" w:rsidP="003E0C02">
            <w:pPr>
              <w:adjustRightInd w:val="0"/>
              <w:snapToGrid w:val="0"/>
              <w:spacing w:line="360" w:lineRule="auto"/>
              <w:jc w:val="both"/>
              <w:rPr>
                <w:rFonts w:ascii="Book Antiqua" w:hAnsi="Book Antiqua" w:cs="Calibri"/>
                <w:b/>
                <w:bCs/>
              </w:rPr>
            </w:pPr>
          </w:p>
        </w:tc>
        <w:tc>
          <w:tcPr>
            <w:tcW w:w="0" w:type="auto"/>
            <w:tcBorders>
              <w:top w:val="single" w:sz="4" w:space="0" w:color="auto"/>
              <w:left w:val="nil"/>
              <w:bottom w:val="single" w:sz="4" w:space="0" w:color="auto"/>
              <w:right w:val="nil"/>
            </w:tcBorders>
            <w:shd w:val="clear" w:color="auto" w:fill="auto"/>
            <w:vAlign w:val="center"/>
            <w:hideMark/>
          </w:tcPr>
          <w:p w14:paraId="0A44DF74"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lang w:eastAsia="zh-CN"/>
              </w:rPr>
              <w:t>N</w:t>
            </w:r>
            <w:r w:rsidRPr="003E0C02">
              <w:rPr>
                <w:rFonts w:ascii="Book Antiqua" w:hAnsi="Book Antiqua" w:cs="Calibri"/>
                <w:b/>
                <w:bCs/>
              </w:rPr>
              <w:t>o. (</w:t>
            </w:r>
            <w:r w:rsidRPr="003E0C02">
              <w:rPr>
                <w:rFonts w:ascii="Book Antiqua" w:hAnsi="Book Antiqua" w:cs="Calibri"/>
                <w:b/>
                <w:bCs/>
                <w:i/>
              </w:rPr>
              <w:t>n</w:t>
            </w:r>
            <w:r w:rsidRPr="003E0C02">
              <w:rPr>
                <w:rFonts w:ascii="Book Antiqua" w:hAnsi="Book Antiqua" w:cs="Calibri"/>
                <w:b/>
                <w:bCs/>
                <w:lang w:eastAsia="zh-CN"/>
              </w:rPr>
              <w:t xml:space="preserve"> </w:t>
            </w:r>
            <w:r w:rsidRPr="003E0C02">
              <w:rPr>
                <w:rFonts w:ascii="Book Antiqua" w:hAnsi="Book Antiqua" w:cs="Calibri"/>
                <w:b/>
                <w:bCs/>
              </w:rPr>
              <w:t>=</w:t>
            </w:r>
            <w:r w:rsidRPr="003E0C02">
              <w:rPr>
                <w:rFonts w:ascii="Book Antiqua" w:hAnsi="Book Antiqua" w:cs="Calibri"/>
                <w:b/>
                <w:bCs/>
                <w:lang w:eastAsia="zh-CN"/>
              </w:rPr>
              <w:t xml:space="preserve"> </w:t>
            </w:r>
            <w:r w:rsidRPr="003E0C02">
              <w:rPr>
                <w:rFonts w:ascii="Book Antiqua" w:hAnsi="Book Antiqua" w:cs="Calibri"/>
                <w:b/>
                <w:bCs/>
              </w:rPr>
              <w:t>221)</w:t>
            </w:r>
          </w:p>
        </w:tc>
        <w:tc>
          <w:tcPr>
            <w:tcW w:w="476" w:type="dxa"/>
            <w:tcBorders>
              <w:top w:val="single" w:sz="4" w:space="0" w:color="auto"/>
              <w:left w:val="nil"/>
              <w:bottom w:val="single" w:sz="4" w:space="0" w:color="auto"/>
              <w:right w:val="nil"/>
            </w:tcBorders>
            <w:shd w:val="clear" w:color="auto" w:fill="auto"/>
            <w:vAlign w:val="center"/>
            <w:hideMark/>
          </w:tcPr>
          <w:p w14:paraId="0F3D2D00"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HR </w:t>
            </w:r>
          </w:p>
        </w:tc>
        <w:tc>
          <w:tcPr>
            <w:tcW w:w="0" w:type="auto"/>
            <w:tcBorders>
              <w:top w:val="single" w:sz="4" w:space="0" w:color="auto"/>
              <w:left w:val="nil"/>
              <w:bottom w:val="single" w:sz="4" w:space="0" w:color="auto"/>
              <w:right w:val="nil"/>
            </w:tcBorders>
            <w:shd w:val="clear" w:color="auto" w:fill="auto"/>
            <w:vAlign w:val="center"/>
            <w:hideMark/>
          </w:tcPr>
          <w:p w14:paraId="38F413E5"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(95%CI)</w:t>
            </w:r>
          </w:p>
        </w:tc>
        <w:tc>
          <w:tcPr>
            <w:tcW w:w="0" w:type="auto"/>
            <w:tcBorders>
              <w:top w:val="single" w:sz="4" w:space="0" w:color="auto"/>
              <w:left w:val="nil"/>
              <w:bottom w:val="single" w:sz="4" w:space="0" w:color="auto"/>
              <w:right w:val="nil"/>
            </w:tcBorders>
            <w:shd w:val="clear" w:color="auto" w:fill="auto"/>
            <w:vAlign w:val="center"/>
            <w:hideMark/>
          </w:tcPr>
          <w:p w14:paraId="06AC0931"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i/>
              </w:rPr>
              <w:t>P</w:t>
            </w:r>
            <w:r w:rsidRPr="003E0C02">
              <w:rPr>
                <w:rFonts w:ascii="Book Antiqua" w:hAnsi="Book Antiqua" w:cs="Calibri"/>
                <w:b/>
                <w:bCs/>
              </w:rPr>
              <w:t xml:space="preserve"> value</w:t>
            </w:r>
          </w:p>
        </w:tc>
        <w:tc>
          <w:tcPr>
            <w:tcW w:w="0" w:type="auto"/>
            <w:tcBorders>
              <w:top w:val="single" w:sz="4" w:space="0" w:color="auto"/>
              <w:left w:val="nil"/>
              <w:bottom w:val="single" w:sz="4" w:space="0" w:color="auto"/>
              <w:right w:val="nil"/>
            </w:tcBorders>
            <w:shd w:val="clear" w:color="auto" w:fill="auto"/>
            <w:vAlign w:val="center"/>
            <w:hideMark/>
          </w:tcPr>
          <w:p w14:paraId="10E95DD7"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 xml:space="preserve">HR </w:t>
            </w:r>
          </w:p>
        </w:tc>
        <w:tc>
          <w:tcPr>
            <w:tcW w:w="0" w:type="auto"/>
            <w:tcBorders>
              <w:top w:val="single" w:sz="4" w:space="0" w:color="auto"/>
              <w:left w:val="nil"/>
              <w:bottom w:val="single" w:sz="4" w:space="0" w:color="auto"/>
              <w:right w:val="nil"/>
            </w:tcBorders>
            <w:shd w:val="clear" w:color="auto" w:fill="auto"/>
            <w:vAlign w:val="center"/>
            <w:hideMark/>
          </w:tcPr>
          <w:p w14:paraId="63C1CE0E"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rPr>
              <w:t>(95%CI)</w:t>
            </w:r>
          </w:p>
        </w:tc>
        <w:tc>
          <w:tcPr>
            <w:tcW w:w="0" w:type="auto"/>
            <w:tcBorders>
              <w:top w:val="single" w:sz="4" w:space="0" w:color="auto"/>
              <w:left w:val="nil"/>
              <w:bottom w:val="single" w:sz="4" w:space="0" w:color="auto"/>
              <w:right w:val="nil"/>
            </w:tcBorders>
            <w:shd w:val="clear" w:color="auto" w:fill="auto"/>
            <w:vAlign w:val="center"/>
            <w:hideMark/>
          </w:tcPr>
          <w:p w14:paraId="1D0ADDD5" w14:textId="77777777" w:rsidR="00887334" w:rsidRPr="003E0C02" w:rsidRDefault="00887334" w:rsidP="003E0C02">
            <w:pPr>
              <w:adjustRightInd w:val="0"/>
              <w:snapToGrid w:val="0"/>
              <w:spacing w:line="360" w:lineRule="auto"/>
              <w:jc w:val="both"/>
              <w:rPr>
                <w:rFonts w:ascii="Book Antiqua" w:hAnsi="Book Antiqua" w:cs="Calibri"/>
                <w:b/>
                <w:bCs/>
              </w:rPr>
            </w:pPr>
            <w:r w:rsidRPr="003E0C02">
              <w:rPr>
                <w:rFonts w:ascii="Book Antiqua" w:hAnsi="Book Antiqua" w:cs="Calibri"/>
                <w:b/>
                <w:bCs/>
                <w:i/>
              </w:rPr>
              <w:t>P</w:t>
            </w:r>
            <w:r w:rsidRPr="003E0C02">
              <w:rPr>
                <w:rFonts w:ascii="Book Antiqua" w:hAnsi="Book Antiqua" w:cs="Calibri"/>
                <w:b/>
                <w:bCs/>
              </w:rPr>
              <w:t xml:space="preserve"> value</w:t>
            </w:r>
          </w:p>
        </w:tc>
      </w:tr>
      <w:tr w:rsidR="003E0C02" w:rsidRPr="003E0C02" w14:paraId="23DEB8CE" w14:textId="77777777" w:rsidTr="00570C3A">
        <w:trPr>
          <w:trHeight w:val="315"/>
        </w:trPr>
        <w:tc>
          <w:tcPr>
            <w:tcW w:w="9258" w:type="dxa"/>
            <w:gridSpan w:val="8"/>
            <w:tcBorders>
              <w:top w:val="single" w:sz="4" w:space="0" w:color="auto"/>
              <w:left w:val="nil"/>
              <w:bottom w:val="nil"/>
              <w:right w:val="nil"/>
            </w:tcBorders>
            <w:shd w:val="clear" w:color="auto" w:fill="auto"/>
            <w:noWrap/>
            <w:vAlign w:val="bottom"/>
            <w:hideMark/>
          </w:tcPr>
          <w:p w14:paraId="5233AF73" w14:textId="77777777" w:rsidR="00B85B8F" w:rsidRPr="003E0C02" w:rsidRDefault="00B85B8F"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Malabsorptive procedures</w:t>
            </w:r>
          </w:p>
        </w:tc>
      </w:tr>
      <w:tr w:rsidR="003E0C02" w:rsidRPr="003E0C02" w14:paraId="0AB30097" w14:textId="77777777" w:rsidTr="00887334">
        <w:trPr>
          <w:trHeight w:val="315"/>
        </w:trPr>
        <w:tc>
          <w:tcPr>
            <w:tcW w:w="0" w:type="auto"/>
            <w:tcBorders>
              <w:top w:val="nil"/>
              <w:left w:val="nil"/>
              <w:bottom w:val="nil"/>
              <w:right w:val="nil"/>
            </w:tcBorders>
            <w:shd w:val="clear" w:color="auto" w:fill="auto"/>
            <w:noWrap/>
            <w:vAlign w:val="center"/>
            <w:hideMark/>
          </w:tcPr>
          <w:p w14:paraId="32646B23" w14:textId="77777777" w:rsidR="00887334" w:rsidRPr="003E0C02" w:rsidRDefault="00887334"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No</w:t>
            </w:r>
          </w:p>
        </w:tc>
        <w:tc>
          <w:tcPr>
            <w:tcW w:w="0" w:type="auto"/>
            <w:tcBorders>
              <w:top w:val="nil"/>
              <w:left w:val="nil"/>
              <w:bottom w:val="nil"/>
              <w:right w:val="nil"/>
            </w:tcBorders>
            <w:shd w:val="clear" w:color="auto" w:fill="auto"/>
            <w:noWrap/>
            <w:vAlign w:val="center"/>
            <w:hideMark/>
          </w:tcPr>
          <w:p w14:paraId="516EEF50"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64</w:t>
            </w:r>
          </w:p>
        </w:tc>
        <w:tc>
          <w:tcPr>
            <w:tcW w:w="476" w:type="dxa"/>
            <w:tcBorders>
              <w:top w:val="nil"/>
              <w:left w:val="nil"/>
              <w:bottom w:val="nil"/>
              <w:right w:val="nil"/>
            </w:tcBorders>
            <w:shd w:val="clear" w:color="auto" w:fill="auto"/>
            <w:vAlign w:val="center"/>
            <w:hideMark/>
          </w:tcPr>
          <w:p w14:paraId="27DFA27C"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bottom w:val="nil"/>
              <w:right w:val="nil"/>
            </w:tcBorders>
            <w:shd w:val="clear" w:color="auto" w:fill="auto"/>
            <w:vAlign w:val="center"/>
            <w:hideMark/>
          </w:tcPr>
          <w:p w14:paraId="49694165" w14:textId="77777777" w:rsidR="00887334" w:rsidRPr="003E0C02" w:rsidRDefault="00056590" w:rsidP="003E0C02">
            <w:pPr>
              <w:adjustRightInd w:val="0"/>
              <w:snapToGrid w:val="0"/>
              <w:spacing w:line="360" w:lineRule="auto"/>
              <w:jc w:val="both"/>
              <w:rPr>
                <w:rFonts w:ascii="Book Antiqua" w:hAnsi="Book Antiqua" w:cs="Calibri"/>
              </w:rPr>
            </w:pPr>
            <w:r w:rsidRPr="003E0C02">
              <w:rPr>
                <w:rFonts w:ascii="Book Antiqua" w:hAnsi="Book Antiqua" w:cs="Calibri"/>
                <w:lang w:eastAsia="zh-CN"/>
              </w:rPr>
              <w:t>R</w:t>
            </w:r>
            <w:r w:rsidR="00887334" w:rsidRPr="003E0C02">
              <w:rPr>
                <w:rFonts w:ascii="Book Antiqua" w:hAnsi="Book Antiqua" w:cs="Calibri"/>
              </w:rPr>
              <w:t>eference</w:t>
            </w:r>
          </w:p>
        </w:tc>
        <w:tc>
          <w:tcPr>
            <w:tcW w:w="0" w:type="auto"/>
            <w:tcBorders>
              <w:top w:val="nil"/>
              <w:left w:val="nil"/>
              <w:bottom w:val="nil"/>
              <w:right w:val="nil"/>
            </w:tcBorders>
            <w:shd w:val="clear" w:color="auto" w:fill="auto"/>
            <w:vAlign w:val="center"/>
            <w:hideMark/>
          </w:tcPr>
          <w:p w14:paraId="65FE8B11" w14:textId="77777777" w:rsidR="00887334" w:rsidRPr="003E0C02" w:rsidRDefault="00887334" w:rsidP="003E0C02">
            <w:pPr>
              <w:adjustRightInd w:val="0"/>
              <w:snapToGrid w:val="0"/>
              <w:spacing w:line="360" w:lineRule="auto"/>
              <w:jc w:val="both"/>
              <w:rPr>
                <w:rFonts w:ascii="Book Antiqua" w:hAnsi="Book Antiqua" w:cs="Calibri"/>
              </w:rPr>
            </w:pPr>
          </w:p>
        </w:tc>
        <w:tc>
          <w:tcPr>
            <w:tcW w:w="0" w:type="auto"/>
            <w:tcBorders>
              <w:top w:val="nil"/>
              <w:left w:val="nil"/>
              <w:bottom w:val="nil"/>
              <w:right w:val="nil"/>
            </w:tcBorders>
            <w:shd w:val="clear" w:color="auto" w:fill="auto"/>
            <w:vAlign w:val="center"/>
            <w:hideMark/>
          </w:tcPr>
          <w:p w14:paraId="712A0109"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bottom w:val="nil"/>
              <w:right w:val="nil"/>
            </w:tcBorders>
            <w:shd w:val="clear" w:color="auto" w:fill="auto"/>
            <w:vAlign w:val="center"/>
            <w:hideMark/>
          </w:tcPr>
          <w:p w14:paraId="7376ABC1" w14:textId="77777777" w:rsidR="00887334" w:rsidRPr="003E0C02" w:rsidRDefault="00731A6E" w:rsidP="003E0C02">
            <w:pPr>
              <w:adjustRightInd w:val="0"/>
              <w:snapToGrid w:val="0"/>
              <w:spacing w:line="360" w:lineRule="auto"/>
              <w:jc w:val="both"/>
              <w:rPr>
                <w:rFonts w:ascii="Book Antiqua" w:hAnsi="Book Antiqua" w:cs="Calibri"/>
              </w:rPr>
            </w:pPr>
            <w:r w:rsidRPr="003E0C02">
              <w:rPr>
                <w:rFonts w:ascii="Book Antiqua" w:hAnsi="Book Antiqua" w:cs="Calibri"/>
                <w:lang w:eastAsia="zh-CN"/>
              </w:rPr>
              <w:t>R</w:t>
            </w:r>
            <w:r w:rsidR="00887334" w:rsidRPr="003E0C02">
              <w:rPr>
                <w:rFonts w:ascii="Book Antiqua" w:hAnsi="Book Antiqua" w:cs="Calibri"/>
              </w:rPr>
              <w:t>eference</w:t>
            </w:r>
          </w:p>
        </w:tc>
        <w:tc>
          <w:tcPr>
            <w:tcW w:w="0" w:type="auto"/>
            <w:tcBorders>
              <w:top w:val="nil"/>
              <w:left w:val="nil"/>
              <w:bottom w:val="nil"/>
              <w:right w:val="nil"/>
            </w:tcBorders>
            <w:shd w:val="clear" w:color="auto" w:fill="auto"/>
            <w:vAlign w:val="center"/>
            <w:hideMark/>
          </w:tcPr>
          <w:p w14:paraId="2AA80420" w14:textId="77777777" w:rsidR="00887334" w:rsidRPr="003E0C02" w:rsidRDefault="00887334" w:rsidP="003E0C02">
            <w:pPr>
              <w:adjustRightInd w:val="0"/>
              <w:snapToGrid w:val="0"/>
              <w:spacing w:line="360" w:lineRule="auto"/>
              <w:jc w:val="both"/>
              <w:rPr>
                <w:rFonts w:ascii="Book Antiqua" w:hAnsi="Book Antiqua" w:cs="Calibri"/>
              </w:rPr>
            </w:pPr>
          </w:p>
        </w:tc>
      </w:tr>
      <w:tr w:rsidR="003E0C02" w:rsidRPr="003E0C02" w14:paraId="5C46A7D6" w14:textId="77777777" w:rsidTr="00887334">
        <w:trPr>
          <w:trHeight w:val="315"/>
        </w:trPr>
        <w:tc>
          <w:tcPr>
            <w:tcW w:w="0" w:type="auto"/>
            <w:tcBorders>
              <w:top w:val="nil"/>
              <w:left w:val="nil"/>
              <w:bottom w:val="nil"/>
              <w:right w:val="nil"/>
            </w:tcBorders>
            <w:shd w:val="clear" w:color="auto" w:fill="auto"/>
            <w:noWrap/>
            <w:vAlign w:val="center"/>
            <w:hideMark/>
          </w:tcPr>
          <w:p w14:paraId="102A66D7" w14:textId="77777777" w:rsidR="00887334" w:rsidRPr="003E0C02" w:rsidRDefault="00887334"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Yes</w:t>
            </w:r>
          </w:p>
        </w:tc>
        <w:tc>
          <w:tcPr>
            <w:tcW w:w="0" w:type="auto"/>
            <w:tcBorders>
              <w:top w:val="nil"/>
              <w:left w:val="nil"/>
              <w:bottom w:val="nil"/>
              <w:right w:val="nil"/>
            </w:tcBorders>
            <w:shd w:val="clear" w:color="auto" w:fill="auto"/>
            <w:noWrap/>
            <w:vAlign w:val="center"/>
            <w:hideMark/>
          </w:tcPr>
          <w:p w14:paraId="45B8129B"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157</w:t>
            </w:r>
          </w:p>
        </w:tc>
        <w:tc>
          <w:tcPr>
            <w:tcW w:w="476" w:type="dxa"/>
            <w:tcBorders>
              <w:top w:val="nil"/>
              <w:left w:val="nil"/>
              <w:bottom w:val="nil"/>
              <w:right w:val="nil"/>
            </w:tcBorders>
            <w:shd w:val="clear" w:color="auto" w:fill="auto"/>
            <w:noWrap/>
            <w:vAlign w:val="bottom"/>
            <w:hideMark/>
          </w:tcPr>
          <w:p w14:paraId="41AEAF9B"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2.76</w:t>
            </w:r>
          </w:p>
        </w:tc>
        <w:tc>
          <w:tcPr>
            <w:tcW w:w="0" w:type="auto"/>
            <w:tcBorders>
              <w:top w:val="nil"/>
              <w:left w:val="nil"/>
              <w:bottom w:val="nil"/>
              <w:right w:val="nil"/>
            </w:tcBorders>
            <w:shd w:val="clear" w:color="auto" w:fill="auto"/>
            <w:noWrap/>
            <w:vAlign w:val="bottom"/>
            <w:hideMark/>
          </w:tcPr>
          <w:p w14:paraId="6593AB57"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(2.06-3.70)</w:t>
            </w:r>
          </w:p>
        </w:tc>
        <w:tc>
          <w:tcPr>
            <w:tcW w:w="0" w:type="auto"/>
            <w:tcBorders>
              <w:top w:val="nil"/>
              <w:left w:val="nil"/>
              <w:bottom w:val="nil"/>
              <w:right w:val="nil"/>
            </w:tcBorders>
            <w:shd w:val="clear" w:color="auto" w:fill="auto"/>
            <w:noWrap/>
            <w:vAlign w:val="bottom"/>
            <w:hideMark/>
          </w:tcPr>
          <w:p w14:paraId="6D21273B"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c>
          <w:tcPr>
            <w:tcW w:w="0" w:type="auto"/>
            <w:tcBorders>
              <w:top w:val="nil"/>
              <w:left w:val="nil"/>
              <w:bottom w:val="nil"/>
              <w:right w:val="nil"/>
            </w:tcBorders>
            <w:shd w:val="clear" w:color="auto" w:fill="auto"/>
            <w:vAlign w:val="center"/>
            <w:hideMark/>
          </w:tcPr>
          <w:p w14:paraId="2BEB0197"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3.18</w:t>
            </w:r>
          </w:p>
        </w:tc>
        <w:tc>
          <w:tcPr>
            <w:tcW w:w="0" w:type="auto"/>
            <w:tcBorders>
              <w:top w:val="nil"/>
              <w:left w:val="nil"/>
              <w:bottom w:val="nil"/>
              <w:right w:val="nil"/>
            </w:tcBorders>
            <w:shd w:val="clear" w:color="auto" w:fill="auto"/>
            <w:vAlign w:val="center"/>
            <w:hideMark/>
          </w:tcPr>
          <w:p w14:paraId="71A8BAC5"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(2.29-4.40)</w:t>
            </w:r>
          </w:p>
        </w:tc>
        <w:tc>
          <w:tcPr>
            <w:tcW w:w="0" w:type="auto"/>
            <w:tcBorders>
              <w:top w:val="nil"/>
              <w:left w:val="nil"/>
              <w:bottom w:val="nil"/>
              <w:right w:val="nil"/>
            </w:tcBorders>
            <w:shd w:val="clear" w:color="auto" w:fill="auto"/>
            <w:vAlign w:val="center"/>
            <w:hideMark/>
          </w:tcPr>
          <w:p w14:paraId="71120B41"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&lt;</w:t>
            </w:r>
            <w:r w:rsidR="00240D46" w:rsidRPr="003E0C02">
              <w:rPr>
                <w:rFonts w:ascii="Book Antiqua" w:hAnsi="Book Antiqua" w:cs="Calibri"/>
                <w:lang w:eastAsia="zh-CN"/>
              </w:rPr>
              <w:t xml:space="preserve"> 0</w:t>
            </w:r>
            <w:r w:rsidRPr="003E0C02">
              <w:rPr>
                <w:rFonts w:ascii="Book Antiqua" w:hAnsi="Book Antiqua" w:cs="Calibri"/>
              </w:rPr>
              <w:t>.0001</w:t>
            </w:r>
          </w:p>
        </w:tc>
      </w:tr>
      <w:tr w:rsidR="003E0C02" w:rsidRPr="003E0C02" w14:paraId="5AB32875" w14:textId="77777777" w:rsidTr="00570C3A">
        <w:trPr>
          <w:trHeight w:val="315"/>
        </w:trPr>
        <w:tc>
          <w:tcPr>
            <w:tcW w:w="9388" w:type="dxa"/>
            <w:gridSpan w:val="8"/>
            <w:tcBorders>
              <w:top w:val="nil"/>
              <w:left w:val="nil"/>
              <w:bottom w:val="nil"/>
              <w:right w:val="nil"/>
            </w:tcBorders>
            <w:shd w:val="clear" w:color="auto" w:fill="auto"/>
            <w:noWrap/>
            <w:vAlign w:val="bottom"/>
            <w:hideMark/>
          </w:tcPr>
          <w:p w14:paraId="1DA193E3" w14:textId="77777777" w:rsidR="00B85B8F" w:rsidRPr="003E0C02" w:rsidRDefault="00B85B8F" w:rsidP="003E0C02">
            <w:pPr>
              <w:adjustRightInd w:val="0"/>
              <w:snapToGrid w:val="0"/>
              <w:spacing w:line="360" w:lineRule="auto"/>
              <w:jc w:val="both"/>
              <w:rPr>
                <w:rFonts w:ascii="Book Antiqua" w:eastAsia="Times New Roman" w:hAnsi="Book Antiqua"/>
              </w:rPr>
            </w:pPr>
            <w:r w:rsidRPr="003E0C02">
              <w:rPr>
                <w:rFonts w:ascii="Book Antiqua" w:hAnsi="Book Antiqua" w:cs="Calibri"/>
                <w:bCs/>
              </w:rPr>
              <w:t>Restrictive procedures</w:t>
            </w:r>
          </w:p>
        </w:tc>
      </w:tr>
      <w:tr w:rsidR="003E0C02" w:rsidRPr="003E0C02" w14:paraId="5EA6F7AB" w14:textId="77777777" w:rsidTr="00386021">
        <w:trPr>
          <w:trHeight w:val="315"/>
        </w:trPr>
        <w:tc>
          <w:tcPr>
            <w:tcW w:w="0" w:type="auto"/>
            <w:tcBorders>
              <w:top w:val="nil"/>
              <w:left w:val="nil"/>
              <w:right w:val="nil"/>
            </w:tcBorders>
            <w:shd w:val="clear" w:color="auto" w:fill="auto"/>
            <w:noWrap/>
            <w:vAlign w:val="center"/>
            <w:hideMark/>
          </w:tcPr>
          <w:p w14:paraId="2623E4CD" w14:textId="77777777" w:rsidR="00887334" w:rsidRPr="003E0C02" w:rsidRDefault="00887334"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No</w:t>
            </w:r>
          </w:p>
        </w:tc>
        <w:tc>
          <w:tcPr>
            <w:tcW w:w="0" w:type="auto"/>
            <w:tcBorders>
              <w:top w:val="nil"/>
              <w:left w:val="nil"/>
              <w:right w:val="nil"/>
            </w:tcBorders>
            <w:shd w:val="clear" w:color="auto" w:fill="auto"/>
            <w:noWrap/>
            <w:vAlign w:val="center"/>
            <w:hideMark/>
          </w:tcPr>
          <w:p w14:paraId="4A0D4D36"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62</w:t>
            </w:r>
          </w:p>
        </w:tc>
        <w:tc>
          <w:tcPr>
            <w:tcW w:w="546" w:type="dxa"/>
            <w:tcBorders>
              <w:top w:val="nil"/>
              <w:left w:val="nil"/>
              <w:right w:val="nil"/>
            </w:tcBorders>
            <w:shd w:val="clear" w:color="auto" w:fill="auto"/>
            <w:vAlign w:val="center"/>
            <w:hideMark/>
          </w:tcPr>
          <w:p w14:paraId="7B57E80E"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right w:val="nil"/>
            </w:tcBorders>
            <w:shd w:val="clear" w:color="auto" w:fill="auto"/>
            <w:vAlign w:val="center"/>
            <w:hideMark/>
          </w:tcPr>
          <w:p w14:paraId="766E6050" w14:textId="77777777" w:rsidR="00887334" w:rsidRPr="003E0C02" w:rsidRDefault="00056590" w:rsidP="003E0C02">
            <w:pPr>
              <w:adjustRightInd w:val="0"/>
              <w:snapToGrid w:val="0"/>
              <w:spacing w:line="360" w:lineRule="auto"/>
              <w:jc w:val="both"/>
              <w:rPr>
                <w:rFonts w:ascii="Book Antiqua" w:hAnsi="Book Antiqua" w:cs="Calibri"/>
              </w:rPr>
            </w:pPr>
            <w:r w:rsidRPr="003E0C02">
              <w:rPr>
                <w:rFonts w:ascii="Book Antiqua" w:hAnsi="Book Antiqua" w:cs="Calibri"/>
                <w:lang w:eastAsia="zh-CN"/>
              </w:rPr>
              <w:t>R</w:t>
            </w:r>
            <w:r w:rsidR="00887334" w:rsidRPr="003E0C02">
              <w:rPr>
                <w:rFonts w:ascii="Book Antiqua" w:hAnsi="Book Antiqua" w:cs="Calibri"/>
              </w:rPr>
              <w:t>eference</w:t>
            </w:r>
          </w:p>
        </w:tc>
        <w:tc>
          <w:tcPr>
            <w:tcW w:w="0" w:type="auto"/>
            <w:tcBorders>
              <w:top w:val="nil"/>
              <w:left w:val="nil"/>
              <w:right w:val="nil"/>
            </w:tcBorders>
            <w:shd w:val="clear" w:color="auto" w:fill="auto"/>
            <w:vAlign w:val="center"/>
            <w:hideMark/>
          </w:tcPr>
          <w:p w14:paraId="0371C764" w14:textId="77777777" w:rsidR="00887334" w:rsidRPr="003E0C02" w:rsidRDefault="00887334" w:rsidP="003E0C02">
            <w:pPr>
              <w:adjustRightInd w:val="0"/>
              <w:snapToGrid w:val="0"/>
              <w:spacing w:line="360" w:lineRule="auto"/>
              <w:jc w:val="both"/>
              <w:rPr>
                <w:rFonts w:ascii="Book Antiqua" w:hAnsi="Book Antiqua" w:cs="Calibri"/>
              </w:rPr>
            </w:pPr>
          </w:p>
        </w:tc>
        <w:tc>
          <w:tcPr>
            <w:tcW w:w="0" w:type="auto"/>
            <w:tcBorders>
              <w:top w:val="nil"/>
              <w:left w:val="nil"/>
              <w:right w:val="nil"/>
            </w:tcBorders>
            <w:shd w:val="clear" w:color="auto" w:fill="auto"/>
            <w:vAlign w:val="center"/>
            <w:hideMark/>
          </w:tcPr>
          <w:p w14:paraId="3EFAF137"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w:t>
            </w:r>
          </w:p>
        </w:tc>
        <w:tc>
          <w:tcPr>
            <w:tcW w:w="0" w:type="auto"/>
            <w:tcBorders>
              <w:top w:val="nil"/>
              <w:left w:val="nil"/>
              <w:right w:val="nil"/>
            </w:tcBorders>
            <w:shd w:val="clear" w:color="auto" w:fill="auto"/>
            <w:vAlign w:val="center"/>
            <w:hideMark/>
          </w:tcPr>
          <w:p w14:paraId="3C049310" w14:textId="77777777" w:rsidR="00887334" w:rsidRPr="003E0C02" w:rsidRDefault="00731A6E" w:rsidP="003E0C02">
            <w:pPr>
              <w:adjustRightInd w:val="0"/>
              <w:snapToGrid w:val="0"/>
              <w:spacing w:line="360" w:lineRule="auto"/>
              <w:jc w:val="both"/>
              <w:rPr>
                <w:rFonts w:ascii="Book Antiqua" w:hAnsi="Book Antiqua" w:cs="Calibri"/>
              </w:rPr>
            </w:pPr>
            <w:r w:rsidRPr="003E0C02">
              <w:rPr>
                <w:rFonts w:ascii="Book Antiqua" w:hAnsi="Book Antiqua" w:cs="Calibri"/>
                <w:lang w:eastAsia="zh-CN"/>
              </w:rPr>
              <w:t>R</w:t>
            </w:r>
            <w:r w:rsidR="00887334" w:rsidRPr="003E0C02">
              <w:rPr>
                <w:rFonts w:ascii="Book Antiqua" w:hAnsi="Book Antiqua" w:cs="Calibri"/>
              </w:rPr>
              <w:t>eference</w:t>
            </w:r>
          </w:p>
        </w:tc>
        <w:tc>
          <w:tcPr>
            <w:tcW w:w="0" w:type="auto"/>
            <w:tcBorders>
              <w:top w:val="nil"/>
              <w:left w:val="nil"/>
              <w:right w:val="nil"/>
            </w:tcBorders>
            <w:shd w:val="clear" w:color="auto" w:fill="auto"/>
            <w:vAlign w:val="center"/>
            <w:hideMark/>
          </w:tcPr>
          <w:p w14:paraId="168A9C9D" w14:textId="77777777" w:rsidR="00887334" w:rsidRPr="003E0C02" w:rsidRDefault="00887334" w:rsidP="003E0C02">
            <w:pPr>
              <w:adjustRightInd w:val="0"/>
              <w:snapToGrid w:val="0"/>
              <w:spacing w:line="360" w:lineRule="auto"/>
              <w:jc w:val="both"/>
              <w:rPr>
                <w:rFonts w:ascii="Book Antiqua" w:hAnsi="Book Antiqua" w:cs="Calibri"/>
              </w:rPr>
            </w:pPr>
          </w:p>
        </w:tc>
      </w:tr>
      <w:tr w:rsidR="003E0C02" w:rsidRPr="003E0C02" w14:paraId="06F99384" w14:textId="77777777" w:rsidTr="00386021">
        <w:trPr>
          <w:trHeight w:val="330"/>
        </w:trPr>
        <w:tc>
          <w:tcPr>
            <w:tcW w:w="0" w:type="auto"/>
            <w:tcBorders>
              <w:top w:val="nil"/>
              <w:left w:val="nil"/>
              <w:bottom w:val="single" w:sz="4" w:space="0" w:color="auto"/>
              <w:right w:val="nil"/>
            </w:tcBorders>
            <w:shd w:val="clear" w:color="auto" w:fill="auto"/>
            <w:noWrap/>
            <w:vAlign w:val="center"/>
            <w:hideMark/>
          </w:tcPr>
          <w:p w14:paraId="467843A5" w14:textId="77777777" w:rsidR="00887334" w:rsidRPr="003E0C02" w:rsidRDefault="00887334" w:rsidP="003E0C02">
            <w:pPr>
              <w:adjustRightInd w:val="0"/>
              <w:snapToGrid w:val="0"/>
              <w:spacing w:line="360" w:lineRule="auto"/>
              <w:ind w:firstLineChars="50" w:firstLine="120"/>
              <w:jc w:val="both"/>
              <w:rPr>
                <w:rFonts w:ascii="Book Antiqua" w:hAnsi="Book Antiqua" w:cs="Calibri"/>
              </w:rPr>
            </w:pPr>
            <w:r w:rsidRPr="003E0C02">
              <w:rPr>
                <w:rFonts w:ascii="Book Antiqua" w:hAnsi="Book Antiqua" w:cs="Calibri"/>
              </w:rPr>
              <w:t>Yes</w:t>
            </w:r>
          </w:p>
        </w:tc>
        <w:tc>
          <w:tcPr>
            <w:tcW w:w="0" w:type="auto"/>
            <w:tcBorders>
              <w:top w:val="nil"/>
              <w:left w:val="nil"/>
              <w:bottom w:val="single" w:sz="4" w:space="0" w:color="auto"/>
              <w:right w:val="nil"/>
            </w:tcBorders>
            <w:shd w:val="clear" w:color="auto" w:fill="auto"/>
            <w:noWrap/>
            <w:vAlign w:val="center"/>
            <w:hideMark/>
          </w:tcPr>
          <w:p w14:paraId="0EC7F9B2"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159</w:t>
            </w:r>
          </w:p>
        </w:tc>
        <w:tc>
          <w:tcPr>
            <w:tcW w:w="546" w:type="dxa"/>
            <w:tcBorders>
              <w:top w:val="nil"/>
              <w:left w:val="nil"/>
              <w:bottom w:val="single" w:sz="4" w:space="0" w:color="auto"/>
              <w:right w:val="nil"/>
            </w:tcBorders>
            <w:shd w:val="clear" w:color="auto" w:fill="auto"/>
            <w:vAlign w:val="center"/>
            <w:hideMark/>
          </w:tcPr>
          <w:p w14:paraId="28C2D298"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1.38</w:t>
            </w:r>
          </w:p>
        </w:tc>
        <w:tc>
          <w:tcPr>
            <w:tcW w:w="0" w:type="auto"/>
            <w:tcBorders>
              <w:top w:val="nil"/>
              <w:left w:val="nil"/>
              <w:bottom w:val="single" w:sz="4" w:space="0" w:color="auto"/>
              <w:right w:val="nil"/>
            </w:tcBorders>
            <w:shd w:val="clear" w:color="auto" w:fill="auto"/>
            <w:vAlign w:val="center"/>
            <w:hideMark/>
          </w:tcPr>
          <w:p w14:paraId="5515DC25"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(1.021.86)</w:t>
            </w:r>
          </w:p>
        </w:tc>
        <w:tc>
          <w:tcPr>
            <w:tcW w:w="0" w:type="auto"/>
            <w:tcBorders>
              <w:top w:val="nil"/>
              <w:left w:val="nil"/>
              <w:bottom w:val="single" w:sz="4" w:space="0" w:color="auto"/>
              <w:right w:val="nil"/>
            </w:tcBorders>
            <w:shd w:val="clear" w:color="auto" w:fill="auto"/>
            <w:vAlign w:val="center"/>
            <w:hideMark/>
          </w:tcPr>
          <w:p w14:paraId="42AB69DB"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0.0356</w:t>
            </w:r>
          </w:p>
        </w:tc>
        <w:tc>
          <w:tcPr>
            <w:tcW w:w="0" w:type="auto"/>
            <w:tcBorders>
              <w:top w:val="nil"/>
              <w:left w:val="nil"/>
              <w:bottom w:val="single" w:sz="4" w:space="0" w:color="auto"/>
              <w:right w:val="nil"/>
            </w:tcBorders>
            <w:shd w:val="clear" w:color="auto" w:fill="auto"/>
            <w:vAlign w:val="center"/>
            <w:hideMark/>
          </w:tcPr>
          <w:p w14:paraId="4508DE69"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1.55</w:t>
            </w:r>
          </w:p>
        </w:tc>
        <w:tc>
          <w:tcPr>
            <w:tcW w:w="0" w:type="auto"/>
            <w:tcBorders>
              <w:top w:val="nil"/>
              <w:left w:val="nil"/>
              <w:bottom w:val="single" w:sz="4" w:space="0" w:color="auto"/>
              <w:right w:val="nil"/>
            </w:tcBorders>
            <w:shd w:val="clear" w:color="auto" w:fill="auto"/>
            <w:vAlign w:val="center"/>
            <w:hideMark/>
          </w:tcPr>
          <w:p w14:paraId="0049328C"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(1.10-2.19)</w:t>
            </w:r>
          </w:p>
        </w:tc>
        <w:tc>
          <w:tcPr>
            <w:tcW w:w="0" w:type="auto"/>
            <w:tcBorders>
              <w:top w:val="nil"/>
              <w:left w:val="nil"/>
              <w:bottom w:val="single" w:sz="4" w:space="0" w:color="auto"/>
              <w:right w:val="nil"/>
            </w:tcBorders>
            <w:shd w:val="clear" w:color="auto" w:fill="auto"/>
            <w:vAlign w:val="center"/>
            <w:hideMark/>
          </w:tcPr>
          <w:p w14:paraId="1324D484" w14:textId="77777777" w:rsidR="00887334" w:rsidRPr="003E0C02" w:rsidRDefault="00887334" w:rsidP="003E0C02">
            <w:pPr>
              <w:adjustRightInd w:val="0"/>
              <w:snapToGrid w:val="0"/>
              <w:spacing w:line="360" w:lineRule="auto"/>
              <w:jc w:val="both"/>
              <w:rPr>
                <w:rFonts w:ascii="Book Antiqua" w:hAnsi="Book Antiqua" w:cs="Calibri"/>
              </w:rPr>
            </w:pPr>
            <w:r w:rsidRPr="003E0C02">
              <w:rPr>
                <w:rFonts w:ascii="Book Antiqua" w:hAnsi="Book Antiqua" w:cs="Calibri"/>
              </w:rPr>
              <w:t>0.0129</w:t>
            </w:r>
          </w:p>
        </w:tc>
      </w:tr>
    </w:tbl>
    <w:p w14:paraId="2F9CDC58" w14:textId="74A913B2" w:rsidR="00AA1E93" w:rsidRPr="003E0C02" w:rsidRDefault="00826CDF" w:rsidP="003E0C02">
      <w:pPr>
        <w:adjustRightInd w:val="0"/>
        <w:snapToGrid w:val="0"/>
        <w:spacing w:line="360" w:lineRule="auto"/>
        <w:jc w:val="both"/>
        <w:rPr>
          <w:rFonts w:ascii="Book Antiqua" w:hAnsi="Book Antiqua"/>
        </w:rPr>
      </w:pPr>
      <w:r w:rsidRPr="003E0C02">
        <w:rPr>
          <w:rFonts w:ascii="Book Antiqua" w:hAnsi="Book Antiqua"/>
        </w:rPr>
        <w:t>Crude HR</w:t>
      </w:r>
      <w:r w:rsidRPr="003E0C02">
        <w:rPr>
          <w:rFonts w:ascii="Book Antiqua" w:hAnsi="Book Antiqua"/>
          <w:vertAlign w:val="superscript"/>
          <w:lang w:eastAsia="zh-CN"/>
        </w:rPr>
        <w:t>1</w:t>
      </w:r>
      <w:r w:rsidRPr="003E0C02">
        <w:rPr>
          <w:rFonts w:ascii="Book Antiqua" w:hAnsi="Book Antiqua"/>
          <w:lang w:eastAsia="zh-CN"/>
        </w:rPr>
        <w:t>:</w:t>
      </w:r>
      <w:r w:rsidRPr="003E0C02">
        <w:rPr>
          <w:rFonts w:ascii="Book Antiqua" w:hAnsi="Book Antiqua"/>
        </w:rPr>
        <w:t xml:space="preserve"> </w:t>
      </w:r>
      <w:r w:rsidRPr="003E0C02">
        <w:rPr>
          <w:rFonts w:ascii="Book Antiqua" w:hAnsi="Book Antiqua"/>
          <w:lang w:eastAsia="zh-CN"/>
        </w:rPr>
        <w:t>R</w:t>
      </w:r>
      <w:r w:rsidRPr="003E0C02">
        <w:rPr>
          <w:rFonts w:ascii="Book Antiqua" w:hAnsi="Book Antiqua"/>
        </w:rPr>
        <w:t>epresented relative hazard ratio; Adjusted HR</w:t>
      </w:r>
      <w:r w:rsidRPr="003E0C02">
        <w:rPr>
          <w:rFonts w:ascii="Book Antiqua" w:hAnsi="Book Antiqua"/>
          <w:vertAlign w:val="superscript"/>
          <w:lang w:eastAsia="zh-CN"/>
        </w:rPr>
        <w:t>2</w:t>
      </w:r>
      <w:r w:rsidRPr="003E0C02">
        <w:rPr>
          <w:rFonts w:ascii="Book Antiqua" w:hAnsi="Book Antiqua"/>
          <w:lang w:eastAsia="zh-CN"/>
        </w:rPr>
        <w:t>:</w:t>
      </w:r>
      <w:r w:rsidRPr="003E0C02">
        <w:rPr>
          <w:rFonts w:ascii="Book Antiqua" w:hAnsi="Book Antiqua"/>
        </w:rPr>
        <w:t xml:space="preserve"> </w:t>
      </w:r>
      <w:r w:rsidRPr="003E0C02">
        <w:rPr>
          <w:rFonts w:ascii="Book Antiqua" w:hAnsi="Book Antiqua"/>
          <w:lang w:eastAsia="zh-CN"/>
        </w:rPr>
        <w:t>R</w:t>
      </w:r>
      <w:r w:rsidRPr="003E0C02">
        <w:rPr>
          <w:rFonts w:ascii="Book Antiqua" w:hAnsi="Book Antiqua"/>
        </w:rPr>
        <w:t xml:space="preserve">epresented adjusted hazard ratio: </w:t>
      </w:r>
      <w:r w:rsidRPr="003E0C02">
        <w:rPr>
          <w:rFonts w:ascii="Book Antiqua" w:hAnsi="Book Antiqua"/>
          <w:lang w:eastAsia="zh-CN"/>
        </w:rPr>
        <w:t>M</w:t>
      </w:r>
      <w:r w:rsidRPr="003E0C02">
        <w:rPr>
          <w:rFonts w:ascii="Book Antiqua" w:hAnsi="Book Antiqua"/>
        </w:rPr>
        <w:t xml:space="preserve">utually adjusted for </w:t>
      </w:r>
      <w:r w:rsidR="00BB252B" w:rsidRPr="003E0C02">
        <w:rPr>
          <w:rFonts w:ascii="Book Antiqua" w:hAnsi="Book Antiqua" w:cs="Calibri"/>
          <w:bCs/>
        </w:rPr>
        <w:t xml:space="preserve">sex, age, receiving bariatric surgery or not, </w:t>
      </w:r>
      <w:r w:rsidR="00BB252B" w:rsidRPr="003E0C02">
        <w:rPr>
          <w:rFonts w:ascii="Book Antiqua" w:eastAsia="DFKai-SB" w:hAnsi="Book Antiqua" w:cs="Calibri"/>
        </w:rPr>
        <w:t xml:space="preserve">baseline comorbidities </w:t>
      </w:r>
      <w:r w:rsidR="00BB252B" w:rsidRPr="003E0C02">
        <w:rPr>
          <w:rFonts w:ascii="Book Antiqua" w:hAnsi="Book Antiqua" w:cs="Calibri"/>
          <w:bCs/>
        </w:rPr>
        <w:t>(as like tables)</w:t>
      </w:r>
      <w:r w:rsidR="00BB252B" w:rsidRPr="003E0C02">
        <w:rPr>
          <w:rFonts w:ascii="Book Antiqua" w:eastAsia="DFKai-SB" w:hAnsi="Book Antiqua" w:cs="Calibri"/>
        </w:rPr>
        <w:t xml:space="preserve"> in Cox proportional hazard regression</w:t>
      </w:r>
      <w:r w:rsidRPr="003E0C02">
        <w:rPr>
          <w:rFonts w:ascii="Book Antiqua" w:hAnsi="Book Antiqua"/>
        </w:rPr>
        <w:t>.</w:t>
      </w:r>
      <w:r w:rsidR="00C22172" w:rsidRPr="003E0C02">
        <w:rPr>
          <w:rFonts w:ascii="Book Antiqua" w:hAnsi="Book Antiqua"/>
        </w:rPr>
        <w:t xml:space="preserve"> CI: Confidence interval</w:t>
      </w:r>
      <w:r w:rsidR="00DB1E85">
        <w:rPr>
          <w:rFonts w:ascii="Book Antiqua" w:hAnsi="Book Antiqua"/>
        </w:rPr>
        <w:t>;</w:t>
      </w:r>
      <w:r w:rsidR="00DB1E85" w:rsidRPr="00DB1E85">
        <w:rPr>
          <w:rFonts w:ascii="Book Antiqua" w:hAnsi="Book Antiqua"/>
        </w:rPr>
        <w:t xml:space="preserve"> </w:t>
      </w:r>
      <w:r w:rsidR="00DB1E85" w:rsidRPr="003E0C02">
        <w:rPr>
          <w:rFonts w:ascii="Book Antiqua" w:hAnsi="Book Antiqua"/>
        </w:rPr>
        <w:t>HR: Hazard ratio</w:t>
      </w:r>
      <w:r w:rsidR="00DB1E85">
        <w:rPr>
          <w:rFonts w:ascii="Book Antiqua" w:hAnsi="Book Antiqua"/>
        </w:rPr>
        <w:t>.</w:t>
      </w:r>
    </w:p>
    <w:p w14:paraId="2FBDDA24" w14:textId="77777777" w:rsidR="00A77B3E" w:rsidRPr="003E0C02" w:rsidRDefault="00A77B3E" w:rsidP="003E0C02">
      <w:pPr>
        <w:adjustRightInd w:val="0"/>
        <w:snapToGrid w:val="0"/>
        <w:spacing w:line="360" w:lineRule="auto"/>
        <w:jc w:val="both"/>
        <w:rPr>
          <w:rFonts w:ascii="Book Antiqua" w:hAnsi="Book Antiqua"/>
        </w:rPr>
      </w:pPr>
    </w:p>
    <w:sectPr w:rsidR="00A77B3E" w:rsidRPr="003E0C02" w:rsidSect="009F5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15B77" w14:textId="77777777" w:rsidR="00773AE5" w:rsidRDefault="00773AE5" w:rsidP="005F048A">
      <w:r>
        <w:separator/>
      </w:r>
    </w:p>
  </w:endnote>
  <w:endnote w:type="continuationSeparator" w:id="0">
    <w:p w14:paraId="33DA09B2" w14:textId="77777777" w:rsidR="00773AE5" w:rsidRDefault="00773AE5" w:rsidP="005F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517212657"/>
      <w:docPartObj>
        <w:docPartGallery w:val="Page Numbers (Bottom of Page)"/>
        <w:docPartUnique/>
      </w:docPartObj>
    </w:sdtPr>
    <w:sdtEndPr>
      <w:rPr>
        <w:noProof/>
      </w:rPr>
    </w:sdtEndPr>
    <w:sdtContent>
      <w:p w14:paraId="220DC68D" w14:textId="173557EB" w:rsidR="009952F7" w:rsidRPr="00283869" w:rsidRDefault="00F6113A">
        <w:pPr>
          <w:pStyle w:val="a9"/>
          <w:jc w:val="right"/>
          <w:rPr>
            <w:rFonts w:ascii="Book Antiqua" w:hAnsi="Book Antiqua"/>
          </w:rPr>
        </w:pPr>
        <w:r w:rsidRPr="00283869">
          <w:rPr>
            <w:rFonts w:ascii="Book Antiqua" w:hAnsi="Book Antiqua"/>
          </w:rPr>
          <w:fldChar w:fldCharType="begin"/>
        </w:r>
        <w:r w:rsidRPr="00283869">
          <w:rPr>
            <w:rFonts w:ascii="Book Antiqua" w:hAnsi="Book Antiqua"/>
          </w:rPr>
          <w:instrText xml:space="preserve"> PAGE   \* MERGEFORMAT </w:instrText>
        </w:r>
        <w:r w:rsidRPr="00283869">
          <w:rPr>
            <w:rFonts w:ascii="Book Antiqua" w:hAnsi="Book Antiqua"/>
          </w:rPr>
          <w:fldChar w:fldCharType="separate"/>
        </w:r>
        <w:r w:rsidR="004437DD">
          <w:rPr>
            <w:rFonts w:ascii="Book Antiqua" w:hAnsi="Book Antiqua"/>
            <w:noProof/>
          </w:rPr>
          <w:t>1</w:t>
        </w:r>
        <w:r w:rsidRPr="00283869">
          <w:rPr>
            <w:rFonts w:ascii="Book Antiqua" w:hAnsi="Book Antiqua"/>
            <w:noProof/>
          </w:rPr>
          <w:fldChar w:fldCharType="end"/>
        </w:r>
        <w:r w:rsidR="009952F7">
          <w:rPr>
            <w:rFonts w:ascii="Book Antiqua" w:hAnsi="Book Antiqua"/>
            <w:noProof/>
          </w:rPr>
          <w:t xml:space="preserve"> </w:t>
        </w:r>
        <w:r w:rsidRPr="00283869">
          <w:rPr>
            <w:rFonts w:ascii="Book Antiqua" w:hAnsi="Book Antiqua"/>
            <w:noProof/>
          </w:rPr>
          <w:t>/</w:t>
        </w:r>
        <w:r w:rsidR="009952F7">
          <w:rPr>
            <w:rFonts w:ascii="Book Antiqua" w:hAnsi="Book Antiqua"/>
            <w:noProof/>
          </w:rPr>
          <w:t xml:space="preserve"> </w:t>
        </w:r>
        <w:r w:rsidR="00283869">
          <w:rPr>
            <w:rFonts w:ascii="Book Antiqua" w:hAnsi="Book Antiqua"/>
            <w:noProof/>
          </w:rPr>
          <w:t>30</w:t>
        </w:r>
      </w:p>
    </w:sdtContent>
  </w:sdt>
  <w:p w14:paraId="0586CCF8" w14:textId="77777777" w:rsidR="009952F7" w:rsidRDefault="009952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4AD55" w14:textId="77777777" w:rsidR="00773AE5" w:rsidRDefault="00773AE5" w:rsidP="005F048A">
      <w:r>
        <w:separator/>
      </w:r>
    </w:p>
  </w:footnote>
  <w:footnote w:type="continuationSeparator" w:id="0">
    <w:p w14:paraId="43C82858" w14:textId="77777777" w:rsidR="00773AE5" w:rsidRDefault="00773AE5" w:rsidP="005F0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700D4"/>
    <w:multiLevelType w:val="multilevel"/>
    <w:tmpl w:val="C876C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447E"/>
    <w:rsid w:val="000049C0"/>
    <w:rsid w:val="00005D20"/>
    <w:rsid w:val="00017BA6"/>
    <w:rsid w:val="00032DC4"/>
    <w:rsid w:val="0004167C"/>
    <w:rsid w:val="00056590"/>
    <w:rsid w:val="00072C05"/>
    <w:rsid w:val="00086DF8"/>
    <w:rsid w:val="00091EAC"/>
    <w:rsid w:val="000A126C"/>
    <w:rsid w:val="000A2821"/>
    <w:rsid w:val="000A5135"/>
    <w:rsid w:val="000C38FD"/>
    <w:rsid w:val="000D6419"/>
    <w:rsid w:val="000D726F"/>
    <w:rsid w:val="000F2167"/>
    <w:rsid w:val="001023D3"/>
    <w:rsid w:val="001046F6"/>
    <w:rsid w:val="001323F6"/>
    <w:rsid w:val="00144936"/>
    <w:rsid w:val="00151826"/>
    <w:rsid w:val="00161683"/>
    <w:rsid w:val="0019082D"/>
    <w:rsid w:val="001A4F0C"/>
    <w:rsid w:val="001B7D44"/>
    <w:rsid w:val="001C7885"/>
    <w:rsid w:val="001D432A"/>
    <w:rsid w:val="001E6D24"/>
    <w:rsid w:val="001E7923"/>
    <w:rsid w:val="001F2923"/>
    <w:rsid w:val="002055F4"/>
    <w:rsid w:val="00211485"/>
    <w:rsid w:val="00222D68"/>
    <w:rsid w:val="00227000"/>
    <w:rsid w:val="00232AD3"/>
    <w:rsid w:val="00240D46"/>
    <w:rsid w:val="00257FCE"/>
    <w:rsid w:val="00270011"/>
    <w:rsid w:val="0027767D"/>
    <w:rsid w:val="00283869"/>
    <w:rsid w:val="002905D4"/>
    <w:rsid w:val="002942FB"/>
    <w:rsid w:val="0029450A"/>
    <w:rsid w:val="002B4F7A"/>
    <w:rsid w:val="002C3683"/>
    <w:rsid w:val="002D0586"/>
    <w:rsid w:val="002D7065"/>
    <w:rsid w:val="002E1D94"/>
    <w:rsid w:val="003054AA"/>
    <w:rsid w:val="003062D2"/>
    <w:rsid w:val="00307FE7"/>
    <w:rsid w:val="00332FD7"/>
    <w:rsid w:val="00336ACE"/>
    <w:rsid w:val="003751A6"/>
    <w:rsid w:val="00380E40"/>
    <w:rsid w:val="00385F6A"/>
    <w:rsid w:val="00386021"/>
    <w:rsid w:val="003967B6"/>
    <w:rsid w:val="003A5C45"/>
    <w:rsid w:val="003E0C02"/>
    <w:rsid w:val="003F454C"/>
    <w:rsid w:val="004215B1"/>
    <w:rsid w:val="004302B1"/>
    <w:rsid w:val="004437DD"/>
    <w:rsid w:val="00446595"/>
    <w:rsid w:val="00452122"/>
    <w:rsid w:val="0047128B"/>
    <w:rsid w:val="00475EB8"/>
    <w:rsid w:val="004A5179"/>
    <w:rsid w:val="004A5B73"/>
    <w:rsid w:val="004B039E"/>
    <w:rsid w:val="004B7D81"/>
    <w:rsid w:val="004D157B"/>
    <w:rsid w:val="005170BF"/>
    <w:rsid w:val="0053727C"/>
    <w:rsid w:val="00545AD1"/>
    <w:rsid w:val="005502CD"/>
    <w:rsid w:val="00570C3A"/>
    <w:rsid w:val="005843E0"/>
    <w:rsid w:val="00590DF6"/>
    <w:rsid w:val="00592193"/>
    <w:rsid w:val="005A0CBC"/>
    <w:rsid w:val="005A4203"/>
    <w:rsid w:val="005D6C01"/>
    <w:rsid w:val="005F048A"/>
    <w:rsid w:val="0060181F"/>
    <w:rsid w:val="00601A4A"/>
    <w:rsid w:val="00601B00"/>
    <w:rsid w:val="00606B88"/>
    <w:rsid w:val="006140F8"/>
    <w:rsid w:val="00625E81"/>
    <w:rsid w:val="006342D7"/>
    <w:rsid w:val="00640981"/>
    <w:rsid w:val="00652D16"/>
    <w:rsid w:val="00653BAF"/>
    <w:rsid w:val="00660F5A"/>
    <w:rsid w:val="00663026"/>
    <w:rsid w:val="006654F7"/>
    <w:rsid w:val="00667B90"/>
    <w:rsid w:val="00674314"/>
    <w:rsid w:val="006A304D"/>
    <w:rsid w:val="006A425E"/>
    <w:rsid w:val="006B337A"/>
    <w:rsid w:val="006C0C5B"/>
    <w:rsid w:val="006C621D"/>
    <w:rsid w:val="006D7688"/>
    <w:rsid w:val="006E4DD4"/>
    <w:rsid w:val="00706759"/>
    <w:rsid w:val="0071421D"/>
    <w:rsid w:val="007208B5"/>
    <w:rsid w:val="00727A4C"/>
    <w:rsid w:val="00731A6E"/>
    <w:rsid w:val="00740098"/>
    <w:rsid w:val="00750293"/>
    <w:rsid w:val="00757723"/>
    <w:rsid w:val="00757C11"/>
    <w:rsid w:val="00763EAB"/>
    <w:rsid w:val="00772969"/>
    <w:rsid w:val="00773AE5"/>
    <w:rsid w:val="0078212E"/>
    <w:rsid w:val="007B709D"/>
    <w:rsid w:val="007B7273"/>
    <w:rsid w:val="007C37EF"/>
    <w:rsid w:val="007D3146"/>
    <w:rsid w:val="007F5FB1"/>
    <w:rsid w:val="00824540"/>
    <w:rsid w:val="008258CE"/>
    <w:rsid w:val="00826CDF"/>
    <w:rsid w:val="008442F5"/>
    <w:rsid w:val="00846E68"/>
    <w:rsid w:val="00887334"/>
    <w:rsid w:val="00892B0D"/>
    <w:rsid w:val="00895890"/>
    <w:rsid w:val="00896444"/>
    <w:rsid w:val="008A5470"/>
    <w:rsid w:val="008B320B"/>
    <w:rsid w:val="008B5DDE"/>
    <w:rsid w:val="008B6AE1"/>
    <w:rsid w:val="008F073E"/>
    <w:rsid w:val="00912E50"/>
    <w:rsid w:val="00926C46"/>
    <w:rsid w:val="00926F30"/>
    <w:rsid w:val="00942B0C"/>
    <w:rsid w:val="009952F7"/>
    <w:rsid w:val="009A400D"/>
    <w:rsid w:val="009A703F"/>
    <w:rsid w:val="009B53A3"/>
    <w:rsid w:val="009D3845"/>
    <w:rsid w:val="009E3CAE"/>
    <w:rsid w:val="009F5C8F"/>
    <w:rsid w:val="00A144B0"/>
    <w:rsid w:val="00A2108F"/>
    <w:rsid w:val="00A226C7"/>
    <w:rsid w:val="00A40B35"/>
    <w:rsid w:val="00A53EFE"/>
    <w:rsid w:val="00A5587F"/>
    <w:rsid w:val="00A71DE2"/>
    <w:rsid w:val="00A72619"/>
    <w:rsid w:val="00A77B3E"/>
    <w:rsid w:val="00AA1E93"/>
    <w:rsid w:val="00AA66EE"/>
    <w:rsid w:val="00AB5BCD"/>
    <w:rsid w:val="00AE7F9D"/>
    <w:rsid w:val="00B00511"/>
    <w:rsid w:val="00B2702D"/>
    <w:rsid w:val="00B32BBF"/>
    <w:rsid w:val="00B5524E"/>
    <w:rsid w:val="00B56126"/>
    <w:rsid w:val="00B85B8F"/>
    <w:rsid w:val="00B86888"/>
    <w:rsid w:val="00B87D53"/>
    <w:rsid w:val="00B94EDC"/>
    <w:rsid w:val="00BA3260"/>
    <w:rsid w:val="00BB17D1"/>
    <w:rsid w:val="00BB252B"/>
    <w:rsid w:val="00BE32A5"/>
    <w:rsid w:val="00BF3392"/>
    <w:rsid w:val="00C22172"/>
    <w:rsid w:val="00C51DA3"/>
    <w:rsid w:val="00C70232"/>
    <w:rsid w:val="00C908D5"/>
    <w:rsid w:val="00C91612"/>
    <w:rsid w:val="00C92B83"/>
    <w:rsid w:val="00C95123"/>
    <w:rsid w:val="00CA2A55"/>
    <w:rsid w:val="00CB3AE5"/>
    <w:rsid w:val="00CD1465"/>
    <w:rsid w:val="00CF630F"/>
    <w:rsid w:val="00D127AF"/>
    <w:rsid w:val="00D645D8"/>
    <w:rsid w:val="00D65BAA"/>
    <w:rsid w:val="00D70DD4"/>
    <w:rsid w:val="00DA1243"/>
    <w:rsid w:val="00DA1BC1"/>
    <w:rsid w:val="00DB1E85"/>
    <w:rsid w:val="00DC35D2"/>
    <w:rsid w:val="00DD04E2"/>
    <w:rsid w:val="00DD1B73"/>
    <w:rsid w:val="00DE759F"/>
    <w:rsid w:val="00E24AB6"/>
    <w:rsid w:val="00E30DA3"/>
    <w:rsid w:val="00E318C8"/>
    <w:rsid w:val="00E37638"/>
    <w:rsid w:val="00E413D6"/>
    <w:rsid w:val="00E47607"/>
    <w:rsid w:val="00E63B40"/>
    <w:rsid w:val="00E64059"/>
    <w:rsid w:val="00E7097F"/>
    <w:rsid w:val="00E72A25"/>
    <w:rsid w:val="00E808C6"/>
    <w:rsid w:val="00E84E33"/>
    <w:rsid w:val="00E92595"/>
    <w:rsid w:val="00EA796E"/>
    <w:rsid w:val="00ED09A6"/>
    <w:rsid w:val="00EF5E56"/>
    <w:rsid w:val="00EF75B1"/>
    <w:rsid w:val="00F033EB"/>
    <w:rsid w:val="00F04FE3"/>
    <w:rsid w:val="00F056A0"/>
    <w:rsid w:val="00F17D85"/>
    <w:rsid w:val="00F25707"/>
    <w:rsid w:val="00F47475"/>
    <w:rsid w:val="00F51140"/>
    <w:rsid w:val="00F6113A"/>
    <w:rsid w:val="00F6649D"/>
    <w:rsid w:val="00FB1482"/>
    <w:rsid w:val="00FC67C4"/>
    <w:rsid w:val="00FC6DE7"/>
    <w:rsid w:val="00FF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28976"/>
  <w15:docId w15:val="{2935D4D9-B1E7-4CA6-A7CA-5C6825C0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5C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A1E93"/>
    <w:rPr>
      <w:rFonts w:cs="Times New Roman"/>
      <w:color w:val="0000FF"/>
      <w:u w:val="single"/>
    </w:rPr>
  </w:style>
  <w:style w:type="paragraph" w:styleId="a4">
    <w:name w:val="List Paragraph"/>
    <w:basedOn w:val="a"/>
    <w:uiPriority w:val="34"/>
    <w:qFormat/>
    <w:rsid w:val="00AA1E93"/>
    <w:pPr>
      <w:widowControl w:val="0"/>
      <w:ind w:leftChars="200" w:left="480"/>
    </w:pPr>
    <w:rPr>
      <w:rFonts w:ascii="Calibri" w:eastAsia="PMingLiU" w:hAnsi="Calibri"/>
      <w:kern w:val="2"/>
      <w:szCs w:val="22"/>
      <w:lang w:eastAsia="zh-TW"/>
    </w:rPr>
  </w:style>
  <w:style w:type="paragraph" w:styleId="a5">
    <w:name w:val="Balloon Text"/>
    <w:basedOn w:val="a"/>
    <w:link w:val="a6"/>
    <w:rsid w:val="00AA1E93"/>
    <w:rPr>
      <w:sz w:val="18"/>
      <w:szCs w:val="18"/>
    </w:rPr>
  </w:style>
  <w:style w:type="character" w:customStyle="1" w:styleId="a6">
    <w:name w:val="批注框文本 字符"/>
    <w:basedOn w:val="a0"/>
    <w:link w:val="a5"/>
    <w:rsid w:val="00AA1E93"/>
    <w:rPr>
      <w:sz w:val="18"/>
      <w:szCs w:val="18"/>
    </w:rPr>
  </w:style>
  <w:style w:type="paragraph" w:styleId="a7">
    <w:name w:val="header"/>
    <w:basedOn w:val="a"/>
    <w:link w:val="a8"/>
    <w:unhideWhenUsed/>
    <w:rsid w:val="005F048A"/>
    <w:pPr>
      <w:tabs>
        <w:tab w:val="center" w:pos="4320"/>
        <w:tab w:val="right" w:pos="8640"/>
      </w:tabs>
    </w:pPr>
  </w:style>
  <w:style w:type="character" w:customStyle="1" w:styleId="a8">
    <w:name w:val="页眉 字符"/>
    <w:basedOn w:val="a0"/>
    <w:link w:val="a7"/>
    <w:rsid w:val="005F048A"/>
    <w:rPr>
      <w:sz w:val="24"/>
      <w:szCs w:val="24"/>
    </w:rPr>
  </w:style>
  <w:style w:type="paragraph" w:styleId="a9">
    <w:name w:val="footer"/>
    <w:basedOn w:val="a"/>
    <w:link w:val="aa"/>
    <w:uiPriority w:val="99"/>
    <w:unhideWhenUsed/>
    <w:rsid w:val="005F048A"/>
    <w:pPr>
      <w:tabs>
        <w:tab w:val="center" w:pos="4320"/>
        <w:tab w:val="right" w:pos="8640"/>
      </w:tabs>
    </w:pPr>
  </w:style>
  <w:style w:type="character" w:customStyle="1" w:styleId="aa">
    <w:name w:val="页脚 字符"/>
    <w:basedOn w:val="a0"/>
    <w:link w:val="a9"/>
    <w:uiPriority w:val="99"/>
    <w:rsid w:val="005F04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663195">
      <w:bodyDiv w:val="1"/>
      <w:marLeft w:val="0"/>
      <w:marRight w:val="0"/>
      <w:marTop w:val="0"/>
      <w:marBottom w:val="0"/>
      <w:divBdr>
        <w:top w:val="none" w:sz="0" w:space="0" w:color="auto"/>
        <w:left w:val="none" w:sz="0" w:space="0" w:color="auto"/>
        <w:bottom w:val="none" w:sz="0" w:space="0" w:color="auto"/>
        <w:right w:val="none" w:sz="0" w:space="0" w:color="auto"/>
      </w:divBdr>
      <w:divsChild>
        <w:div w:id="1537502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E0C4-42D9-4649-BEB8-CA38ACD6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6378</Words>
  <Characters>36361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wdm</cp:lastModifiedBy>
  <cp:revision>3</cp:revision>
  <dcterms:created xsi:type="dcterms:W3CDTF">2020-09-12T11:53:00Z</dcterms:created>
  <dcterms:modified xsi:type="dcterms:W3CDTF">2020-09-16T08:39:00Z</dcterms:modified>
</cp:coreProperties>
</file>