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1F5C" w14:textId="1FA7E381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Name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Journal: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World</w:t>
      </w:r>
      <w:r w:rsidR="00F86F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Journal</w:t>
      </w:r>
      <w:r w:rsidR="00F86F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of</w:t>
      </w:r>
      <w:r w:rsidR="00F86F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Hepatology</w:t>
      </w:r>
    </w:p>
    <w:p w14:paraId="175FD674" w14:textId="059F45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bookmarkStart w:id="0" w:name="_Hlk49506637"/>
      <w:r w:rsidRPr="000A456E">
        <w:rPr>
          <w:rFonts w:ascii="Book Antiqua" w:eastAsia="Book Antiqua" w:hAnsi="Book Antiqua" w:cs="Book Antiqua"/>
          <w:b/>
          <w:color w:val="000000"/>
        </w:rPr>
        <w:t>Manuscript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NO: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56519</w:t>
      </w:r>
    </w:p>
    <w:bookmarkEnd w:id="0"/>
    <w:p w14:paraId="52B2E54C" w14:textId="23786363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Manuscript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Type: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REVIEWS</w:t>
      </w:r>
    </w:p>
    <w:p w14:paraId="3413878D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C43F81F" w14:textId="066F13FF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utility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viscoelastic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07AF" w:rsidRPr="000A456E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0692BD8B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67E2FC6" w14:textId="60BEEC55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Wei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60FFC" w:rsidRPr="000A456E">
        <w:rPr>
          <w:rFonts w:ascii="Book Antiqua" w:eastAsia="Book Antiqua" w:hAnsi="Book Antiqua" w:cs="Book Antiqua"/>
          <w:color w:val="000000"/>
        </w:rPr>
        <w:t>disease</w:t>
      </w:r>
    </w:p>
    <w:p w14:paraId="71FB9432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5B713720" w14:textId="64C4D2D1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Henry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Lauren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Jane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</w:t>
      </w:r>
    </w:p>
    <w:p w14:paraId="215CB54C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7CA3E2F2" w14:textId="3655010D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Department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Hepatology,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Middlemore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1071,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</w:p>
    <w:p w14:paraId="364662EA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54D6E5E" w14:textId="5E8242B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Lauren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Jane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Child,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Department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Haematology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Services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Epsom,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1051,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</w:p>
    <w:p w14:paraId="468FF14D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1B28F90E" w14:textId="4FB5579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designed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research,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wrote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paper;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approved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manuscript.</w:t>
      </w:r>
    </w:p>
    <w:p w14:paraId="0DE75F03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0034B02A" w14:textId="1F99858F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FRACP,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Department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Hepatology,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Middlemore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Road,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Otahuhu,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2025,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Auckland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1071,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wiskeydelta@gmail.com</w:t>
      </w:r>
    </w:p>
    <w:p w14:paraId="0056E5F9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20C1231B" w14:textId="7FDBA6D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2C6C73A7" w14:textId="3F89C8F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June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579D8BF8" w14:textId="749F2451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6BBD" w:rsidRPr="00C76BBD">
        <w:rPr>
          <w:rFonts w:ascii="Book Antiqua" w:eastAsia="Book Antiqua" w:hAnsi="Book Antiqua" w:cs="Book Antiqua"/>
          <w:bCs/>
          <w:color w:val="000000"/>
        </w:rPr>
        <w:t>September 1, 2020</w:t>
      </w:r>
    </w:p>
    <w:p w14:paraId="520F976D" w14:textId="6500FEB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B31092A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  <w:sectPr w:rsidR="00A77B3E" w:rsidRPr="000A456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95E8E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ED66AC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BACKGROUND</w:t>
      </w:r>
    </w:p>
    <w:p w14:paraId="70889C57" w14:textId="49933F91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reliably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separate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(TEG)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accurate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identifying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</w:p>
    <w:p w14:paraId="43E296DD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6C26D6E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AIM</w:t>
      </w:r>
    </w:p>
    <w:p w14:paraId="4BED0A4C" w14:textId="6896BD1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5FB0F0AE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220E32B5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METHODS</w:t>
      </w:r>
    </w:p>
    <w:p w14:paraId="15BC0806" w14:textId="2093E036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PubMed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key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“TEG”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“viscoelastic”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“cirrhosis”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“transfusion”,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”,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”.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text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undertaken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subjects,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independent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collection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studies.</w:t>
      </w:r>
    </w:p>
    <w:p w14:paraId="698C7F7B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E037F74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RESULTS</w:t>
      </w:r>
    </w:p>
    <w:p w14:paraId="0B9C696B" w14:textId="47DEA8B0" w:rsidR="00A9694D" w:rsidRPr="000A456E" w:rsidRDefault="00D27C18" w:rsidP="0009103D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118),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E827F2"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96),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E827F2"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60)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E827F2" w:rsidRPr="000A456E">
        <w:rPr>
          <w:rFonts w:ascii="Book Antiqua" w:eastAsia="Book Antiqua" w:hAnsi="Book Antiqua" w:cs="Book Antiqua"/>
          <w:i/>
          <w:color w:val="000000"/>
        </w:rPr>
        <w:t>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28).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effective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4425">
        <w:rPr>
          <w:rFonts w:ascii="Book Antiqua" w:eastAsia="Book Antiqua" w:hAnsi="Book Antiqua" w:cs="Book Antiqua"/>
          <w:color w:val="000000"/>
        </w:rPr>
        <w:t>F</w:t>
      </w:r>
      <w:r w:rsidRPr="000A456E">
        <w:rPr>
          <w:rFonts w:ascii="Book Antiqua" w:eastAsia="Book Antiqua" w:hAnsi="Book Antiqua" w:cs="Book Antiqua"/>
          <w:color w:val="000000"/>
        </w:rPr>
        <w:t>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fresh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showed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624425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N</w:t>
      </w:r>
      <w:r w:rsidRPr="000A456E">
        <w:rPr>
          <w:rFonts w:ascii="Book Antiqua" w:eastAsia="Book Antiqua" w:hAnsi="Book Antiqua" w:cs="Book Antiqua"/>
          <w:color w:val="000000"/>
        </w:rPr>
        <w:t>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317802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initial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re-bleeding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7F7236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8672BF"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0.012).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various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point</w:t>
      </w:r>
      <w:r w:rsidR="00D37E93">
        <w:rPr>
          <w:rFonts w:ascii="Book Antiqua" w:eastAsia="Book Antiqua" w:hAnsi="Book Antiqua" w:cs="Book Antiqua"/>
          <w:color w:val="000000"/>
        </w:rPr>
        <w:t>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37E93">
        <w:rPr>
          <w:rFonts w:ascii="Book Antiqua" w:eastAsia="Book Antiqua" w:hAnsi="Book Antiqua" w:cs="Book Antiqua"/>
          <w:color w:val="000000"/>
        </w:rPr>
        <w:t>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7E9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years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arm.</w:t>
      </w:r>
      <w:r w:rsidR="00F86F7B">
        <w:rPr>
          <w:rFonts w:ascii="Book Antiqua" w:hAnsi="Book Antiqua" w:hint="eastAsia"/>
          <w:lang w:eastAsia="zh-CN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30.6%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(</w:t>
      </w:r>
      <w:r w:rsidR="00A9694D"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74.5%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i/>
          <w:caps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&lt;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0.01).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although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unit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reduced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average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(</w:t>
      </w:r>
      <w:r w:rsidR="00A9694D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94D" w:rsidRPr="000A456E">
        <w:rPr>
          <w:rFonts w:ascii="Book Antiqua" w:eastAsia="Book Antiqua" w:hAnsi="Book Antiqua" w:cs="Book Antiqua"/>
          <w:color w:val="000000"/>
        </w:rPr>
        <w:t>0.012).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5D18D710" w14:textId="77777777" w:rsidR="00A77B3E" w:rsidRPr="000A456E" w:rsidRDefault="00A77B3E" w:rsidP="005D60FA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CFF619F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CONCLUSION</w:t>
      </w:r>
    </w:p>
    <w:p w14:paraId="0C50DE51" w14:textId="2C35B0F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compromising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156D7CD4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245A9BB9" w14:textId="7568C29B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thrombelastometry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3860D2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4314BF5B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0DFDD3EA" w14:textId="31035AB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Wei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LJ.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A2A79" w:rsidRPr="000A456E">
        <w:rPr>
          <w:rFonts w:ascii="Book Antiqua" w:eastAsia="Book Antiqua" w:hAnsi="Book Antiqua" w:cs="Book Antiqua"/>
          <w:color w:val="000000"/>
        </w:rPr>
        <w:t>disease</w:t>
      </w:r>
      <w:r w:rsidR="00D8442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8442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84428"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84428" w:rsidRPr="000A456E">
        <w:rPr>
          <w:rFonts w:ascii="Book Antiqua" w:eastAsia="Book Antiqua" w:hAnsi="Book Antiqua" w:cs="Book Antiqua"/>
          <w:color w:val="000000"/>
        </w:rPr>
        <w:t>review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press</w:t>
      </w:r>
    </w:p>
    <w:p w14:paraId="5DB760EB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5F0DF7F4" w14:textId="72CCCC4D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point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better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primary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aim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</w:p>
    <w:p w14:paraId="35EE2AA7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7ABA1899" w14:textId="77777777" w:rsidR="0060655C" w:rsidRDefault="0060655C">
      <w:pPr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br w:type="page"/>
      </w:r>
    </w:p>
    <w:p w14:paraId="0CE7086F" w14:textId="52BB690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163B53E8" w14:textId="194E9734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fundamental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maintaining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synthesises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majority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anticoagulants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involved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synthesis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thrombopoietin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(TPO).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complex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rebalanced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homeostasis,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abnormalities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procoagulant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balanced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anticoagulant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[2–5]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D0EACFD" w14:textId="46742226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(PT),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international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normalised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ratio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(INR)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activated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thromboplastin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(APTT)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commonly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complex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abnormalities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validated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first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</w:t>
      </w:r>
      <w:r w:rsidR="0007747C" w:rsidRPr="000A456E">
        <w:rPr>
          <w:rFonts w:ascii="Book Antiqua" w:eastAsia="Book Antiqua" w:hAnsi="Book Antiqua" w:cs="Book Antiqua"/>
          <w:color w:val="000000"/>
        </w:rPr>
        <w:t>%</w:t>
      </w:r>
      <w:r w:rsidRPr="000A456E">
        <w:rPr>
          <w:rFonts w:ascii="Book Antiqua" w:eastAsia="Book Antiqua" w:hAnsi="Book Antiqua" w:cs="Book Antiqua"/>
          <w:color w:val="000000"/>
        </w:rPr>
        <w:t>-10%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fibrin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stability,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vivo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activity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natural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anticoagulants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complex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endothelium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10A7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raised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APTT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2005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prolonged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biopsy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7D4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Pre-operative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[5,</w:t>
      </w:r>
      <w:r w:rsidR="0081176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70F7194" w14:textId="75F9CB56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Fresh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(FFP)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often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attempt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normalise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[3,5]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Major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their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profiles.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correcting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hypertensive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1176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contrast,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British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Endoscopy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D4C1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1194A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recommendations,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lack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support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Multiple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minimal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vivo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effect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mildly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prolonged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[3,5]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dynamic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global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remains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prolonged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PT/INR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APTT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F965E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D4089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211EA6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epidemiological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associated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lung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injury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(TRALI)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administration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volume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expansion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exacerbate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hypertension,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paradoxically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6685046B" w14:textId="634D3C68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concept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rebalanced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limitations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renewed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global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846E96" w:rsidRPr="000A456E">
        <w:rPr>
          <w:rFonts w:ascii="Book Antiqua" w:eastAsia="Book Antiqua" w:hAnsi="Book Antiqua" w:cs="Book Antiqua"/>
          <w:color w:val="000000"/>
        </w:rPr>
        <w:t>(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846E96" w:rsidRPr="000A456E">
        <w:rPr>
          <w:rFonts w:ascii="Book Antiqua" w:eastAsia="Book Antiqua" w:hAnsi="Book Antiqua" w:cs="Book Antiqua"/>
          <w:color w:val="000000"/>
        </w:rPr>
        <w:t>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(TEG)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thrombelastometry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(ROTEM)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global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information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factors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concept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example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Figures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comparison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parameters.</w:t>
      </w:r>
    </w:p>
    <w:p w14:paraId="18076BEB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FC3D130" w14:textId="43FC203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Relevance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this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463D0ED4" w14:textId="5AC884A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established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commonly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Observational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cohort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alterations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parameters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Pre-operative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massive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during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Unlike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re-bleeding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hypocoagulable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little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reserve.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explain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F6EC68A" w14:textId="705CC6D6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abnormalities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correlate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distinguish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surgical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anatomic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causes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hypertension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due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underlying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Recent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suggest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potential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accurately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avoiding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unnecessary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financial,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resource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implications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CC41A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47C368B6" w14:textId="7056C34B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aim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benefits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harms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implementation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efficacious,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implications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</w:p>
    <w:p w14:paraId="2E94DA05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1F7CCBBC" w14:textId="67390AD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MATERIALS</w:t>
      </w:r>
      <w:r w:rsidR="00F86F7B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AND</w:t>
      </w:r>
      <w:r w:rsidR="00F86F7B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METHODS</w:t>
      </w:r>
    </w:p>
    <w:p w14:paraId="59C9E5AB" w14:textId="3A29A2DA" w:rsidR="00A77B3E" w:rsidRDefault="00D27C18" w:rsidP="00A31F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adheres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Preferred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Items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Meta-Analysis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(PRISMA)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B0181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1B0A3D41" w14:textId="77777777" w:rsidR="00741227" w:rsidRPr="000A456E" w:rsidRDefault="00741227" w:rsidP="00A31FCA">
      <w:pPr>
        <w:spacing w:line="360" w:lineRule="auto"/>
        <w:jc w:val="both"/>
        <w:rPr>
          <w:rFonts w:ascii="Book Antiqua" w:hAnsi="Book Antiqua"/>
        </w:rPr>
      </w:pPr>
    </w:p>
    <w:p w14:paraId="317CC616" w14:textId="0ADE353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considering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this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1AC8023A" w14:textId="7A9E44F4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23E3" w:rsidRPr="000A456E">
        <w:rPr>
          <w:rFonts w:ascii="Book Antiqua" w:eastAsia="Book Antiqua" w:hAnsi="Book Antiqua" w:cs="Book Antiqua"/>
          <w:b/>
          <w:color w:val="000000"/>
        </w:rPr>
        <w:t>s</w:t>
      </w:r>
      <w:r w:rsidRPr="000A456E">
        <w:rPr>
          <w:rFonts w:ascii="Book Antiqua" w:eastAsia="Book Antiqua" w:hAnsi="Book Antiqua" w:cs="Book Antiqua"/>
          <w:b/>
          <w:color w:val="000000"/>
        </w:rPr>
        <w:t>tudies: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original,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journal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English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language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irrespective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blinding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status.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observational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language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English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excluded.</w:t>
      </w:r>
    </w:p>
    <w:p w14:paraId="060A2272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DD82BCE" w14:textId="4A093FB0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4524" w:rsidRPr="000A456E">
        <w:rPr>
          <w:rFonts w:ascii="Book Antiqua" w:eastAsia="Book Antiqua" w:hAnsi="Book Antiqua" w:cs="Book Antiqua"/>
          <w:b/>
          <w:color w:val="000000"/>
        </w:rPr>
        <w:t>p</w:t>
      </w:r>
      <w:r w:rsidRPr="000A456E">
        <w:rPr>
          <w:rFonts w:ascii="Book Antiqua" w:eastAsia="Book Antiqua" w:hAnsi="Book Antiqua" w:cs="Book Antiqua"/>
          <w:b/>
          <w:color w:val="000000"/>
        </w:rPr>
        <w:t>articipants: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adult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involving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children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subgroups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population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excluded.</w:t>
      </w:r>
    </w:p>
    <w:p w14:paraId="7915671B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5217EE1" w14:textId="083756C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4524" w:rsidRPr="000A456E">
        <w:rPr>
          <w:rFonts w:ascii="Book Antiqua" w:eastAsia="Book Antiqua" w:hAnsi="Book Antiqua" w:cs="Book Antiqua"/>
          <w:b/>
          <w:color w:val="000000"/>
        </w:rPr>
        <w:t>i</w:t>
      </w:r>
      <w:r w:rsidRPr="000A456E">
        <w:rPr>
          <w:rFonts w:ascii="Book Antiqua" w:eastAsia="Book Antiqua" w:hAnsi="Book Antiqua" w:cs="Book Antiqua"/>
          <w:b/>
          <w:color w:val="000000"/>
        </w:rPr>
        <w:t>nterventions: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strategy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Given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lack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consensus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regarding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strategies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could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defined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10D522F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716A3BF" w14:textId="0929F2D8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Types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E3D85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E3D85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6A94CBF2" w14:textId="3B207A33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Primary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D85" w:rsidRPr="000A456E">
        <w:rPr>
          <w:rFonts w:ascii="Book Antiqua" w:eastAsia="Book Antiqua" w:hAnsi="Book Antiqua" w:cs="Book Antiqua"/>
          <w:b/>
          <w:color w:val="000000"/>
        </w:rPr>
        <w:t>o</w:t>
      </w:r>
      <w:r w:rsidRPr="000A456E">
        <w:rPr>
          <w:rFonts w:ascii="Book Antiqua" w:eastAsia="Book Antiqua" w:hAnsi="Book Antiqua" w:cs="Book Antiqua"/>
          <w:b/>
          <w:color w:val="000000"/>
        </w:rPr>
        <w:t>utcome: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fresh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plasma,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fibrinogen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proportion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average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patient.</w:t>
      </w:r>
    </w:p>
    <w:p w14:paraId="696102E4" w14:textId="77777777" w:rsidR="00A77B3E" w:rsidRPr="000A456E" w:rsidRDefault="00A77B3E" w:rsidP="00A31FCA">
      <w:pPr>
        <w:spacing w:line="360" w:lineRule="auto"/>
        <w:ind w:hanging="265"/>
        <w:jc w:val="both"/>
        <w:rPr>
          <w:rFonts w:ascii="Book Antiqua" w:hAnsi="Book Antiqua"/>
        </w:rPr>
      </w:pPr>
    </w:p>
    <w:p w14:paraId="49B8C7F5" w14:textId="44BED5B1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Secondary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3291" w:rsidRPr="000A456E">
        <w:rPr>
          <w:rFonts w:ascii="Book Antiqua" w:eastAsia="Book Antiqua" w:hAnsi="Book Antiqua" w:cs="Book Antiqua"/>
          <w:b/>
          <w:color w:val="000000"/>
        </w:rPr>
        <w:t>o</w:t>
      </w:r>
      <w:r w:rsidRPr="000A456E">
        <w:rPr>
          <w:rFonts w:ascii="Book Antiqua" w:eastAsia="Book Antiqua" w:hAnsi="Book Antiqua" w:cs="Book Antiqua"/>
          <w:b/>
          <w:color w:val="000000"/>
        </w:rPr>
        <w:t>utcomes: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(1)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(2)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hAnsi="Book Antiqua"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(3)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hAnsi="Book Antiqua"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(4)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longest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follow-up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hAnsi="Book Antiqua"/>
          <w:lang w:eastAsia="zh-CN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(5)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</w:t>
      </w:r>
      <w:r w:rsidR="00593291" w:rsidRPr="000A456E">
        <w:rPr>
          <w:rFonts w:ascii="Book Antiqua" w:eastAsia="Book Antiqua" w:hAnsi="Book Antiqua" w:cs="Book Antiqua"/>
          <w:color w:val="000000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3291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593291" w:rsidRPr="000A456E">
        <w:rPr>
          <w:rFonts w:ascii="Book Antiqua" w:hAnsi="Book Antiqua"/>
          <w:lang w:eastAsia="zh-CN"/>
        </w:rPr>
        <w:t>(6)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hospital.</w:t>
      </w:r>
    </w:p>
    <w:p w14:paraId="50DBE7C1" w14:textId="77777777" w:rsidR="00A77B3E" w:rsidRPr="000A456E" w:rsidRDefault="00A77B3E" w:rsidP="00A31FCA">
      <w:pPr>
        <w:spacing w:line="360" w:lineRule="auto"/>
        <w:ind w:hanging="265"/>
        <w:jc w:val="both"/>
        <w:rPr>
          <w:rFonts w:ascii="Book Antiqua" w:hAnsi="Book Antiqua"/>
        </w:rPr>
      </w:pPr>
    </w:p>
    <w:p w14:paraId="1F56CA95" w14:textId="1575A34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identification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0DA71710" w14:textId="2D9CF76C" w:rsidR="00A77B3E" w:rsidRPr="000A456E" w:rsidRDefault="00D27C18" w:rsidP="00CC41A7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Electronic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3610" w:rsidRPr="000A456E">
        <w:rPr>
          <w:rFonts w:ascii="Book Antiqua" w:eastAsia="Book Antiqua" w:hAnsi="Book Antiqua" w:cs="Book Antiqua"/>
          <w:b/>
          <w:color w:val="000000"/>
        </w:rPr>
        <w:t>s</w:t>
      </w:r>
      <w:r w:rsidRPr="000A456E">
        <w:rPr>
          <w:rFonts w:ascii="Book Antiqua" w:eastAsia="Book Antiqua" w:hAnsi="Book Antiqua" w:cs="Book Antiqua"/>
          <w:b/>
          <w:color w:val="000000"/>
        </w:rPr>
        <w:t>earches: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literature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(PubMed)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original,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English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language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chosen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primarily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because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large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journals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databases.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addition,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targets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healthcare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professionals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researchers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relevant.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authoritative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peer-reviewed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well-designed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accurately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represented.</w:t>
      </w:r>
      <w:r w:rsidR="00F86F7B">
        <w:rPr>
          <w:rFonts w:ascii="Book Antiqua" w:hAnsi="Book Antiqua" w:hint="eastAsia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published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until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17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November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2019.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5E2C75B6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AACAA18" w14:textId="67184E13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Selection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studies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and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data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216" w:rsidRPr="000A456E">
        <w:rPr>
          <w:rFonts w:ascii="Book Antiqua" w:eastAsia="Book Antiqua" w:hAnsi="Book Antiqua" w:cs="Book Antiqua"/>
          <w:b/>
          <w:color w:val="000000"/>
        </w:rPr>
        <w:t>extraction: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PubMed: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CC41A7">
        <w:rPr>
          <w:rFonts w:ascii="Book Antiqua" w:eastAsia="Book Antiqua" w:hAnsi="Book Antiqua" w:cs="Book Antiqua"/>
          <w:color w:val="000000"/>
        </w:rPr>
        <w:t>[</w:t>
      </w:r>
      <w:r w:rsidRPr="000A456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(“liver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“blood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management”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)</w:t>
      </w:r>
      <w:r w:rsidR="00CC41A7">
        <w:rPr>
          <w:rFonts w:ascii="Book Antiqua" w:eastAsia="Book Antiqua" w:hAnsi="Book Antiqua" w:cs="Book Antiqua"/>
          <w:color w:val="000000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D0658E5" w14:textId="287C2AA2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78D44E5" w14:textId="02E2EE23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titles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abstracts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screened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predefined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detailed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above.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text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undertaken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subjects,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exclusion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examined.</w:t>
      </w:r>
    </w:p>
    <w:p w14:paraId="01990134" w14:textId="3F22AB6E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independent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extraction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purpose.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Cochrane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Collaboration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B0181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65CFCCAE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FEC102B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RESULTS</w:t>
      </w:r>
    </w:p>
    <w:p w14:paraId="4E352892" w14:textId="6B96973D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3951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earch</w:t>
      </w:r>
    </w:p>
    <w:p w14:paraId="6862590E" w14:textId="47F45D23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MEDLINE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348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Google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scholar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483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71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duplicates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across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databases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left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760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eligibility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criteria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title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abstract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text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(Figure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4122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1FFF5D22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22A49C2C" w14:textId="2C409BB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A96CC2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96CC2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96CC2"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</w:p>
    <w:p w14:paraId="20080E04" w14:textId="61ED14C9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Included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studies: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A96CC2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ROTEM.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TEG5000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TEG5000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kaolin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activator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MonoTEM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-A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consequence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(Table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3).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across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00E749C" w14:textId="0CA0F54E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lastRenderedPageBreak/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major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societal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across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administered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≥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1.8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&lt;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A96CC2" w:rsidRPr="000A456E">
        <w:rPr>
          <w:rFonts w:ascii="Book Antiqua" w:hAnsi="Book Antiqua"/>
          <w:lang w:val="pl-PL"/>
        </w:rPr>
        <w:t>×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</w:t>
      </w:r>
      <w:r w:rsidR="00A96CC2" w:rsidRPr="000A456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F2319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759C779C" w14:textId="1E79FF06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orthotopic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EA58E17" w14:textId="5181E09D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orthotopic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consistency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safely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surgery.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11.3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deranged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definitions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examining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outside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="00D5335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048C9EC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037713BE" w14:textId="279AD2E4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Risk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bias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included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studies: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quality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moderate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(Figure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(40%)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bias.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randomisation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satisfactorily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regarding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deviations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pre-set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protocol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satisfactorily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60%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missing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selective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A3D0B90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2F14340" w14:textId="4BE9C6B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CADE127" w14:textId="1995708F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4122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outcomes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regards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specific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cells.</w:t>
      </w:r>
    </w:p>
    <w:p w14:paraId="15A370BC" w14:textId="03D963E9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Four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30547C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13.3%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0.010)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absolute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volume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markedly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1345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4605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yielded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analysers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although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thresholds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identical.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FFP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(55.2%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31%)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rebalance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often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failure,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impacted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B0181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A288E6D" w14:textId="6266144E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also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741227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showed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13.3%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30547C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&lt;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0.001)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Again,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volume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markedly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450mL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vs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3405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40ECB2EE" w14:textId="1DD01D63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amount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pooled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cryoprecipitate)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53992B4D" w14:textId="77777777" w:rsidR="00A77B3E" w:rsidRPr="000A456E" w:rsidRDefault="00A77B3E" w:rsidP="00A31FCA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61F16D2" w14:textId="5463E526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F86F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</w:p>
    <w:p w14:paraId="61BB34B4" w14:textId="7B857436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Rates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bleeding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those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undergoing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an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invasive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procedure: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and/or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perioperatively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FF36C9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measured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levels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levels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periprocedural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–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several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Childs-Pugh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complications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either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percutaneous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biopsies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65E1C2FE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  <w:b/>
        </w:rPr>
      </w:pPr>
    </w:p>
    <w:p w14:paraId="21026FCE" w14:textId="1094C9EB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Rates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rebleeding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those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presenting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with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bleeding</w:t>
      </w:r>
      <w:r w:rsidR="00FF36C9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hAnsi="Book Antiqua"/>
          <w:b/>
          <w:lang w:eastAsia="zh-CN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complications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ability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initial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</w:t>
      </w:r>
      <w:r w:rsidR="00483E00" w:rsidRPr="000A456E">
        <w:rPr>
          <w:rFonts w:ascii="Book Antiqua" w:eastAsia="Book Antiqua" w:hAnsi="Book Antiqua" w:cs="Book Antiqua"/>
          <w:color w:val="000000"/>
        </w:rPr>
        <w:t>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re-bleeding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483E00" w:rsidRPr="000A456E">
        <w:rPr>
          <w:rFonts w:ascii="Book Antiqua" w:eastAsia="Book Antiqua" w:hAnsi="Book Antiqua" w:cs="Book Antiqua"/>
          <w:color w:val="000000"/>
        </w:rPr>
        <w:t>d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re-bled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483E00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0.012)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7587EA07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7A2A1795" w14:textId="2D172DAD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Rates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adverse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events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related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to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blood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transfusion</w:t>
      </w:r>
      <w:r w:rsidR="00483E00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and/or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four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B5351D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available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demonstrated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30.6%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74.5%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population.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TRALI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12.2%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48.9%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independently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panel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experts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appropriate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classification.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mention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whether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leucodepleted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could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potentially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explain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unexpected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results.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reactions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occurred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infrequently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zero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experiencing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adverse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event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B5351D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3BD7B7E0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  <w:b/>
        </w:rPr>
      </w:pPr>
    </w:p>
    <w:p w14:paraId="5DB5D2E2" w14:textId="7AD966C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Overall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mortality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using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longest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follow-up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data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from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each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trial</w:t>
      </w:r>
      <w:r w:rsidR="00B5351D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various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time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points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B5351D" w:rsidRPr="000A4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survival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years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both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might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expect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population.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</w:t>
      </w:r>
      <w:r w:rsidR="00B5351D" w:rsidRPr="000A456E">
        <w:rPr>
          <w:rFonts w:ascii="Book Antiqua" w:eastAsia="Book Antiqua" w:hAnsi="Book Antiqua" w:cs="Book Antiqua"/>
          <w:color w:val="000000"/>
        </w:rPr>
        <w:t>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13.3%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351D" w:rsidRPr="000A456E">
        <w:rPr>
          <w:rFonts w:ascii="Book Antiqua" w:eastAsia="Book Antiqua" w:hAnsi="Book Antiqua" w:cs="Book Antiqua"/>
          <w:color w:val="000000"/>
        </w:rPr>
        <w:t>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351D" w:rsidRPr="000A456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26.7%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value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0.76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small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number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participants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each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individual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means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adequately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powered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assess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2367FF05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  <w:b/>
        </w:rPr>
      </w:pPr>
    </w:p>
    <w:p w14:paraId="67AF3144" w14:textId="4CF21AFC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Length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stay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the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intensive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care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unit</w:t>
      </w:r>
      <w:r w:rsidR="00B5351D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unit.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Following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ICU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average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</w:t>
      </w:r>
      <w:r w:rsidR="00575589" w:rsidRPr="000A456E">
        <w:rPr>
          <w:rFonts w:ascii="Book Antiqua" w:eastAsia="Book Antiqua" w:hAnsi="Book Antiqua" w:cs="Book Antiqua"/>
          <w:i/>
          <w:color w:val="000000"/>
        </w:rPr>
        <w:t>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=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0.012)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</w:p>
    <w:p w14:paraId="4701DE5C" w14:textId="77777777" w:rsidR="00B5351D" w:rsidRPr="000A456E" w:rsidRDefault="00B5351D" w:rsidP="00A31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DBC5567" w14:textId="2CE4402E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Number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days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hospital</w:t>
      </w:r>
      <w:r w:rsidR="00B5351D" w:rsidRPr="000A456E">
        <w:rPr>
          <w:rFonts w:ascii="Book Antiqua" w:eastAsia="Book Antiqua" w:hAnsi="Book Antiqua" w:cs="Book Antiqua"/>
          <w:b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reported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hospital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between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two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groups.</w:t>
      </w:r>
    </w:p>
    <w:p w14:paraId="2D250C10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014C8BC5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709AC2C1" w14:textId="5EA27E7B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accepted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rebalanced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haemostasis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procoagulant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balanced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anticoagulant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minority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reliably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separate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FFP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demonstrating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[3,5]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harms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C2E5D2C" w14:textId="7129199B" w:rsidR="00A77B3E" w:rsidRPr="000A456E" w:rsidRDefault="00D27C18" w:rsidP="00A31F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VETs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inform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correlate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allogeneic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non-variceal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12249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</w:t>
      </w:r>
      <w:r w:rsidR="00E21D83"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-</w:t>
      </w:r>
      <w:r w:rsidR="00AD0CA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variceal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re-bleeding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42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D0CA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numbers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cut-offs,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meaningful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9B95E7E" w14:textId="77777777" w:rsidR="00E21D83" w:rsidRPr="000A456E" w:rsidRDefault="00E21D83" w:rsidP="00A31FCA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776AC4D6" w14:textId="77777777" w:rsidR="00E21D83" w:rsidRPr="000A456E" w:rsidRDefault="00E21D83" w:rsidP="00A31FC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/>
        </w:rPr>
      </w:pPr>
      <w:r w:rsidRPr="000A456E">
        <w:rPr>
          <w:rFonts w:ascii="Book Antiqua" w:eastAsia="Book Antiqua" w:hAnsi="Book Antiqua" w:cs="Book Antiqua"/>
          <w:b/>
          <w:caps/>
          <w:color w:val="000000"/>
          <w:u w:val="single"/>
          <w:shd w:val="clear" w:color="auto" w:fill="FFFFFF"/>
        </w:rPr>
        <w:t>conclusion</w:t>
      </w:r>
    </w:p>
    <w:p w14:paraId="560E475E" w14:textId="0C2ACEE4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renewed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haemostasis</w:t>
      </w:r>
      <w:proofErr w:type="spellEnd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earlier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VETs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compromising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safety.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transfusion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  <w:shd w:val="clear" w:color="auto" w:fill="FFFFFF"/>
        </w:rPr>
        <w:t>thresholds,</w:t>
      </w:r>
      <w:r w:rsidR="00F86F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consistent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evidence-based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7CD4C446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097ABD8D" w14:textId="4BECCD2D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ARTICLE</w:t>
      </w:r>
      <w:r w:rsidR="00F86F7B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  <w:u w:val="single"/>
        </w:rPr>
        <w:t>HIGHLIGHTS</w:t>
      </w:r>
    </w:p>
    <w:p w14:paraId="44C6711C" w14:textId="3F1ED80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BEE236E" w14:textId="6F800E5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aps/>
          <w:color w:val="000000"/>
        </w:rPr>
        <w:t>v</w:t>
      </w:r>
      <w:r w:rsidR="00622C66" w:rsidRPr="000A456E">
        <w:rPr>
          <w:rFonts w:ascii="Book Antiqua" w:eastAsia="Book Antiqua" w:hAnsi="Book Antiqua" w:cs="Book Antiqua"/>
          <w:color w:val="000000"/>
        </w:rPr>
        <w:t>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22C66" w:rsidRPr="000A456E">
        <w:rPr>
          <w:rFonts w:ascii="Book Antiqua" w:eastAsia="Book Antiqua" w:hAnsi="Book Antiqua" w:cs="Book Antiqua"/>
          <w:color w:val="000000"/>
        </w:rPr>
        <w:t>(VETs)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73EF"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0A73EF" w:rsidRPr="000A456E">
        <w:rPr>
          <w:rFonts w:ascii="Book Antiqua" w:eastAsia="Book Antiqua" w:hAnsi="Book Antiqua" w:cs="Book Antiqua"/>
          <w:color w:val="000000"/>
        </w:rPr>
        <w:t>(TEG)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point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widely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setting.</w:t>
      </w:r>
    </w:p>
    <w:p w14:paraId="49D1E7C9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14B5E609" w14:textId="5551828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1469CD8" w14:textId="386EA8A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summary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evaluation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existing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data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important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improve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patients.</w:t>
      </w:r>
    </w:p>
    <w:p w14:paraId="2CFBDF70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55B7A4C7" w14:textId="0AE57FAF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1393F03" w14:textId="220CFDA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verify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C330BF7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1D5ECD36" w14:textId="0AF05B92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8F364B9" w14:textId="6EA47D85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comprehensive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literature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search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performed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according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methodology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evidenced-based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medicine.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required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procedure.</w:t>
      </w:r>
    </w:p>
    <w:p w14:paraId="0C6BF613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24CBDF11" w14:textId="6B44E1C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C395070" w14:textId="6E125B05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included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analysis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examining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prior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procedures,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lastRenderedPageBreak/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overall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utilization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compared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studies.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increase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length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mortality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observed.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those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presenting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bleeding,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statistically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significant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rate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re-bleeding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versus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standard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care.</w:t>
      </w:r>
    </w:p>
    <w:p w14:paraId="7DCFBA8A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253448E1" w14:textId="5425729A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DCA63E" w14:textId="5976FCFA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highlights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reducing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utilization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compromising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safety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enable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ensure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optimally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managed.</w:t>
      </w:r>
    </w:p>
    <w:p w14:paraId="68E295CD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5799CE49" w14:textId="12236A46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86F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28BA72D" w14:textId="4D6A4CA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There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urgent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develop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protocols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utilizing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VET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guide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outside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order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optimize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02994F54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E850528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23BFD9" w14:textId="2568FB6F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710A73">
        <w:rPr>
          <w:rFonts w:ascii="Book Antiqua" w:eastAsia="Book Antiqua" w:hAnsi="Book Antiqua" w:cs="Book Antiqua"/>
          <w:color w:val="000000"/>
        </w:rPr>
        <w:t>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b/>
          <w:bCs/>
          <w:color w:val="000000"/>
        </w:rPr>
        <w:t>Saner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710A73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color w:val="000000"/>
        </w:rPr>
        <w:t>Bezinover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D.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Assessment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critically-ill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failure.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10A73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2019;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10A73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179-186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30855324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710A73">
        <w:rPr>
          <w:rFonts w:ascii="Book Antiqua" w:eastAsia="Book Antiqua" w:hAnsi="Book Antiqua" w:cs="Book Antiqua"/>
          <w:color w:val="000000"/>
        </w:rPr>
        <w:t>10.1097/MCC.0000000000000591]</w:t>
      </w:r>
    </w:p>
    <w:p w14:paraId="5683E363" w14:textId="01747EC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b/>
          <w:bCs/>
          <w:color w:val="000000"/>
        </w:rPr>
        <w:t>Stravitz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Potential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applications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chronic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(N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Y)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2012;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513-520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23293564]</w:t>
      </w:r>
    </w:p>
    <w:p w14:paraId="1CB73AF6" w14:textId="3CC04768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b/>
          <w:bCs/>
          <w:color w:val="000000"/>
        </w:rPr>
        <w:t>Kujovich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0A456E">
        <w:rPr>
          <w:rFonts w:ascii="Book Antiqua" w:eastAsia="Book Antiqua" w:hAnsi="Book Antiqua" w:cs="Book Antiqua"/>
          <w:color w:val="000000"/>
        </w:rPr>
        <w:t>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Coagulopathy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balancing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Hematology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i/>
          <w:iCs/>
          <w:color w:val="000000"/>
        </w:rPr>
        <w:t>Educ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Program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243-249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26637729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10.1182/asheducation-2015.1.243]</w:t>
      </w:r>
    </w:p>
    <w:p w14:paraId="3C5DBBB8" w14:textId="63D09F8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b/>
          <w:bCs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Dell'Era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Fabris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Salerno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cirrhosis: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platelets.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2006;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440-445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16871542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10.1002/hep.21266]</w:t>
      </w:r>
    </w:p>
    <w:p w14:paraId="170C342C" w14:textId="39EEC24C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lastRenderedPageBreak/>
        <w:t>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Mallett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Chowdary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utility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tests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disease.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2013;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961-974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23638693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10.1111/liv.12158]</w:t>
      </w:r>
    </w:p>
    <w:p w14:paraId="4A3A2D36" w14:textId="1D7464AA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Segal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JB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Dzik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WH;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Medicine/Hemostasis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Network.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Paucity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studies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support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test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results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predict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setting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procedures: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evidence-based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review.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45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1413-1425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16131373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10.1111/j.1537-2995.2005.00546.x]</w:t>
      </w:r>
    </w:p>
    <w:p w14:paraId="34E5576B" w14:textId="1CEF15A4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Curry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NS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Davenport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Pavord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Mallett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Kitchen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Klein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Maybury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Collins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PW,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Laffan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viscoelastic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assays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major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British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Haematology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Guideline.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2018;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182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789-806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30073664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10.1111/bjh.15524]</w:t>
      </w:r>
    </w:p>
    <w:p w14:paraId="5D5785CD" w14:textId="5669100E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Garcia-Tsao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Abraldes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Berzigotti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Bosch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Portal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hypertensive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stratification,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diagnosis,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practice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guidance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Association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study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diseases.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2017;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65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310-335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27786365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10.1002/hep.28906]</w:t>
      </w:r>
    </w:p>
    <w:p w14:paraId="01B4F2D3" w14:textId="51B4F89E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Stanley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Hayes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Millson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Mehrzad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Austin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Ferguson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JW,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Hudson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Christie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JM;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Services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Standards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Committee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British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Gastroenterology.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U.K.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guidelines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64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1680-1704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25887380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10.1136/gutjnl-2015-309262]</w:t>
      </w:r>
    </w:p>
    <w:p w14:paraId="15D44AF7" w14:textId="3B89247C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JH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Acosta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Chandrasekhara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Chathadi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Decker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Early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Evans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Fanelli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Fisher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Foley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KQ,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Fonkalsrud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Muthusamy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Pasha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Saltzman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Sharaf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Cash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BD;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American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Society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Endoscopy.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role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endoscopy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management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hemorrhage.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2014;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80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221-227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25034836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10.1016/j.gie.2013.07.023]</w:t>
      </w:r>
    </w:p>
    <w:p w14:paraId="0C4CB60F" w14:textId="07C99494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Salerno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Cazzaniga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Mannuccio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Evidence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despite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abnormal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conventional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tests.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41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553-558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15726661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10.1002/hep.20569]</w:t>
      </w:r>
    </w:p>
    <w:p w14:paraId="75F11D23" w14:textId="0D6A785A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Gatt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Riddell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Calvaruso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Tuddenham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Makris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Enhanced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cirrhosis-induced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coagulopathy.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8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1994-2000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20546119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10.1111/j.1538-7836.2010.03937.x]</w:t>
      </w:r>
    </w:p>
    <w:p w14:paraId="3DF7B0B1" w14:textId="577DA957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Dell'era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Aghemo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generation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plasma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from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supplemented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normal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plasma: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considerations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efficacy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treatment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fresh-frozen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plasma.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2012;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7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139-144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21298360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10.1007/s11739-011-0528-4]</w:t>
      </w:r>
    </w:p>
    <w:p w14:paraId="62423C35" w14:textId="283C76B7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Benson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AB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Austin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Berg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McFann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Thomas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Ramirez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Rosen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Silliman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Transfusion-related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acute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lung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injury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ICU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admitted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gastrointestinal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36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1710-1717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20658125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10.1007/s00134-010-1954-x]</w:t>
      </w:r>
    </w:p>
    <w:p w14:paraId="220CA927" w14:textId="229ADAAC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Mannucci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PM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Tripodi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disease,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coagulopathies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therapy.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Transfus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2013;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32-36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23058863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10.2450/2012.0151-12]</w:t>
      </w:r>
    </w:p>
    <w:p w14:paraId="5AC20639" w14:textId="3D11A5E0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Lawson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PJ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HB,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Stettler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Pshak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Silliman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Nydam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maximum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amplitude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predicts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massive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transplantation.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2017;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220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171-175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29180179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10.1016/j.jss.2017.05.115]</w:t>
      </w:r>
    </w:p>
    <w:p w14:paraId="6075965E" w14:textId="617CE573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Chau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TN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YW,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Tokunaga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Greenslade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Thrombelastographic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early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1998;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43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267-271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10189856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10.1136/gut.43.2.267]</w:t>
      </w:r>
    </w:p>
    <w:p w14:paraId="1A166FF0" w14:textId="0BF0E103" w:rsidR="00A77B3E" w:rsidRPr="000A456E" w:rsidRDefault="00D5335E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Thalheimer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U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Samonakis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Burroughs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Infection,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coagulation,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2005;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54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556-563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15753544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10.1136/gut.2004.048181]</w:t>
      </w:r>
    </w:p>
    <w:p w14:paraId="69D11138" w14:textId="3E13686A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E6135B">
        <w:rPr>
          <w:rFonts w:ascii="Book Antiqua" w:eastAsia="Book Antiqua" w:hAnsi="Book Antiqua" w:cs="Book Antiqua"/>
          <w:b/>
          <w:bCs/>
          <w:color w:val="000000"/>
        </w:rPr>
        <w:t>Vuyyuru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b/>
          <w:bCs/>
          <w:color w:val="000000"/>
        </w:rPr>
        <w:t>SK</w:t>
      </w:r>
      <w:r w:rsidR="00D27C18" w:rsidRPr="00E6135B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Singh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AD,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E6135B">
        <w:rPr>
          <w:rFonts w:ascii="Book Antiqua" w:eastAsia="Book Antiqua" w:hAnsi="Book Antiqua" w:cs="Book Antiqua"/>
          <w:color w:val="000000"/>
        </w:rPr>
        <w:t>Gamanagatti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SR,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Rout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Gunjan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Shalimar.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Control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Trial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E6135B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E6135B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High-Risk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Liver-Related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Procedures.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b/>
          <w:bCs/>
          <w:color w:val="000000"/>
        </w:rPr>
        <w:t>65</w:t>
      </w:r>
      <w:r w:rsidR="00D27C18" w:rsidRPr="00E6135B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2104-2111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31720889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E6135B">
        <w:rPr>
          <w:rFonts w:ascii="Book Antiqua" w:eastAsia="Book Antiqua" w:hAnsi="Book Antiqua" w:cs="Book Antiqua"/>
          <w:color w:val="000000"/>
        </w:rPr>
        <w:t>10.1007/s10620-019-05939-2]</w:t>
      </w:r>
    </w:p>
    <w:p w14:paraId="148E72AE" w14:textId="64D4333A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SC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Shieh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YC,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Loong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KH,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Mandell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Tsou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MY.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decreases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intraoperative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lastRenderedPageBreak/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during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orthotopic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transplantation: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clinical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42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2590-2593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20832550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10.1016/j.transproceed.2010.05.144]</w:t>
      </w:r>
    </w:p>
    <w:p w14:paraId="37D22ED0" w14:textId="2E3E7911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Pietri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Bianchini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Montalti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Maria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Maira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Begliomini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Gerunda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Benedetto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Garcia-Tsao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Villa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before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invasive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procedures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severe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coagulopathy: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2016;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63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566-573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26340411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10.1002/hep.28148]</w:t>
      </w:r>
    </w:p>
    <w:p w14:paraId="155AC4D8" w14:textId="64AAECB9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Rout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G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Shalimar,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Gunjan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Mahapatra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Kedia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Garg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Nayak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Product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Transfusion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54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255-262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31008867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10.1097/MCG.0000000000001214]</w:t>
      </w:r>
    </w:p>
    <w:p w14:paraId="563E5FCB" w14:textId="69B08EAD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M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Ahmad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Maiwall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Choudhury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Bajpai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Mitra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Saluja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V,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Mohan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Agarwal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Bihari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Shasthry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Jindal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Bhardwaj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Kumar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Sarin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SK.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-Guided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Blood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Component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Cirrhosis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Nonvariceal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Bleeding: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Randomized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Controlled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2020;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71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235-246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31148204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10.1002/hep.30794]</w:t>
      </w:r>
    </w:p>
    <w:p w14:paraId="31EDD9F8" w14:textId="5A45CCC0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24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Moher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Altman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DG;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PRISMA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Group.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Preferred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reporting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items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systematic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reviews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meta-analyses: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PRISMA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Statement.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2009;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3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e123-e130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782"/>
      <w:bookmarkStart w:id="2" w:name="OLE_LINK1783"/>
      <w:r w:rsidR="00D27C18" w:rsidRPr="000A456E">
        <w:rPr>
          <w:rFonts w:ascii="Book Antiqua" w:eastAsia="Book Antiqua" w:hAnsi="Book Antiqua" w:cs="Book Antiqua"/>
          <w:color w:val="000000"/>
        </w:rPr>
        <w:t>21603045</w:t>
      </w:r>
      <w:bookmarkEnd w:id="1"/>
      <w:bookmarkEnd w:id="2"/>
      <w:r w:rsidR="00D27C18" w:rsidRPr="000A456E">
        <w:rPr>
          <w:rFonts w:ascii="Book Antiqua" w:eastAsia="Book Antiqua" w:hAnsi="Book Antiqua" w:cs="Book Antiqua"/>
          <w:color w:val="000000"/>
        </w:rPr>
        <w:t>]</w:t>
      </w:r>
    </w:p>
    <w:p w14:paraId="1C57BF49" w14:textId="76663BC1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25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Sterne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JAC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SavoviÄ</w:t>
      </w:r>
      <w:proofErr w:type="spellEnd"/>
      <w:r w:rsidR="00D27C18" w:rsidRPr="000A456E">
        <w:rPr>
          <w:rFonts w:ascii="Book Antiqua" w:eastAsia="Book Antiqua" w:hAnsi="Book Antiqua" w:cs="Book Antiqua"/>
          <w:color w:val="000000"/>
        </w:rPr>
        <w:t>‡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Elbers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Blencowe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NS,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Boutron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Cates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Cheng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Corbett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Eldridge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Hernán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Hopewell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Hróbjartsson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Junqueira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Kirkham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JJ,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Lasserson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McAleenan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Reeves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BC,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Shepperd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Shrier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Stewart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LA,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Tilling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K,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White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IR,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Whiting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PF,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Higgins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JPT.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RoB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revised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tool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assessing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risk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of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bias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trials.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2019;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366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l4898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31462531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10.1136/bmj.l4898]</w:t>
      </w:r>
    </w:p>
    <w:p w14:paraId="6D520592" w14:textId="7EA9C09E" w:rsidR="00A77B3E" w:rsidRPr="000A456E" w:rsidRDefault="00E6135B" w:rsidP="00A31FC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26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De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Pietri</w:t>
      </w:r>
      <w:proofErr w:type="spellEnd"/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7C18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Bianchini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M,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Rompianesi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G,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Bertellini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7C18" w:rsidRPr="000A456E">
        <w:rPr>
          <w:rFonts w:ascii="Book Antiqua" w:eastAsia="Book Antiqua" w:hAnsi="Book Antiqua" w:cs="Book Antiqua"/>
          <w:color w:val="000000"/>
        </w:rPr>
        <w:t>Begliomini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B.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Thromboelastographic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reference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ranges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for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cirrhotic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patient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population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undergoing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liver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transplantation.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6F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2016;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b/>
          <w:bCs/>
          <w:color w:val="000000"/>
        </w:rPr>
        <w:t>6</w:t>
      </w:r>
      <w:r w:rsidR="00D27C18" w:rsidRPr="000A456E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583-593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[PMID: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27683637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DOI: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D27C18" w:rsidRPr="000A456E">
        <w:rPr>
          <w:rFonts w:ascii="Book Antiqua" w:eastAsia="Book Antiqua" w:hAnsi="Book Antiqua" w:cs="Book Antiqua"/>
          <w:color w:val="000000"/>
        </w:rPr>
        <w:t>10.5500/wjt.v6.i3.583]</w:t>
      </w:r>
    </w:p>
    <w:p w14:paraId="7EAC98C3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  <w:sectPr w:rsidR="00A77B3E" w:rsidRPr="000A45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D723E" w14:textId="77777777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7C482AD" w14:textId="4DF9E9E6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All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authors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declare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have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competing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interests.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</w:p>
    <w:p w14:paraId="18D5EBA2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61BD75F3" w14:textId="60F0C0A5" w:rsidR="001D1A82" w:rsidRPr="000A456E" w:rsidRDefault="001D1A82" w:rsidP="00A31FC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Pr="000A456E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authors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have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read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PRISMA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2009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Checklist,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and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manuscript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was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prepared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and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revised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in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accordance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with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this</w:t>
      </w:r>
      <w:r w:rsidR="00F86F7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Cs/>
          <w:color w:val="000000"/>
        </w:rPr>
        <w:t>checklist.</w:t>
      </w:r>
    </w:p>
    <w:p w14:paraId="3C62CBC9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3530B610" w14:textId="754A1BE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86F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open-access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article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that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was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selected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in-house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editor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fully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peer-reviewed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external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reviewers.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distributed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accordance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with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Creative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Commons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Attribution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456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(CC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BY-NC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4.0)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license,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which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permits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others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to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distribute,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remix,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adapt,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build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upon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non-commercially,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license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their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derivative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works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on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different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terms,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provided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original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work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properly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cited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the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use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is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non-commercial.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See: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C547B3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335C673C" w14:textId="2320C3F8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Manuscript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source: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Unsolicited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76A74" w:rsidRPr="000A456E">
        <w:rPr>
          <w:rFonts w:ascii="Book Antiqua" w:eastAsia="Book Antiqua" w:hAnsi="Book Antiqua" w:cs="Book Antiqua"/>
          <w:color w:val="000000"/>
        </w:rPr>
        <w:t>m</w:t>
      </w:r>
      <w:r w:rsidRPr="000A456E">
        <w:rPr>
          <w:rFonts w:ascii="Book Antiqua" w:eastAsia="Book Antiqua" w:hAnsi="Book Antiqua" w:cs="Book Antiqua"/>
          <w:color w:val="000000"/>
        </w:rPr>
        <w:t>anuscript</w:t>
      </w:r>
    </w:p>
    <w:p w14:paraId="7AF12E07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117FBC74" w14:textId="2E1D761A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Peer-review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started: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4,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6C6D75FF" w14:textId="5178F96A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First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decision: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May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24,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2020</w:t>
      </w:r>
    </w:p>
    <w:p w14:paraId="3E5498E5" w14:textId="7D4B91D6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Article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in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press: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7A5A57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6E88A94" w14:textId="546C3D73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Specialty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type: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Gastroenterology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and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676A74" w:rsidRPr="000A456E">
        <w:rPr>
          <w:rFonts w:ascii="Book Antiqua" w:eastAsia="Book Antiqua" w:hAnsi="Book Antiqua" w:cs="Book Antiqua"/>
          <w:color w:val="000000"/>
        </w:rPr>
        <w:t>h</w:t>
      </w:r>
      <w:r w:rsidRPr="000A456E">
        <w:rPr>
          <w:rFonts w:ascii="Book Antiqua" w:eastAsia="Book Antiqua" w:hAnsi="Book Antiqua" w:cs="Book Antiqua"/>
          <w:color w:val="000000"/>
        </w:rPr>
        <w:t>epatology</w:t>
      </w:r>
    </w:p>
    <w:p w14:paraId="62193AD6" w14:textId="11A3CCE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Country/Territory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of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origin: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New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Zealand</w:t>
      </w:r>
    </w:p>
    <w:p w14:paraId="7CF3133B" w14:textId="5A304EEA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Peer-review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report’s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scientific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quality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35C96E" w14:textId="1FBC99CA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(Excellent):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</w:t>
      </w:r>
    </w:p>
    <w:p w14:paraId="6E7D3256" w14:textId="53152CAD" w:rsidR="00A77B3E" w:rsidRPr="000A456E" w:rsidRDefault="00D27C18" w:rsidP="00A31FCA">
      <w:pPr>
        <w:spacing w:line="360" w:lineRule="auto"/>
        <w:jc w:val="both"/>
        <w:rPr>
          <w:rFonts w:ascii="Book Antiqua" w:hAnsi="Book Antiqua"/>
          <w:lang w:eastAsia="zh-CN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(Very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good):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B</w:t>
      </w:r>
      <w:r w:rsidR="00CC41A7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CC41A7">
        <w:rPr>
          <w:rFonts w:ascii="Book Antiqua" w:eastAsia="Book Antiqua" w:hAnsi="Book Antiqua" w:cs="Book Antiqua"/>
          <w:color w:val="000000"/>
        </w:rPr>
        <w:t>B</w:t>
      </w:r>
    </w:p>
    <w:p w14:paraId="540101FB" w14:textId="1C283889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(Good):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C</w:t>
      </w:r>
    </w:p>
    <w:p w14:paraId="45B5D406" w14:textId="147FA84E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D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(Fair):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</w:t>
      </w:r>
    </w:p>
    <w:p w14:paraId="6B93BBD9" w14:textId="754997DF" w:rsidR="00A77B3E" w:rsidRPr="000A456E" w:rsidRDefault="00D27C18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eastAsia="Book Antiqua" w:hAnsi="Book Antiqua" w:cs="Book Antiqua"/>
          <w:color w:val="000000"/>
        </w:rPr>
        <w:t>Grade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(Poor):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0</w:t>
      </w:r>
    </w:p>
    <w:p w14:paraId="1D9A7396" w14:textId="77777777" w:rsidR="00A77B3E" w:rsidRPr="000A456E" w:rsidRDefault="00A77B3E" w:rsidP="00A31FCA">
      <w:pPr>
        <w:spacing w:line="360" w:lineRule="auto"/>
        <w:jc w:val="both"/>
        <w:rPr>
          <w:rFonts w:ascii="Book Antiqua" w:hAnsi="Book Antiqua"/>
        </w:rPr>
      </w:pPr>
    </w:p>
    <w:p w14:paraId="49510FCB" w14:textId="03CDF65F" w:rsidR="003971D2" w:rsidRPr="000A456E" w:rsidRDefault="00D27C18" w:rsidP="00A31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A456E">
        <w:rPr>
          <w:rFonts w:ascii="Book Antiqua" w:eastAsia="Book Antiqua" w:hAnsi="Book Antiqua" w:cs="Book Antiqua"/>
          <w:b/>
          <w:color w:val="000000"/>
        </w:rPr>
        <w:t>P-Reviewer: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Adam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EH</w:t>
      </w:r>
      <w:r w:rsidR="001E71B9" w:rsidRPr="000A456E">
        <w:rPr>
          <w:rFonts w:ascii="Book Antiqua" w:eastAsia="Book Antiqua" w:hAnsi="Book Antiqua" w:cs="Book Antiqua"/>
          <w:color w:val="000000"/>
        </w:rPr>
        <w:t>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E71B9" w:rsidRPr="000A456E">
        <w:rPr>
          <w:rFonts w:ascii="Book Antiqua" w:eastAsia="Book Antiqua" w:hAnsi="Book Antiqua" w:cs="Book Antiqua"/>
          <w:color w:val="000000"/>
        </w:rPr>
        <w:t>Hilmi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1E71B9" w:rsidRPr="000A456E">
        <w:rPr>
          <w:rFonts w:ascii="Book Antiqua" w:eastAsia="Book Antiqua" w:hAnsi="Book Antiqua" w:cs="Book Antiqua"/>
          <w:color w:val="000000"/>
        </w:rPr>
        <w:t>I,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1E71B9" w:rsidRPr="000A456E">
        <w:rPr>
          <w:rFonts w:ascii="Book Antiqua" w:eastAsia="Book Antiqua" w:hAnsi="Book Antiqua" w:cs="Book Antiqua"/>
          <w:color w:val="000000"/>
        </w:rPr>
        <w:t>Ruiz-</w:t>
      </w:r>
      <w:proofErr w:type="spellStart"/>
      <w:r w:rsidR="001E71B9" w:rsidRPr="000A456E">
        <w:rPr>
          <w:rFonts w:ascii="Book Antiqua" w:eastAsia="Book Antiqua" w:hAnsi="Book Antiqua" w:cs="Book Antiqua"/>
          <w:color w:val="000000"/>
        </w:rPr>
        <w:t>Margáin</w:t>
      </w:r>
      <w:proofErr w:type="spellEnd"/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1E71B9" w:rsidRPr="000A456E">
        <w:rPr>
          <w:rFonts w:ascii="Book Antiqua" w:eastAsia="Book Antiqua" w:hAnsi="Book Antiqua" w:cs="Book Antiqua"/>
          <w:color w:val="000000"/>
        </w:rPr>
        <w:t>A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S-Editor: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Gong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color w:val="000000"/>
        </w:rPr>
        <w:t>ZM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456E">
        <w:rPr>
          <w:rFonts w:ascii="Book Antiqua" w:eastAsia="Book Antiqua" w:hAnsi="Book Antiqua" w:cs="Book Antiqua"/>
          <w:b/>
          <w:color w:val="000000"/>
        </w:rPr>
        <w:t>L-Editor: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6A74" w:rsidRPr="000A456E">
        <w:rPr>
          <w:rFonts w:ascii="Book Antiqua" w:eastAsia="Book Antiqua" w:hAnsi="Book Antiqua" w:cs="Book Antiqua"/>
          <w:b/>
          <w:color w:val="000000"/>
        </w:rPr>
        <w:t>P</w:t>
      </w:r>
      <w:r w:rsidRPr="000A456E">
        <w:rPr>
          <w:rFonts w:ascii="Book Antiqua" w:eastAsia="Book Antiqua" w:hAnsi="Book Antiqua" w:cs="Book Antiqua"/>
          <w:b/>
          <w:color w:val="000000"/>
        </w:rPr>
        <w:t>-Editor:</w:t>
      </w:r>
      <w:r w:rsidR="00F86F7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D7B178" w14:textId="09C99493" w:rsidR="003971D2" w:rsidRPr="000A456E" w:rsidRDefault="003971D2" w:rsidP="00A31FCA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0A456E">
        <w:rPr>
          <w:rFonts w:ascii="Book Antiqua" w:eastAsia="Book Antiqua" w:hAnsi="Book Antiqua" w:cs="Book Antiqua"/>
          <w:b/>
          <w:color w:val="000000"/>
        </w:rPr>
        <w:br w:type="page"/>
      </w:r>
      <w:r w:rsidRPr="000A456E">
        <w:rPr>
          <w:rFonts w:ascii="Book Antiqua" w:hAnsi="Book Antiqua"/>
          <w:b/>
        </w:rPr>
        <w:lastRenderedPageBreak/>
        <w:t>Figure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Legends</w:t>
      </w:r>
    </w:p>
    <w:p w14:paraId="7EC01072" w14:textId="77777777" w:rsidR="00A77B3E" w:rsidRPr="000A456E" w:rsidRDefault="008A0543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  <w:noProof/>
          <w:lang w:eastAsia="zh-CN"/>
        </w:rPr>
        <w:drawing>
          <wp:inline distT="0" distB="0" distL="0" distR="0" wp14:anchorId="6E94FBBD" wp14:editId="316012C3">
            <wp:extent cx="5206624" cy="41744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1160" cy="41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2ED8" w14:textId="17739C3C" w:rsidR="009178BF" w:rsidRPr="000A456E" w:rsidRDefault="003971D2" w:rsidP="001A1222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  <w:b/>
        </w:rPr>
        <w:t>Figure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1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Technique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  <w:b/>
        </w:rPr>
        <w:t>of</w:t>
      </w:r>
      <w:r w:rsidR="00F86F7B">
        <w:rPr>
          <w:rFonts w:ascii="Book Antiqua" w:hAnsi="Book Antiqua"/>
          <w:b/>
        </w:rPr>
        <w:t xml:space="preserve"> </w:t>
      </w:r>
      <w:proofErr w:type="spellStart"/>
      <w:r w:rsidRPr="000A456E">
        <w:rPr>
          <w:rFonts w:ascii="Book Antiqua" w:hAnsi="Book Antiqua"/>
          <w:b/>
        </w:rPr>
        <w:t>thromboelastography</w:t>
      </w:r>
      <w:proofErr w:type="spellEnd"/>
      <w:r w:rsidRPr="000A456E">
        <w:rPr>
          <w:rFonts w:ascii="Book Antiqua" w:hAnsi="Book Antiqua"/>
          <w:b/>
        </w:rPr>
        <w:t>.</w:t>
      </w:r>
      <w:r w:rsidR="00F86F7B">
        <w:rPr>
          <w:rFonts w:ascii="Book Antiqua" w:hAnsi="Book Antiqua"/>
          <w:b/>
        </w:rPr>
        <w:t xml:space="preserve"> </w:t>
      </w:r>
      <w:r w:rsidRPr="000A456E">
        <w:rPr>
          <w:rFonts w:ascii="Book Antiqua" w:hAnsi="Book Antiqua"/>
        </w:rPr>
        <w:t>Whole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blood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pipetted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cup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which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rotates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around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pin.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clot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forms,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resistance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rotation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increases.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resistance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measured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via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electromechanical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transducer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displayed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graphically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with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additional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calculations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performed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integrated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computer.</w:t>
      </w:r>
      <w:r w:rsidR="00F86F7B">
        <w:rPr>
          <w:rFonts w:ascii="Book Antiqua" w:hAnsi="Book Antiqua"/>
        </w:rPr>
        <w:t xml:space="preserve"> </w:t>
      </w:r>
      <w:proofErr w:type="spellStart"/>
      <w:r w:rsidRPr="000A456E">
        <w:rPr>
          <w:rFonts w:ascii="Book Antiqua" w:hAnsi="Book Antiqua"/>
          <w:caps/>
        </w:rPr>
        <w:t>t</w:t>
      </w:r>
      <w:r w:rsidRPr="000A456E">
        <w:rPr>
          <w:rFonts w:ascii="Book Antiqua" w:hAnsi="Book Antiqua"/>
        </w:rPr>
        <w:t>hromboelastography</w:t>
      </w:r>
      <w:proofErr w:type="spellEnd"/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(TEG)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originally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performed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non-citrated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whole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blood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required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up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60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min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complete.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Citrated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blood,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re-calcified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at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of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testing,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now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commonly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used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reduces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turnaround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30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min.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Initiators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of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clotting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such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Kaolin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also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be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added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which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further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reduces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test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time.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TEG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has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faster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turnaround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time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than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conventional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coagulation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tests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with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initial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results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available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within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10</w:t>
      </w:r>
      <w:r w:rsidR="00F86F7B">
        <w:rPr>
          <w:rFonts w:ascii="Book Antiqua" w:hAnsi="Book Antiqua"/>
        </w:rPr>
        <w:t xml:space="preserve"> </w:t>
      </w:r>
      <w:r w:rsidRPr="000A456E">
        <w:rPr>
          <w:rFonts w:ascii="Book Antiqua" w:hAnsi="Book Antiqua"/>
        </w:rPr>
        <w:t>min.</w:t>
      </w:r>
    </w:p>
    <w:p w14:paraId="7C2DFF8A" w14:textId="77777777" w:rsidR="009178BF" w:rsidRPr="000A456E" w:rsidRDefault="009178BF" w:rsidP="00A31FCA">
      <w:pPr>
        <w:tabs>
          <w:tab w:val="left" w:pos="2266"/>
        </w:tabs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</w:rPr>
        <w:tab/>
      </w:r>
    </w:p>
    <w:p w14:paraId="0BB140A1" w14:textId="77777777" w:rsidR="003971D2" w:rsidRPr="000A456E" w:rsidRDefault="009178BF" w:rsidP="00A31FCA">
      <w:pPr>
        <w:spacing w:line="360" w:lineRule="auto"/>
        <w:jc w:val="both"/>
        <w:rPr>
          <w:rFonts w:ascii="Book Antiqua" w:hAnsi="Book Antiqua"/>
        </w:rPr>
      </w:pPr>
      <w:r w:rsidRPr="000A456E">
        <w:rPr>
          <w:rFonts w:ascii="Book Antiqua" w:hAnsi="Book Antiqua"/>
        </w:rPr>
        <w:br w:type="page"/>
      </w:r>
      <w:r w:rsidRPr="000A456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E5A676A" wp14:editId="7C0608A7">
            <wp:extent cx="5820355" cy="4341412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4455" cy="435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8C64" w14:textId="6E969FB3" w:rsidR="00CC41A7" w:rsidRDefault="009178BF" w:rsidP="00A31FCA">
      <w:pPr>
        <w:spacing w:line="360" w:lineRule="auto"/>
        <w:jc w:val="both"/>
        <w:rPr>
          <w:rFonts w:ascii="Book Antiqua" w:hAnsi="Book Antiqua"/>
          <w:lang w:val="en-NZ"/>
        </w:rPr>
        <w:sectPr w:rsidR="00CC41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456E">
        <w:rPr>
          <w:rFonts w:ascii="Book Antiqua" w:hAnsi="Book Antiqua"/>
          <w:b/>
          <w:bCs/>
          <w:lang w:val="en-NZ"/>
        </w:rPr>
        <w:t>Figure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2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Example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of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a</w:t>
      </w:r>
      <w:r w:rsidR="00F86F7B">
        <w:rPr>
          <w:rFonts w:ascii="Book Antiqua" w:hAnsi="Book Antiqua"/>
          <w:b/>
          <w:bCs/>
          <w:lang w:val="en-NZ"/>
        </w:rPr>
        <w:t xml:space="preserve"> </w:t>
      </w:r>
      <w:proofErr w:type="spellStart"/>
      <w:r w:rsidR="007F7236" w:rsidRPr="000A456E">
        <w:rPr>
          <w:rFonts w:ascii="Book Antiqua" w:hAnsi="Book Antiqua"/>
          <w:b/>
          <w:bCs/>
          <w:lang w:val="en-NZ"/>
        </w:rPr>
        <w:t>thromboelastography</w:t>
      </w:r>
      <w:proofErr w:type="spellEnd"/>
      <w:r w:rsidR="00F86F7B">
        <w:rPr>
          <w:rFonts w:ascii="Book Antiqua" w:hAnsi="Book Antiqua"/>
          <w:b/>
          <w:bCs/>
          <w:lang w:val="en-NZ"/>
        </w:rPr>
        <w:t xml:space="preserve"> </w:t>
      </w:r>
      <w:r w:rsidRPr="000A456E">
        <w:rPr>
          <w:rFonts w:ascii="Book Antiqua" w:hAnsi="Book Antiqua"/>
          <w:b/>
          <w:bCs/>
          <w:lang w:val="en-NZ"/>
        </w:rPr>
        <w:t>tracing.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/>
        </w:rPr>
        <w:t>Five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parameters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are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routinely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proofErr w:type="spellStart"/>
      <w:r w:rsidR="007F7236" w:rsidRPr="000A456E">
        <w:rPr>
          <w:rFonts w:ascii="Book Antiqua" w:hAnsi="Book Antiqua"/>
        </w:rPr>
        <w:t>thromboelastography</w:t>
      </w:r>
      <w:proofErr w:type="spellEnd"/>
      <w:r w:rsidR="00F86F7B">
        <w:rPr>
          <w:rFonts w:ascii="Book Antiqua" w:hAnsi="Book Antiqua"/>
          <w:lang w:val="en-NZ"/>
        </w:rPr>
        <w:t xml:space="preserve"> </w:t>
      </w:r>
      <w:r w:rsidR="007F7236" w:rsidRPr="000A456E">
        <w:rPr>
          <w:rFonts w:ascii="Book Antiqua" w:hAnsi="Book Antiqua"/>
          <w:lang w:val="en-NZ"/>
        </w:rPr>
        <w:t>(</w:t>
      </w:r>
      <w:r w:rsidRPr="000A456E">
        <w:rPr>
          <w:rFonts w:ascii="Book Antiqua" w:hAnsi="Book Antiqua"/>
          <w:lang w:val="en-NZ"/>
        </w:rPr>
        <w:t>TEG</w:t>
      </w:r>
      <w:r w:rsidR="007F7236" w:rsidRPr="000A456E">
        <w:rPr>
          <w:rFonts w:ascii="Book Antiqua" w:hAnsi="Book Antiqua"/>
          <w:lang w:val="en-NZ"/>
        </w:rPr>
        <w:t>)</w:t>
      </w:r>
      <w:r w:rsidRPr="000A456E">
        <w:rPr>
          <w:rFonts w:ascii="Book Antiqua" w:hAnsi="Book Antiqua"/>
          <w:lang w:val="en-NZ"/>
        </w:rPr>
        <w:t>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reaction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(R)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time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recorded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minutes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time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taken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start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blood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clotting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until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initial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formation,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defined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when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TEG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trace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amplitude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reaches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2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mm.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dependent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coagulation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factors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generally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corresponds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INR/PT.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kinetic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(K)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time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assesses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rate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formation.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point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where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trace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amplification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reaches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20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which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corresponds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standard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firmness.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K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value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dependent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clotting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factors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intrinsic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pathway,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fibrinogen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platelets.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α-angle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also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corresponds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kinetics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formation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line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drawn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from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base-line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tangent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curve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maximum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amplitude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(MA)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trace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reflects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strength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largely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dependent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platelet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count/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function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to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lesser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extent,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fibrinogen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concentration.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Clot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lysis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is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measured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at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30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min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(Ly-30)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and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reflects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the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degree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of</w:t>
      </w:r>
      <w:r w:rsidR="00F86F7B">
        <w:rPr>
          <w:rFonts w:ascii="Book Antiqua" w:hAnsi="Book Antiqua"/>
          <w:lang w:val="en-NZ"/>
        </w:rPr>
        <w:t xml:space="preserve"> </w:t>
      </w:r>
      <w:r w:rsidRPr="000A456E">
        <w:rPr>
          <w:rFonts w:ascii="Book Antiqua" w:hAnsi="Book Antiqua"/>
          <w:lang w:val="en-NZ"/>
        </w:rPr>
        <w:t>fibrinolysis.</w:t>
      </w:r>
    </w:p>
    <w:p w14:paraId="3AEDA9C8" w14:textId="01511517" w:rsidR="009178BF" w:rsidRPr="000A456E" w:rsidRDefault="008A0543" w:rsidP="00A31FCA">
      <w:pPr>
        <w:spacing w:line="360" w:lineRule="auto"/>
        <w:jc w:val="both"/>
        <w:rPr>
          <w:rFonts w:ascii="Book Antiqua" w:hAnsi="Book Antiqua"/>
          <w:lang w:val="en-NZ"/>
        </w:rPr>
      </w:pPr>
      <w:r w:rsidRPr="000A456E">
        <w:rPr>
          <w:rFonts w:ascii="Book Antiqua" w:hAnsi="Book Antiqua"/>
          <w:lang w:val="en-NZ"/>
        </w:rPr>
        <w:lastRenderedPageBreak/>
        <w:br w:type="page"/>
      </w:r>
      <w:r w:rsidR="00FB207E">
        <w:rPr>
          <w:rFonts w:ascii="Book Antiqua" w:hAnsi="Book Antiqu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75C51" wp14:editId="73EA5F25">
                <wp:simplePos x="0" y="0"/>
                <wp:positionH relativeFrom="column">
                  <wp:posOffset>6985</wp:posOffset>
                </wp:positionH>
                <wp:positionV relativeFrom="paragraph">
                  <wp:posOffset>56515</wp:posOffset>
                </wp:positionV>
                <wp:extent cx="5838190" cy="7553325"/>
                <wp:effectExtent l="0" t="0" r="16510" b="15875"/>
                <wp:wrapNone/>
                <wp:docPr id="2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7553325"/>
                          <a:chOff x="0" y="0"/>
                          <a:chExt cx="58384" cy="7553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" y="51842"/>
                            <a:ext cx="17647" cy="7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5758B" w14:textId="2C44CA77" w:rsidR="003E7254" w:rsidRDefault="003E7254" w:rsidP="008A0543">
                              <w:pPr>
                                <w:jc w:val="center"/>
                              </w:pPr>
                              <w:r>
                                <w:t>Full-text articles assessed for eligibility</w:t>
                              </w:r>
                            </w:p>
                            <w:p w14:paraId="068B1FE7" w14:textId="0BD1A0F5" w:rsidR="003E7254" w:rsidRDefault="003E7254" w:rsidP="008A054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CA6127">
                                <w:rPr>
                                  <w:rFonts w:ascii="Book Antiqua" w:hAnsi="Book Antiqua"/>
                                  <w:i/>
                                </w:rPr>
                                <w:t>n</w:t>
                              </w:r>
                              <w:r>
                                <w:t xml:space="preserve"> =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50" y="51842"/>
                            <a:ext cx="16872" cy="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59A12" w14:textId="122E21E3" w:rsidR="003E7254" w:rsidRDefault="003E7254" w:rsidP="008A0543">
                              <w:pPr>
                                <w:jc w:val="center"/>
                              </w:pPr>
                              <w:r>
                                <w:t>Full-text articles excluded</w:t>
                              </w:r>
                            </w:p>
                            <w:p w14:paraId="58F46E44" w14:textId="13AC80F5" w:rsidR="003E7254" w:rsidRDefault="003E7254" w:rsidP="008A054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CA6127">
                                <w:rPr>
                                  <w:rFonts w:ascii="Book Antiqua" w:hAnsi="Book Antiqua"/>
                                  <w:i/>
                                </w:rPr>
                                <w:t>n</w:t>
                              </w:r>
                              <w:r>
                                <w:t xml:space="preserve"> =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01" y="67665"/>
                            <a:ext cx="18288" cy="7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E80C1" w14:textId="1C026D4F" w:rsidR="003E7254" w:rsidRDefault="003E7254" w:rsidP="008A0543">
                              <w:pPr>
                                <w:jc w:val="center"/>
                              </w:pPr>
                              <w:r>
                                <w:t>Studies included in qualitative synthesis</w:t>
                              </w:r>
                            </w:p>
                            <w:p w14:paraId="7EEE3BFC" w14:textId="4C380F7B" w:rsidR="003E7254" w:rsidRDefault="003E7254" w:rsidP="008A054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CA6127">
                                <w:rPr>
                                  <w:rFonts w:ascii="Book Antiqua" w:hAnsi="Book Antiqua"/>
                                  <w:i/>
                                </w:rPr>
                                <w:t>n</w:t>
                              </w:r>
                              <w:r>
                                <w:t xml:space="preserve"> =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Arrow Connector 246"/>
                        <wps:cNvCnPr>
                          <a:cxnSpLocks noChangeShapeType="1"/>
                        </wps:cNvCnPr>
                        <wps:spPr bwMode="auto">
                          <a:xfrm>
                            <a:off x="21786" y="42937"/>
                            <a:ext cx="0" cy="85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248"/>
                        <wps:cNvCnPr>
                          <a:cxnSpLocks noChangeShapeType="1"/>
                        </wps:cNvCnPr>
                        <wps:spPr bwMode="auto">
                          <a:xfrm>
                            <a:off x="22025" y="58998"/>
                            <a:ext cx="0" cy="85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组合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384" cy="42852"/>
                            <a:chOff x="0" y="0"/>
                            <a:chExt cx="58384" cy="42852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42" cy="65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64CDF" w14:textId="4596D7B2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identified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through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PubMed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database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search</w:t>
                                </w:r>
                              </w:p>
                              <w:p w14:paraId="181FD983" w14:textId="718B319B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348)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74" y="0"/>
                              <a:ext cx="25636" cy="65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5455FA" w14:textId="7F1E3DCB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identified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through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Google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Scholar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database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search</w:t>
                                </w:r>
                              </w:p>
                              <w:p w14:paraId="117352DB" w14:textId="2C0E83A1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483)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Straight Arrow Connector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8" y="8587"/>
                              <a:ext cx="0" cy="85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Arrow Connector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50" y="8428"/>
                              <a:ext cx="0" cy="85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7" y="17254"/>
                              <a:ext cx="37763" cy="8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D4ACEB" w14:textId="550AD2D1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after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duplicates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removed</w:t>
                                </w:r>
                              </w:p>
                              <w:p w14:paraId="75FA777A" w14:textId="1E899F87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760)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traight Arrow Connector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48" y="25285"/>
                              <a:ext cx="0" cy="85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3" y="34349"/>
                              <a:ext cx="21685" cy="8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7A7A8" w14:textId="11461130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screened</w:t>
                                </w:r>
                              </w:p>
                              <w:p w14:paraId="2E37AFD9" w14:textId="42EB2A05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760)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95" y="34349"/>
                              <a:ext cx="18389" cy="85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3ED98" w14:textId="709E02C8" w:rsidR="003E7254" w:rsidRPr="004231B2" w:rsidRDefault="003E7254" w:rsidP="008A0543">
                                <w:pPr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Records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excluded</w:t>
                                </w:r>
                              </w:p>
                              <w:p w14:paraId="206EC3A7" w14:textId="31F30240" w:rsidR="003E7254" w:rsidRPr="004231B2" w:rsidRDefault="003E7254" w:rsidP="008A0543">
                                <w:pPr>
                                  <w:pStyle w:val="ListParagraph"/>
                                  <w:rPr>
                                    <w:rFonts w:ascii="Book Antiqua" w:hAnsi="Book Antiqua"/>
                                  </w:rPr>
                                </w:pP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Ineligible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study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type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(</w:t>
                                </w:r>
                                <w:r w:rsidRPr="00CA6127">
                                  <w:rPr>
                                    <w:rFonts w:ascii="Book Antiqua" w:hAnsi="Book Antiqua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=</w:t>
                                </w: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 </w:t>
                                </w:r>
                                <w:r w:rsidRPr="004231B2">
                                  <w:rPr>
                                    <w:rFonts w:ascii="Book Antiqua" w:hAnsi="Book Antiqua"/>
                                  </w:rPr>
                                  <w:t>711)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traight Arrow Connector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79" y="38563"/>
                              <a:ext cx="736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30135" y="55261"/>
                            <a:ext cx="736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675C51" id="组合 7" o:spid="_x0000_s1026" style="position:absolute;left:0;text-align:left;margin-left:.55pt;margin-top:4.45pt;width:459.7pt;height:594.75pt;z-index:251659264" coordsize="58384,75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642;top:51842;width:17647;height:7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">
                  <v:textbox>
                    <w:txbxContent>
                      <w:p w14:paraId="4155758B" w14:textId="2C44CA77" w:rsidR="003E7254" w:rsidRDefault="003E7254" w:rsidP="008A0543">
                        <w:pPr>
                          <w:jc w:val="center"/>
                        </w:pPr>
                        <w:r>
                          <w:t>Full-text articles assessed for eligibility</w:t>
                        </w:r>
                      </w:p>
                      <w:p w14:paraId="068B1FE7" w14:textId="0BD1A0F5" w:rsidR="003E7254" w:rsidRDefault="003E7254" w:rsidP="008A0543">
                        <w:pPr>
                          <w:jc w:val="center"/>
                        </w:pPr>
                        <w:r>
                          <w:t>(</w:t>
                        </w:r>
                        <w:r w:rsidRPr="00CA6127">
                          <w:rPr>
                            <w:rFonts w:ascii="Book Antiqua" w:hAnsi="Book Antiqua"/>
                            <w:i/>
                          </w:rPr>
                          <w:t>n</w:t>
                        </w:r>
                        <w:r>
                          <w:t xml:space="preserve"> = 5)</w:t>
                        </w:r>
                      </w:p>
                    </w:txbxContent>
                  </v:textbox>
                </v:shape>
                <v:shape id="Text Box 2" o:spid="_x0000_s1028" type="#_x0000_t202" style="position:absolute;left:37450;top:51842;width:16872;height:6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">
                  <v:textbox>
                    <w:txbxContent>
                      <w:p w14:paraId="13059A12" w14:textId="122E21E3" w:rsidR="003E7254" w:rsidRDefault="003E7254" w:rsidP="008A0543">
                        <w:pPr>
                          <w:jc w:val="center"/>
                        </w:pPr>
                        <w:r>
                          <w:t>Full-text articles excluded</w:t>
                        </w:r>
                      </w:p>
                      <w:p w14:paraId="58F46E44" w14:textId="13AC80F5" w:rsidR="003E7254" w:rsidRDefault="003E7254" w:rsidP="008A0543">
                        <w:pPr>
                          <w:jc w:val="center"/>
                        </w:pPr>
                        <w:r>
                          <w:t>(</w:t>
                        </w:r>
                        <w:r w:rsidRPr="00CA6127">
                          <w:rPr>
                            <w:rFonts w:ascii="Book Antiqua" w:hAnsi="Book Antiqua"/>
                            <w:i/>
                          </w:rPr>
                          <w:t>n</w:t>
                        </w:r>
                        <w:r>
                          <w:t xml:space="preserve"> = 0)</w:t>
                        </w:r>
                      </w:p>
                    </w:txbxContent>
                  </v:textbox>
                </v:shape>
                <v:shape id="Text Box 2" o:spid="_x0000_s1029" type="#_x0000_t202" style="position:absolute;left:12801;top:67665;width:18288;height:7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">
                  <v:textbox>
                    <w:txbxContent>
                      <w:p w14:paraId="1D8E80C1" w14:textId="1C026D4F" w:rsidR="003E7254" w:rsidRDefault="003E7254" w:rsidP="008A0543">
                        <w:pPr>
                          <w:jc w:val="center"/>
                        </w:pPr>
                        <w:r>
                          <w:t>Studies included in qualitative synthesis</w:t>
                        </w:r>
                      </w:p>
                      <w:p w14:paraId="7EEE3BFC" w14:textId="4C380F7B" w:rsidR="003E7254" w:rsidRDefault="003E7254" w:rsidP="008A0543">
                        <w:pPr>
                          <w:jc w:val="center"/>
                        </w:pPr>
                        <w:r>
                          <w:t>(</w:t>
                        </w:r>
                        <w:r w:rsidRPr="00CA6127">
                          <w:rPr>
                            <w:rFonts w:ascii="Book Antiqua" w:hAnsi="Book Antiqua"/>
                            <w:i/>
                          </w:rPr>
                          <w:t>n</w:t>
                        </w:r>
                        <w:r>
                          <w:t xml:space="preserve"> = 5)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6" o:spid="_x0000_s1030" type="#_x0000_t32" style="position:absolute;left:21786;top:42937;width:0;height:85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" strokecolor="black [3213]" strokeweight="1.5pt">
                  <v:stroke endarrow="block"/>
                </v:shape>
                <v:shape id="Straight Arrow Connector 248" o:spid="_x0000_s1031" type="#_x0000_t32" style="position:absolute;left:22025;top:58998;width:0;height:85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" strokecolor="black [3213]" strokeweight="1.5pt">
                  <v:stroke endarrow="block"/>
                </v:shape>
                <v:group id="组合 1" o:spid="_x0000_s1032" style="position:absolute;width:58384;height:42852" coordsize="58384,42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Text Box 2" o:spid="_x0000_s1033" type="#_x0000_t202" style="position:absolute;width:25642;height:6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">
                    <v:textbox style="mso-fit-shape-to-text:t">
                      <w:txbxContent>
                        <w:p w14:paraId="42E64CDF" w14:textId="4596D7B2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identified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through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PubMed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database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search</w:t>
                          </w:r>
                        </w:p>
                        <w:p w14:paraId="181FD983" w14:textId="718B319B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348)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26874;width:25636;height:65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">
                    <v:textbox style="mso-fit-shape-to-text:t">
                      <w:txbxContent>
                        <w:p w14:paraId="6F5455FA" w14:textId="7F1E3DCB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identified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through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Google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Scholar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database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search</w:t>
                          </w:r>
                        </w:p>
                        <w:p w14:paraId="117352DB" w14:textId="2C0E83A1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483)</w:t>
                          </w:r>
                        </w:p>
                      </w:txbxContent>
                    </v:textbox>
                  </v:shape>
                  <v:shape id="Straight Arrow Connector 243" o:spid="_x0000_s1035" type="#_x0000_t32" style="position:absolute;left:10098;top:8587;width:0;height:85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" strokecolor="black [3213]" strokeweight="1.5pt">
                    <v:stroke endarrow="block"/>
                  </v:shape>
                  <v:shape id="Straight Arrow Connector 241" o:spid="_x0000_s1036" type="#_x0000_t32" style="position:absolute;left:37450;top:8428;width:0;height:85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" strokecolor="black [3213]" strokeweight="1.5pt">
                    <v:stroke endarrow="block"/>
                  </v:shape>
                  <v:shape id="Text Box 2" o:spid="_x0000_s1037" type="#_x0000_t202" style="position:absolute;left:5327;top:17254;width:37763;height:81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">
                    <v:textbox>
                      <w:txbxContent>
                        <w:p w14:paraId="2CD4ACEB" w14:textId="550AD2D1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after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duplicates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removed</w:t>
                          </w:r>
                        </w:p>
                        <w:p w14:paraId="75FA777A" w14:textId="1E899F87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760)</w:t>
                          </w:r>
                        </w:p>
                      </w:txbxContent>
                    </v:textbox>
                  </v:shape>
                  <v:shape id="Straight Arrow Connector 239" o:spid="_x0000_s1038" type="#_x0000_t32" style="position:absolute;left:21548;top:25285;width:0;height:854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" strokecolor="black [3213]" strokeweight="1.5pt">
                    <v:stroke endarrow="block"/>
                  </v:shape>
                  <v:shape id="Text Box 2" o:spid="_x0000_s1039" type="#_x0000_t202" style="position:absolute;left:10893;top:34349;width:21685;height:8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">
                    <v:textbox>
                      <w:txbxContent>
                        <w:p w14:paraId="4B87A7A8" w14:textId="11461130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screened</w:t>
                          </w:r>
                        </w:p>
                        <w:p w14:paraId="2E37AFD9" w14:textId="42EB2A05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760)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39995;top:34349;width:18389;height:8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">
                    <v:textbox>
                      <w:txbxContent>
                        <w:p w14:paraId="5E73ED98" w14:textId="709E02C8" w:rsidR="003E7254" w:rsidRPr="004231B2" w:rsidRDefault="003E7254" w:rsidP="008A0543">
                          <w:pPr>
                            <w:jc w:val="center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Records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excluded</w:t>
                          </w:r>
                        </w:p>
                        <w:p w14:paraId="206EC3A7" w14:textId="31F30240" w:rsidR="003E7254" w:rsidRPr="004231B2" w:rsidRDefault="003E7254" w:rsidP="008A0543">
                          <w:pPr>
                            <w:pStyle w:val="a7"/>
                            <w:rPr>
                              <w:rFonts w:ascii="Book Antiqua" w:hAnsi="Book Antiqua"/>
                            </w:rPr>
                          </w:pPr>
                          <w:r w:rsidRPr="004231B2">
                            <w:rPr>
                              <w:rFonts w:ascii="Book Antiqua" w:hAnsi="Book Antiqua"/>
                            </w:rPr>
                            <w:t>Ineligible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study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type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(</w:t>
                          </w:r>
                          <w:r w:rsidRPr="00CA6127">
                            <w:rPr>
                              <w:rFonts w:ascii="Book Antiqua" w:hAnsi="Book Antiqua"/>
                              <w:i/>
                            </w:rPr>
                            <w:t>n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=</w:t>
                          </w:r>
                          <w:r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4231B2">
                            <w:rPr>
                              <w:rFonts w:ascii="Book Antiqua" w:hAnsi="Book Antiqua"/>
                            </w:rPr>
                            <w:t>711)</w:t>
                          </w:r>
                        </w:p>
                      </w:txbxContent>
                    </v:textbox>
                  </v:shape>
                  <v:shape id="Straight Arrow Connector 245" o:spid="_x0000_s1041" type="#_x0000_t32" style="position:absolute;left:32679;top:38563;width:736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" strokecolor="black [3213]" strokeweight="1pt">
                    <v:stroke endarrow="block"/>
                  </v:shape>
                </v:group>
                <v:shape id="Straight Arrow Connector 18" o:spid="_x0000_s1042" type="#_x0000_t32" style="position:absolute;left:30135;top:55261;width:736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" strokecolor="black [3213]" strokeweight="1pt">
                  <v:stroke endarrow="block"/>
                </v:shape>
              </v:group>
            </w:pict>
          </mc:Fallback>
        </mc:AlternateContent>
      </w:r>
    </w:p>
    <w:p w14:paraId="339A90C4" w14:textId="189AD9DB" w:rsidR="008A0543" w:rsidRDefault="008A0543" w:rsidP="00A31FCA">
      <w:pPr>
        <w:tabs>
          <w:tab w:val="left" w:pos="6162"/>
        </w:tabs>
        <w:spacing w:line="360" w:lineRule="auto"/>
        <w:rPr>
          <w:rFonts w:ascii="Book Antiqua" w:hAnsi="Book Antiqua"/>
          <w:b/>
          <w:bCs/>
        </w:rPr>
      </w:pPr>
      <w:r w:rsidRPr="000A456E">
        <w:rPr>
          <w:rFonts w:ascii="Book Antiqua" w:hAnsi="Book Antiqua"/>
          <w:b/>
          <w:bCs/>
        </w:rPr>
        <w:lastRenderedPageBreak/>
        <w:t>Figure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3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PRISMA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flow</w:t>
      </w:r>
      <w:r w:rsidR="00F86F7B">
        <w:rPr>
          <w:rFonts w:ascii="Book Antiqua" w:hAnsi="Book Antiqua"/>
          <w:b/>
          <w:bCs/>
        </w:rPr>
        <w:t xml:space="preserve"> </w:t>
      </w:r>
      <w:r w:rsidRPr="000A456E">
        <w:rPr>
          <w:rFonts w:ascii="Book Antiqua" w:hAnsi="Book Antiqua"/>
          <w:b/>
          <w:bCs/>
        </w:rPr>
        <w:t>diagram.</w:t>
      </w:r>
    </w:p>
    <w:p w14:paraId="4E9C09DD" w14:textId="77777777" w:rsidR="008739BE" w:rsidRPr="000A456E" w:rsidRDefault="008739BE" w:rsidP="00A31FCA">
      <w:pPr>
        <w:tabs>
          <w:tab w:val="left" w:pos="6162"/>
        </w:tabs>
        <w:spacing w:line="360" w:lineRule="auto"/>
        <w:rPr>
          <w:rFonts w:ascii="Book Antiqua" w:hAnsi="Book Antiqua"/>
          <w:b/>
          <w:bCs/>
        </w:rPr>
      </w:pPr>
    </w:p>
    <w:p w14:paraId="4BB083F2" w14:textId="77DD52C1" w:rsidR="009178BF" w:rsidRPr="000A456E" w:rsidRDefault="006805E9" w:rsidP="00A31FCA">
      <w:pPr>
        <w:spacing w:line="360" w:lineRule="auto"/>
        <w:rPr>
          <w:rFonts w:ascii="Book Antiqua" w:hAnsi="Book Antiqua"/>
          <w:lang w:val="en-NZ"/>
        </w:rPr>
      </w:pPr>
      <w:r>
        <w:rPr>
          <w:noProof/>
          <w:lang w:eastAsia="zh-CN"/>
        </w:rPr>
        <w:drawing>
          <wp:inline distT="0" distB="0" distL="0" distR="0" wp14:anchorId="0CE8F00E" wp14:editId="5F4E010E">
            <wp:extent cx="6034396" cy="39120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7869" cy="391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2C576" w14:textId="63AB16EF" w:rsidR="007F2319" w:rsidRPr="000A456E" w:rsidRDefault="00451275" w:rsidP="00A31FCA">
      <w:pPr>
        <w:spacing w:line="360" w:lineRule="auto"/>
        <w:rPr>
          <w:rFonts w:ascii="Book Antiqua" w:hAnsi="Book Antiqua"/>
          <w:b/>
          <w:lang w:val="en-NZ"/>
        </w:rPr>
      </w:pPr>
      <w:r w:rsidRPr="000A456E">
        <w:rPr>
          <w:rFonts w:ascii="Book Antiqua" w:hAnsi="Book Antiqua"/>
          <w:b/>
          <w:lang w:val="en-NZ"/>
        </w:rPr>
        <w:t>Figure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4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Author-judged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risk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of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bias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for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each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included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study.</w:t>
      </w:r>
    </w:p>
    <w:p w14:paraId="441E24F2" w14:textId="73A9D30B" w:rsidR="00451275" w:rsidRPr="000A456E" w:rsidRDefault="007F2319" w:rsidP="00A31FCA">
      <w:pPr>
        <w:spacing w:line="360" w:lineRule="auto"/>
        <w:rPr>
          <w:rFonts w:ascii="Book Antiqua" w:hAnsi="Book Antiqua"/>
          <w:b/>
          <w:lang w:val="en-NZ"/>
        </w:rPr>
      </w:pPr>
      <w:r w:rsidRPr="000A456E">
        <w:rPr>
          <w:rFonts w:ascii="Book Antiqua" w:hAnsi="Book Antiqua"/>
          <w:b/>
          <w:lang w:val="en-NZ"/>
        </w:rPr>
        <w:br w:type="page"/>
      </w:r>
      <w:r w:rsidRPr="000A456E">
        <w:rPr>
          <w:rFonts w:ascii="Book Antiqua" w:hAnsi="Book Antiqua"/>
          <w:b/>
          <w:lang w:val="en-NZ"/>
        </w:rPr>
        <w:lastRenderedPageBreak/>
        <w:t>Table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1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Rebalanced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haemostasis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in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chronic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liver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disease</w:t>
      </w:r>
    </w:p>
    <w:tbl>
      <w:tblPr>
        <w:tblStyle w:val="GridTable4"/>
        <w:tblpPr w:leftFromText="180" w:rightFromText="180" w:vertAnchor="text" w:horzAnchor="margin" w:tblpY="244"/>
        <w:tblW w:w="9840" w:type="dxa"/>
        <w:tblBorders>
          <w:top w:val="single" w:sz="4" w:space="0" w:color="000000" w:themeColor="text1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3325"/>
        <w:gridCol w:w="3605"/>
      </w:tblGrid>
      <w:tr w:rsidR="00A31FCA" w:rsidRPr="000A456E" w14:paraId="449D4FD1" w14:textId="77777777" w:rsidTr="003E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left w:val="none" w:sz="0" w:space="0" w:color="auto"/>
              <w:bottom w:val="single" w:sz="4" w:space="0" w:color="666666" w:themeColor="text1" w:themeTint="99"/>
              <w:right w:val="none" w:sz="0" w:space="0" w:color="auto"/>
            </w:tcBorders>
            <w:shd w:val="clear" w:color="auto" w:fill="auto"/>
          </w:tcPr>
          <w:p w14:paraId="537C3307" w14:textId="77777777" w:rsidR="00A31FCA" w:rsidRPr="003E7254" w:rsidRDefault="00A31FCA" w:rsidP="00A31FCA">
            <w:pPr>
              <w:spacing w:line="360" w:lineRule="auto"/>
              <w:rPr>
                <w:rFonts w:ascii="Book Antiqua" w:hAnsi="Book Antiqua"/>
                <w:color w:val="000000" w:themeColor="text1"/>
                <w:lang w:val="en-NZ"/>
              </w:rPr>
            </w:pPr>
          </w:p>
        </w:tc>
        <w:tc>
          <w:tcPr>
            <w:tcW w:w="3325" w:type="dxa"/>
            <w:tcBorders>
              <w:left w:val="none" w:sz="0" w:space="0" w:color="auto"/>
              <w:bottom w:val="single" w:sz="4" w:space="0" w:color="666666" w:themeColor="text1" w:themeTint="99"/>
              <w:right w:val="none" w:sz="0" w:space="0" w:color="auto"/>
            </w:tcBorders>
            <w:shd w:val="clear" w:color="auto" w:fill="auto"/>
          </w:tcPr>
          <w:p w14:paraId="5EBE6896" w14:textId="37A76C0A" w:rsidR="00A31FCA" w:rsidRPr="003E7254" w:rsidRDefault="00A31FCA" w:rsidP="00A31F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Procoagulant</w:t>
            </w:r>
            <w:r w:rsidR="00F86F7B" w:rsidRPr="003E7254">
              <w:rPr>
                <w:rFonts w:ascii="Book Antiqua" w:hAnsi="Book Antiqua"/>
                <w:color w:val="000000" w:themeColor="text1"/>
                <w:lang w:val="en-NZ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factors</w:t>
            </w:r>
          </w:p>
        </w:tc>
        <w:tc>
          <w:tcPr>
            <w:tcW w:w="3605" w:type="dxa"/>
            <w:tcBorders>
              <w:left w:val="none" w:sz="0" w:space="0" w:color="auto"/>
              <w:bottom w:val="single" w:sz="4" w:space="0" w:color="666666" w:themeColor="text1" w:themeTint="99"/>
              <w:right w:val="none" w:sz="0" w:space="0" w:color="auto"/>
            </w:tcBorders>
            <w:shd w:val="clear" w:color="auto" w:fill="auto"/>
          </w:tcPr>
          <w:p w14:paraId="49BF228D" w14:textId="7167B860" w:rsidR="00A31FCA" w:rsidRPr="003E7254" w:rsidRDefault="00A31FCA" w:rsidP="00A31F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Anticoagulant</w:t>
            </w:r>
            <w:r w:rsidR="00F86F7B" w:rsidRPr="003E7254">
              <w:rPr>
                <w:rFonts w:ascii="Book Antiqua" w:hAnsi="Book Antiqua"/>
                <w:color w:val="000000" w:themeColor="text1"/>
                <w:lang w:val="en-NZ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factors</w:t>
            </w:r>
          </w:p>
        </w:tc>
      </w:tr>
      <w:tr w:rsidR="00A31FCA" w:rsidRPr="000A456E" w14:paraId="5A7D9FC7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620BE189" w14:textId="6A949915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Primary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haemostasis</w:t>
            </w:r>
          </w:p>
        </w:tc>
        <w:tc>
          <w:tcPr>
            <w:tcW w:w="3325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7CD83216" w14:textId="5C1B9DBC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Increased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proofErr w:type="spellStart"/>
            <w:r w:rsidRPr="000A456E">
              <w:rPr>
                <w:rFonts w:ascii="Book Antiqua" w:hAnsi="Book Antiqua"/>
                <w:lang w:val="en-NZ"/>
              </w:rPr>
              <w:t>vWF</w:t>
            </w:r>
            <w:proofErr w:type="spellEnd"/>
          </w:p>
          <w:p w14:paraId="0D0676B9" w14:textId="6BDE308F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Reduced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ADAMTS13</w:t>
            </w:r>
          </w:p>
        </w:tc>
        <w:tc>
          <w:tcPr>
            <w:tcW w:w="3605" w:type="dxa"/>
            <w:tcBorders>
              <w:top w:val="single" w:sz="4" w:space="0" w:color="666666" w:themeColor="text1" w:themeTint="99"/>
            </w:tcBorders>
            <w:shd w:val="clear" w:color="auto" w:fill="auto"/>
          </w:tcPr>
          <w:p w14:paraId="4C054D14" w14:textId="77777777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Thrombocytopenia</w:t>
            </w:r>
          </w:p>
          <w:p w14:paraId="026AE91D" w14:textId="00DA5DCC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+/-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="00EC6589" w:rsidRPr="000A456E">
              <w:rPr>
                <w:rFonts w:ascii="Book Antiqua" w:hAnsi="Book Antiqua"/>
                <w:lang w:val="en-NZ"/>
              </w:rPr>
              <w:t>p</w:t>
            </w:r>
            <w:r w:rsidRPr="000A456E">
              <w:rPr>
                <w:rFonts w:ascii="Book Antiqua" w:hAnsi="Book Antiqua"/>
                <w:lang w:val="en-NZ"/>
              </w:rPr>
              <w:t>latelet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dysfunction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</w:p>
        </w:tc>
      </w:tr>
      <w:tr w:rsidR="00A31FCA" w:rsidRPr="000A456E" w14:paraId="6EEC7FC3" w14:textId="77777777" w:rsidTr="002B786D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auto"/>
          </w:tcPr>
          <w:p w14:paraId="20676F83" w14:textId="2D7CE7EA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Secondary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haemostasis/coagulation</w:t>
            </w:r>
          </w:p>
        </w:tc>
        <w:tc>
          <w:tcPr>
            <w:tcW w:w="3325" w:type="dxa"/>
            <w:shd w:val="clear" w:color="auto" w:fill="auto"/>
          </w:tcPr>
          <w:p w14:paraId="3B2DB361" w14:textId="5BF119E7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High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FVIII</w:t>
            </w:r>
          </w:p>
          <w:p w14:paraId="63477251" w14:textId="7F29AC80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Reduced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protein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C,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protein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S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antithrombin</w:t>
            </w:r>
          </w:p>
        </w:tc>
        <w:tc>
          <w:tcPr>
            <w:tcW w:w="3605" w:type="dxa"/>
            <w:shd w:val="clear" w:color="auto" w:fill="auto"/>
          </w:tcPr>
          <w:p w14:paraId="46F984B6" w14:textId="7E993D4A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Reduced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synthesis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of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FII,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FV,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FVII,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FIX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FXI</w:t>
            </w:r>
          </w:p>
          <w:p w14:paraId="6D651A8C" w14:textId="77777777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Dysfibrinogenaemia</w:t>
            </w:r>
          </w:p>
          <w:p w14:paraId="5AB8644B" w14:textId="0F9342DC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fibrinogen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(in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end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stage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disease)</w:t>
            </w:r>
          </w:p>
        </w:tc>
      </w:tr>
      <w:tr w:rsidR="00A31FCA" w:rsidRPr="000A456E" w14:paraId="6B97E30C" w14:textId="77777777" w:rsidTr="002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  <w:shd w:val="clear" w:color="auto" w:fill="auto"/>
          </w:tcPr>
          <w:p w14:paraId="01EE58F9" w14:textId="77777777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Fibrinolysis</w:t>
            </w:r>
          </w:p>
        </w:tc>
        <w:tc>
          <w:tcPr>
            <w:tcW w:w="3325" w:type="dxa"/>
            <w:shd w:val="clear" w:color="auto" w:fill="auto"/>
          </w:tcPr>
          <w:p w14:paraId="2FD8091F" w14:textId="720F2FFE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plasminogen</w:t>
            </w:r>
          </w:p>
          <w:p w14:paraId="0DE2BABE" w14:textId="62FBCFE6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High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PAI-1</w:t>
            </w:r>
          </w:p>
        </w:tc>
        <w:tc>
          <w:tcPr>
            <w:tcW w:w="3605" w:type="dxa"/>
            <w:shd w:val="clear" w:color="auto" w:fill="auto"/>
          </w:tcPr>
          <w:p w14:paraId="4E22B249" w14:textId="15A95C86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antiplasmin</w:t>
            </w:r>
          </w:p>
          <w:p w14:paraId="241E7B41" w14:textId="05DDCE2F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Low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lang w:val="en-NZ"/>
              </w:rPr>
              <w:t>TAFI</w:t>
            </w:r>
          </w:p>
          <w:p w14:paraId="406B3332" w14:textId="70149BFE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val="en-NZ"/>
              </w:rPr>
            </w:pPr>
            <w:r w:rsidRPr="000A456E">
              <w:rPr>
                <w:rFonts w:ascii="Book Antiqua" w:hAnsi="Book Antiqua"/>
                <w:lang w:val="en-NZ"/>
              </w:rPr>
              <w:t>High</w:t>
            </w:r>
            <w:r w:rsidR="00F86F7B">
              <w:rPr>
                <w:rFonts w:ascii="Book Antiqua" w:hAnsi="Book Antiqua"/>
                <w:lang w:val="en-NZ"/>
              </w:rPr>
              <w:t xml:space="preserve"> </w:t>
            </w:r>
            <w:proofErr w:type="spellStart"/>
            <w:r w:rsidRPr="000A456E">
              <w:rPr>
                <w:rFonts w:ascii="Book Antiqua" w:hAnsi="Book Antiqua"/>
                <w:lang w:val="en-NZ"/>
              </w:rPr>
              <w:t>tPA</w:t>
            </w:r>
            <w:proofErr w:type="spellEnd"/>
          </w:p>
        </w:tc>
      </w:tr>
    </w:tbl>
    <w:p w14:paraId="3CEE340D" w14:textId="6A9D749A" w:rsidR="007F2319" w:rsidRPr="000A456E" w:rsidRDefault="00F1576F" w:rsidP="00F1576F">
      <w:pPr>
        <w:spacing w:line="360" w:lineRule="auto"/>
        <w:jc w:val="both"/>
        <w:rPr>
          <w:rFonts w:ascii="Book Antiqua" w:hAnsi="Book Antiqua"/>
          <w:b/>
          <w:lang w:val="en-NZ"/>
        </w:rPr>
      </w:pPr>
      <w:r w:rsidRPr="00A33624">
        <w:rPr>
          <w:rFonts w:ascii="Book Antiqua" w:hAnsi="Book Antiqua"/>
        </w:rPr>
        <w:t>ADAMTS13</w:t>
      </w:r>
      <w:r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Pr="00F1576F">
        <w:rPr>
          <w:rFonts w:ascii="Book Antiqua" w:hAnsi="Book Antiqua"/>
          <w:caps/>
        </w:rPr>
        <w:t>a</w:t>
      </w:r>
      <w:r w:rsidR="00F86F7B">
        <w:rPr>
          <w:rFonts w:ascii="Book Antiqua" w:hAnsi="Book Antiqua"/>
        </w:rPr>
        <w:t xml:space="preserve"> </w:t>
      </w:r>
      <w:bookmarkStart w:id="3" w:name="_GoBack"/>
      <w:proofErr w:type="spellStart"/>
      <w:r w:rsidRPr="00A33624">
        <w:rPr>
          <w:rFonts w:ascii="Book Antiqua" w:hAnsi="Book Antiqua"/>
        </w:rPr>
        <w:t>disintegrin</w:t>
      </w:r>
      <w:proofErr w:type="spellEnd"/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and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metalloproteinase</w:t>
      </w:r>
      <w:r w:rsidR="00F86F7B">
        <w:rPr>
          <w:rFonts w:ascii="Book Antiqua" w:hAnsi="Book Antiqua"/>
        </w:rPr>
        <w:t xml:space="preserve"> </w:t>
      </w:r>
      <w:bookmarkEnd w:id="3"/>
      <w:r w:rsidRPr="00A33624">
        <w:rPr>
          <w:rFonts w:ascii="Book Antiqua" w:hAnsi="Book Antiqua"/>
        </w:rPr>
        <w:t>with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a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thrombospondin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type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1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motif,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member</w:t>
      </w:r>
      <w:r w:rsidR="00F86F7B">
        <w:rPr>
          <w:rFonts w:ascii="Book Antiqua" w:hAnsi="Book Antiqua"/>
        </w:rPr>
        <w:t xml:space="preserve"> </w:t>
      </w:r>
      <w:r w:rsidRPr="00A33624">
        <w:rPr>
          <w:rFonts w:ascii="Book Antiqua" w:hAnsi="Book Antiqua"/>
        </w:rPr>
        <w:t>13</w:t>
      </w:r>
      <w:r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PAI-1</w:t>
      </w:r>
      <w:r w:rsidR="005F3A9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5F3A93" w:rsidRPr="005F3A93">
        <w:rPr>
          <w:rFonts w:ascii="Book Antiqua" w:hAnsi="Book Antiqua"/>
          <w:caps/>
        </w:rPr>
        <w:t>p</w:t>
      </w:r>
      <w:r w:rsidR="005F3A93" w:rsidRPr="00A33624">
        <w:rPr>
          <w:rFonts w:ascii="Book Antiqua" w:hAnsi="Book Antiqua"/>
        </w:rPr>
        <w:t>lasminogen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activator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inhibitor-1</w:t>
      </w:r>
      <w:r w:rsidR="005F3A93"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TAFI</w:t>
      </w:r>
      <w:r w:rsidR="005F3A9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5F3A93" w:rsidRPr="005F3A93">
        <w:rPr>
          <w:rFonts w:ascii="Book Antiqua" w:hAnsi="Book Antiqua"/>
          <w:caps/>
        </w:rPr>
        <w:t>t</w:t>
      </w:r>
      <w:r w:rsidR="005F3A93" w:rsidRPr="00A33624">
        <w:rPr>
          <w:rFonts w:ascii="Book Antiqua" w:hAnsi="Book Antiqua"/>
        </w:rPr>
        <w:t>hrombin-activatable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fibrinolysis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inhibitor</w:t>
      </w:r>
      <w:r w:rsidR="005F3A93"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proofErr w:type="spellStart"/>
      <w:r w:rsidR="005F3A93" w:rsidRPr="00A33624">
        <w:rPr>
          <w:rFonts w:ascii="Book Antiqua" w:hAnsi="Book Antiqua"/>
        </w:rPr>
        <w:t>tPA</w:t>
      </w:r>
      <w:proofErr w:type="spellEnd"/>
      <w:r w:rsidR="005F3A9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Tissue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plasminogen</w:t>
      </w:r>
      <w:r w:rsidR="00F86F7B">
        <w:rPr>
          <w:rFonts w:ascii="Book Antiqua" w:hAnsi="Book Antiqua"/>
        </w:rPr>
        <w:t xml:space="preserve"> </w:t>
      </w:r>
      <w:r w:rsidR="005F3A93" w:rsidRPr="00A33624">
        <w:rPr>
          <w:rFonts w:ascii="Book Antiqua" w:hAnsi="Book Antiqua"/>
        </w:rPr>
        <w:t>activator</w:t>
      </w:r>
      <w:r w:rsidR="00F06243">
        <w:rPr>
          <w:rFonts w:ascii="Book Antiqua" w:hAnsi="Book Antiqua"/>
        </w:rPr>
        <w:t>;</w:t>
      </w:r>
      <w:r w:rsidR="00F86F7B">
        <w:rPr>
          <w:rFonts w:ascii="Book Antiqua" w:hAnsi="Book Antiqua"/>
        </w:rPr>
        <w:t xml:space="preserve"> </w:t>
      </w:r>
      <w:proofErr w:type="spellStart"/>
      <w:r w:rsidR="00F06243" w:rsidRPr="00A33624">
        <w:rPr>
          <w:rFonts w:ascii="Book Antiqua" w:hAnsi="Book Antiqua"/>
        </w:rPr>
        <w:t>vWF</w:t>
      </w:r>
      <w:proofErr w:type="spellEnd"/>
      <w:r w:rsidR="00F06243">
        <w:rPr>
          <w:rFonts w:ascii="Book Antiqua" w:hAnsi="Book Antiqua"/>
        </w:rPr>
        <w:t>:</w:t>
      </w:r>
      <w:r w:rsidR="00F86F7B">
        <w:rPr>
          <w:rFonts w:ascii="Book Antiqua" w:hAnsi="Book Antiqua"/>
        </w:rPr>
        <w:t xml:space="preserve"> </w:t>
      </w:r>
      <w:r w:rsidR="00F06243" w:rsidRPr="00A33624">
        <w:rPr>
          <w:rFonts w:ascii="Book Antiqua" w:hAnsi="Book Antiqua"/>
        </w:rPr>
        <w:t>von</w:t>
      </w:r>
      <w:r w:rsidR="00F86F7B">
        <w:rPr>
          <w:rFonts w:ascii="Book Antiqua" w:hAnsi="Book Antiqua"/>
        </w:rPr>
        <w:t xml:space="preserve"> </w:t>
      </w:r>
      <w:r w:rsidR="00F06243" w:rsidRPr="00A33624">
        <w:rPr>
          <w:rFonts w:ascii="Book Antiqua" w:hAnsi="Book Antiqua"/>
        </w:rPr>
        <w:t>Willebrand</w:t>
      </w:r>
      <w:r w:rsidR="00F86F7B">
        <w:rPr>
          <w:rFonts w:ascii="Book Antiqua" w:hAnsi="Book Antiqua"/>
        </w:rPr>
        <w:t xml:space="preserve"> </w:t>
      </w:r>
      <w:r w:rsidR="00F06243" w:rsidRPr="00A33624">
        <w:rPr>
          <w:rFonts w:ascii="Book Antiqua" w:hAnsi="Book Antiqua"/>
        </w:rPr>
        <w:t>factor</w:t>
      </w:r>
      <w:r>
        <w:rPr>
          <w:rFonts w:ascii="Book Antiqua" w:hAnsi="Book Antiqua"/>
        </w:rPr>
        <w:t>.</w:t>
      </w:r>
    </w:p>
    <w:p w14:paraId="194FB7C2" w14:textId="3B6492C8" w:rsidR="00A31FCA" w:rsidRPr="000A456E" w:rsidRDefault="00A31FCA" w:rsidP="00A31FCA">
      <w:pPr>
        <w:spacing w:line="360" w:lineRule="auto"/>
        <w:rPr>
          <w:rFonts w:ascii="Book Antiqua" w:hAnsi="Book Antiqua"/>
          <w:b/>
          <w:lang w:val="en-NZ"/>
        </w:rPr>
      </w:pPr>
      <w:r w:rsidRPr="000A456E">
        <w:rPr>
          <w:rFonts w:ascii="Book Antiqua" w:hAnsi="Book Antiqua"/>
          <w:b/>
          <w:lang w:val="en-NZ"/>
        </w:rPr>
        <w:br w:type="page"/>
      </w:r>
      <w:r w:rsidRPr="000A456E">
        <w:rPr>
          <w:rFonts w:ascii="Book Antiqua" w:hAnsi="Book Antiqua"/>
          <w:b/>
          <w:lang w:val="en-NZ"/>
        </w:rPr>
        <w:lastRenderedPageBreak/>
        <w:t>Table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2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Comparison</w:t>
      </w:r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of</w:t>
      </w:r>
      <w:r w:rsidR="00F86F7B">
        <w:rPr>
          <w:rFonts w:ascii="Book Antiqua" w:hAnsi="Book Antiqua"/>
          <w:b/>
          <w:lang w:val="en-NZ"/>
        </w:rPr>
        <w:t xml:space="preserve"> </w:t>
      </w:r>
      <w:proofErr w:type="spellStart"/>
      <w:r w:rsidR="00D43910" w:rsidRPr="00D43910">
        <w:rPr>
          <w:rFonts w:ascii="Book Antiqua" w:hAnsi="Book Antiqua"/>
          <w:b/>
          <w:lang w:val="en-NZ"/>
        </w:rPr>
        <w:t>thromboelastography</w:t>
      </w:r>
      <w:proofErr w:type="spellEnd"/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and</w:t>
      </w:r>
      <w:r w:rsidR="00F86F7B">
        <w:rPr>
          <w:rFonts w:ascii="Book Antiqua" w:hAnsi="Book Antiqua"/>
          <w:b/>
          <w:lang w:val="en-NZ"/>
        </w:rPr>
        <w:t xml:space="preserve"> </w:t>
      </w:r>
      <w:r w:rsidR="00D43910" w:rsidRPr="00D43910">
        <w:rPr>
          <w:rFonts w:ascii="Book Antiqua" w:hAnsi="Book Antiqua"/>
          <w:b/>
          <w:lang w:val="en-NZ"/>
        </w:rPr>
        <w:t>rotational</w:t>
      </w:r>
      <w:r w:rsidR="00F86F7B">
        <w:rPr>
          <w:rFonts w:ascii="Book Antiqua" w:hAnsi="Book Antiqua"/>
          <w:b/>
          <w:lang w:val="en-NZ"/>
        </w:rPr>
        <w:t xml:space="preserve"> </w:t>
      </w:r>
      <w:proofErr w:type="spellStart"/>
      <w:r w:rsidR="00D43910" w:rsidRPr="00D43910">
        <w:rPr>
          <w:rFonts w:ascii="Book Antiqua" w:hAnsi="Book Antiqua"/>
          <w:b/>
          <w:lang w:val="en-NZ"/>
        </w:rPr>
        <w:t>thrombelastometry</w:t>
      </w:r>
      <w:proofErr w:type="spellEnd"/>
      <w:r w:rsidR="00F86F7B">
        <w:rPr>
          <w:rFonts w:ascii="Book Antiqua" w:hAnsi="Book Antiqua"/>
          <w:b/>
          <w:lang w:val="en-NZ"/>
        </w:rPr>
        <w:t xml:space="preserve"> </w:t>
      </w:r>
      <w:r w:rsidRPr="000A456E">
        <w:rPr>
          <w:rFonts w:ascii="Book Antiqua" w:hAnsi="Book Antiqua"/>
          <w:b/>
          <w:lang w:val="en-NZ"/>
        </w:rPr>
        <w:t>parameters</w:t>
      </w:r>
    </w:p>
    <w:tbl>
      <w:tblPr>
        <w:tblStyle w:val="GridTable4"/>
        <w:tblW w:w="9782" w:type="dxa"/>
        <w:tblInd w:w="-176" w:type="dxa"/>
        <w:tblBorders>
          <w:top w:val="single" w:sz="4" w:space="0" w:color="000000" w:themeColor="text1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033"/>
        <w:gridCol w:w="2078"/>
      </w:tblGrid>
      <w:tr w:rsidR="00A31FCA" w:rsidRPr="000A456E" w14:paraId="0A054157" w14:textId="77777777" w:rsidTr="003E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494992" w14:textId="77777777" w:rsidR="00A31FCA" w:rsidRPr="003E7254" w:rsidRDefault="00A31FCA" w:rsidP="00A31FCA">
            <w:pPr>
              <w:spacing w:line="360" w:lineRule="auto"/>
              <w:rPr>
                <w:rFonts w:ascii="Book Antiqua" w:hAnsi="Book Antiqua"/>
                <w:color w:val="000000" w:themeColor="text1"/>
                <w:lang w:val="en-NZ"/>
              </w:rPr>
            </w:pPr>
          </w:p>
        </w:tc>
        <w:tc>
          <w:tcPr>
            <w:tcW w:w="2410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983370" w14:textId="77777777" w:rsidR="00A31FCA" w:rsidRPr="003E7254" w:rsidRDefault="00A31FCA" w:rsidP="00A31F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Measurement</w:t>
            </w:r>
          </w:p>
        </w:tc>
        <w:tc>
          <w:tcPr>
            <w:tcW w:w="2033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FA41E2" w14:textId="77777777" w:rsidR="00A31FCA" w:rsidRPr="003E7254" w:rsidRDefault="00A31FCA" w:rsidP="00A31F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TEG</w:t>
            </w:r>
          </w:p>
        </w:tc>
        <w:tc>
          <w:tcPr>
            <w:tcW w:w="2078" w:type="dxa"/>
            <w:tcBorders>
              <w:top w:val="single" w:sz="4" w:space="0" w:color="666666" w:themeColor="text1" w:themeTint="99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BE27AF" w14:textId="77777777" w:rsidR="00A31FCA" w:rsidRPr="003E7254" w:rsidRDefault="00A31FCA" w:rsidP="00A31FC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NZ"/>
              </w:rPr>
            </w:pPr>
            <w:r w:rsidRPr="003E7254">
              <w:rPr>
                <w:rFonts w:ascii="Book Antiqua" w:hAnsi="Book Antiqua"/>
                <w:color w:val="000000" w:themeColor="text1"/>
                <w:lang w:val="en-NZ"/>
              </w:rPr>
              <w:t>ROTEM</w:t>
            </w:r>
          </w:p>
        </w:tc>
      </w:tr>
      <w:tr w:rsidR="00A31FCA" w:rsidRPr="000A456E" w14:paraId="5BACDD7B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000000" w:themeColor="text1"/>
            </w:tcBorders>
            <w:shd w:val="clear" w:color="auto" w:fill="auto"/>
          </w:tcPr>
          <w:p w14:paraId="06A85524" w14:textId="503D0075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Period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of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initial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fibrin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formation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2D6F1D7" w14:textId="7E9BADA2" w:rsidR="00A31FCA" w:rsidRPr="000A456E" w:rsidRDefault="00A31FCA" w:rsidP="00A03F6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(min)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reach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of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2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mm</w:t>
            </w:r>
          </w:p>
        </w:tc>
        <w:tc>
          <w:tcPr>
            <w:tcW w:w="2033" w:type="dxa"/>
            <w:tcBorders>
              <w:top w:val="single" w:sz="4" w:space="0" w:color="000000" w:themeColor="text1"/>
            </w:tcBorders>
            <w:shd w:val="clear" w:color="auto" w:fill="auto"/>
          </w:tcPr>
          <w:p w14:paraId="0B087B95" w14:textId="0DBD8A32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Reaction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(R)</w:t>
            </w:r>
          </w:p>
        </w:tc>
        <w:tc>
          <w:tcPr>
            <w:tcW w:w="207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F79B8A1" w14:textId="1E74B7C3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Clotting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</w:p>
        </w:tc>
      </w:tr>
      <w:tr w:rsidR="00A31FCA" w:rsidRPr="000A456E" w14:paraId="47E434B4" w14:textId="77777777" w:rsidTr="003E7254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1B9A2E9" w14:textId="53421BC2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kinetics</w:t>
            </w:r>
          </w:p>
        </w:tc>
        <w:tc>
          <w:tcPr>
            <w:tcW w:w="2410" w:type="dxa"/>
            <w:shd w:val="clear" w:color="auto" w:fill="auto"/>
          </w:tcPr>
          <w:p w14:paraId="19AB755A" w14:textId="3D6C0E1A" w:rsidR="00A31FCA" w:rsidRPr="000A456E" w:rsidRDefault="00A31FCA" w:rsidP="00A03F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(min)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for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increase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from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2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20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mm</w:t>
            </w:r>
          </w:p>
        </w:tc>
        <w:tc>
          <w:tcPr>
            <w:tcW w:w="2033" w:type="dxa"/>
            <w:shd w:val="clear" w:color="auto" w:fill="auto"/>
          </w:tcPr>
          <w:p w14:paraId="61C1B3B8" w14:textId="7FF306E8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Kinetics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(K)</w:t>
            </w:r>
          </w:p>
        </w:tc>
        <w:tc>
          <w:tcPr>
            <w:tcW w:w="2078" w:type="dxa"/>
            <w:shd w:val="clear" w:color="auto" w:fill="auto"/>
          </w:tcPr>
          <w:p w14:paraId="5F187242" w14:textId="1846E591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formation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time</w:t>
            </w:r>
          </w:p>
        </w:tc>
      </w:tr>
      <w:tr w:rsidR="00A31FCA" w:rsidRPr="000A456E" w14:paraId="3E954167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18C6B85B" w14:textId="54950D7C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kinetics</w:t>
            </w:r>
          </w:p>
        </w:tc>
        <w:tc>
          <w:tcPr>
            <w:tcW w:w="2410" w:type="dxa"/>
            <w:shd w:val="clear" w:color="auto" w:fill="auto"/>
          </w:tcPr>
          <w:p w14:paraId="1A9B422B" w14:textId="5C6A0460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Angle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of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tangent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line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from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initiation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to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the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slope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of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the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developing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curve</w:t>
            </w:r>
          </w:p>
        </w:tc>
        <w:tc>
          <w:tcPr>
            <w:tcW w:w="2033" w:type="dxa"/>
            <w:shd w:val="clear" w:color="auto" w:fill="auto"/>
          </w:tcPr>
          <w:p w14:paraId="51462D8F" w14:textId="5CB6FEB2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Alpha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angle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(α)</w:t>
            </w:r>
          </w:p>
        </w:tc>
        <w:tc>
          <w:tcPr>
            <w:tcW w:w="2078" w:type="dxa"/>
            <w:shd w:val="clear" w:color="auto" w:fill="auto"/>
          </w:tcPr>
          <w:p w14:paraId="0C4E9ACC" w14:textId="1E95403E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Alpha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angle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(α)</w:t>
            </w:r>
          </w:p>
        </w:tc>
      </w:tr>
      <w:tr w:rsidR="00A31FCA" w:rsidRPr="000A456E" w14:paraId="4C9DAF7C" w14:textId="77777777" w:rsidTr="003E7254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EFAD638" w14:textId="6BE4E16A" w:rsidR="00A31FCA" w:rsidRPr="000A456E" w:rsidRDefault="00A31FCA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 w:rsidRPr="000A456E">
              <w:rPr>
                <w:rFonts w:ascii="Book Antiqua" w:hAnsi="Book Antiqua"/>
                <w:b w:val="0"/>
                <w:lang w:val="en-NZ"/>
              </w:rPr>
              <w:t>Maximum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lang w:val="en-NZ"/>
              </w:rPr>
              <w:t>strength</w:t>
            </w:r>
          </w:p>
        </w:tc>
        <w:tc>
          <w:tcPr>
            <w:tcW w:w="2410" w:type="dxa"/>
            <w:shd w:val="clear" w:color="auto" w:fill="auto"/>
          </w:tcPr>
          <w:p w14:paraId="77F91F52" w14:textId="130A5D4D" w:rsidR="00A31FCA" w:rsidRPr="000A456E" w:rsidRDefault="00A31FCA" w:rsidP="00A31F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Peak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(mm)</w:t>
            </w:r>
          </w:p>
        </w:tc>
        <w:tc>
          <w:tcPr>
            <w:tcW w:w="2033" w:type="dxa"/>
            <w:shd w:val="clear" w:color="auto" w:fill="auto"/>
          </w:tcPr>
          <w:p w14:paraId="2B338C18" w14:textId="0B3BBF21" w:rsidR="00A31FCA" w:rsidRPr="000A456E" w:rsidRDefault="00A31FCA" w:rsidP="005576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Maximum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amplitude</w:t>
            </w:r>
          </w:p>
        </w:tc>
        <w:tc>
          <w:tcPr>
            <w:tcW w:w="2078" w:type="dxa"/>
            <w:shd w:val="clear" w:color="auto" w:fill="auto"/>
          </w:tcPr>
          <w:p w14:paraId="73923F92" w14:textId="3F259DFB" w:rsidR="00A31FCA" w:rsidRPr="000A456E" w:rsidRDefault="00A31FCA" w:rsidP="0055767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Maximum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clot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firmness</w:t>
            </w:r>
          </w:p>
        </w:tc>
      </w:tr>
      <w:tr w:rsidR="00A31FCA" w:rsidRPr="000A456E" w14:paraId="7E47740E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5862142B" w14:textId="7780EC36" w:rsidR="00A31FCA" w:rsidRPr="000A456E" w:rsidRDefault="00A03F6B" w:rsidP="00A31FCA">
            <w:pPr>
              <w:spacing w:line="360" w:lineRule="auto"/>
              <w:rPr>
                <w:rFonts w:ascii="Book Antiqua" w:hAnsi="Book Antiqua"/>
                <w:b w:val="0"/>
                <w:lang w:val="en-NZ"/>
              </w:rPr>
            </w:pPr>
            <w:r>
              <w:rPr>
                <w:rFonts w:ascii="Book Antiqua" w:hAnsi="Book Antiqua"/>
                <w:b w:val="0"/>
                <w:lang w:val="en-NZ"/>
              </w:rPr>
              <w:t>Clot</w:t>
            </w:r>
            <w:r w:rsidR="00F86F7B">
              <w:rPr>
                <w:rFonts w:ascii="Book Antiqua" w:hAnsi="Book Antiqua"/>
                <w:b w:val="0"/>
                <w:lang w:val="en-NZ"/>
              </w:rPr>
              <w:t xml:space="preserve"> </w:t>
            </w:r>
            <w:r>
              <w:rPr>
                <w:rFonts w:ascii="Book Antiqua" w:hAnsi="Book Antiqua"/>
                <w:b w:val="0"/>
                <w:lang w:val="en-NZ"/>
              </w:rPr>
              <w:t>stability/</w:t>
            </w:r>
            <w:r w:rsidRPr="000A456E">
              <w:rPr>
                <w:rFonts w:ascii="Book Antiqua" w:hAnsi="Book Antiqua"/>
                <w:b w:val="0"/>
                <w:lang w:val="en-NZ"/>
              </w:rPr>
              <w:t>f</w:t>
            </w:r>
            <w:r w:rsidR="00A31FCA" w:rsidRPr="000A456E">
              <w:rPr>
                <w:rFonts w:ascii="Book Antiqua" w:hAnsi="Book Antiqua"/>
                <w:b w:val="0"/>
                <w:lang w:val="en-NZ"/>
              </w:rPr>
              <w:t>ibrinolysis</w:t>
            </w:r>
          </w:p>
        </w:tc>
        <w:tc>
          <w:tcPr>
            <w:tcW w:w="241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45AC9395" w14:textId="4D03F923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Percent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reduction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curve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at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and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60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minutes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</w:p>
        </w:tc>
        <w:tc>
          <w:tcPr>
            <w:tcW w:w="2033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08A68C6E" w14:textId="0E0DBF91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Lysis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(LY30)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and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lysis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60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(LY60)</w:t>
            </w:r>
          </w:p>
        </w:tc>
        <w:tc>
          <w:tcPr>
            <w:tcW w:w="2078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78660E81" w14:textId="292D6E11" w:rsidR="00A31FCA" w:rsidRPr="000A456E" w:rsidRDefault="00A31FCA" w:rsidP="00A31F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lang w:val="en-NZ"/>
              </w:rPr>
            </w:pPr>
            <w:r w:rsidRPr="000A456E">
              <w:rPr>
                <w:rFonts w:ascii="Book Antiqua" w:hAnsi="Book Antiqua"/>
                <w:bCs/>
                <w:lang w:val="en-NZ"/>
              </w:rPr>
              <w:t>Lysis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index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(LI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  <w:r w:rsidRPr="000A456E">
              <w:rPr>
                <w:rFonts w:ascii="Book Antiqua" w:hAnsi="Book Antiqua"/>
                <w:bCs/>
                <w:lang w:val="en-NZ"/>
              </w:rPr>
              <w:t>30)</w:t>
            </w:r>
            <w:r w:rsidR="00F86F7B">
              <w:rPr>
                <w:rFonts w:ascii="Book Antiqua" w:hAnsi="Book Antiqua"/>
                <w:bCs/>
                <w:lang w:val="en-NZ"/>
              </w:rPr>
              <w:t xml:space="preserve"> </w:t>
            </w:r>
          </w:p>
        </w:tc>
      </w:tr>
    </w:tbl>
    <w:p w14:paraId="163C2D68" w14:textId="78AA2AA7" w:rsidR="008739BE" w:rsidRDefault="008739BE" w:rsidP="009B3714">
      <w:pPr>
        <w:pStyle w:val="NoSpacing"/>
      </w:pPr>
    </w:p>
    <w:p w14:paraId="4EB0C517" w14:textId="589061C2" w:rsidR="008739BE" w:rsidRPr="008739BE" w:rsidRDefault="008739BE" w:rsidP="008739BE">
      <w:pPr>
        <w:rPr>
          <w:lang w:val="en-NZ" w:eastAsia="zh-CN"/>
        </w:rPr>
        <w:sectPr w:rsidR="008739BE" w:rsidRPr="008739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A456E">
        <w:rPr>
          <w:rFonts w:ascii="Book Antiqua" w:hAnsi="Book Antiqua"/>
          <w:lang w:val="en-NZ" w:eastAsia="zh-CN"/>
        </w:rPr>
        <w:t>TEG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0A456E">
        <w:rPr>
          <w:rFonts w:ascii="Book Antiqua" w:hAnsi="Book Antiqua"/>
          <w:caps/>
          <w:lang w:val="en-NZ" w:eastAsia="zh-CN"/>
        </w:rPr>
        <w:t>t</w:t>
      </w:r>
      <w:r w:rsidRPr="000A456E">
        <w:rPr>
          <w:rFonts w:ascii="Book Antiqua" w:hAnsi="Book Antiqua"/>
          <w:lang w:val="en-NZ" w:eastAsia="zh-CN"/>
        </w:rPr>
        <w:t>hromboelastography</w:t>
      </w:r>
      <w:proofErr w:type="spellEnd"/>
      <w:r w:rsidR="00B56021"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6021" w:rsidRPr="000A456E">
        <w:rPr>
          <w:rFonts w:ascii="Book Antiqua" w:hAnsi="Book Antiqua"/>
          <w:lang w:val="en-NZ"/>
        </w:rPr>
        <w:t>ROTEM</w:t>
      </w:r>
      <w:r w:rsidR="00B56021">
        <w:rPr>
          <w:rFonts w:ascii="Book Antiqua" w:eastAsia="Book Antiqua" w:hAnsi="Book Antiqua" w:cs="Book Antiqua"/>
          <w:color w:val="000000"/>
        </w:rPr>
        <w:t>: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r w:rsidR="00B56021" w:rsidRPr="00B56021">
        <w:rPr>
          <w:rFonts w:ascii="Book Antiqua" w:eastAsia="Book Antiqua" w:hAnsi="Book Antiqua" w:cs="Book Antiqua"/>
          <w:caps/>
          <w:color w:val="000000"/>
        </w:rPr>
        <w:t>r</w:t>
      </w:r>
      <w:r w:rsidR="00B56021" w:rsidRPr="000A456E">
        <w:rPr>
          <w:rFonts w:ascii="Book Antiqua" w:eastAsia="Book Antiqua" w:hAnsi="Book Antiqua" w:cs="Book Antiqua"/>
          <w:color w:val="000000"/>
        </w:rPr>
        <w:t>otational</w:t>
      </w:r>
      <w:r w:rsidR="00F86F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6021" w:rsidRPr="000A456E">
        <w:rPr>
          <w:rFonts w:ascii="Book Antiqua" w:eastAsia="Book Antiqua" w:hAnsi="Book Antiqua" w:cs="Book Antiqua"/>
          <w:color w:val="000000"/>
        </w:rPr>
        <w:t>thrombelastometry</w:t>
      </w:r>
      <w:proofErr w:type="spellEnd"/>
      <w:r w:rsidR="003E7254">
        <w:rPr>
          <w:rFonts w:ascii="Book Antiqua" w:eastAsia="Book Antiqua" w:hAnsi="Book Antiqua" w:cs="Book Antiqua"/>
          <w:color w:val="000000"/>
        </w:rPr>
        <w:t>.</w:t>
      </w:r>
    </w:p>
    <w:p w14:paraId="1DA6AD0D" w14:textId="4E9CB428" w:rsidR="002024B4" w:rsidRDefault="002024B4" w:rsidP="002024B4">
      <w:pPr>
        <w:pStyle w:val="NoSpacing"/>
        <w:rPr>
          <w:rFonts w:ascii="Book Antiqua" w:hAnsi="Book Antiqua"/>
          <w:b/>
          <w:sz w:val="24"/>
          <w:szCs w:val="24"/>
        </w:rPr>
      </w:pPr>
      <w:r w:rsidRPr="000A456E">
        <w:rPr>
          <w:rFonts w:ascii="Book Antiqua" w:hAnsi="Book Antiqua"/>
          <w:b/>
          <w:sz w:val="24"/>
          <w:szCs w:val="24"/>
        </w:rPr>
        <w:lastRenderedPageBreak/>
        <w:t>Table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3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Randomised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control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trials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assessing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the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use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of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739BE" w:rsidRPr="008739BE">
        <w:rPr>
          <w:rFonts w:ascii="Book Antiqua" w:hAnsi="Book Antiqua"/>
          <w:b/>
          <w:sz w:val="24"/>
          <w:szCs w:val="24"/>
        </w:rPr>
        <w:t>thromboelastography</w:t>
      </w:r>
      <w:proofErr w:type="spellEnd"/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in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liver</w:t>
      </w:r>
      <w:r w:rsidR="00F86F7B">
        <w:rPr>
          <w:rFonts w:ascii="Book Antiqua" w:hAnsi="Book Antiqua"/>
          <w:b/>
          <w:sz w:val="24"/>
          <w:szCs w:val="24"/>
        </w:rPr>
        <w:t xml:space="preserve"> </w:t>
      </w:r>
      <w:r w:rsidRPr="000A456E">
        <w:rPr>
          <w:rFonts w:ascii="Book Antiqua" w:hAnsi="Book Antiqua"/>
          <w:b/>
          <w:sz w:val="24"/>
          <w:szCs w:val="24"/>
        </w:rPr>
        <w:t>disease</w:t>
      </w:r>
    </w:p>
    <w:p w14:paraId="1E497D07" w14:textId="77777777" w:rsidR="007F2319" w:rsidRPr="008739BE" w:rsidRDefault="007F2319" w:rsidP="00A31FCA">
      <w:pPr>
        <w:spacing w:line="360" w:lineRule="auto"/>
        <w:rPr>
          <w:rFonts w:ascii="Book Antiqua" w:hAnsi="Book Antiqua"/>
          <w:b/>
          <w:lang w:val="en-NZ" w:eastAsia="zh-CN"/>
        </w:rPr>
      </w:pPr>
    </w:p>
    <w:tbl>
      <w:tblPr>
        <w:tblStyle w:val="GridTable4"/>
        <w:tblW w:w="127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1"/>
        <w:gridCol w:w="1049"/>
        <w:gridCol w:w="1574"/>
        <w:gridCol w:w="1516"/>
        <w:gridCol w:w="1559"/>
        <w:gridCol w:w="2552"/>
        <w:gridCol w:w="2126"/>
      </w:tblGrid>
      <w:tr w:rsidR="003E7254" w:rsidRPr="003E7254" w14:paraId="475EDEFE" w14:textId="77777777" w:rsidTr="003E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4E3CF4" w14:textId="77777777" w:rsidR="002024B4" w:rsidRPr="003E7254" w:rsidRDefault="000A0804" w:rsidP="003E7254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bookmarkStart w:id="4" w:name="_Hlk27241980"/>
            <w:r w:rsidRPr="003E7254">
              <w:rPr>
                <w:rFonts w:ascii="Book Antiqua" w:hAnsi="Book Antiqua"/>
                <w:color w:val="000000" w:themeColor="text1"/>
              </w:rPr>
              <w:t>Ref.</w:t>
            </w:r>
          </w:p>
        </w:tc>
        <w:tc>
          <w:tcPr>
            <w:tcW w:w="9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851416" w14:textId="760A367D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Year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0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6079B8" w14:textId="7AF2D4ED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No.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of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patients</w:t>
            </w:r>
          </w:p>
        </w:tc>
        <w:tc>
          <w:tcPr>
            <w:tcW w:w="15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42A46A1" w14:textId="021857AA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Method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of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TEG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51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E496F0" w14:textId="2E096330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TEG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thresholds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for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transfusion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7F1FD3" w14:textId="3FBA3B22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SOC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thresholds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for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transfusion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7F4A2B1" w14:textId="1AFD3D73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Outcomes: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blood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product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olor w:val="000000" w:themeColor="text1"/>
              </w:rPr>
              <w:t>usage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122D41" w14:textId="1419DB93" w:rsidR="002024B4" w:rsidRPr="003E7254" w:rsidRDefault="002024B4" w:rsidP="003E725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3E7254">
              <w:rPr>
                <w:rFonts w:ascii="Book Antiqua" w:hAnsi="Book Antiqua"/>
                <w:color w:val="000000" w:themeColor="text1"/>
              </w:rPr>
              <w:t>Outcomes:</w:t>
            </w:r>
            <w:r w:rsidR="00F86F7B" w:rsidRPr="003E725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3E7254">
              <w:rPr>
                <w:rFonts w:ascii="Book Antiqua" w:hAnsi="Book Antiqua"/>
                <w:caps/>
                <w:color w:val="000000" w:themeColor="text1"/>
              </w:rPr>
              <w:t>o</w:t>
            </w:r>
            <w:r w:rsidRPr="003E7254">
              <w:rPr>
                <w:rFonts w:ascii="Book Antiqua" w:hAnsi="Book Antiqua"/>
                <w:color w:val="000000" w:themeColor="text1"/>
              </w:rPr>
              <w:t>ther</w:t>
            </w:r>
          </w:p>
        </w:tc>
      </w:tr>
      <w:tr w:rsidR="002024B4" w:rsidRPr="000A456E" w14:paraId="1438D326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000000" w:themeColor="text1"/>
            </w:tcBorders>
            <w:shd w:val="clear" w:color="auto" w:fill="auto"/>
          </w:tcPr>
          <w:p w14:paraId="1D9DA1F3" w14:textId="5882040F" w:rsidR="002024B4" w:rsidRPr="009B3714" w:rsidRDefault="002024B4" w:rsidP="003E7254">
            <w:pPr>
              <w:spacing w:line="360" w:lineRule="auto"/>
              <w:rPr>
                <w:rFonts w:ascii="Book Antiqua" w:hAnsi="Book Antiqua"/>
                <w:b w:val="0"/>
                <w:i/>
                <w:iCs/>
              </w:rPr>
            </w:pPr>
            <w:r w:rsidRPr="009B3714">
              <w:rPr>
                <w:rFonts w:ascii="Book Antiqua" w:hAnsi="Book Antiqua"/>
                <w:b w:val="0"/>
                <w:iCs/>
              </w:rPr>
              <w:t>Wang</w:t>
            </w:r>
            <w:r w:rsidR="00F86F7B">
              <w:rPr>
                <w:rFonts w:ascii="Book Antiqua" w:hAnsi="Book Antiqua"/>
                <w:b w:val="0"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i/>
                <w:iCs/>
              </w:rPr>
              <w:t>et</w:t>
            </w:r>
            <w:r w:rsidR="00F86F7B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i/>
                <w:iCs/>
              </w:rPr>
              <w:t>al</w:t>
            </w:r>
            <w:r w:rsidR="009B3714" w:rsidRPr="009B3714">
              <w:rPr>
                <w:rFonts w:ascii="Book Antiqua" w:hAnsi="Book Antiqua"/>
                <w:b w:val="0"/>
                <w:iCs/>
                <w:vertAlign w:val="superscript"/>
              </w:rPr>
              <w:t>[</w:t>
            </w:r>
            <w:r w:rsidR="0012249E">
              <w:rPr>
                <w:rFonts w:ascii="Book Antiqua" w:hAnsi="Book Antiqua"/>
                <w:b w:val="0"/>
                <w:iCs/>
                <w:vertAlign w:val="superscript"/>
              </w:rPr>
              <w:t>20</w:t>
            </w:r>
            <w:r w:rsidR="009B3714" w:rsidRPr="009B3714">
              <w:rPr>
                <w:rFonts w:ascii="Book Antiqua" w:hAnsi="Book Antiqua"/>
                <w:b w:val="0"/>
                <w:iCs/>
                <w:vertAlign w:val="superscript"/>
              </w:rPr>
              <w:t>]</w:t>
            </w:r>
          </w:p>
        </w:tc>
        <w:tc>
          <w:tcPr>
            <w:tcW w:w="931" w:type="dxa"/>
            <w:tcBorders>
              <w:top w:val="single" w:sz="4" w:space="0" w:color="000000" w:themeColor="text1"/>
            </w:tcBorders>
            <w:shd w:val="clear" w:color="auto" w:fill="auto"/>
          </w:tcPr>
          <w:p w14:paraId="435A9B6D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2010</w:t>
            </w:r>
          </w:p>
        </w:tc>
        <w:tc>
          <w:tcPr>
            <w:tcW w:w="1049" w:type="dxa"/>
            <w:tcBorders>
              <w:top w:val="single" w:sz="4" w:space="0" w:color="000000" w:themeColor="text1"/>
            </w:tcBorders>
            <w:shd w:val="clear" w:color="auto" w:fill="auto"/>
          </w:tcPr>
          <w:p w14:paraId="06098EA0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28</w:t>
            </w:r>
          </w:p>
          <w:p w14:paraId="37B1446D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269ADB32" w14:textId="25F3EECE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14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</w:p>
          <w:p w14:paraId="1DD7DF96" w14:textId="69333B72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14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</w:p>
        </w:tc>
        <w:tc>
          <w:tcPr>
            <w:tcW w:w="15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7DA94FD6" w14:textId="5912FFF2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5000</w:t>
            </w:r>
          </w:p>
          <w:p w14:paraId="6368B67B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432D82B2" w14:textId="7F036C31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Kaolin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activated</w:t>
            </w:r>
          </w:p>
          <w:p w14:paraId="43FBC3BA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</w:tcBorders>
            <w:shd w:val="clear" w:color="auto" w:fill="auto"/>
          </w:tcPr>
          <w:p w14:paraId="2C9080FA" w14:textId="7C57DE3D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titrated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maintain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time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min</w:t>
            </w:r>
          </w:p>
          <w:p w14:paraId="3EB0B875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CA13ED7" w14:textId="32744BAE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mm*</w:t>
            </w:r>
          </w:p>
          <w:p w14:paraId="70F48BE1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70A72568" w14:textId="0919FA73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rtl/>
                <w:lang w:bidi="he-IL"/>
              </w:rPr>
            </w:pP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cryoprecipitate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alpha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angle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45</w:t>
            </w:r>
            <w:r w:rsidR="00F86F7B">
              <w:rPr>
                <w:rFonts w:ascii="Book Antiqua" w:hAnsi="Book Antiqua" w:cs="Arial"/>
                <w:rtl/>
                <w:lang w:bidi="he-IL"/>
              </w:rPr>
              <w:t xml:space="preserve"> </w:t>
            </w:r>
            <w:r w:rsidR="00497AF0" w:rsidRPr="000A456E">
              <w:rPr>
                <w:rFonts w:ascii="Book Antiqua" w:hAnsi="Book Antiqua" w:cs="Arial"/>
                <w:lang w:bidi="he-IL"/>
              </w:rPr>
              <w:t>degrees**</w:t>
            </w:r>
          </w:p>
          <w:p w14:paraId="5752EB8F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</w:tcPr>
          <w:p w14:paraId="2323B2A1" w14:textId="311E6ECD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titrated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maintain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and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APTT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less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than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one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and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half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times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control</w:t>
            </w:r>
          </w:p>
          <w:p w14:paraId="2B88909F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120FE34" w14:textId="4D093F8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maintain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 w:cs="Arial"/>
              </w:rPr>
              <w:t>≥</w:t>
            </w:r>
            <w:r w:rsidR="00F86F7B">
              <w:rPr>
                <w:rFonts w:ascii="Book Antiqua" w:hAnsi="Book Antiqua" w:cs="Arial"/>
              </w:rPr>
              <w:t xml:space="preserve"> </w:t>
            </w:r>
            <w:r w:rsidRPr="000A456E">
              <w:rPr>
                <w:rFonts w:ascii="Book Antiqua" w:hAnsi="Book Antiqua"/>
              </w:rPr>
              <w:t>50</w:t>
            </w:r>
            <w:r w:rsidR="00F86F7B">
              <w:rPr>
                <w:rFonts w:ascii="Book Antiqua" w:hAnsi="Book Antiqua"/>
              </w:rPr>
              <w:t xml:space="preserve"> </w:t>
            </w:r>
            <w:r w:rsidR="009B3714" w:rsidRPr="00276E00">
              <w:rPr>
                <w:rFonts w:ascii="Book Antiqua" w:hAnsi="Book Antiqua"/>
                <w:lang w:val="pl-PL"/>
              </w:rPr>
              <w:t>×</w:t>
            </w:r>
            <w:r w:rsidR="00F86F7B">
              <w:rPr>
                <w:rFonts w:ascii="Book Antiqua" w:hAnsi="Book Antiqua"/>
                <w:lang w:val="pl-PL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Pr="000A456E">
              <w:rPr>
                <w:rFonts w:ascii="Book Antiqua" w:hAnsi="Book Antiqua"/>
                <w:vertAlign w:val="superscript"/>
              </w:rPr>
              <w:t>9</w:t>
            </w:r>
          </w:p>
          <w:p w14:paraId="59C4CD95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</w:p>
          <w:p w14:paraId="6E0FABE9" w14:textId="575335D8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Cryoprecipitate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maintain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fibrinogen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g/L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shd w:val="clear" w:color="auto" w:fill="auto"/>
          </w:tcPr>
          <w:p w14:paraId="27930A61" w14:textId="53171BBF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use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(12.8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9B3714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21.5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control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9B3714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0.05)</w:t>
            </w:r>
            <w:r w:rsidR="00F86F7B">
              <w:rPr>
                <w:rFonts w:ascii="Book Antiqua" w:hAnsi="Book Antiqua"/>
              </w:rPr>
              <w:t xml:space="preserve"> </w:t>
            </w:r>
          </w:p>
          <w:p w14:paraId="4F01EBD3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7C0ED86" w14:textId="3837C2E8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RBC,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cryoprecipitate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use</w:t>
            </w:r>
            <w:r w:rsidR="00F86F7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</w:tcPr>
          <w:p w14:paraId="5F64E86C" w14:textId="5E3D2E20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Trend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towards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blood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loss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arm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(not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significant)</w:t>
            </w:r>
            <w:r w:rsidR="00F86F7B">
              <w:rPr>
                <w:rFonts w:ascii="Book Antiqua" w:hAnsi="Book Antiqua"/>
              </w:rPr>
              <w:t xml:space="preserve"> </w:t>
            </w:r>
          </w:p>
          <w:p w14:paraId="3D3560A9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43C9FCAD" w14:textId="5422A276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="00436FE2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="00436FE2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="00436FE2">
              <w:rPr>
                <w:rFonts w:ascii="Book Antiqua" w:hAnsi="Book Antiqua"/>
              </w:rPr>
              <w:t>mortality</w:t>
            </w:r>
            <w:r w:rsidR="00F86F7B">
              <w:rPr>
                <w:rFonts w:ascii="Book Antiqua" w:hAnsi="Book Antiqua"/>
              </w:rPr>
              <w:t xml:space="preserve"> </w:t>
            </w:r>
            <w:r w:rsidR="00436FE2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="00436FE2">
              <w:rPr>
                <w:rFonts w:ascii="Book Antiqua" w:hAnsi="Book Antiqua"/>
              </w:rPr>
              <w:t>3</w:t>
            </w:r>
            <w:r w:rsidR="00F86F7B">
              <w:rPr>
                <w:rFonts w:ascii="Book Antiqua" w:hAnsi="Book Antiqua"/>
              </w:rPr>
              <w:t xml:space="preserve"> </w:t>
            </w:r>
            <w:proofErr w:type="spellStart"/>
            <w:r w:rsidR="00436FE2">
              <w:rPr>
                <w:rFonts w:ascii="Book Antiqua" w:hAnsi="Book Antiqua"/>
              </w:rPr>
              <w:t>yr</w:t>
            </w:r>
            <w:proofErr w:type="spellEnd"/>
          </w:p>
          <w:p w14:paraId="36EF450D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2024B4" w:rsidRPr="000A456E" w14:paraId="7A3C54D0" w14:textId="77777777" w:rsidTr="003E7254">
        <w:trPr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30920F5" w14:textId="7D407B6F" w:rsidR="002024B4" w:rsidRPr="000A456E" w:rsidRDefault="002024B4" w:rsidP="003E7254">
            <w:pPr>
              <w:spacing w:line="360" w:lineRule="auto"/>
              <w:rPr>
                <w:rFonts w:ascii="Book Antiqua" w:hAnsi="Book Antiqua"/>
                <w:b w:val="0"/>
                <w:i/>
                <w:iCs/>
              </w:rPr>
            </w:pPr>
            <w:r w:rsidRPr="00AD7E5A">
              <w:rPr>
                <w:rFonts w:ascii="Book Antiqua" w:hAnsi="Book Antiqua"/>
                <w:b w:val="0"/>
                <w:iCs/>
              </w:rPr>
              <w:t>De</w:t>
            </w:r>
            <w:r w:rsidR="00F86F7B">
              <w:rPr>
                <w:rFonts w:ascii="Book Antiqua" w:hAnsi="Book Antiqua"/>
                <w:b w:val="0"/>
                <w:iCs/>
              </w:rPr>
              <w:t xml:space="preserve"> </w:t>
            </w:r>
            <w:proofErr w:type="spellStart"/>
            <w:r w:rsidRPr="00AD7E5A">
              <w:rPr>
                <w:rFonts w:ascii="Book Antiqua" w:hAnsi="Book Antiqua"/>
                <w:b w:val="0"/>
                <w:iCs/>
              </w:rPr>
              <w:t>Pietri</w:t>
            </w:r>
            <w:proofErr w:type="spellEnd"/>
            <w:r w:rsidR="00F86F7B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i/>
                <w:iCs/>
              </w:rPr>
              <w:t>et</w:t>
            </w:r>
            <w:r w:rsidR="00F86F7B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i/>
                <w:iCs/>
              </w:rPr>
              <w:t>al</w:t>
            </w:r>
            <w:r w:rsidR="00AD7E5A" w:rsidRPr="00AD7E5A">
              <w:rPr>
                <w:rFonts w:ascii="Book Antiqua" w:hAnsi="Book Antiqua"/>
                <w:b w:val="0"/>
                <w:iCs/>
                <w:vertAlign w:val="superscript"/>
              </w:rPr>
              <w:t>[</w:t>
            </w:r>
            <w:r w:rsidR="00AD0CA7">
              <w:rPr>
                <w:rFonts w:ascii="Book Antiqua" w:hAnsi="Book Antiqua"/>
                <w:b w:val="0"/>
                <w:iCs/>
                <w:vertAlign w:val="superscript"/>
              </w:rPr>
              <w:t>21</w:t>
            </w:r>
            <w:r w:rsidR="00AD7E5A" w:rsidRPr="00AD7E5A">
              <w:rPr>
                <w:rFonts w:ascii="Book Antiqua" w:hAnsi="Book Antiqua"/>
                <w:b w:val="0"/>
                <w:iCs/>
                <w:vertAlign w:val="superscript"/>
              </w:rPr>
              <w:t>]</w:t>
            </w:r>
          </w:p>
        </w:tc>
        <w:tc>
          <w:tcPr>
            <w:tcW w:w="931" w:type="dxa"/>
            <w:shd w:val="clear" w:color="auto" w:fill="auto"/>
          </w:tcPr>
          <w:p w14:paraId="70425422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2016</w:t>
            </w:r>
          </w:p>
        </w:tc>
        <w:tc>
          <w:tcPr>
            <w:tcW w:w="1049" w:type="dxa"/>
            <w:shd w:val="clear" w:color="auto" w:fill="auto"/>
          </w:tcPr>
          <w:p w14:paraId="3BA2833B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60</w:t>
            </w:r>
          </w:p>
          <w:p w14:paraId="6491310B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1135F32" w14:textId="10D0EBB2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</w:p>
          <w:p w14:paraId="4F37BFBB" w14:textId="16B1BF0E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</w:p>
        </w:tc>
        <w:tc>
          <w:tcPr>
            <w:tcW w:w="1574" w:type="dxa"/>
            <w:shd w:val="clear" w:color="auto" w:fill="auto"/>
          </w:tcPr>
          <w:p w14:paraId="28C3361D" w14:textId="309E3EFE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5000</w:t>
            </w:r>
          </w:p>
          <w:p w14:paraId="63FFAD75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2AE40D0" w14:textId="108749C4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Native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blood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activators)</w:t>
            </w:r>
          </w:p>
        </w:tc>
        <w:tc>
          <w:tcPr>
            <w:tcW w:w="1516" w:type="dxa"/>
            <w:shd w:val="clear" w:color="auto" w:fill="auto"/>
          </w:tcPr>
          <w:p w14:paraId="51F94733" w14:textId="5609F1F6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time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min</w:t>
            </w:r>
            <w:r w:rsidR="00BC16A4">
              <w:rPr>
                <w:rFonts w:ascii="Book Antiqua" w:hAnsi="Book Antiqua"/>
                <w:vertAlign w:val="superscript"/>
              </w:rPr>
              <w:t>1</w:t>
            </w:r>
          </w:p>
          <w:p w14:paraId="632D4EFC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5C3C031F" w14:textId="1EDA2632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mm*</w:t>
            </w:r>
          </w:p>
        </w:tc>
        <w:tc>
          <w:tcPr>
            <w:tcW w:w="1559" w:type="dxa"/>
            <w:shd w:val="clear" w:color="auto" w:fill="auto"/>
          </w:tcPr>
          <w:p w14:paraId="0550937B" w14:textId="528CC0F6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</w:t>
            </w:r>
            <w:r w:rsidRPr="00436FE2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1.8</w:t>
            </w:r>
          </w:p>
          <w:p w14:paraId="7F3699A4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CB11F1D" w14:textId="7822A930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50</w:t>
            </w:r>
            <w:r w:rsidR="00F86F7B">
              <w:rPr>
                <w:rFonts w:ascii="Book Antiqua" w:hAnsi="Book Antiqua"/>
              </w:rPr>
              <w:t xml:space="preserve"> </w:t>
            </w:r>
            <w:r w:rsidR="00436FE2" w:rsidRPr="00276E00">
              <w:rPr>
                <w:rFonts w:ascii="Book Antiqua" w:hAnsi="Book Antiqua"/>
                <w:lang w:val="pl-PL"/>
              </w:rPr>
              <w:t>×</w:t>
            </w:r>
            <w:r w:rsidR="00F86F7B">
              <w:rPr>
                <w:rFonts w:ascii="Book Antiqua" w:hAnsi="Book Antiqua"/>
                <w:lang w:val="pl-PL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Pr="000A456E">
              <w:rPr>
                <w:rFonts w:ascii="Book Antiqua" w:hAnsi="Book Antiqua"/>
                <w:vertAlign w:val="superscript"/>
              </w:rPr>
              <w:t>9</w:t>
            </w:r>
            <w:r w:rsidRPr="000A456E">
              <w:rPr>
                <w:rFonts w:ascii="Book Antiqua" w:hAnsi="Book Antiqua"/>
              </w:rPr>
              <w:t>*</w:t>
            </w:r>
          </w:p>
          <w:p w14:paraId="62038329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552" w:type="dxa"/>
            <w:shd w:val="clear" w:color="auto" w:fill="auto"/>
          </w:tcPr>
          <w:p w14:paraId="7F3195AC" w14:textId="182CB999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use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(Total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amount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those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undergoing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low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risk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proce</w:t>
            </w:r>
            <w:r w:rsidR="00AA47AB">
              <w:rPr>
                <w:rFonts w:ascii="Book Antiqua" w:hAnsi="Book Antiqua"/>
              </w:rPr>
              <w:t>dure: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>
              <w:rPr>
                <w:rFonts w:ascii="Book Antiqua" w:hAnsi="Book Antiqua"/>
              </w:rPr>
              <w:t>4000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 w:rsidRPr="00AA47AB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="00AA47AB">
              <w:rPr>
                <w:rFonts w:ascii="Book Antiqua" w:hAnsi="Book Antiqua"/>
              </w:rPr>
              <w:t>11</w:t>
            </w:r>
            <w:r w:rsidRPr="000A456E">
              <w:rPr>
                <w:rFonts w:ascii="Book Antiqua" w:hAnsi="Book Antiqua"/>
              </w:rPr>
              <w:t>050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AA47AB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0.002</w:t>
            </w:r>
            <w:r w:rsidRPr="000A456E">
              <w:rPr>
                <w:rFonts w:ascii="Book Antiqua" w:hAnsi="Book Antiqua"/>
              </w:rPr>
              <w:t>)</w:t>
            </w:r>
            <w:r w:rsidR="00F86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0A456E">
              <w:rPr>
                <w:rFonts w:ascii="Book Antiqua" w:hAnsi="Book Antiqua"/>
              </w:rPr>
              <w:t>(Total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amount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those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undergoing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high-risk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procedure: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AA47AB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6500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group)</w:t>
            </w:r>
          </w:p>
          <w:p w14:paraId="2C47DE2C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47B7DDF2" w14:textId="4EF17D83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(6.7%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required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arm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E7EE1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33.3%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arm,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E7EE1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0.021)</w:t>
            </w:r>
            <w:r w:rsidR="00F86F7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3CA7849" w14:textId="572A8CD4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periprocedural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complications.</w:t>
            </w:r>
          </w:p>
          <w:p w14:paraId="39756D86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8F781D2" w14:textId="74F84F4F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Periprocedural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events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were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rare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with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only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one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patient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experiencing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post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procedure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bleeding.</w:t>
            </w:r>
          </w:p>
        </w:tc>
      </w:tr>
      <w:tr w:rsidR="002024B4" w:rsidRPr="000A456E" w14:paraId="07AD2627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778EB59B" w14:textId="4C821D08" w:rsidR="002024B4" w:rsidRPr="000A456E" w:rsidRDefault="002024B4" w:rsidP="003E7254">
            <w:pPr>
              <w:spacing w:line="360" w:lineRule="auto"/>
              <w:rPr>
                <w:rFonts w:ascii="Book Antiqua" w:hAnsi="Book Antiqua"/>
                <w:b w:val="0"/>
                <w:i/>
                <w:iCs/>
              </w:rPr>
            </w:pPr>
            <w:r w:rsidRPr="00AD7E5A">
              <w:rPr>
                <w:rFonts w:ascii="Book Antiqua" w:hAnsi="Book Antiqua"/>
                <w:b w:val="0"/>
                <w:iCs/>
              </w:rPr>
              <w:t>Rout</w:t>
            </w:r>
            <w:r w:rsidR="00F86F7B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i/>
                <w:iCs/>
              </w:rPr>
              <w:t>et</w:t>
            </w:r>
            <w:r w:rsidR="00F86F7B">
              <w:rPr>
                <w:rFonts w:ascii="Book Antiqua" w:hAnsi="Book Antiqua"/>
                <w:b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i/>
                <w:iCs/>
              </w:rPr>
              <w:t>al</w:t>
            </w:r>
            <w:r w:rsidR="00AD7E5A" w:rsidRPr="00AD7E5A">
              <w:rPr>
                <w:rFonts w:ascii="Book Antiqua" w:hAnsi="Book Antiqua"/>
                <w:b w:val="0"/>
                <w:iCs/>
                <w:vertAlign w:val="superscript"/>
              </w:rPr>
              <w:t>[</w:t>
            </w:r>
            <w:r w:rsidR="00AD0CA7">
              <w:rPr>
                <w:rFonts w:ascii="Book Antiqua" w:hAnsi="Book Antiqua"/>
                <w:b w:val="0"/>
                <w:iCs/>
                <w:vertAlign w:val="superscript"/>
              </w:rPr>
              <w:t>22</w:t>
            </w:r>
            <w:r w:rsidR="00AD7E5A" w:rsidRPr="00AD7E5A">
              <w:rPr>
                <w:rFonts w:ascii="Book Antiqua" w:hAnsi="Book Antiqua"/>
                <w:b w:val="0"/>
                <w:iCs/>
                <w:vertAlign w:val="superscript"/>
              </w:rPr>
              <w:t>]</w:t>
            </w:r>
          </w:p>
        </w:tc>
        <w:tc>
          <w:tcPr>
            <w:tcW w:w="931" w:type="dxa"/>
            <w:shd w:val="clear" w:color="auto" w:fill="auto"/>
          </w:tcPr>
          <w:p w14:paraId="38D9F9DD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2019</w:t>
            </w:r>
          </w:p>
        </w:tc>
        <w:tc>
          <w:tcPr>
            <w:tcW w:w="1049" w:type="dxa"/>
            <w:shd w:val="clear" w:color="auto" w:fill="auto"/>
          </w:tcPr>
          <w:p w14:paraId="1D53652F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60</w:t>
            </w:r>
          </w:p>
          <w:p w14:paraId="235D8402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559E0296" w14:textId="47646BAA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</w:p>
          <w:p w14:paraId="29D627BC" w14:textId="2FB4582F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</w:p>
        </w:tc>
        <w:tc>
          <w:tcPr>
            <w:tcW w:w="1574" w:type="dxa"/>
            <w:shd w:val="clear" w:color="auto" w:fill="auto"/>
          </w:tcPr>
          <w:p w14:paraId="17BF18B6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0A456E">
              <w:rPr>
                <w:rFonts w:ascii="Book Antiqua" w:hAnsi="Book Antiqua"/>
              </w:rPr>
              <w:t>MonoTEM</w:t>
            </w:r>
            <w:proofErr w:type="spellEnd"/>
            <w:r w:rsidRPr="000A456E">
              <w:rPr>
                <w:rFonts w:ascii="Book Antiqua" w:hAnsi="Book Antiqua"/>
              </w:rPr>
              <w:t>-A</w:t>
            </w:r>
            <w:r w:rsidRPr="000A456E">
              <w:rPr>
                <w:rFonts w:ascii="Book Antiqua" w:hAnsi="Book Antiqua" w:cs="Arial"/>
              </w:rPr>
              <w:t>®</w:t>
            </w:r>
          </w:p>
          <w:p w14:paraId="1923C78D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0CAB2000" w14:textId="524B48B4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Native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activators)</w:t>
            </w:r>
          </w:p>
        </w:tc>
        <w:tc>
          <w:tcPr>
            <w:tcW w:w="1516" w:type="dxa"/>
            <w:shd w:val="clear" w:color="auto" w:fill="auto"/>
          </w:tcPr>
          <w:p w14:paraId="1BF7672F" w14:textId="43E14895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time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min</w:t>
            </w:r>
          </w:p>
          <w:p w14:paraId="7D3E3EFA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5802F2E8" w14:textId="461FD030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mm*</w:t>
            </w:r>
          </w:p>
        </w:tc>
        <w:tc>
          <w:tcPr>
            <w:tcW w:w="1559" w:type="dxa"/>
            <w:shd w:val="clear" w:color="auto" w:fill="auto"/>
          </w:tcPr>
          <w:p w14:paraId="042D9251" w14:textId="43E96C08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FFP,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</w:t>
            </w:r>
            <w:r w:rsidRPr="000E7EE1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1.8</w:t>
            </w:r>
          </w:p>
          <w:p w14:paraId="6352CD58" w14:textId="77777777" w:rsidR="000E7EE1" w:rsidRDefault="000E7EE1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7A9C9157" w14:textId="711CCF4A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platelet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50</w:t>
            </w:r>
            <w:r w:rsidR="00F86F7B">
              <w:rPr>
                <w:rFonts w:ascii="Book Antiqua" w:hAnsi="Book Antiqua"/>
              </w:rPr>
              <w:t xml:space="preserve"> </w:t>
            </w:r>
            <w:r w:rsidR="000E7EE1" w:rsidRPr="00276E00">
              <w:rPr>
                <w:rFonts w:ascii="Book Antiqua" w:hAnsi="Book Antiqua"/>
                <w:lang w:val="pl-PL"/>
              </w:rPr>
              <w:t>×</w:t>
            </w:r>
            <w:r w:rsidR="00F86F7B">
              <w:rPr>
                <w:rFonts w:ascii="Book Antiqua" w:hAnsi="Book Antiqua"/>
                <w:lang w:val="pl-PL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Pr="000A456E">
              <w:rPr>
                <w:rFonts w:ascii="Book Antiqua" w:hAnsi="Book Antiqua"/>
                <w:vertAlign w:val="superscript"/>
              </w:rPr>
              <w:t>9</w:t>
            </w:r>
            <w:r w:rsidRPr="000A456E">
              <w:rPr>
                <w:rFonts w:ascii="Book Antiqua" w:hAnsi="Book Antiqua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5C175330" w14:textId="75929071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use.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(13.3%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receiving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EE14A9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46.7%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EE14A9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0.010.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1345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LFFP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EE14A9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4605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SOC)</w:t>
            </w:r>
          </w:p>
          <w:p w14:paraId="05DF48FC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1FF9847" w14:textId="012003AA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0A456E">
              <w:rPr>
                <w:rFonts w:ascii="Book Antiqua" w:hAnsi="Book Antiqua"/>
              </w:rPr>
              <w:t>(10%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E498D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  <w:i/>
              </w:rPr>
              <w:t xml:space="preserve"> </w:t>
            </w:r>
            <w:r w:rsidRPr="000A456E">
              <w:rPr>
                <w:rFonts w:ascii="Book Antiqua" w:hAnsi="Book Antiqua"/>
              </w:rPr>
              <w:t>70%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E498D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  <w:i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0.001.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Total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vol.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transfused: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450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E498D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3450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SOC)</w:t>
            </w:r>
          </w:p>
          <w:p w14:paraId="2581C67E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7EA89C6C" w14:textId="5BB7C10E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RBC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transfusion</w:t>
            </w:r>
          </w:p>
        </w:tc>
        <w:tc>
          <w:tcPr>
            <w:tcW w:w="2126" w:type="dxa"/>
            <w:shd w:val="clear" w:color="auto" w:fill="auto"/>
          </w:tcPr>
          <w:p w14:paraId="2585D478" w14:textId="04ABD288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initial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control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bleeding</w:t>
            </w:r>
          </w:p>
          <w:p w14:paraId="1A34D58A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77F0CFB8" w14:textId="420DEDB1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rates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re-bleeding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</w:t>
            </w:r>
          </w:p>
          <w:p w14:paraId="6C5DB5B6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210E84C" w14:textId="1117C09C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</w:t>
            </w:r>
            <w:r w:rsidR="003D757B">
              <w:rPr>
                <w:rFonts w:ascii="Book Antiqua" w:hAnsi="Book Antiqua"/>
              </w:rPr>
              <w:t>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="003D757B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="003D757B">
              <w:rPr>
                <w:rFonts w:ascii="Book Antiqua" w:hAnsi="Book Antiqua"/>
              </w:rPr>
              <w:t>rebleeding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="003D757B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="003D757B">
              <w:rPr>
                <w:rFonts w:ascii="Book Antiqua" w:hAnsi="Book Antiqua"/>
              </w:rPr>
              <w:t>42</w:t>
            </w:r>
            <w:r w:rsidR="00F86F7B">
              <w:rPr>
                <w:rFonts w:ascii="Book Antiqua" w:hAnsi="Book Antiqua"/>
              </w:rPr>
              <w:t xml:space="preserve"> </w:t>
            </w:r>
            <w:r w:rsidR="003D757B">
              <w:rPr>
                <w:rFonts w:ascii="Book Antiqua" w:hAnsi="Book Antiqua"/>
              </w:rPr>
              <w:t>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(10%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3D757B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36.7%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EE14A9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3D757B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0.012)</w:t>
            </w:r>
          </w:p>
          <w:p w14:paraId="3DAC9C14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21EC7765" w14:textId="57B93368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="008D48A9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="008D48A9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="008D48A9">
              <w:rPr>
                <w:rFonts w:ascii="Book Antiqua" w:hAnsi="Book Antiqua"/>
              </w:rPr>
              <w:t>mortality</w:t>
            </w:r>
            <w:r w:rsidR="00F86F7B">
              <w:rPr>
                <w:rFonts w:ascii="Book Antiqua" w:hAnsi="Book Antiqua"/>
              </w:rPr>
              <w:t xml:space="preserve"> </w:t>
            </w:r>
            <w:r w:rsidR="008D48A9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="008D48A9">
              <w:rPr>
                <w:rFonts w:ascii="Book Antiqua" w:hAnsi="Book Antiqua"/>
              </w:rPr>
              <w:t>6</w:t>
            </w:r>
            <w:r w:rsidR="00F86F7B">
              <w:rPr>
                <w:rFonts w:ascii="Book Antiqua" w:hAnsi="Book Antiqua"/>
              </w:rPr>
              <w:t xml:space="preserve"> </w:t>
            </w:r>
            <w:proofErr w:type="spellStart"/>
            <w:r w:rsidR="008D48A9">
              <w:rPr>
                <w:rFonts w:ascii="Book Antiqua" w:hAnsi="Book Antiqua"/>
              </w:rPr>
              <w:t>wk</w:t>
            </w:r>
            <w:proofErr w:type="spellEnd"/>
            <w:r w:rsidR="00F86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0A456E">
              <w:rPr>
                <w:rFonts w:ascii="Book Antiqua" w:hAnsi="Book Antiqua"/>
              </w:rPr>
              <w:t>(13.3%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8D48A9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26.7%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EE14A9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EE14A9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0.176)</w:t>
            </w:r>
            <w:r w:rsidR="00F86F7B">
              <w:rPr>
                <w:rFonts w:ascii="Book Antiqua" w:hAnsi="Book Antiqua"/>
              </w:rPr>
              <w:t xml:space="preserve"> </w:t>
            </w:r>
          </w:p>
        </w:tc>
      </w:tr>
      <w:tr w:rsidR="002024B4" w:rsidRPr="000A456E" w14:paraId="2F2AB697" w14:textId="77777777" w:rsidTr="003E7254">
        <w:trPr>
          <w:trHeight w:val="2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189D4C16" w14:textId="0F18ABEF" w:rsidR="002024B4" w:rsidRPr="00AD0CA7" w:rsidRDefault="002024B4" w:rsidP="003E7254">
            <w:pPr>
              <w:spacing w:line="360" w:lineRule="auto"/>
              <w:rPr>
                <w:rFonts w:ascii="Book Antiqua" w:hAnsi="Book Antiqua"/>
                <w:iCs/>
                <w:vertAlign w:val="superscript"/>
              </w:rPr>
            </w:pPr>
            <w:r w:rsidRPr="00AD7E5A">
              <w:rPr>
                <w:rFonts w:ascii="Book Antiqua" w:hAnsi="Book Antiqua"/>
                <w:b w:val="0"/>
                <w:bCs w:val="0"/>
                <w:iCs/>
              </w:rPr>
              <w:lastRenderedPageBreak/>
              <w:t>Kumar</w:t>
            </w:r>
            <w:r w:rsidR="00F86F7B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F86F7B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="00AD7E5A" w:rsidRPr="00AD7E5A">
              <w:rPr>
                <w:rFonts w:ascii="Book Antiqua" w:hAnsi="Book Antiqua"/>
                <w:b w:val="0"/>
                <w:bCs w:val="0"/>
                <w:iCs/>
                <w:vertAlign w:val="superscript"/>
              </w:rPr>
              <w:t>[</w:t>
            </w:r>
            <w:r w:rsidR="00AD0CA7">
              <w:rPr>
                <w:rFonts w:ascii="Book Antiqua" w:hAnsi="Book Antiqua"/>
                <w:b w:val="0"/>
                <w:bCs w:val="0"/>
                <w:iCs/>
                <w:vertAlign w:val="superscript"/>
              </w:rPr>
              <w:t>23</w:t>
            </w:r>
            <w:r w:rsidR="00AD7E5A" w:rsidRPr="00AD7E5A">
              <w:rPr>
                <w:rFonts w:ascii="Book Antiqua" w:hAnsi="Book Antiqua"/>
                <w:b w:val="0"/>
                <w:bCs w:val="0"/>
                <w:iCs/>
                <w:vertAlign w:val="superscript"/>
              </w:rPr>
              <w:t>]</w:t>
            </w:r>
          </w:p>
        </w:tc>
        <w:tc>
          <w:tcPr>
            <w:tcW w:w="931" w:type="dxa"/>
            <w:shd w:val="clear" w:color="auto" w:fill="auto"/>
          </w:tcPr>
          <w:p w14:paraId="657C9805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2019</w:t>
            </w:r>
          </w:p>
        </w:tc>
        <w:tc>
          <w:tcPr>
            <w:tcW w:w="1049" w:type="dxa"/>
            <w:shd w:val="clear" w:color="auto" w:fill="auto"/>
          </w:tcPr>
          <w:p w14:paraId="77E0E236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96</w:t>
            </w:r>
          </w:p>
          <w:p w14:paraId="09532F20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57439BB1" w14:textId="5799B3DD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49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</w:p>
          <w:p w14:paraId="57B8B090" w14:textId="1DD6245D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47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</w:p>
        </w:tc>
        <w:tc>
          <w:tcPr>
            <w:tcW w:w="1574" w:type="dxa"/>
            <w:shd w:val="clear" w:color="auto" w:fill="auto"/>
          </w:tcPr>
          <w:p w14:paraId="635A674A" w14:textId="4E2FE306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5000</w:t>
            </w:r>
          </w:p>
          <w:p w14:paraId="1E398010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EF2BB28" w14:textId="139D196D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Kaolin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activated</w:t>
            </w:r>
          </w:p>
        </w:tc>
        <w:tc>
          <w:tcPr>
            <w:tcW w:w="1516" w:type="dxa"/>
            <w:shd w:val="clear" w:color="auto" w:fill="auto"/>
          </w:tcPr>
          <w:p w14:paraId="6102C319" w14:textId="5C796199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time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min</w:t>
            </w:r>
          </w:p>
          <w:p w14:paraId="4203808E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B67A5B3" w14:textId="345D9605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mm*</w:t>
            </w:r>
          </w:p>
          <w:p w14:paraId="724C7CE5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7B605838" w14:textId="7C02D1F0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cryoprecipitate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alpha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angle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 w:cs="Arial"/>
                <w:lang w:bidi="he-IL"/>
              </w:rPr>
              <w:t>degrees**</w:t>
            </w:r>
          </w:p>
        </w:tc>
        <w:tc>
          <w:tcPr>
            <w:tcW w:w="1559" w:type="dxa"/>
            <w:shd w:val="clear" w:color="auto" w:fill="auto"/>
          </w:tcPr>
          <w:p w14:paraId="3A256670" w14:textId="3FEDA1B0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</w:t>
            </w:r>
            <w:r w:rsidRPr="00AE78B5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1.8</w:t>
            </w:r>
          </w:p>
          <w:p w14:paraId="47D7A789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7430C3C" w14:textId="71EE6040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bookmarkStart w:id="5" w:name="_Hlk27317377"/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50</w:t>
            </w:r>
            <w:r w:rsidR="00F86F7B">
              <w:rPr>
                <w:rFonts w:ascii="Book Antiqua" w:hAnsi="Book Antiqua"/>
              </w:rPr>
              <w:t xml:space="preserve"> </w:t>
            </w:r>
            <w:r w:rsidR="00AE78B5" w:rsidRPr="00276E00">
              <w:rPr>
                <w:rFonts w:ascii="Book Antiqua" w:hAnsi="Book Antiqua"/>
                <w:lang w:val="pl-PL"/>
              </w:rPr>
              <w:t>×</w:t>
            </w:r>
            <w:r w:rsidR="00F86F7B">
              <w:rPr>
                <w:rFonts w:ascii="Book Antiqua" w:hAnsi="Book Antiqua"/>
                <w:lang w:val="pl-PL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bookmarkStart w:id="6" w:name="_Hlk27317393"/>
            <w:r w:rsidRPr="000A456E">
              <w:rPr>
                <w:rFonts w:ascii="Book Antiqua" w:hAnsi="Book Antiqua"/>
                <w:vertAlign w:val="superscript"/>
              </w:rPr>
              <w:t>9</w:t>
            </w:r>
            <w:bookmarkEnd w:id="5"/>
            <w:bookmarkEnd w:id="6"/>
            <w:r w:rsidRPr="000A456E">
              <w:rPr>
                <w:rFonts w:ascii="Book Antiqua" w:hAnsi="Book Antiqua"/>
              </w:rPr>
              <w:t>*</w:t>
            </w:r>
          </w:p>
          <w:p w14:paraId="22392EFE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06CC8DE9" w14:textId="24EFA58C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cryoprecipitate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fibrinogen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80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mg/dL**</w:t>
            </w:r>
          </w:p>
          <w:p w14:paraId="706CC9A1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552" w:type="dxa"/>
            <w:shd w:val="clear" w:color="auto" w:fill="auto"/>
          </w:tcPr>
          <w:p w14:paraId="07B9E30C" w14:textId="6EAE6231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use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(Total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440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FB4A1E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880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405571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FB4A1E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0.01)</w:t>
            </w:r>
            <w:r w:rsidR="00F86F7B">
              <w:rPr>
                <w:rFonts w:ascii="Book Antiqua" w:hAnsi="Book Antiqua"/>
              </w:rPr>
              <w:t xml:space="preserve"> </w:t>
            </w:r>
          </w:p>
          <w:p w14:paraId="01480274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14DD75F4" w14:textId="5BD1C3B0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0A456E">
              <w:rPr>
                <w:rFonts w:ascii="Book Antiqua" w:hAnsi="Book Antiqua"/>
              </w:rPr>
              <w:t>(Average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unit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per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patient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  <w:i/>
              </w:rPr>
              <w:t xml:space="preserve"> </w:t>
            </w:r>
            <w:r w:rsidR="00FB4A1E" w:rsidRPr="00FB4A1E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SDAP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B11661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  <w:i/>
              </w:rPr>
              <w:t xml:space="preserve"> </w:t>
            </w:r>
            <w:r w:rsidR="00B11661" w:rsidRPr="00B62122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0.01)</w:t>
            </w:r>
          </w:p>
          <w:p w14:paraId="0F02D8AD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FB46CE4" w14:textId="530CC400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amount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cryoprecipitate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used.</w:t>
            </w:r>
            <w:r w:rsidR="00F86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0A456E">
              <w:rPr>
                <w:rFonts w:ascii="Book Antiqua" w:hAnsi="Book Antiqua"/>
              </w:rPr>
              <w:t>(4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D45A6A">
              <w:rPr>
                <w:rFonts w:ascii="Book Antiqua" w:hAnsi="Book Antiqua"/>
                <w:i/>
              </w:rPr>
              <w:lastRenderedPageBreak/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16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group.</w:t>
            </w:r>
            <w:r w:rsidR="00F86F7B">
              <w:rPr>
                <w:rFonts w:ascii="Book Antiqua" w:hAnsi="Book Antiqua"/>
              </w:rPr>
              <w:t xml:space="preserve"> </w:t>
            </w:r>
            <w:r w:rsidR="00D45A6A" w:rsidRPr="00A30CAC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0.01)</w:t>
            </w:r>
            <w:r w:rsidR="00F86F7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7C24A43" w14:textId="329EB0C5" w:rsidR="002024B4" w:rsidRPr="00A30CAC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related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adverse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events</w:t>
            </w:r>
            <w:r w:rsidR="00F86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0A456E">
              <w:rPr>
                <w:rFonts w:ascii="Book Antiqua" w:hAnsi="Book Antiqua"/>
              </w:rPr>
              <w:t>(30.6%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 w:rsidRPr="00FB4A1E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74.5%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="00A30CAC" w:rsidRPr="00A30CAC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0.01)</w:t>
            </w:r>
            <w:r w:rsidR="00BC16A4">
              <w:rPr>
                <w:rFonts w:ascii="Book Antiqua" w:hAnsi="Book Antiqua"/>
                <w:vertAlign w:val="superscript"/>
              </w:rPr>
              <w:t>2</w:t>
            </w:r>
          </w:p>
          <w:p w14:paraId="43A7A13D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vertAlign w:val="superscript"/>
              </w:rPr>
            </w:pPr>
          </w:p>
          <w:p w14:paraId="10E18425" w14:textId="1B51F002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ICU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length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stay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(median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arm</w:t>
            </w:r>
            <w:r w:rsidR="00F86F7B">
              <w:rPr>
                <w:rFonts w:ascii="Book Antiqua" w:hAnsi="Book Antiqua"/>
              </w:rPr>
              <w:t xml:space="preserve"> </w:t>
            </w:r>
            <w:r w:rsidR="00FB4A1E" w:rsidRPr="00FB4A1E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SOC.</w:t>
            </w:r>
            <w:r w:rsidR="00F86F7B">
              <w:rPr>
                <w:rFonts w:ascii="Book Antiqua" w:hAnsi="Book Antiqua"/>
              </w:rPr>
              <w:t xml:space="preserve"> </w:t>
            </w:r>
            <w:r w:rsidRPr="00A30CAC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0.012)</w:t>
            </w:r>
            <w:r w:rsidR="00F86F7B">
              <w:rPr>
                <w:rFonts w:ascii="Book Antiqua" w:hAnsi="Book Antiqua"/>
              </w:rPr>
              <w:t xml:space="preserve"> </w:t>
            </w:r>
          </w:p>
          <w:p w14:paraId="369730E5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13B9688" w14:textId="30FDF2B5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failure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control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day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or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day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42.</w:t>
            </w:r>
          </w:p>
          <w:p w14:paraId="460ADB56" w14:textId="77777777" w:rsidR="002024B4" w:rsidRPr="000A456E" w:rsidRDefault="002024B4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298D5CB8" w14:textId="58A5AE4B" w:rsidR="002024B4" w:rsidRPr="000A456E" w:rsidRDefault="00290F80" w:rsidP="003E72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5-d</w:t>
            </w:r>
            <w:r w:rsidR="00F86F7B">
              <w:rPr>
                <w:rFonts w:ascii="Book Antiqua" w:hAnsi="Book Antiqua"/>
              </w:rPr>
              <w:t xml:space="preserve"> </w:t>
            </w:r>
            <w:r w:rsidR="002024B4" w:rsidRPr="000A456E">
              <w:rPr>
                <w:rFonts w:ascii="Book Antiqua" w:hAnsi="Book Antiqua"/>
              </w:rPr>
              <w:t>and</w:t>
            </w:r>
            <w:r w:rsidR="00F86F7B">
              <w:rPr>
                <w:rFonts w:ascii="Book Antiqua" w:hAnsi="Book Antiqua"/>
              </w:rPr>
              <w:t xml:space="preserve"> </w:t>
            </w:r>
            <w:r w:rsidR="002024B4" w:rsidRPr="000A456E">
              <w:rPr>
                <w:rFonts w:ascii="Book Antiqua" w:hAnsi="Book Antiqua"/>
              </w:rPr>
              <w:t>42-d</w:t>
            </w:r>
            <w:r w:rsidR="00F86F7B">
              <w:rPr>
                <w:rFonts w:ascii="Book Antiqua" w:hAnsi="Book Antiqua"/>
              </w:rPr>
              <w:t xml:space="preserve"> </w:t>
            </w:r>
            <w:r w:rsidR="002024B4" w:rsidRPr="000A456E">
              <w:rPr>
                <w:rFonts w:ascii="Book Antiqua" w:hAnsi="Book Antiqua"/>
              </w:rPr>
              <w:t>mortality</w:t>
            </w:r>
          </w:p>
        </w:tc>
      </w:tr>
      <w:tr w:rsidR="002024B4" w:rsidRPr="000A456E" w14:paraId="054C532F" w14:textId="77777777" w:rsidTr="003E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AB9E18" w14:textId="29C67E1F" w:rsidR="002024B4" w:rsidRPr="000A456E" w:rsidRDefault="002024B4" w:rsidP="003E7254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iCs/>
              </w:rPr>
            </w:pPr>
            <w:proofErr w:type="spellStart"/>
            <w:r w:rsidRPr="00AD7E5A">
              <w:rPr>
                <w:rFonts w:ascii="Book Antiqua" w:hAnsi="Book Antiqua"/>
                <w:b w:val="0"/>
                <w:bCs w:val="0"/>
                <w:iCs/>
              </w:rPr>
              <w:lastRenderedPageBreak/>
              <w:t>Vuyyuru</w:t>
            </w:r>
            <w:proofErr w:type="spellEnd"/>
            <w:r w:rsidR="00F86F7B">
              <w:rPr>
                <w:rFonts w:ascii="Book Antiqua" w:hAnsi="Book Antiqua"/>
                <w:b w:val="0"/>
                <w:bCs w:val="0"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F86F7B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0A456E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="00AD7E5A" w:rsidRPr="00AD7E5A">
              <w:rPr>
                <w:rFonts w:ascii="Book Antiqua" w:hAnsi="Book Antiqua"/>
                <w:b w:val="0"/>
                <w:bCs w:val="0"/>
                <w:iCs/>
                <w:vertAlign w:val="superscript"/>
              </w:rPr>
              <w:t>[</w:t>
            </w:r>
            <w:r w:rsidR="0012249E">
              <w:rPr>
                <w:rFonts w:ascii="Book Antiqua" w:hAnsi="Book Antiqua"/>
                <w:b w:val="0"/>
                <w:bCs w:val="0"/>
                <w:iCs/>
                <w:vertAlign w:val="superscript"/>
              </w:rPr>
              <w:t>19</w:t>
            </w:r>
            <w:r w:rsidR="00AD7E5A" w:rsidRPr="00AD7E5A">
              <w:rPr>
                <w:rFonts w:ascii="Book Antiqua" w:hAnsi="Book Antiqua"/>
                <w:b w:val="0"/>
                <w:bCs w:val="0"/>
                <w:iCs/>
                <w:vertAlign w:val="superscript"/>
              </w:rPr>
              <w:t>]</w:t>
            </w:r>
          </w:p>
        </w:tc>
        <w:tc>
          <w:tcPr>
            <w:tcW w:w="93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DCAD07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2019</w:t>
            </w:r>
          </w:p>
        </w:tc>
        <w:tc>
          <w:tcPr>
            <w:tcW w:w="104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E6A2C3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58</w:t>
            </w:r>
          </w:p>
          <w:p w14:paraId="6CFED5AC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07582897" w14:textId="5E595F56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29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</w:p>
          <w:p w14:paraId="5C19DB22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29SOC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F87C9E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 w:rsidRPr="000A456E">
              <w:rPr>
                <w:rFonts w:ascii="Book Antiqua" w:hAnsi="Book Antiqua"/>
              </w:rPr>
              <w:t>MonoTEM</w:t>
            </w:r>
            <w:proofErr w:type="spellEnd"/>
            <w:r w:rsidRPr="000A456E">
              <w:rPr>
                <w:rFonts w:ascii="Book Antiqua" w:hAnsi="Book Antiqua"/>
              </w:rPr>
              <w:t>-A</w:t>
            </w:r>
            <w:r w:rsidRPr="000A456E">
              <w:rPr>
                <w:rFonts w:ascii="Book Antiqua" w:hAnsi="Book Antiqua" w:cs="Arial"/>
              </w:rPr>
              <w:t>®</w:t>
            </w:r>
          </w:p>
          <w:p w14:paraId="65D1AE5C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81AEE04" w14:textId="51C26D06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Native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activators)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29ED2F" w14:textId="31F5268A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</w:t>
            </w:r>
            <w:r w:rsidRPr="00AC0F92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/kg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time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&gt;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14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min***</w:t>
            </w:r>
          </w:p>
          <w:p w14:paraId="6F7D2D31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03B9A3A" w14:textId="286573D2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MA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32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mm*</w:t>
            </w:r>
          </w:p>
          <w:p w14:paraId="79986C6C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8464C4" w14:textId="5CEC7856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5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m</w:t>
            </w:r>
            <w:r w:rsidRPr="00AC0F92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/kg***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INR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 w:cs="Arial"/>
              </w:rPr>
              <w:t>≥</w:t>
            </w:r>
            <w:r w:rsidR="00F86F7B">
              <w:rPr>
                <w:rFonts w:ascii="Book Antiqua" w:hAnsi="Book Antiqua" w:cs="Arial"/>
              </w:rPr>
              <w:t xml:space="preserve"> </w:t>
            </w:r>
            <w:r w:rsidRPr="000A456E">
              <w:rPr>
                <w:rFonts w:ascii="Book Antiqua" w:hAnsi="Book Antiqua"/>
              </w:rPr>
              <w:t>1.8</w:t>
            </w:r>
          </w:p>
          <w:p w14:paraId="5D1AA505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62398748" w14:textId="1F60B798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3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pooled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units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when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bookmarkStart w:id="7" w:name="OLE_LINK1788"/>
            <w:bookmarkStart w:id="8" w:name="OLE_LINK1789"/>
            <w:r w:rsidRPr="000A456E">
              <w:rPr>
                <w:rFonts w:ascii="Book Antiqua" w:hAnsi="Book Antiqua"/>
              </w:rPr>
              <w:t>50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 w:rsidRPr="00276E00">
              <w:rPr>
                <w:rFonts w:ascii="Book Antiqua" w:hAnsi="Book Antiqua"/>
                <w:lang w:val="pl-PL"/>
              </w:rPr>
              <w:t>×</w:t>
            </w:r>
            <w:r w:rsidR="00F86F7B">
              <w:rPr>
                <w:rFonts w:ascii="Book Antiqua" w:hAnsi="Book Antiqua"/>
                <w:lang w:val="pl-PL"/>
              </w:rPr>
              <w:t xml:space="preserve"> </w:t>
            </w:r>
            <w:r w:rsidRPr="000A456E">
              <w:rPr>
                <w:rFonts w:ascii="Book Antiqua" w:hAnsi="Book Antiqua"/>
              </w:rPr>
              <w:t>10</w:t>
            </w:r>
            <w:r w:rsidRPr="000A456E">
              <w:rPr>
                <w:rFonts w:ascii="Book Antiqua" w:hAnsi="Book Antiqua"/>
                <w:vertAlign w:val="superscript"/>
              </w:rPr>
              <w:t>9</w:t>
            </w:r>
            <w:r w:rsidRPr="000A456E">
              <w:rPr>
                <w:rFonts w:ascii="Book Antiqua" w:hAnsi="Book Antiqua"/>
              </w:rPr>
              <w:t>*</w:t>
            </w:r>
          </w:p>
          <w:bookmarkEnd w:id="7"/>
          <w:bookmarkEnd w:id="8"/>
          <w:p w14:paraId="5407C686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57D5B3" w14:textId="4BC787D2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amount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of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(24.1%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requiring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FFP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 w:rsidRPr="00AC0F92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27.6%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A76700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="00F86F7B">
              <w:rPr>
                <w:rFonts w:ascii="Book Antiqua" w:hAnsi="Book Antiqua"/>
                <w:i/>
              </w:rPr>
              <w:t xml:space="preserve"> </w:t>
            </w:r>
            <w:r w:rsidR="00E85305" w:rsidRPr="00B62122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="00A76700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0.764)</w:t>
            </w:r>
          </w:p>
          <w:p w14:paraId="49AE17C2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6D23E40" w14:textId="262D81A3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Statistically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significant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reduction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transfused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(10.3%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requiring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platelet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transfusion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TEG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 w:rsidRPr="00AC0F92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75.9%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the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</w:t>
            </w:r>
            <w:r w:rsidR="00B62122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B62122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&lt;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0.001)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AAEFBF" w14:textId="1D359EDB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lastRenderedPageBreak/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post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procedure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bleeding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complications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(0%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both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groups)</w:t>
            </w:r>
          </w:p>
          <w:p w14:paraId="4ABC4BB3" w14:textId="77777777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  <w:p w14:paraId="34B0FFA6" w14:textId="33298173" w:rsidR="002024B4" w:rsidRPr="000A456E" w:rsidRDefault="002024B4" w:rsidP="003E725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0A456E">
              <w:rPr>
                <w:rFonts w:ascii="Book Antiqua" w:hAnsi="Book Antiqua"/>
              </w:rPr>
              <w:t>No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difference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in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pre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and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post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procedure</w:t>
            </w:r>
            <w:r w:rsidR="00F86F7B">
              <w:rPr>
                <w:rFonts w:ascii="Book Antiqua" w:hAnsi="Book Antiqua"/>
              </w:rPr>
              <w:t xml:space="preserve"> </w:t>
            </w:r>
            <w:proofErr w:type="spellStart"/>
            <w:r w:rsidRPr="000A456E">
              <w:rPr>
                <w:rFonts w:ascii="Book Antiqua" w:hAnsi="Book Antiqua"/>
              </w:rPr>
              <w:t>haemoglobin</w:t>
            </w:r>
            <w:proofErr w:type="spellEnd"/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l</w:t>
            </w:r>
            <w:r w:rsidR="00AC0F92">
              <w:rPr>
                <w:rFonts w:ascii="Book Antiqua" w:hAnsi="Book Antiqua"/>
              </w:rPr>
              <w:t>evels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>
              <w:rPr>
                <w:rFonts w:ascii="Book Antiqua" w:hAnsi="Book Antiqua"/>
              </w:rPr>
              <w:t>(TEG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>
              <w:rPr>
                <w:rFonts w:ascii="Book Antiqua" w:hAnsi="Book Antiqua"/>
              </w:rPr>
              <w:t>group: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>
              <w:rPr>
                <w:rFonts w:ascii="Book Antiqua" w:hAnsi="Book Antiqua"/>
              </w:rPr>
              <w:t>11.3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>
              <w:rPr>
                <w:rFonts w:ascii="Book Antiqua" w:hAnsi="Book Antiqua"/>
              </w:rPr>
              <w:t>±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>
              <w:rPr>
                <w:rFonts w:ascii="Book Antiqua" w:hAnsi="Book Antiqua"/>
              </w:rPr>
              <w:t>2.1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>
              <w:rPr>
                <w:rFonts w:ascii="Book Antiqua" w:hAnsi="Book Antiqua"/>
              </w:rPr>
              <w:t>g/</w:t>
            </w:r>
            <w:r w:rsidRPr="000A456E">
              <w:rPr>
                <w:rFonts w:ascii="Book Antiqua" w:hAnsi="Book Antiqua"/>
              </w:rPr>
              <w:t>d</w:t>
            </w:r>
            <w:r w:rsidRPr="00AC0F92">
              <w:rPr>
                <w:rFonts w:ascii="Book Antiqua" w:hAnsi="Book Antiqua"/>
                <w:caps/>
              </w:rPr>
              <w:t>l</w:t>
            </w:r>
            <w:r w:rsidR="00F86F7B">
              <w:rPr>
                <w:rFonts w:ascii="Book Antiqua" w:hAnsi="Book Antiqua"/>
              </w:rPr>
              <w:t xml:space="preserve"> </w:t>
            </w:r>
            <w:r w:rsidR="00AC0F92" w:rsidRPr="00AC0F92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11.2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±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2.0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g/d</w:t>
            </w:r>
            <w:r w:rsidRPr="00AC0F92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Pr="00AC0F92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0.979;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lastRenderedPageBreak/>
              <w:t>SOC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group: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10.4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±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2.1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g/d</w:t>
            </w:r>
            <w:r w:rsidRPr="00AC0F92">
              <w:rPr>
                <w:rFonts w:ascii="Book Antiqua" w:hAnsi="Book Antiqua"/>
                <w:caps/>
              </w:rPr>
              <w:t>l</w:t>
            </w:r>
            <w:r w:rsidR="00F86F7B">
              <w:rPr>
                <w:rFonts w:ascii="Book Antiqua" w:hAnsi="Book Antiqua"/>
              </w:rPr>
              <w:t xml:space="preserve"> </w:t>
            </w:r>
            <w:r w:rsidRPr="00AC0F92">
              <w:rPr>
                <w:rFonts w:ascii="Book Antiqua" w:hAnsi="Book Antiqua"/>
                <w:i/>
              </w:rPr>
              <w:t>vs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10.2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±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2.0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g/d</w:t>
            </w:r>
            <w:r w:rsidRPr="00AC0F92">
              <w:rPr>
                <w:rFonts w:ascii="Book Antiqua" w:hAnsi="Book Antiqua"/>
                <w:caps/>
              </w:rPr>
              <w:t>l</w:t>
            </w:r>
            <w:r w:rsidRPr="000A456E">
              <w:rPr>
                <w:rFonts w:ascii="Book Antiqua" w:hAnsi="Book Antiqua"/>
              </w:rPr>
              <w:t>,</w:t>
            </w:r>
            <w:r w:rsidR="00F86F7B">
              <w:rPr>
                <w:rFonts w:ascii="Book Antiqua" w:hAnsi="Book Antiqua"/>
              </w:rPr>
              <w:t xml:space="preserve"> </w:t>
            </w:r>
            <w:r w:rsidR="00F86F7B">
              <w:rPr>
                <w:rFonts w:ascii="Book Antiqua" w:hAnsi="Book Antiqua"/>
                <w:i/>
              </w:rPr>
              <w:t xml:space="preserve"> </w:t>
            </w:r>
            <w:r w:rsidR="00B62122" w:rsidRPr="00B62122">
              <w:rPr>
                <w:rFonts w:ascii="Book Antiqua" w:hAnsi="Book Antiqua"/>
                <w:i/>
              </w:rPr>
              <w:t>P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=</w:t>
            </w:r>
            <w:r w:rsidR="00F86F7B">
              <w:rPr>
                <w:rFonts w:ascii="Book Antiqua" w:hAnsi="Book Antiqua"/>
              </w:rPr>
              <w:t xml:space="preserve"> </w:t>
            </w:r>
            <w:r w:rsidRPr="000A456E">
              <w:rPr>
                <w:rFonts w:ascii="Book Antiqua" w:hAnsi="Book Antiqua"/>
              </w:rPr>
              <w:t>0.205)</w:t>
            </w:r>
          </w:p>
        </w:tc>
      </w:tr>
    </w:tbl>
    <w:bookmarkEnd w:id="4"/>
    <w:p w14:paraId="5C1FD750" w14:textId="7D7205D4" w:rsidR="002024B4" w:rsidRPr="003C2596" w:rsidRDefault="000A456E" w:rsidP="0085265D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A456E">
        <w:rPr>
          <w:rFonts w:ascii="Book Antiqua" w:hAnsi="Book Antiqua"/>
          <w:bCs/>
          <w:lang w:eastAsia="zh-CN"/>
        </w:rPr>
        <w:lastRenderedPageBreak/>
        <w:t>*</w:t>
      </w:r>
      <w:r w:rsidRPr="000A456E">
        <w:rPr>
          <w:rFonts w:ascii="Book Antiqua" w:hAnsi="Book Antiqua"/>
          <w:lang w:eastAsia="zh-CN"/>
        </w:rPr>
        <w:t>In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the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above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clinical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trials,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1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SDAP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unit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corresponds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to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6-8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pooled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platelet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units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from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whole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blood</w:t>
      </w:r>
      <w:r w:rsidR="00F86F7B">
        <w:rPr>
          <w:rFonts w:ascii="Book Antiqua" w:hAnsi="Book Antiqua"/>
          <w:lang w:eastAsia="zh-CN"/>
        </w:rPr>
        <w:t xml:space="preserve"> </w:t>
      </w:r>
      <w:r w:rsidRPr="000A456E">
        <w:rPr>
          <w:rFonts w:ascii="Book Antiqua" w:hAnsi="Book Antiqua"/>
          <w:lang w:eastAsia="zh-CN"/>
        </w:rPr>
        <w:t>donation</w:t>
      </w:r>
      <w:r w:rsidR="003C2596">
        <w:rPr>
          <w:rFonts w:ascii="Book Antiqua" w:hAnsi="Book Antiqua"/>
          <w:lang w:eastAsia="zh-CN"/>
        </w:rPr>
        <w:t>;</w:t>
      </w:r>
      <w:r w:rsidR="00F86F7B">
        <w:rPr>
          <w:rFonts w:ascii="Book Antiqua" w:hAnsi="Book Antiqua" w:hint="eastAsia"/>
          <w:bCs/>
          <w:lang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**When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whole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source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for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cryoprecipitate,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5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pooled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units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equivalent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to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700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fibrinogen</w:t>
      </w:r>
      <w:r w:rsidR="003C2596"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***Ideal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body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weight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used.</w:t>
      </w:r>
      <w:r w:rsidR="00F86F7B">
        <w:rPr>
          <w:rFonts w:ascii="Book Antiqua" w:hAnsi="Book Antiqua" w:hint="eastAsia"/>
          <w:bCs/>
          <w:lang w:eastAsia="zh-CN"/>
        </w:rPr>
        <w:t xml:space="preserve"> </w:t>
      </w:r>
      <w:r w:rsidR="00024097">
        <w:rPr>
          <w:rFonts w:ascii="Book Antiqua" w:hAnsi="Book Antiqua"/>
          <w:vertAlign w:val="superscript"/>
          <w:lang w:val="en-NZ" w:eastAsia="zh-CN"/>
        </w:rPr>
        <w:t>1</w:t>
      </w:r>
      <w:r w:rsidRPr="000A456E">
        <w:rPr>
          <w:rFonts w:ascii="Book Antiqua" w:hAnsi="Book Antiqua"/>
          <w:lang w:val="en-NZ" w:eastAsia="zh-CN"/>
        </w:rPr>
        <w:t>Natural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whole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without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added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activators.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Normal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using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TEG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method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12-26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min</w:t>
      </w:r>
      <w:r w:rsidR="008B3EB5"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="00024097">
        <w:rPr>
          <w:rFonts w:ascii="Book Antiqua" w:hAnsi="Book Antiqua"/>
          <w:vertAlign w:val="superscript"/>
          <w:lang w:val="en-NZ" w:eastAsia="zh-CN"/>
        </w:rPr>
        <w:t>2</w:t>
      </w:r>
      <w:r w:rsidRPr="000A456E">
        <w:rPr>
          <w:rFonts w:ascii="Book Antiqua" w:hAnsi="Book Antiqua"/>
          <w:lang w:val="en-NZ" w:eastAsia="zh-CN"/>
        </w:rPr>
        <w:t>Higher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than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expected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adverse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reaction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rate,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including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TRALI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rates,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discussed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paper.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information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given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about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type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components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used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FD78BF">
        <w:rPr>
          <w:rFonts w:ascii="Book Antiqua" w:hAnsi="Book Antiqua"/>
          <w:i/>
          <w:lang w:val="en-NZ" w:eastAsia="zh-CN"/>
        </w:rPr>
        <w:t>i.e.</w:t>
      </w:r>
      <w:r w:rsidR="00FD78BF">
        <w:rPr>
          <w:rFonts w:ascii="Book Antiqua" w:hAnsi="Book Antiqua"/>
          <w:lang w:val="en-NZ" w:eastAsia="zh-CN"/>
        </w:rPr>
        <w:t>,</w:t>
      </w:r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0A456E">
        <w:rPr>
          <w:rFonts w:ascii="Book Antiqua" w:hAnsi="Book Antiqua"/>
          <w:lang w:val="en-NZ" w:eastAsia="zh-CN"/>
        </w:rPr>
        <w:t>leucodepleted</w:t>
      </w:r>
      <w:proofErr w:type="spellEnd"/>
      <w:r w:rsidR="00F86F7B">
        <w:rPr>
          <w:rFonts w:ascii="Book Antiqua" w:hAnsi="Book Antiqua"/>
          <w:lang w:val="en-NZ" w:eastAsia="zh-CN"/>
        </w:rPr>
        <w:t xml:space="preserve"> </w:t>
      </w:r>
      <w:r w:rsidRPr="00FD78BF">
        <w:rPr>
          <w:rFonts w:ascii="Book Antiqua" w:hAnsi="Book Antiqua"/>
          <w:i/>
          <w:lang w:val="en-NZ" w:eastAsia="zh-CN"/>
        </w:rPr>
        <w:t>vs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non-</w:t>
      </w:r>
      <w:proofErr w:type="spellStart"/>
      <w:r w:rsidRPr="000A456E">
        <w:rPr>
          <w:rFonts w:ascii="Book Antiqua" w:hAnsi="Book Antiqua"/>
          <w:lang w:val="en-NZ" w:eastAsia="zh-CN"/>
        </w:rPr>
        <w:t>leucodepleted</w:t>
      </w:r>
      <w:proofErr w:type="spellEnd"/>
      <w:r w:rsidRPr="000A456E">
        <w:rPr>
          <w:rFonts w:ascii="Book Antiqua" w:hAnsi="Book Antiqua"/>
          <w:lang w:val="en-NZ" w:eastAsia="zh-CN"/>
        </w:rPr>
        <w:t>.</w:t>
      </w:r>
      <w:r w:rsidR="00F86F7B">
        <w:rPr>
          <w:rFonts w:ascii="Book Antiqua" w:hAnsi="Book Antiqua"/>
          <w:bCs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APTT</w:t>
      </w:r>
      <w:r>
        <w:rPr>
          <w:rFonts w:ascii="Book Antiqua" w:hAnsi="Book Antiqua" w:hint="eastAsi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a</w:t>
      </w:r>
      <w:r w:rsidRPr="000A456E">
        <w:rPr>
          <w:rFonts w:ascii="Book Antiqua" w:hAnsi="Book Antiqua"/>
          <w:lang w:val="en-NZ" w:eastAsia="zh-CN"/>
        </w:rPr>
        <w:t>ctivated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partial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thromboplastin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FFP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f</w:t>
      </w:r>
      <w:r w:rsidRPr="000A456E">
        <w:rPr>
          <w:rFonts w:ascii="Book Antiqua" w:hAnsi="Book Antiqua"/>
          <w:lang w:val="en-NZ" w:eastAsia="zh-CN"/>
        </w:rPr>
        <w:t>resh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frozen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plasma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INR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i</w:t>
      </w:r>
      <w:r w:rsidRPr="000A456E">
        <w:rPr>
          <w:rFonts w:ascii="Book Antiqua" w:hAnsi="Book Antiqua"/>
          <w:lang w:val="en-NZ" w:eastAsia="zh-CN"/>
        </w:rPr>
        <w:t>nternational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normalised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ratio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MA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m</w:t>
      </w:r>
      <w:r w:rsidRPr="000A456E">
        <w:rPr>
          <w:rFonts w:ascii="Book Antiqua" w:hAnsi="Book Antiqua"/>
          <w:lang w:val="en-NZ" w:eastAsia="zh-CN"/>
        </w:rPr>
        <w:t>aximum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amplitude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PT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p</w:t>
      </w:r>
      <w:r w:rsidRPr="000A456E">
        <w:rPr>
          <w:rFonts w:ascii="Book Antiqua" w:hAnsi="Book Antiqua"/>
          <w:lang w:val="en-NZ" w:eastAsia="zh-CN"/>
        </w:rPr>
        <w:t>rothrombin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r</w:t>
      </w:r>
      <w:r w:rsidRPr="000A456E">
        <w:rPr>
          <w:rFonts w:ascii="Book Antiqua" w:hAnsi="Book Antiqua"/>
          <w:lang w:val="en-NZ" w:eastAsia="zh-CN"/>
        </w:rPr>
        <w:t>eaction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time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RBC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r</w:t>
      </w:r>
      <w:r w:rsidRPr="000A456E">
        <w:rPr>
          <w:rFonts w:ascii="Book Antiqua" w:hAnsi="Book Antiqua"/>
          <w:lang w:val="en-NZ" w:eastAsia="zh-CN"/>
        </w:rPr>
        <w:t>ed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blood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cells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SDAP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s</w:t>
      </w:r>
      <w:r w:rsidRPr="000A456E">
        <w:rPr>
          <w:rFonts w:ascii="Book Antiqua" w:hAnsi="Book Antiqua"/>
          <w:lang w:val="en-NZ" w:eastAsia="zh-CN"/>
        </w:rPr>
        <w:t>ingle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donor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apheresis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platelets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SOC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caps/>
          <w:lang w:val="en-NZ" w:eastAsia="zh-CN"/>
        </w:rPr>
        <w:t>s</w:t>
      </w:r>
      <w:r w:rsidRPr="000A456E">
        <w:rPr>
          <w:rFonts w:ascii="Book Antiqua" w:hAnsi="Book Antiqua"/>
          <w:lang w:val="en-NZ" w:eastAsia="zh-CN"/>
        </w:rPr>
        <w:t>tandard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of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care</w:t>
      </w:r>
      <w:r>
        <w:rPr>
          <w:rFonts w:ascii="Book Antiqua" w:hAnsi="Book Antiqua"/>
          <w:lang w:val="en-NZ" w:eastAsia="zh-CN"/>
        </w:rPr>
        <w:t>;</w:t>
      </w:r>
      <w:r w:rsidR="00F86F7B">
        <w:rPr>
          <w:rFonts w:ascii="Book Antiqua" w:hAnsi="Book Antiqua"/>
          <w:lang w:val="en-NZ" w:eastAsia="zh-CN"/>
        </w:rPr>
        <w:t xml:space="preserve"> </w:t>
      </w:r>
      <w:r w:rsidRPr="000A456E">
        <w:rPr>
          <w:rFonts w:ascii="Book Antiqua" w:hAnsi="Book Antiqua"/>
          <w:lang w:val="en-NZ" w:eastAsia="zh-CN"/>
        </w:rPr>
        <w:t>TEG</w:t>
      </w:r>
      <w:r>
        <w:rPr>
          <w:rFonts w:ascii="Book Antiqua" w:hAnsi="Book Antiqua"/>
          <w:lang w:val="en-NZ" w:eastAsia="zh-CN"/>
        </w:rPr>
        <w:t>:</w:t>
      </w:r>
      <w:r w:rsidR="00F86F7B">
        <w:rPr>
          <w:rFonts w:ascii="Book Antiqua" w:hAnsi="Book Antiqua"/>
          <w:lang w:val="en-NZ" w:eastAsia="zh-CN"/>
        </w:rPr>
        <w:t xml:space="preserve"> </w:t>
      </w:r>
      <w:proofErr w:type="spellStart"/>
      <w:r w:rsidRPr="000A456E">
        <w:rPr>
          <w:rFonts w:ascii="Book Antiqua" w:hAnsi="Book Antiqua"/>
          <w:caps/>
          <w:lang w:val="en-NZ" w:eastAsia="zh-CN"/>
        </w:rPr>
        <w:t>t</w:t>
      </w:r>
      <w:r w:rsidRPr="000A456E">
        <w:rPr>
          <w:rFonts w:ascii="Book Antiqua" w:hAnsi="Book Antiqua"/>
          <w:lang w:val="en-NZ" w:eastAsia="zh-CN"/>
        </w:rPr>
        <w:t>hromboelastography</w:t>
      </w:r>
      <w:proofErr w:type="spellEnd"/>
      <w:r w:rsidRPr="000A456E">
        <w:rPr>
          <w:rFonts w:ascii="Book Antiqua" w:hAnsi="Book Antiqua"/>
          <w:lang w:val="en-NZ" w:eastAsia="zh-CN"/>
        </w:rPr>
        <w:t>.</w:t>
      </w:r>
    </w:p>
    <w:sectPr w:rsidR="002024B4" w:rsidRPr="003C2596" w:rsidSect="002024B4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C198" w14:textId="77777777" w:rsidR="00845662" w:rsidRDefault="00845662" w:rsidP="009178BF">
      <w:r>
        <w:separator/>
      </w:r>
    </w:p>
  </w:endnote>
  <w:endnote w:type="continuationSeparator" w:id="0">
    <w:p w14:paraId="5BDC5006" w14:textId="77777777" w:rsidR="00845662" w:rsidRDefault="00845662" w:rsidP="0091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281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98077406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502165F7" w14:textId="00750386" w:rsidR="003E7254" w:rsidRPr="009178BF" w:rsidRDefault="003E7254" w:rsidP="009178BF">
            <w:pPr>
              <w:pStyle w:val="Foot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9178BF">
              <w:rPr>
                <w:bCs/>
                <w:sz w:val="24"/>
                <w:szCs w:val="24"/>
              </w:rPr>
              <w:fldChar w:fldCharType="begin"/>
            </w:r>
            <w:r w:rsidRPr="009178BF">
              <w:rPr>
                <w:bCs/>
                <w:sz w:val="24"/>
                <w:szCs w:val="24"/>
              </w:rPr>
              <w:instrText>PAGE</w:instrText>
            </w:r>
            <w:r w:rsidRPr="009178B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21</w:t>
            </w:r>
            <w:r w:rsidRPr="009178BF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9178BF">
              <w:rPr>
                <w:sz w:val="24"/>
                <w:szCs w:val="24"/>
                <w:lang w:val="zh-CN" w:eastAsia="zh-CN"/>
              </w:rPr>
              <w:t>/</w:t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9178BF">
              <w:rPr>
                <w:bCs/>
                <w:sz w:val="24"/>
                <w:szCs w:val="24"/>
              </w:rPr>
              <w:fldChar w:fldCharType="begin"/>
            </w:r>
            <w:r w:rsidRPr="009178BF">
              <w:rPr>
                <w:bCs/>
                <w:sz w:val="24"/>
                <w:szCs w:val="24"/>
              </w:rPr>
              <w:instrText>NUMPAGES</w:instrText>
            </w:r>
            <w:r w:rsidRPr="009178BF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35</w:t>
            </w:r>
            <w:r w:rsidRPr="009178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5197DD" w14:textId="77777777" w:rsidR="003E7254" w:rsidRDefault="003E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4BE5" w14:textId="77777777" w:rsidR="00845662" w:rsidRDefault="00845662" w:rsidP="009178BF">
      <w:r>
        <w:separator/>
      </w:r>
    </w:p>
  </w:footnote>
  <w:footnote w:type="continuationSeparator" w:id="0">
    <w:p w14:paraId="468C0E56" w14:textId="77777777" w:rsidR="00845662" w:rsidRDefault="00845662" w:rsidP="0091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4097"/>
    <w:rsid w:val="00040919"/>
    <w:rsid w:val="0004251D"/>
    <w:rsid w:val="00044601"/>
    <w:rsid w:val="00060FFC"/>
    <w:rsid w:val="000745A3"/>
    <w:rsid w:val="0007747C"/>
    <w:rsid w:val="00080D63"/>
    <w:rsid w:val="0009103D"/>
    <w:rsid w:val="00097FCC"/>
    <w:rsid w:val="000A0804"/>
    <w:rsid w:val="000A2E36"/>
    <w:rsid w:val="000A456E"/>
    <w:rsid w:val="000A73EF"/>
    <w:rsid w:val="000B071C"/>
    <w:rsid w:val="000C4424"/>
    <w:rsid w:val="000E498D"/>
    <w:rsid w:val="000E7EE1"/>
    <w:rsid w:val="0012249E"/>
    <w:rsid w:val="00137E35"/>
    <w:rsid w:val="0016369D"/>
    <w:rsid w:val="001A1222"/>
    <w:rsid w:val="001B0440"/>
    <w:rsid w:val="001B2519"/>
    <w:rsid w:val="001D1A82"/>
    <w:rsid w:val="001E71B9"/>
    <w:rsid w:val="001F51CE"/>
    <w:rsid w:val="002024B4"/>
    <w:rsid w:val="00211216"/>
    <w:rsid w:val="00211EA6"/>
    <w:rsid w:val="002202CC"/>
    <w:rsid w:val="0023197D"/>
    <w:rsid w:val="002434E9"/>
    <w:rsid w:val="00252555"/>
    <w:rsid w:val="00254D7A"/>
    <w:rsid w:val="002711AC"/>
    <w:rsid w:val="00290F80"/>
    <w:rsid w:val="00297484"/>
    <w:rsid w:val="002B3FAB"/>
    <w:rsid w:val="002B786D"/>
    <w:rsid w:val="002D4C10"/>
    <w:rsid w:val="0030547C"/>
    <w:rsid w:val="00314B08"/>
    <w:rsid w:val="00317802"/>
    <w:rsid w:val="003423E3"/>
    <w:rsid w:val="00356C57"/>
    <w:rsid w:val="003860D2"/>
    <w:rsid w:val="003971D2"/>
    <w:rsid w:val="003C2596"/>
    <w:rsid w:val="003D55D6"/>
    <w:rsid w:val="003D757B"/>
    <w:rsid w:val="003E0B4F"/>
    <w:rsid w:val="003E494B"/>
    <w:rsid w:val="003E7254"/>
    <w:rsid w:val="003F7769"/>
    <w:rsid w:val="00405571"/>
    <w:rsid w:val="0042683F"/>
    <w:rsid w:val="00436FE2"/>
    <w:rsid w:val="00440C04"/>
    <w:rsid w:val="00450049"/>
    <w:rsid w:val="00451275"/>
    <w:rsid w:val="00455D67"/>
    <w:rsid w:val="00471C97"/>
    <w:rsid w:val="00483E00"/>
    <w:rsid w:val="00497AF0"/>
    <w:rsid w:val="004C3415"/>
    <w:rsid w:val="004D4089"/>
    <w:rsid w:val="004E39DE"/>
    <w:rsid w:val="004E6BC3"/>
    <w:rsid w:val="004F1870"/>
    <w:rsid w:val="00503674"/>
    <w:rsid w:val="00510511"/>
    <w:rsid w:val="00525A4A"/>
    <w:rsid w:val="005263F4"/>
    <w:rsid w:val="00527B04"/>
    <w:rsid w:val="005320A4"/>
    <w:rsid w:val="00534497"/>
    <w:rsid w:val="00557674"/>
    <w:rsid w:val="00575589"/>
    <w:rsid w:val="00593291"/>
    <w:rsid w:val="00597D39"/>
    <w:rsid w:val="00597FD6"/>
    <w:rsid w:val="005A2A79"/>
    <w:rsid w:val="005B0181"/>
    <w:rsid w:val="005B3951"/>
    <w:rsid w:val="005D57C3"/>
    <w:rsid w:val="005D60FA"/>
    <w:rsid w:val="005E07AF"/>
    <w:rsid w:val="005E2D05"/>
    <w:rsid w:val="005E577F"/>
    <w:rsid w:val="005F039B"/>
    <w:rsid w:val="005F107F"/>
    <w:rsid w:val="005F3A93"/>
    <w:rsid w:val="0060427E"/>
    <w:rsid w:val="0060655C"/>
    <w:rsid w:val="0061205F"/>
    <w:rsid w:val="00622C66"/>
    <w:rsid w:val="00624425"/>
    <w:rsid w:val="00630F61"/>
    <w:rsid w:val="006616E9"/>
    <w:rsid w:val="00676A74"/>
    <w:rsid w:val="006805E9"/>
    <w:rsid w:val="006C0720"/>
    <w:rsid w:val="006D6036"/>
    <w:rsid w:val="006F326E"/>
    <w:rsid w:val="0070693D"/>
    <w:rsid w:val="00710A73"/>
    <w:rsid w:val="00721F95"/>
    <w:rsid w:val="0072250D"/>
    <w:rsid w:val="00736A52"/>
    <w:rsid w:val="00741227"/>
    <w:rsid w:val="00761856"/>
    <w:rsid w:val="007740F4"/>
    <w:rsid w:val="007767B1"/>
    <w:rsid w:val="00781920"/>
    <w:rsid w:val="007B76A2"/>
    <w:rsid w:val="007F109B"/>
    <w:rsid w:val="007F2319"/>
    <w:rsid w:val="007F68F9"/>
    <w:rsid w:val="007F7236"/>
    <w:rsid w:val="007F7F4D"/>
    <w:rsid w:val="00811760"/>
    <w:rsid w:val="00845662"/>
    <w:rsid w:val="00846E96"/>
    <w:rsid w:val="00850489"/>
    <w:rsid w:val="0085265D"/>
    <w:rsid w:val="00860A71"/>
    <w:rsid w:val="0086560F"/>
    <w:rsid w:val="008672BF"/>
    <w:rsid w:val="008739BE"/>
    <w:rsid w:val="008A0543"/>
    <w:rsid w:val="008B1C6C"/>
    <w:rsid w:val="008B3C54"/>
    <w:rsid w:val="008B3EB5"/>
    <w:rsid w:val="008D2BF9"/>
    <w:rsid w:val="008D48A9"/>
    <w:rsid w:val="008D5DE6"/>
    <w:rsid w:val="008E030C"/>
    <w:rsid w:val="008F3193"/>
    <w:rsid w:val="009178BF"/>
    <w:rsid w:val="00927AB7"/>
    <w:rsid w:val="00942808"/>
    <w:rsid w:val="009461C3"/>
    <w:rsid w:val="009506A3"/>
    <w:rsid w:val="00953AE7"/>
    <w:rsid w:val="009565CE"/>
    <w:rsid w:val="009932BC"/>
    <w:rsid w:val="009A0686"/>
    <w:rsid w:val="009B3714"/>
    <w:rsid w:val="009E1BC6"/>
    <w:rsid w:val="009E3D85"/>
    <w:rsid w:val="009F64CE"/>
    <w:rsid w:val="00A03F6B"/>
    <w:rsid w:val="00A11777"/>
    <w:rsid w:val="00A2366C"/>
    <w:rsid w:val="00A30CAC"/>
    <w:rsid w:val="00A31FCA"/>
    <w:rsid w:val="00A36B71"/>
    <w:rsid w:val="00A76700"/>
    <w:rsid w:val="00A77B3E"/>
    <w:rsid w:val="00A9694D"/>
    <w:rsid w:val="00A96CC2"/>
    <w:rsid w:val="00AA47AB"/>
    <w:rsid w:val="00AB2D8B"/>
    <w:rsid w:val="00AB5C2C"/>
    <w:rsid w:val="00AC0F92"/>
    <w:rsid w:val="00AD0CA7"/>
    <w:rsid w:val="00AD7E5A"/>
    <w:rsid w:val="00AE78B5"/>
    <w:rsid w:val="00B11661"/>
    <w:rsid w:val="00B134D4"/>
    <w:rsid w:val="00B23894"/>
    <w:rsid w:val="00B31A7B"/>
    <w:rsid w:val="00B37D44"/>
    <w:rsid w:val="00B5351D"/>
    <w:rsid w:val="00B56021"/>
    <w:rsid w:val="00B6169A"/>
    <w:rsid w:val="00B62122"/>
    <w:rsid w:val="00B74F22"/>
    <w:rsid w:val="00B77158"/>
    <w:rsid w:val="00BB7843"/>
    <w:rsid w:val="00BC16A4"/>
    <w:rsid w:val="00BC7685"/>
    <w:rsid w:val="00BD0751"/>
    <w:rsid w:val="00BF71B7"/>
    <w:rsid w:val="00C116C2"/>
    <w:rsid w:val="00C156FC"/>
    <w:rsid w:val="00C50CB5"/>
    <w:rsid w:val="00C76BBD"/>
    <w:rsid w:val="00C816E0"/>
    <w:rsid w:val="00C836E9"/>
    <w:rsid w:val="00C91052"/>
    <w:rsid w:val="00CA2466"/>
    <w:rsid w:val="00CA2A55"/>
    <w:rsid w:val="00CC241C"/>
    <w:rsid w:val="00CC41A7"/>
    <w:rsid w:val="00CD001E"/>
    <w:rsid w:val="00CD34FA"/>
    <w:rsid w:val="00CD4815"/>
    <w:rsid w:val="00CE0C08"/>
    <w:rsid w:val="00D1194A"/>
    <w:rsid w:val="00D27C18"/>
    <w:rsid w:val="00D30193"/>
    <w:rsid w:val="00D36C9B"/>
    <w:rsid w:val="00D37E93"/>
    <w:rsid w:val="00D4011F"/>
    <w:rsid w:val="00D41456"/>
    <w:rsid w:val="00D43910"/>
    <w:rsid w:val="00D45A6A"/>
    <w:rsid w:val="00D5335E"/>
    <w:rsid w:val="00D63610"/>
    <w:rsid w:val="00D84428"/>
    <w:rsid w:val="00DC5736"/>
    <w:rsid w:val="00DD09DE"/>
    <w:rsid w:val="00E21D83"/>
    <w:rsid w:val="00E47988"/>
    <w:rsid w:val="00E6135B"/>
    <w:rsid w:val="00E61A45"/>
    <w:rsid w:val="00E734D5"/>
    <w:rsid w:val="00E827F2"/>
    <w:rsid w:val="00E85305"/>
    <w:rsid w:val="00E903B7"/>
    <w:rsid w:val="00E91BAE"/>
    <w:rsid w:val="00EC6589"/>
    <w:rsid w:val="00EE14A9"/>
    <w:rsid w:val="00EE42DD"/>
    <w:rsid w:val="00F06243"/>
    <w:rsid w:val="00F072D5"/>
    <w:rsid w:val="00F1576F"/>
    <w:rsid w:val="00F24524"/>
    <w:rsid w:val="00F443CD"/>
    <w:rsid w:val="00F44DC8"/>
    <w:rsid w:val="00F67220"/>
    <w:rsid w:val="00F86F7B"/>
    <w:rsid w:val="00F965E9"/>
    <w:rsid w:val="00F9727C"/>
    <w:rsid w:val="00FA0404"/>
    <w:rsid w:val="00FB207E"/>
    <w:rsid w:val="00FB4A1E"/>
    <w:rsid w:val="00FD78BF"/>
    <w:rsid w:val="00FE5FB8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1B879"/>
  <w15:docId w15:val="{B387BCEB-8A72-40E0-90DB-9BE839E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7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178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78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78B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A054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NZ"/>
    </w:rPr>
  </w:style>
  <w:style w:type="table" w:styleId="GridTable4">
    <w:name w:val="Grid Table 4"/>
    <w:basedOn w:val="TableNormal"/>
    <w:uiPriority w:val="49"/>
    <w:rsid w:val="007F23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2024B4"/>
    <w:rPr>
      <w:rFonts w:asciiTheme="minorHAnsi" w:hAnsiTheme="minorHAnsi" w:cstheme="minorBidi"/>
      <w:sz w:val="22"/>
      <w:szCs w:val="22"/>
      <w:lang w:val="en-NZ"/>
    </w:rPr>
  </w:style>
  <w:style w:type="character" w:styleId="CommentReference">
    <w:name w:val="annotation reference"/>
    <w:basedOn w:val="DefaultParagraphFont"/>
    <w:semiHidden/>
    <w:unhideWhenUsed/>
    <w:rsid w:val="009932BC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9932BC"/>
  </w:style>
  <w:style w:type="character" w:customStyle="1" w:styleId="CommentTextChar">
    <w:name w:val="Comment Text Char"/>
    <w:basedOn w:val="DefaultParagraphFont"/>
    <w:link w:val="CommentText"/>
    <w:semiHidden/>
    <w:rsid w:val="009932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B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32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B841-5FBD-614E-9989-5CA1C9FD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7004</Words>
  <Characters>39924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Wei</dc:creator>
  <cp:lastModifiedBy>Na Ma</cp:lastModifiedBy>
  <cp:revision>2</cp:revision>
  <dcterms:created xsi:type="dcterms:W3CDTF">2020-09-01T19:42:00Z</dcterms:created>
  <dcterms:modified xsi:type="dcterms:W3CDTF">2020-09-01T19:42:00Z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http://www.zotero.org/styles/world-journal-of-gastroenterology</vt:lpwstr>
  </property>
  <property fmtid="{D5CDD505-2E9C-101B-9397-08002B2CF9AE}" pid="4" name="Mendeley Unique User Id_1">
    <vt:lpwstr>085318ca-4579-35d4-81a3-c6e4a7f840e3</vt:lpwstr>
  </property>
</Properties>
</file>