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877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Name of Journal: </w:t>
      </w:r>
      <w:r w:rsidRPr="00C9386A">
        <w:rPr>
          <w:rFonts w:ascii="Book Antiqua" w:eastAsia="Book Antiqua" w:hAnsi="Book Antiqua" w:cs="Book Antiqua"/>
          <w:i/>
          <w:color w:val="000000"/>
        </w:rPr>
        <w:t>World Journal of Gastrointestinal Endoscopy</w:t>
      </w:r>
    </w:p>
    <w:p w14:paraId="08B54FA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Manuscript NO: </w:t>
      </w:r>
      <w:r w:rsidRPr="00C9386A">
        <w:rPr>
          <w:rFonts w:ascii="Book Antiqua" w:eastAsia="Book Antiqua" w:hAnsi="Book Antiqua" w:cs="Book Antiqua"/>
          <w:color w:val="000000"/>
        </w:rPr>
        <w:t>56576</w:t>
      </w:r>
    </w:p>
    <w:p w14:paraId="2EBE4DE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Manuscript Type: </w:t>
      </w:r>
      <w:r w:rsidRPr="00C9386A">
        <w:rPr>
          <w:rFonts w:ascii="Book Antiqua" w:eastAsia="Book Antiqua" w:hAnsi="Book Antiqua" w:cs="Book Antiqua"/>
          <w:color w:val="000000"/>
        </w:rPr>
        <w:t>SYSTEMATIC REVIEWS</w:t>
      </w:r>
    </w:p>
    <w:p w14:paraId="55C07222" w14:textId="77777777" w:rsidR="001D0CB2" w:rsidRPr="00C9386A" w:rsidRDefault="001D0CB2" w:rsidP="00C9386A">
      <w:pPr>
        <w:adjustRightInd w:val="0"/>
        <w:snapToGrid w:val="0"/>
        <w:spacing w:after="0" w:line="360" w:lineRule="auto"/>
        <w:jc w:val="both"/>
        <w:rPr>
          <w:rFonts w:ascii="Book Antiqua" w:hAnsi="Book Antiqua" w:cs="Book Antiqua"/>
        </w:rPr>
      </w:pPr>
    </w:p>
    <w:p w14:paraId="52E777E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Fluorescence guided intraluminal endoscopy in the gastrointestinal tract: A systematic review</w:t>
      </w:r>
    </w:p>
    <w:p w14:paraId="14F025A0" w14:textId="77777777" w:rsidR="001D0CB2" w:rsidRPr="00C9386A" w:rsidRDefault="001D0CB2" w:rsidP="00C9386A">
      <w:pPr>
        <w:adjustRightInd w:val="0"/>
        <w:snapToGrid w:val="0"/>
        <w:spacing w:after="0" w:line="360" w:lineRule="auto"/>
        <w:jc w:val="both"/>
        <w:rPr>
          <w:rFonts w:ascii="Book Antiqua" w:hAnsi="Book Antiqua" w:cs="Book Antiqua"/>
        </w:rPr>
      </w:pPr>
    </w:p>
    <w:p w14:paraId="5BE027E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Mortensen OE </w:t>
      </w:r>
      <w:r w:rsidRPr="00C9386A">
        <w:rPr>
          <w:rFonts w:ascii="Book Antiqua" w:eastAsia="Book Antiqua" w:hAnsi="Book Antiqua" w:cs="Book Antiqua"/>
          <w:i/>
          <w:iCs/>
          <w:color w:val="000000"/>
        </w:rPr>
        <w:t>et al</w:t>
      </w:r>
      <w:r w:rsidRPr="00C9386A">
        <w:rPr>
          <w:rFonts w:ascii="Book Antiqua" w:eastAsia="Book Antiqua" w:hAnsi="Book Antiqua" w:cs="Book Antiqua"/>
          <w:color w:val="000000"/>
        </w:rPr>
        <w:t>. Intraluminal endoscopy in the gastrointestinal tract</w:t>
      </w:r>
    </w:p>
    <w:p w14:paraId="41673B95" w14:textId="77777777" w:rsidR="001D0CB2" w:rsidRPr="00C9386A" w:rsidRDefault="001D0CB2" w:rsidP="00C9386A">
      <w:pPr>
        <w:adjustRightInd w:val="0"/>
        <w:snapToGrid w:val="0"/>
        <w:spacing w:after="0" w:line="360" w:lineRule="auto"/>
        <w:jc w:val="both"/>
        <w:rPr>
          <w:rFonts w:ascii="Book Antiqua" w:hAnsi="Book Antiqua" w:cs="Book Antiqua"/>
        </w:rPr>
      </w:pPr>
    </w:p>
    <w:p w14:paraId="3065903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Olivia </w:t>
      </w:r>
      <w:proofErr w:type="spellStart"/>
      <w:r w:rsidRPr="00C9386A">
        <w:rPr>
          <w:rFonts w:ascii="Book Antiqua" w:eastAsia="Book Antiqua" w:hAnsi="Book Antiqua" w:cs="Book Antiqua"/>
          <w:color w:val="000000"/>
        </w:rPr>
        <w:t>Engholt</w:t>
      </w:r>
      <w:proofErr w:type="spellEnd"/>
      <w:r w:rsidRPr="00C9386A">
        <w:rPr>
          <w:rFonts w:ascii="Book Antiqua" w:eastAsia="Book Antiqua" w:hAnsi="Book Antiqua" w:cs="Book Antiqua"/>
          <w:color w:val="000000"/>
        </w:rPr>
        <w:t xml:space="preserve"> Mortensen, Nikolaj </w:t>
      </w:r>
      <w:proofErr w:type="spellStart"/>
      <w:r w:rsidRPr="00C9386A">
        <w:rPr>
          <w:rFonts w:ascii="Book Antiqua" w:eastAsia="Book Antiqua" w:hAnsi="Book Antiqua" w:cs="Book Antiqua"/>
          <w:color w:val="000000"/>
        </w:rPr>
        <w:t>Nerup</w:t>
      </w:r>
      <w:proofErr w:type="spellEnd"/>
      <w:r w:rsidRPr="00C9386A">
        <w:rPr>
          <w:rFonts w:ascii="Book Antiqua" w:eastAsia="Book Antiqua" w:hAnsi="Book Antiqua" w:cs="Book Antiqua"/>
          <w:color w:val="000000"/>
        </w:rPr>
        <w:t xml:space="preserve">, Morten </w:t>
      </w:r>
      <w:proofErr w:type="spellStart"/>
      <w:r w:rsidRPr="00C9386A">
        <w:rPr>
          <w:rFonts w:ascii="Book Antiqua" w:eastAsia="Book Antiqua" w:hAnsi="Book Antiqua" w:cs="Book Antiqua"/>
          <w:color w:val="000000"/>
        </w:rPr>
        <w:t>Thorsteinsson</w:t>
      </w:r>
      <w:proofErr w:type="spellEnd"/>
      <w:r w:rsidRPr="00C9386A">
        <w:rPr>
          <w:rFonts w:ascii="Book Antiqua" w:eastAsia="Book Antiqua" w:hAnsi="Book Antiqua" w:cs="Book Antiqua"/>
          <w:color w:val="000000"/>
        </w:rPr>
        <w:t xml:space="preserve">, Morten Bo </w:t>
      </w:r>
      <w:proofErr w:type="spellStart"/>
      <w:r w:rsidRPr="00C9386A">
        <w:rPr>
          <w:rFonts w:ascii="Book Antiqua" w:eastAsia="Book Antiqua" w:hAnsi="Book Antiqua" w:cs="Book Antiqua"/>
          <w:color w:val="000000"/>
        </w:rPr>
        <w:t>Søndergaard</w:t>
      </w:r>
      <w:proofErr w:type="spellEnd"/>
      <w:r w:rsidRPr="00C9386A">
        <w:rPr>
          <w:rFonts w:ascii="Book Antiqua" w:eastAsia="Book Antiqua" w:hAnsi="Book Antiqua" w:cs="Book Antiqua"/>
          <w:color w:val="000000"/>
        </w:rPr>
        <w:t xml:space="preserve"> Svendsen, </w:t>
      </w:r>
      <w:proofErr w:type="spellStart"/>
      <w:r w:rsidRPr="00C9386A">
        <w:rPr>
          <w:rFonts w:ascii="Book Antiqua" w:eastAsia="Book Antiqua" w:hAnsi="Book Antiqua" w:cs="Book Antiqua"/>
          <w:color w:val="000000"/>
        </w:rPr>
        <w:t>Hironari</w:t>
      </w:r>
      <w:proofErr w:type="spellEnd"/>
      <w:r w:rsidRPr="00C9386A">
        <w:rPr>
          <w:rFonts w:ascii="Book Antiqua" w:eastAsia="Book Antiqua" w:hAnsi="Book Antiqua" w:cs="Book Antiqua"/>
          <w:color w:val="000000"/>
        </w:rPr>
        <w:t xml:space="preserve"> </w:t>
      </w:r>
      <w:proofErr w:type="spellStart"/>
      <w:r w:rsidRPr="00C9386A">
        <w:rPr>
          <w:rFonts w:ascii="Book Antiqua" w:eastAsia="Book Antiqua" w:hAnsi="Book Antiqua" w:cs="Book Antiqua"/>
          <w:color w:val="000000"/>
        </w:rPr>
        <w:t>Shiwaku</w:t>
      </w:r>
      <w:proofErr w:type="spellEnd"/>
      <w:r w:rsidRPr="00C9386A">
        <w:rPr>
          <w:rFonts w:ascii="Book Antiqua" w:eastAsia="Book Antiqua" w:hAnsi="Book Antiqua" w:cs="Book Antiqua"/>
          <w:color w:val="000000"/>
        </w:rPr>
        <w:t xml:space="preserve">, Michael Patrick </w:t>
      </w:r>
      <w:proofErr w:type="spellStart"/>
      <w:r w:rsidRPr="00C9386A">
        <w:rPr>
          <w:rFonts w:ascii="Book Antiqua" w:eastAsia="Book Antiqua" w:hAnsi="Book Antiqua" w:cs="Book Antiqua"/>
          <w:color w:val="000000"/>
        </w:rPr>
        <w:t>Achiam</w:t>
      </w:r>
      <w:proofErr w:type="spellEnd"/>
    </w:p>
    <w:p w14:paraId="435AFDC0" w14:textId="77777777" w:rsidR="001D0CB2" w:rsidRPr="00C9386A" w:rsidRDefault="001D0CB2" w:rsidP="00C9386A">
      <w:pPr>
        <w:adjustRightInd w:val="0"/>
        <w:snapToGrid w:val="0"/>
        <w:spacing w:after="0" w:line="360" w:lineRule="auto"/>
        <w:jc w:val="both"/>
        <w:rPr>
          <w:rFonts w:ascii="Book Antiqua" w:hAnsi="Book Antiqua" w:cs="Book Antiqua"/>
        </w:rPr>
      </w:pPr>
    </w:p>
    <w:p w14:paraId="14C5922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Olivia </w:t>
      </w:r>
      <w:proofErr w:type="spellStart"/>
      <w:r w:rsidRPr="00C9386A">
        <w:rPr>
          <w:rFonts w:ascii="Book Antiqua" w:eastAsia="Book Antiqua" w:hAnsi="Book Antiqua" w:cs="Book Antiqua"/>
          <w:b/>
          <w:bCs/>
          <w:color w:val="000000"/>
        </w:rPr>
        <w:t>Engholt</w:t>
      </w:r>
      <w:proofErr w:type="spellEnd"/>
      <w:r w:rsidRPr="00C9386A">
        <w:rPr>
          <w:rFonts w:ascii="Book Antiqua" w:eastAsia="Book Antiqua" w:hAnsi="Book Antiqua" w:cs="Book Antiqua"/>
          <w:b/>
          <w:bCs/>
          <w:color w:val="000000"/>
        </w:rPr>
        <w:t xml:space="preserve"> Mortensen, Nikolaj </w:t>
      </w:r>
      <w:proofErr w:type="spellStart"/>
      <w:r w:rsidRPr="00C9386A">
        <w:rPr>
          <w:rFonts w:ascii="Book Antiqua" w:eastAsia="Book Antiqua" w:hAnsi="Book Antiqua" w:cs="Book Antiqua"/>
          <w:b/>
          <w:bCs/>
          <w:color w:val="000000"/>
        </w:rPr>
        <w:t>Nerup</w:t>
      </w:r>
      <w:proofErr w:type="spellEnd"/>
      <w:r w:rsidRPr="00C9386A">
        <w:rPr>
          <w:rFonts w:ascii="Book Antiqua" w:eastAsia="Book Antiqua" w:hAnsi="Book Antiqua" w:cs="Book Antiqua"/>
          <w:b/>
          <w:bCs/>
          <w:color w:val="000000"/>
        </w:rPr>
        <w:t xml:space="preserve">, Morten </w:t>
      </w:r>
      <w:proofErr w:type="spellStart"/>
      <w:r w:rsidRPr="00C9386A">
        <w:rPr>
          <w:rFonts w:ascii="Book Antiqua" w:eastAsia="Book Antiqua" w:hAnsi="Book Antiqua" w:cs="Book Antiqua"/>
          <w:b/>
          <w:bCs/>
          <w:color w:val="000000"/>
        </w:rPr>
        <w:t>Thorsteinsson</w:t>
      </w:r>
      <w:proofErr w:type="spellEnd"/>
      <w:r w:rsidRPr="00C9386A">
        <w:rPr>
          <w:rFonts w:ascii="Book Antiqua" w:eastAsia="Book Antiqua" w:hAnsi="Book Antiqua" w:cs="Book Antiqua"/>
          <w:b/>
          <w:bCs/>
          <w:color w:val="000000"/>
        </w:rPr>
        <w:t xml:space="preserve">, Michael Patrick </w:t>
      </w:r>
      <w:proofErr w:type="spellStart"/>
      <w:r w:rsidRPr="00C9386A">
        <w:rPr>
          <w:rFonts w:ascii="Book Antiqua" w:eastAsia="Book Antiqua" w:hAnsi="Book Antiqua" w:cs="Book Antiqua"/>
          <w:b/>
          <w:bCs/>
          <w:color w:val="000000"/>
        </w:rPr>
        <w:t>Achiam</w:t>
      </w:r>
      <w:proofErr w:type="spellEnd"/>
      <w:r w:rsidRPr="00C9386A">
        <w:rPr>
          <w:rFonts w:ascii="Book Antiqua" w:eastAsia="Book Antiqua" w:hAnsi="Book Antiqua" w:cs="Book Antiqua"/>
          <w:b/>
          <w:bCs/>
          <w:color w:val="000000"/>
        </w:rPr>
        <w:t xml:space="preserve">, </w:t>
      </w:r>
      <w:r w:rsidRPr="00C9386A">
        <w:rPr>
          <w:rFonts w:ascii="Book Antiqua" w:eastAsia="Book Antiqua" w:hAnsi="Book Antiqua" w:cs="Book Antiqua"/>
          <w:color w:val="000000"/>
        </w:rPr>
        <w:t>Department of Surgical Gastroenterology, Copenhagen University Hospital, Copenhagen 2100, Denmark</w:t>
      </w:r>
    </w:p>
    <w:p w14:paraId="7A85C9F8" w14:textId="77777777" w:rsidR="001D0CB2" w:rsidRPr="00C9386A" w:rsidRDefault="001D0CB2" w:rsidP="00C9386A">
      <w:pPr>
        <w:adjustRightInd w:val="0"/>
        <w:snapToGrid w:val="0"/>
        <w:spacing w:after="0" w:line="360" w:lineRule="auto"/>
        <w:jc w:val="both"/>
        <w:rPr>
          <w:rFonts w:ascii="Book Antiqua" w:hAnsi="Book Antiqua" w:cs="Book Antiqua"/>
        </w:rPr>
      </w:pPr>
    </w:p>
    <w:p w14:paraId="79A2386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Morten Bo </w:t>
      </w:r>
      <w:proofErr w:type="spellStart"/>
      <w:r w:rsidRPr="00C9386A">
        <w:rPr>
          <w:rFonts w:ascii="Book Antiqua" w:eastAsia="Book Antiqua" w:hAnsi="Book Antiqua" w:cs="Book Antiqua"/>
          <w:b/>
          <w:bCs/>
          <w:color w:val="000000"/>
        </w:rPr>
        <w:t>Søndergaard</w:t>
      </w:r>
      <w:proofErr w:type="spellEnd"/>
      <w:r w:rsidRPr="00C9386A">
        <w:rPr>
          <w:rFonts w:ascii="Book Antiqua" w:eastAsia="Book Antiqua" w:hAnsi="Book Antiqua" w:cs="Book Antiqua"/>
          <w:b/>
          <w:bCs/>
          <w:color w:val="000000"/>
        </w:rPr>
        <w:t xml:space="preserve"> Svendsen, </w:t>
      </w:r>
      <w:r w:rsidRPr="00C9386A">
        <w:rPr>
          <w:rFonts w:ascii="Book Antiqua" w:eastAsia="Book Antiqua" w:hAnsi="Book Antiqua" w:cs="Book Antiqua"/>
          <w:color w:val="000000"/>
        </w:rPr>
        <w:t>Copenhagen Academy for Medical Education and Simulation, Copenhagen University Hospital, Copenhagen 2100, Denmark</w:t>
      </w:r>
    </w:p>
    <w:p w14:paraId="5F5BF894" w14:textId="77777777" w:rsidR="001D0CB2" w:rsidRPr="00C9386A" w:rsidRDefault="001D0CB2" w:rsidP="00C9386A">
      <w:pPr>
        <w:adjustRightInd w:val="0"/>
        <w:snapToGrid w:val="0"/>
        <w:spacing w:after="0" w:line="360" w:lineRule="auto"/>
        <w:jc w:val="both"/>
        <w:rPr>
          <w:rFonts w:ascii="Book Antiqua" w:hAnsi="Book Antiqua" w:cs="Book Antiqua"/>
        </w:rPr>
      </w:pPr>
    </w:p>
    <w:p w14:paraId="665C2226" w14:textId="77777777" w:rsidR="001D0CB2" w:rsidRPr="00C9386A" w:rsidRDefault="00555B35" w:rsidP="00C9386A">
      <w:pPr>
        <w:adjustRightInd w:val="0"/>
        <w:snapToGrid w:val="0"/>
        <w:spacing w:after="0" w:line="360" w:lineRule="auto"/>
        <w:jc w:val="both"/>
        <w:rPr>
          <w:rFonts w:ascii="Book Antiqua" w:hAnsi="Book Antiqua" w:cs="Book Antiqua"/>
        </w:rPr>
      </w:pPr>
      <w:proofErr w:type="spellStart"/>
      <w:r w:rsidRPr="00C9386A">
        <w:rPr>
          <w:rFonts w:ascii="Book Antiqua" w:eastAsia="Book Antiqua" w:hAnsi="Book Antiqua" w:cs="Book Antiqua"/>
          <w:b/>
          <w:bCs/>
          <w:color w:val="000000"/>
        </w:rPr>
        <w:t>Hironari</w:t>
      </w:r>
      <w:proofErr w:type="spellEnd"/>
      <w:r w:rsidRPr="00C9386A">
        <w:rPr>
          <w:rFonts w:ascii="Book Antiqua" w:eastAsia="Book Antiqua" w:hAnsi="Book Antiqua" w:cs="Book Antiqua"/>
          <w:b/>
          <w:bCs/>
          <w:color w:val="000000"/>
        </w:rPr>
        <w:t xml:space="preserve"> </w:t>
      </w:r>
      <w:proofErr w:type="spellStart"/>
      <w:r w:rsidRPr="00C9386A">
        <w:rPr>
          <w:rFonts w:ascii="Book Antiqua" w:eastAsia="Book Antiqua" w:hAnsi="Book Antiqua" w:cs="Book Antiqua"/>
          <w:b/>
          <w:bCs/>
          <w:color w:val="000000"/>
        </w:rPr>
        <w:t>Shiwaku</w:t>
      </w:r>
      <w:proofErr w:type="spellEnd"/>
      <w:r w:rsidRPr="00C9386A">
        <w:rPr>
          <w:rFonts w:ascii="Book Antiqua" w:eastAsia="Book Antiqua" w:hAnsi="Book Antiqua" w:cs="Book Antiqua"/>
          <w:b/>
          <w:bCs/>
          <w:color w:val="000000"/>
        </w:rPr>
        <w:t xml:space="preserve">, </w:t>
      </w:r>
      <w:r w:rsidRPr="00C9386A">
        <w:rPr>
          <w:rFonts w:ascii="Book Antiqua" w:eastAsia="Book Antiqua" w:hAnsi="Book Antiqua" w:cs="Book Antiqua"/>
          <w:color w:val="000000"/>
        </w:rPr>
        <w:t>Department of Surgical Gastroenterology, Fukuoka University Faculty of Medicine, Fukuoka 814-0133, Japan</w:t>
      </w:r>
    </w:p>
    <w:p w14:paraId="77970A95" w14:textId="77777777" w:rsidR="001D0CB2" w:rsidRPr="00C9386A" w:rsidRDefault="001D0CB2" w:rsidP="00C9386A">
      <w:pPr>
        <w:adjustRightInd w:val="0"/>
        <w:snapToGrid w:val="0"/>
        <w:spacing w:after="0" w:line="360" w:lineRule="auto"/>
        <w:jc w:val="both"/>
        <w:rPr>
          <w:rFonts w:ascii="Book Antiqua" w:hAnsi="Book Antiqua" w:cs="Book Antiqua"/>
        </w:rPr>
      </w:pPr>
    </w:p>
    <w:p w14:paraId="787DDCD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Author contributions: </w:t>
      </w:r>
      <w:r w:rsidRPr="00C9386A">
        <w:rPr>
          <w:rFonts w:ascii="Book Antiqua" w:eastAsia="Book Antiqua" w:hAnsi="Book Antiqua" w:cs="Book Antiqua"/>
          <w:color w:val="000000"/>
        </w:rPr>
        <w:t xml:space="preserve">Mortensen OE, </w:t>
      </w:r>
      <w:proofErr w:type="spellStart"/>
      <w:r w:rsidRPr="00C9386A">
        <w:rPr>
          <w:rFonts w:ascii="Book Antiqua" w:eastAsia="Book Antiqua" w:hAnsi="Book Antiqua" w:cs="Book Antiqua"/>
          <w:color w:val="000000"/>
        </w:rPr>
        <w:t>Achiam</w:t>
      </w:r>
      <w:proofErr w:type="spellEnd"/>
      <w:r w:rsidRPr="00C9386A">
        <w:rPr>
          <w:rFonts w:ascii="Book Antiqua" w:eastAsia="Book Antiqua" w:hAnsi="Book Antiqua" w:cs="Book Antiqua"/>
          <w:color w:val="000000"/>
        </w:rPr>
        <w:t xml:space="preserve"> MP, </w:t>
      </w:r>
      <w:proofErr w:type="spellStart"/>
      <w:r w:rsidRPr="00C9386A">
        <w:rPr>
          <w:rFonts w:ascii="Book Antiqua" w:eastAsia="Book Antiqua" w:hAnsi="Book Antiqua" w:cs="Book Antiqua"/>
          <w:color w:val="000000"/>
        </w:rPr>
        <w:t>Nerup</w:t>
      </w:r>
      <w:proofErr w:type="spellEnd"/>
      <w:r w:rsidRPr="00C9386A">
        <w:rPr>
          <w:rFonts w:ascii="Book Antiqua" w:eastAsia="Book Antiqua" w:hAnsi="Book Antiqua" w:cs="Book Antiqua"/>
          <w:color w:val="000000"/>
        </w:rPr>
        <w:t xml:space="preserve"> N, </w:t>
      </w:r>
      <w:proofErr w:type="spellStart"/>
      <w:r w:rsidRPr="00C9386A">
        <w:rPr>
          <w:rFonts w:ascii="Book Antiqua" w:eastAsia="Book Antiqua" w:hAnsi="Book Antiqua" w:cs="Book Antiqua"/>
          <w:color w:val="000000"/>
        </w:rPr>
        <w:t>Shiwaku</w:t>
      </w:r>
      <w:proofErr w:type="spellEnd"/>
      <w:r w:rsidRPr="00C9386A">
        <w:rPr>
          <w:rFonts w:ascii="Book Antiqua" w:eastAsia="Book Antiqua" w:hAnsi="Book Antiqua" w:cs="Book Antiqua"/>
          <w:color w:val="000000"/>
        </w:rPr>
        <w:t xml:space="preserve"> H, and Svendsen MBS contributed to the idea, conceptualized, and designed the review; Mortensen OE, </w:t>
      </w:r>
      <w:proofErr w:type="spellStart"/>
      <w:r w:rsidRPr="00C9386A">
        <w:rPr>
          <w:rFonts w:ascii="Book Antiqua" w:eastAsia="Book Antiqua" w:hAnsi="Book Antiqua" w:cs="Book Antiqua"/>
          <w:color w:val="000000"/>
        </w:rPr>
        <w:t>Achiam</w:t>
      </w:r>
      <w:proofErr w:type="spellEnd"/>
      <w:r w:rsidRPr="00C9386A">
        <w:rPr>
          <w:rFonts w:ascii="Book Antiqua" w:eastAsia="Book Antiqua" w:hAnsi="Book Antiqua" w:cs="Book Antiqua"/>
          <w:color w:val="000000"/>
        </w:rPr>
        <w:t xml:space="preserve"> MP, and </w:t>
      </w:r>
      <w:proofErr w:type="spellStart"/>
      <w:r w:rsidRPr="00C9386A">
        <w:rPr>
          <w:rFonts w:ascii="Book Antiqua" w:eastAsia="Book Antiqua" w:hAnsi="Book Antiqua" w:cs="Book Antiqua"/>
          <w:color w:val="000000"/>
        </w:rPr>
        <w:t>Thorsteinsson</w:t>
      </w:r>
      <w:proofErr w:type="spellEnd"/>
      <w:r w:rsidRPr="00C9386A">
        <w:rPr>
          <w:rFonts w:ascii="Book Antiqua" w:eastAsia="Book Antiqua" w:hAnsi="Book Antiqua" w:cs="Book Antiqua"/>
          <w:color w:val="000000"/>
        </w:rPr>
        <w:t xml:space="preserve"> M carried out the screening process and data extraction; Mortensen OE drafted the initial manuscript; all authors reviewed and approved the final manuscript as submitted. </w:t>
      </w:r>
    </w:p>
    <w:p w14:paraId="0F8E989A" w14:textId="77777777" w:rsidR="001D0CB2" w:rsidRPr="00C9386A" w:rsidRDefault="001D0CB2" w:rsidP="00C9386A">
      <w:pPr>
        <w:adjustRightInd w:val="0"/>
        <w:snapToGrid w:val="0"/>
        <w:spacing w:after="0" w:line="360" w:lineRule="auto"/>
        <w:jc w:val="both"/>
        <w:rPr>
          <w:rFonts w:ascii="Book Antiqua" w:hAnsi="Book Antiqua" w:cs="Book Antiqua"/>
        </w:rPr>
      </w:pPr>
    </w:p>
    <w:p w14:paraId="6C80F3BB" w14:textId="77777777" w:rsidR="001D0CB2" w:rsidRPr="00C9386A" w:rsidRDefault="00555B35" w:rsidP="00C9386A">
      <w:pPr>
        <w:adjustRightInd w:val="0"/>
        <w:snapToGrid w:val="0"/>
        <w:spacing w:after="0" w:line="360" w:lineRule="auto"/>
        <w:jc w:val="both"/>
        <w:rPr>
          <w:rStyle w:val="Hyperlink"/>
          <w:rFonts w:ascii="Book Antiqua" w:eastAsia="SimSun" w:hAnsi="Book Antiqua" w:cs="Book Antiqua"/>
          <w:bCs/>
          <w:lang w:eastAsia="zh-CN"/>
        </w:rPr>
      </w:pPr>
      <w:r w:rsidRPr="00C9386A">
        <w:rPr>
          <w:rFonts w:ascii="Book Antiqua" w:eastAsia="Book Antiqua" w:hAnsi="Book Antiqua" w:cs="Book Antiqua"/>
          <w:b/>
          <w:bCs/>
          <w:color w:val="000000"/>
        </w:rPr>
        <w:lastRenderedPageBreak/>
        <w:t xml:space="preserve">Corresponding author: Olivia </w:t>
      </w:r>
      <w:proofErr w:type="spellStart"/>
      <w:r w:rsidRPr="00C9386A">
        <w:rPr>
          <w:rFonts w:ascii="Book Antiqua" w:eastAsia="Book Antiqua" w:hAnsi="Book Antiqua" w:cs="Book Antiqua"/>
          <w:b/>
          <w:bCs/>
          <w:color w:val="000000"/>
        </w:rPr>
        <w:t>Engholt</w:t>
      </w:r>
      <w:proofErr w:type="spellEnd"/>
      <w:r w:rsidRPr="00C9386A">
        <w:rPr>
          <w:rFonts w:ascii="Book Antiqua" w:eastAsia="Book Antiqua" w:hAnsi="Book Antiqua" w:cs="Book Antiqua"/>
          <w:b/>
          <w:bCs/>
          <w:color w:val="000000"/>
        </w:rPr>
        <w:t xml:space="preserve"> Mortensen, BSc, Research Fellow, </w:t>
      </w:r>
      <w:r w:rsidRPr="00C9386A">
        <w:rPr>
          <w:rFonts w:ascii="Book Antiqua" w:eastAsia="Book Antiqua" w:hAnsi="Book Antiqua" w:cs="Book Antiqua"/>
          <w:color w:val="000000"/>
        </w:rPr>
        <w:t xml:space="preserve">Department of Surgical Gastroenterology, Copenhagen University Hospital, Inge </w:t>
      </w:r>
      <w:proofErr w:type="spellStart"/>
      <w:r w:rsidRPr="00C9386A">
        <w:rPr>
          <w:rFonts w:ascii="Book Antiqua" w:eastAsia="Book Antiqua" w:hAnsi="Book Antiqua" w:cs="Book Antiqua"/>
          <w:color w:val="000000"/>
        </w:rPr>
        <w:t>Lehmanns</w:t>
      </w:r>
      <w:proofErr w:type="spellEnd"/>
      <w:r w:rsidRPr="00C9386A">
        <w:rPr>
          <w:rFonts w:ascii="Book Antiqua" w:eastAsia="Book Antiqua" w:hAnsi="Book Antiqua" w:cs="Book Antiqua"/>
          <w:color w:val="000000"/>
        </w:rPr>
        <w:t xml:space="preserve"> </w:t>
      </w:r>
      <w:proofErr w:type="spellStart"/>
      <w:r w:rsidRPr="00C9386A">
        <w:rPr>
          <w:rFonts w:ascii="Book Antiqua" w:eastAsia="Book Antiqua" w:hAnsi="Book Antiqua" w:cs="Book Antiqua"/>
          <w:color w:val="000000"/>
        </w:rPr>
        <w:t>Vej</w:t>
      </w:r>
      <w:proofErr w:type="spellEnd"/>
      <w:r w:rsidRPr="00C9386A">
        <w:rPr>
          <w:rFonts w:ascii="Book Antiqua" w:eastAsia="Book Antiqua" w:hAnsi="Book Antiqua" w:cs="Book Antiqua"/>
          <w:color w:val="000000"/>
        </w:rPr>
        <w:t xml:space="preserve"> 7, Copenhagen 2100, Denmark. </w:t>
      </w:r>
      <w:r w:rsidRPr="00C9386A">
        <w:rPr>
          <w:rStyle w:val="Hyperlink"/>
          <w:rFonts w:ascii="Book Antiqua" w:eastAsia="SimSun" w:hAnsi="Book Antiqua" w:cs="Book Antiqua"/>
          <w:bCs/>
          <w:lang w:eastAsia="zh-CN"/>
        </w:rPr>
        <w:t>olivia.mortensen@yahoo.com</w:t>
      </w:r>
    </w:p>
    <w:p w14:paraId="2A133815" w14:textId="77777777" w:rsidR="001D0CB2" w:rsidRPr="00C9386A" w:rsidRDefault="001D0CB2" w:rsidP="00C9386A">
      <w:pPr>
        <w:adjustRightInd w:val="0"/>
        <w:snapToGrid w:val="0"/>
        <w:spacing w:after="0" w:line="360" w:lineRule="auto"/>
        <w:jc w:val="both"/>
        <w:rPr>
          <w:rFonts w:ascii="Book Antiqua" w:hAnsi="Book Antiqua" w:cs="Book Antiqua"/>
        </w:rPr>
      </w:pPr>
    </w:p>
    <w:p w14:paraId="3E5B4DE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Received: </w:t>
      </w:r>
      <w:r w:rsidRPr="00C9386A">
        <w:rPr>
          <w:rFonts w:ascii="Book Antiqua" w:eastAsia="Book Antiqua" w:hAnsi="Book Antiqua" w:cs="Book Antiqua"/>
          <w:color w:val="000000"/>
        </w:rPr>
        <w:t>May 13, 2020</w:t>
      </w:r>
    </w:p>
    <w:p w14:paraId="4FC778D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Revised: </w:t>
      </w:r>
      <w:r w:rsidRPr="00C9386A">
        <w:rPr>
          <w:rFonts w:ascii="Book Antiqua" w:eastAsia="Book Antiqua" w:hAnsi="Book Antiqua" w:cs="Book Antiqua"/>
          <w:color w:val="000000"/>
        </w:rPr>
        <w:t>June 29, 2020</w:t>
      </w:r>
    </w:p>
    <w:p w14:paraId="3272E017" w14:textId="59FA42A8"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Accepted: </w:t>
      </w:r>
      <w:r w:rsidR="00C27739" w:rsidRPr="00C27739">
        <w:rPr>
          <w:rFonts w:ascii="Book Antiqua" w:eastAsia="Book Antiqua" w:hAnsi="Book Antiqua" w:cs="Book Antiqua"/>
          <w:bCs/>
          <w:color w:val="000000"/>
        </w:rPr>
        <w:t xml:space="preserve">September </w:t>
      </w:r>
      <w:r w:rsidR="00C27739">
        <w:rPr>
          <w:rFonts w:ascii="Book Antiqua" w:eastAsia="Book Antiqua" w:hAnsi="Book Antiqua" w:cs="Book Antiqua"/>
          <w:bCs/>
          <w:color w:val="000000"/>
        </w:rPr>
        <w:t>8</w:t>
      </w:r>
      <w:r w:rsidR="00C27739" w:rsidRPr="00C27739">
        <w:rPr>
          <w:rFonts w:ascii="Book Antiqua" w:eastAsia="Book Antiqua" w:hAnsi="Book Antiqua" w:cs="Book Antiqua"/>
          <w:bCs/>
          <w:color w:val="000000"/>
        </w:rPr>
        <w:t>, 2020</w:t>
      </w:r>
    </w:p>
    <w:p w14:paraId="7C0B96F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Published online: </w:t>
      </w:r>
    </w:p>
    <w:p w14:paraId="63AC506F" w14:textId="77777777" w:rsidR="001D0CB2" w:rsidRPr="00C9386A" w:rsidRDefault="001D0CB2" w:rsidP="00C9386A">
      <w:pPr>
        <w:adjustRightInd w:val="0"/>
        <w:snapToGrid w:val="0"/>
        <w:spacing w:after="0" w:line="360" w:lineRule="auto"/>
        <w:jc w:val="both"/>
        <w:rPr>
          <w:rFonts w:ascii="Book Antiqua" w:hAnsi="Book Antiqua" w:cs="Book Antiqua"/>
        </w:rPr>
        <w:sectPr w:rsidR="001D0CB2" w:rsidRPr="00C9386A">
          <w:footerReference w:type="default" r:id="rId8"/>
          <w:pgSz w:w="12240" w:h="15840"/>
          <w:pgMar w:top="1440" w:right="1800" w:bottom="1440" w:left="1800" w:header="720" w:footer="720" w:gutter="0"/>
          <w:cols w:space="720"/>
          <w:docGrid w:linePitch="360"/>
        </w:sectPr>
      </w:pPr>
    </w:p>
    <w:p w14:paraId="64969B2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lastRenderedPageBreak/>
        <w:t>Abstract</w:t>
      </w:r>
    </w:p>
    <w:p w14:paraId="00CADF1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BACKGROUND</w:t>
      </w:r>
    </w:p>
    <w:p w14:paraId="01DC55F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Conventional endoscopy is based on full spectrum white light. However, different studies have investigated the use of fluorescence based endoscopy systems where the white light has been supplemented by infrared light and the use of relevant fluorophores. Fluorescence endoscopy utilizes the fluorescence emitted from a fluorophore, visualizing what is not visible to the naked eye. </w:t>
      </w:r>
    </w:p>
    <w:p w14:paraId="7CDB70F9" w14:textId="77777777" w:rsidR="001D0CB2" w:rsidRPr="00C9386A" w:rsidRDefault="001D0CB2" w:rsidP="00C9386A">
      <w:pPr>
        <w:adjustRightInd w:val="0"/>
        <w:snapToGrid w:val="0"/>
        <w:spacing w:after="0" w:line="360" w:lineRule="auto"/>
        <w:jc w:val="both"/>
        <w:rPr>
          <w:rFonts w:ascii="Book Antiqua" w:hAnsi="Book Antiqua" w:cs="Book Antiqua"/>
        </w:rPr>
      </w:pPr>
    </w:p>
    <w:p w14:paraId="0989F04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AIM</w:t>
      </w:r>
    </w:p>
    <w:p w14:paraId="0BD3FA5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To explore the feasibility of fluorescence endoscopy and evaluate its use in diagnosing and evaluating gastrointestinal disease. </w:t>
      </w:r>
    </w:p>
    <w:p w14:paraId="5E386D18" w14:textId="77777777" w:rsidR="001D0CB2" w:rsidRPr="00C9386A" w:rsidRDefault="001D0CB2" w:rsidP="00C9386A">
      <w:pPr>
        <w:adjustRightInd w:val="0"/>
        <w:snapToGrid w:val="0"/>
        <w:spacing w:after="0" w:line="360" w:lineRule="auto"/>
        <w:jc w:val="both"/>
        <w:rPr>
          <w:rFonts w:ascii="Book Antiqua" w:hAnsi="Book Antiqua" w:cs="Book Antiqua"/>
        </w:rPr>
      </w:pPr>
    </w:p>
    <w:p w14:paraId="35BE0B1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METHODS</w:t>
      </w:r>
    </w:p>
    <w:p w14:paraId="56BCFF6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We followed the PRISMA guidelines for this systematic review. The research covered five databases; PubMed, Scopus, Web of Science, </w:t>
      </w:r>
      <w:proofErr w:type="spellStart"/>
      <w:r w:rsidRPr="00C9386A">
        <w:rPr>
          <w:rFonts w:ascii="Book Antiqua" w:eastAsia="Book Antiqua" w:hAnsi="Book Antiqua" w:cs="Book Antiqua"/>
          <w:color w:val="000000"/>
        </w:rPr>
        <w:t>Embase</w:t>
      </w:r>
      <w:proofErr w:type="spellEnd"/>
      <w:r w:rsidRPr="00C9386A">
        <w:rPr>
          <w:rFonts w:ascii="Book Antiqua" w:eastAsia="Book Antiqua" w:hAnsi="Book Antiqua" w:cs="Book Antiqua"/>
          <w:color w:val="000000"/>
        </w:rPr>
        <w:t>, and the Cochrane Collection, including only studies in English and Scandinavian languages. Authors screened title and abstract for inclusion, subsequently full-text for inclusion according to eligibility criteria listed in the protocol. The risk of bias was assessed for all studies according to the Newcastle-Ottawa Scale. The authors extracted the data and reported the results in both text and tables.</w:t>
      </w:r>
    </w:p>
    <w:p w14:paraId="2B9EB7CF" w14:textId="77777777" w:rsidR="001D0CB2" w:rsidRPr="00C9386A" w:rsidRDefault="001D0CB2" w:rsidP="00C9386A">
      <w:pPr>
        <w:adjustRightInd w:val="0"/>
        <w:snapToGrid w:val="0"/>
        <w:spacing w:after="0" w:line="360" w:lineRule="auto"/>
        <w:jc w:val="both"/>
        <w:rPr>
          <w:rFonts w:ascii="Book Antiqua" w:hAnsi="Book Antiqua" w:cs="Book Antiqua"/>
        </w:rPr>
      </w:pPr>
    </w:p>
    <w:p w14:paraId="02FE4C2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RESULTS</w:t>
      </w:r>
    </w:p>
    <w:p w14:paraId="70BD3B3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We included seven studies in the systematic review after screening a total of 2769 papers. The most prominent fluorophore was indocyanine green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6), and whereas one study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1) used Bevacizumab 800-CW. Three studies investigated fluorescence endoscopy in detecting varices, adenomas in patients with familial adenomatous polyposis and neoplasms in the gastrointestinal tract. Four studies evaluated the usefulness of fluorescence endoscopy in assessing tumor invasion. Three of the four studies reported an exceptional diagnostic accuracy (93%, 89% </w:t>
      </w:r>
      <w:r w:rsidRPr="00C9386A">
        <w:rPr>
          <w:rFonts w:ascii="Book Antiqua" w:eastAsia="Book Antiqua" w:hAnsi="Book Antiqua" w:cs="Book Antiqua"/>
          <w:color w:val="000000"/>
        </w:rPr>
        <w:lastRenderedPageBreak/>
        <w:t>and 88%) in assessing tumor invasion, thus representing better visualization and more correct diagnosis by fluorescence endoscopy compared with the conventional endoscopy. The relationship between the endoscopic findings, tumor invasion, and tumor vascularity was evaluated in two studies showing a significant correlation (</w:t>
      </w:r>
      <w:proofErr w:type="spellStart"/>
      <w:r w:rsidRPr="00C9386A">
        <w:rPr>
          <w:rFonts w:ascii="Book Antiqua" w:eastAsia="Book Antiqua" w:hAnsi="Book Antiqua" w:cs="Book Antiqua"/>
          <w:color w:val="000000"/>
          <w:vertAlign w:val="superscript"/>
        </w:rPr>
        <w:t>d</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0.05 and </w:t>
      </w:r>
      <w:proofErr w:type="spellStart"/>
      <w:r w:rsidRPr="00C9386A">
        <w:rPr>
          <w:rFonts w:ascii="Book Antiqua" w:eastAsia="Book Antiqua" w:hAnsi="Book Antiqua" w:cs="Book Antiqua"/>
          <w:color w:val="000000"/>
          <w:vertAlign w:val="superscript"/>
        </w:rPr>
        <w:t>b</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0.01). </w:t>
      </w:r>
    </w:p>
    <w:p w14:paraId="26961AF5" w14:textId="77777777" w:rsidR="001D0CB2" w:rsidRPr="00C9386A" w:rsidRDefault="001D0CB2" w:rsidP="00C9386A">
      <w:pPr>
        <w:adjustRightInd w:val="0"/>
        <w:snapToGrid w:val="0"/>
        <w:spacing w:after="0" w:line="360" w:lineRule="auto"/>
        <w:jc w:val="both"/>
        <w:rPr>
          <w:rFonts w:ascii="Book Antiqua" w:hAnsi="Book Antiqua" w:cs="Book Antiqua"/>
        </w:rPr>
      </w:pPr>
    </w:p>
    <w:p w14:paraId="6794EF5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CONCLUSION</w:t>
      </w:r>
    </w:p>
    <w:p w14:paraId="57AF8BC4" w14:textId="77777777" w:rsidR="001D0CB2" w:rsidRPr="00C9386A" w:rsidRDefault="00555B35" w:rsidP="00C9386A">
      <w:pPr>
        <w:adjustRightInd w:val="0"/>
        <w:snapToGrid w:val="0"/>
        <w:spacing w:after="0" w:line="360" w:lineRule="auto"/>
        <w:jc w:val="both"/>
        <w:rPr>
          <w:rFonts w:ascii="Book Antiqua" w:eastAsia="Book Antiqua" w:hAnsi="Book Antiqua" w:cs="Book Antiqua"/>
          <w:color w:val="000000"/>
        </w:rPr>
      </w:pPr>
      <w:r w:rsidRPr="00C9386A">
        <w:rPr>
          <w:rFonts w:ascii="Book Antiqua" w:eastAsia="Book Antiqua" w:hAnsi="Book Antiqua" w:cs="Book Antiqua"/>
          <w:color w:val="000000"/>
        </w:rPr>
        <w:t xml:space="preserve">The use of fluorescence endoscopy is a promising method adding diagnostic value in the detection of neoplasia, adenomas, and assessment of tumor invasion within the gastrointestinal tract. More studies are needed to utilize the feasibility of fluorescence endoscopy compared with other endoscopic methods. </w:t>
      </w:r>
    </w:p>
    <w:p w14:paraId="0491B4E6" w14:textId="77777777" w:rsidR="001D0CB2" w:rsidRPr="00C9386A" w:rsidRDefault="001D0CB2" w:rsidP="00C9386A">
      <w:pPr>
        <w:adjustRightInd w:val="0"/>
        <w:snapToGrid w:val="0"/>
        <w:spacing w:after="0" w:line="360" w:lineRule="auto"/>
        <w:jc w:val="both"/>
        <w:rPr>
          <w:rFonts w:ascii="Book Antiqua" w:eastAsia="Book Antiqua" w:hAnsi="Book Antiqua" w:cs="Book Antiqua"/>
          <w:color w:val="000000"/>
        </w:rPr>
      </w:pPr>
    </w:p>
    <w:p w14:paraId="64D5951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Key </w:t>
      </w:r>
      <w:r w:rsidRPr="006A14B3">
        <w:rPr>
          <w:rFonts w:ascii="Book Antiqua" w:eastAsia="Book Antiqua" w:hAnsi="Book Antiqua" w:cs="Book Antiqua"/>
          <w:b/>
          <w:bCs/>
          <w:caps/>
          <w:color w:val="000000"/>
        </w:rPr>
        <w:t>w</w:t>
      </w:r>
      <w:r w:rsidRPr="00C9386A">
        <w:rPr>
          <w:rFonts w:ascii="Book Antiqua" w:eastAsia="Book Antiqua" w:hAnsi="Book Antiqua" w:cs="Book Antiqua"/>
          <w:b/>
          <w:bCs/>
          <w:color w:val="000000"/>
        </w:rPr>
        <w:t xml:space="preserve">ords: </w:t>
      </w:r>
      <w:r w:rsidRPr="00C9386A">
        <w:rPr>
          <w:rFonts w:ascii="Book Antiqua" w:eastAsia="Book Antiqua" w:hAnsi="Book Antiqua" w:cs="Book Antiqua"/>
          <w:color w:val="000000"/>
        </w:rPr>
        <w:t>Fluorescence endoscopy; Gastroscopy; Gastrointestinal tract; Gastrointestinal diseases; Infrared light; Fluorophore; Indocyanine green</w:t>
      </w:r>
    </w:p>
    <w:p w14:paraId="70C5CD1A" w14:textId="77777777" w:rsidR="001D0CB2" w:rsidRPr="00C9386A" w:rsidRDefault="001D0CB2" w:rsidP="00C9386A">
      <w:pPr>
        <w:adjustRightInd w:val="0"/>
        <w:snapToGrid w:val="0"/>
        <w:spacing w:after="0" w:line="360" w:lineRule="auto"/>
        <w:jc w:val="both"/>
        <w:rPr>
          <w:rFonts w:ascii="Book Antiqua" w:hAnsi="Book Antiqua" w:cs="Book Antiqua"/>
        </w:rPr>
      </w:pPr>
    </w:p>
    <w:p w14:paraId="6F5A434C" w14:textId="77777777" w:rsidR="001D0CB2" w:rsidRPr="00C9386A" w:rsidRDefault="00555B35" w:rsidP="00C9386A">
      <w:pPr>
        <w:adjustRightInd w:val="0"/>
        <w:snapToGrid w:val="0"/>
        <w:spacing w:after="0" w:line="360" w:lineRule="auto"/>
        <w:jc w:val="both"/>
        <w:rPr>
          <w:rFonts w:ascii="Book Antiqua" w:hAnsi="Book Antiqua" w:cs="Book Antiqua"/>
        </w:rPr>
      </w:pPr>
      <w:bookmarkStart w:id="0" w:name="_Hlk49926923"/>
      <w:r w:rsidRPr="00C9386A">
        <w:rPr>
          <w:rFonts w:ascii="Book Antiqua" w:eastAsia="Book Antiqua" w:hAnsi="Book Antiqua" w:cs="Book Antiqua"/>
          <w:color w:val="000000"/>
        </w:rPr>
        <w:t xml:space="preserve">Mortensen OE, </w:t>
      </w:r>
      <w:proofErr w:type="spellStart"/>
      <w:r w:rsidRPr="00C9386A">
        <w:rPr>
          <w:rFonts w:ascii="Book Antiqua" w:eastAsia="Book Antiqua" w:hAnsi="Book Antiqua" w:cs="Book Antiqua"/>
          <w:color w:val="000000"/>
        </w:rPr>
        <w:t>Nerup</w:t>
      </w:r>
      <w:proofErr w:type="spellEnd"/>
      <w:r w:rsidRPr="00C9386A">
        <w:rPr>
          <w:rFonts w:ascii="Book Antiqua" w:eastAsia="Book Antiqua" w:hAnsi="Book Antiqua" w:cs="Book Antiqua"/>
          <w:color w:val="000000"/>
        </w:rPr>
        <w:t xml:space="preserve"> N, </w:t>
      </w:r>
      <w:proofErr w:type="spellStart"/>
      <w:r w:rsidRPr="00C9386A">
        <w:rPr>
          <w:rFonts w:ascii="Book Antiqua" w:eastAsia="Book Antiqua" w:hAnsi="Book Antiqua" w:cs="Book Antiqua"/>
          <w:color w:val="000000"/>
        </w:rPr>
        <w:t>Thorsteinsson</w:t>
      </w:r>
      <w:proofErr w:type="spellEnd"/>
      <w:r w:rsidRPr="00C9386A">
        <w:rPr>
          <w:rFonts w:ascii="Book Antiqua" w:eastAsia="Book Antiqua" w:hAnsi="Book Antiqua" w:cs="Book Antiqua"/>
          <w:color w:val="000000"/>
        </w:rPr>
        <w:t xml:space="preserve"> M, Svendsen MBS, </w:t>
      </w:r>
      <w:proofErr w:type="spellStart"/>
      <w:r w:rsidRPr="00C9386A">
        <w:rPr>
          <w:rFonts w:ascii="Book Antiqua" w:eastAsia="Book Antiqua" w:hAnsi="Book Antiqua" w:cs="Book Antiqua"/>
          <w:color w:val="000000"/>
        </w:rPr>
        <w:t>Shiwaku</w:t>
      </w:r>
      <w:proofErr w:type="spellEnd"/>
      <w:r w:rsidRPr="00C9386A">
        <w:rPr>
          <w:rFonts w:ascii="Book Antiqua" w:eastAsia="Book Antiqua" w:hAnsi="Book Antiqua" w:cs="Book Antiqua"/>
          <w:color w:val="000000"/>
        </w:rPr>
        <w:t xml:space="preserve"> H, </w:t>
      </w:r>
      <w:proofErr w:type="spellStart"/>
      <w:r w:rsidRPr="00C9386A">
        <w:rPr>
          <w:rFonts w:ascii="Book Antiqua" w:eastAsia="Book Antiqua" w:hAnsi="Book Antiqua" w:cs="Book Antiqua"/>
          <w:color w:val="000000"/>
        </w:rPr>
        <w:t>Achiam</w:t>
      </w:r>
      <w:proofErr w:type="spellEnd"/>
      <w:r w:rsidRPr="00C9386A">
        <w:rPr>
          <w:rFonts w:ascii="Book Antiqua" w:eastAsia="Book Antiqua" w:hAnsi="Book Antiqua" w:cs="Book Antiqua"/>
          <w:color w:val="000000"/>
        </w:rPr>
        <w:t xml:space="preserve"> MP. Fluorescence guided intraluminal endoscopy in the gastrointestinal tract: A systematic review. </w:t>
      </w:r>
      <w:r w:rsidRPr="00C9386A">
        <w:rPr>
          <w:rFonts w:ascii="Book Antiqua" w:eastAsia="Book Antiqua" w:hAnsi="Book Antiqua" w:cs="Book Antiqua"/>
          <w:i/>
          <w:iCs/>
          <w:color w:val="000000"/>
        </w:rPr>
        <w:t xml:space="preserve">World J </w:t>
      </w:r>
      <w:proofErr w:type="spellStart"/>
      <w:r w:rsidRPr="00C9386A">
        <w:rPr>
          <w:rFonts w:ascii="Book Antiqua" w:eastAsia="Book Antiqua" w:hAnsi="Book Antiqua" w:cs="Book Antiqua"/>
          <w:i/>
          <w:iCs/>
          <w:color w:val="000000"/>
        </w:rPr>
        <w:t>Gastrointest</w:t>
      </w:r>
      <w:proofErr w:type="spellEnd"/>
      <w:r w:rsidRPr="00C9386A">
        <w:rPr>
          <w:rFonts w:ascii="Book Antiqua" w:eastAsia="Book Antiqua" w:hAnsi="Book Antiqua" w:cs="Book Antiqua"/>
          <w:i/>
          <w:iCs/>
          <w:color w:val="000000"/>
        </w:rPr>
        <w:t xml:space="preserve"> </w:t>
      </w:r>
      <w:proofErr w:type="spellStart"/>
      <w:r w:rsidRPr="00C9386A">
        <w:rPr>
          <w:rFonts w:ascii="Book Antiqua" w:eastAsia="Book Antiqua" w:hAnsi="Book Antiqua" w:cs="Book Antiqua"/>
          <w:i/>
          <w:iCs/>
          <w:color w:val="000000"/>
        </w:rPr>
        <w:t>Endosc</w:t>
      </w:r>
      <w:proofErr w:type="spellEnd"/>
      <w:r w:rsidRPr="00C9386A">
        <w:rPr>
          <w:rFonts w:ascii="Book Antiqua" w:eastAsia="Book Antiqua" w:hAnsi="Book Antiqua" w:cs="Book Antiqua"/>
          <w:color w:val="000000"/>
        </w:rPr>
        <w:t xml:space="preserve"> 2020; In press</w:t>
      </w:r>
    </w:p>
    <w:bookmarkEnd w:id="0"/>
    <w:p w14:paraId="74D4A754" w14:textId="77777777" w:rsidR="001D0CB2" w:rsidRPr="00C9386A" w:rsidRDefault="001D0CB2" w:rsidP="00C9386A">
      <w:pPr>
        <w:adjustRightInd w:val="0"/>
        <w:snapToGrid w:val="0"/>
        <w:spacing w:after="0" w:line="360" w:lineRule="auto"/>
        <w:jc w:val="both"/>
        <w:rPr>
          <w:rFonts w:ascii="Book Antiqua" w:hAnsi="Book Antiqua" w:cs="Book Antiqua"/>
        </w:rPr>
      </w:pPr>
    </w:p>
    <w:p w14:paraId="1D2430F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Core </w:t>
      </w:r>
      <w:r w:rsidRPr="006A14B3">
        <w:rPr>
          <w:rFonts w:ascii="Book Antiqua" w:eastAsia="Book Antiqua" w:hAnsi="Book Antiqua" w:cs="Book Antiqua"/>
          <w:b/>
          <w:bCs/>
          <w:caps/>
          <w:color w:val="000000"/>
        </w:rPr>
        <w:t>t</w:t>
      </w:r>
      <w:r w:rsidRPr="00C9386A">
        <w:rPr>
          <w:rFonts w:ascii="Book Antiqua" w:eastAsia="Book Antiqua" w:hAnsi="Book Antiqua" w:cs="Book Antiqua"/>
          <w:b/>
          <w:bCs/>
          <w:color w:val="000000"/>
        </w:rPr>
        <w:t xml:space="preserve">ip: </w:t>
      </w:r>
      <w:r w:rsidRPr="00C9386A">
        <w:rPr>
          <w:rFonts w:ascii="Book Antiqua" w:eastAsia="Book Antiqua" w:hAnsi="Book Antiqua" w:cs="Book Antiqua"/>
          <w:color w:val="000000"/>
        </w:rPr>
        <w:t>In the evaluation of tumor invasion, detection of neoplasia and adenomas, studies on fluorescence endoscopy reports promising results.</w:t>
      </w:r>
    </w:p>
    <w:p w14:paraId="10761E9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br w:type="page"/>
      </w:r>
      <w:r w:rsidRPr="00C9386A">
        <w:rPr>
          <w:rFonts w:ascii="Book Antiqua" w:eastAsia="Book Antiqua" w:hAnsi="Book Antiqua" w:cs="Book Antiqua"/>
          <w:b/>
          <w:caps/>
          <w:color w:val="000000"/>
          <w:u w:val="single"/>
        </w:rPr>
        <w:lastRenderedPageBreak/>
        <w:t>INTRODUCTION</w:t>
      </w:r>
    </w:p>
    <w:p w14:paraId="1E7F36B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Gastrointestinal diseases are the third most common cause of death with gastrointestinal cancer as the leading cause; in 2018 gastric cancer was estimated to cause 738000 deaths worldwide</w:t>
      </w:r>
      <w:r w:rsidRPr="00C9386A">
        <w:rPr>
          <w:rFonts w:ascii="Book Antiqua" w:eastAsia="Book Antiqua" w:hAnsi="Book Antiqua" w:cs="Book Antiqua"/>
          <w:color w:val="000000"/>
          <w:vertAlign w:val="superscript"/>
        </w:rPr>
        <w:t>[1]</w:t>
      </w:r>
      <w:r w:rsidRPr="00C9386A">
        <w:rPr>
          <w:rFonts w:ascii="Book Antiqua" w:eastAsia="Book Antiqua" w:hAnsi="Book Antiqua" w:cs="Book Antiqua"/>
          <w:color w:val="000000"/>
        </w:rPr>
        <w:t>. The high prevalence is, among others, correlated to multifactorial reasons like lifestyle, physical inactivity, stress, and genetics</w:t>
      </w:r>
      <w:r w:rsidRPr="00C9386A">
        <w:rPr>
          <w:rFonts w:ascii="Book Antiqua" w:eastAsia="Book Antiqua" w:hAnsi="Book Antiqua" w:cs="Book Antiqua"/>
          <w:color w:val="000000"/>
          <w:vertAlign w:val="superscript"/>
        </w:rPr>
        <w:t>[2,3]</w:t>
      </w:r>
      <w:r w:rsidRPr="00C9386A">
        <w:rPr>
          <w:rFonts w:ascii="Book Antiqua" w:eastAsia="Book Antiqua" w:hAnsi="Book Antiqua" w:cs="Book Antiqua"/>
          <w:color w:val="000000"/>
        </w:rPr>
        <w:t>. Conventional endoscopy is widely used for gastrointestinal diseases because it is a minimally invasive and potentially curative procedure, facilitating diagnosis, staging, and treatment. The method of flexible conventional endoscopy is based on the visualization by white light. Thus, allowing the surgeon to visualize the gastrointestinal tract from the inside</w:t>
      </w:r>
      <w:r w:rsidRPr="00C9386A">
        <w:rPr>
          <w:rFonts w:ascii="Book Antiqua" w:eastAsia="Book Antiqua" w:hAnsi="Book Antiqua" w:cs="Book Antiqua"/>
          <w:color w:val="000000"/>
          <w:vertAlign w:val="superscript"/>
        </w:rPr>
        <w:t>[4,5]</w:t>
      </w:r>
      <w:r w:rsidRPr="00C9386A">
        <w:rPr>
          <w:rFonts w:ascii="Book Antiqua" w:eastAsia="Book Antiqua" w:hAnsi="Book Antiqua" w:cs="Book Antiqua"/>
          <w:color w:val="000000"/>
        </w:rPr>
        <w:t>. Recently, studies have examined flexible endoscopy in combination with infrared light, and administration of a fluorophore</w:t>
      </w:r>
      <w:r w:rsidRPr="00C9386A">
        <w:rPr>
          <w:rFonts w:ascii="Book Antiqua" w:eastAsia="Book Antiqua" w:hAnsi="Book Antiqua" w:cs="Book Antiqua"/>
          <w:color w:val="000000"/>
          <w:vertAlign w:val="superscript"/>
        </w:rPr>
        <w:t>[6]</w:t>
      </w:r>
      <w:r w:rsidRPr="00C9386A">
        <w:rPr>
          <w:rFonts w:ascii="Book Antiqua" w:eastAsia="Book Antiqua" w:hAnsi="Book Antiqua" w:cs="Book Antiqua"/>
          <w:color w:val="000000"/>
        </w:rPr>
        <w:t xml:space="preserve">. </w:t>
      </w:r>
    </w:p>
    <w:p w14:paraId="116280AB" w14:textId="77777777" w:rsidR="001D0CB2" w:rsidRPr="00C9386A" w:rsidRDefault="00555B35" w:rsidP="00C9386A">
      <w:pPr>
        <w:adjustRightInd w:val="0"/>
        <w:snapToGrid w:val="0"/>
        <w:spacing w:after="0" w:line="360" w:lineRule="auto"/>
        <w:ind w:firstLine="240"/>
        <w:jc w:val="both"/>
        <w:rPr>
          <w:rFonts w:ascii="Book Antiqua" w:hAnsi="Book Antiqua" w:cs="Book Antiqua"/>
        </w:rPr>
      </w:pPr>
      <w:r w:rsidRPr="00C9386A">
        <w:rPr>
          <w:rFonts w:ascii="Book Antiqua" w:eastAsia="Book Antiqua" w:hAnsi="Book Antiqua" w:cs="Book Antiqua"/>
          <w:color w:val="000000"/>
        </w:rPr>
        <w:t>Fluorescence arises when a fluorophore is in circulation, and the tissue of interest is exposed to light in a wavelength, that the fluorophore absorbs. When the fluorophore absorbs the photons from the light, an excitation happens where the electrons are shifted to a higher state of energy. Spontaneously, the electrons will shift back to their state of energy releasing the extra energy (emission) as light at another wavelength seen as fluorescence</w:t>
      </w:r>
      <w:r w:rsidRPr="00C9386A">
        <w:rPr>
          <w:rFonts w:ascii="Book Antiqua" w:eastAsia="Book Antiqua" w:hAnsi="Book Antiqua" w:cs="Book Antiqua"/>
          <w:color w:val="000000"/>
          <w:vertAlign w:val="superscript"/>
        </w:rPr>
        <w:t xml:space="preserve">[7,8] </w:t>
      </w:r>
      <w:r w:rsidRPr="00C9386A">
        <w:rPr>
          <w:rFonts w:ascii="Book Antiqua" w:eastAsia="Book Antiqua" w:hAnsi="Book Antiqua" w:cs="Book Antiqua"/>
          <w:color w:val="000000"/>
        </w:rPr>
        <w:t>(Figure 1). Fluorescence guided flexible intraluminal endoscopy is based on the principle of fluorescence and the spectrum of infrared (IR) light, including near-infrared light. IR light has a wavelength of about 780 nm to 1000 nm. IR light has a limited scattering when it reaches the tissue and a low absorption by water and hemoglobin, thus facilitating a less obstructed penetration through tissue compared with standard white light</w:t>
      </w:r>
      <w:r w:rsidRPr="00C9386A">
        <w:rPr>
          <w:rFonts w:ascii="Book Antiqua" w:eastAsia="Book Antiqua" w:hAnsi="Book Antiqua" w:cs="Book Antiqua"/>
          <w:color w:val="000000"/>
          <w:vertAlign w:val="superscript"/>
        </w:rPr>
        <w:t>[9]</w:t>
      </w:r>
      <w:r w:rsidRPr="00C9386A">
        <w:rPr>
          <w:rFonts w:ascii="Book Antiqua" w:eastAsia="Book Antiqua" w:hAnsi="Book Antiqua" w:cs="Book Antiqua"/>
          <w:color w:val="000000"/>
        </w:rPr>
        <w:t>. The mucosal and submucosal vessels are not visible to the naked eye (in white light), but after intravenous injection of a fluorophore and illumination by IR light, profound structures can be visualized. As angiogenesis and neovascularization are essential factors in carcinogenesis and tumor invasion, visualization of mucosal and submucosal vessels may increase the diagnostic value of the endoscopy</w:t>
      </w:r>
      <w:r w:rsidRPr="00C9386A">
        <w:rPr>
          <w:rFonts w:ascii="Book Antiqua" w:eastAsia="Book Antiqua" w:hAnsi="Book Antiqua" w:cs="Book Antiqua"/>
          <w:color w:val="000000"/>
          <w:vertAlign w:val="superscript"/>
        </w:rPr>
        <w:t>[10,11]</w:t>
      </w:r>
      <w:r w:rsidRPr="00C9386A">
        <w:rPr>
          <w:rFonts w:ascii="Book Antiqua" w:eastAsia="Book Antiqua" w:hAnsi="Book Antiqua" w:cs="Book Antiqua"/>
          <w:color w:val="000000"/>
        </w:rPr>
        <w:t xml:space="preserve">. </w:t>
      </w:r>
    </w:p>
    <w:p w14:paraId="0AEEDB78" w14:textId="071FBAE0" w:rsidR="001D0CB2" w:rsidRPr="00C9386A" w:rsidRDefault="00555B35" w:rsidP="00C9386A">
      <w:pPr>
        <w:adjustRightInd w:val="0"/>
        <w:snapToGrid w:val="0"/>
        <w:spacing w:after="0" w:line="360" w:lineRule="auto"/>
        <w:ind w:firstLine="240"/>
        <w:jc w:val="both"/>
        <w:rPr>
          <w:rFonts w:ascii="Book Antiqua" w:hAnsi="Book Antiqua" w:cs="Book Antiqua"/>
        </w:rPr>
      </w:pPr>
      <w:r w:rsidRPr="00C9386A">
        <w:rPr>
          <w:rFonts w:ascii="Book Antiqua" w:eastAsia="Book Antiqua" w:hAnsi="Book Antiqua" w:cs="Book Antiqua"/>
          <w:color w:val="000000"/>
          <w:shd w:val="clear" w:color="auto" w:fill="FFFFFF"/>
        </w:rPr>
        <w:lastRenderedPageBreak/>
        <w:t>Conceptually, the endoscope consists of a light source and an imaging plane–light fibers within the endoscope, with an external camera chip on the tip of the distal end of the camera. The light entering the endoscope for illumination can be white light for standard visualization, whereas when in fluorescence mode, the light primarily consists of the excitatory wavelengths of the fluorophore used. Still in fluorescence mode, after reaching the tissue, the total amount of light reenters the endoscope at the tip. Before reaching the camera chip, the excitatory light needs to be filtered by an optical filter (Figure 1)</w:t>
      </w:r>
      <w:r w:rsidRPr="00C9386A">
        <w:rPr>
          <w:rFonts w:ascii="Book Antiqua" w:eastAsia="Book Antiqua" w:hAnsi="Book Antiqua" w:cs="Book Antiqua"/>
          <w:color w:val="000000"/>
          <w:vertAlign w:val="superscript"/>
        </w:rPr>
        <w:t>[12,13]</w:t>
      </w:r>
      <w:r w:rsidRPr="00C9386A">
        <w:rPr>
          <w:rFonts w:ascii="Book Antiqua" w:eastAsia="Book Antiqua" w:hAnsi="Book Antiqua" w:cs="Book Antiqua"/>
          <w:color w:val="000000"/>
        </w:rPr>
        <w:t>. A frequently used fluorophore is Indocyanine green (ICG), which is excited at the wavelength at 805 nm. Intravenously administered ICG binds to the lipoproteins in the circulation</w:t>
      </w:r>
      <w:r w:rsidRPr="00C9386A">
        <w:rPr>
          <w:rFonts w:ascii="Book Antiqua" w:eastAsia="Book Antiqua" w:hAnsi="Book Antiqua" w:cs="Book Antiqua"/>
          <w:color w:val="000000"/>
          <w:vertAlign w:val="superscript"/>
        </w:rPr>
        <w:t>[7]</w:t>
      </w:r>
      <w:r w:rsidRPr="00C9386A">
        <w:rPr>
          <w:rFonts w:ascii="Book Antiqua" w:eastAsia="Book Antiqua" w:hAnsi="Book Antiqua" w:cs="Book Antiqua"/>
          <w:color w:val="000000"/>
        </w:rPr>
        <w:t>; however, several kinds of other fluorophores exist. The IRDye-800CW is another cyanine fluorophore used for specific protein labeling</w:t>
      </w:r>
      <w:r w:rsidRPr="00C9386A">
        <w:rPr>
          <w:rFonts w:ascii="Book Antiqua" w:eastAsia="Book Antiqua" w:hAnsi="Book Antiqua" w:cs="Book Antiqua"/>
          <w:i/>
          <w:iCs/>
          <w:color w:val="000000"/>
        </w:rPr>
        <w:t xml:space="preserve"> e.g.</w:t>
      </w:r>
      <w:r w:rsidR="008E7F83" w:rsidRPr="008E7F83">
        <w:rPr>
          <w:rFonts w:ascii="Book Antiqua" w:eastAsia="Book Antiqua" w:hAnsi="Book Antiqua" w:cs="Book Antiqua"/>
          <w:iCs/>
          <w:color w:val="000000"/>
        </w:rPr>
        <w:t>,</w:t>
      </w:r>
      <w:r w:rsidRPr="008E7F83">
        <w:rPr>
          <w:rFonts w:ascii="Book Antiqua" w:eastAsia="Book Antiqua" w:hAnsi="Book Antiqua" w:cs="Book Antiqua"/>
          <w:iCs/>
          <w:color w:val="000000"/>
        </w:rPr>
        <w:t xml:space="preserve"> </w:t>
      </w:r>
      <w:r w:rsidRPr="00C9386A">
        <w:rPr>
          <w:rFonts w:ascii="Book Antiqua" w:eastAsia="Book Antiqua" w:hAnsi="Book Antiqua" w:cs="Book Antiqua"/>
          <w:color w:val="000000"/>
        </w:rPr>
        <w:t>Bevacizumab-800CW</w:t>
      </w:r>
      <w:r w:rsidRPr="00C9386A">
        <w:rPr>
          <w:rFonts w:ascii="Book Antiqua" w:eastAsia="Book Antiqua" w:hAnsi="Book Antiqua" w:cs="Book Antiqua"/>
          <w:color w:val="000000"/>
          <w:vertAlign w:val="superscript"/>
        </w:rPr>
        <w:t>[13-15]</w:t>
      </w:r>
      <w:r w:rsidRPr="00C9386A">
        <w:rPr>
          <w:rFonts w:ascii="Book Antiqua" w:eastAsia="Book Antiqua" w:hAnsi="Book Antiqua" w:cs="Book Antiqua"/>
          <w:color w:val="000000"/>
        </w:rPr>
        <w:t>. The aim of this systematic review was to evaluate the diagnostic and therapeutic value of fluorescence-guided flexible intraluminal endoscopy.</w:t>
      </w:r>
    </w:p>
    <w:p w14:paraId="086638AE" w14:textId="77777777" w:rsidR="001D0CB2" w:rsidRPr="00C9386A" w:rsidRDefault="001D0CB2" w:rsidP="00C9386A">
      <w:pPr>
        <w:adjustRightInd w:val="0"/>
        <w:snapToGrid w:val="0"/>
        <w:spacing w:after="0" w:line="360" w:lineRule="auto"/>
        <w:ind w:firstLine="240"/>
        <w:jc w:val="both"/>
        <w:rPr>
          <w:rFonts w:ascii="Book Antiqua" w:hAnsi="Book Antiqua" w:cs="Book Antiqua"/>
        </w:rPr>
      </w:pPr>
    </w:p>
    <w:p w14:paraId="5499138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MATERIALS AND METHODS</w:t>
      </w:r>
    </w:p>
    <w:p w14:paraId="0F8ECAE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The protocol, flow diagram, and the present manuscript adhered to the PRISMA guidelines for systematic reviews</w:t>
      </w:r>
      <w:r w:rsidRPr="00C9386A">
        <w:rPr>
          <w:rFonts w:ascii="Book Antiqua" w:eastAsia="Book Antiqua" w:hAnsi="Book Antiqua" w:cs="Book Antiqua"/>
          <w:color w:val="000000"/>
          <w:vertAlign w:val="superscript"/>
        </w:rPr>
        <w:t>[16]</w:t>
      </w:r>
      <w:r w:rsidRPr="00C9386A">
        <w:rPr>
          <w:rFonts w:ascii="Book Antiqua" w:eastAsia="Book Antiqua" w:hAnsi="Book Antiqua" w:cs="Book Antiqua"/>
          <w:color w:val="000000"/>
        </w:rPr>
        <w:t>. The protocol was submitted for PROSPERO with the registration number CRD42020147516</w:t>
      </w:r>
      <w:r w:rsidRPr="00C9386A">
        <w:rPr>
          <w:rFonts w:ascii="Book Antiqua" w:eastAsia="Book Antiqua" w:hAnsi="Book Antiqua" w:cs="Book Antiqua"/>
          <w:color w:val="000000"/>
          <w:vertAlign w:val="superscript"/>
        </w:rPr>
        <w:t>[17]</w:t>
      </w:r>
      <w:r w:rsidRPr="00C9386A">
        <w:rPr>
          <w:rFonts w:ascii="Book Antiqua" w:eastAsia="Book Antiqua" w:hAnsi="Book Antiqua" w:cs="Book Antiqua"/>
          <w:color w:val="000000"/>
        </w:rPr>
        <w:t>.</w:t>
      </w:r>
    </w:p>
    <w:p w14:paraId="7409F35A" w14:textId="77777777" w:rsidR="001D0CB2" w:rsidRPr="00C9386A" w:rsidRDefault="001D0CB2" w:rsidP="00C9386A">
      <w:pPr>
        <w:adjustRightInd w:val="0"/>
        <w:snapToGrid w:val="0"/>
        <w:spacing w:after="0" w:line="360" w:lineRule="auto"/>
        <w:jc w:val="both"/>
        <w:rPr>
          <w:rFonts w:ascii="Book Antiqua" w:hAnsi="Book Antiqua" w:cs="Book Antiqua"/>
        </w:rPr>
      </w:pPr>
    </w:p>
    <w:p w14:paraId="3CC9A6D3"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Criteria and outcomes</w:t>
      </w:r>
    </w:p>
    <w:p w14:paraId="1F11D27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The eligibility criteria for this systematic review was made according to the principals of participants, interventions, comparison, and outcome. Only human studies examining gastrointestinal diseases and surgical advantages, in general, were included. The studies should use fluorescence endoscopy and compare this method with the use of standard endoscopy or endoscopic expert knowledge, or histopathological examinations. Outcomes of interest were a result representing an increase or decrease in the diagnostic or therapeutic value of fluorescence endoscopy. According to the study design, animal studies and other reviews were </w:t>
      </w:r>
      <w:r w:rsidRPr="00C9386A">
        <w:rPr>
          <w:rFonts w:ascii="Book Antiqua" w:eastAsia="Book Antiqua" w:hAnsi="Book Antiqua" w:cs="Book Antiqua"/>
          <w:color w:val="000000"/>
        </w:rPr>
        <w:lastRenderedPageBreak/>
        <w:t xml:space="preserve">excluded. We included randomized controlled trials, case-series with more than five subjects, and prospective/retrospective cohort studies independent of the year of publication and the publication status. Only studies written in English or Scandinavian languages were included. </w:t>
      </w:r>
    </w:p>
    <w:p w14:paraId="09C48CC2" w14:textId="77777777" w:rsidR="001D0CB2" w:rsidRPr="00C9386A" w:rsidRDefault="001D0CB2" w:rsidP="00C9386A">
      <w:pPr>
        <w:adjustRightInd w:val="0"/>
        <w:snapToGrid w:val="0"/>
        <w:spacing w:after="0" w:line="360" w:lineRule="auto"/>
        <w:jc w:val="both"/>
        <w:rPr>
          <w:rFonts w:ascii="Book Antiqua" w:hAnsi="Book Antiqua" w:cs="Book Antiqua"/>
        </w:rPr>
      </w:pPr>
    </w:p>
    <w:p w14:paraId="54589A4F"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Search strategy</w:t>
      </w:r>
    </w:p>
    <w:p w14:paraId="6624AC80" w14:textId="77777777" w:rsidR="001D0CB2" w:rsidRPr="00C9386A" w:rsidRDefault="00555B35" w:rsidP="00C9386A">
      <w:pPr>
        <w:adjustRightInd w:val="0"/>
        <w:snapToGrid w:val="0"/>
        <w:spacing w:after="0" w:line="360" w:lineRule="auto"/>
        <w:jc w:val="both"/>
        <w:rPr>
          <w:rFonts w:ascii="Book Antiqua" w:eastAsia="Book Antiqua" w:hAnsi="Book Antiqua" w:cs="Book Antiqua"/>
          <w:color w:val="000000"/>
        </w:rPr>
      </w:pPr>
      <w:r w:rsidRPr="00C9386A">
        <w:rPr>
          <w:rFonts w:ascii="Book Antiqua" w:eastAsia="Book Antiqua" w:hAnsi="Book Antiqua" w:cs="Book Antiqua"/>
          <w:color w:val="000000"/>
        </w:rPr>
        <w:t xml:space="preserve">The search string was built in PubMed (Table 1) and adapted to Scopus, Web of Science, </w:t>
      </w:r>
      <w:proofErr w:type="spellStart"/>
      <w:r w:rsidRPr="00C9386A">
        <w:rPr>
          <w:rFonts w:ascii="Book Antiqua" w:eastAsia="Book Antiqua" w:hAnsi="Book Antiqua" w:cs="Book Antiqua"/>
          <w:color w:val="000000"/>
        </w:rPr>
        <w:t>Embase</w:t>
      </w:r>
      <w:proofErr w:type="spellEnd"/>
      <w:r w:rsidRPr="00C9386A">
        <w:rPr>
          <w:rFonts w:ascii="Book Antiqua" w:eastAsia="Book Antiqua" w:hAnsi="Book Antiqua" w:cs="Book Antiqua"/>
          <w:color w:val="000000"/>
        </w:rPr>
        <w:t>, and the Cochrane Collection to identify all the relevant articles for this systematic review. The search string covers all organs from the mouth to the anus, but it does not include the accessory glandular organs. The key words used in the search strategy is shown in Table 1. The database search was performed on June 9</w:t>
      </w:r>
      <w:r w:rsidRPr="00C9386A">
        <w:rPr>
          <w:rFonts w:ascii="Book Antiqua" w:eastAsia="Book Antiqua" w:hAnsi="Book Antiqua" w:cs="Book Antiqua"/>
          <w:color w:val="000000"/>
          <w:vertAlign w:val="superscript"/>
        </w:rPr>
        <w:t>th</w:t>
      </w:r>
      <w:r w:rsidRPr="00C9386A">
        <w:rPr>
          <w:rFonts w:ascii="Book Antiqua" w:eastAsia="Book Antiqua" w:hAnsi="Book Antiqua" w:cs="Book Antiqua"/>
          <w:color w:val="000000"/>
        </w:rPr>
        <w:t xml:space="preserve">, 2019. Titles and abstracts were screened using an online tool </w:t>
      </w:r>
      <w:bookmarkStart w:id="1" w:name="OLE_LINK1"/>
      <w:r w:rsidRPr="00C9386A">
        <w:rPr>
          <w:rFonts w:ascii="Book Antiqua" w:eastAsia="Book Antiqua" w:hAnsi="Book Antiqua" w:cs="Book Antiqua"/>
          <w:color w:val="000000"/>
        </w:rPr>
        <w:t>Rayyan</w:t>
      </w:r>
      <w:bookmarkEnd w:id="1"/>
      <w:r w:rsidRPr="00C9386A">
        <w:rPr>
          <w:rFonts w:ascii="Book Antiqua" w:eastAsia="Book Antiqua" w:hAnsi="Book Antiqua" w:cs="Book Antiqua"/>
          <w:color w:val="000000"/>
          <w:vertAlign w:val="superscript"/>
        </w:rPr>
        <w:t>[18,19]</w:t>
      </w:r>
      <w:r w:rsidRPr="00C9386A">
        <w:rPr>
          <w:rFonts w:ascii="Book Antiqua" w:eastAsia="Book Antiqua" w:hAnsi="Book Antiqua" w:cs="Book Antiqua"/>
          <w:color w:val="000000"/>
        </w:rPr>
        <w:t xml:space="preserve"> by four authors (Mortensen OE, </w:t>
      </w:r>
      <w:proofErr w:type="spellStart"/>
      <w:r w:rsidRPr="00C9386A">
        <w:rPr>
          <w:rFonts w:ascii="Book Antiqua" w:eastAsia="Book Antiqua" w:hAnsi="Book Antiqua" w:cs="Book Antiqua"/>
          <w:color w:val="000000"/>
        </w:rPr>
        <w:t>Achiam</w:t>
      </w:r>
      <w:proofErr w:type="spellEnd"/>
      <w:r w:rsidRPr="00C9386A">
        <w:rPr>
          <w:rFonts w:ascii="Book Antiqua" w:eastAsia="Book Antiqua" w:hAnsi="Book Antiqua" w:cs="Book Antiqua"/>
          <w:color w:val="000000"/>
        </w:rPr>
        <w:t xml:space="preserve"> MP, </w:t>
      </w:r>
      <w:proofErr w:type="spellStart"/>
      <w:r w:rsidRPr="00C9386A">
        <w:rPr>
          <w:rFonts w:ascii="Book Antiqua" w:eastAsia="Book Antiqua" w:hAnsi="Book Antiqua" w:cs="Book Antiqua"/>
          <w:color w:val="000000"/>
        </w:rPr>
        <w:t>Nerup</w:t>
      </w:r>
      <w:proofErr w:type="spellEnd"/>
      <w:r w:rsidRPr="00C9386A">
        <w:rPr>
          <w:rFonts w:ascii="Book Antiqua" w:eastAsia="Book Antiqua" w:hAnsi="Book Antiqua" w:cs="Book Antiqua"/>
          <w:color w:val="000000"/>
        </w:rPr>
        <w:t xml:space="preserve"> N, and </w:t>
      </w:r>
      <w:proofErr w:type="spellStart"/>
      <w:r w:rsidRPr="00C9386A">
        <w:rPr>
          <w:rFonts w:ascii="Book Antiqua" w:eastAsia="Book Antiqua" w:hAnsi="Book Antiqua" w:cs="Book Antiqua"/>
          <w:color w:val="000000"/>
        </w:rPr>
        <w:t>Thorsteinsson</w:t>
      </w:r>
      <w:proofErr w:type="spellEnd"/>
      <w:r w:rsidRPr="00C9386A">
        <w:rPr>
          <w:rFonts w:ascii="Book Antiqua" w:eastAsia="Book Antiqua" w:hAnsi="Book Antiqua" w:cs="Book Antiqua"/>
          <w:color w:val="000000"/>
        </w:rPr>
        <w:t xml:space="preserve"> M) to meet the inclusion and exclusion criteria. Consecutively, with two of the authors performing a full-text screening. Subsequently, the reference lists of the included studies were screened to find additional studies. If any discrepancies about inclusion or exclusion, the full-text studies were brought to a meeting and re-examined until consensus. The authors used the web application Rayyan to manage all the data in the screening process. Two authors (Mortensen OE and </w:t>
      </w:r>
      <w:proofErr w:type="spellStart"/>
      <w:r w:rsidRPr="00C9386A">
        <w:rPr>
          <w:rFonts w:ascii="Book Antiqua" w:eastAsia="Book Antiqua" w:hAnsi="Book Antiqua" w:cs="Book Antiqua"/>
          <w:color w:val="000000"/>
        </w:rPr>
        <w:t>Thorsteinsson</w:t>
      </w:r>
      <w:proofErr w:type="spellEnd"/>
      <w:r w:rsidRPr="00C9386A">
        <w:rPr>
          <w:rFonts w:ascii="Book Antiqua" w:eastAsia="Book Antiqua" w:hAnsi="Book Antiqua" w:cs="Book Antiqua"/>
          <w:color w:val="000000"/>
        </w:rPr>
        <w:t xml:space="preserve"> M) performed a data extraction. The handling of data and data from the studies have been extracted from the studies without any modifications and statistical measurements. We extracted data about patients, patient characteristics, diagnosis, fluorophores and dosage used, adverse events, endoscopic findings, diagnostic accuracy, vessel count, and conclusions. No additional analyses were performed. </w:t>
      </w:r>
    </w:p>
    <w:p w14:paraId="27FAA89B" w14:textId="77777777" w:rsidR="001D0CB2" w:rsidRPr="00C9386A" w:rsidRDefault="001D0CB2" w:rsidP="00C9386A">
      <w:pPr>
        <w:adjustRightInd w:val="0"/>
        <w:snapToGrid w:val="0"/>
        <w:spacing w:after="0" w:line="360" w:lineRule="auto"/>
        <w:jc w:val="both"/>
        <w:rPr>
          <w:rFonts w:ascii="Book Antiqua" w:hAnsi="Book Antiqua" w:cs="Book Antiqua"/>
        </w:rPr>
      </w:pPr>
    </w:p>
    <w:p w14:paraId="562310AF"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Quality assessment</w:t>
      </w:r>
    </w:p>
    <w:p w14:paraId="1A43E34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lastRenderedPageBreak/>
        <w:t>The Newcastle-Ottawa scale for cohort studies was used to assess the risk of bias of the included studies</w:t>
      </w:r>
      <w:r w:rsidRPr="00C9386A">
        <w:rPr>
          <w:rFonts w:ascii="Book Antiqua" w:eastAsia="Book Antiqua" w:hAnsi="Book Antiqua" w:cs="Book Antiqua"/>
          <w:color w:val="000000"/>
          <w:vertAlign w:val="superscript"/>
        </w:rPr>
        <w:t>[20]</w:t>
      </w:r>
      <w:r w:rsidRPr="00C9386A">
        <w:rPr>
          <w:rFonts w:ascii="Book Antiqua" w:eastAsia="Book Antiqua" w:hAnsi="Book Antiqua" w:cs="Book Antiqua"/>
          <w:color w:val="000000"/>
        </w:rPr>
        <w:t>. The risk of bias assessment focused on the three main subjects; selection, comparability, and outcome (Table 2).</w:t>
      </w:r>
    </w:p>
    <w:p w14:paraId="39726B70" w14:textId="77777777" w:rsidR="001D0CB2" w:rsidRPr="00C9386A" w:rsidRDefault="001D0CB2" w:rsidP="00C9386A">
      <w:pPr>
        <w:adjustRightInd w:val="0"/>
        <w:snapToGrid w:val="0"/>
        <w:spacing w:after="0" w:line="360" w:lineRule="auto"/>
        <w:jc w:val="both"/>
        <w:rPr>
          <w:rFonts w:ascii="Book Antiqua" w:hAnsi="Book Antiqua" w:cs="Book Antiqua"/>
        </w:rPr>
      </w:pPr>
    </w:p>
    <w:p w14:paraId="7590895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RESULTS</w:t>
      </w:r>
    </w:p>
    <w:p w14:paraId="44F0DC4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The authors screened 2769 articles in Rayyan and added one study from the reference lists of other studies. The authors screened 2069 articles after the removal of duplicates, of those 2052 articles were excluded after the screening of title and abstract. Seventeen articles were assessed for full-text screening, where additional ten studies were excluded due to wrong study design or if full-text versions were not available. Finally, seven studies were included comprising a total of 190 patients (Table 3), selected according to the criteria listed. The full screening process is shown in the PRISMA flow diagram (Figure 2). </w:t>
      </w:r>
    </w:p>
    <w:p w14:paraId="673EEFA6" w14:textId="77777777" w:rsidR="001D0CB2" w:rsidRPr="00C9386A" w:rsidRDefault="001D0CB2" w:rsidP="00C9386A">
      <w:pPr>
        <w:adjustRightInd w:val="0"/>
        <w:snapToGrid w:val="0"/>
        <w:spacing w:after="0" w:line="360" w:lineRule="auto"/>
        <w:jc w:val="both"/>
        <w:rPr>
          <w:rFonts w:ascii="Book Antiqua" w:hAnsi="Book Antiqua" w:cs="Book Antiqua"/>
        </w:rPr>
      </w:pPr>
    </w:p>
    <w:p w14:paraId="747C9010"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Quality assessment</w:t>
      </w:r>
    </w:p>
    <w:p w14:paraId="69AFB11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The studies were rated for bias according to the Newcastle-Ottawa scale and reported according to their quality (Table 2). All studies were assessed as poor quality due to the lack of comparability and missing control groups. No risk of bias was made across the studies because of the limited number of studies included.</w:t>
      </w:r>
    </w:p>
    <w:p w14:paraId="1428D1BD" w14:textId="77777777" w:rsidR="001D0CB2" w:rsidRPr="00C9386A" w:rsidRDefault="001D0CB2" w:rsidP="00C9386A">
      <w:pPr>
        <w:adjustRightInd w:val="0"/>
        <w:snapToGrid w:val="0"/>
        <w:spacing w:after="0" w:line="360" w:lineRule="auto"/>
        <w:jc w:val="both"/>
        <w:rPr>
          <w:rFonts w:ascii="Book Antiqua" w:hAnsi="Book Antiqua" w:cs="Book Antiqua"/>
        </w:rPr>
      </w:pPr>
    </w:p>
    <w:p w14:paraId="7D02FD19"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Studies and definitions</w:t>
      </w:r>
    </w:p>
    <w:p w14:paraId="76B4A62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All the included studies used a system from Olympus (Tokyo, Japan). Intravenous injection of the fluorophore was done in all included studies visualizing the vascularity of the tissue of interest. Six of the seven studies investigated the diagnostic value of fluorescence endoscopy in patients with previously diagnosed adenomas, neoplasms, or cancer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170)</w:t>
      </w:r>
      <w:r w:rsidRPr="00C9386A">
        <w:rPr>
          <w:rFonts w:ascii="Book Antiqua" w:eastAsia="Book Antiqua" w:hAnsi="Book Antiqua" w:cs="Book Antiqua"/>
          <w:color w:val="000000"/>
          <w:vertAlign w:val="superscript"/>
        </w:rPr>
        <w:t>[12,15,21]</w:t>
      </w:r>
      <w:r w:rsidRPr="00C9386A">
        <w:rPr>
          <w:rFonts w:ascii="Book Antiqua" w:eastAsia="Book Antiqua" w:hAnsi="Book Antiqua" w:cs="Book Antiqua"/>
          <w:color w:val="000000"/>
        </w:rPr>
        <w:t>, and one study investigated the use in detecting esophageal varices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20)</w:t>
      </w:r>
      <w:r w:rsidRPr="00C9386A">
        <w:rPr>
          <w:rFonts w:ascii="Book Antiqua" w:eastAsia="Book Antiqua" w:hAnsi="Book Antiqua" w:cs="Book Antiqua"/>
          <w:color w:val="000000"/>
          <w:vertAlign w:val="superscript"/>
        </w:rPr>
        <w:t>[22-25]</w:t>
      </w:r>
      <w:r w:rsidRPr="00C9386A">
        <w:rPr>
          <w:rFonts w:ascii="Book Antiqua" w:eastAsia="Book Antiqua" w:hAnsi="Book Antiqua" w:cs="Book Antiqua"/>
          <w:color w:val="000000"/>
        </w:rPr>
        <w:t>.</w:t>
      </w:r>
    </w:p>
    <w:p w14:paraId="0B584DE4"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lastRenderedPageBreak/>
        <w:t>All studies categorized and evaluated the endoscopic findings differently according to the observed fluorescence appearance. Two studies classified the fluorescence staining as</w:t>
      </w:r>
      <w:r w:rsidRPr="00C9386A">
        <w:rPr>
          <w:rFonts w:ascii="Book Antiqua" w:eastAsia="Book Antiqua" w:hAnsi="Book Antiqua" w:cs="Book Antiqua"/>
          <w:i/>
          <w:iCs/>
          <w:color w:val="000000"/>
        </w:rPr>
        <w:t xml:space="preserve"> </w:t>
      </w:r>
      <w:r w:rsidRPr="00C9386A">
        <w:rPr>
          <w:rFonts w:ascii="Book Antiqua" w:eastAsia="Book Antiqua" w:hAnsi="Book Antiqua" w:cs="Book Antiqua"/>
          <w:color w:val="000000"/>
        </w:rPr>
        <w:t>no tumor stain, homogeneous tumor stain, inhomogeneous tumor stain, or pooling of the dye</w:t>
      </w:r>
      <w:r w:rsidRPr="00C9386A">
        <w:rPr>
          <w:rFonts w:ascii="Book Antiqua" w:eastAsia="Book Antiqua" w:hAnsi="Book Antiqua" w:cs="Book Antiqua"/>
          <w:color w:val="000000"/>
          <w:vertAlign w:val="superscript"/>
        </w:rPr>
        <w:t>[12,25]</w:t>
      </w:r>
      <w:r w:rsidRPr="00C9386A">
        <w:rPr>
          <w:rFonts w:ascii="Book Antiqua" w:eastAsia="Book Antiqua" w:hAnsi="Book Antiqua" w:cs="Book Antiqua"/>
          <w:color w:val="000000"/>
        </w:rPr>
        <w:t>, while another study categorized the staining as no stain, faint stain, dense stain, homogeneous stain, and pooling of the dye. The definitions were as follows; no stain:</w:t>
      </w:r>
      <w:r w:rsidRPr="00C9386A">
        <w:rPr>
          <w:rFonts w:ascii="Book Antiqua" w:eastAsia="Book Antiqua" w:hAnsi="Book Antiqua" w:cs="Book Antiqua"/>
          <w:i/>
          <w:iCs/>
          <w:color w:val="000000"/>
        </w:rPr>
        <w:t xml:space="preserve"> </w:t>
      </w:r>
      <w:r w:rsidRPr="00C9386A">
        <w:rPr>
          <w:rFonts w:ascii="Book Antiqua" w:eastAsia="Book Antiqua" w:hAnsi="Book Antiqua" w:cs="Book Antiqua"/>
          <w:color w:val="000000"/>
        </w:rPr>
        <w:t>A decreased dye accumulation in the tumor compared to surrounding mucosa, homogeneous stain: A diffusely increased dye accumulation in the tumor compared with the surrounding mucosa, inhomogeneous stain: A scattered dye accumulation in the tumor, and pooling of the dye: A substantial dye accumulation in the tumor</w:t>
      </w:r>
      <w:r w:rsidRPr="00C9386A">
        <w:rPr>
          <w:rFonts w:ascii="Book Antiqua" w:eastAsia="Book Antiqua" w:hAnsi="Book Antiqua" w:cs="Book Antiqua"/>
          <w:color w:val="000000"/>
          <w:vertAlign w:val="superscript"/>
        </w:rPr>
        <w:t>[24]</w:t>
      </w:r>
      <w:r w:rsidRPr="00C9386A">
        <w:rPr>
          <w:rFonts w:ascii="Book Antiqua" w:eastAsia="Book Antiqua" w:hAnsi="Book Antiqua" w:cs="Book Antiqua"/>
          <w:color w:val="000000"/>
        </w:rPr>
        <w:t>. In another two studies, they categorized the pooling of the dye/fluorescence categorized as positive or negative</w:t>
      </w:r>
      <w:r w:rsidRPr="00C9386A">
        <w:rPr>
          <w:rFonts w:ascii="Book Antiqua" w:eastAsia="Book Antiqua" w:hAnsi="Book Antiqua" w:cs="Book Antiqua"/>
          <w:color w:val="000000"/>
          <w:vertAlign w:val="superscript"/>
        </w:rPr>
        <w:t>[21,23]</w:t>
      </w:r>
      <w:r w:rsidRPr="00C9386A">
        <w:rPr>
          <w:rFonts w:ascii="Book Antiqua" w:eastAsia="Book Antiqua" w:hAnsi="Book Antiqua" w:cs="Book Antiqua"/>
          <w:color w:val="000000"/>
        </w:rPr>
        <w:t>. The staining definitions and diagnostic values accordingly are shown in Table 3.</w:t>
      </w:r>
    </w:p>
    <w:p w14:paraId="55B0DE32" w14:textId="77777777" w:rsidR="001D0CB2" w:rsidRPr="00C9386A" w:rsidRDefault="001D0CB2" w:rsidP="008E7F83">
      <w:pPr>
        <w:adjustRightInd w:val="0"/>
        <w:snapToGrid w:val="0"/>
        <w:spacing w:after="0" w:line="360" w:lineRule="auto"/>
        <w:jc w:val="both"/>
        <w:rPr>
          <w:rFonts w:ascii="Book Antiqua" w:hAnsi="Book Antiqua" w:cs="Book Antiqua"/>
        </w:rPr>
      </w:pPr>
    </w:p>
    <w:p w14:paraId="7D49111B"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Fluorophores</w:t>
      </w:r>
    </w:p>
    <w:p w14:paraId="77223D0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Six of seven studies used ICG as a fluorophore</w:t>
      </w:r>
      <w:r w:rsidRPr="00C9386A">
        <w:rPr>
          <w:rFonts w:ascii="Book Antiqua" w:eastAsia="Book Antiqua" w:hAnsi="Book Antiqua" w:cs="Book Antiqua"/>
          <w:color w:val="000000"/>
          <w:vertAlign w:val="superscript"/>
        </w:rPr>
        <w:t>[12,21-25]</w:t>
      </w:r>
      <w:r w:rsidRPr="00C9386A">
        <w:rPr>
          <w:rFonts w:ascii="Book Antiqua" w:eastAsia="Book Antiqua" w:hAnsi="Book Antiqua" w:cs="Book Antiqua"/>
          <w:color w:val="000000"/>
        </w:rPr>
        <w:t>. The dose of ICG ranged from 0.001 to 5 mg/kg bodyweight varying between a fixed dose or different doses of ICG. Four studies reported no adverse events according to ICG</w:t>
      </w:r>
      <w:r w:rsidRPr="00C9386A">
        <w:rPr>
          <w:rFonts w:ascii="Book Antiqua" w:eastAsia="Book Antiqua" w:hAnsi="Book Antiqua" w:cs="Book Antiqua"/>
          <w:color w:val="000000"/>
          <w:vertAlign w:val="superscript"/>
        </w:rPr>
        <w:t>[21-24]</w:t>
      </w:r>
      <w:r w:rsidRPr="00C9386A">
        <w:rPr>
          <w:rFonts w:ascii="Book Antiqua" w:eastAsia="Book Antiqua" w:hAnsi="Book Antiqua" w:cs="Book Antiqua"/>
          <w:color w:val="000000"/>
        </w:rPr>
        <w:t>, and the remaining two did not report the frequency or absence of adverse events</w:t>
      </w:r>
      <w:r w:rsidRPr="00C9386A">
        <w:rPr>
          <w:rFonts w:ascii="Book Antiqua" w:eastAsia="Book Antiqua" w:hAnsi="Book Antiqua" w:cs="Book Antiqua"/>
          <w:color w:val="000000"/>
          <w:vertAlign w:val="superscript"/>
        </w:rPr>
        <w:t>[12,25]</w:t>
      </w:r>
      <w:r w:rsidRPr="00C9386A">
        <w:rPr>
          <w:rFonts w:ascii="Book Antiqua" w:eastAsia="Book Antiqua" w:hAnsi="Book Antiqua" w:cs="Book Antiqua"/>
          <w:color w:val="000000"/>
        </w:rPr>
        <w:t>. One study made a dose-response test for Bevacizumab-800CW, which was used as a fluorophore labeling Vascular Endothelial Growth Factor A present in colorectal adenomas and reported no adverse events according to the injections and doses (Table 3)</w:t>
      </w:r>
      <w:r w:rsidRPr="00C9386A">
        <w:rPr>
          <w:rFonts w:ascii="Book Antiqua" w:eastAsia="Book Antiqua" w:hAnsi="Book Antiqua" w:cs="Book Antiqua"/>
          <w:color w:val="000000"/>
          <w:vertAlign w:val="superscript"/>
        </w:rPr>
        <w:t>[15]</w:t>
      </w:r>
      <w:r w:rsidRPr="00C9386A">
        <w:rPr>
          <w:rFonts w:ascii="Book Antiqua" w:eastAsia="Book Antiqua" w:hAnsi="Book Antiqua" w:cs="Book Antiqua"/>
          <w:color w:val="000000"/>
        </w:rPr>
        <w:t>.</w:t>
      </w:r>
    </w:p>
    <w:p w14:paraId="778D32DA" w14:textId="77777777" w:rsidR="001D0CB2" w:rsidRPr="00C9386A" w:rsidRDefault="001D0CB2" w:rsidP="00C9386A">
      <w:pPr>
        <w:adjustRightInd w:val="0"/>
        <w:snapToGrid w:val="0"/>
        <w:spacing w:after="0" w:line="360" w:lineRule="auto"/>
        <w:jc w:val="both"/>
        <w:rPr>
          <w:rFonts w:ascii="Book Antiqua" w:hAnsi="Book Antiqua" w:cs="Book Antiqua"/>
        </w:rPr>
      </w:pPr>
    </w:p>
    <w:p w14:paraId="7EE4BD44"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 xml:space="preserve">Inter- and </w:t>
      </w:r>
      <w:proofErr w:type="spellStart"/>
      <w:r w:rsidRPr="00C9386A">
        <w:rPr>
          <w:rFonts w:ascii="Book Antiqua" w:eastAsia="Book Antiqua" w:hAnsi="Book Antiqua" w:cs="Book Antiqua"/>
          <w:b/>
          <w:bCs/>
          <w:i/>
          <w:color w:val="000000"/>
        </w:rPr>
        <w:t>intraobserver</w:t>
      </w:r>
      <w:proofErr w:type="spellEnd"/>
      <w:r w:rsidRPr="00C9386A">
        <w:rPr>
          <w:rFonts w:ascii="Book Antiqua" w:eastAsia="Book Antiqua" w:hAnsi="Book Antiqua" w:cs="Book Antiqua"/>
          <w:b/>
          <w:bCs/>
          <w:i/>
          <w:color w:val="000000"/>
        </w:rPr>
        <w:t xml:space="preserve"> examination</w:t>
      </w:r>
    </w:p>
    <w:p w14:paraId="283DE57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Three studies assessed inter- or </w:t>
      </w:r>
      <w:proofErr w:type="spellStart"/>
      <w:r w:rsidRPr="00C9386A">
        <w:rPr>
          <w:rFonts w:ascii="Book Antiqua" w:eastAsia="Book Antiqua" w:hAnsi="Book Antiqua" w:cs="Book Antiqua"/>
          <w:color w:val="000000"/>
        </w:rPr>
        <w:t>intraobserver</w:t>
      </w:r>
      <w:proofErr w:type="spellEnd"/>
      <w:r w:rsidRPr="00C9386A">
        <w:rPr>
          <w:rFonts w:ascii="Book Antiqua" w:eastAsia="Book Antiqua" w:hAnsi="Book Antiqua" w:cs="Book Antiqua"/>
          <w:color w:val="000000"/>
        </w:rPr>
        <w:t xml:space="preserve"> agreement in the infrared fluorescence endoscopic examination. One study reported 90% in interobserver agreement</w:t>
      </w:r>
      <w:r w:rsidRPr="00C9386A">
        <w:rPr>
          <w:rFonts w:ascii="Book Antiqua" w:eastAsia="Book Antiqua" w:hAnsi="Book Antiqua" w:cs="Book Antiqua"/>
          <w:color w:val="000000"/>
          <w:vertAlign w:val="superscript"/>
        </w:rPr>
        <w:t>[23]</w:t>
      </w:r>
      <w:r w:rsidRPr="00C9386A">
        <w:rPr>
          <w:rFonts w:ascii="Book Antiqua" w:eastAsia="Book Antiqua" w:hAnsi="Book Antiqua" w:cs="Book Antiqua"/>
          <w:color w:val="000000"/>
        </w:rPr>
        <w:t>, while another study reported a 97% interobserver agreement</w:t>
      </w:r>
      <w:r w:rsidRPr="00C9386A">
        <w:rPr>
          <w:rFonts w:ascii="Book Antiqua" w:eastAsia="Book Antiqua" w:hAnsi="Book Antiqua" w:cs="Book Antiqua"/>
          <w:color w:val="000000"/>
          <w:vertAlign w:val="superscript"/>
        </w:rPr>
        <w:t>[21]</w:t>
      </w:r>
      <w:r w:rsidRPr="00C9386A">
        <w:rPr>
          <w:rFonts w:ascii="Book Antiqua" w:eastAsia="Book Antiqua" w:hAnsi="Book Antiqua" w:cs="Book Antiqua"/>
          <w:color w:val="000000"/>
        </w:rPr>
        <w:t xml:space="preserve">. The </w:t>
      </w:r>
      <w:r w:rsidRPr="00C9386A">
        <w:rPr>
          <w:rFonts w:ascii="Book Antiqua" w:eastAsia="Book Antiqua" w:hAnsi="Book Antiqua" w:cs="Book Antiqua"/>
          <w:color w:val="000000"/>
        </w:rPr>
        <w:lastRenderedPageBreak/>
        <w:t xml:space="preserve">third study reported 97% (kappa 0.97) in </w:t>
      </w:r>
      <w:proofErr w:type="spellStart"/>
      <w:r w:rsidRPr="00C9386A">
        <w:rPr>
          <w:rFonts w:ascii="Book Antiqua" w:eastAsia="Book Antiqua" w:hAnsi="Book Antiqua" w:cs="Book Antiqua"/>
          <w:color w:val="000000"/>
        </w:rPr>
        <w:t>intraobserver</w:t>
      </w:r>
      <w:proofErr w:type="spellEnd"/>
      <w:r w:rsidRPr="00C9386A">
        <w:rPr>
          <w:rFonts w:ascii="Book Antiqua" w:eastAsia="Book Antiqua" w:hAnsi="Book Antiqua" w:cs="Book Antiqua"/>
          <w:color w:val="000000"/>
        </w:rPr>
        <w:t xml:space="preserve"> agreement and a 85% (kappa 0.85) in interobserver agreement</w:t>
      </w:r>
      <w:r w:rsidRPr="00C9386A">
        <w:rPr>
          <w:rFonts w:ascii="Book Antiqua" w:eastAsia="Book Antiqua" w:hAnsi="Book Antiqua" w:cs="Book Antiqua"/>
          <w:color w:val="000000"/>
          <w:vertAlign w:val="superscript"/>
        </w:rPr>
        <w:t>[25]</w:t>
      </w:r>
      <w:r w:rsidRPr="00C9386A">
        <w:rPr>
          <w:rFonts w:ascii="Book Antiqua" w:eastAsia="Book Antiqua" w:hAnsi="Book Antiqua" w:cs="Book Antiqua"/>
          <w:color w:val="000000"/>
        </w:rPr>
        <w:t>.</w:t>
      </w:r>
    </w:p>
    <w:p w14:paraId="6998171C" w14:textId="77777777" w:rsidR="001D0CB2" w:rsidRPr="00C9386A" w:rsidRDefault="001D0CB2" w:rsidP="00C9386A">
      <w:pPr>
        <w:adjustRightInd w:val="0"/>
        <w:snapToGrid w:val="0"/>
        <w:spacing w:after="0" w:line="360" w:lineRule="auto"/>
        <w:jc w:val="both"/>
        <w:rPr>
          <w:rFonts w:ascii="Book Antiqua" w:hAnsi="Book Antiqua" w:cs="Book Antiqua"/>
        </w:rPr>
      </w:pPr>
    </w:p>
    <w:p w14:paraId="0ABB7F11"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Tumor invasion and neoplasms</w:t>
      </w:r>
    </w:p>
    <w:p w14:paraId="5606663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Five studies reported infrared fluorescence endoscopy as useful to assess tumor invasion or detect neoplasia</w:t>
      </w:r>
      <w:r w:rsidRPr="00C9386A">
        <w:rPr>
          <w:rFonts w:ascii="Book Antiqua" w:eastAsia="Book Antiqua" w:hAnsi="Book Antiqua" w:cs="Book Antiqua"/>
          <w:color w:val="000000"/>
          <w:vertAlign w:val="superscript"/>
        </w:rPr>
        <w:t>[12,21,23-25]</w:t>
      </w:r>
      <w:r w:rsidRPr="00C9386A">
        <w:rPr>
          <w:rFonts w:ascii="Book Antiqua" w:eastAsia="Book Antiqua" w:hAnsi="Book Antiqua" w:cs="Book Antiqua"/>
          <w:color w:val="000000"/>
        </w:rPr>
        <w:t xml:space="preserve">. In a retrospective study of 30 patients with depressed gastric cancers, the authors reported that 21 of 23 </w:t>
      </w:r>
      <w:proofErr w:type="spellStart"/>
      <w:r w:rsidRPr="00C9386A">
        <w:rPr>
          <w:rFonts w:ascii="Book Antiqua" w:eastAsia="Book Antiqua" w:hAnsi="Book Antiqua" w:cs="Book Antiqua"/>
          <w:color w:val="000000"/>
        </w:rPr>
        <w:t>intramucosal</w:t>
      </w:r>
      <w:proofErr w:type="spellEnd"/>
      <w:r w:rsidRPr="00C9386A">
        <w:rPr>
          <w:rFonts w:ascii="Book Antiqua" w:eastAsia="Book Antiqua" w:hAnsi="Book Antiqua" w:cs="Book Antiqua"/>
          <w:color w:val="000000"/>
        </w:rPr>
        <w:t xml:space="preserve"> and submucosal tumors smaller than 1 mm were observed with no stain or faint stain. Seven of seven submucosal tumors larger than 1 mm and more invasive tumors were observed with dense staining or pooling of the dye. Consequently, 28 of 30 both mucosal and submucosal tumors were correctly diagnosed (diagnostic accuracy 93%, Table 3). Additionally, 18 of 19 (accuracy 95%) of tumors with ulcerative changes were correctly diagnosed. Diagnostic accuracy was described as the level of compliance for endoscopic findings by using IR-light and a fluorophore compared with the histopathological examinations</w:t>
      </w:r>
      <w:r w:rsidRPr="00C9386A">
        <w:rPr>
          <w:rFonts w:ascii="Book Antiqua" w:eastAsia="Book Antiqua" w:hAnsi="Book Antiqua" w:cs="Book Antiqua"/>
          <w:color w:val="000000"/>
          <w:vertAlign w:val="superscript"/>
        </w:rPr>
        <w:t>[12]</w:t>
      </w:r>
      <w:r w:rsidRPr="00C9386A">
        <w:rPr>
          <w:rFonts w:ascii="Book Antiqua" w:eastAsia="Book Antiqua" w:hAnsi="Book Antiqua" w:cs="Book Antiqua"/>
          <w:color w:val="000000"/>
        </w:rPr>
        <w:t>.</w:t>
      </w:r>
    </w:p>
    <w:p w14:paraId="4E8D6C22"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 xml:space="preserve">Iseki </w:t>
      </w:r>
      <w:r w:rsidRPr="00C9386A">
        <w:rPr>
          <w:rFonts w:ascii="Book Antiqua" w:eastAsia="Book Antiqua" w:hAnsi="Book Antiqua" w:cs="Book Antiqua"/>
          <w:i/>
          <w:iCs/>
          <w:color w:val="000000"/>
        </w:rPr>
        <w:t>et al</w:t>
      </w:r>
      <w:r w:rsidRPr="00C9386A">
        <w:rPr>
          <w:rFonts w:ascii="Book Antiqua" w:eastAsia="Book Antiqua" w:hAnsi="Book Antiqua" w:cs="Book Antiqua"/>
          <w:color w:val="000000"/>
          <w:vertAlign w:val="superscript"/>
        </w:rPr>
        <w:t>[25]</w:t>
      </w:r>
      <w:r w:rsidRPr="00C9386A">
        <w:rPr>
          <w:rFonts w:ascii="Book Antiqua" w:eastAsia="Book Antiqua" w:hAnsi="Book Antiqua" w:cs="Book Antiqua"/>
          <w:color w:val="000000"/>
        </w:rPr>
        <w:t xml:space="preserve">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37) reported that 16 of 18 mucosal tumors were observed with no stain or homogeneous tumor stain. Seventeen of 19 submucosal or deeper tumors were observed with inhomogeneous tumor stain or pooling of the dye. Consequently, 33 of 37 mucosal and submucosal tumors correctly diagnosed (diagnostic accuracy 89%, Table 3). Additionally, 33 of 37 (accuracy 89%) tumors correctly diagnosed as depressed or ulcerative. The study compared the diagnostic accuracy of fluorescence endoscopy and chromoendoscopy in assessing tumor invasion. Chromoendoscopy had a diagnostic accuracy at 68%, compared with fluorescence endoscopy (89%, </w:t>
      </w:r>
      <w:proofErr w:type="spellStart"/>
      <w:r w:rsidRPr="00C9386A">
        <w:rPr>
          <w:rFonts w:ascii="Book Antiqua" w:eastAsia="Book Antiqua" w:hAnsi="Book Antiqua" w:cs="Book Antiqua"/>
          <w:color w:val="000000"/>
          <w:vertAlign w:val="superscript"/>
        </w:rPr>
        <w:t>a</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0.02). Furthermore, the authors reported that tumor invasion assessed by fluorescence endoscopy was strongly correlated to the degree of tumor vascularity (</w:t>
      </w:r>
      <w:proofErr w:type="spellStart"/>
      <w:r w:rsidRPr="00C9386A">
        <w:rPr>
          <w:rFonts w:ascii="Book Antiqua" w:eastAsia="Book Antiqua" w:hAnsi="Book Antiqua" w:cs="Book Antiqua"/>
          <w:color w:val="000000"/>
          <w:vertAlign w:val="superscript"/>
        </w:rPr>
        <w:t>b</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0.01). </w:t>
      </w:r>
    </w:p>
    <w:p w14:paraId="227A27C0"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 xml:space="preserve">The study of </w:t>
      </w:r>
      <w:proofErr w:type="spellStart"/>
      <w:r w:rsidRPr="00C9386A">
        <w:rPr>
          <w:rFonts w:ascii="Book Antiqua" w:eastAsia="Book Antiqua" w:hAnsi="Book Antiqua" w:cs="Book Antiqua"/>
          <w:color w:val="000000"/>
        </w:rPr>
        <w:t>Mataki</w:t>
      </w:r>
      <w:proofErr w:type="spellEnd"/>
      <w:r w:rsidRPr="00C9386A">
        <w:rPr>
          <w:rFonts w:ascii="Book Antiqua" w:eastAsia="Book Antiqua" w:hAnsi="Book Antiqua" w:cs="Book Antiqua"/>
          <w:color w:val="000000"/>
        </w:rPr>
        <w:t xml:space="preserve"> </w:t>
      </w:r>
      <w:r w:rsidRPr="00C9386A">
        <w:rPr>
          <w:rFonts w:ascii="Book Antiqua" w:eastAsia="Book Antiqua" w:hAnsi="Book Antiqua" w:cs="Book Antiqua"/>
          <w:i/>
          <w:iCs/>
          <w:color w:val="000000"/>
        </w:rPr>
        <w:t>et al</w:t>
      </w:r>
      <w:r w:rsidRPr="00C9386A">
        <w:rPr>
          <w:rFonts w:ascii="Book Antiqua" w:eastAsia="Book Antiqua" w:hAnsi="Book Antiqua" w:cs="Book Antiqua"/>
          <w:color w:val="000000"/>
          <w:vertAlign w:val="superscript"/>
        </w:rPr>
        <w:t>[21]</w:t>
      </w:r>
      <w:r w:rsidRPr="00C9386A">
        <w:rPr>
          <w:rFonts w:ascii="Book Antiqua" w:eastAsia="Book Antiqua" w:hAnsi="Book Antiqua" w:cs="Book Antiqua"/>
          <w:i/>
          <w:iCs/>
          <w:color w:val="000000"/>
        </w:rPr>
        <w:t xml:space="preserve"> </w:t>
      </w:r>
      <w:r w:rsidRPr="00C9386A">
        <w:rPr>
          <w:rFonts w:ascii="Book Antiqua" w:eastAsia="Book Antiqua" w:hAnsi="Book Antiqua" w:cs="Book Antiqua"/>
          <w:color w:val="000000"/>
        </w:rPr>
        <w:t>(</w:t>
      </w:r>
      <w:r w:rsidRPr="00C9386A">
        <w:rPr>
          <w:rFonts w:ascii="Book Antiqua" w:eastAsia="Book Antiqua" w:hAnsi="Book Antiqua" w:cs="Book Antiqua"/>
          <w:i/>
          <w:iCs/>
          <w:color w:val="000000"/>
        </w:rPr>
        <w:t xml:space="preserve">n </w:t>
      </w:r>
      <w:r w:rsidRPr="00C9386A">
        <w:rPr>
          <w:rFonts w:ascii="Book Antiqua" w:eastAsia="Book Antiqua" w:hAnsi="Book Antiqua" w:cs="Book Antiqua"/>
          <w:color w:val="000000"/>
        </w:rPr>
        <w:t xml:space="preserve">= 33) reported all eight gastric adenomas (accuracy 100%) negative for pooling of dye as in contrast to 20 of 25 (80%) for both mucosal and submucosal tumors which were positive for pooling of dye (Table 3) </w:t>
      </w:r>
      <w:r w:rsidRPr="00C9386A">
        <w:rPr>
          <w:rFonts w:ascii="Book Antiqua" w:eastAsia="Book Antiqua" w:hAnsi="Book Antiqua" w:cs="Book Antiqua"/>
          <w:color w:val="000000"/>
        </w:rPr>
        <w:lastRenderedPageBreak/>
        <w:t>(</w:t>
      </w:r>
      <w:proofErr w:type="spellStart"/>
      <w:r w:rsidRPr="00C9386A">
        <w:rPr>
          <w:rFonts w:ascii="Book Antiqua" w:eastAsia="Book Antiqua" w:hAnsi="Book Antiqua" w:cs="Book Antiqua"/>
          <w:color w:val="000000"/>
          <w:vertAlign w:val="superscript"/>
        </w:rPr>
        <w:t>c</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0.03 for mucosal and submucosal). The authors suggested the fluorescence endoscopy as a diagnostic staging tool to determine if a tumor was eligible to make an endoscopic mucosal resection. </w:t>
      </w:r>
    </w:p>
    <w:p w14:paraId="4353AA98"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 xml:space="preserve">Kimura </w:t>
      </w:r>
      <w:r w:rsidRPr="00C9386A">
        <w:rPr>
          <w:rFonts w:ascii="Book Antiqua" w:eastAsia="Book Antiqua" w:hAnsi="Book Antiqua" w:cs="Book Antiqua"/>
          <w:i/>
          <w:iCs/>
          <w:color w:val="000000"/>
        </w:rPr>
        <w:t>et al</w:t>
      </w:r>
      <w:r w:rsidRPr="00C9386A">
        <w:rPr>
          <w:rFonts w:ascii="Book Antiqua" w:eastAsia="Book Antiqua" w:hAnsi="Book Antiqua" w:cs="Book Antiqua"/>
          <w:color w:val="000000"/>
          <w:vertAlign w:val="superscript"/>
        </w:rPr>
        <w:t>[23]</w:t>
      </w:r>
      <w:r w:rsidRPr="00C9386A">
        <w:rPr>
          <w:rFonts w:ascii="Book Antiqua" w:eastAsia="Book Antiqua" w:hAnsi="Book Antiqua" w:cs="Book Antiqua"/>
          <w:i/>
          <w:iCs/>
          <w:color w:val="000000"/>
        </w:rPr>
        <w:t xml:space="preserve"> </w:t>
      </w:r>
      <w:r w:rsidRPr="00C9386A">
        <w:rPr>
          <w:rFonts w:ascii="Book Antiqua" w:eastAsia="Book Antiqua" w:hAnsi="Book Antiqua" w:cs="Book Antiqua"/>
          <w:color w:val="000000"/>
        </w:rPr>
        <w:t>(</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30) reported one of 20 gastric adenomas or </w:t>
      </w:r>
      <w:proofErr w:type="spellStart"/>
      <w:r w:rsidRPr="00C9386A">
        <w:rPr>
          <w:rFonts w:ascii="Book Antiqua" w:eastAsia="Book Antiqua" w:hAnsi="Book Antiqua" w:cs="Book Antiqua"/>
          <w:color w:val="000000"/>
        </w:rPr>
        <w:t>intramucosal</w:t>
      </w:r>
      <w:proofErr w:type="spellEnd"/>
      <w:r w:rsidRPr="00C9386A">
        <w:rPr>
          <w:rFonts w:ascii="Book Antiqua" w:eastAsia="Book Antiqua" w:hAnsi="Book Antiqua" w:cs="Book Antiqua"/>
          <w:color w:val="000000"/>
        </w:rPr>
        <w:t xml:space="preserve"> tumors as being positive in fluorescence, and eight of ten submucosal tumors as being positive in fluorescence. The study did not state diagnostic accuracy, but the numbers correspond to a sensitivity of 80% and specificity of 95%. Also, a significant correlation between the invasiveness of the tumor, fluorescence, and vessel count was found (</w:t>
      </w:r>
      <w:proofErr w:type="spellStart"/>
      <w:r w:rsidRPr="00C9386A">
        <w:rPr>
          <w:rFonts w:ascii="Book Antiqua" w:eastAsia="Book Antiqua" w:hAnsi="Book Antiqua" w:cs="Book Antiqua"/>
          <w:color w:val="000000"/>
          <w:vertAlign w:val="superscript"/>
        </w:rPr>
        <w:t>d</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0.05). </w:t>
      </w:r>
    </w:p>
    <w:p w14:paraId="7BC46BBF"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One study examined early neoplastic lesions within Barrett’s esophagus in 23 cases</w:t>
      </w:r>
      <w:r w:rsidRPr="00C9386A">
        <w:rPr>
          <w:rFonts w:ascii="Book Antiqua" w:eastAsia="Book Antiqua" w:hAnsi="Book Antiqua" w:cs="Book Antiqua"/>
          <w:color w:val="000000"/>
          <w:vertAlign w:val="superscript"/>
        </w:rPr>
        <w:t>[24]</w:t>
      </w:r>
      <w:r w:rsidRPr="00C9386A">
        <w:rPr>
          <w:rFonts w:ascii="Book Antiqua" w:eastAsia="Book Antiqua" w:hAnsi="Book Antiqua" w:cs="Book Antiqua"/>
          <w:color w:val="000000"/>
        </w:rPr>
        <w:t xml:space="preserve">. Seven cases showed no stain, and histology showed less than high-grade dysplasia in five of those seven cases. Eighteen of 23 showed staining, and histology showed at least high-grade dysplasia, </w:t>
      </w:r>
      <w:proofErr w:type="spellStart"/>
      <w:r w:rsidRPr="00C9386A">
        <w:rPr>
          <w:rFonts w:ascii="Book Antiqua" w:eastAsia="Book Antiqua" w:hAnsi="Book Antiqua" w:cs="Book Antiqua"/>
          <w:color w:val="000000"/>
        </w:rPr>
        <w:t>intramucosal</w:t>
      </w:r>
      <w:proofErr w:type="spellEnd"/>
      <w:r w:rsidRPr="00C9386A">
        <w:rPr>
          <w:rFonts w:ascii="Book Antiqua" w:eastAsia="Book Antiqua" w:hAnsi="Book Antiqua" w:cs="Book Antiqua"/>
          <w:color w:val="000000"/>
        </w:rPr>
        <w:t xml:space="preserve"> carcinoma or submucosal carcinoma. Diagnostic accuracy was 88% (Table 3), sensitivity 90%, specificity 83%, and negative predictive value 71% in identifying the high-grade dysplasia or more advanced histopathology.</w:t>
      </w:r>
    </w:p>
    <w:p w14:paraId="3966791F" w14:textId="77777777" w:rsidR="001D0CB2" w:rsidRPr="00C9386A" w:rsidRDefault="001D0CB2" w:rsidP="00C9386A">
      <w:pPr>
        <w:adjustRightInd w:val="0"/>
        <w:snapToGrid w:val="0"/>
        <w:spacing w:after="0" w:line="360" w:lineRule="auto"/>
        <w:ind w:firstLine="567"/>
        <w:jc w:val="both"/>
        <w:rPr>
          <w:rFonts w:ascii="Book Antiqua" w:hAnsi="Book Antiqua" w:cs="Book Antiqua"/>
        </w:rPr>
      </w:pPr>
    </w:p>
    <w:p w14:paraId="2B41621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i/>
          <w:color w:val="000000"/>
        </w:rPr>
        <w:t>Dose-response</w:t>
      </w:r>
    </w:p>
    <w:p w14:paraId="065DFA2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Two studies made a dose-response examination</w:t>
      </w:r>
      <w:r w:rsidRPr="00C9386A">
        <w:rPr>
          <w:rFonts w:ascii="Book Antiqua" w:eastAsia="Book Antiqua" w:hAnsi="Book Antiqua" w:cs="Book Antiqua"/>
          <w:color w:val="000000"/>
          <w:vertAlign w:val="superscript"/>
        </w:rPr>
        <w:t>[15,22]</w:t>
      </w:r>
      <w:r w:rsidRPr="00C9386A">
        <w:rPr>
          <w:rFonts w:ascii="Book Antiqua" w:eastAsia="Book Antiqua" w:hAnsi="Book Antiqua" w:cs="Book Antiqua"/>
          <w:color w:val="000000"/>
        </w:rPr>
        <w:t xml:space="preserve">. Okamoto </w:t>
      </w:r>
      <w:r w:rsidRPr="00C9386A">
        <w:rPr>
          <w:rFonts w:ascii="Book Antiqua" w:eastAsia="Book Antiqua" w:hAnsi="Book Antiqua" w:cs="Book Antiqua"/>
          <w:i/>
          <w:iCs/>
          <w:color w:val="000000"/>
        </w:rPr>
        <w:t>et al</w:t>
      </w:r>
      <w:r w:rsidRPr="00C9386A">
        <w:rPr>
          <w:rFonts w:ascii="Book Antiqua" w:eastAsia="Book Antiqua" w:hAnsi="Book Antiqua" w:cs="Book Antiqua"/>
          <w:color w:val="000000"/>
          <w:vertAlign w:val="superscript"/>
        </w:rPr>
        <w:t>[22]</w:t>
      </w:r>
      <w:r w:rsidRPr="00C9386A">
        <w:rPr>
          <w:rFonts w:ascii="Book Antiqua" w:eastAsia="Book Antiqua" w:hAnsi="Book Antiqua" w:cs="Book Antiqua"/>
          <w:i/>
          <w:iCs/>
          <w:color w:val="000000"/>
        </w:rPr>
        <w:t xml:space="preserve"> </w:t>
      </w:r>
      <w:r w:rsidRPr="00C9386A">
        <w:rPr>
          <w:rFonts w:ascii="Book Antiqua" w:eastAsia="Book Antiqua" w:hAnsi="Book Antiqua" w:cs="Book Antiqua"/>
          <w:color w:val="000000"/>
        </w:rPr>
        <w:t>investigated esophageal varices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20) with two studies-a clinical study, and an experimental study to evaluate tissue permeability. The clinical study suggested the optimal dose range of ICG between 0.005-0.01 mg/kg bodyweight based on their evaluation of the fluorescent signal to differentiate between normal mucosa and varices.</w:t>
      </w:r>
    </w:p>
    <w:p w14:paraId="5E52A187"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One study made a dose-response study with another fluorophore, Bevacizumab-800CW, investigating patients with Familial Adenomatous Polyposis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17). Colorectal adenomas were detected with all doses of the fluorophore; 4.5 mg, 10 mg, and 25 mg, whereas normal mucosa showed no fluorescence</w:t>
      </w:r>
      <w:r w:rsidRPr="00C9386A">
        <w:rPr>
          <w:rFonts w:ascii="Book Antiqua" w:eastAsia="Book Antiqua" w:hAnsi="Book Antiqua" w:cs="Book Antiqua"/>
          <w:color w:val="000000"/>
          <w:vertAlign w:val="superscript"/>
        </w:rPr>
        <w:t>[15]</w:t>
      </w:r>
      <w:r w:rsidRPr="00C9386A">
        <w:rPr>
          <w:rFonts w:ascii="Book Antiqua" w:eastAsia="Book Antiqua" w:hAnsi="Book Antiqua" w:cs="Book Antiqua"/>
          <w:color w:val="000000"/>
        </w:rPr>
        <w:t xml:space="preserve">. </w:t>
      </w:r>
    </w:p>
    <w:p w14:paraId="230B9F72" w14:textId="77777777" w:rsidR="001D0CB2" w:rsidRPr="00C9386A" w:rsidRDefault="001D0CB2" w:rsidP="00C9386A">
      <w:pPr>
        <w:adjustRightInd w:val="0"/>
        <w:snapToGrid w:val="0"/>
        <w:spacing w:after="0" w:line="360" w:lineRule="auto"/>
        <w:ind w:firstLine="567"/>
        <w:jc w:val="both"/>
        <w:rPr>
          <w:rFonts w:ascii="Book Antiqua" w:hAnsi="Book Antiqua" w:cs="Book Antiqua"/>
        </w:rPr>
      </w:pPr>
    </w:p>
    <w:p w14:paraId="0FF0A55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DISCUSSION</w:t>
      </w:r>
    </w:p>
    <w:p w14:paraId="1E04CF8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In this systematic review, we identified seven studies using fluorescence endoscopy to assess and evaluate tumor invasion, detect neoplasms, adenomas and esophageal varices. Although fluorescence endoscopy was first described many years ago, this method with interesting results has become even more promising for therapeutic and diagnostic purposes with the recent advances within the field of fluorescence-guided surgery and cancer-specific imaging</w:t>
      </w:r>
      <w:r w:rsidRPr="00C9386A">
        <w:rPr>
          <w:rFonts w:ascii="Book Antiqua" w:eastAsia="Book Antiqua" w:hAnsi="Book Antiqua" w:cs="Book Antiqua"/>
          <w:color w:val="000000"/>
          <w:vertAlign w:val="superscript"/>
        </w:rPr>
        <w:t>[26]</w:t>
      </w:r>
      <w:r w:rsidRPr="00C9386A">
        <w:rPr>
          <w:rFonts w:ascii="Book Antiqua" w:eastAsia="Book Antiqua" w:hAnsi="Book Antiqua" w:cs="Book Antiqua"/>
          <w:color w:val="000000"/>
        </w:rPr>
        <w:t>.</w:t>
      </w:r>
    </w:p>
    <w:p w14:paraId="399A59B7" w14:textId="77777777" w:rsidR="001D0CB2" w:rsidRPr="00C9386A" w:rsidRDefault="001D0CB2" w:rsidP="00C9386A">
      <w:pPr>
        <w:adjustRightInd w:val="0"/>
        <w:snapToGrid w:val="0"/>
        <w:spacing w:after="0" w:line="360" w:lineRule="auto"/>
        <w:jc w:val="both"/>
        <w:rPr>
          <w:rFonts w:ascii="Book Antiqua" w:hAnsi="Book Antiqua" w:cs="Book Antiqua"/>
        </w:rPr>
      </w:pPr>
    </w:p>
    <w:p w14:paraId="71709BFE"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Tumor development and invasion</w:t>
      </w:r>
    </w:p>
    <w:p w14:paraId="081D494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Six studies evaluated fluorescence endoscopy according to tumor development and invasion. In one study, fluorescence endoscopy was compared with chromoendoscopy, which is another method used to visualize and detect neoplasia in the gastrointestinal tract. The authors found a significantly higher diagnostic accuracy using fluorescence endoscopy (68% </w:t>
      </w:r>
      <w:r w:rsidRPr="00C9386A">
        <w:rPr>
          <w:rFonts w:ascii="Book Antiqua" w:eastAsia="Book Antiqua" w:hAnsi="Book Antiqua" w:cs="Book Antiqua"/>
          <w:i/>
          <w:iCs/>
          <w:color w:val="000000"/>
        </w:rPr>
        <w:t>vs</w:t>
      </w:r>
      <w:r w:rsidRPr="00C9386A">
        <w:rPr>
          <w:rFonts w:ascii="Book Antiqua" w:eastAsia="Book Antiqua" w:hAnsi="Book Antiqua" w:cs="Book Antiqua"/>
          <w:color w:val="000000"/>
        </w:rPr>
        <w:t xml:space="preserve"> 89%, </w:t>
      </w:r>
      <w:proofErr w:type="spellStart"/>
      <w:r w:rsidRPr="00C9386A">
        <w:rPr>
          <w:rFonts w:ascii="Book Antiqua" w:eastAsia="Book Antiqua" w:hAnsi="Book Antiqua" w:cs="Book Antiqua"/>
          <w:color w:val="000000"/>
          <w:vertAlign w:val="superscript"/>
        </w:rPr>
        <w:t>a</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0.02)</w:t>
      </w:r>
      <w:r w:rsidRPr="00C9386A">
        <w:rPr>
          <w:rFonts w:ascii="Book Antiqua" w:eastAsia="Book Antiqua" w:hAnsi="Book Antiqua" w:cs="Book Antiqua"/>
          <w:color w:val="000000"/>
          <w:vertAlign w:val="superscript"/>
        </w:rPr>
        <w:t>[25]</w:t>
      </w:r>
      <w:r w:rsidRPr="00C9386A">
        <w:rPr>
          <w:rFonts w:ascii="Book Antiqua" w:eastAsia="Book Antiqua" w:hAnsi="Book Antiqua" w:cs="Book Antiqua"/>
          <w:color w:val="000000"/>
        </w:rPr>
        <w:t>. Furthermore, the authors reported a significant correlation between tumor invasion and tumor vascularity when using fluorescence endoscopy (</w:t>
      </w:r>
      <w:proofErr w:type="spellStart"/>
      <w:r w:rsidRPr="00C9386A">
        <w:rPr>
          <w:rFonts w:ascii="Book Antiqua" w:eastAsia="Book Antiqua" w:hAnsi="Book Antiqua" w:cs="Book Antiqua"/>
          <w:color w:val="000000"/>
          <w:vertAlign w:val="superscript"/>
        </w:rPr>
        <w:t>b</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0.01) as tumors with a tumor stain had significantly more vessels than did tumors without a tumor stain</w:t>
      </w:r>
      <w:r w:rsidRPr="00C9386A">
        <w:rPr>
          <w:rFonts w:ascii="Book Antiqua" w:eastAsia="Book Antiqua" w:hAnsi="Book Antiqua" w:cs="Book Antiqua"/>
          <w:color w:val="000000"/>
          <w:vertAlign w:val="superscript"/>
        </w:rPr>
        <w:t>[25-27]</w:t>
      </w:r>
      <w:r w:rsidRPr="00C9386A">
        <w:rPr>
          <w:rFonts w:ascii="Book Antiqua" w:eastAsia="Book Antiqua" w:hAnsi="Book Antiqua" w:cs="Book Antiqua"/>
          <w:color w:val="000000"/>
        </w:rPr>
        <w:t>. Additionally, the vessels were more varied in size in tumors showing inhomogeneous stain than tumors with a homogeneous stain. The authors suggested that tumor invasion to the submucosa will induce new, permeable vessels, which will result in extravasation of blood observed as pooling of the dye. The association between tumor invasion, fluorescence and vessel count was reproduced in another study with a significant correlation (</w:t>
      </w:r>
      <w:proofErr w:type="spellStart"/>
      <w:r w:rsidRPr="00C9386A">
        <w:rPr>
          <w:rFonts w:ascii="Book Antiqua" w:eastAsia="Book Antiqua" w:hAnsi="Book Antiqua" w:cs="Book Antiqua"/>
          <w:color w:val="000000"/>
          <w:vertAlign w:val="superscript"/>
        </w:rPr>
        <w:t>d</w:t>
      </w:r>
      <w:r w:rsidRPr="00C9386A">
        <w:rPr>
          <w:rFonts w:ascii="Book Antiqua" w:eastAsia="Book Antiqua" w:hAnsi="Book Antiqua" w:cs="Book Antiqua"/>
          <w:i/>
          <w:color w:val="000000"/>
        </w:rPr>
        <w:t>P</w:t>
      </w:r>
      <w:proofErr w:type="spellEnd"/>
      <w:r w:rsidRPr="00C9386A">
        <w:rPr>
          <w:rFonts w:ascii="Book Antiqua" w:eastAsia="Book Antiqua" w:hAnsi="Book Antiqua" w:cs="Book Antiqua"/>
          <w:color w:val="000000"/>
        </w:rPr>
        <w:t xml:space="preserve"> &lt; 0.05)</w:t>
      </w:r>
      <w:r w:rsidRPr="00C9386A">
        <w:rPr>
          <w:rFonts w:ascii="Book Antiqua" w:eastAsia="Book Antiqua" w:hAnsi="Book Antiqua" w:cs="Book Antiqua"/>
          <w:color w:val="000000"/>
          <w:vertAlign w:val="superscript"/>
        </w:rPr>
        <w:t>[23]</w:t>
      </w:r>
      <w:r w:rsidRPr="00C9386A">
        <w:rPr>
          <w:rFonts w:ascii="Book Antiqua" w:eastAsia="Book Antiqua" w:hAnsi="Book Antiqua" w:cs="Book Antiqua"/>
          <w:color w:val="000000"/>
        </w:rPr>
        <w:t>. The association of vascularity and tumor invasion was also demonstrated in a study of 44 patients which reported a color change in the endoscopic findings based on the tumor vascularity. The study assessed the tumor vascularity with an endoscopic quantitative analysis of the hemoglobin index</w:t>
      </w:r>
      <w:r w:rsidRPr="00C9386A">
        <w:rPr>
          <w:rFonts w:ascii="Book Antiqua" w:eastAsia="Book Antiqua" w:hAnsi="Book Antiqua" w:cs="Book Antiqua"/>
          <w:color w:val="000000"/>
          <w:vertAlign w:val="superscript"/>
        </w:rPr>
        <w:t>[28]</w:t>
      </w:r>
      <w:r w:rsidRPr="00C9386A">
        <w:rPr>
          <w:rFonts w:ascii="Book Antiqua" w:eastAsia="Book Antiqua" w:hAnsi="Book Antiqua" w:cs="Book Antiqua"/>
          <w:color w:val="000000"/>
        </w:rPr>
        <w:t xml:space="preserve">. Additionally, another study of 25 specimens from resections of early gastric cancer investigated color changes </w:t>
      </w:r>
      <w:r w:rsidRPr="00C9386A">
        <w:rPr>
          <w:rFonts w:ascii="Book Antiqua" w:eastAsia="Book Antiqua" w:hAnsi="Book Antiqua" w:cs="Book Antiqua"/>
          <w:color w:val="000000"/>
        </w:rPr>
        <w:lastRenderedPageBreak/>
        <w:t>appearing during endoscopy. They suggested that blood flow, angiogenesis, and the microvasculature in tumors as factors responsible for the endoscopic findings</w:t>
      </w:r>
      <w:r w:rsidRPr="00C9386A">
        <w:rPr>
          <w:rFonts w:ascii="Book Antiqua" w:eastAsia="Book Antiqua" w:hAnsi="Book Antiqua" w:cs="Book Antiqua"/>
          <w:color w:val="000000"/>
          <w:vertAlign w:val="superscript"/>
        </w:rPr>
        <w:t>[29]</w:t>
      </w:r>
      <w:r w:rsidRPr="00C9386A">
        <w:rPr>
          <w:rFonts w:ascii="Book Antiqua" w:eastAsia="Book Antiqua" w:hAnsi="Book Antiqua" w:cs="Book Antiqua"/>
          <w:color w:val="000000"/>
        </w:rPr>
        <w:t>. Nevertheless, these mechanisms are not fully understood and need further assessment.</w:t>
      </w:r>
    </w:p>
    <w:p w14:paraId="6691C358" w14:textId="77777777" w:rsidR="001D0CB2" w:rsidRPr="00C9386A" w:rsidRDefault="001D0CB2" w:rsidP="00C9386A">
      <w:pPr>
        <w:adjustRightInd w:val="0"/>
        <w:snapToGrid w:val="0"/>
        <w:spacing w:after="0" w:line="360" w:lineRule="auto"/>
        <w:jc w:val="both"/>
        <w:rPr>
          <w:rFonts w:ascii="Book Antiqua" w:hAnsi="Book Antiqua" w:cs="Book Antiqua"/>
        </w:rPr>
      </w:pPr>
    </w:p>
    <w:p w14:paraId="010005E7" w14:textId="77777777" w:rsidR="001D0CB2" w:rsidRPr="00C9386A" w:rsidRDefault="00555B35" w:rsidP="00C9386A">
      <w:pPr>
        <w:adjustRightInd w:val="0"/>
        <w:snapToGrid w:val="0"/>
        <w:spacing w:after="0" w:line="360" w:lineRule="auto"/>
        <w:jc w:val="both"/>
        <w:rPr>
          <w:rFonts w:ascii="Book Antiqua" w:hAnsi="Book Antiqua" w:cs="Book Antiqua"/>
          <w:b/>
          <w:bCs/>
          <w:i/>
        </w:rPr>
      </w:pPr>
      <w:r w:rsidRPr="00C9386A">
        <w:rPr>
          <w:rFonts w:ascii="Book Antiqua" w:eastAsia="Book Antiqua" w:hAnsi="Book Antiqua" w:cs="Book Antiqua"/>
          <w:b/>
          <w:bCs/>
          <w:i/>
          <w:color w:val="000000"/>
        </w:rPr>
        <w:t>Indocyanine green</w:t>
      </w:r>
    </w:p>
    <w:p w14:paraId="78EF16D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For evaluating vascularity, ICG has been used for many years, first for photography, later for angiography in 1969</w:t>
      </w:r>
      <w:r w:rsidRPr="00C9386A">
        <w:rPr>
          <w:rFonts w:ascii="Book Antiqua" w:eastAsia="Book Antiqua" w:hAnsi="Book Antiqua" w:cs="Book Antiqua"/>
          <w:color w:val="000000"/>
          <w:vertAlign w:val="superscript"/>
        </w:rPr>
        <w:t>[30]</w:t>
      </w:r>
      <w:r w:rsidRPr="00C9386A">
        <w:rPr>
          <w:rFonts w:ascii="Book Antiqua" w:eastAsia="Book Antiqua" w:hAnsi="Book Antiqua" w:cs="Book Antiqua"/>
          <w:color w:val="000000"/>
        </w:rPr>
        <w:t>. The contrast has been commercially available for many years, as it has a high level of safety and a very low incidence of adverse events has been reported</w:t>
      </w:r>
      <w:r w:rsidRPr="00C9386A">
        <w:rPr>
          <w:rFonts w:ascii="Book Antiqua" w:eastAsia="Book Antiqua" w:hAnsi="Book Antiqua" w:cs="Book Antiqua"/>
          <w:color w:val="000000"/>
          <w:vertAlign w:val="superscript"/>
        </w:rPr>
        <w:t>[31,32]</w:t>
      </w:r>
      <w:r w:rsidRPr="00C9386A">
        <w:rPr>
          <w:rFonts w:ascii="Book Antiqua" w:eastAsia="Book Antiqua" w:hAnsi="Book Antiqua" w:cs="Book Antiqua"/>
          <w:color w:val="000000"/>
        </w:rPr>
        <w:t>. In this systematic review, four of six included studies (</w:t>
      </w:r>
      <w:r w:rsidRPr="00C9386A">
        <w:rPr>
          <w:rFonts w:ascii="Book Antiqua" w:eastAsia="Book Antiqua" w:hAnsi="Book Antiqua" w:cs="Book Antiqua"/>
          <w:i/>
          <w:iCs/>
          <w:color w:val="000000"/>
        </w:rPr>
        <w:t>n</w:t>
      </w:r>
      <w:r w:rsidRPr="00C9386A">
        <w:rPr>
          <w:rFonts w:ascii="Book Antiqua" w:eastAsia="Book Antiqua" w:hAnsi="Book Antiqua" w:cs="Book Antiqua"/>
          <w:color w:val="000000"/>
        </w:rPr>
        <w:t xml:space="preserve"> = 106) using ICG specifically reported that no adverse effects occurred</w:t>
      </w:r>
      <w:r w:rsidRPr="00C9386A">
        <w:rPr>
          <w:rFonts w:ascii="Book Antiqua" w:eastAsia="Book Antiqua" w:hAnsi="Book Antiqua" w:cs="Book Antiqua"/>
          <w:color w:val="000000"/>
          <w:vertAlign w:val="superscript"/>
        </w:rPr>
        <w:t>[21-24]</w:t>
      </w:r>
      <w:r w:rsidRPr="00C9386A">
        <w:rPr>
          <w:rFonts w:ascii="Book Antiqua" w:eastAsia="Book Antiqua" w:hAnsi="Book Antiqua" w:cs="Book Antiqua"/>
          <w:color w:val="000000"/>
        </w:rPr>
        <w:t>, while the remaining two studies reporting nothing on adverse events. Usually, the recommended dosage of ICG is 0.2-0.25 mg/kg, which must not exceed 2 mg/kg in total</w:t>
      </w:r>
      <w:r w:rsidRPr="00C9386A">
        <w:rPr>
          <w:rFonts w:ascii="Book Antiqua" w:eastAsia="Book Antiqua" w:hAnsi="Book Antiqua" w:cs="Book Antiqua"/>
          <w:color w:val="000000"/>
          <w:vertAlign w:val="superscript"/>
        </w:rPr>
        <w:t>[33]</w:t>
      </w:r>
      <w:r w:rsidRPr="00C9386A">
        <w:rPr>
          <w:rFonts w:ascii="Book Antiqua" w:eastAsia="Book Antiqua" w:hAnsi="Book Antiqua" w:cs="Book Antiqua"/>
          <w:color w:val="000000"/>
        </w:rPr>
        <w:t>. One study included in this review reported an optimal dose of ICG at 0.005 to 0.01 mg/kg body weight</w:t>
      </w:r>
      <w:r w:rsidRPr="00C9386A">
        <w:rPr>
          <w:rFonts w:ascii="Book Antiqua" w:eastAsia="Book Antiqua" w:hAnsi="Book Antiqua" w:cs="Book Antiqua"/>
          <w:color w:val="000000"/>
          <w:vertAlign w:val="superscript"/>
        </w:rPr>
        <w:t>[22]</w:t>
      </w:r>
      <w:r w:rsidRPr="00C9386A">
        <w:rPr>
          <w:rFonts w:ascii="Book Antiqua" w:eastAsia="Book Antiqua" w:hAnsi="Book Antiqua" w:cs="Book Antiqua"/>
          <w:color w:val="000000"/>
        </w:rPr>
        <w:t>, while another study reported a very high dosage of ICG at 2-5 mg/kg body weight</w:t>
      </w:r>
      <w:r w:rsidRPr="00C9386A">
        <w:rPr>
          <w:rFonts w:ascii="Book Antiqua" w:eastAsia="Book Antiqua" w:hAnsi="Book Antiqua" w:cs="Book Antiqua"/>
          <w:color w:val="000000"/>
          <w:vertAlign w:val="superscript"/>
        </w:rPr>
        <w:t>[25]</w:t>
      </w:r>
      <w:r w:rsidRPr="00C9386A">
        <w:rPr>
          <w:rFonts w:ascii="Book Antiqua" w:eastAsia="Book Antiqua" w:hAnsi="Book Antiqua" w:cs="Book Antiqua"/>
          <w:color w:val="000000"/>
        </w:rPr>
        <w:t xml:space="preserve">. However, no consensus about the ICG dosage exists in the studies. </w:t>
      </w:r>
    </w:p>
    <w:p w14:paraId="074CA249" w14:textId="77777777" w:rsidR="001D0CB2" w:rsidRPr="00C9386A" w:rsidRDefault="001D0CB2" w:rsidP="00C9386A">
      <w:pPr>
        <w:adjustRightInd w:val="0"/>
        <w:snapToGrid w:val="0"/>
        <w:spacing w:after="0" w:line="360" w:lineRule="auto"/>
        <w:jc w:val="both"/>
        <w:rPr>
          <w:rFonts w:ascii="Book Antiqua" w:hAnsi="Book Antiqua" w:cs="Book Antiqua"/>
        </w:rPr>
      </w:pPr>
    </w:p>
    <w:p w14:paraId="21FA778E"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Cancer-specific probes</w:t>
      </w:r>
    </w:p>
    <w:p w14:paraId="20C93C6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Another subject of emerging clinical interest is the potentially cancer-specific fluorescent probes. Studies investigating the cancer-specific probes reflect the need for developing cancer-specific, optically detectable imaging agents to detect cancers and to add diagnostic and therapeutic value to fluorescence endoscopy. Both cancer-specific probes and the fluorescence endoscopy has been validated by several studies</w:t>
      </w:r>
      <w:r w:rsidRPr="00C9386A">
        <w:rPr>
          <w:rFonts w:ascii="Book Antiqua" w:eastAsia="Book Antiqua" w:hAnsi="Book Antiqua" w:cs="Book Antiqua"/>
          <w:color w:val="000000"/>
          <w:vertAlign w:val="superscript"/>
        </w:rPr>
        <w:t>[15,34-37]</w:t>
      </w:r>
      <w:r w:rsidRPr="00C9386A">
        <w:rPr>
          <w:rFonts w:ascii="Book Antiqua" w:eastAsia="Book Antiqua" w:hAnsi="Book Antiqua" w:cs="Book Antiqua"/>
          <w:color w:val="000000"/>
        </w:rPr>
        <w:t xml:space="preserve">. </w:t>
      </w:r>
    </w:p>
    <w:p w14:paraId="63202A7D" w14:textId="77777777" w:rsidR="001D0CB2" w:rsidRPr="00C9386A" w:rsidRDefault="00555B35" w:rsidP="00C9386A">
      <w:pPr>
        <w:adjustRightInd w:val="0"/>
        <w:snapToGrid w:val="0"/>
        <w:spacing w:after="0" w:line="360" w:lineRule="auto"/>
        <w:ind w:firstLineChars="100" w:firstLine="240"/>
        <w:jc w:val="both"/>
        <w:rPr>
          <w:rFonts w:ascii="Book Antiqua" w:hAnsi="Book Antiqua" w:cs="Book Antiqua"/>
        </w:rPr>
      </w:pPr>
      <w:r w:rsidRPr="00C9386A">
        <w:rPr>
          <w:rFonts w:ascii="Book Antiqua" w:eastAsia="Book Antiqua" w:hAnsi="Book Antiqua" w:cs="Book Antiqua"/>
          <w:color w:val="000000"/>
        </w:rPr>
        <w:t>Recently, several studies have investigated the urokinase-type plasminogen activator receptor (</w:t>
      </w:r>
      <w:proofErr w:type="spellStart"/>
      <w:r w:rsidRPr="00C9386A">
        <w:rPr>
          <w:rFonts w:ascii="Book Antiqua" w:eastAsia="Book Antiqua" w:hAnsi="Book Antiqua" w:cs="Book Antiqua"/>
          <w:color w:val="000000"/>
        </w:rPr>
        <w:t>uPAR</w:t>
      </w:r>
      <w:proofErr w:type="spellEnd"/>
      <w:r w:rsidRPr="00C9386A">
        <w:rPr>
          <w:rFonts w:ascii="Book Antiqua" w:eastAsia="Book Antiqua" w:hAnsi="Book Antiqua" w:cs="Book Antiqua"/>
          <w:color w:val="000000"/>
        </w:rPr>
        <w:t>) as a cancer-specific probe</w:t>
      </w:r>
      <w:r w:rsidRPr="00C9386A">
        <w:rPr>
          <w:rFonts w:ascii="Book Antiqua" w:eastAsia="Book Antiqua" w:hAnsi="Book Antiqua" w:cs="Book Antiqua"/>
          <w:color w:val="000000"/>
          <w:vertAlign w:val="superscript"/>
        </w:rPr>
        <w:t>[38-41]</w:t>
      </w:r>
      <w:r w:rsidRPr="00C9386A">
        <w:rPr>
          <w:rFonts w:ascii="Book Antiqua" w:eastAsia="Book Antiqua" w:hAnsi="Book Antiqua" w:cs="Book Antiqua"/>
          <w:color w:val="000000"/>
        </w:rPr>
        <w:t xml:space="preserve">. Using </w:t>
      </w:r>
      <w:proofErr w:type="spellStart"/>
      <w:r w:rsidRPr="00C9386A">
        <w:rPr>
          <w:rFonts w:ascii="Book Antiqua" w:eastAsia="Book Antiqua" w:hAnsi="Book Antiqua" w:cs="Book Antiqua"/>
          <w:color w:val="000000"/>
        </w:rPr>
        <w:t>uPAR</w:t>
      </w:r>
      <w:proofErr w:type="spellEnd"/>
      <w:r w:rsidRPr="00C9386A">
        <w:rPr>
          <w:rFonts w:ascii="Book Antiqua" w:eastAsia="Book Antiqua" w:hAnsi="Book Antiqua" w:cs="Book Antiqua"/>
          <w:color w:val="000000"/>
        </w:rPr>
        <w:t xml:space="preserve"> as a probe, one study subsequently demonstrated the feasibility of </w:t>
      </w:r>
      <w:proofErr w:type="spellStart"/>
      <w:r w:rsidRPr="00C9386A">
        <w:rPr>
          <w:rFonts w:ascii="Book Antiqua" w:eastAsia="Book Antiqua" w:hAnsi="Book Antiqua" w:cs="Book Antiqua"/>
          <w:color w:val="000000"/>
        </w:rPr>
        <w:t>uPAR</w:t>
      </w:r>
      <w:proofErr w:type="spellEnd"/>
      <w:r w:rsidRPr="00C9386A">
        <w:rPr>
          <w:rFonts w:ascii="Book Antiqua" w:eastAsia="Book Antiqua" w:hAnsi="Book Antiqua" w:cs="Book Antiqua"/>
          <w:color w:val="000000"/>
        </w:rPr>
        <w:t xml:space="preserve">-coupled fluorescent probes. The promising results pointed towards a future using ICG-coupled </w:t>
      </w:r>
      <w:proofErr w:type="spellStart"/>
      <w:r w:rsidRPr="00C9386A">
        <w:rPr>
          <w:rFonts w:ascii="Book Antiqua" w:eastAsia="Book Antiqua" w:hAnsi="Book Antiqua" w:cs="Book Antiqua"/>
          <w:color w:val="000000"/>
        </w:rPr>
        <w:t>uPAR</w:t>
      </w:r>
      <w:proofErr w:type="spellEnd"/>
      <w:r w:rsidRPr="00C9386A">
        <w:rPr>
          <w:rFonts w:ascii="Book Antiqua" w:eastAsia="Book Antiqua" w:hAnsi="Book Antiqua" w:cs="Book Antiqua"/>
          <w:color w:val="000000"/>
        </w:rPr>
        <w:t xml:space="preserve"> </w:t>
      </w:r>
      <w:r w:rsidRPr="00C9386A">
        <w:rPr>
          <w:rFonts w:ascii="Book Antiqua" w:eastAsia="Book Antiqua" w:hAnsi="Book Antiqua" w:cs="Book Antiqua"/>
          <w:color w:val="000000"/>
        </w:rPr>
        <w:lastRenderedPageBreak/>
        <w:t>probes for imaging and image-guided surgery as the tumor-targeted fluorophores may improve the discrimination between normal and neoplastic tissue. Cancer-specific fluorescent probes may also enable fluorescence-guided endoscopic resection with real-time assessment of the tumor margins, as well as prove to be a novel tool in response evaluation of tumors after chemoradiotherapy. The latter being possible by evaluation of fluctuations in fluorescence intensity caused by changes in tumor vascularity</w:t>
      </w:r>
      <w:r w:rsidRPr="00C9386A">
        <w:rPr>
          <w:rFonts w:ascii="Book Antiqua" w:eastAsia="Book Antiqua" w:hAnsi="Book Antiqua" w:cs="Book Antiqua"/>
          <w:color w:val="000000"/>
          <w:vertAlign w:val="superscript"/>
        </w:rPr>
        <w:t>[42]</w:t>
      </w:r>
      <w:r w:rsidRPr="00C9386A">
        <w:rPr>
          <w:rFonts w:ascii="Book Antiqua" w:eastAsia="Book Antiqua" w:hAnsi="Book Antiqua" w:cs="Book Antiqua"/>
          <w:color w:val="000000"/>
        </w:rPr>
        <w:t>.</w:t>
      </w:r>
    </w:p>
    <w:p w14:paraId="640AF824" w14:textId="77777777" w:rsidR="001D0CB2" w:rsidRPr="00C9386A" w:rsidRDefault="001D0CB2" w:rsidP="00C9386A">
      <w:pPr>
        <w:adjustRightInd w:val="0"/>
        <w:snapToGrid w:val="0"/>
        <w:spacing w:after="0" w:line="360" w:lineRule="auto"/>
        <w:ind w:firstLine="567"/>
        <w:jc w:val="both"/>
        <w:rPr>
          <w:rFonts w:ascii="Book Antiqua" w:hAnsi="Book Antiqua" w:cs="Book Antiqua"/>
        </w:rPr>
      </w:pPr>
    </w:p>
    <w:p w14:paraId="13DE6B27"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Quantitative examination</w:t>
      </w:r>
    </w:p>
    <w:p w14:paraId="56C1642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Fluorescence endoscopy is still lacking a method to quantify the fluorescent signal to decrease the subjectivity and increase objectivity, sensitivity, and specificity of the method. Some studies have investigated methods to quantitate the fluorescent signal. In the studies included in this review, the fluorescent signal was judged qualitative, meaning visually subjectively, except for one study which quantified the fluorescent signal </w:t>
      </w:r>
      <w:r w:rsidRPr="00C9386A">
        <w:rPr>
          <w:rFonts w:ascii="Book Antiqua" w:eastAsia="Book Antiqua" w:hAnsi="Book Antiqua" w:cs="Book Antiqua"/>
          <w:i/>
          <w:color w:val="000000"/>
        </w:rPr>
        <w:t>ex</w:t>
      </w:r>
      <w:r w:rsidRPr="00C9386A">
        <w:rPr>
          <w:rFonts w:ascii="Book Antiqua" w:eastAsia="Book Antiqua" w:hAnsi="Book Antiqua" w:cs="Book Antiqua"/>
          <w:color w:val="000000"/>
        </w:rPr>
        <w:t xml:space="preserve"> </w:t>
      </w:r>
      <w:r w:rsidRPr="00C9386A">
        <w:rPr>
          <w:rFonts w:ascii="Book Antiqua" w:eastAsia="Book Antiqua" w:hAnsi="Book Antiqua" w:cs="Book Antiqua"/>
          <w:i/>
          <w:iCs/>
          <w:color w:val="000000"/>
        </w:rPr>
        <w:t>vivo</w:t>
      </w:r>
      <w:r w:rsidRPr="00C9386A">
        <w:rPr>
          <w:rFonts w:ascii="Book Antiqua" w:eastAsia="Book Antiqua" w:hAnsi="Book Antiqua" w:cs="Book Antiqua"/>
          <w:color w:val="000000"/>
          <w:vertAlign w:val="superscript"/>
        </w:rPr>
        <w:t>[15]</w:t>
      </w:r>
      <w:r w:rsidRPr="00C9386A">
        <w:rPr>
          <w:rFonts w:ascii="Book Antiqua" w:eastAsia="Book Antiqua" w:hAnsi="Book Antiqua" w:cs="Book Antiqua"/>
          <w:color w:val="000000"/>
        </w:rPr>
        <w:t>. In a series of animal studies</w:t>
      </w:r>
      <w:r w:rsidRPr="00C9386A">
        <w:rPr>
          <w:rFonts w:ascii="Book Antiqua" w:eastAsia="Book Antiqua" w:hAnsi="Book Antiqua" w:cs="Book Antiqua"/>
          <w:color w:val="000000"/>
          <w:vertAlign w:val="superscript"/>
        </w:rPr>
        <w:t>[43-45]</w:t>
      </w:r>
      <w:r w:rsidRPr="00C9386A">
        <w:rPr>
          <w:rFonts w:ascii="Book Antiqua" w:eastAsia="Book Antiqua" w:hAnsi="Book Antiqua" w:cs="Book Antiqua"/>
          <w:color w:val="000000"/>
        </w:rPr>
        <w:t>, a new method named quantitative-ICG for quantification of perfusion using ICG fluorescence was presented and validated. The quantification of the fluorescent signal will add an important factor to all technologies using fluorescence as a diagnostic marker.</w:t>
      </w:r>
    </w:p>
    <w:p w14:paraId="542AF8DD" w14:textId="77777777" w:rsidR="001D0CB2" w:rsidRPr="00C9386A" w:rsidRDefault="001D0CB2" w:rsidP="00C9386A">
      <w:pPr>
        <w:adjustRightInd w:val="0"/>
        <w:snapToGrid w:val="0"/>
        <w:spacing w:after="0" w:line="360" w:lineRule="auto"/>
        <w:jc w:val="both"/>
        <w:rPr>
          <w:rFonts w:ascii="Book Antiqua" w:hAnsi="Book Antiqua" w:cs="Book Antiqua"/>
        </w:rPr>
      </w:pPr>
    </w:p>
    <w:p w14:paraId="0F9A1CF1" w14:textId="77777777" w:rsidR="001D0CB2" w:rsidRPr="00C9386A" w:rsidRDefault="00555B35" w:rsidP="00C9386A">
      <w:pPr>
        <w:adjustRightInd w:val="0"/>
        <w:snapToGrid w:val="0"/>
        <w:spacing w:after="0" w:line="360" w:lineRule="auto"/>
        <w:jc w:val="both"/>
        <w:rPr>
          <w:rFonts w:ascii="Book Antiqua" w:hAnsi="Book Antiqua" w:cs="Book Antiqua"/>
          <w:b/>
          <w:bCs/>
        </w:rPr>
      </w:pPr>
      <w:r w:rsidRPr="00C9386A">
        <w:rPr>
          <w:rFonts w:ascii="Book Antiqua" w:eastAsia="Book Antiqua" w:hAnsi="Book Antiqua" w:cs="Book Antiqua"/>
          <w:b/>
          <w:bCs/>
          <w:i/>
          <w:color w:val="000000"/>
        </w:rPr>
        <w:t>Limitations</w:t>
      </w:r>
    </w:p>
    <w:p w14:paraId="2654F72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This systematic review with a focus on human studies using fluorescence endoscopy led to 2769 articles screened, but only seven studies included in the final review, which reflects the limited research within the field. Notwithstanding the limited number of studies, seven of seven studies were rated as poor quality in the Newcastle Ottawa Scale for bias assessment. The low score reflects potential </w:t>
      </w:r>
      <w:r w:rsidRPr="00C9386A">
        <w:rPr>
          <w:rFonts w:ascii="Book Antiqua" w:eastAsia="Book Antiqua" w:hAnsi="Book Antiqua" w:cs="Book Antiqua"/>
          <w:color w:val="000000"/>
          <w:shd w:val="clear" w:color="auto" w:fill="FFFFFF"/>
        </w:rPr>
        <w:t>unreliability within the studies, as they all lacked control groups and non-exposed cohorts, thus indicating that this method needs further investigation</w:t>
      </w:r>
      <w:r w:rsidRPr="00C9386A">
        <w:rPr>
          <w:rFonts w:ascii="Book Antiqua" w:eastAsia="Book Antiqua" w:hAnsi="Book Antiqua" w:cs="Book Antiqua"/>
          <w:color w:val="000000"/>
        </w:rPr>
        <w:t>.</w:t>
      </w:r>
      <w:r w:rsidRPr="00C9386A">
        <w:rPr>
          <w:rFonts w:ascii="Book Antiqua" w:eastAsia="Book Antiqua" w:hAnsi="Book Antiqua" w:cs="Book Antiqua"/>
          <w:color w:val="000000"/>
          <w:shd w:val="clear" w:color="auto" w:fill="FFFFFF"/>
        </w:rPr>
        <w:t xml:space="preserve"> </w:t>
      </w:r>
      <w:r w:rsidRPr="00C9386A">
        <w:rPr>
          <w:rFonts w:ascii="Book Antiqua" w:eastAsia="Book Antiqua" w:hAnsi="Book Antiqua" w:cs="Book Antiqua"/>
          <w:color w:val="000000"/>
        </w:rPr>
        <w:t xml:space="preserve">However, less strict criteria may have led to more heterogeneous studies included and a more challenging comparison of the endoscopic findings. The exclusion criteria </w:t>
      </w:r>
      <w:r w:rsidRPr="00C9386A">
        <w:rPr>
          <w:rFonts w:ascii="Book Antiqua" w:eastAsia="Book Antiqua" w:hAnsi="Book Antiqua" w:cs="Book Antiqua"/>
          <w:color w:val="000000"/>
        </w:rPr>
        <w:lastRenderedPageBreak/>
        <w:t>were to keep a homogeneity in the studies and to reflect high clinical applicability of this systematic review.</w:t>
      </w:r>
    </w:p>
    <w:p w14:paraId="249B914E" w14:textId="77777777" w:rsidR="001D0CB2" w:rsidRPr="00C9386A" w:rsidRDefault="001D0CB2" w:rsidP="00C9386A">
      <w:pPr>
        <w:adjustRightInd w:val="0"/>
        <w:snapToGrid w:val="0"/>
        <w:spacing w:after="0" w:line="360" w:lineRule="auto"/>
        <w:jc w:val="both"/>
        <w:rPr>
          <w:rFonts w:ascii="Book Antiqua" w:hAnsi="Book Antiqua" w:cs="Book Antiqua"/>
        </w:rPr>
      </w:pPr>
    </w:p>
    <w:p w14:paraId="7F221EE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CONCLUSION</w:t>
      </w:r>
    </w:p>
    <w:p w14:paraId="5B0834E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In conclusion, this systematic review found that fluorescence endoscopy may add both diagnostic and therapeutic value within the field of gastrointestinal diseases. The majority of the studies included investigated the value within tumor staging, and the detection of adenomas, and neoplasms, thus indicating this method as an opportunity for a more precise diagnosis in the early development of neoplasms and tumors. More studies are needed to examine the usefulness of fluorescence endoscopy compared with other endoscopic methods. Furthermore, the combination of fluorescence endoscopy, quantification of the fluorescent signal, and cancer-specific fluorescent probes has the potential to improve the endoscopic diagnosis, monitoring and therapy of gastrointestinal diseases.</w:t>
      </w:r>
    </w:p>
    <w:p w14:paraId="64E313C7" w14:textId="77777777" w:rsidR="001D0CB2" w:rsidRPr="00C9386A" w:rsidRDefault="001D0CB2" w:rsidP="00C9386A">
      <w:pPr>
        <w:adjustRightInd w:val="0"/>
        <w:snapToGrid w:val="0"/>
        <w:spacing w:after="0" w:line="360" w:lineRule="auto"/>
        <w:jc w:val="both"/>
        <w:rPr>
          <w:rFonts w:ascii="Book Antiqua" w:hAnsi="Book Antiqua" w:cs="Book Antiqua"/>
        </w:rPr>
      </w:pPr>
    </w:p>
    <w:p w14:paraId="767AB58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ARTICLE HIGHLIGHTS</w:t>
      </w:r>
    </w:p>
    <w:p w14:paraId="5C92B5A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background</w:t>
      </w:r>
    </w:p>
    <w:p w14:paraId="0350087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Different studies have investigated the use of fluorescence based endoscopy systems where the white light has been supplemented by infrared light and the use of relevant fluorophores. Fluorescence endoscopy is among the recent advances within the field of fluorescence-guided surgery and cancer-specific imaging.</w:t>
      </w:r>
    </w:p>
    <w:p w14:paraId="30615835" w14:textId="77777777" w:rsidR="001D0CB2" w:rsidRPr="00C9386A" w:rsidRDefault="001D0CB2" w:rsidP="00C9386A">
      <w:pPr>
        <w:adjustRightInd w:val="0"/>
        <w:snapToGrid w:val="0"/>
        <w:spacing w:after="0" w:line="360" w:lineRule="auto"/>
        <w:jc w:val="both"/>
        <w:rPr>
          <w:rFonts w:ascii="Book Antiqua" w:hAnsi="Book Antiqua" w:cs="Book Antiqua"/>
        </w:rPr>
      </w:pPr>
    </w:p>
    <w:p w14:paraId="2181ABB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motivation</w:t>
      </w:r>
    </w:p>
    <w:p w14:paraId="06A580B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The aim of this systematic review was to evaluate both the diagnostic and therapeutic value of fluorescence-guided flexible intraluminal endoscopy. Angiogenesis and neovascularization are important factors in tumor invasion, and as mucosal and submucosal vessels are not visible to the naked eye, but after </w:t>
      </w:r>
      <w:r w:rsidRPr="00C9386A">
        <w:rPr>
          <w:rFonts w:ascii="Book Antiqua" w:eastAsia="Book Antiqua" w:hAnsi="Book Antiqua" w:cs="Book Antiqua"/>
          <w:color w:val="000000"/>
        </w:rPr>
        <w:lastRenderedPageBreak/>
        <w:t xml:space="preserve">intravenous injection of a fluorophore and illumination by infrared light, profound structures can be visualized. </w:t>
      </w:r>
    </w:p>
    <w:p w14:paraId="1648DD21" w14:textId="77777777" w:rsidR="001D0CB2" w:rsidRPr="00C9386A" w:rsidRDefault="001D0CB2" w:rsidP="00C9386A">
      <w:pPr>
        <w:adjustRightInd w:val="0"/>
        <w:snapToGrid w:val="0"/>
        <w:spacing w:after="0" w:line="360" w:lineRule="auto"/>
        <w:jc w:val="both"/>
        <w:rPr>
          <w:rFonts w:ascii="Book Antiqua" w:hAnsi="Book Antiqua" w:cs="Book Antiqua"/>
        </w:rPr>
      </w:pPr>
    </w:p>
    <w:p w14:paraId="0458083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objectives</w:t>
      </w:r>
    </w:p>
    <w:p w14:paraId="4040F06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Fluorescence endoscopy can be used within the detection the early development of neoplasms and tumors, adenomas, assessment of tumor invasion within the gastrointestinal tract. Those qualities are a part of the recent advances within the field of fluorescence-guided surgery and cancer-specific imaging.</w:t>
      </w:r>
    </w:p>
    <w:p w14:paraId="1653EDB3" w14:textId="77777777" w:rsidR="001D0CB2" w:rsidRPr="00C9386A" w:rsidRDefault="001D0CB2" w:rsidP="00C9386A">
      <w:pPr>
        <w:adjustRightInd w:val="0"/>
        <w:snapToGrid w:val="0"/>
        <w:spacing w:after="0" w:line="360" w:lineRule="auto"/>
        <w:jc w:val="both"/>
        <w:rPr>
          <w:rFonts w:ascii="Book Antiqua" w:hAnsi="Book Antiqua" w:cs="Book Antiqua"/>
        </w:rPr>
      </w:pPr>
    </w:p>
    <w:p w14:paraId="2CD2A1A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methods</w:t>
      </w:r>
    </w:p>
    <w:p w14:paraId="279145C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shd w:val="clear" w:color="auto" w:fill="FFFFFF"/>
        </w:rPr>
        <w:t xml:space="preserve">The research method was a data analysis. </w:t>
      </w:r>
      <w:r w:rsidRPr="00C9386A">
        <w:rPr>
          <w:rFonts w:ascii="Book Antiqua" w:eastAsia="Book Antiqua" w:hAnsi="Book Antiqua" w:cs="Book Antiqua"/>
          <w:color w:val="000000"/>
        </w:rPr>
        <w:t xml:space="preserve">We followed the PRISMA guidelines for this systematic review. The research covered five databases; PubMed, Scopus, Web of Science, </w:t>
      </w:r>
      <w:proofErr w:type="spellStart"/>
      <w:r w:rsidRPr="00C9386A">
        <w:rPr>
          <w:rFonts w:ascii="Book Antiqua" w:eastAsia="Book Antiqua" w:hAnsi="Book Antiqua" w:cs="Book Antiqua"/>
          <w:color w:val="000000"/>
        </w:rPr>
        <w:t>Embase</w:t>
      </w:r>
      <w:proofErr w:type="spellEnd"/>
      <w:r w:rsidRPr="00C9386A">
        <w:rPr>
          <w:rFonts w:ascii="Book Antiqua" w:eastAsia="Book Antiqua" w:hAnsi="Book Antiqua" w:cs="Book Antiqua"/>
          <w:color w:val="000000"/>
        </w:rPr>
        <w:t>, and the Cochrane Collection. Authors screened title and abstract for inclusion, subsequently full-text for inclusion according to eligibility criteria listed in the protocol. The risk of bias was assessed for all studies according to the Newcastle-Ottawa Scale. The authors extracted the data and reported the results in both text and tables.</w:t>
      </w:r>
    </w:p>
    <w:p w14:paraId="0B2F04FE" w14:textId="77777777" w:rsidR="001D0CB2" w:rsidRPr="00C9386A" w:rsidRDefault="001D0CB2" w:rsidP="00C9386A">
      <w:pPr>
        <w:adjustRightInd w:val="0"/>
        <w:snapToGrid w:val="0"/>
        <w:spacing w:after="0" w:line="360" w:lineRule="auto"/>
        <w:jc w:val="both"/>
        <w:rPr>
          <w:rFonts w:ascii="Book Antiqua" w:hAnsi="Book Antiqua" w:cs="Book Antiqua"/>
        </w:rPr>
      </w:pPr>
    </w:p>
    <w:p w14:paraId="25DF370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results</w:t>
      </w:r>
    </w:p>
    <w:p w14:paraId="7F4DD3B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We included seven studies in the systematic review after screening a total of 2769 papers. Four studies evaluated the usefulness of fluorescence endoscopy in assessing tumor invasion. Three of the four studies reported an exceptional diagnostic accuracy in assessing tumor invasion, thus representing better visualization and more correct diagnosis by fluorescence endoscopy compared with the conventional endoscopy. The relationship between the endoscopic findings, tumor invasion, and tumor vascularity was evaluated in two studies showing a significant correlation. The use of fluorescence endoscopy is a promising method.</w:t>
      </w:r>
    </w:p>
    <w:p w14:paraId="67BFEFB7" w14:textId="77777777" w:rsidR="001D0CB2" w:rsidRPr="00C9386A" w:rsidRDefault="001D0CB2" w:rsidP="00C9386A">
      <w:pPr>
        <w:adjustRightInd w:val="0"/>
        <w:snapToGrid w:val="0"/>
        <w:spacing w:after="0" w:line="360" w:lineRule="auto"/>
        <w:jc w:val="both"/>
        <w:rPr>
          <w:rFonts w:ascii="Book Antiqua" w:hAnsi="Book Antiqua" w:cs="Book Antiqua"/>
        </w:rPr>
      </w:pPr>
    </w:p>
    <w:p w14:paraId="495C306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lastRenderedPageBreak/>
        <w:t>Research conclusions</w:t>
      </w:r>
    </w:p>
    <w:p w14:paraId="70B988A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This systematic review explored the diagnostic and therapeutic value of fluorescence endoscopy. This study proposes fluorescence endoscopy as a method, which can increase those values, in the context of what is already known. This systematic review reflects a high clinical applicability, and fluorescence endoscopy is a method, that builds on the approach of tumor vascularity. This is the hypothesis of this systematic review and how this cooperate with the diagnostic and therapeutic value. </w:t>
      </w:r>
    </w:p>
    <w:p w14:paraId="18BB5E95" w14:textId="77777777" w:rsidR="001D0CB2" w:rsidRPr="00C9386A" w:rsidRDefault="001D0CB2" w:rsidP="00C9386A">
      <w:pPr>
        <w:adjustRightInd w:val="0"/>
        <w:snapToGrid w:val="0"/>
        <w:spacing w:after="0" w:line="360" w:lineRule="auto"/>
        <w:jc w:val="both"/>
        <w:rPr>
          <w:rFonts w:ascii="Book Antiqua" w:hAnsi="Book Antiqua" w:cs="Book Antiqua"/>
        </w:rPr>
      </w:pPr>
    </w:p>
    <w:p w14:paraId="672848B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i/>
          <w:color w:val="000000"/>
        </w:rPr>
        <w:t>Research perspectives</w:t>
      </w:r>
    </w:p>
    <w:p w14:paraId="0F7AF62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More studies are needed to utilize the feasibility of fluorescence endoscopy compared with other endoscopic methods exploring the diagnostic and therapeutic value in different clinical issues. </w:t>
      </w:r>
    </w:p>
    <w:p w14:paraId="7B4286FD" w14:textId="77777777" w:rsidR="001D0CB2" w:rsidRPr="00C9386A" w:rsidRDefault="001D0CB2" w:rsidP="00C9386A">
      <w:pPr>
        <w:adjustRightInd w:val="0"/>
        <w:snapToGrid w:val="0"/>
        <w:spacing w:after="0" w:line="360" w:lineRule="auto"/>
        <w:jc w:val="both"/>
        <w:rPr>
          <w:rFonts w:ascii="Book Antiqua" w:hAnsi="Book Antiqua" w:cs="Book Antiqua"/>
        </w:rPr>
      </w:pPr>
    </w:p>
    <w:p w14:paraId="4241A10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aps/>
          <w:color w:val="000000"/>
          <w:u w:val="single"/>
        </w:rPr>
        <w:t>ACKNOWLEDGEMENTS</w:t>
      </w:r>
    </w:p>
    <w:p w14:paraId="6ACB72F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 xml:space="preserve">Christian Dam </w:t>
      </w:r>
      <w:proofErr w:type="spellStart"/>
      <w:r w:rsidRPr="00C9386A">
        <w:rPr>
          <w:rFonts w:ascii="Book Antiqua" w:eastAsia="Book Antiqua" w:hAnsi="Book Antiqua" w:cs="Book Antiqua"/>
          <w:color w:val="000000"/>
        </w:rPr>
        <w:t>Lütken</w:t>
      </w:r>
      <w:proofErr w:type="spellEnd"/>
      <w:r w:rsidRPr="00C9386A">
        <w:rPr>
          <w:rFonts w:ascii="Book Antiqua" w:eastAsia="Book Antiqua" w:hAnsi="Book Antiqua" w:cs="Book Antiqua"/>
          <w:color w:val="000000"/>
        </w:rPr>
        <w:t xml:space="preserve">, research scholar at the Department of Surgical Gastroenterology, </w:t>
      </w:r>
      <w:proofErr w:type="spellStart"/>
      <w:r w:rsidRPr="00C9386A">
        <w:rPr>
          <w:rFonts w:ascii="Book Antiqua" w:eastAsia="Book Antiqua" w:hAnsi="Book Antiqua" w:cs="Book Antiqua"/>
          <w:color w:val="000000"/>
        </w:rPr>
        <w:t>Rigshospitalet</w:t>
      </w:r>
      <w:proofErr w:type="spellEnd"/>
      <w:r w:rsidRPr="00C9386A">
        <w:rPr>
          <w:rFonts w:ascii="Book Antiqua" w:eastAsia="Book Antiqua" w:hAnsi="Book Antiqua" w:cs="Book Antiqua"/>
          <w:color w:val="000000"/>
        </w:rPr>
        <w:t xml:space="preserve"> helped and supported through the process; Brandon R. Schulz reviewed the manuscript according to English orthography.</w:t>
      </w:r>
    </w:p>
    <w:p w14:paraId="1A065D60" w14:textId="77777777" w:rsidR="001D0CB2" w:rsidRPr="00C9386A" w:rsidRDefault="001D0CB2" w:rsidP="00C9386A">
      <w:pPr>
        <w:adjustRightInd w:val="0"/>
        <w:snapToGrid w:val="0"/>
        <w:spacing w:after="0" w:line="360" w:lineRule="auto"/>
        <w:jc w:val="both"/>
        <w:rPr>
          <w:rFonts w:ascii="Book Antiqua" w:hAnsi="Book Antiqua" w:cs="Book Antiqua"/>
        </w:rPr>
      </w:pPr>
    </w:p>
    <w:p w14:paraId="0138F83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REFERENCES</w:t>
      </w:r>
    </w:p>
    <w:p w14:paraId="0197A66F"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bookmarkStart w:id="2" w:name="OLE_LINK2"/>
      <w:r w:rsidRPr="00C9386A">
        <w:rPr>
          <w:rFonts w:ascii="Book Antiqua" w:hAnsi="Book Antiqua" w:cs="Book Antiqua"/>
          <w:color w:val="000000" w:themeColor="text1"/>
        </w:rPr>
        <w:t>1 </w:t>
      </w:r>
      <w:r w:rsidRPr="00C9386A">
        <w:rPr>
          <w:rFonts w:ascii="Book Antiqua" w:hAnsi="Book Antiqua" w:cs="Book Antiqua"/>
          <w:b/>
          <w:bCs/>
          <w:color w:val="000000" w:themeColor="text1"/>
        </w:rPr>
        <w:t>Hellier MD</w:t>
      </w:r>
      <w:r w:rsidRPr="00C9386A">
        <w:rPr>
          <w:rFonts w:ascii="Book Antiqua" w:hAnsi="Book Antiqua" w:cs="Book Antiqua"/>
          <w:color w:val="000000" w:themeColor="text1"/>
        </w:rPr>
        <w:t>, Williams JG. The burden of gastrointestinal disease: implications for the provision of care in the UK. </w:t>
      </w:r>
      <w:r w:rsidRPr="00C9386A">
        <w:rPr>
          <w:rFonts w:ascii="Book Antiqua" w:hAnsi="Book Antiqua" w:cs="Book Antiqua"/>
          <w:i/>
          <w:iCs/>
          <w:color w:val="000000" w:themeColor="text1"/>
        </w:rPr>
        <w:t>Gut</w:t>
      </w:r>
      <w:r w:rsidRPr="00C9386A">
        <w:rPr>
          <w:rFonts w:ascii="Book Antiqua" w:hAnsi="Book Antiqua" w:cs="Book Antiqua"/>
          <w:color w:val="000000" w:themeColor="text1"/>
        </w:rPr>
        <w:t> 2007; </w:t>
      </w:r>
      <w:r w:rsidRPr="00C9386A">
        <w:rPr>
          <w:rFonts w:ascii="Book Antiqua" w:hAnsi="Book Antiqua" w:cs="Book Antiqua"/>
          <w:b/>
          <w:bCs/>
          <w:color w:val="000000" w:themeColor="text1"/>
        </w:rPr>
        <w:t>56</w:t>
      </w:r>
      <w:r w:rsidRPr="00C9386A">
        <w:rPr>
          <w:rFonts w:ascii="Book Antiqua" w:hAnsi="Book Antiqua" w:cs="Book Antiqua"/>
          <w:color w:val="000000" w:themeColor="text1"/>
        </w:rPr>
        <w:t>: 165-166 [PMID: 17303603 DOI: 10.1136/gut.2006.102889]</w:t>
      </w:r>
    </w:p>
    <w:p w14:paraId="31D8B03E"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2 </w:t>
      </w:r>
      <w:r w:rsidRPr="00C9386A">
        <w:rPr>
          <w:rFonts w:ascii="Book Antiqua" w:hAnsi="Book Antiqua" w:cs="Book Antiqua"/>
          <w:b/>
          <w:bCs/>
          <w:color w:val="000000" w:themeColor="text1"/>
        </w:rPr>
        <w:t>Bray F</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Ferlay</w:t>
      </w:r>
      <w:proofErr w:type="spellEnd"/>
      <w:r w:rsidRPr="00C9386A">
        <w:rPr>
          <w:rFonts w:ascii="Book Antiqua" w:hAnsi="Book Antiqua" w:cs="Book Antiqua"/>
          <w:color w:val="000000" w:themeColor="text1"/>
        </w:rPr>
        <w:t xml:space="preserve"> J, </w:t>
      </w:r>
      <w:proofErr w:type="spellStart"/>
      <w:r w:rsidRPr="00C9386A">
        <w:rPr>
          <w:rFonts w:ascii="Book Antiqua" w:hAnsi="Book Antiqua" w:cs="Book Antiqua"/>
          <w:color w:val="000000" w:themeColor="text1"/>
        </w:rPr>
        <w:t>Soerjomataram</w:t>
      </w:r>
      <w:proofErr w:type="spellEnd"/>
      <w:r w:rsidRPr="00C9386A">
        <w:rPr>
          <w:rFonts w:ascii="Book Antiqua" w:hAnsi="Book Antiqua" w:cs="Book Antiqua"/>
          <w:color w:val="000000" w:themeColor="text1"/>
        </w:rPr>
        <w:t xml:space="preserve"> I, Siegel RL, Torre LA, </w:t>
      </w:r>
      <w:proofErr w:type="spellStart"/>
      <w:r w:rsidRPr="00C9386A">
        <w:rPr>
          <w:rFonts w:ascii="Book Antiqua" w:hAnsi="Book Antiqua" w:cs="Book Antiqua"/>
          <w:color w:val="000000" w:themeColor="text1"/>
        </w:rPr>
        <w:t>Jemal</w:t>
      </w:r>
      <w:proofErr w:type="spellEnd"/>
      <w:r w:rsidRPr="00C9386A">
        <w:rPr>
          <w:rFonts w:ascii="Book Antiqua" w:hAnsi="Book Antiqua" w:cs="Book Antiqua"/>
          <w:color w:val="000000" w:themeColor="text1"/>
        </w:rPr>
        <w:t xml:space="preserve"> A. Global cancer statistics 2018: GLOBOCAN estimates of incidence and mortality worldwide for 36 cancers in 185 countries. </w:t>
      </w:r>
      <w:r w:rsidRPr="00C9386A">
        <w:rPr>
          <w:rFonts w:ascii="Book Antiqua" w:hAnsi="Book Antiqua" w:cs="Book Antiqua"/>
          <w:i/>
          <w:iCs/>
          <w:color w:val="000000" w:themeColor="text1"/>
        </w:rPr>
        <w:t xml:space="preserve">CA Cancer J </w:t>
      </w:r>
      <w:proofErr w:type="spellStart"/>
      <w:r w:rsidRPr="00C9386A">
        <w:rPr>
          <w:rFonts w:ascii="Book Antiqua" w:hAnsi="Book Antiqua" w:cs="Book Antiqua"/>
          <w:i/>
          <w:iCs/>
          <w:color w:val="000000" w:themeColor="text1"/>
        </w:rPr>
        <w:t>Clin</w:t>
      </w:r>
      <w:proofErr w:type="spellEnd"/>
      <w:r w:rsidRPr="00C9386A">
        <w:rPr>
          <w:rFonts w:ascii="Book Antiqua" w:hAnsi="Book Antiqua" w:cs="Book Antiqua"/>
          <w:color w:val="000000" w:themeColor="text1"/>
        </w:rPr>
        <w:t> 2018; </w:t>
      </w:r>
      <w:r w:rsidRPr="00C9386A">
        <w:rPr>
          <w:rFonts w:ascii="Book Antiqua" w:hAnsi="Book Antiqua" w:cs="Book Antiqua"/>
          <w:b/>
          <w:bCs/>
          <w:color w:val="000000" w:themeColor="text1"/>
        </w:rPr>
        <w:t>68</w:t>
      </w:r>
      <w:r w:rsidRPr="00C9386A">
        <w:rPr>
          <w:rFonts w:ascii="Book Antiqua" w:hAnsi="Book Antiqua" w:cs="Book Antiqua"/>
          <w:color w:val="000000" w:themeColor="text1"/>
        </w:rPr>
        <w:t>: 394-424 [PMID: 30207593 DOI: 10.3322/caac.21492]</w:t>
      </w:r>
    </w:p>
    <w:p w14:paraId="60EDF72D"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lastRenderedPageBreak/>
        <w:t>3 </w:t>
      </w:r>
      <w:proofErr w:type="spellStart"/>
      <w:r w:rsidRPr="00C9386A">
        <w:rPr>
          <w:rFonts w:ascii="Book Antiqua" w:hAnsi="Book Antiqua" w:cs="Book Antiqua"/>
          <w:b/>
          <w:bCs/>
          <w:color w:val="000000" w:themeColor="text1"/>
        </w:rPr>
        <w:t>Rawla</w:t>
      </w:r>
      <w:proofErr w:type="spellEnd"/>
      <w:r w:rsidRPr="00C9386A">
        <w:rPr>
          <w:rFonts w:ascii="Book Antiqua" w:hAnsi="Book Antiqua" w:cs="Book Antiqua"/>
          <w:b/>
          <w:bCs/>
          <w:color w:val="000000" w:themeColor="text1"/>
        </w:rPr>
        <w:t xml:space="preserve"> P</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Barsouk</w:t>
      </w:r>
      <w:proofErr w:type="spellEnd"/>
      <w:r w:rsidRPr="00C9386A">
        <w:rPr>
          <w:rFonts w:ascii="Book Antiqua" w:hAnsi="Book Antiqua" w:cs="Book Antiqua"/>
          <w:color w:val="000000" w:themeColor="text1"/>
        </w:rPr>
        <w:t xml:space="preserve"> A. Epidemiology of gastric cancer: global trends, risk factors and prevention. </w:t>
      </w:r>
      <w:proofErr w:type="spellStart"/>
      <w:r w:rsidRPr="00C9386A">
        <w:rPr>
          <w:rFonts w:ascii="Book Antiqua" w:hAnsi="Book Antiqua" w:cs="Book Antiqua"/>
          <w:i/>
          <w:iCs/>
          <w:color w:val="000000" w:themeColor="text1"/>
        </w:rPr>
        <w:t>Prz</w:t>
      </w:r>
      <w:proofErr w:type="spellEnd"/>
      <w:r w:rsidRPr="00C9386A">
        <w:rPr>
          <w:rFonts w:ascii="Book Antiqua" w:hAnsi="Book Antiqua" w:cs="Book Antiqua"/>
          <w:i/>
          <w:iCs/>
          <w:color w:val="000000" w:themeColor="text1"/>
        </w:rPr>
        <w:t xml:space="preserve"> Gastroenterol</w:t>
      </w:r>
      <w:r w:rsidRPr="00C9386A">
        <w:rPr>
          <w:rFonts w:ascii="Book Antiqua" w:hAnsi="Book Antiqua" w:cs="Book Antiqua"/>
          <w:color w:val="000000" w:themeColor="text1"/>
        </w:rPr>
        <w:t> 2019; </w:t>
      </w:r>
      <w:r w:rsidRPr="00C9386A">
        <w:rPr>
          <w:rFonts w:ascii="Book Antiqua" w:hAnsi="Book Antiqua" w:cs="Book Antiqua"/>
          <w:b/>
          <w:bCs/>
          <w:color w:val="000000" w:themeColor="text1"/>
        </w:rPr>
        <w:t>14</w:t>
      </w:r>
      <w:r w:rsidRPr="00C9386A">
        <w:rPr>
          <w:rFonts w:ascii="Book Antiqua" w:hAnsi="Book Antiqua" w:cs="Book Antiqua"/>
          <w:color w:val="000000" w:themeColor="text1"/>
        </w:rPr>
        <w:t>: 26-38 [PMID: 30944675 DOI: 10.5114/pg.2018.80001]</w:t>
      </w:r>
    </w:p>
    <w:p w14:paraId="243050D4"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4 </w:t>
      </w:r>
      <w:r w:rsidRPr="00C9386A">
        <w:rPr>
          <w:rFonts w:ascii="Book Antiqua" w:hAnsi="Book Antiqua" w:cs="Book Antiqua"/>
          <w:b/>
          <w:bCs/>
          <w:color w:val="000000" w:themeColor="text1"/>
        </w:rPr>
        <w:t>Lee JH</w:t>
      </w:r>
      <w:r w:rsidRPr="00C9386A">
        <w:rPr>
          <w:rFonts w:ascii="Book Antiqua" w:hAnsi="Book Antiqua" w:cs="Book Antiqua"/>
          <w:color w:val="000000" w:themeColor="text1"/>
        </w:rPr>
        <w:t>, Wang TD. Molecular endoscopy for targeted imaging in the digestive tract. </w:t>
      </w:r>
      <w:r w:rsidRPr="00C9386A">
        <w:rPr>
          <w:rFonts w:ascii="Book Antiqua" w:hAnsi="Book Antiqua" w:cs="Book Antiqua"/>
          <w:i/>
          <w:iCs/>
          <w:color w:val="000000" w:themeColor="text1"/>
        </w:rPr>
        <w:t xml:space="preserve">Lancet Gastroenterol </w:t>
      </w:r>
      <w:proofErr w:type="spellStart"/>
      <w:r w:rsidRPr="00C9386A">
        <w:rPr>
          <w:rFonts w:ascii="Book Antiqua" w:hAnsi="Book Antiqua" w:cs="Book Antiqua"/>
          <w:i/>
          <w:iCs/>
          <w:color w:val="000000" w:themeColor="text1"/>
        </w:rPr>
        <w:t>Hepatol</w:t>
      </w:r>
      <w:proofErr w:type="spellEnd"/>
      <w:r w:rsidRPr="00C9386A">
        <w:rPr>
          <w:rFonts w:ascii="Book Antiqua" w:hAnsi="Book Antiqua" w:cs="Book Antiqua"/>
          <w:color w:val="000000" w:themeColor="text1"/>
        </w:rPr>
        <w:t> 2016; </w:t>
      </w:r>
      <w:r w:rsidRPr="00C9386A">
        <w:rPr>
          <w:rFonts w:ascii="Book Antiqua" w:hAnsi="Book Antiqua" w:cs="Book Antiqua"/>
          <w:b/>
          <w:bCs/>
          <w:color w:val="000000" w:themeColor="text1"/>
        </w:rPr>
        <w:t>1</w:t>
      </w:r>
      <w:r w:rsidRPr="00C9386A">
        <w:rPr>
          <w:rFonts w:ascii="Book Antiqua" w:hAnsi="Book Antiqua" w:cs="Book Antiqua"/>
          <w:color w:val="000000" w:themeColor="text1"/>
        </w:rPr>
        <w:t>: 147-155 [PMID: 28404071 DOI: 10.1016/S2468-1253(16)30027-9]</w:t>
      </w:r>
    </w:p>
    <w:p w14:paraId="6C999E25"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5 </w:t>
      </w:r>
      <w:r w:rsidRPr="00C9386A">
        <w:rPr>
          <w:rFonts w:ascii="Book Antiqua" w:hAnsi="Book Antiqua" w:cs="Book Antiqua"/>
          <w:b/>
          <w:bCs/>
          <w:color w:val="000000" w:themeColor="text1"/>
        </w:rPr>
        <w:t>Davis ID</w:t>
      </w:r>
      <w:r w:rsidRPr="00C9386A">
        <w:rPr>
          <w:rFonts w:ascii="Book Antiqua" w:hAnsi="Book Antiqua" w:cs="Book Antiqua"/>
          <w:color w:val="000000" w:themeColor="text1"/>
        </w:rPr>
        <w:t xml:space="preserve">, Ho M, </w:t>
      </w:r>
      <w:proofErr w:type="spellStart"/>
      <w:r w:rsidRPr="00C9386A">
        <w:rPr>
          <w:rFonts w:ascii="Book Antiqua" w:hAnsi="Book Antiqua" w:cs="Book Antiqua"/>
          <w:color w:val="000000" w:themeColor="text1"/>
        </w:rPr>
        <w:t>Hupertz</w:t>
      </w:r>
      <w:proofErr w:type="spellEnd"/>
      <w:r w:rsidRPr="00C9386A">
        <w:rPr>
          <w:rFonts w:ascii="Book Antiqua" w:hAnsi="Book Antiqua" w:cs="Book Antiqua"/>
          <w:color w:val="000000" w:themeColor="text1"/>
        </w:rPr>
        <w:t xml:space="preserve"> V, Avner ED. Survival of childhood polycystic kidney disease following renal transplantation: the impact of advanced hepatobiliary disease. </w:t>
      </w:r>
      <w:proofErr w:type="spellStart"/>
      <w:r w:rsidRPr="00C9386A">
        <w:rPr>
          <w:rFonts w:ascii="Book Antiqua" w:hAnsi="Book Antiqua" w:cs="Book Antiqua"/>
          <w:i/>
          <w:iCs/>
          <w:color w:val="000000" w:themeColor="text1"/>
        </w:rPr>
        <w:t>Pediatr</w:t>
      </w:r>
      <w:proofErr w:type="spellEnd"/>
      <w:r w:rsidRPr="00C9386A">
        <w:rPr>
          <w:rFonts w:ascii="Book Antiqua" w:hAnsi="Book Antiqua" w:cs="Book Antiqua"/>
          <w:i/>
          <w:iCs/>
          <w:color w:val="000000" w:themeColor="text1"/>
        </w:rPr>
        <w:t xml:space="preserve"> Transplant</w:t>
      </w:r>
      <w:r w:rsidRPr="00C9386A">
        <w:rPr>
          <w:rFonts w:ascii="Book Antiqua" w:hAnsi="Book Antiqua" w:cs="Book Antiqua"/>
          <w:color w:val="000000" w:themeColor="text1"/>
        </w:rPr>
        <w:t> 2003; </w:t>
      </w:r>
      <w:r w:rsidRPr="00C9386A">
        <w:rPr>
          <w:rFonts w:ascii="Book Antiqua" w:hAnsi="Book Antiqua" w:cs="Book Antiqua"/>
          <w:b/>
          <w:bCs/>
          <w:color w:val="000000" w:themeColor="text1"/>
        </w:rPr>
        <w:t>7</w:t>
      </w:r>
      <w:r w:rsidRPr="00C9386A">
        <w:rPr>
          <w:rFonts w:ascii="Book Antiqua" w:hAnsi="Book Antiqua" w:cs="Book Antiqua"/>
          <w:color w:val="000000" w:themeColor="text1"/>
        </w:rPr>
        <w:t>: 364-369 [PMID: 14738296 DOI: 10.1016/S1096-2867(03)00071-9]</w:t>
      </w:r>
    </w:p>
    <w:p w14:paraId="5C54D612"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6 </w:t>
      </w:r>
      <w:r w:rsidRPr="00C9386A">
        <w:rPr>
          <w:rFonts w:ascii="Book Antiqua" w:hAnsi="Book Antiqua" w:cs="Book Antiqua"/>
          <w:b/>
          <w:bCs/>
          <w:color w:val="000000" w:themeColor="text1"/>
        </w:rPr>
        <w:t>Goetz M</w:t>
      </w:r>
      <w:r w:rsidRPr="00C9386A">
        <w:rPr>
          <w:rFonts w:ascii="Book Antiqua" w:hAnsi="Book Antiqua" w:cs="Book Antiqua"/>
          <w:color w:val="000000" w:themeColor="text1"/>
        </w:rPr>
        <w:t>, Wang TD. Molecular imaging in gastrointestinal endoscopy. </w:t>
      </w:r>
      <w:r w:rsidRPr="00C9386A">
        <w:rPr>
          <w:rFonts w:ascii="Book Antiqua" w:hAnsi="Book Antiqua" w:cs="Book Antiqua"/>
          <w:i/>
          <w:iCs/>
          <w:color w:val="000000" w:themeColor="text1"/>
        </w:rPr>
        <w:t>Gastroenterology</w:t>
      </w:r>
      <w:r w:rsidRPr="00C9386A">
        <w:rPr>
          <w:rFonts w:ascii="Book Antiqua" w:hAnsi="Book Antiqua" w:cs="Book Antiqua"/>
          <w:color w:val="000000" w:themeColor="text1"/>
        </w:rPr>
        <w:t> 2010; </w:t>
      </w:r>
      <w:r w:rsidRPr="00C9386A">
        <w:rPr>
          <w:rFonts w:ascii="Book Antiqua" w:hAnsi="Book Antiqua" w:cs="Book Antiqua"/>
          <w:b/>
          <w:bCs/>
          <w:color w:val="000000" w:themeColor="text1"/>
        </w:rPr>
        <w:t>138</w:t>
      </w:r>
      <w:r w:rsidRPr="00C9386A">
        <w:rPr>
          <w:rFonts w:ascii="Book Antiqua" w:hAnsi="Book Antiqua" w:cs="Book Antiqua"/>
          <w:color w:val="000000" w:themeColor="text1"/>
        </w:rPr>
        <w:t>: 828-33.e1 [PMID: 20096697 DOI: 10.1053/j.gastro.2010.01.009]</w:t>
      </w:r>
    </w:p>
    <w:p w14:paraId="3DA54848"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7 </w:t>
      </w:r>
      <w:proofErr w:type="spellStart"/>
      <w:r w:rsidRPr="00C9386A">
        <w:rPr>
          <w:rFonts w:ascii="Book Antiqua" w:hAnsi="Book Antiqua" w:cs="Book Antiqua"/>
          <w:b/>
          <w:bCs/>
          <w:color w:val="000000" w:themeColor="text1"/>
        </w:rPr>
        <w:t>Alander</w:t>
      </w:r>
      <w:proofErr w:type="spellEnd"/>
      <w:r w:rsidRPr="00C9386A">
        <w:rPr>
          <w:rFonts w:ascii="Book Antiqua" w:hAnsi="Book Antiqua" w:cs="Book Antiqua"/>
          <w:b/>
          <w:bCs/>
          <w:color w:val="000000" w:themeColor="text1"/>
        </w:rPr>
        <w:t xml:space="preserve"> JT</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Kaartinen</w:t>
      </w:r>
      <w:proofErr w:type="spellEnd"/>
      <w:r w:rsidRPr="00C9386A">
        <w:rPr>
          <w:rFonts w:ascii="Book Antiqua" w:hAnsi="Book Antiqua" w:cs="Book Antiqua"/>
          <w:color w:val="000000" w:themeColor="text1"/>
        </w:rPr>
        <w:t xml:space="preserve"> I, </w:t>
      </w:r>
      <w:proofErr w:type="spellStart"/>
      <w:r w:rsidRPr="00C9386A">
        <w:rPr>
          <w:rFonts w:ascii="Book Antiqua" w:hAnsi="Book Antiqua" w:cs="Book Antiqua"/>
          <w:color w:val="000000" w:themeColor="text1"/>
        </w:rPr>
        <w:t>Laakso</w:t>
      </w:r>
      <w:proofErr w:type="spellEnd"/>
      <w:r w:rsidRPr="00C9386A">
        <w:rPr>
          <w:rFonts w:ascii="Book Antiqua" w:hAnsi="Book Antiqua" w:cs="Book Antiqua"/>
          <w:color w:val="000000" w:themeColor="text1"/>
        </w:rPr>
        <w:t xml:space="preserve"> A, </w:t>
      </w:r>
      <w:proofErr w:type="spellStart"/>
      <w:r w:rsidRPr="00C9386A">
        <w:rPr>
          <w:rFonts w:ascii="Book Antiqua" w:hAnsi="Book Antiqua" w:cs="Book Antiqua"/>
          <w:color w:val="000000" w:themeColor="text1"/>
        </w:rPr>
        <w:t>Pätilä</w:t>
      </w:r>
      <w:proofErr w:type="spellEnd"/>
      <w:r w:rsidRPr="00C9386A">
        <w:rPr>
          <w:rFonts w:ascii="Book Antiqua" w:hAnsi="Book Antiqua" w:cs="Book Antiqua"/>
          <w:color w:val="000000" w:themeColor="text1"/>
        </w:rPr>
        <w:t xml:space="preserve"> T, </w:t>
      </w:r>
      <w:proofErr w:type="spellStart"/>
      <w:r w:rsidRPr="00C9386A">
        <w:rPr>
          <w:rFonts w:ascii="Book Antiqua" w:hAnsi="Book Antiqua" w:cs="Book Antiqua"/>
          <w:color w:val="000000" w:themeColor="text1"/>
        </w:rPr>
        <w:t>Spillmann</w:t>
      </w:r>
      <w:proofErr w:type="spellEnd"/>
      <w:r w:rsidRPr="00C9386A">
        <w:rPr>
          <w:rFonts w:ascii="Book Antiqua" w:hAnsi="Book Antiqua" w:cs="Book Antiqua"/>
          <w:color w:val="000000" w:themeColor="text1"/>
        </w:rPr>
        <w:t xml:space="preserve"> T, </w:t>
      </w:r>
      <w:proofErr w:type="spellStart"/>
      <w:r w:rsidRPr="00C9386A">
        <w:rPr>
          <w:rFonts w:ascii="Book Antiqua" w:hAnsi="Book Antiqua" w:cs="Book Antiqua"/>
          <w:color w:val="000000" w:themeColor="text1"/>
        </w:rPr>
        <w:t>Tuchin</w:t>
      </w:r>
      <w:proofErr w:type="spellEnd"/>
      <w:r w:rsidRPr="00C9386A">
        <w:rPr>
          <w:rFonts w:ascii="Book Antiqua" w:hAnsi="Book Antiqua" w:cs="Book Antiqua"/>
          <w:color w:val="000000" w:themeColor="text1"/>
        </w:rPr>
        <w:t xml:space="preserve"> VV, </w:t>
      </w:r>
      <w:proofErr w:type="spellStart"/>
      <w:r w:rsidRPr="00C9386A">
        <w:rPr>
          <w:rFonts w:ascii="Book Antiqua" w:hAnsi="Book Antiqua" w:cs="Book Antiqua"/>
          <w:color w:val="000000" w:themeColor="text1"/>
        </w:rPr>
        <w:t>Venermo</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Välisuo</w:t>
      </w:r>
      <w:proofErr w:type="spellEnd"/>
      <w:r w:rsidRPr="00C9386A">
        <w:rPr>
          <w:rFonts w:ascii="Book Antiqua" w:hAnsi="Book Antiqua" w:cs="Book Antiqua"/>
          <w:color w:val="000000" w:themeColor="text1"/>
        </w:rPr>
        <w:t xml:space="preserve"> P. A review of indocyanine green fluorescent imaging in surgery. </w:t>
      </w:r>
      <w:proofErr w:type="spellStart"/>
      <w:r w:rsidRPr="00C9386A">
        <w:rPr>
          <w:rFonts w:ascii="Book Antiqua" w:hAnsi="Book Antiqua" w:cs="Book Antiqua"/>
          <w:i/>
          <w:iCs/>
          <w:color w:val="000000" w:themeColor="text1"/>
        </w:rPr>
        <w:t>Int</w:t>
      </w:r>
      <w:proofErr w:type="spellEnd"/>
      <w:r w:rsidRPr="00C9386A">
        <w:rPr>
          <w:rFonts w:ascii="Book Antiqua" w:hAnsi="Book Antiqua" w:cs="Book Antiqua"/>
          <w:i/>
          <w:iCs/>
          <w:color w:val="000000" w:themeColor="text1"/>
        </w:rPr>
        <w:t xml:space="preserve"> J Biomed Imaging</w:t>
      </w:r>
      <w:r w:rsidRPr="00C9386A">
        <w:rPr>
          <w:rFonts w:ascii="Book Antiqua" w:hAnsi="Book Antiqua" w:cs="Book Antiqua"/>
          <w:color w:val="000000" w:themeColor="text1"/>
        </w:rPr>
        <w:t> 2012; </w:t>
      </w:r>
      <w:r w:rsidRPr="00C9386A">
        <w:rPr>
          <w:rFonts w:ascii="Book Antiqua" w:hAnsi="Book Antiqua" w:cs="Book Antiqua"/>
          <w:b/>
          <w:bCs/>
          <w:color w:val="000000" w:themeColor="text1"/>
        </w:rPr>
        <w:t>2012</w:t>
      </w:r>
      <w:r w:rsidRPr="00C9386A">
        <w:rPr>
          <w:rFonts w:ascii="Book Antiqua" w:hAnsi="Book Antiqua" w:cs="Book Antiqua"/>
          <w:color w:val="000000" w:themeColor="text1"/>
        </w:rPr>
        <w:t>: 940585 [PMID: 22577366 DOI: 10.1155/2012/940585]</w:t>
      </w:r>
    </w:p>
    <w:p w14:paraId="08D2C089"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8 </w:t>
      </w:r>
      <w:proofErr w:type="spellStart"/>
      <w:r w:rsidRPr="00C9386A">
        <w:rPr>
          <w:rFonts w:ascii="Book Antiqua" w:hAnsi="Book Antiqua" w:cs="Book Antiqua"/>
          <w:b/>
          <w:bCs/>
          <w:color w:val="000000" w:themeColor="text1"/>
        </w:rPr>
        <w:t>Frangioni</w:t>
      </w:r>
      <w:proofErr w:type="spellEnd"/>
      <w:r w:rsidRPr="00C9386A">
        <w:rPr>
          <w:rFonts w:ascii="Book Antiqua" w:hAnsi="Book Antiqua" w:cs="Book Antiqua"/>
          <w:b/>
          <w:bCs/>
          <w:color w:val="000000" w:themeColor="text1"/>
        </w:rPr>
        <w:t xml:space="preserve"> JV</w:t>
      </w:r>
      <w:r w:rsidRPr="00C9386A">
        <w:rPr>
          <w:rFonts w:ascii="Book Antiqua" w:hAnsi="Book Antiqua" w:cs="Book Antiqua"/>
          <w:color w:val="000000" w:themeColor="text1"/>
        </w:rPr>
        <w:t>. In vivo near-infrared fluorescence imaging. </w:t>
      </w:r>
      <w:proofErr w:type="spellStart"/>
      <w:r w:rsidRPr="00C9386A">
        <w:rPr>
          <w:rFonts w:ascii="Book Antiqua" w:hAnsi="Book Antiqua" w:cs="Book Antiqua"/>
          <w:i/>
          <w:iCs/>
          <w:color w:val="000000" w:themeColor="text1"/>
        </w:rPr>
        <w:t>Curr</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Opin</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Chem</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Biol</w:t>
      </w:r>
      <w:proofErr w:type="spellEnd"/>
      <w:r w:rsidRPr="00C9386A">
        <w:rPr>
          <w:rFonts w:ascii="Book Antiqua" w:hAnsi="Book Antiqua" w:cs="Book Antiqua"/>
          <w:color w:val="000000" w:themeColor="text1"/>
        </w:rPr>
        <w:t> 2003; </w:t>
      </w:r>
      <w:r w:rsidRPr="00C9386A">
        <w:rPr>
          <w:rFonts w:ascii="Book Antiqua" w:hAnsi="Book Antiqua" w:cs="Book Antiqua"/>
          <w:b/>
          <w:bCs/>
          <w:color w:val="000000" w:themeColor="text1"/>
        </w:rPr>
        <w:t>7</w:t>
      </w:r>
      <w:r w:rsidRPr="00C9386A">
        <w:rPr>
          <w:rFonts w:ascii="Book Antiqua" w:hAnsi="Book Antiqua" w:cs="Book Antiqua"/>
          <w:color w:val="000000" w:themeColor="text1"/>
        </w:rPr>
        <w:t>: 626-634 [PMID: 14580568 DOI: 10.1016/j.cbpa.2003.08.007]</w:t>
      </w:r>
    </w:p>
    <w:p w14:paraId="1830FB19"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9 </w:t>
      </w:r>
      <w:r w:rsidRPr="00C9386A">
        <w:rPr>
          <w:rFonts w:ascii="Book Antiqua" w:hAnsi="Book Antiqua" w:cs="Book Antiqua"/>
          <w:b/>
          <w:bCs/>
          <w:color w:val="000000" w:themeColor="text1"/>
        </w:rPr>
        <w:t>Tsai SR</w:t>
      </w:r>
      <w:r w:rsidRPr="00C9386A">
        <w:rPr>
          <w:rFonts w:ascii="Book Antiqua" w:hAnsi="Book Antiqua" w:cs="Book Antiqua"/>
          <w:color w:val="000000" w:themeColor="text1"/>
        </w:rPr>
        <w:t>, Hamblin MR. Biological effects and medical applications of infrared radiation. </w:t>
      </w:r>
      <w:r w:rsidRPr="00C9386A">
        <w:rPr>
          <w:rFonts w:ascii="Book Antiqua" w:hAnsi="Book Antiqua" w:cs="Book Antiqua"/>
          <w:i/>
          <w:iCs/>
          <w:color w:val="000000" w:themeColor="text1"/>
        </w:rPr>
        <w:t xml:space="preserve">J </w:t>
      </w:r>
      <w:proofErr w:type="spellStart"/>
      <w:r w:rsidRPr="00C9386A">
        <w:rPr>
          <w:rFonts w:ascii="Book Antiqua" w:hAnsi="Book Antiqua" w:cs="Book Antiqua"/>
          <w:i/>
          <w:iCs/>
          <w:color w:val="000000" w:themeColor="text1"/>
        </w:rPr>
        <w:t>Photochem</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Photobiol</w:t>
      </w:r>
      <w:proofErr w:type="spellEnd"/>
      <w:r w:rsidRPr="00C9386A">
        <w:rPr>
          <w:rFonts w:ascii="Book Antiqua" w:hAnsi="Book Antiqua" w:cs="Book Antiqua"/>
          <w:i/>
          <w:iCs/>
          <w:color w:val="000000" w:themeColor="text1"/>
        </w:rPr>
        <w:t xml:space="preserve"> B</w:t>
      </w:r>
      <w:r w:rsidRPr="00C9386A">
        <w:rPr>
          <w:rFonts w:ascii="Book Antiqua" w:hAnsi="Book Antiqua" w:cs="Book Antiqua"/>
          <w:color w:val="000000" w:themeColor="text1"/>
        </w:rPr>
        <w:t> 2017; </w:t>
      </w:r>
      <w:r w:rsidRPr="00C9386A">
        <w:rPr>
          <w:rFonts w:ascii="Book Antiqua" w:hAnsi="Book Antiqua" w:cs="Book Antiqua"/>
          <w:b/>
          <w:bCs/>
          <w:color w:val="000000" w:themeColor="text1"/>
        </w:rPr>
        <w:t>170</w:t>
      </w:r>
      <w:r w:rsidRPr="00C9386A">
        <w:rPr>
          <w:rFonts w:ascii="Book Antiqua" w:hAnsi="Book Antiqua" w:cs="Book Antiqua"/>
          <w:color w:val="000000" w:themeColor="text1"/>
        </w:rPr>
        <w:t>: 197-207 [PMID: 28441605 DOI: 10.1016/j.jphotobiol.2017.04.014]</w:t>
      </w:r>
    </w:p>
    <w:p w14:paraId="2A1DB1D2"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lang w:val="da-DK"/>
        </w:rPr>
      </w:pPr>
      <w:r w:rsidRPr="00C9386A">
        <w:rPr>
          <w:rFonts w:ascii="Book Antiqua" w:hAnsi="Book Antiqua" w:cs="Book Antiqua"/>
          <w:color w:val="000000" w:themeColor="text1"/>
        </w:rPr>
        <w:t>10 </w:t>
      </w:r>
      <w:r w:rsidRPr="00C9386A">
        <w:rPr>
          <w:rFonts w:ascii="Book Antiqua" w:hAnsi="Book Antiqua" w:cs="Book Antiqua"/>
          <w:b/>
          <w:bCs/>
          <w:color w:val="000000" w:themeColor="text1"/>
        </w:rPr>
        <w:t>Folkman J</w:t>
      </w:r>
      <w:r w:rsidRPr="00C9386A">
        <w:rPr>
          <w:rFonts w:ascii="Book Antiqua" w:hAnsi="Book Antiqua" w:cs="Book Antiqua"/>
          <w:color w:val="000000" w:themeColor="text1"/>
        </w:rPr>
        <w:t>. Angiogenesis. </w:t>
      </w:r>
      <w:r w:rsidRPr="00C9386A">
        <w:rPr>
          <w:rFonts w:ascii="Book Antiqua" w:hAnsi="Book Antiqua" w:cs="Book Antiqua"/>
          <w:i/>
          <w:iCs/>
          <w:color w:val="000000" w:themeColor="text1"/>
          <w:lang w:val="da-DK"/>
        </w:rPr>
        <w:t>Annu Rev Med</w:t>
      </w:r>
      <w:r w:rsidRPr="00C9386A">
        <w:rPr>
          <w:rFonts w:ascii="Book Antiqua" w:hAnsi="Book Antiqua" w:cs="Book Antiqua"/>
          <w:color w:val="000000" w:themeColor="text1"/>
          <w:lang w:val="da-DK"/>
        </w:rPr>
        <w:t> 2006; </w:t>
      </w:r>
      <w:r w:rsidRPr="00C9386A">
        <w:rPr>
          <w:rFonts w:ascii="Book Antiqua" w:hAnsi="Book Antiqua" w:cs="Book Antiqua"/>
          <w:b/>
          <w:bCs/>
          <w:color w:val="000000" w:themeColor="text1"/>
          <w:lang w:val="da-DK"/>
        </w:rPr>
        <w:t>57</w:t>
      </w:r>
      <w:r w:rsidRPr="00C9386A">
        <w:rPr>
          <w:rFonts w:ascii="Book Antiqua" w:hAnsi="Book Antiqua" w:cs="Book Antiqua"/>
          <w:color w:val="000000" w:themeColor="text1"/>
          <w:lang w:val="da-DK"/>
        </w:rPr>
        <w:t>: 1-18 [PMID: 16409133 DOI: 10.1146/annurev.med.57.121304.131306]</w:t>
      </w:r>
    </w:p>
    <w:p w14:paraId="503B808F"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lang w:val="da-DK"/>
        </w:rPr>
      </w:pPr>
      <w:r w:rsidRPr="00C9386A">
        <w:rPr>
          <w:rFonts w:ascii="Book Antiqua" w:hAnsi="Book Antiqua" w:cs="Book Antiqua"/>
          <w:color w:val="000000" w:themeColor="text1"/>
        </w:rPr>
        <w:t>11 </w:t>
      </w:r>
      <w:r w:rsidRPr="00C9386A">
        <w:rPr>
          <w:rFonts w:ascii="Book Antiqua" w:hAnsi="Book Antiqua" w:cs="Book Antiqua"/>
          <w:b/>
          <w:bCs/>
          <w:color w:val="000000" w:themeColor="text1"/>
        </w:rPr>
        <w:t>Folkman J</w:t>
      </w:r>
      <w:r w:rsidRPr="00C9386A">
        <w:rPr>
          <w:rFonts w:ascii="Book Antiqua" w:hAnsi="Book Antiqua" w:cs="Book Antiqua"/>
          <w:color w:val="000000" w:themeColor="text1"/>
        </w:rPr>
        <w:t>. Tumor angiogenesis: therapeutic implications. </w:t>
      </w:r>
      <w:r w:rsidRPr="00C9386A">
        <w:rPr>
          <w:rFonts w:ascii="Book Antiqua" w:hAnsi="Book Antiqua" w:cs="Book Antiqua"/>
          <w:i/>
          <w:iCs/>
          <w:color w:val="000000" w:themeColor="text1"/>
          <w:lang w:val="da-DK"/>
        </w:rPr>
        <w:t>N Engl J Med</w:t>
      </w:r>
      <w:r w:rsidRPr="00C9386A">
        <w:rPr>
          <w:rFonts w:ascii="Book Antiqua" w:hAnsi="Book Antiqua" w:cs="Book Antiqua"/>
          <w:color w:val="000000" w:themeColor="text1"/>
          <w:lang w:val="da-DK"/>
        </w:rPr>
        <w:t> 1971; </w:t>
      </w:r>
      <w:r w:rsidRPr="00C9386A">
        <w:rPr>
          <w:rFonts w:ascii="Book Antiqua" w:hAnsi="Book Antiqua" w:cs="Book Antiqua"/>
          <w:b/>
          <w:bCs/>
          <w:color w:val="000000" w:themeColor="text1"/>
          <w:lang w:val="da-DK"/>
        </w:rPr>
        <w:t>285</w:t>
      </w:r>
      <w:r w:rsidRPr="00C9386A">
        <w:rPr>
          <w:rFonts w:ascii="Book Antiqua" w:hAnsi="Book Antiqua" w:cs="Book Antiqua"/>
          <w:color w:val="000000" w:themeColor="text1"/>
          <w:lang w:val="da-DK"/>
        </w:rPr>
        <w:t>: 1182-1186 [PMID: 4938153 DOI: 10.1056/NEJM197111182852108]</w:t>
      </w:r>
    </w:p>
    <w:p w14:paraId="15BFBB6E" w14:textId="050EC11B"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12 </w:t>
      </w:r>
      <w:r w:rsidRPr="00C9386A">
        <w:rPr>
          <w:rFonts w:ascii="Book Antiqua" w:hAnsi="Book Antiqua" w:cs="Book Antiqua"/>
          <w:b/>
          <w:bCs/>
          <w:color w:val="000000" w:themeColor="text1"/>
        </w:rPr>
        <w:t xml:space="preserve">Ishihara R, </w:t>
      </w:r>
      <w:proofErr w:type="spellStart"/>
      <w:r w:rsidRPr="00C9386A">
        <w:rPr>
          <w:rFonts w:ascii="Book Antiqua" w:hAnsi="Book Antiqua" w:cs="Book Antiqua"/>
          <w:color w:val="000000" w:themeColor="text1"/>
        </w:rPr>
        <w:t>Uedo</w:t>
      </w:r>
      <w:proofErr w:type="spellEnd"/>
      <w:r w:rsidRPr="00C9386A">
        <w:rPr>
          <w:rFonts w:ascii="Book Antiqua" w:hAnsi="Book Antiqua" w:cs="Book Antiqua"/>
          <w:color w:val="000000" w:themeColor="text1"/>
        </w:rPr>
        <w:t xml:space="preserve"> N, </w:t>
      </w:r>
      <w:proofErr w:type="spellStart"/>
      <w:r w:rsidRPr="00C9386A">
        <w:rPr>
          <w:rFonts w:ascii="Book Antiqua" w:hAnsi="Book Antiqua" w:cs="Book Antiqua"/>
          <w:color w:val="000000" w:themeColor="text1"/>
        </w:rPr>
        <w:t>Iishi</w:t>
      </w:r>
      <w:proofErr w:type="spellEnd"/>
      <w:r w:rsidRPr="00C9386A">
        <w:rPr>
          <w:rFonts w:ascii="Book Antiqua" w:hAnsi="Book Antiqua" w:cs="Book Antiqua"/>
          <w:color w:val="000000" w:themeColor="text1"/>
        </w:rPr>
        <w:t xml:space="preserve"> H, </w:t>
      </w:r>
      <w:proofErr w:type="spellStart"/>
      <w:r w:rsidRPr="00C9386A">
        <w:rPr>
          <w:rFonts w:ascii="Book Antiqua" w:hAnsi="Book Antiqua" w:cs="Book Antiqua"/>
          <w:color w:val="000000" w:themeColor="text1"/>
        </w:rPr>
        <w:t>Ogiyama</w:t>
      </w:r>
      <w:proofErr w:type="spellEnd"/>
      <w:r w:rsidRPr="00C9386A">
        <w:rPr>
          <w:rFonts w:ascii="Book Antiqua" w:hAnsi="Book Antiqua" w:cs="Book Antiqua"/>
          <w:color w:val="000000" w:themeColor="text1"/>
        </w:rPr>
        <w:t xml:space="preserve"> S, Yamada T, </w:t>
      </w:r>
      <w:proofErr w:type="spellStart"/>
      <w:r w:rsidRPr="00C9386A">
        <w:rPr>
          <w:rFonts w:ascii="Book Antiqua" w:hAnsi="Book Antiqua" w:cs="Book Antiqua"/>
          <w:color w:val="000000" w:themeColor="text1"/>
        </w:rPr>
        <w:t>Higashino</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Narahara</w:t>
      </w:r>
      <w:proofErr w:type="spellEnd"/>
      <w:r w:rsidRPr="00C9386A">
        <w:rPr>
          <w:rFonts w:ascii="Book Antiqua" w:hAnsi="Book Antiqua" w:cs="Book Antiqua"/>
          <w:color w:val="000000" w:themeColor="text1"/>
        </w:rPr>
        <w:t xml:space="preserve"> H, Tatsuta M, Iseki K, and Ishiguro S, Recent development and usefulness of infrared endoscopic system for diagnosis of gastric cancer. </w:t>
      </w:r>
      <w:r w:rsidRPr="00C9386A">
        <w:rPr>
          <w:rFonts w:ascii="Book Antiqua" w:hAnsi="Book Antiqua" w:cs="Book Antiqua"/>
          <w:i/>
          <w:iCs/>
          <w:color w:val="000000" w:themeColor="text1"/>
        </w:rPr>
        <w:t>Digest</w:t>
      </w:r>
      <w:r w:rsidR="008E7F83">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Endosc</w:t>
      </w:r>
      <w:proofErr w:type="spellEnd"/>
      <w:r w:rsidR="008E7F83">
        <w:rPr>
          <w:rFonts w:ascii="Book Antiqua" w:hAnsi="Book Antiqua" w:cs="Book Antiqua"/>
          <w:i/>
          <w:iCs/>
          <w:color w:val="000000" w:themeColor="text1"/>
        </w:rPr>
        <w:t xml:space="preserve"> </w:t>
      </w:r>
      <w:r w:rsidRPr="00C9386A">
        <w:rPr>
          <w:rFonts w:ascii="Book Antiqua" w:hAnsi="Book Antiqua" w:cs="Book Antiqua"/>
          <w:color w:val="000000" w:themeColor="text1"/>
        </w:rPr>
        <w:t xml:space="preserve">2006; </w:t>
      </w:r>
      <w:r w:rsidRPr="00C9386A">
        <w:rPr>
          <w:rFonts w:ascii="Book Antiqua" w:hAnsi="Book Antiqua" w:cs="Book Antiqua"/>
          <w:b/>
          <w:bCs/>
          <w:color w:val="000000" w:themeColor="text1"/>
        </w:rPr>
        <w:t>18:</w:t>
      </w:r>
      <w:r w:rsidRPr="00C9386A">
        <w:rPr>
          <w:rFonts w:ascii="Book Antiqua" w:hAnsi="Book Antiqua" w:cs="Book Antiqua"/>
          <w:color w:val="000000" w:themeColor="text1"/>
        </w:rPr>
        <w:t xml:space="preserve"> 45-48 [DOI: 10.1111/j.1443-1661.2006.00567.x]</w:t>
      </w:r>
    </w:p>
    <w:p w14:paraId="77861764"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lastRenderedPageBreak/>
        <w:t>13 </w:t>
      </w:r>
      <w:r w:rsidRPr="00C9386A">
        <w:rPr>
          <w:rFonts w:ascii="Book Antiqua" w:hAnsi="Book Antiqua" w:cs="Book Antiqua"/>
          <w:b/>
          <w:bCs/>
          <w:color w:val="000000" w:themeColor="text1"/>
        </w:rPr>
        <w:t>Liu G,</w:t>
      </w:r>
      <w:r w:rsidRPr="00C9386A">
        <w:rPr>
          <w:rFonts w:ascii="Book Antiqua" w:hAnsi="Book Antiqua" w:cs="Book Antiqua"/>
          <w:color w:val="000000" w:themeColor="text1"/>
        </w:rPr>
        <w:t xml:space="preserve"> Zhao Y. In Vivo Near-Infrared Fluorescence Imaging, Nanotechnology Characterization Tools for Biosensing and Medical Diagnosis. </w:t>
      </w:r>
      <w:r w:rsidRPr="005B4F49">
        <w:rPr>
          <w:rFonts w:ascii="Book Antiqua" w:hAnsi="Book Antiqua" w:cs="Book Antiqua"/>
          <w:iCs/>
          <w:color w:val="000000" w:themeColor="text1"/>
        </w:rPr>
        <w:t>Springer, Berlin, Heidelberg</w:t>
      </w:r>
      <w:r w:rsidRPr="00C9386A">
        <w:rPr>
          <w:rFonts w:ascii="Book Antiqua" w:hAnsi="Book Antiqua" w:cs="Book Antiqua"/>
          <w:color w:val="000000" w:themeColor="text1"/>
        </w:rPr>
        <w:t xml:space="preserve"> 2018: 67-125 [DOI: 10.1007/978-3-662-56333-5_2]</w:t>
      </w:r>
    </w:p>
    <w:p w14:paraId="6E3C4C83"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14 </w:t>
      </w:r>
      <w:r w:rsidRPr="00C9386A">
        <w:rPr>
          <w:rFonts w:ascii="Book Antiqua" w:hAnsi="Book Antiqua" w:cs="Book Antiqua"/>
          <w:b/>
          <w:bCs/>
          <w:color w:val="000000" w:themeColor="text1"/>
        </w:rPr>
        <w:t>Lamberts LE</w:t>
      </w:r>
      <w:r w:rsidRPr="00C9386A">
        <w:rPr>
          <w:rFonts w:ascii="Book Antiqua" w:hAnsi="Book Antiqua" w:cs="Book Antiqua"/>
          <w:color w:val="000000" w:themeColor="text1"/>
        </w:rPr>
        <w:t xml:space="preserve">, Koch M, de Jong JS, Adams ALL, Glatz J, </w:t>
      </w:r>
      <w:proofErr w:type="spellStart"/>
      <w:r w:rsidRPr="00C9386A">
        <w:rPr>
          <w:rFonts w:ascii="Book Antiqua" w:hAnsi="Book Antiqua" w:cs="Book Antiqua"/>
          <w:color w:val="000000" w:themeColor="text1"/>
        </w:rPr>
        <w:t>Kranendonk</w:t>
      </w:r>
      <w:proofErr w:type="spellEnd"/>
      <w:r w:rsidRPr="00C9386A">
        <w:rPr>
          <w:rFonts w:ascii="Book Antiqua" w:hAnsi="Book Antiqua" w:cs="Book Antiqua"/>
          <w:color w:val="000000" w:themeColor="text1"/>
        </w:rPr>
        <w:t xml:space="preserve"> MEG, </w:t>
      </w:r>
      <w:proofErr w:type="spellStart"/>
      <w:r w:rsidRPr="00C9386A">
        <w:rPr>
          <w:rFonts w:ascii="Book Antiqua" w:hAnsi="Book Antiqua" w:cs="Book Antiqua"/>
          <w:color w:val="000000" w:themeColor="text1"/>
        </w:rPr>
        <w:t>Terwisscha</w:t>
      </w:r>
      <w:proofErr w:type="spellEnd"/>
      <w:r w:rsidRPr="00C9386A">
        <w:rPr>
          <w:rFonts w:ascii="Book Antiqua" w:hAnsi="Book Antiqua" w:cs="Book Antiqua"/>
          <w:color w:val="000000" w:themeColor="text1"/>
        </w:rPr>
        <w:t xml:space="preserve"> van </w:t>
      </w:r>
      <w:proofErr w:type="spellStart"/>
      <w:r w:rsidRPr="00C9386A">
        <w:rPr>
          <w:rFonts w:ascii="Book Antiqua" w:hAnsi="Book Antiqua" w:cs="Book Antiqua"/>
          <w:color w:val="000000" w:themeColor="text1"/>
        </w:rPr>
        <w:t>Scheltinga</w:t>
      </w:r>
      <w:proofErr w:type="spellEnd"/>
      <w:r w:rsidRPr="00C9386A">
        <w:rPr>
          <w:rFonts w:ascii="Book Antiqua" w:hAnsi="Book Antiqua" w:cs="Book Antiqua"/>
          <w:color w:val="000000" w:themeColor="text1"/>
        </w:rPr>
        <w:t xml:space="preserve"> AGT, Jansen L, de Vries J, </w:t>
      </w:r>
      <w:proofErr w:type="spellStart"/>
      <w:r w:rsidRPr="00C9386A">
        <w:rPr>
          <w:rFonts w:ascii="Book Antiqua" w:hAnsi="Book Antiqua" w:cs="Book Antiqua"/>
          <w:color w:val="000000" w:themeColor="text1"/>
        </w:rPr>
        <w:t>Lub</w:t>
      </w:r>
      <w:proofErr w:type="spellEnd"/>
      <w:r w:rsidRPr="00C9386A">
        <w:rPr>
          <w:rFonts w:ascii="Book Antiqua" w:hAnsi="Book Antiqua" w:cs="Book Antiqua"/>
          <w:color w:val="000000" w:themeColor="text1"/>
        </w:rPr>
        <w:t xml:space="preserve">-de </w:t>
      </w:r>
      <w:proofErr w:type="spellStart"/>
      <w:r w:rsidRPr="00C9386A">
        <w:rPr>
          <w:rFonts w:ascii="Book Antiqua" w:hAnsi="Book Antiqua" w:cs="Book Antiqua"/>
          <w:color w:val="000000" w:themeColor="text1"/>
        </w:rPr>
        <w:t>Hooge</w:t>
      </w:r>
      <w:proofErr w:type="spellEnd"/>
      <w:r w:rsidRPr="00C9386A">
        <w:rPr>
          <w:rFonts w:ascii="Book Antiqua" w:hAnsi="Book Antiqua" w:cs="Book Antiqua"/>
          <w:color w:val="000000" w:themeColor="text1"/>
        </w:rPr>
        <w:t xml:space="preserve"> MN, </w:t>
      </w:r>
      <w:proofErr w:type="spellStart"/>
      <w:r w:rsidRPr="00C9386A">
        <w:rPr>
          <w:rFonts w:ascii="Book Antiqua" w:hAnsi="Book Antiqua" w:cs="Book Antiqua"/>
          <w:color w:val="000000" w:themeColor="text1"/>
        </w:rPr>
        <w:t>Schröder</w:t>
      </w:r>
      <w:proofErr w:type="spellEnd"/>
      <w:r w:rsidRPr="00C9386A">
        <w:rPr>
          <w:rFonts w:ascii="Book Antiqua" w:hAnsi="Book Antiqua" w:cs="Book Antiqua"/>
          <w:color w:val="000000" w:themeColor="text1"/>
        </w:rPr>
        <w:t xml:space="preserve"> CP, </w:t>
      </w:r>
      <w:proofErr w:type="spellStart"/>
      <w:r w:rsidRPr="00C9386A">
        <w:rPr>
          <w:rFonts w:ascii="Book Antiqua" w:hAnsi="Book Antiqua" w:cs="Book Antiqua"/>
          <w:color w:val="000000" w:themeColor="text1"/>
        </w:rPr>
        <w:t>Jorritsma</w:t>
      </w:r>
      <w:proofErr w:type="spellEnd"/>
      <w:r w:rsidRPr="00C9386A">
        <w:rPr>
          <w:rFonts w:ascii="Book Antiqua" w:hAnsi="Book Antiqua" w:cs="Book Antiqua"/>
          <w:color w:val="000000" w:themeColor="text1"/>
        </w:rPr>
        <w:t xml:space="preserve">-Smit A, </w:t>
      </w:r>
      <w:proofErr w:type="spellStart"/>
      <w:r w:rsidRPr="00C9386A">
        <w:rPr>
          <w:rFonts w:ascii="Book Antiqua" w:hAnsi="Book Antiqua" w:cs="Book Antiqua"/>
          <w:color w:val="000000" w:themeColor="text1"/>
        </w:rPr>
        <w:t>Linssen</w:t>
      </w:r>
      <w:proofErr w:type="spellEnd"/>
      <w:r w:rsidRPr="00C9386A">
        <w:rPr>
          <w:rFonts w:ascii="Book Antiqua" w:hAnsi="Book Antiqua" w:cs="Book Antiqua"/>
          <w:color w:val="000000" w:themeColor="text1"/>
        </w:rPr>
        <w:t xml:space="preserve"> MD, de Boer E, van der </w:t>
      </w:r>
      <w:proofErr w:type="spellStart"/>
      <w:r w:rsidRPr="00C9386A">
        <w:rPr>
          <w:rFonts w:ascii="Book Antiqua" w:hAnsi="Book Antiqua" w:cs="Book Antiqua"/>
          <w:color w:val="000000" w:themeColor="text1"/>
        </w:rPr>
        <w:t>Vegt</w:t>
      </w:r>
      <w:proofErr w:type="spellEnd"/>
      <w:r w:rsidRPr="00C9386A">
        <w:rPr>
          <w:rFonts w:ascii="Book Antiqua" w:hAnsi="Book Antiqua" w:cs="Book Antiqua"/>
          <w:color w:val="000000" w:themeColor="text1"/>
        </w:rPr>
        <w:t xml:space="preserve"> B, </w:t>
      </w:r>
      <w:proofErr w:type="spellStart"/>
      <w:r w:rsidRPr="00C9386A">
        <w:rPr>
          <w:rFonts w:ascii="Book Antiqua" w:hAnsi="Book Antiqua" w:cs="Book Antiqua"/>
          <w:color w:val="000000" w:themeColor="text1"/>
        </w:rPr>
        <w:t>Nagengast</w:t>
      </w:r>
      <w:proofErr w:type="spellEnd"/>
      <w:r w:rsidRPr="00C9386A">
        <w:rPr>
          <w:rFonts w:ascii="Book Antiqua" w:hAnsi="Book Antiqua" w:cs="Book Antiqua"/>
          <w:color w:val="000000" w:themeColor="text1"/>
        </w:rPr>
        <w:t xml:space="preserve"> WB, Elias SG, Oliveira S, </w:t>
      </w:r>
      <w:proofErr w:type="spellStart"/>
      <w:r w:rsidRPr="00C9386A">
        <w:rPr>
          <w:rFonts w:ascii="Book Antiqua" w:hAnsi="Book Antiqua" w:cs="Book Antiqua"/>
          <w:color w:val="000000" w:themeColor="text1"/>
        </w:rPr>
        <w:t>Witkamp</w:t>
      </w:r>
      <w:proofErr w:type="spellEnd"/>
      <w:r w:rsidRPr="00C9386A">
        <w:rPr>
          <w:rFonts w:ascii="Book Antiqua" w:hAnsi="Book Antiqua" w:cs="Book Antiqua"/>
          <w:color w:val="000000" w:themeColor="text1"/>
        </w:rPr>
        <w:t xml:space="preserve"> AJ, Mali WPTM, Van der Wall E, van </w:t>
      </w:r>
      <w:proofErr w:type="spellStart"/>
      <w:r w:rsidRPr="00C9386A">
        <w:rPr>
          <w:rFonts w:ascii="Book Antiqua" w:hAnsi="Book Antiqua" w:cs="Book Antiqua"/>
          <w:color w:val="000000" w:themeColor="text1"/>
        </w:rPr>
        <w:t>Diest</w:t>
      </w:r>
      <w:proofErr w:type="spellEnd"/>
      <w:r w:rsidRPr="00C9386A">
        <w:rPr>
          <w:rFonts w:ascii="Book Antiqua" w:hAnsi="Book Antiqua" w:cs="Book Antiqua"/>
          <w:color w:val="000000" w:themeColor="text1"/>
        </w:rPr>
        <w:t xml:space="preserve"> PJ, de Vries EGE, </w:t>
      </w:r>
      <w:proofErr w:type="spellStart"/>
      <w:r w:rsidRPr="00C9386A">
        <w:rPr>
          <w:rFonts w:ascii="Book Antiqua" w:hAnsi="Book Antiqua" w:cs="Book Antiqua"/>
          <w:color w:val="000000" w:themeColor="text1"/>
        </w:rPr>
        <w:t>Ntziachristos</w:t>
      </w:r>
      <w:proofErr w:type="spellEnd"/>
      <w:r w:rsidRPr="00C9386A">
        <w:rPr>
          <w:rFonts w:ascii="Book Antiqua" w:hAnsi="Book Antiqua" w:cs="Book Antiqua"/>
          <w:color w:val="000000" w:themeColor="text1"/>
        </w:rPr>
        <w:t xml:space="preserve"> V, van Dam GM. Tumor-Specific Uptake of Fluorescent Bevacizumab-IRDye800CW </w:t>
      </w:r>
      <w:proofErr w:type="spellStart"/>
      <w:r w:rsidRPr="00C9386A">
        <w:rPr>
          <w:rFonts w:ascii="Book Antiqua" w:hAnsi="Book Antiqua" w:cs="Book Antiqua"/>
          <w:color w:val="000000" w:themeColor="text1"/>
        </w:rPr>
        <w:t>Microdosing</w:t>
      </w:r>
      <w:proofErr w:type="spellEnd"/>
      <w:r w:rsidRPr="00C9386A">
        <w:rPr>
          <w:rFonts w:ascii="Book Antiqua" w:hAnsi="Book Antiqua" w:cs="Book Antiqua"/>
          <w:color w:val="000000" w:themeColor="text1"/>
        </w:rPr>
        <w:t xml:space="preserve"> in Patients with Primary Breast Cancer: A Phase I Feasibility Study. </w:t>
      </w:r>
      <w:proofErr w:type="spellStart"/>
      <w:r w:rsidRPr="00C9386A">
        <w:rPr>
          <w:rFonts w:ascii="Book Antiqua" w:hAnsi="Book Antiqua" w:cs="Book Antiqua"/>
          <w:i/>
          <w:iCs/>
          <w:color w:val="000000" w:themeColor="text1"/>
        </w:rPr>
        <w:t>Clin</w:t>
      </w:r>
      <w:proofErr w:type="spellEnd"/>
      <w:r w:rsidRPr="00C9386A">
        <w:rPr>
          <w:rFonts w:ascii="Book Antiqua" w:hAnsi="Book Antiqua" w:cs="Book Antiqua"/>
          <w:i/>
          <w:iCs/>
          <w:color w:val="000000" w:themeColor="text1"/>
        </w:rPr>
        <w:t xml:space="preserve"> Cancer Res</w:t>
      </w:r>
      <w:r w:rsidRPr="00C9386A">
        <w:rPr>
          <w:rFonts w:ascii="Book Antiqua" w:hAnsi="Book Antiqua" w:cs="Book Antiqua"/>
          <w:color w:val="000000" w:themeColor="text1"/>
        </w:rPr>
        <w:t> 2017; </w:t>
      </w:r>
      <w:r w:rsidRPr="00C9386A">
        <w:rPr>
          <w:rFonts w:ascii="Book Antiqua" w:hAnsi="Book Antiqua" w:cs="Book Antiqua"/>
          <w:b/>
          <w:bCs/>
          <w:color w:val="000000" w:themeColor="text1"/>
        </w:rPr>
        <w:t>23</w:t>
      </w:r>
      <w:r w:rsidRPr="00C9386A">
        <w:rPr>
          <w:rFonts w:ascii="Book Antiqua" w:hAnsi="Book Antiqua" w:cs="Book Antiqua"/>
          <w:color w:val="000000" w:themeColor="text1"/>
        </w:rPr>
        <w:t>: 2730-2741 [PMID: 28119364 DOI: 10.1158/1078-0432.CCR-16-0437]</w:t>
      </w:r>
    </w:p>
    <w:p w14:paraId="1A504117" w14:textId="66424E84"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15 </w:t>
      </w:r>
      <w:proofErr w:type="spellStart"/>
      <w:r w:rsidRPr="00C9386A">
        <w:rPr>
          <w:rFonts w:ascii="Book Antiqua" w:hAnsi="Book Antiqua" w:cs="Book Antiqua"/>
          <w:b/>
          <w:bCs/>
          <w:color w:val="000000" w:themeColor="text1"/>
        </w:rPr>
        <w:t>Hartmans</w:t>
      </w:r>
      <w:proofErr w:type="spellEnd"/>
      <w:r w:rsidRPr="00C9386A">
        <w:rPr>
          <w:rFonts w:ascii="Book Antiqua" w:hAnsi="Book Antiqua" w:cs="Book Antiqua"/>
          <w:b/>
          <w:bCs/>
          <w:color w:val="000000" w:themeColor="text1"/>
        </w:rPr>
        <w:t xml:space="preserve"> E</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Tjalma</w:t>
      </w:r>
      <w:proofErr w:type="spellEnd"/>
      <w:r w:rsidRPr="00C9386A">
        <w:rPr>
          <w:rFonts w:ascii="Book Antiqua" w:hAnsi="Book Antiqua" w:cs="Book Antiqua"/>
          <w:color w:val="000000" w:themeColor="text1"/>
        </w:rPr>
        <w:t xml:space="preserve"> JJJ, </w:t>
      </w:r>
      <w:proofErr w:type="spellStart"/>
      <w:r w:rsidRPr="00C9386A">
        <w:rPr>
          <w:rFonts w:ascii="Book Antiqua" w:hAnsi="Book Antiqua" w:cs="Book Antiqua"/>
          <w:color w:val="000000" w:themeColor="text1"/>
        </w:rPr>
        <w:t>Linssen</w:t>
      </w:r>
      <w:proofErr w:type="spellEnd"/>
      <w:r w:rsidRPr="00C9386A">
        <w:rPr>
          <w:rFonts w:ascii="Book Antiqua" w:hAnsi="Book Antiqua" w:cs="Book Antiqua"/>
          <w:color w:val="000000" w:themeColor="text1"/>
        </w:rPr>
        <w:t xml:space="preserve"> MD, Allende PBG, Koller M, </w:t>
      </w:r>
      <w:proofErr w:type="spellStart"/>
      <w:r w:rsidRPr="00C9386A">
        <w:rPr>
          <w:rFonts w:ascii="Book Antiqua" w:hAnsi="Book Antiqua" w:cs="Book Antiqua"/>
          <w:color w:val="000000" w:themeColor="text1"/>
        </w:rPr>
        <w:t>Jorritsma</w:t>
      </w:r>
      <w:proofErr w:type="spellEnd"/>
      <w:r w:rsidRPr="00C9386A">
        <w:rPr>
          <w:rFonts w:ascii="Book Antiqua" w:hAnsi="Book Antiqua" w:cs="Book Antiqua"/>
          <w:color w:val="000000" w:themeColor="text1"/>
        </w:rPr>
        <w:t xml:space="preserve">-Smit A, Nery MESO, Elias SG, </w:t>
      </w:r>
      <w:proofErr w:type="spellStart"/>
      <w:r w:rsidRPr="00C9386A">
        <w:rPr>
          <w:rFonts w:ascii="Book Antiqua" w:hAnsi="Book Antiqua" w:cs="Book Antiqua"/>
          <w:color w:val="000000" w:themeColor="text1"/>
        </w:rPr>
        <w:t>Karrenbeld</w:t>
      </w:r>
      <w:proofErr w:type="spellEnd"/>
      <w:r w:rsidRPr="00C9386A">
        <w:rPr>
          <w:rFonts w:ascii="Book Antiqua" w:hAnsi="Book Antiqua" w:cs="Book Antiqua"/>
          <w:color w:val="000000" w:themeColor="text1"/>
        </w:rPr>
        <w:t xml:space="preserve"> A, de Vries EGE, </w:t>
      </w:r>
      <w:proofErr w:type="spellStart"/>
      <w:r w:rsidRPr="00C9386A">
        <w:rPr>
          <w:rFonts w:ascii="Book Antiqua" w:hAnsi="Book Antiqua" w:cs="Book Antiqua"/>
          <w:color w:val="000000" w:themeColor="text1"/>
        </w:rPr>
        <w:t>Kleibeuker</w:t>
      </w:r>
      <w:proofErr w:type="spellEnd"/>
      <w:r w:rsidRPr="00C9386A">
        <w:rPr>
          <w:rFonts w:ascii="Book Antiqua" w:hAnsi="Book Antiqua" w:cs="Book Antiqua"/>
          <w:color w:val="000000" w:themeColor="text1"/>
        </w:rPr>
        <w:t xml:space="preserve"> JH, van Dam GM, Robinson DJ, </w:t>
      </w:r>
      <w:proofErr w:type="spellStart"/>
      <w:r w:rsidRPr="00C9386A">
        <w:rPr>
          <w:rFonts w:ascii="Book Antiqua" w:hAnsi="Book Antiqua" w:cs="Book Antiqua"/>
          <w:color w:val="000000" w:themeColor="text1"/>
        </w:rPr>
        <w:t>Ntziachristos</w:t>
      </w:r>
      <w:proofErr w:type="spellEnd"/>
      <w:r w:rsidRPr="00C9386A">
        <w:rPr>
          <w:rFonts w:ascii="Book Antiqua" w:hAnsi="Book Antiqua" w:cs="Book Antiqua"/>
          <w:color w:val="000000" w:themeColor="text1"/>
        </w:rPr>
        <w:t xml:space="preserve"> V, </w:t>
      </w:r>
      <w:proofErr w:type="spellStart"/>
      <w:r w:rsidRPr="00C9386A">
        <w:rPr>
          <w:rFonts w:ascii="Book Antiqua" w:hAnsi="Book Antiqua" w:cs="Book Antiqua"/>
          <w:color w:val="000000" w:themeColor="text1"/>
        </w:rPr>
        <w:t>Nagengast</w:t>
      </w:r>
      <w:proofErr w:type="spellEnd"/>
      <w:r w:rsidRPr="00C9386A">
        <w:rPr>
          <w:rFonts w:ascii="Book Antiqua" w:hAnsi="Book Antiqua" w:cs="Book Antiqua"/>
          <w:color w:val="000000" w:themeColor="text1"/>
        </w:rPr>
        <w:t xml:space="preserve"> WB. Potential Red-Flag Identification of Colorectal Adenomas with Wide-Field Fluorescence Molecular Endoscopy. </w:t>
      </w:r>
      <w:proofErr w:type="spellStart"/>
      <w:r w:rsidRPr="00C9386A">
        <w:rPr>
          <w:rFonts w:ascii="Book Antiqua" w:hAnsi="Book Antiqua" w:cs="Book Antiqua"/>
          <w:i/>
          <w:iCs/>
          <w:color w:val="000000" w:themeColor="text1"/>
        </w:rPr>
        <w:t>Theranostics</w:t>
      </w:r>
      <w:proofErr w:type="spellEnd"/>
      <w:r w:rsidR="00860A71">
        <w:rPr>
          <w:rFonts w:ascii="Book Antiqua" w:hAnsi="Book Antiqua" w:cs="Book Antiqua"/>
          <w:color w:val="000000" w:themeColor="text1"/>
        </w:rPr>
        <w:t xml:space="preserve"> </w:t>
      </w:r>
      <w:r w:rsidRPr="00C9386A">
        <w:rPr>
          <w:rFonts w:ascii="Book Antiqua" w:hAnsi="Book Antiqua" w:cs="Book Antiqua"/>
          <w:color w:val="000000" w:themeColor="text1"/>
        </w:rPr>
        <w:t>2018;</w:t>
      </w:r>
      <w:r w:rsidR="00860A71">
        <w:rPr>
          <w:rFonts w:ascii="Book Antiqua" w:hAnsi="Book Antiqua" w:cs="Book Antiqua"/>
          <w:color w:val="000000" w:themeColor="text1"/>
        </w:rPr>
        <w:t xml:space="preserve"> </w:t>
      </w:r>
      <w:r w:rsidRPr="00C9386A">
        <w:rPr>
          <w:rFonts w:ascii="Book Antiqua" w:hAnsi="Book Antiqua" w:cs="Book Antiqua"/>
          <w:b/>
          <w:bCs/>
          <w:color w:val="000000" w:themeColor="text1"/>
        </w:rPr>
        <w:t>8</w:t>
      </w:r>
      <w:r w:rsidRPr="00C9386A">
        <w:rPr>
          <w:rFonts w:ascii="Book Antiqua" w:hAnsi="Book Antiqua" w:cs="Book Antiqua"/>
          <w:color w:val="000000" w:themeColor="text1"/>
        </w:rPr>
        <w:t>: 1458-1467 [PMID: 29556334 DOI: 10.7150/thno.22033]</w:t>
      </w:r>
    </w:p>
    <w:p w14:paraId="13DDE0CE"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16 </w:t>
      </w:r>
      <w:proofErr w:type="spellStart"/>
      <w:r w:rsidRPr="00C9386A">
        <w:rPr>
          <w:rFonts w:ascii="Book Antiqua" w:hAnsi="Book Antiqua" w:cs="Book Antiqua"/>
          <w:b/>
          <w:bCs/>
          <w:color w:val="000000" w:themeColor="text1"/>
        </w:rPr>
        <w:t>Liberati</w:t>
      </w:r>
      <w:proofErr w:type="spellEnd"/>
      <w:r w:rsidRPr="00C9386A">
        <w:rPr>
          <w:rFonts w:ascii="Book Antiqua" w:hAnsi="Book Antiqua" w:cs="Book Antiqua"/>
          <w:b/>
          <w:bCs/>
          <w:color w:val="000000" w:themeColor="text1"/>
        </w:rPr>
        <w:t xml:space="preserve"> A</w:t>
      </w:r>
      <w:r w:rsidRPr="00C9386A">
        <w:rPr>
          <w:rFonts w:ascii="Book Antiqua" w:hAnsi="Book Antiqua" w:cs="Book Antiqua"/>
          <w:color w:val="000000" w:themeColor="text1"/>
        </w:rPr>
        <w:t xml:space="preserve">, Altman DG, </w:t>
      </w:r>
      <w:proofErr w:type="spellStart"/>
      <w:r w:rsidRPr="00C9386A">
        <w:rPr>
          <w:rFonts w:ascii="Book Antiqua" w:hAnsi="Book Antiqua" w:cs="Book Antiqua"/>
          <w:color w:val="000000" w:themeColor="text1"/>
        </w:rPr>
        <w:t>Tetzlaff</w:t>
      </w:r>
      <w:proofErr w:type="spellEnd"/>
      <w:r w:rsidRPr="00C9386A">
        <w:rPr>
          <w:rFonts w:ascii="Book Antiqua" w:hAnsi="Book Antiqua" w:cs="Book Antiqua"/>
          <w:color w:val="000000" w:themeColor="text1"/>
        </w:rPr>
        <w:t xml:space="preserve"> J, Mulrow C, </w:t>
      </w:r>
      <w:proofErr w:type="spellStart"/>
      <w:r w:rsidRPr="00C9386A">
        <w:rPr>
          <w:rFonts w:ascii="Book Antiqua" w:hAnsi="Book Antiqua" w:cs="Book Antiqua"/>
          <w:color w:val="000000" w:themeColor="text1"/>
        </w:rPr>
        <w:t>Gøtzsche</w:t>
      </w:r>
      <w:proofErr w:type="spellEnd"/>
      <w:r w:rsidRPr="00C9386A">
        <w:rPr>
          <w:rFonts w:ascii="Book Antiqua" w:hAnsi="Book Antiqua" w:cs="Book Antiqua"/>
          <w:color w:val="000000" w:themeColor="text1"/>
        </w:rPr>
        <w:t xml:space="preserve"> PC, Ioannidis JP, Clarke M, Devereaux PJ, </w:t>
      </w:r>
      <w:proofErr w:type="spellStart"/>
      <w:r w:rsidRPr="00C9386A">
        <w:rPr>
          <w:rFonts w:ascii="Book Antiqua" w:hAnsi="Book Antiqua" w:cs="Book Antiqua"/>
          <w:color w:val="000000" w:themeColor="text1"/>
        </w:rPr>
        <w:t>Kleijnen</w:t>
      </w:r>
      <w:proofErr w:type="spellEnd"/>
      <w:r w:rsidRPr="00C9386A">
        <w:rPr>
          <w:rFonts w:ascii="Book Antiqua" w:hAnsi="Book Antiqua" w:cs="Book Antiqua"/>
          <w:color w:val="000000" w:themeColor="text1"/>
        </w:rPr>
        <w:t xml:space="preserve"> J, Moher D. The PRISMA statement for reporting systematic reviews and meta-analyses of studies that evaluate health care interventions: explanation and elaboration. </w:t>
      </w:r>
      <w:r w:rsidRPr="00C9386A">
        <w:rPr>
          <w:rFonts w:ascii="Book Antiqua" w:hAnsi="Book Antiqua" w:cs="Book Antiqua"/>
          <w:i/>
          <w:iCs/>
          <w:color w:val="000000" w:themeColor="text1"/>
        </w:rPr>
        <w:t xml:space="preserve">J </w:t>
      </w:r>
      <w:proofErr w:type="spellStart"/>
      <w:r w:rsidRPr="00C9386A">
        <w:rPr>
          <w:rFonts w:ascii="Book Antiqua" w:hAnsi="Book Antiqua" w:cs="Book Antiqua"/>
          <w:i/>
          <w:iCs/>
          <w:color w:val="000000" w:themeColor="text1"/>
        </w:rPr>
        <w:t>Clin</w:t>
      </w:r>
      <w:proofErr w:type="spellEnd"/>
      <w:r w:rsidRPr="00C9386A">
        <w:rPr>
          <w:rFonts w:ascii="Book Antiqua" w:hAnsi="Book Antiqua" w:cs="Book Antiqua"/>
          <w:i/>
          <w:iCs/>
          <w:color w:val="000000" w:themeColor="text1"/>
        </w:rPr>
        <w:t xml:space="preserve"> Epidemiol</w:t>
      </w:r>
      <w:r w:rsidRPr="00C9386A">
        <w:rPr>
          <w:rFonts w:ascii="Book Antiqua" w:hAnsi="Book Antiqua" w:cs="Book Antiqua"/>
          <w:color w:val="000000" w:themeColor="text1"/>
        </w:rPr>
        <w:t> 2009; </w:t>
      </w:r>
      <w:r w:rsidRPr="00C9386A">
        <w:rPr>
          <w:rFonts w:ascii="Book Antiqua" w:hAnsi="Book Antiqua" w:cs="Book Antiqua"/>
          <w:b/>
          <w:bCs/>
          <w:color w:val="000000" w:themeColor="text1"/>
        </w:rPr>
        <w:t>62</w:t>
      </w:r>
      <w:r w:rsidRPr="00C9386A">
        <w:rPr>
          <w:rFonts w:ascii="Book Antiqua" w:hAnsi="Book Antiqua" w:cs="Book Antiqua"/>
          <w:color w:val="000000" w:themeColor="text1"/>
        </w:rPr>
        <w:t>: e1-34 [PMID: 19631507 DOI: 10.1016/j.jclinepi.2009.06.006]</w:t>
      </w:r>
    </w:p>
    <w:p w14:paraId="42060352" w14:textId="0806CE6D"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highlight w:val="yellow"/>
        </w:rPr>
      </w:pPr>
      <w:r w:rsidRPr="00C9386A">
        <w:rPr>
          <w:rFonts w:ascii="Book Antiqua" w:hAnsi="Book Antiqua" w:cs="Book Antiqua"/>
          <w:color w:val="000000" w:themeColor="text1"/>
          <w:highlight w:val="yellow"/>
        </w:rPr>
        <w:t xml:space="preserve">17 </w:t>
      </w:r>
      <w:r w:rsidR="00C27739" w:rsidRPr="00C27739">
        <w:rPr>
          <w:rFonts w:ascii="Book Antiqua" w:hAnsi="Book Antiqua" w:cs="Book Antiqua"/>
          <w:b/>
          <w:color w:val="000000" w:themeColor="text1"/>
          <w:highlight w:val="yellow"/>
        </w:rPr>
        <w:t>National Institute for Health Research</w:t>
      </w:r>
      <w:r w:rsidR="00C27739" w:rsidRPr="00C9386A">
        <w:rPr>
          <w:rFonts w:ascii="Book Antiqua" w:hAnsi="Book Antiqua" w:cs="Book Antiqua"/>
          <w:color w:val="000000" w:themeColor="text1"/>
          <w:highlight w:val="yellow"/>
        </w:rPr>
        <w:t xml:space="preserve">. </w:t>
      </w:r>
      <w:r w:rsidRPr="00C9386A">
        <w:rPr>
          <w:rFonts w:ascii="Book Antiqua" w:hAnsi="Book Antiqua" w:cs="Book Antiqua"/>
          <w:color w:val="000000" w:themeColor="text1"/>
          <w:highlight w:val="yellow"/>
        </w:rPr>
        <w:t xml:space="preserve">PROSPERO: International prospective register of systematic reviews. </w:t>
      </w:r>
      <w:r w:rsidR="00C27739">
        <w:rPr>
          <w:rFonts w:ascii="Book Antiqua" w:hAnsi="Book Antiqua" w:cs="Book Antiqua"/>
          <w:color w:val="000000" w:themeColor="text1"/>
          <w:highlight w:val="yellow"/>
        </w:rPr>
        <w:t>[</w:t>
      </w:r>
      <w:r w:rsidRPr="00C9386A">
        <w:rPr>
          <w:rFonts w:ascii="Book Antiqua" w:hAnsi="Book Antiqua" w:cs="Book Antiqua"/>
          <w:color w:val="000000" w:themeColor="text1"/>
          <w:highlight w:val="yellow"/>
        </w:rPr>
        <w:t>Assessed August 2019</w:t>
      </w:r>
      <w:r w:rsidR="00C27739">
        <w:rPr>
          <w:rFonts w:ascii="Book Antiqua" w:hAnsi="Book Antiqua" w:cs="Book Antiqua"/>
          <w:color w:val="000000" w:themeColor="text1"/>
          <w:highlight w:val="yellow"/>
        </w:rPr>
        <w:t>].</w:t>
      </w:r>
      <w:r w:rsidRPr="00C9386A">
        <w:rPr>
          <w:rFonts w:ascii="Book Antiqua" w:hAnsi="Book Antiqua" w:cs="Book Antiqua"/>
          <w:color w:val="000000" w:themeColor="text1"/>
          <w:highlight w:val="yellow"/>
        </w:rPr>
        <w:t xml:space="preserve"> </w:t>
      </w:r>
      <w:r w:rsidR="00C27739" w:rsidRPr="00C9386A">
        <w:rPr>
          <w:rFonts w:ascii="Book Antiqua" w:hAnsi="Book Antiqua" w:cs="Book Antiqua"/>
          <w:color w:val="000000" w:themeColor="text1"/>
          <w:highlight w:val="yellow"/>
        </w:rPr>
        <w:t>Available</w:t>
      </w:r>
      <w:r w:rsidRPr="00C9386A">
        <w:rPr>
          <w:rFonts w:ascii="Book Antiqua" w:hAnsi="Book Antiqua" w:cs="Book Antiqua"/>
          <w:color w:val="000000" w:themeColor="text1"/>
          <w:highlight w:val="yellow"/>
        </w:rPr>
        <w:t xml:space="preserve"> from: </w:t>
      </w:r>
      <w:hyperlink r:id="rId9" w:history="1">
        <w:r w:rsidR="00DA6784" w:rsidRPr="00C40851">
          <w:rPr>
            <w:rStyle w:val="Hyperlink"/>
            <w:rFonts w:ascii="Book Antiqua" w:hAnsi="Book Antiqua" w:cs="Book Antiqua"/>
            <w:highlight w:val="yellow"/>
          </w:rPr>
          <w:t>https://www.crd.york.ac.uk/</w:t>
        </w:r>
        <w:r w:rsidR="00DA6784" w:rsidRPr="00C40851">
          <w:rPr>
            <w:rStyle w:val="Hyperlink"/>
            <w:rFonts w:ascii="Book Antiqua" w:hAnsi="Book Antiqua" w:cs="Book Antiqua"/>
            <w:highlight w:val="yellow"/>
          </w:rPr>
          <w:t>P</w:t>
        </w:r>
        <w:r w:rsidR="00DA6784" w:rsidRPr="00C40851">
          <w:rPr>
            <w:rStyle w:val="Hyperlink"/>
            <w:rFonts w:ascii="Book Antiqua" w:hAnsi="Book Antiqua" w:cs="Book Antiqua"/>
            <w:highlight w:val="yellow"/>
          </w:rPr>
          <w:t>ROSPERO/</w:t>
        </w:r>
      </w:hyperlink>
      <w:r w:rsidR="00DA6784">
        <w:rPr>
          <w:rFonts w:ascii="Book Antiqua" w:hAnsi="Book Antiqua" w:cs="Book Antiqua"/>
          <w:color w:val="000000" w:themeColor="text1"/>
          <w:highlight w:val="yellow"/>
        </w:rPr>
        <w:t xml:space="preserve"> </w:t>
      </w:r>
    </w:p>
    <w:p w14:paraId="7BBA3B60" w14:textId="0D5CDD45"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highlight w:val="yellow"/>
        </w:rPr>
      </w:pPr>
      <w:r w:rsidRPr="00C9386A">
        <w:rPr>
          <w:rFonts w:ascii="Book Antiqua" w:hAnsi="Book Antiqua" w:cs="Book Antiqua"/>
          <w:color w:val="000000" w:themeColor="text1"/>
          <w:highlight w:val="yellow"/>
        </w:rPr>
        <w:t>18 </w:t>
      </w:r>
      <w:r w:rsidRPr="00C9386A">
        <w:rPr>
          <w:rFonts w:ascii="Book Antiqua" w:hAnsi="Book Antiqua" w:cs="Book Antiqua"/>
          <w:b/>
          <w:bCs/>
          <w:color w:val="000000" w:themeColor="text1"/>
          <w:highlight w:val="yellow"/>
        </w:rPr>
        <w:t>Qatar Computing Research Institute</w:t>
      </w:r>
      <w:r w:rsidRPr="00C9386A">
        <w:rPr>
          <w:rFonts w:ascii="Book Antiqua" w:hAnsi="Book Antiqua" w:cs="Book Antiqua"/>
          <w:color w:val="000000" w:themeColor="text1"/>
          <w:highlight w:val="yellow"/>
        </w:rPr>
        <w:t xml:space="preserve">. Rayyan QCRI. </w:t>
      </w:r>
      <w:r w:rsidR="00C27739">
        <w:rPr>
          <w:rFonts w:ascii="Book Antiqua" w:hAnsi="Book Antiqua" w:cs="Book Antiqua"/>
          <w:color w:val="000000" w:themeColor="text1"/>
          <w:highlight w:val="yellow"/>
        </w:rPr>
        <w:t>[</w:t>
      </w:r>
      <w:r w:rsidRPr="00C9386A">
        <w:rPr>
          <w:rFonts w:ascii="Book Antiqua" w:hAnsi="Book Antiqua" w:cs="Book Antiqua"/>
          <w:color w:val="000000" w:themeColor="text1"/>
          <w:highlight w:val="yellow"/>
        </w:rPr>
        <w:t>Assessed October 2019</w:t>
      </w:r>
      <w:r w:rsidR="00C27739">
        <w:rPr>
          <w:rFonts w:ascii="Book Antiqua" w:hAnsi="Book Antiqua" w:cs="Book Antiqua"/>
          <w:color w:val="000000" w:themeColor="text1"/>
          <w:highlight w:val="yellow"/>
        </w:rPr>
        <w:t>].</w:t>
      </w:r>
      <w:r w:rsidRPr="00C9386A">
        <w:rPr>
          <w:rFonts w:ascii="Book Antiqua" w:hAnsi="Book Antiqua" w:cs="Book Antiqua"/>
          <w:color w:val="000000" w:themeColor="text1"/>
          <w:highlight w:val="yellow"/>
        </w:rPr>
        <w:t xml:space="preserve"> Available from: </w:t>
      </w:r>
      <w:hyperlink r:id="rId10" w:history="1">
        <w:r w:rsidR="00DA6784" w:rsidRPr="00C40851">
          <w:rPr>
            <w:rStyle w:val="Hyperlink"/>
            <w:rFonts w:ascii="Book Antiqua" w:hAnsi="Book Antiqua" w:cs="Book Antiqua"/>
            <w:highlight w:val="yellow"/>
          </w:rPr>
          <w:t>https://rayyan.qcri.org/welcome</w:t>
        </w:r>
      </w:hyperlink>
      <w:r w:rsidR="00DA6784">
        <w:rPr>
          <w:rFonts w:ascii="Book Antiqua" w:hAnsi="Book Antiqua" w:cs="Book Antiqua"/>
          <w:color w:val="000000" w:themeColor="text1"/>
          <w:highlight w:val="yellow"/>
        </w:rPr>
        <w:t xml:space="preserve"> </w:t>
      </w:r>
    </w:p>
    <w:p w14:paraId="3284C2DE"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lastRenderedPageBreak/>
        <w:t>19 </w:t>
      </w:r>
      <w:proofErr w:type="spellStart"/>
      <w:r w:rsidRPr="00C9386A">
        <w:rPr>
          <w:rFonts w:ascii="Book Antiqua" w:hAnsi="Book Antiqua" w:cs="Book Antiqua"/>
          <w:b/>
          <w:bCs/>
          <w:color w:val="000000" w:themeColor="text1"/>
        </w:rPr>
        <w:t>Ouzzani</w:t>
      </w:r>
      <w:proofErr w:type="spellEnd"/>
      <w:r w:rsidRPr="00C9386A">
        <w:rPr>
          <w:rFonts w:ascii="Book Antiqua" w:hAnsi="Book Antiqua" w:cs="Book Antiqua"/>
          <w:b/>
          <w:bCs/>
          <w:color w:val="000000" w:themeColor="text1"/>
        </w:rPr>
        <w:t xml:space="preserve"> M</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Hammady</w:t>
      </w:r>
      <w:proofErr w:type="spellEnd"/>
      <w:r w:rsidRPr="00C9386A">
        <w:rPr>
          <w:rFonts w:ascii="Book Antiqua" w:hAnsi="Book Antiqua" w:cs="Book Antiqua"/>
          <w:color w:val="000000" w:themeColor="text1"/>
        </w:rPr>
        <w:t xml:space="preserve"> H, </w:t>
      </w:r>
      <w:proofErr w:type="spellStart"/>
      <w:r w:rsidRPr="00C9386A">
        <w:rPr>
          <w:rFonts w:ascii="Book Antiqua" w:hAnsi="Book Antiqua" w:cs="Book Antiqua"/>
          <w:color w:val="000000" w:themeColor="text1"/>
        </w:rPr>
        <w:t>Fedorowicz</w:t>
      </w:r>
      <w:proofErr w:type="spellEnd"/>
      <w:r w:rsidRPr="00C9386A">
        <w:rPr>
          <w:rFonts w:ascii="Book Antiqua" w:hAnsi="Book Antiqua" w:cs="Book Antiqua"/>
          <w:color w:val="000000" w:themeColor="text1"/>
        </w:rPr>
        <w:t xml:space="preserve"> Z, </w:t>
      </w:r>
      <w:proofErr w:type="spellStart"/>
      <w:r w:rsidRPr="00C9386A">
        <w:rPr>
          <w:rFonts w:ascii="Book Antiqua" w:hAnsi="Book Antiqua" w:cs="Book Antiqua"/>
          <w:color w:val="000000" w:themeColor="text1"/>
        </w:rPr>
        <w:t>Elmagarmid</w:t>
      </w:r>
      <w:proofErr w:type="spellEnd"/>
      <w:r w:rsidRPr="00C9386A">
        <w:rPr>
          <w:rFonts w:ascii="Book Antiqua" w:hAnsi="Book Antiqua" w:cs="Book Antiqua"/>
          <w:color w:val="000000" w:themeColor="text1"/>
        </w:rPr>
        <w:t xml:space="preserve"> A. Rayyan-a web and mobile app for systematic reviews. </w:t>
      </w:r>
      <w:proofErr w:type="spellStart"/>
      <w:r w:rsidRPr="00C9386A">
        <w:rPr>
          <w:rFonts w:ascii="Book Antiqua" w:hAnsi="Book Antiqua" w:cs="Book Antiqua"/>
          <w:i/>
          <w:iCs/>
          <w:color w:val="000000" w:themeColor="text1"/>
        </w:rPr>
        <w:t>Syst</w:t>
      </w:r>
      <w:proofErr w:type="spellEnd"/>
      <w:r w:rsidRPr="00C9386A">
        <w:rPr>
          <w:rFonts w:ascii="Book Antiqua" w:hAnsi="Book Antiqua" w:cs="Book Antiqua"/>
          <w:i/>
          <w:iCs/>
          <w:color w:val="000000" w:themeColor="text1"/>
        </w:rPr>
        <w:t xml:space="preserve"> Rev</w:t>
      </w:r>
      <w:r w:rsidRPr="00C9386A">
        <w:rPr>
          <w:rFonts w:ascii="Book Antiqua" w:hAnsi="Book Antiqua" w:cs="Book Antiqua"/>
          <w:color w:val="000000" w:themeColor="text1"/>
        </w:rPr>
        <w:t> 2016; </w:t>
      </w:r>
      <w:r w:rsidRPr="00C9386A">
        <w:rPr>
          <w:rFonts w:ascii="Book Antiqua" w:hAnsi="Book Antiqua" w:cs="Book Antiqua"/>
          <w:b/>
          <w:bCs/>
          <w:color w:val="000000" w:themeColor="text1"/>
        </w:rPr>
        <w:t>5</w:t>
      </w:r>
      <w:r w:rsidRPr="00C9386A">
        <w:rPr>
          <w:rFonts w:ascii="Book Antiqua" w:hAnsi="Book Antiqua" w:cs="Book Antiqua"/>
          <w:color w:val="000000" w:themeColor="text1"/>
        </w:rPr>
        <w:t>: 210 [PMID: 27919275 DOI: 10.1186/s13643-016-0384-4]</w:t>
      </w:r>
    </w:p>
    <w:p w14:paraId="2A349531" w14:textId="24ACF449"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highlight w:val="yellow"/>
        </w:rPr>
      </w:pPr>
      <w:r w:rsidRPr="00C9386A">
        <w:rPr>
          <w:rFonts w:ascii="Book Antiqua" w:hAnsi="Book Antiqua" w:cs="Book Antiqua"/>
          <w:color w:val="000000" w:themeColor="text1"/>
          <w:highlight w:val="yellow"/>
        </w:rPr>
        <w:t>20 </w:t>
      </w:r>
      <w:r w:rsidRPr="00C9386A">
        <w:rPr>
          <w:rFonts w:ascii="Book Antiqua" w:hAnsi="Book Antiqua" w:cs="Book Antiqua"/>
          <w:b/>
          <w:bCs/>
          <w:color w:val="000000" w:themeColor="text1"/>
          <w:highlight w:val="yellow"/>
        </w:rPr>
        <w:t xml:space="preserve">Wells </w:t>
      </w:r>
      <w:r w:rsidRPr="00C9386A">
        <w:rPr>
          <w:rFonts w:ascii="Book Antiqua" w:hAnsi="Book Antiqua" w:cs="Book Antiqua"/>
          <w:color w:val="000000" w:themeColor="text1"/>
          <w:highlight w:val="yellow"/>
        </w:rPr>
        <w:t xml:space="preserve">G, </w:t>
      </w:r>
      <w:proofErr w:type="spellStart"/>
      <w:r w:rsidRPr="00C9386A">
        <w:rPr>
          <w:rFonts w:ascii="Book Antiqua" w:hAnsi="Book Antiqua" w:cs="Book Antiqua"/>
          <w:color w:val="000000" w:themeColor="text1"/>
          <w:highlight w:val="yellow"/>
        </w:rPr>
        <w:t>Shea</w:t>
      </w:r>
      <w:proofErr w:type="spellEnd"/>
      <w:r w:rsidRPr="00C9386A">
        <w:rPr>
          <w:rFonts w:ascii="Book Antiqua" w:hAnsi="Book Antiqua" w:cs="Book Antiqua"/>
          <w:color w:val="000000" w:themeColor="text1"/>
          <w:highlight w:val="yellow"/>
        </w:rPr>
        <w:t xml:space="preserve"> B, O'Connell D, Peterson J, Welch V, </w:t>
      </w:r>
      <w:proofErr w:type="spellStart"/>
      <w:r w:rsidRPr="00C9386A">
        <w:rPr>
          <w:rFonts w:ascii="Book Antiqua" w:hAnsi="Book Antiqua" w:cs="Book Antiqua"/>
          <w:color w:val="000000" w:themeColor="text1"/>
          <w:highlight w:val="yellow"/>
        </w:rPr>
        <w:t>Losos</w:t>
      </w:r>
      <w:proofErr w:type="spellEnd"/>
      <w:r w:rsidRPr="00C9386A">
        <w:rPr>
          <w:rFonts w:ascii="Book Antiqua" w:hAnsi="Book Antiqua" w:cs="Book Antiqua"/>
          <w:color w:val="000000" w:themeColor="text1"/>
          <w:highlight w:val="yellow"/>
        </w:rPr>
        <w:t xml:space="preserve"> M, and </w:t>
      </w:r>
      <w:proofErr w:type="spellStart"/>
      <w:r w:rsidRPr="00C9386A">
        <w:rPr>
          <w:rFonts w:ascii="Book Antiqua" w:hAnsi="Book Antiqua" w:cs="Book Antiqua"/>
          <w:color w:val="000000" w:themeColor="text1"/>
          <w:highlight w:val="yellow"/>
        </w:rPr>
        <w:t>Tugwell</w:t>
      </w:r>
      <w:proofErr w:type="spellEnd"/>
      <w:r w:rsidRPr="00C9386A">
        <w:rPr>
          <w:rFonts w:ascii="Book Antiqua" w:hAnsi="Book Antiqua" w:cs="Book Antiqua"/>
          <w:color w:val="000000" w:themeColor="text1"/>
          <w:highlight w:val="yellow"/>
        </w:rPr>
        <w:t xml:space="preserve"> P. The Newcastle–Ottawa Scale (NOS) for Assessing the Quality of Non-Randomized Studies in Meta-Analysis., 2000. Assessed October 2019; Available from: </w:t>
      </w:r>
      <w:hyperlink r:id="rId11" w:history="1">
        <w:r w:rsidR="00DF2101" w:rsidRPr="00C40851">
          <w:rPr>
            <w:rStyle w:val="Hyperlink"/>
            <w:rFonts w:ascii="Book Antiqua" w:hAnsi="Book Antiqua" w:cs="Book Antiqua"/>
            <w:highlight w:val="yellow"/>
          </w:rPr>
          <w:t>http://www.ohri.ca/programs/clinical_epidemiology/oxford.asp</w:t>
        </w:r>
      </w:hyperlink>
      <w:r w:rsidR="00DF2101">
        <w:rPr>
          <w:rFonts w:ascii="Book Antiqua" w:hAnsi="Book Antiqua" w:cs="Book Antiqua"/>
          <w:color w:val="000000" w:themeColor="text1"/>
          <w:highlight w:val="yellow"/>
        </w:rPr>
        <w:t xml:space="preserve"> </w:t>
      </w:r>
    </w:p>
    <w:p w14:paraId="3E4C4AC6"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21 </w:t>
      </w:r>
      <w:proofErr w:type="spellStart"/>
      <w:r w:rsidRPr="00C9386A">
        <w:rPr>
          <w:rFonts w:ascii="Book Antiqua" w:hAnsi="Book Antiqua" w:cs="Book Antiqua"/>
          <w:b/>
          <w:bCs/>
          <w:color w:val="000000" w:themeColor="text1"/>
        </w:rPr>
        <w:t>Mataki</w:t>
      </w:r>
      <w:proofErr w:type="spellEnd"/>
      <w:r w:rsidRPr="00C9386A">
        <w:rPr>
          <w:rFonts w:ascii="Book Antiqua" w:hAnsi="Book Antiqua" w:cs="Book Antiqua"/>
          <w:b/>
          <w:bCs/>
          <w:color w:val="000000" w:themeColor="text1"/>
        </w:rPr>
        <w:t xml:space="preserve"> N</w:t>
      </w:r>
      <w:r w:rsidRPr="00C9386A">
        <w:rPr>
          <w:rFonts w:ascii="Book Antiqua" w:hAnsi="Book Antiqua" w:cs="Book Antiqua"/>
          <w:color w:val="000000" w:themeColor="text1"/>
        </w:rPr>
        <w:t xml:space="preserve">, Nagao S, Kawaguchi A, </w:t>
      </w:r>
      <w:proofErr w:type="spellStart"/>
      <w:r w:rsidRPr="00C9386A">
        <w:rPr>
          <w:rFonts w:ascii="Book Antiqua" w:hAnsi="Book Antiqua" w:cs="Book Antiqua"/>
          <w:color w:val="000000" w:themeColor="text1"/>
        </w:rPr>
        <w:t>Matsuzaki</w:t>
      </w:r>
      <w:proofErr w:type="spellEnd"/>
      <w:r w:rsidRPr="00C9386A">
        <w:rPr>
          <w:rFonts w:ascii="Book Antiqua" w:hAnsi="Book Antiqua" w:cs="Book Antiqua"/>
          <w:color w:val="000000" w:themeColor="text1"/>
        </w:rPr>
        <w:t xml:space="preserve"> K, Miyazaki J, Kitagawa Y, Nakajima H, Tsuzuki Y, Itoh K, </w:t>
      </w:r>
      <w:proofErr w:type="spellStart"/>
      <w:r w:rsidRPr="00C9386A">
        <w:rPr>
          <w:rFonts w:ascii="Book Antiqua" w:hAnsi="Book Antiqua" w:cs="Book Antiqua"/>
          <w:color w:val="000000" w:themeColor="text1"/>
        </w:rPr>
        <w:t>Niwa</w:t>
      </w:r>
      <w:proofErr w:type="spellEnd"/>
      <w:r w:rsidRPr="00C9386A">
        <w:rPr>
          <w:rFonts w:ascii="Book Antiqua" w:hAnsi="Book Antiqua" w:cs="Book Antiqua"/>
          <w:color w:val="000000" w:themeColor="text1"/>
        </w:rPr>
        <w:t xml:space="preserve"> H, Miura S. Clinical usefulness of a new infrared </w:t>
      </w:r>
      <w:proofErr w:type="spellStart"/>
      <w:r w:rsidRPr="00C9386A">
        <w:rPr>
          <w:rFonts w:ascii="Book Antiqua" w:hAnsi="Book Antiqua" w:cs="Book Antiqua"/>
          <w:color w:val="000000" w:themeColor="text1"/>
        </w:rPr>
        <w:t>videoendoscope</w:t>
      </w:r>
      <w:proofErr w:type="spellEnd"/>
      <w:r w:rsidRPr="00C9386A">
        <w:rPr>
          <w:rFonts w:ascii="Book Antiqua" w:hAnsi="Book Antiqua" w:cs="Book Antiqua"/>
          <w:color w:val="000000" w:themeColor="text1"/>
        </w:rPr>
        <w:t xml:space="preserve"> system for diagnosis of early stage gastric cancer. </w:t>
      </w:r>
      <w:proofErr w:type="spellStart"/>
      <w:r w:rsidRPr="00C9386A">
        <w:rPr>
          <w:rFonts w:ascii="Book Antiqua" w:hAnsi="Book Antiqua" w:cs="Book Antiqua"/>
          <w:i/>
          <w:iCs/>
          <w:color w:val="000000" w:themeColor="text1"/>
        </w:rPr>
        <w:t>Gastrointest</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Endosc</w:t>
      </w:r>
      <w:proofErr w:type="spellEnd"/>
      <w:r w:rsidRPr="00C9386A">
        <w:rPr>
          <w:rFonts w:ascii="Book Antiqua" w:hAnsi="Book Antiqua" w:cs="Book Antiqua"/>
          <w:color w:val="000000" w:themeColor="text1"/>
        </w:rPr>
        <w:t> 2003; </w:t>
      </w:r>
      <w:r w:rsidRPr="00C9386A">
        <w:rPr>
          <w:rFonts w:ascii="Book Antiqua" w:hAnsi="Book Antiqua" w:cs="Book Antiqua"/>
          <w:b/>
          <w:bCs/>
          <w:color w:val="000000" w:themeColor="text1"/>
        </w:rPr>
        <w:t>57</w:t>
      </w:r>
      <w:r w:rsidRPr="00C9386A">
        <w:rPr>
          <w:rFonts w:ascii="Book Antiqua" w:hAnsi="Book Antiqua" w:cs="Book Antiqua"/>
          <w:color w:val="000000" w:themeColor="text1"/>
        </w:rPr>
        <w:t>: 336-342 [PMID: 12612512 DOI: 10.1067/mge.2003.133]</w:t>
      </w:r>
    </w:p>
    <w:p w14:paraId="0FDD5CD5"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22 </w:t>
      </w:r>
      <w:r w:rsidRPr="00C9386A">
        <w:rPr>
          <w:rFonts w:ascii="Book Antiqua" w:hAnsi="Book Antiqua" w:cs="Book Antiqua"/>
          <w:b/>
          <w:bCs/>
          <w:color w:val="000000" w:themeColor="text1"/>
        </w:rPr>
        <w:t>Okamoto K</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Muguruma</w:t>
      </w:r>
      <w:proofErr w:type="spellEnd"/>
      <w:r w:rsidRPr="00C9386A">
        <w:rPr>
          <w:rFonts w:ascii="Book Antiqua" w:hAnsi="Book Antiqua" w:cs="Book Antiqua"/>
          <w:color w:val="000000" w:themeColor="text1"/>
        </w:rPr>
        <w:t xml:space="preserve"> N, Kimura T, Yano H, </w:t>
      </w:r>
      <w:proofErr w:type="spellStart"/>
      <w:r w:rsidRPr="00C9386A">
        <w:rPr>
          <w:rFonts w:ascii="Book Antiqua" w:hAnsi="Book Antiqua" w:cs="Book Antiqua"/>
          <w:color w:val="000000" w:themeColor="text1"/>
        </w:rPr>
        <w:t>Imoto</w:t>
      </w:r>
      <w:proofErr w:type="spellEnd"/>
      <w:r w:rsidRPr="00C9386A">
        <w:rPr>
          <w:rFonts w:ascii="Book Antiqua" w:hAnsi="Book Antiqua" w:cs="Book Antiqua"/>
          <w:color w:val="000000" w:themeColor="text1"/>
        </w:rPr>
        <w:t xml:space="preserve"> Y, </w:t>
      </w:r>
      <w:proofErr w:type="spellStart"/>
      <w:r w:rsidRPr="00C9386A">
        <w:rPr>
          <w:rFonts w:ascii="Book Antiqua" w:hAnsi="Book Antiqua" w:cs="Book Antiqua"/>
          <w:color w:val="000000" w:themeColor="text1"/>
        </w:rPr>
        <w:t>Takagawa</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Kaji</w:t>
      </w:r>
      <w:proofErr w:type="spellEnd"/>
      <w:r w:rsidRPr="00C9386A">
        <w:rPr>
          <w:rFonts w:ascii="Book Antiqua" w:hAnsi="Book Antiqua" w:cs="Book Antiqua"/>
          <w:color w:val="000000" w:themeColor="text1"/>
        </w:rPr>
        <w:t xml:space="preserve"> M, Aoki R, Sato Y, Okamura S, </w:t>
      </w:r>
      <w:proofErr w:type="spellStart"/>
      <w:r w:rsidRPr="00C9386A">
        <w:rPr>
          <w:rFonts w:ascii="Book Antiqua" w:hAnsi="Book Antiqua" w:cs="Book Antiqua"/>
          <w:color w:val="000000" w:themeColor="text1"/>
        </w:rPr>
        <w:t>Kusaka</w:t>
      </w:r>
      <w:proofErr w:type="spellEnd"/>
      <w:r w:rsidRPr="00C9386A">
        <w:rPr>
          <w:rFonts w:ascii="Book Antiqua" w:hAnsi="Book Antiqua" w:cs="Book Antiqua"/>
          <w:color w:val="000000" w:themeColor="text1"/>
        </w:rPr>
        <w:t xml:space="preserve"> Y, Ito S. A novel diagnostic method for evaluation of vascular lesions in the digestive tract using infrared fluorescence endoscopy. </w:t>
      </w:r>
      <w:r w:rsidRPr="00C9386A">
        <w:rPr>
          <w:rFonts w:ascii="Book Antiqua" w:hAnsi="Book Antiqua" w:cs="Book Antiqua"/>
          <w:i/>
          <w:iCs/>
          <w:color w:val="000000" w:themeColor="text1"/>
        </w:rPr>
        <w:t>Endoscopy</w:t>
      </w:r>
      <w:r w:rsidRPr="00C9386A">
        <w:rPr>
          <w:rFonts w:ascii="Book Antiqua" w:hAnsi="Book Antiqua" w:cs="Book Antiqua"/>
          <w:color w:val="000000" w:themeColor="text1"/>
        </w:rPr>
        <w:t> 2005; </w:t>
      </w:r>
      <w:r w:rsidRPr="00C9386A">
        <w:rPr>
          <w:rFonts w:ascii="Book Antiqua" w:hAnsi="Book Antiqua" w:cs="Book Antiqua"/>
          <w:b/>
          <w:bCs/>
          <w:color w:val="000000" w:themeColor="text1"/>
        </w:rPr>
        <w:t>37</w:t>
      </w:r>
      <w:r w:rsidRPr="00C9386A">
        <w:rPr>
          <w:rFonts w:ascii="Book Antiqua" w:hAnsi="Book Antiqua" w:cs="Book Antiqua"/>
          <w:color w:val="000000" w:themeColor="text1"/>
        </w:rPr>
        <w:t>: 52-57 [PMID: 15657859 DOI: 10.1055/s-2004-826102]</w:t>
      </w:r>
    </w:p>
    <w:p w14:paraId="3A3F151F"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23 </w:t>
      </w:r>
      <w:r w:rsidRPr="00C9386A">
        <w:rPr>
          <w:rFonts w:ascii="Book Antiqua" w:hAnsi="Book Antiqua" w:cs="Book Antiqua"/>
          <w:b/>
          <w:bCs/>
          <w:color w:val="000000" w:themeColor="text1"/>
        </w:rPr>
        <w:t>Kimura T</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Muguruma</w:t>
      </w:r>
      <w:proofErr w:type="spellEnd"/>
      <w:r w:rsidRPr="00C9386A">
        <w:rPr>
          <w:rFonts w:ascii="Book Antiqua" w:hAnsi="Book Antiqua" w:cs="Book Antiqua"/>
          <w:color w:val="000000" w:themeColor="text1"/>
        </w:rPr>
        <w:t xml:space="preserve"> N, Ito S, Okamura S, </w:t>
      </w:r>
      <w:proofErr w:type="spellStart"/>
      <w:r w:rsidRPr="00C9386A">
        <w:rPr>
          <w:rFonts w:ascii="Book Antiqua" w:hAnsi="Book Antiqua" w:cs="Book Antiqua"/>
          <w:color w:val="000000" w:themeColor="text1"/>
        </w:rPr>
        <w:t>Imoto</w:t>
      </w:r>
      <w:proofErr w:type="spellEnd"/>
      <w:r w:rsidRPr="00C9386A">
        <w:rPr>
          <w:rFonts w:ascii="Book Antiqua" w:hAnsi="Book Antiqua" w:cs="Book Antiqua"/>
          <w:color w:val="000000" w:themeColor="text1"/>
        </w:rPr>
        <w:t xml:space="preserve"> Y, Miyamoto H, </w:t>
      </w:r>
      <w:proofErr w:type="spellStart"/>
      <w:r w:rsidRPr="00C9386A">
        <w:rPr>
          <w:rFonts w:ascii="Book Antiqua" w:hAnsi="Book Antiqua" w:cs="Book Antiqua"/>
          <w:color w:val="000000" w:themeColor="text1"/>
        </w:rPr>
        <w:t>Kaji</w:t>
      </w:r>
      <w:proofErr w:type="spellEnd"/>
      <w:r w:rsidRPr="00C9386A">
        <w:rPr>
          <w:rFonts w:ascii="Book Antiqua" w:hAnsi="Book Antiqua" w:cs="Book Antiqua"/>
          <w:color w:val="000000" w:themeColor="text1"/>
        </w:rPr>
        <w:t xml:space="preserve"> M, Kudo E. Infrared fluorescence endoscopy for the diagnosis of superficial gastric tumors. </w:t>
      </w:r>
      <w:proofErr w:type="spellStart"/>
      <w:r w:rsidRPr="00C9386A">
        <w:rPr>
          <w:rFonts w:ascii="Book Antiqua" w:hAnsi="Book Antiqua" w:cs="Book Antiqua"/>
          <w:i/>
          <w:iCs/>
          <w:color w:val="000000" w:themeColor="text1"/>
        </w:rPr>
        <w:t>Gastrointest</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Endosc</w:t>
      </w:r>
      <w:proofErr w:type="spellEnd"/>
      <w:r w:rsidRPr="00C9386A">
        <w:rPr>
          <w:rFonts w:ascii="Book Antiqua" w:hAnsi="Book Antiqua" w:cs="Book Antiqua"/>
          <w:color w:val="000000" w:themeColor="text1"/>
        </w:rPr>
        <w:t> 2007; </w:t>
      </w:r>
      <w:r w:rsidRPr="00C9386A">
        <w:rPr>
          <w:rFonts w:ascii="Book Antiqua" w:hAnsi="Book Antiqua" w:cs="Book Antiqua"/>
          <w:b/>
          <w:bCs/>
          <w:color w:val="000000" w:themeColor="text1"/>
        </w:rPr>
        <w:t>66</w:t>
      </w:r>
      <w:r w:rsidRPr="00C9386A">
        <w:rPr>
          <w:rFonts w:ascii="Book Antiqua" w:hAnsi="Book Antiqua" w:cs="Book Antiqua"/>
          <w:color w:val="000000" w:themeColor="text1"/>
        </w:rPr>
        <w:t>: 37-43 [PMID: 17591472 DOI: 10.1016/j.gie.2007.01.009]</w:t>
      </w:r>
    </w:p>
    <w:p w14:paraId="211A1384"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24 </w:t>
      </w:r>
      <w:r w:rsidRPr="00C9386A">
        <w:rPr>
          <w:rFonts w:ascii="Book Antiqua" w:hAnsi="Book Antiqua" w:cs="Book Antiqua"/>
          <w:b/>
          <w:bCs/>
          <w:color w:val="000000" w:themeColor="text1"/>
        </w:rPr>
        <w:t>Ortiz-Fernandez-</w:t>
      </w:r>
      <w:proofErr w:type="spellStart"/>
      <w:r w:rsidRPr="00C9386A">
        <w:rPr>
          <w:rFonts w:ascii="Book Antiqua" w:hAnsi="Book Antiqua" w:cs="Book Antiqua"/>
          <w:b/>
          <w:bCs/>
          <w:color w:val="000000" w:themeColor="text1"/>
        </w:rPr>
        <w:t>Sordo</w:t>
      </w:r>
      <w:proofErr w:type="spellEnd"/>
      <w:r w:rsidRPr="00C9386A">
        <w:rPr>
          <w:rFonts w:ascii="Book Antiqua" w:hAnsi="Book Antiqua" w:cs="Book Antiqua"/>
          <w:b/>
          <w:bCs/>
          <w:color w:val="000000" w:themeColor="text1"/>
        </w:rPr>
        <w:t xml:space="preserve"> J</w:t>
      </w:r>
      <w:r w:rsidRPr="00C9386A">
        <w:rPr>
          <w:rFonts w:ascii="Book Antiqua" w:hAnsi="Book Antiqua" w:cs="Book Antiqua"/>
          <w:color w:val="000000" w:themeColor="text1"/>
        </w:rPr>
        <w:t xml:space="preserve">, Sami SS, </w:t>
      </w:r>
      <w:proofErr w:type="spellStart"/>
      <w:r w:rsidRPr="00C9386A">
        <w:rPr>
          <w:rFonts w:ascii="Book Antiqua" w:hAnsi="Book Antiqua" w:cs="Book Antiqua"/>
          <w:color w:val="000000" w:themeColor="text1"/>
        </w:rPr>
        <w:t>Mansilla-Vivar</w:t>
      </w:r>
      <w:proofErr w:type="spellEnd"/>
      <w:r w:rsidRPr="00C9386A">
        <w:rPr>
          <w:rFonts w:ascii="Book Antiqua" w:hAnsi="Book Antiqua" w:cs="Book Antiqua"/>
          <w:color w:val="000000" w:themeColor="text1"/>
        </w:rPr>
        <w:t xml:space="preserve"> R, Subramanian V, </w:t>
      </w:r>
      <w:proofErr w:type="spellStart"/>
      <w:r w:rsidRPr="00C9386A">
        <w:rPr>
          <w:rFonts w:ascii="Book Antiqua" w:hAnsi="Book Antiqua" w:cs="Book Antiqua"/>
          <w:color w:val="000000" w:themeColor="text1"/>
        </w:rPr>
        <w:t>Mannath</w:t>
      </w:r>
      <w:proofErr w:type="spellEnd"/>
      <w:r w:rsidRPr="00C9386A">
        <w:rPr>
          <w:rFonts w:ascii="Book Antiqua" w:hAnsi="Book Antiqua" w:cs="Book Antiqua"/>
          <w:color w:val="000000" w:themeColor="text1"/>
        </w:rPr>
        <w:t xml:space="preserve"> J, </w:t>
      </w:r>
      <w:proofErr w:type="spellStart"/>
      <w:r w:rsidRPr="00C9386A">
        <w:rPr>
          <w:rFonts w:ascii="Book Antiqua" w:hAnsi="Book Antiqua" w:cs="Book Antiqua"/>
          <w:color w:val="000000" w:themeColor="text1"/>
        </w:rPr>
        <w:t>Telakis</w:t>
      </w:r>
      <w:proofErr w:type="spellEnd"/>
      <w:r w:rsidRPr="00C9386A">
        <w:rPr>
          <w:rFonts w:ascii="Book Antiqua" w:hAnsi="Book Antiqua" w:cs="Book Antiqua"/>
          <w:color w:val="000000" w:themeColor="text1"/>
        </w:rPr>
        <w:t xml:space="preserve"> E, </w:t>
      </w:r>
      <w:proofErr w:type="spellStart"/>
      <w:r w:rsidRPr="00C9386A">
        <w:rPr>
          <w:rFonts w:ascii="Book Antiqua" w:hAnsi="Book Antiqua" w:cs="Book Antiqua"/>
          <w:color w:val="000000" w:themeColor="text1"/>
        </w:rPr>
        <w:t>Ragunath</w:t>
      </w:r>
      <w:proofErr w:type="spellEnd"/>
      <w:r w:rsidRPr="00C9386A">
        <w:rPr>
          <w:rFonts w:ascii="Book Antiqua" w:hAnsi="Book Antiqua" w:cs="Book Antiqua"/>
          <w:color w:val="000000" w:themeColor="text1"/>
        </w:rPr>
        <w:t xml:space="preserve"> K. Evaluation of a novel infra-red endoscopy system in the assessment of early neoplasia in </w:t>
      </w:r>
      <w:proofErr w:type="spellStart"/>
      <w:r w:rsidRPr="00C9386A">
        <w:rPr>
          <w:rFonts w:ascii="Book Antiqua" w:hAnsi="Book Antiqua" w:cs="Book Antiqua"/>
          <w:color w:val="000000" w:themeColor="text1"/>
        </w:rPr>
        <w:t>Barretts</w:t>
      </w:r>
      <w:proofErr w:type="spellEnd"/>
      <w:r w:rsidRPr="00C9386A">
        <w:rPr>
          <w:rFonts w:ascii="Book Antiqua" w:hAnsi="Book Antiqua" w:cs="Book Antiqua"/>
          <w:color w:val="000000" w:themeColor="text1"/>
        </w:rPr>
        <w:t xml:space="preserve"> esophagus: pilot study from a single center. </w:t>
      </w:r>
      <w:r w:rsidRPr="00C9386A">
        <w:rPr>
          <w:rFonts w:ascii="Book Antiqua" w:hAnsi="Book Antiqua" w:cs="Book Antiqua"/>
          <w:i/>
          <w:iCs/>
          <w:color w:val="000000" w:themeColor="text1"/>
        </w:rPr>
        <w:t>Dis Esophagus</w:t>
      </w:r>
      <w:r w:rsidRPr="00C9386A">
        <w:rPr>
          <w:rFonts w:ascii="Book Antiqua" w:hAnsi="Book Antiqua" w:cs="Book Antiqua"/>
          <w:color w:val="000000" w:themeColor="text1"/>
        </w:rPr>
        <w:t> 2018; </w:t>
      </w:r>
      <w:r w:rsidRPr="00C9386A">
        <w:rPr>
          <w:rFonts w:ascii="Book Antiqua" w:hAnsi="Book Antiqua" w:cs="Book Antiqua"/>
          <w:b/>
          <w:bCs/>
          <w:color w:val="000000" w:themeColor="text1"/>
        </w:rPr>
        <w:t>31</w:t>
      </w:r>
      <w:r w:rsidRPr="00C9386A">
        <w:rPr>
          <w:rFonts w:ascii="Book Antiqua" w:hAnsi="Book Antiqua" w:cs="Book Antiqua"/>
          <w:color w:val="000000" w:themeColor="text1"/>
        </w:rPr>
        <w:t>: [PMID: 29228128 DOI: 10.1093/dote/dox137]</w:t>
      </w:r>
    </w:p>
    <w:p w14:paraId="006B6CD9"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25 </w:t>
      </w:r>
      <w:r w:rsidRPr="00C9386A">
        <w:rPr>
          <w:rFonts w:ascii="Book Antiqua" w:hAnsi="Book Antiqua" w:cs="Book Antiqua"/>
          <w:b/>
          <w:bCs/>
          <w:color w:val="000000" w:themeColor="text1"/>
        </w:rPr>
        <w:t>Iseki K</w:t>
      </w:r>
      <w:r w:rsidRPr="00C9386A">
        <w:rPr>
          <w:rFonts w:ascii="Book Antiqua" w:hAnsi="Book Antiqua" w:cs="Book Antiqua"/>
          <w:color w:val="000000" w:themeColor="text1"/>
        </w:rPr>
        <w:t xml:space="preserve">, Tatsuta M, </w:t>
      </w:r>
      <w:proofErr w:type="spellStart"/>
      <w:r w:rsidRPr="00C9386A">
        <w:rPr>
          <w:rFonts w:ascii="Book Antiqua" w:hAnsi="Book Antiqua" w:cs="Book Antiqua"/>
          <w:color w:val="000000" w:themeColor="text1"/>
        </w:rPr>
        <w:t>Iishi</w:t>
      </w:r>
      <w:proofErr w:type="spellEnd"/>
      <w:r w:rsidRPr="00C9386A">
        <w:rPr>
          <w:rFonts w:ascii="Book Antiqua" w:hAnsi="Book Antiqua" w:cs="Book Antiqua"/>
          <w:color w:val="000000" w:themeColor="text1"/>
        </w:rPr>
        <w:t xml:space="preserve"> H, Sakai N, Yano H, Ishiguro S. Effectiveness of the near-infrared electronic endoscope for diagnosis of the depth of involvement of gastric cancers. </w:t>
      </w:r>
      <w:proofErr w:type="spellStart"/>
      <w:r w:rsidRPr="00C9386A">
        <w:rPr>
          <w:rFonts w:ascii="Book Antiqua" w:hAnsi="Book Antiqua" w:cs="Book Antiqua"/>
          <w:i/>
          <w:iCs/>
          <w:color w:val="000000" w:themeColor="text1"/>
        </w:rPr>
        <w:t>Gastrointest</w:t>
      </w:r>
      <w:proofErr w:type="spellEnd"/>
      <w:r w:rsidRPr="00C9386A">
        <w:rPr>
          <w:rFonts w:ascii="Book Antiqua" w:hAnsi="Book Antiqua" w:cs="Book Antiqua"/>
          <w:i/>
          <w:iCs/>
          <w:color w:val="000000" w:themeColor="text1"/>
        </w:rPr>
        <w:t xml:space="preserve"> Endosc</w:t>
      </w:r>
      <w:r w:rsidRPr="00C9386A">
        <w:rPr>
          <w:rFonts w:ascii="Book Antiqua" w:hAnsi="Book Antiqua" w:cs="Book Antiqua"/>
          <w:color w:val="000000" w:themeColor="text1"/>
        </w:rPr>
        <w:t>2000; </w:t>
      </w:r>
      <w:r w:rsidRPr="00C9386A">
        <w:rPr>
          <w:rFonts w:ascii="Book Antiqua" w:hAnsi="Book Antiqua" w:cs="Book Antiqua"/>
          <w:b/>
          <w:bCs/>
          <w:color w:val="000000" w:themeColor="text1"/>
        </w:rPr>
        <w:t>52</w:t>
      </w:r>
      <w:r w:rsidRPr="00C9386A">
        <w:rPr>
          <w:rFonts w:ascii="Book Antiqua" w:hAnsi="Book Antiqua" w:cs="Book Antiqua"/>
          <w:color w:val="000000" w:themeColor="text1"/>
        </w:rPr>
        <w:t>: 755-762 [PMID: 11115912 DOI: 10.1067/mge.2000.110455]</w:t>
      </w:r>
    </w:p>
    <w:p w14:paraId="343B75A8"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lastRenderedPageBreak/>
        <w:t>26 </w:t>
      </w:r>
      <w:proofErr w:type="spellStart"/>
      <w:r w:rsidRPr="00C9386A">
        <w:rPr>
          <w:rFonts w:ascii="Book Antiqua" w:hAnsi="Book Antiqua" w:cs="Book Antiqua"/>
          <w:b/>
          <w:bCs/>
          <w:color w:val="000000" w:themeColor="text1"/>
        </w:rPr>
        <w:t>Baiocchi</w:t>
      </w:r>
      <w:proofErr w:type="spellEnd"/>
      <w:r w:rsidRPr="00C9386A">
        <w:rPr>
          <w:rFonts w:ascii="Book Antiqua" w:hAnsi="Book Antiqua" w:cs="Book Antiqua"/>
          <w:b/>
          <w:bCs/>
          <w:color w:val="000000" w:themeColor="text1"/>
        </w:rPr>
        <w:t xml:space="preserve"> GL</w:t>
      </w:r>
      <w:r w:rsidRPr="00C9386A">
        <w:rPr>
          <w:rFonts w:ascii="Book Antiqua" w:hAnsi="Book Antiqua" w:cs="Book Antiqua"/>
          <w:color w:val="000000" w:themeColor="text1"/>
        </w:rPr>
        <w:t xml:space="preserve">, Diana M, </w:t>
      </w:r>
      <w:proofErr w:type="spellStart"/>
      <w:r w:rsidRPr="00C9386A">
        <w:rPr>
          <w:rFonts w:ascii="Book Antiqua" w:hAnsi="Book Antiqua" w:cs="Book Antiqua"/>
          <w:color w:val="000000" w:themeColor="text1"/>
        </w:rPr>
        <w:t>Boni</w:t>
      </w:r>
      <w:proofErr w:type="spellEnd"/>
      <w:r w:rsidRPr="00C9386A">
        <w:rPr>
          <w:rFonts w:ascii="Book Antiqua" w:hAnsi="Book Antiqua" w:cs="Book Antiqua"/>
          <w:color w:val="000000" w:themeColor="text1"/>
        </w:rPr>
        <w:t xml:space="preserve"> L. Indocyanine green-based fluorescence imaging in visceral and hepatobiliary and pancreatic surgery: State of the art and future directions. </w:t>
      </w:r>
      <w:r w:rsidRPr="00C9386A">
        <w:rPr>
          <w:rFonts w:ascii="Book Antiqua" w:hAnsi="Book Antiqua" w:cs="Book Antiqua"/>
          <w:i/>
          <w:iCs/>
          <w:color w:val="000000" w:themeColor="text1"/>
        </w:rPr>
        <w:t>World J Gastroenterol</w:t>
      </w:r>
      <w:r w:rsidRPr="00C9386A">
        <w:rPr>
          <w:rFonts w:ascii="Book Antiqua" w:hAnsi="Book Antiqua" w:cs="Book Antiqua"/>
          <w:color w:val="000000" w:themeColor="text1"/>
        </w:rPr>
        <w:t>2018; </w:t>
      </w:r>
      <w:r w:rsidRPr="00C9386A">
        <w:rPr>
          <w:rFonts w:ascii="Book Antiqua" w:hAnsi="Book Antiqua" w:cs="Book Antiqua"/>
          <w:b/>
          <w:bCs/>
          <w:color w:val="000000" w:themeColor="text1"/>
        </w:rPr>
        <w:t>24</w:t>
      </w:r>
      <w:r w:rsidRPr="00C9386A">
        <w:rPr>
          <w:rFonts w:ascii="Book Antiqua" w:hAnsi="Book Antiqua" w:cs="Book Antiqua"/>
          <w:color w:val="000000" w:themeColor="text1"/>
        </w:rPr>
        <w:t>: 2921-2930 [PMID: 30038461 DOI: 10.3748/wjg.v24.i27.2921]</w:t>
      </w:r>
    </w:p>
    <w:p w14:paraId="681D8A0B" w14:textId="486FA821"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27 </w:t>
      </w:r>
      <w:r w:rsidRPr="00C9386A">
        <w:rPr>
          <w:rFonts w:ascii="Book Antiqua" w:hAnsi="Book Antiqua" w:cs="Book Antiqua"/>
          <w:b/>
          <w:bCs/>
          <w:color w:val="000000" w:themeColor="text1"/>
        </w:rPr>
        <w:t>Trivedi PJ</w:t>
      </w:r>
      <w:r w:rsidRPr="00C9386A">
        <w:rPr>
          <w:rFonts w:ascii="Book Antiqua" w:hAnsi="Book Antiqua" w:cs="Book Antiqua"/>
          <w:color w:val="000000" w:themeColor="text1"/>
        </w:rPr>
        <w:t>, Braden B. Indications, stains and techniques in chromoendoscopy.</w:t>
      </w:r>
      <w:r w:rsidR="00B33B1E">
        <w:rPr>
          <w:rFonts w:ascii="Book Antiqua" w:hAnsi="Book Antiqua" w:cs="Book Antiqua"/>
          <w:color w:val="000000" w:themeColor="text1"/>
        </w:rPr>
        <w:t xml:space="preserve"> </w:t>
      </w:r>
      <w:r w:rsidRPr="00C9386A">
        <w:rPr>
          <w:rFonts w:ascii="Book Antiqua" w:hAnsi="Book Antiqua" w:cs="Book Antiqua"/>
          <w:i/>
          <w:iCs/>
          <w:color w:val="000000" w:themeColor="text1"/>
        </w:rPr>
        <w:t>QJM</w:t>
      </w:r>
      <w:r w:rsidR="00B33B1E">
        <w:rPr>
          <w:rFonts w:ascii="Book Antiqua" w:hAnsi="Book Antiqua" w:cs="Book Antiqua"/>
          <w:color w:val="000000" w:themeColor="text1"/>
        </w:rPr>
        <w:t xml:space="preserve"> </w:t>
      </w:r>
      <w:r w:rsidRPr="00C9386A">
        <w:rPr>
          <w:rFonts w:ascii="Book Antiqua" w:hAnsi="Book Antiqua" w:cs="Book Antiqua"/>
          <w:color w:val="000000" w:themeColor="text1"/>
        </w:rPr>
        <w:t>2013; </w:t>
      </w:r>
      <w:r w:rsidRPr="00C9386A">
        <w:rPr>
          <w:rFonts w:ascii="Book Antiqua" w:hAnsi="Book Antiqua" w:cs="Book Antiqua"/>
          <w:b/>
          <w:bCs/>
          <w:color w:val="000000" w:themeColor="text1"/>
        </w:rPr>
        <w:t>106</w:t>
      </w:r>
      <w:r w:rsidRPr="00C9386A">
        <w:rPr>
          <w:rFonts w:ascii="Book Antiqua" w:hAnsi="Book Antiqua" w:cs="Book Antiqua"/>
          <w:color w:val="000000" w:themeColor="text1"/>
        </w:rPr>
        <w:t>: 117-131 [PMID: 23097386 DOI: 10.1093/</w:t>
      </w:r>
      <w:proofErr w:type="spellStart"/>
      <w:r w:rsidRPr="00C9386A">
        <w:rPr>
          <w:rFonts w:ascii="Book Antiqua" w:hAnsi="Book Antiqua" w:cs="Book Antiqua"/>
          <w:color w:val="000000" w:themeColor="text1"/>
        </w:rPr>
        <w:t>qjmed</w:t>
      </w:r>
      <w:proofErr w:type="spellEnd"/>
      <w:r w:rsidRPr="00C9386A">
        <w:rPr>
          <w:rFonts w:ascii="Book Antiqua" w:hAnsi="Book Antiqua" w:cs="Book Antiqua"/>
          <w:color w:val="000000" w:themeColor="text1"/>
        </w:rPr>
        <w:t>/hcs186]</w:t>
      </w:r>
    </w:p>
    <w:p w14:paraId="5045AF6F"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28 </w:t>
      </w:r>
      <w:r w:rsidRPr="00C9386A">
        <w:rPr>
          <w:rFonts w:ascii="Book Antiqua" w:hAnsi="Book Antiqua" w:cs="Book Antiqua"/>
          <w:b/>
          <w:bCs/>
          <w:color w:val="000000" w:themeColor="text1"/>
        </w:rPr>
        <w:t>Yao K</w:t>
      </w:r>
      <w:r w:rsidRPr="00C9386A">
        <w:rPr>
          <w:rFonts w:ascii="Book Antiqua" w:hAnsi="Book Antiqua" w:cs="Book Antiqua"/>
          <w:color w:val="000000" w:themeColor="text1"/>
        </w:rPr>
        <w:t xml:space="preserve">, Yao T, Matsui T, Iwashita A, Oishi T. Hemoglobin content in </w:t>
      </w:r>
      <w:proofErr w:type="spellStart"/>
      <w:r w:rsidRPr="00C9386A">
        <w:rPr>
          <w:rFonts w:ascii="Book Antiqua" w:hAnsi="Book Antiqua" w:cs="Book Antiqua"/>
          <w:color w:val="000000" w:themeColor="text1"/>
        </w:rPr>
        <w:t>intramucosal</w:t>
      </w:r>
      <w:proofErr w:type="spellEnd"/>
      <w:r w:rsidRPr="00C9386A">
        <w:rPr>
          <w:rFonts w:ascii="Book Antiqua" w:hAnsi="Book Antiqua" w:cs="Book Antiqua"/>
          <w:color w:val="000000" w:themeColor="text1"/>
        </w:rPr>
        <w:t xml:space="preserve"> gastric carcinoma as a marker of histologic differentiation: a clinical application of quantitative electronic endoscopy. </w:t>
      </w:r>
      <w:proofErr w:type="spellStart"/>
      <w:r w:rsidRPr="00C9386A">
        <w:rPr>
          <w:rFonts w:ascii="Book Antiqua" w:hAnsi="Book Antiqua" w:cs="Book Antiqua"/>
          <w:i/>
          <w:iCs/>
          <w:color w:val="000000" w:themeColor="text1"/>
        </w:rPr>
        <w:t>Gastrointest</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Endosc</w:t>
      </w:r>
      <w:proofErr w:type="spellEnd"/>
      <w:r w:rsidRPr="00C9386A">
        <w:rPr>
          <w:rFonts w:ascii="Book Antiqua" w:hAnsi="Book Antiqua" w:cs="Book Antiqua"/>
          <w:color w:val="000000" w:themeColor="text1"/>
        </w:rPr>
        <w:t> 2000; </w:t>
      </w:r>
      <w:r w:rsidRPr="00C9386A">
        <w:rPr>
          <w:rFonts w:ascii="Book Antiqua" w:hAnsi="Book Antiqua" w:cs="Book Antiqua"/>
          <w:b/>
          <w:bCs/>
          <w:color w:val="000000" w:themeColor="text1"/>
        </w:rPr>
        <w:t>52</w:t>
      </w:r>
      <w:r w:rsidRPr="00C9386A">
        <w:rPr>
          <w:rFonts w:ascii="Book Antiqua" w:hAnsi="Book Antiqua" w:cs="Book Antiqua"/>
          <w:color w:val="000000" w:themeColor="text1"/>
        </w:rPr>
        <w:t>: 241-245 [PMID: 10922102 DOI: 10.1067/mge.2000.107707]</w:t>
      </w:r>
    </w:p>
    <w:p w14:paraId="1C6818FB"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29 </w:t>
      </w:r>
      <w:proofErr w:type="spellStart"/>
      <w:r w:rsidRPr="00C9386A">
        <w:rPr>
          <w:rFonts w:ascii="Book Antiqua" w:hAnsi="Book Antiqua" w:cs="Book Antiqua"/>
          <w:b/>
          <w:bCs/>
          <w:color w:val="000000" w:themeColor="text1"/>
        </w:rPr>
        <w:t>Honmyo</w:t>
      </w:r>
      <w:proofErr w:type="spellEnd"/>
      <w:r w:rsidRPr="00C9386A">
        <w:rPr>
          <w:rFonts w:ascii="Book Antiqua" w:hAnsi="Book Antiqua" w:cs="Book Antiqua"/>
          <w:b/>
          <w:bCs/>
          <w:color w:val="000000" w:themeColor="text1"/>
        </w:rPr>
        <w:t xml:space="preserve"> U</w:t>
      </w:r>
      <w:r w:rsidRPr="00C9386A">
        <w:rPr>
          <w:rFonts w:ascii="Book Antiqua" w:hAnsi="Book Antiqua" w:cs="Book Antiqua"/>
          <w:color w:val="000000" w:themeColor="text1"/>
        </w:rPr>
        <w:t xml:space="preserve">, Misumi A, Murakami A, </w:t>
      </w:r>
      <w:proofErr w:type="spellStart"/>
      <w:r w:rsidRPr="00C9386A">
        <w:rPr>
          <w:rFonts w:ascii="Book Antiqua" w:hAnsi="Book Antiqua" w:cs="Book Antiqua"/>
          <w:color w:val="000000" w:themeColor="text1"/>
        </w:rPr>
        <w:t>Mizumoto</w:t>
      </w:r>
      <w:proofErr w:type="spellEnd"/>
      <w:r w:rsidRPr="00C9386A">
        <w:rPr>
          <w:rFonts w:ascii="Book Antiqua" w:hAnsi="Book Antiqua" w:cs="Book Antiqua"/>
          <w:color w:val="000000" w:themeColor="text1"/>
        </w:rPr>
        <w:t xml:space="preserve"> S, Yoshinaka I, Maeda M, Yamamoto S, Shimada S. Mechanisms producing color change in flat early gastric cancers. </w:t>
      </w:r>
      <w:r w:rsidRPr="00C9386A">
        <w:rPr>
          <w:rFonts w:ascii="Book Antiqua" w:hAnsi="Book Antiqua" w:cs="Book Antiqua"/>
          <w:i/>
          <w:iCs/>
          <w:color w:val="000000" w:themeColor="text1"/>
        </w:rPr>
        <w:t>Endoscopy</w:t>
      </w:r>
      <w:r w:rsidRPr="00C9386A">
        <w:rPr>
          <w:rFonts w:ascii="Book Antiqua" w:hAnsi="Book Antiqua" w:cs="Book Antiqua"/>
          <w:color w:val="000000" w:themeColor="text1"/>
        </w:rPr>
        <w:t> 1997; </w:t>
      </w:r>
      <w:r w:rsidRPr="00C9386A">
        <w:rPr>
          <w:rFonts w:ascii="Book Antiqua" w:hAnsi="Book Antiqua" w:cs="Book Antiqua"/>
          <w:b/>
          <w:bCs/>
          <w:color w:val="000000" w:themeColor="text1"/>
        </w:rPr>
        <w:t>29</w:t>
      </w:r>
      <w:r w:rsidRPr="00C9386A">
        <w:rPr>
          <w:rFonts w:ascii="Book Antiqua" w:hAnsi="Book Antiqua" w:cs="Book Antiqua"/>
          <w:color w:val="000000" w:themeColor="text1"/>
        </w:rPr>
        <w:t>: 366-371 [PMID: 9270917 DOI: 10.1055/s-2007-1004217]</w:t>
      </w:r>
    </w:p>
    <w:p w14:paraId="60931EFC"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30 </w:t>
      </w:r>
      <w:proofErr w:type="spellStart"/>
      <w:r w:rsidRPr="00C9386A">
        <w:rPr>
          <w:rFonts w:ascii="Book Antiqua" w:hAnsi="Book Antiqua" w:cs="Book Antiqua"/>
          <w:b/>
          <w:bCs/>
          <w:color w:val="000000" w:themeColor="text1"/>
        </w:rPr>
        <w:t>Kogure</w:t>
      </w:r>
      <w:proofErr w:type="spellEnd"/>
      <w:r w:rsidRPr="00C9386A">
        <w:rPr>
          <w:rFonts w:ascii="Book Antiqua" w:hAnsi="Book Antiqua" w:cs="Book Antiqua"/>
          <w:b/>
          <w:bCs/>
          <w:color w:val="000000" w:themeColor="text1"/>
        </w:rPr>
        <w:t xml:space="preserve"> K</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Choromokos</w:t>
      </w:r>
      <w:proofErr w:type="spellEnd"/>
      <w:r w:rsidRPr="00C9386A">
        <w:rPr>
          <w:rFonts w:ascii="Book Antiqua" w:hAnsi="Book Antiqua" w:cs="Book Antiqua"/>
          <w:color w:val="000000" w:themeColor="text1"/>
        </w:rPr>
        <w:t xml:space="preserve"> E. Infrared absorption angiography. </w:t>
      </w:r>
      <w:r w:rsidRPr="00C9386A">
        <w:rPr>
          <w:rFonts w:ascii="Book Antiqua" w:hAnsi="Book Antiqua" w:cs="Book Antiqua"/>
          <w:i/>
          <w:iCs/>
          <w:color w:val="000000" w:themeColor="text1"/>
        </w:rPr>
        <w:t xml:space="preserve">J </w:t>
      </w:r>
      <w:proofErr w:type="spellStart"/>
      <w:r w:rsidRPr="00C9386A">
        <w:rPr>
          <w:rFonts w:ascii="Book Antiqua" w:hAnsi="Book Antiqua" w:cs="Book Antiqua"/>
          <w:i/>
          <w:iCs/>
          <w:color w:val="000000" w:themeColor="text1"/>
        </w:rPr>
        <w:t>Appl</w:t>
      </w:r>
      <w:proofErr w:type="spellEnd"/>
      <w:r w:rsidRPr="00C9386A">
        <w:rPr>
          <w:rFonts w:ascii="Book Antiqua" w:hAnsi="Book Antiqua" w:cs="Book Antiqua"/>
          <w:i/>
          <w:iCs/>
          <w:color w:val="000000" w:themeColor="text1"/>
        </w:rPr>
        <w:t xml:space="preserve"> </w:t>
      </w:r>
      <w:proofErr w:type="spellStart"/>
      <w:r w:rsidRPr="00C9386A">
        <w:rPr>
          <w:rFonts w:ascii="Book Antiqua" w:hAnsi="Book Antiqua" w:cs="Book Antiqua"/>
          <w:i/>
          <w:iCs/>
          <w:color w:val="000000" w:themeColor="text1"/>
        </w:rPr>
        <w:t>Physiol</w:t>
      </w:r>
      <w:proofErr w:type="spellEnd"/>
      <w:r w:rsidRPr="00C9386A">
        <w:rPr>
          <w:rFonts w:ascii="Book Antiqua" w:hAnsi="Book Antiqua" w:cs="Book Antiqua"/>
          <w:color w:val="000000" w:themeColor="text1"/>
        </w:rPr>
        <w:t> 1969; </w:t>
      </w:r>
      <w:r w:rsidRPr="00C9386A">
        <w:rPr>
          <w:rFonts w:ascii="Book Antiqua" w:hAnsi="Book Antiqua" w:cs="Book Antiqua"/>
          <w:b/>
          <w:bCs/>
          <w:color w:val="000000" w:themeColor="text1"/>
        </w:rPr>
        <w:t>26</w:t>
      </w:r>
      <w:r w:rsidRPr="00C9386A">
        <w:rPr>
          <w:rFonts w:ascii="Book Antiqua" w:hAnsi="Book Antiqua" w:cs="Book Antiqua"/>
          <w:color w:val="000000" w:themeColor="text1"/>
        </w:rPr>
        <w:t>: 154-157 [PMID: 5762869 DOI: 10.1152/jappl.1969.26.1.154]</w:t>
      </w:r>
    </w:p>
    <w:p w14:paraId="0718A688"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31 </w:t>
      </w:r>
      <w:r w:rsidRPr="00C9386A">
        <w:rPr>
          <w:rFonts w:ascii="Book Antiqua" w:hAnsi="Book Antiqua" w:cs="Book Antiqua"/>
          <w:b/>
          <w:bCs/>
          <w:color w:val="000000" w:themeColor="text1"/>
        </w:rPr>
        <w:t>Hope-Ross M</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Yannuzzi</w:t>
      </w:r>
      <w:proofErr w:type="spellEnd"/>
      <w:r w:rsidRPr="00C9386A">
        <w:rPr>
          <w:rFonts w:ascii="Book Antiqua" w:hAnsi="Book Antiqua" w:cs="Book Antiqua"/>
          <w:color w:val="000000" w:themeColor="text1"/>
        </w:rPr>
        <w:t xml:space="preserve"> LA, </w:t>
      </w:r>
      <w:proofErr w:type="spellStart"/>
      <w:r w:rsidRPr="00C9386A">
        <w:rPr>
          <w:rFonts w:ascii="Book Antiqua" w:hAnsi="Book Antiqua" w:cs="Book Antiqua"/>
          <w:color w:val="000000" w:themeColor="text1"/>
        </w:rPr>
        <w:t>Gragoudas</w:t>
      </w:r>
      <w:proofErr w:type="spellEnd"/>
      <w:r w:rsidRPr="00C9386A">
        <w:rPr>
          <w:rFonts w:ascii="Book Antiqua" w:hAnsi="Book Antiqua" w:cs="Book Antiqua"/>
          <w:color w:val="000000" w:themeColor="text1"/>
        </w:rPr>
        <w:t xml:space="preserve"> ES, Guyer DR, </w:t>
      </w:r>
      <w:proofErr w:type="spellStart"/>
      <w:r w:rsidRPr="00C9386A">
        <w:rPr>
          <w:rFonts w:ascii="Book Antiqua" w:hAnsi="Book Antiqua" w:cs="Book Antiqua"/>
          <w:color w:val="000000" w:themeColor="text1"/>
        </w:rPr>
        <w:t>Slakter</w:t>
      </w:r>
      <w:proofErr w:type="spellEnd"/>
      <w:r w:rsidRPr="00C9386A">
        <w:rPr>
          <w:rFonts w:ascii="Book Antiqua" w:hAnsi="Book Antiqua" w:cs="Book Antiqua"/>
          <w:color w:val="000000" w:themeColor="text1"/>
        </w:rPr>
        <w:t xml:space="preserve"> JS, Sorenson JA, </w:t>
      </w:r>
      <w:proofErr w:type="spellStart"/>
      <w:r w:rsidRPr="00C9386A">
        <w:rPr>
          <w:rFonts w:ascii="Book Antiqua" w:hAnsi="Book Antiqua" w:cs="Book Antiqua"/>
          <w:color w:val="000000" w:themeColor="text1"/>
        </w:rPr>
        <w:t>Krupsky</w:t>
      </w:r>
      <w:proofErr w:type="spellEnd"/>
      <w:r w:rsidRPr="00C9386A">
        <w:rPr>
          <w:rFonts w:ascii="Book Antiqua" w:hAnsi="Book Antiqua" w:cs="Book Antiqua"/>
          <w:color w:val="000000" w:themeColor="text1"/>
        </w:rPr>
        <w:t xml:space="preserve"> S, </w:t>
      </w:r>
      <w:proofErr w:type="spellStart"/>
      <w:r w:rsidRPr="00C9386A">
        <w:rPr>
          <w:rFonts w:ascii="Book Antiqua" w:hAnsi="Book Antiqua" w:cs="Book Antiqua"/>
          <w:color w:val="000000" w:themeColor="text1"/>
        </w:rPr>
        <w:t>Orlock</w:t>
      </w:r>
      <w:proofErr w:type="spellEnd"/>
      <w:r w:rsidRPr="00C9386A">
        <w:rPr>
          <w:rFonts w:ascii="Book Antiqua" w:hAnsi="Book Antiqua" w:cs="Book Antiqua"/>
          <w:color w:val="000000" w:themeColor="text1"/>
        </w:rPr>
        <w:t xml:space="preserve"> DA, </w:t>
      </w:r>
      <w:proofErr w:type="spellStart"/>
      <w:r w:rsidRPr="00C9386A">
        <w:rPr>
          <w:rFonts w:ascii="Book Antiqua" w:hAnsi="Book Antiqua" w:cs="Book Antiqua"/>
          <w:color w:val="000000" w:themeColor="text1"/>
        </w:rPr>
        <w:t>Puliafito</w:t>
      </w:r>
      <w:proofErr w:type="spellEnd"/>
      <w:r w:rsidRPr="00C9386A">
        <w:rPr>
          <w:rFonts w:ascii="Book Antiqua" w:hAnsi="Book Antiqua" w:cs="Book Antiqua"/>
          <w:color w:val="000000" w:themeColor="text1"/>
        </w:rPr>
        <w:t xml:space="preserve"> CA. Adverse reactions due to indocyanine green. </w:t>
      </w:r>
      <w:r w:rsidRPr="00C9386A">
        <w:rPr>
          <w:rFonts w:ascii="Book Antiqua" w:hAnsi="Book Antiqua" w:cs="Book Antiqua"/>
          <w:i/>
          <w:iCs/>
          <w:color w:val="000000" w:themeColor="text1"/>
        </w:rPr>
        <w:t>Ophthalmology</w:t>
      </w:r>
      <w:r w:rsidRPr="00C9386A">
        <w:rPr>
          <w:rFonts w:ascii="Book Antiqua" w:hAnsi="Book Antiqua" w:cs="Book Antiqua"/>
          <w:color w:val="000000" w:themeColor="text1"/>
        </w:rPr>
        <w:t> 1994; </w:t>
      </w:r>
      <w:r w:rsidRPr="00C9386A">
        <w:rPr>
          <w:rFonts w:ascii="Book Antiqua" w:hAnsi="Book Antiqua" w:cs="Book Antiqua"/>
          <w:b/>
          <w:bCs/>
          <w:color w:val="000000" w:themeColor="text1"/>
        </w:rPr>
        <w:t>101</w:t>
      </w:r>
      <w:r w:rsidRPr="00C9386A">
        <w:rPr>
          <w:rFonts w:ascii="Book Antiqua" w:hAnsi="Book Antiqua" w:cs="Book Antiqua"/>
          <w:color w:val="000000" w:themeColor="text1"/>
        </w:rPr>
        <w:t>: 529-533 [PMID: 8127574 DOI: 10.1016/s0161-6420(94)31303-0]</w:t>
      </w:r>
    </w:p>
    <w:p w14:paraId="57B961FB"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32 </w:t>
      </w:r>
      <w:proofErr w:type="spellStart"/>
      <w:r w:rsidRPr="00C9386A">
        <w:rPr>
          <w:rFonts w:ascii="Book Antiqua" w:hAnsi="Book Antiqua" w:cs="Book Antiqua"/>
          <w:b/>
          <w:bCs/>
          <w:color w:val="000000" w:themeColor="text1"/>
        </w:rPr>
        <w:t>Benya</w:t>
      </w:r>
      <w:proofErr w:type="spellEnd"/>
      <w:r w:rsidRPr="00C9386A">
        <w:rPr>
          <w:rFonts w:ascii="Book Antiqua" w:hAnsi="Book Antiqua" w:cs="Book Antiqua"/>
          <w:b/>
          <w:bCs/>
          <w:color w:val="000000" w:themeColor="text1"/>
        </w:rPr>
        <w:t xml:space="preserve"> R</w:t>
      </w:r>
      <w:r w:rsidRPr="00C9386A">
        <w:rPr>
          <w:rFonts w:ascii="Book Antiqua" w:hAnsi="Book Antiqua" w:cs="Book Antiqua"/>
          <w:color w:val="000000" w:themeColor="text1"/>
        </w:rPr>
        <w:t>, Quintana J, Brundage B. Adverse reactions to indocyanine green: a case report and a review of the literature. </w:t>
      </w:r>
      <w:proofErr w:type="spellStart"/>
      <w:r w:rsidRPr="00C9386A">
        <w:rPr>
          <w:rFonts w:ascii="Book Antiqua" w:hAnsi="Book Antiqua" w:cs="Book Antiqua"/>
          <w:i/>
          <w:iCs/>
          <w:color w:val="000000" w:themeColor="text1"/>
        </w:rPr>
        <w:t>Cathet</w:t>
      </w:r>
      <w:proofErr w:type="spellEnd"/>
      <w:r w:rsidRPr="00C9386A">
        <w:rPr>
          <w:rFonts w:ascii="Book Antiqua" w:hAnsi="Book Antiqua" w:cs="Book Antiqua"/>
          <w:i/>
          <w:iCs/>
          <w:color w:val="000000" w:themeColor="text1"/>
        </w:rPr>
        <w:t xml:space="preserve"> Cardiovasc Diagn</w:t>
      </w:r>
      <w:r w:rsidRPr="00C9386A">
        <w:rPr>
          <w:rFonts w:ascii="Book Antiqua" w:hAnsi="Book Antiqua" w:cs="Book Antiqua"/>
          <w:color w:val="000000" w:themeColor="text1"/>
        </w:rPr>
        <w:t> 1989; </w:t>
      </w:r>
      <w:r w:rsidRPr="00C9386A">
        <w:rPr>
          <w:rFonts w:ascii="Book Antiqua" w:hAnsi="Book Antiqua" w:cs="Book Antiqua"/>
          <w:b/>
          <w:bCs/>
          <w:color w:val="000000" w:themeColor="text1"/>
        </w:rPr>
        <w:t>17</w:t>
      </w:r>
      <w:r w:rsidRPr="00C9386A">
        <w:rPr>
          <w:rFonts w:ascii="Book Antiqua" w:hAnsi="Book Antiqua" w:cs="Book Antiqua"/>
          <w:color w:val="000000" w:themeColor="text1"/>
        </w:rPr>
        <w:t>: 231-233 [PMID: 2670244 DOI: 10.1002/ccd.1810170410]</w:t>
      </w:r>
    </w:p>
    <w:p w14:paraId="7DF0CB52" w14:textId="2323BDF4"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highlight w:val="yellow"/>
        </w:rPr>
      </w:pPr>
      <w:r w:rsidRPr="00C9386A">
        <w:rPr>
          <w:rFonts w:ascii="Book Antiqua" w:hAnsi="Book Antiqua" w:cs="Book Antiqua"/>
          <w:color w:val="000000" w:themeColor="text1"/>
          <w:highlight w:val="yellow"/>
        </w:rPr>
        <w:t xml:space="preserve">33 </w:t>
      </w:r>
      <w:r w:rsidRPr="00C9386A">
        <w:rPr>
          <w:rFonts w:ascii="Book Antiqua" w:hAnsi="Book Antiqua" w:cs="Book Antiqua"/>
          <w:b/>
          <w:bCs/>
          <w:color w:val="000000" w:themeColor="text1"/>
          <w:highlight w:val="yellow"/>
        </w:rPr>
        <w:t>FDA.</w:t>
      </w:r>
      <w:r w:rsidRPr="00C9386A">
        <w:rPr>
          <w:rFonts w:ascii="Book Antiqua" w:hAnsi="Book Antiqua" w:cs="Book Antiqua"/>
          <w:color w:val="000000" w:themeColor="text1"/>
          <w:highlight w:val="yellow"/>
        </w:rPr>
        <w:t xml:space="preserve"> Professional Drug Information: Indocyanine Green. 2018. </w:t>
      </w:r>
      <w:r w:rsidR="00C27739">
        <w:rPr>
          <w:rFonts w:ascii="Book Antiqua" w:hAnsi="Book Antiqua" w:cs="Book Antiqua"/>
          <w:color w:val="000000" w:themeColor="text1"/>
          <w:highlight w:val="yellow"/>
        </w:rPr>
        <w:t>[</w:t>
      </w:r>
      <w:r w:rsidRPr="00C9386A">
        <w:rPr>
          <w:rFonts w:ascii="Book Antiqua" w:hAnsi="Book Antiqua" w:cs="Book Antiqua"/>
          <w:color w:val="000000" w:themeColor="text1"/>
          <w:highlight w:val="yellow"/>
        </w:rPr>
        <w:t>Assessed November 2019</w:t>
      </w:r>
      <w:r w:rsidR="00C27739">
        <w:rPr>
          <w:rFonts w:ascii="Book Antiqua" w:hAnsi="Book Antiqua" w:cs="Book Antiqua"/>
          <w:color w:val="000000" w:themeColor="text1"/>
          <w:highlight w:val="yellow"/>
        </w:rPr>
        <w:t>].</w:t>
      </w:r>
      <w:r w:rsidRPr="00C9386A">
        <w:rPr>
          <w:rFonts w:ascii="Book Antiqua" w:hAnsi="Book Antiqua" w:cs="Book Antiqua"/>
          <w:color w:val="000000" w:themeColor="text1"/>
          <w:highlight w:val="yellow"/>
        </w:rPr>
        <w:t xml:space="preserve"> Available from: </w:t>
      </w:r>
      <w:hyperlink r:id="rId12" w:history="1">
        <w:r w:rsidR="00F001C1" w:rsidRPr="00C40851">
          <w:rPr>
            <w:rStyle w:val="Hyperlink"/>
            <w:rFonts w:ascii="Book Antiqua" w:hAnsi="Book Antiqua" w:cs="Book Antiqua"/>
            <w:highlight w:val="yellow"/>
          </w:rPr>
          <w:t>https://www.drugs.com/pro/indocyanine-green.html</w:t>
        </w:r>
      </w:hyperlink>
      <w:r w:rsidR="00F001C1">
        <w:rPr>
          <w:rFonts w:ascii="Book Antiqua" w:hAnsi="Book Antiqua" w:cs="Book Antiqua"/>
          <w:color w:val="000000" w:themeColor="text1"/>
          <w:highlight w:val="yellow"/>
        </w:rPr>
        <w:t xml:space="preserve"> </w:t>
      </w:r>
    </w:p>
    <w:p w14:paraId="19B513A2"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34 </w:t>
      </w:r>
      <w:r w:rsidRPr="00C9386A">
        <w:rPr>
          <w:rFonts w:ascii="Book Antiqua" w:hAnsi="Book Antiqua" w:cs="Book Antiqua"/>
          <w:b/>
          <w:bCs/>
          <w:color w:val="000000" w:themeColor="text1"/>
        </w:rPr>
        <w:t>Kelly K</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Alencar</w:t>
      </w:r>
      <w:proofErr w:type="spellEnd"/>
      <w:r w:rsidRPr="00C9386A">
        <w:rPr>
          <w:rFonts w:ascii="Book Antiqua" w:hAnsi="Book Antiqua" w:cs="Book Antiqua"/>
          <w:color w:val="000000" w:themeColor="text1"/>
        </w:rPr>
        <w:t xml:space="preserve"> H, </w:t>
      </w:r>
      <w:proofErr w:type="spellStart"/>
      <w:r w:rsidRPr="00C9386A">
        <w:rPr>
          <w:rFonts w:ascii="Book Antiqua" w:hAnsi="Book Antiqua" w:cs="Book Antiqua"/>
          <w:color w:val="000000" w:themeColor="text1"/>
        </w:rPr>
        <w:t>Funovics</w:t>
      </w:r>
      <w:proofErr w:type="spellEnd"/>
      <w:r w:rsidRPr="00C9386A">
        <w:rPr>
          <w:rFonts w:ascii="Book Antiqua" w:hAnsi="Book Antiqua" w:cs="Book Antiqua"/>
          <w:color w:val="000000" w:themeColor="text1"/>
        </w:rPr>
        <w:t xml:space="preserve"> M, Mahmood U, </w:t>
      </w:r>
      <w:proofErr w:type="spellStart"/>
      <w:r w:rsidRPr="00C9386A">
        <w:rPr>
          <w:rFonts w:ascii="Book Antiqua" w:hAnsi="Book Antiqua" w:cs="Book Antiqua"/>
          <w:color w:val="000000" w:themeColor="text1"/>
        </w:rPr>
        <w:t>Weissleder</w:t>
      </w:r>
      <w:proofErr w:type="spellEnd"/>
      <w:r w:rsidRPr="00C9386A">
        <w:rPr>
          <w:rFonts w:ascii="Book Antiqua" w:hAnsi="Book Antiqua" w:cs="Book Antiqua"/>
          <w:color w:val="000000" w:themeColor="text1"/>
        </w:rPr>
        <w:t xml:space="preserve"> R. Detection of invasive colon cancer using a novel, targeted, library-derived fluorescent peptide. </w:t>
      </w:r>
      <w:r w:rsidRPr="00C9386A">
        <w:rPr>
          <w:rFonts w:ascii="Book Antiqua" w:hAnsi="Book Antiqua" w:cs="Book Antiqua"/>
          <w:i/>
          <w:iCs/>
          <w:color w:val="000000" w:themeColor="text1"/>
        </w:rPr>
        <w:t>Cancer Res</w:t>
      </w:r>
      <w:r w:rsidRPr="00C9386A">
        <w:rPr>
          <w:rFonts w:ascii="Book Antiqua" w:hAnsi="Book Antiqua" w:cs="Book Antiqua"/>
          <w:color w:val="000000" w:themeColor="text1"/>
        </w:rPr>
        <w:t> 2004; </w:t>
      </w:r>
      <w:r w:rsidRPr="00C9386A">
        <w:rPr>
          <w:rFonts w:ascii="Book Antiqua" w:hAnsi="Book Antiqua" w:cs="Book Antiqua"/>
          <w:b/>
          <w:bCs/>
          <w:color w:val="000000" w:themeColor="text1"/>
        </w:rPr>
        <w:t>64</w:t>
      </w:r>
      <w:r w:rsidRPr="00C9386A">
        <w:rPr>
          <w:rFonts w:ascii="Book Antiqua" w:hAnsi="Book Antiqua" w:cs="Book Antiqua"/>
          <w:color w:val="000000" w:themeColor="text1"/>
        </w:rPr>
        <w:t>: 6247-6251 [PMID: 15342411 DOI: 10.1158/0008-5472.CAN-04-0817]</w:t>
      </w:r>
    </w:p>
    <w:p w14:paraId="52BEF7A8"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lastRenderedPageBreak/>
        <w:t>35 </w:t>
      </w:r>
      <w:r w:rsidRPr="00C9386A">
        <w:rPr>
          <w:rFonts w:ascii="Book Antiqua" w:hAnsi="Book Antiqua" w:cs="Book Antiqua"/>
          <w:b/>
          <w:bCs/>
          <w:color w:val="000000" w:themeColor="text1"/>
        </w:rPr>
        <w:t xml:space="preserve">van </w:t>
      </w:r>
      <w:proofErr w:type="spellStart"/>
      <w:r w:rsidRPr="00C9386A">
        <w:rPr>
          <w:rFonts w:ascii="Book Antiqua" w:hAnsi="Book Antiqua" w:cs="Book Antiqua"/>
          <w:b/>
          <w:bCs/>
          <w:color w:val="000000" w:themeColor="text1"/>
        </w:rPr>
        <w:t>Oosten</w:t>
      </w:r>
      <w:proofErr w:type="spellEnd"/>
      <w:r w:rsidRPr="00C9386A">
        <w:rPr>
          <w:rFonts w:ascii="Book Antiqua" w:hAnsi="Book Antiqua" w:cs="Book Antiqua"/>
          <w:b/>
          <w:bCs/>
          <w:color w:val="000000" w:themeColor="text1"/>
        </w:rPr>
        <w:t xml:space="preserve"> M</w:t>
      </w:r>
      <w:r w:rsidRPr="00C9386A">
        <w:rPr>
          <w:rFonts w:ascii="Book Antiqua" w:hAnsi="Book Antiqua" w:cs="Book Antiqua"/>
          <w:color w:val="000000" w:themeColor="text1"/>
        </w:rPr>
        <w:t xml:space="preserve">, Crane LM, Bart J, van Leeuwen FW, van Dam GM. Selecting Potential Targetable Biomarkers for Imaging Purposes in Colorectal Cancer Using </w:t>
      </w:r>
      <w:proofErr w:type="spellStart"/>
      <w:r w:rsidRPr="00C9386A">
        <w:rPr>
          <w:rFonts w:ascii="Book Antiqua" w:hAnsi="Book Antiqua" w:cs="Book Antiqua"/>
          <w:color w:val="000000" w:themeColor="text1"/>
        </w:rPr>
        <w:t>TArget</w:t>
      </w:r>
      <w:proofErr w:type="spellEnd"/>
      <w:r w:rsidRPr="00C9386A">
        <w:rPr>
          <w:rFonts w:ascii="Book Antiqua" w:hAnsi="Book Antiqua" w:cs="Book Antiqua"/>
          <w:color w:val="000000" w:themeColor="text1"/>
        </w:rPr>
        <w:t xml:space="preserve"> Selection Criteria (TASC): A Novel Target Identification Tool. </w:t>
      </w:r>
      <w:proofErr w:type="spellStart"/>
      <w:r w:rsidRPr="00C9386A">
        <w:rPr>
          <w:rFonts w:ascii="Book Antiqua" w:hAnsi="Book Antiqua" w:cs="Book Antiqua"/>
          <w:i/>
          <w:iCs/>
          <w:color w:val="000000" w:themeColor="text1"/>
        </w:rPr>
        <w:t>Transl</w:t>
      </w:r>
      <w:proofErr w:type="spellEnd"/>
      <w:r w:rsidRPr="00C9386A">
        <w:rPr>
          <w:rFonts w:ascii="Book Antiqua" w:hAnsi="Book Antiqua" w:cs="Book Antiqua"/>
          <w:i/>
          <w:iCs/>
          <w:color w:val="000000" w:themeColor="text1"/>
        </w:rPr>
        <w:t xml:space="preserve"> Oncol</w:t>
      </w:r>
      <w:r w:rsidRPr="00C9386A">
        <w:rPr>
          <w:rFonts w:ascii="Book Antiqua" w:hAnsi="Book Antiqua" w:cs="Book Antiqua"/>
          <w:color w:val="000000" w:themeColor="text1"/>
        </w:rPr>
        <w:t> 2011; </w:t>
      </w:r>
      <w:r w:rsidRPr="00C9386A">
        <w:rPr>
          <w:rFonts w:ascii="Book Antiqua" w:hAnsi="Book Antiqua" w:cs="Book Antiqua"/>
          <w:b/>
          <w:bCs/>
          <w:color w:val="000000" w:themeColor="text1"/>
        </w:rPr>
        <w:t>4</w:t>
      </w:r>
      <w:r w:rsidRPr="00C9386A">
        <w:rPr>
          <w:rFonts w:ascii="Book Antiqua" w:hAnsi="Book Antiqua" w:cs="Book Antiqua"/>
          <w:color w:val="000000" w:themeColor="text1"/>
        </w:rPr>
        <w:t>: 71-82 [PMID: 21461170 DOI: 10.1593/tlo.10220]</w:t>
      </w:r>
    </w:p>
    <w:p w14:paraId="032FBEA7"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36 </w:t>
      </w:r>
      <w:proofErr w:type="spellStart"/>
      <w:r w:rsidRPr="00C9386A">
        <w:rPr>
          <w:rFonts w:ascii="Book Antiqua" w:hAnsi="Book Antiqua" w:cs="Book Antiqua"/>
          <w:b/>
          <w:bCs/>
          <w:color w:val="000000" w:themeColor="text1"/>
        </w:rPr>
        <w:t>Schwegmann</w:t>
      </w:r>
      <w:proofErr w:type="spellEnd"/>
      <w:r w:rsidRPr="00C9386A">
        <w:rPr>
          <w:rFonts w:ascii="Book Antiqua" w:hAnsi="Book Antiqua" w:cs="Book Antiqua"/>
          <w:b/>
          <w:bCs/>
          <w:color w:val="000000" w:themeColor="text1"/>
        </w:rPr>
        <w:t xml:space="preserve"> K</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Bettenworth</w:t>
      </w:r>
      <w:proofErr w:type="spellEnd"/>
      <w:r w:rsidRPr="00C9386A">
        <w:rPr>
          <w:rFonts w:ascii="Book Antiqua" w:hAnsi="Book Antiqua" w:cs="Book Antiqua"/>
          <w:color w:val="000000" w:themeColor="text1"/>
        </w:rPr>
        <w:t xml:space="preserve"> D, Hermann S, Faust A, Poremba C, </w:t>
      </w:r>
      <w:proofErr w:type="spellStart"/>
      <w:r w:rsidRPr="00C9386A">
        <w:rPr>
          <w:rFonts w:ascii="Book Antiqua" w:hAnsi="Book Antiqua" w:cs="Book Antiqua"/>
          <w:color w:val="000000" w:themeColor="text1"/>
        </w:rPr>
        <w:t>Foell</w:t>
      </w:r>
      <w:proofErr w:type="spellEnd"/>
      <w:r w:rsidRPr="00C9386A">
        <w:rPr>
          <w:rFonts w:ascii="Book Antiqua" w:hAnsi="Book Antiqua" w:cs="Book Antiqua"/>
          <w:color w:val="000000" w:themeColor="text1"/>
        </w:rPr>
        <w:t xml:space="preserve"> D, </w:t>
      </w:r>
      <w:proofErr w:type="spellStart"/>
      <w:r w:rsidRPr="00C9386A">
        <w:rPr>
          <w:rFonts w:ascii="Book Antiqua" w:hAnsi="Book Antiqua" w:cs="Book Antiqua"/>
          <w:color w:val="000000" w:themeColor="text1"/>
        </w:rPr>
        <w:t>Schäfers</w:t>
      </w:r>
      <w:proofErr w:type="spellEnd"/>
      <w:r w:rsidRPr="00C9386A">
        <w:rPr>
          <w:rFonts w:ascii="Book Antiqua" w:hAnsi="Book Antiqua" w:cs="Book Antiqua"/>
          <w:color w:val="000000" w:themeColor="text1"/>
        </w:rPr>
        <w:t xml:space="preserve"> M, Domagk D, Lenz P. Detection of Early Murine Colorectal Cancer by MMP-2/-9-Guided Fluorescence Endoscopy. </w:t>
      </w:r>
      <w:proofErr w:type="spellStart"/>
      <w:r w:rsidRPr="00C9386A">
        <w:rPr>
          <w:rFonts w:ascii="Book Antiqua" w:hAnsi="Book Antiqua" w:cs="Book Antiqua"/>
          <w:i/>
          <w:iCs/>
          <w:color w:val="000000" w:themeColor="text1"/>
        </w:rPr>
        <w:t>Inflamm</w:t>
      </w:r>
      <w:proofErr w:type="spellEnd"/>
      <w:r w:rsidRPr="00C9386A">
        <w:rPr>
          <w:rFonts w:ascii="Book Antiqua" w:hAnsi="Book Antiqua" w:cs="Book Antiqua"/>
          <w:i/>
          <w:iCs/>
          <w:color w:val="000000" w:themeColor="text1"/>
        </w:rPr>
        <w:t xml:space="preserve"> Bowel Dis</w:t>
      </w:r>
      <w:r w:rsidRPr="00C9386A">
        <w:rPr>
          <w:rFonts w:ascii="Book Antiqua" w:hAnsi="Book Antiqua" w:cs="Book Antiqua"/>
          <w:color w:val="000000" w:themeColor="text1"/>
        </w:rPr>
        <w:t> 2016; </w:t>
      </w:r>
      <w:r w:rsidRPr="00C9386A">
        <w:rPr>
          <w:rFonts w:ascii="Book Antiqua" w:hAnsi="Book Antiqua" w:cs="Book Antiqua"/>
          <w:b/>
          <w:bCs/>
          <w:color w:val="000000" w:themeColor="text1"/>
        </w:rPr>
        <w:t>22</w:t>
      </w:r>
      <w:r w:rsidRPr="00C9386A">
        <w:rPr>
          <w:rFonts w:ascii="Book Antiqua" w:hAnsi="Book Antiqua" w:cs="Book Antiqua"/>
          <w:color w:val="000000" w:themeColor="text1"/>
        </w:rPr>
        <w:t>: 82-91 [PMID: 26457379 DOI: 10.1097/MIB.0000000000000605]</w:t>
      </w:r>
    </w:p>
    <w:p w14:paraId="59B1BF3E"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37 </w:t>
      </w:r>
      <w:r w:rsidRPr="00C9386A">
        <w:rPr>
          <w:rFonts w:ascii="Book Antiqua" w:hAnsi="Book Antiqua" w:cs="Book Antiqua"/>
          <w:b/>
          <w:bCs/>
          <w:color w:val="000000" w:themeColor="text1"/>
        </w:rPr>
        <w:t>Ito S</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Muguruma</w:t>
      </w:r>
      <w:proofErr w:type="spellEnd"/>
      <w:r w:rsidRPr="00C9386A">
        <w:rPr>
          <w:rFonts w:ascii="Book Antiqua" w:hAnsi="Book Antiqua" w:cs="Book Antiqua"/>
          <w:color w:val="000000" w:themeColor="text1"/>
        </w:rPr>
        <w:t xml:space="preserve"> N, </w:t>
      </w:r>
      <w:proofErr w:type="spellStart"/>
      <w:r w:rsidRPr="00C9386A">
        <w:rPr>
          <w:rFonts w:ascii="Book Antiqua" w:hAnsi="Book Antiqua" w:cs="Book Antiqua"/>
          <w:color w:val="000000" w:themeColor="text1"/>
        </w:rPr>
        <w:t>Kusaka</w:t>
      </w:r>
      <w:proofErr w:type="spellEnd"/>
      <w:r w:rsidRPr="00C9386A">
        <w:rPr>
          <w:rFonts w:ascii="Book Antiqua" w:hAnsi="Book Antiqua" w:cs="Book Antiqua"/>
          <w:color w:val="000000" w:themeColor="text1"/>
        </w:rPr>
        <w:t xml:space="preserve"> Y, </w:t>
      </w:r>
      <w:proofErr w:type="spellStart"/>
      <w:r w:rsidRPr="00C9386A">
        <w:rPr>
          <w:rFonts w:ascii="Book Antiqua" w:hAnsi="Book Antiqua" w:cs="Book Antiqua"/>
          <w:color w:val="000000" w:themeColor="text1"/>
        </w:rPr>
        <w:t>Tadatsu</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Inayama</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Musashi</w:t>
      </w:r>
      <w:proofErr w:type="spellEnd"/>
      <w:r w:rsidRPr="00C9386A">
        <w:rPr>
          <w:rFonts w:ascii="Book Antiqua" w:hAnsi="Book Antiqua" w:cs="Book Antiqua"/>
          <w:color w:val="000000" w:themeColor="text1"/>
        </w:rPr>
        <w:t xml:space="preserve"> Y, Yano M, Bando T, Honda H, Shimizu I, Ii K, </w:t>
      </w:r>
      <w:proofErr w:type="spellStart"/>
      <w:r w:rsidRPr="00C9386A">
        <w:rPr>
          <w:rFonts w:ascii="Book Antiqua" w:hAnsi="Book Antiqua" w:cs="Book Antiqua"/>
          <w:color w:val="000000" w:themeColor="text1"/>
        </w:rPr>
        <w:t>Takesako</w:t>
      </w:r>
      <w:proofErr w:type="spellEnd"/>
      <w:r w:rsidRPr="00C9386A">
        <w:rPr>
          <w:rFonts w:ascii="Book Antiqua" w:hAnsi="Book Antiqua" w:cs="Book Antiqua"/>
          <w:color w:val="000000" w:themeColor="text1"/>
        </w:rPr>
        <w:t xml:space="preserve"> K, Takeuchi H, </w:t>
      </w:r>
      <w:proofErr w:type="spellStart"/>
      <w:r w:rsidRPr="00C9386A">
        <w:rPr>
          <w:rFonts w:ascii="Book Antiqua" w:hAnsi="Book Antiqua" w:cs="Book Antiqua"/>
          <w:color w:val="000000" w:themeColor="text1"/>
        </w:rPr>
        <w:t>Shibamura</w:t>
      </w:r>
      <w:proofErr w:type="spellEnd"/>
      <w:r w:rsidRPr="00C9386A">
        <w:rPr>
          <w:rFonts w:ascii="Book Antiqua" w:hAnsi="Book Antiqua" w:cs="Book Antiqua"/>
          <w:color w:val="000000" w:themeColor="text1"/>
        </w:rPr>
        <w:t xml:space="preserve"> S. Detection of human gastric cancer in resected specimens using a novel infrared fluorescent anti-human carcinoembryonic antigen antibody with an infrared fluorescence endoscope in vitro. </w:t>
      </w:r>
      <w:r w:rsidRPr="00C9386A">
        <w:rPr>
          <w:rFonts w:ascii="Book Antiqua" w:hAnsi="Book Antiqua" w:cs="Book Antiqua"/>
          <w:i/>
          <w:iCs/>
          <w:color w:val="000000" w:themeColor="text1"/>
        </w:rPr>
        <w:t>Endoscopy</w:t>
      </w:r>
      <w:r w:rsidRPr="00C9386A">
        <w:rPr>
          <w:rFonts w:ascii="Book Antiqua" w:hAnsi="Book Antiqua" w:cs="Book Antiqua"/>
          <w:color w:val="000000" w:themeColor="text1"/>
        </w:rPr>
        <w:t> 2001; </w:t>
      </w:r>
      <w:r w:rsidRPr="00C9386A">
        <w:rPr>
          <w:rFonts w:ascii="Book Antiqua" w:hAnsi="Book Antiqua" w:cs="Book Antiqua"/>
          <w:b/>
          <w:bCs/>
          <w:color w:val="000000" w:themeColor="text1"/>
        </w:rPr>
        <w:t>33</w:t>
      </w:r>
      <w:r w:rsidRPr="00C9386A">
        <w:rPr>
          <w:rFonts w:ascii="Book Antiqua" w:hAnsi="Book Antiqua" w:cs="Book Antiqua"/>
          <w:color w:val="000000" w:themeColor="text1"/>
        </w:rPr>
        <w:t>: 849-853 [PMID: 11571680 DOI: 10.1055/s-2001-17328]</w:t>
      </w:r>
    </w:p>
    <w:p w14:paraId="13029EAC"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38 </w:t>
      </w:r>
      <w:proofErr w:type="spellStart"/>
      <w:r w:rsidRPr="00C9386A">
        <w:rPr>
          <w:rFonts w:ascii="Book Antiqua" w:hAnsi="Book Antiqua" w:cs="Book Antiqua"/>
          <w:b/>
          <w:bCs/>
          <w:color w:val="000000" w:themeColor="text1"/>
        </w:rPr>
        <w:t>Laerum</w:t>
      </w:r>
      <w:proofErr w:type="spellEnd"/>
      <w:r w:rsidRPr="00C9386A">
        <w:rPr>
          <w:rFonts w:ascii="Book Antiqua" w:hAnsi="Book Antiqua" w:cs="Book Antiqua"/>
          <w:b/>
          <w:bCs/>
          <w:color w:val="000000" w:themeColor="text1"/>
        </w:rPr>
        <w:t xml:space="preserve"> OD</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Ovrebo</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Skarstein</w:t>
      </w:r>
      <w:proofErr w:type="spellEnd"/>
      <w:r w:rsidRPr="00C9386A">
        <w:rPr>
          <w:rFonts w:ascii="Book Antiqua" w:hAnsi="Book Antiqua" w:cs="Book Antiqua"/>
          <w:color w:val="000000" w:themeColor="text1"/>
        </w:rPr>
        <w:t xml:space="preserve"> A, Christensen IJ, </w:t>
      </w:r>
      <w:proofErr w:type="spellStart"/>
      <w:r w:rsidRPr="00C9386A">
        <w:rPr>
          <w:rFonts w:ascii="Book Antiqua" w:hAnsi="Book Antiqua" w:cs="Book Antiqua"/>
          <w:color w:val="000000" w:themeColor="text1"/>
        </w:rPr>
        <w:t>Alpízar-Alpízar</w:t>
      </w:r>
      <w:proofErr w:type="spellEnd"/>
      <w:r w:rsidRPr="00C9386A">
        <w:rPr>
          <w:rFonts w:ascii="Book Antiqua" w:hAnsi="Book Antiqua" w:cs="Book Antiqua"/>
          <w:color w:val="000000" w:themeColor="text1"/>
        </w:rPr>
        <w:t xml:space="preserve"> W, </w:t>
      </w:r>
      <w:proofErr w:type="spellStart"/>
      <w:r w:rsidRPr="00C9386A">
        <w:rPr>
          <w:rFonts w:ascii="Book Antiqua" w:hAnsi="Book Antiqua" w:cs="Book Antiqua"/>
          <w:color w:val="000000" w:themeColor="text1"/>
        </w:rPr>
        <w:t>Helgeland</w:t>
      </w:r>
      <w:proofErr w:type="spellEnd"/>
      <w:r w:rsidRPr="00C9386A">
        <w:rPr>
          <w:rFonts w:ascii="Book Antiqua" w:hAnsi="Book Antiqua" w:cs="Book Antiqua"/>
          <w:color w:val="000000" w:themeColor="text1"/>
        </w:rPr>
        <w:t xml:space="preserve"> L, </w:t>
      </w:r>
      <w:proofErr w:type="spellStart"/>
      <w:r w:rsidRPr="00C9386A">
        <w:rPr>
          <w:rFonts w:ascii="Book Antiqua" w:hAnsi="Book Antiqua" w:cs="Book Antiqua"/>
          <w:color w:val="000000" w:themeColor="text1"/>
        </w:rPr>
        <w:t>Danø</w:t>
      </w:r>
      <w:proofErr w:type="spellEnd"/>
      <w:r w:rsidRPr="00C9386A">
        <w:rPr>
          <w:rFonts w:ascii="Book Antiqua" w:hAnsi="Book Antiqua" w:cs="Book Antiqua"/>
          <w:color w:val="000000" w:themeColor="text1"/>
        </w:rPr>
        <w:t xml:space="preserve"> K, Nielsen BS, </w:t>
      </w:r>
      <w:proofErr w:type="spellStart"/>
      <w:r w:rsidRPr="00C9386A">
        <w:rPr>
          <w:rFonts w:ascii="Book Antiqua" w:hAnsi="Book Antiqua" w:cs="Book Antiqua"/>
          <w:color w:val="000000" w:themeColor="text1"/>
        </w:rPr>
        <w:t>Illemann</w:t>
      </w:r>
      <w:proofErr w:type="spellEnd"/>
      <w:r w:rsidRPr="00C9386A">
        <w:rPr>
          <w:rFonts w:ascii="Book Antiqua" w:hAnsi="Book Antiqua" w:cs="Book Antiqua"/>
          <w:color w:val="000000" w:themeColor="text1"/>
        </w:rPr>
        <w:t xml:space="preserve"> M. Prognosis in adenocarcinomas of lower </w:t>
      </w:r>
      <w:proofErr w:type="spellStart"/>
      <w:r w:rsidRPr="00C9386A">
        <w:rPr>
          <w:rFonts w:ascii="Book Antiqua" w:hAnsi="Book Antiqua" w:cs="Book Antiqua"/>
          <w:color w:val="000000" w:themeColor="text1"/>
        </w:rPr>
        <w:t>oesophagus</w:t>
      </w:r>
      <w:proofErr w:type="spellEnd"/>
      <w:r w:rsidRPr="00C9386A">
        <w:rPr>
          <w:rFonts w:ascii="Book Antiqua" w:hAnsi="Book Antiqua" w:cs="Book Antiqua"/>
          <w:color w:val="000000" w:themeColor="text1"/>
        </w:rPr>
        <w:t>, gastro-</w:t>
      </w:r>
      <w:proofErr w:type="spellStart"/>
      <w:r w:rsidRPr="00C9386A">
        <w:rPr>
          <w:rFonts w:ascii="Book Antiqua" w:hAnsi="Book Antiqua" w:cs="Book Antiqua"/>
          <w:color w:val="000000" w:themeColor="text1"/>
        </w:rPr>
        <w:t>oesophageal</w:t>
      </w:r>
      <w:proofErr w:type="spellEnd"/>
      <w:r w:rsidRPr="00C9386A">
        <w:rPr>
          <w:rFonts w:ascii="Book Antiqua" w:hAnsi="Book Antiqua" w:cs="Book Antiqua"/>
          <w:color w:val="000000" w:themeColor="text1"/>
        </w:rPr>
        <w:t xml:space="preserve"> junction and cardia evaluated by </w:t>
      </w:r>
      <w:proofErr w:type="spellStart"/>
      <w:r w:rsidRPr="00C9386A">
        <w:rPr>
          <w:rFonts w:ascii="Book Antiqua" w:hAnsi="Book Antiqua" w:cs="Book Antiqua"/>
          <w:color w:val="000000" w:themeColor="text1"/>
        </w:rPr>
        <w:t>uPAR</w:t>
      </w:r>
      <w:proofErr w:type="spellEnd"/>
      <w:r w:rsidRPr="00C9386A">
        <w:rPr>
          <w:rFonts w:ascii="Book Antiqua" w:hAnsi="Book Antiqua" w:cs="Book Antiqua"/>
          <w:color w:val="000000" w:themeColor="text1"/>
        </w:rPr>
        <w:t>-immunohistochemistry. </w:t>
      </w:r>
      <w:proofErr w:type="spellStart"/>
      <w:r w:rsidRPr="00C9386A">
        <w:rPr>
          <w:rFonts w:ascii="Book Antiqua" w:hAnsi="Book Antiqua" w:cs="Book Antiqua"/>
          <w:i/>
          <w:iCs/>
          <w:color w:val="000000" w:themeColor="text1"/>
        </w:rPr>
        <w:t>Int</w:t>
      </w:r>
      <w:proofErr w:type="spellEnd"/>
      <w:r w:rsidRPr="00C9386A">
        <w:rPr>
          <w:rFonts w:ascii="Book Antiqua" w:hAnsi="Book Antiqua" w:cs="Book Antiqua"/>
          <w:i/>
          <w:iCs/>
          <w:color w:val="000000" w:themeColor="text1"/>
        </w:rPr>
        <w:t xml:space="preserve"> J Cancer</w:t>
      </w:r>
      <w:r w:rsidRPr="00C9386A">
        <w:rPr>
          <w:rFonts w:ascii="Book Antiqua" w:hAnsi="Book Antiqua" w:cs="Book Antiqua"/>
          <w:color w:val="000000" w:themeColor="text1"/>
        </w:rPr>
        <w:t> 2012; </w:t>
      </w:r>
      <w:r w:rsidRPr="00C9386A">
        <w:rPr>
          <w:rFonts w:ascii="Book Antiqua" w:hAnsi="Book Antiqua" w:cs="Book Antiqua"/>
          <w:b/>
          <w:bCs/>
          <w:color w:val="000000" w:themeColor="text1"/>
        </w:rPr>
        <w:t>131</w:t>
      </w:r>
      <w:r w:rsidRPr="00C9386A">
        <w:rPr>
          <w:rFonts w:ascii="Book Antiqua" w:hAnsi="Book Antiqua" w:cs="Book Antiqua"/>
          <w:color w:val="000000" w:themeColor="text1"/>
        </w:rPr>
        <w:t>: 558-569 [PMID: 21866548 DOI: 10.1002/ijc.26382]</w:t>
      </w:r>
    </w:p>
    <w:p w14:paraId="668DDB3D"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39 </w:t>
      </w:r>
      <w:r w:rsidRPr="00C9386A">
        <w:rPr>
          <w:rFonts w:ascii="Book Antiqua" w:hAnsi="Book Antiqua" w:cs="Book Antiqua"/>
          <w:b/>
          <w:bCs/>
          <w:color w:val="000000" w:themeColor="text1"/>
        </w:rPr>
        <w:t>Noh H</w:t>
      </w:r>
      <w:r w:rsidRPr="00C9386A">
        <w:rPr>
          <w:rFonts w:ascii="Book Antiqua" w:hAnsi="Book Antiqua" w:cs="Book Antiqua"/>
          <w:color w:val="000000" w:themeColor="text1"/>
        </w:rPr>
        <w:t>, Hong S, Huang S. Role of urokinase receptor in tumor progression and development. </w:t>
      </w:r>
      <w:proofErr w:type="spellStart"/>
      <w:r w:rsidRPr="00C9386A">
        <w:rPr>
          <w:rFonts w:ascii="Book Antiqua" w:hAnsi="Book Antiqua" w:cs="Book Antiqua"/>
          <w:i/>
          <w:iCs/>
          <w:color w:val="000000" w:themeColor="text1"/>
        </w:rPr>
        <w:t>Theranostics</w:t>
      </w:r>
      <w:proofErr w:type="spellEnd"/>
      <w:r w:rsidRPr="00C9386A">
        <w:rPr>
          <w:rFonts w:ascii="Book Antiqua" w:hAnsi="Book Antiqua" w:cs="Book Antiqua"/>
          <w:color w:val="000000" w:themeColor="text1"/>
        </w:rPr>
        <w:t> 2013; </w:t>
      </w:r>
      <w:r w:rsidRPr="00C9386A">
        <w:rPr>
          <w:rFonts w:ascii="Book Antiqua" w:hAnsi="Book Antiqua" w:cs="Book Antiqua"/>
          <w:b/>
          <w:bCs/>
          <w:color w:val="000000" w:themeColor="text1"/>
        </w:rPr>
        <w:t>3</w:t>
      </w:r>
      <w:r w:rsidRPr="00C9386A">
        <w:rPr>
          <w:rFonts w:ascii="Book Antiqua" w:hAnsi="Book Antiqua" w:cs="Book Antiqua"/>
          <w:color w:val="000000" w:themeColor="text1"/>
        </w:rPr>
        <w:t>: 487-495 [PMID: 23843896 DOI: 10.7150/thno.4218]</w:t>
      </w:r>
    </w:p>
    <w:p w14:paraId="6B209A2F"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40 </w:t>
      </w:r>
      <w:proofErr w:type="spellStart"/>
      <w:r w:rsidRPr="00C9386A">
        <w:rPr>
          <w:rFonts w:ascii="Book Antiqua" w:hAnsi="Book Antiqua" w:cs="Book Antiqua"/>
          <w:b/>
          <w:bCs/>
          <w:color w:val="000000" w:themeColor="text1"/>
        </w:rPr>
        <w:t>Alpízar-Alpízar</w:t>
      </w:r>
      <w:proofErr w:type="spellEnd"/>
      <w:r w:rsidRPr="00C9386A">
        <w:rPr>
          <w:rFonts w:ascii="Book Antiqua" w:hAnsi="Book Antiqua" w:cs="Book Antiqua"/>
          <w:b/>
          <w:bCs/>
          <w:color w:val="000000" w:themeColor="text1"/>
        </w:rPr>
        <w:t xml:space="preserve"> W</w:t>
      </w:r>
      <w:r w:rsidRPr="00C9386A">
        <w:rPr>
          <w:rFonts w:ascii="Book Antiqua" w:hAnsi="Book Antiqua" w:cs="Book Antiqua"/>
          <w:color w:val="000000" w:themeColor="text1"/>
        </w:rPr>
        <w:t xml:space="preserve">, Christensen IJ, </w:t>
      </w:r>
      <w:proofErr w:type="spellStart"/>
      <w:r w:rsidRPr="00C9386A">
        <w:rPr>
          <w:rFonts w:ascii="Book Antiqua" w:hAnsi="Book Antiqua" w:cs="Book Antiqua"/>
          <w:color w:val="000000" w:themeColor="text1"/>
        </w:rPr>
        <w:t>Santoni-Rugiu</w:t>
      </w:r>
      <w:proofErr w:type="spellEnd"/>
      <w:r w:rsidRPr="00C9386A">
        <w:rPr>
          <w:rFonts w:ascii="Book Antiqua" w:hAnsi="Book Antiqua" w:cs="Book Antiqua"/>
          <w:color w:val="000000" w:themeColor="text1"/>
        </w:rPr>
        <w:t xml:space="preserve"> E, </w:t>
      </w:r>
      <w:proofErr w:type="spellStart"/>
      <w:r w:rsidRPr="00C9386A">
        <w:rPr>
          <w:rFonts w:ascii="Book Antiqua" w:hAnsi="Book Antiqua" w:cs="Book Antiqua"/>
          <w:color w:val="000000" w:themeColor="text1"/>
        </w:rPr>
        <w:t>Skarstein</w:t>
      </w:r>
      <w:proofErr w:type="spellEnd"/>
      <w:r w:rsidRPr="00C9386A">
        <w:rPr>
          <w:rFonts w:ascii="Book Antiqua" w:hAnsi="Book Antiqua" w:cs="Book Antiqua"/>
          <w:color w:val="000000" w:themeColor="text1"/>
        </w:rPr>
        <w:t xml:space="preserve"> A, </w:t>
      </w:r>
      <w:proofErr w:type="spellStart"/>
      <w:r w:rsidRPr="00C9386A">
        <w:rPr>
          <w:rFonts w:ascii="Book Antiqua" w:hAnsi="Book Antiqua" w:cs="Book Antiqua"/>
          <w:color w:val="000000" w:themeColor="text1"/>
        </w:rPr>
        <w:t>Ovrebo</w:t>
      </w:r>
      <w:proofErr w:type="spellEnd"/>
      <w:r w:rsidRPr="00C9386A">
        <w:rPr>
          <w:rFonts w:ascii="Book Antiqua" w:hAnsi="Book Antiqua" w:cs="Book Antiqua"/>
          <w:color w:val="000000" w:themeColor="text1"/>
        </w:rPr>
        <w:t xml:space="preserve"> K, </w:t>
      </w:r>
      <w:proofErr w:type="spellStart"/>
      <w:r w:rsidRPr="00C9386A">
        <w:rPr>
          <w:rFonts w:ascii="Book Antiqua" w:hAnsi="Book Antiqua" w:cs="Book Antiqua"/>
          <w:color w:val="000000" w:themeColor="text1"/>
        </w:rPr>
        <w:t>Illemann</w:t>
      </w:r>
      <w:proofErr w:type="spellEnd"/>
      <w:r w:rsidRPr="00C9386A">
        <w:rPr>
          <w:rFonts w:ascii="Book Antiqua" w:hAnsi="Book Antiqua" w:cs="Book Antiqua"/>
          <w:color w:val="000000" w:themeColor="text1"/>
        </w:rPr>
        <w:t xml:space="preserve"> M, </w:t>
      </w:r>
      <w:proofErr w:type="spellStart"/>
      <w:r w:rsidRPr="00C9386A">
        <w:rPr>
          <w:rFonts w:ascii="Book Antiqua" w:hAnsi="Book Antiqua" w:cs="Book Antiqua"/>
          <w:color w:val="000000" w:themeColor="text1"/>
        </w:rPr>
        <w:t>Laerum</w:t>
      </w:r>
      <w:proofErr w:type="spellEnd"/>
      <w:r w:rsidRPr="00C9386A">
        <w:rPr>
          <w:rFonts w:ascii="Book Antiqua" w:hAnsi="Book Antiqua" w:cs="Book Antiqua"/>
          <w:color w:val="000000" w:themeColor="text1"/>
        </w:rPr>
        <w:t xml:space="preserve"> OD. Urokinase plasminogen activator receptor on invasive cancer cells: a prognostic factor in distal gastric adenocarcinoma. </w:t>
      </w:r>
      <w:proofErr w:type="spellStart"/>
      <w:r w:rsidRPr="00C9386A">
        <w:rPr>
          <w:rFonts w:ascii="Book Antiqua" w:hAnsi="Book Antiqua" w:cs="Book Antiqua"/>
          <w:i/>
          <w:iCs/>
          <w:color w:val="000000" w:themeColor="text1"/>
        </w:rPr>
        <w:t>Int</w:t>
      </w:r>
      <w:proofErr w:type="spellEnd"/>
      <w:r w:rsidRPr="00C9386A">
        <w:rPr>
          <w:rFonts w:ascii="Book Antiqua" w:hAnsi="Book Antiqua" w:cs="Book Antiqua"/>
          <w:i/>
          <w:iCs/>
          <w:color w:val="000000" w:themeColor="text1"/>
        </w:rPr>
        <w:t xml:space="preserve"> J Cancer</w:t>
      </w:r>
      <w:r w:rsidRPr="00C9386A">
        <w:rPr>
          <w:rFonts w:ascii="Book Antiqua" w:hAnsi="Book Antiqua" w:cs="Book Antiqua"/>
          <w:color w:val="000000" w:themeColor="text1"/>
        </w:rPr>
        <w:t> 2012; </w:t>
      </w:r>
      <w:r w:rsidRPr="00C9386A">
        <w:rPr>
          <w:rFonts w:ascii="Book Antiqua" w:hAnsi="Book Antiqua" w:cs="Book Antiqua"/>
          <w:b/>
          <w:bCs/>
          <w:color w:val="000000" w:themeColor="text1"/>
        </w:rPr>
        <w:t>131</w:t>
      </w:r>
      <w:r w:rsidRPr="00C9386A">
        <w:rPr>
          <w:rFonts w:ascii="Book Antiqua" w:hAnsi="Book Antiqua" w:cs="Book Antiqua"/>
          <w:color w:val="000000" w:themeColor="text1"/>
        </w:rPr>
        <w:t>: E329-E336 [PMID: 21901747 DOI: 10.1002/ijc.26417]</w:t>
      </w:r>
    </w:p>
    <w:p w14:paraId="5CC7F3E9"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41 </w:t>
      </w:r>
      <w:r w:rsidRPr="00C9386A">
        <w:rPr>
          <w:rFonts w:ascii="Book Antiqua" w:hAnsi="Book Antiqua" w:cs="Book Antiqua"/>
          <w:b/>
          <w:bCs/>
          <w:color w:val="000000" w:themeColor="text1"/>
        </w:rPr>
        <w:t>Christensen A</w:t>
      </w:r>
      <w:r w:rsidRPr="00C9386A">
        <w:rPr>
          <w:rFonts w:ascii="Book Antiqua" w:hAnsi="Book Antiqua" w:cs="Book Antiqua"/>
          <w:color w:val="000000" w:themeColor="text1"/>
        </w:rPr>
        <w:t xml:space="preserve">, Kiss K, </w:t>
      </w:r>
      <w:proofErr w:type="spellStart"/>
      <w:r w:rsidRPr="00C9386A">
        <w:rPr>
          <w:rFonts w:ascii="Book Antiqua" w:hAnsi="Book Antiqua" w:cs="Book Antiqua"/>
          <w:color w:val="000000" w:themeColor="text1"/>
        </w:rPr>
        <w:t>Lelkaitis</w:t>
      </w:r>
      <w:proofErr w:type="spellEnd"/>
      <w:r w:rsidRPr="00C9386A">
        <w:rPr>
          <w:rFonts w:ascii="Book Antiqua" w:hAnsi="Book Antiqua" w:cs="Book Antiqua"/>
          <w:color w:val="000000" w:themeColor="text1"/>
        </w:rPr>
        <w:t xml:space="preserve"> G, </w:t>
      </w:r>
      <w:proofErr w:type="spellStart"/>
      <w:r w:rsidRPr="00C9386A">
        <w:rPr>
          <w:rFonts w:ascii="Book Antiqua" w:hAnsi="Book Antiqua" w:cs="Book Antiqua"/>
          <w:color w:val="000000" w:themeColor="text1"/>
        </w:rPr>
        <w:t>Juhl</w:t>
      </w:r>
      <w:proofErr w:type="spellEnd"/>
      <w:r w:rsidRPr="00C9386A">
        <w:rPr>
          <w:rFonts w:ascii="Book Antiqua" w:hAnsi="Book Antiqua" w:cs="Book Antiqua"/>
          <w:color w:val="000000" w:themeColor="text1"/>
        </w:rPr>
        <w:t xml:space="preserve"> K, Persson M, </w:t>
      </w:r>
      <w:proofErr w:type="spellStart"/>
      <w:r w:rsidRPr="00C9386A">
        <w:rPr>
          <w:rFonts w:ascii="Book Antiqua" w:hAnsi="Book Antiqua" w:cs="Book Antiqua"/>
          <w:color w:val="000000" w:themeColor="text1"/>
        </w:rPr>
        <w:t>Charabi</w:t>
      </w:r>
      <w:proofErr w:type="spellEnd"/>
      <w:r w:rsidRPr="00C9386A">
        <w:rPr>
          <w:rFonts w:ascii="Book Antiqua" w:hAnsi="Book Antiqua" w:cs="Book Antiqua"/>
          <w:color w:val="000000" w:themeColor="text1"/>
        </w:rPr>
        <w:t xml:space="preserve"> BW, Mortensen J, Forman JL, </w:t>
      </w:r>
      <w:proofErr w:type="spellStart"/>
      <w:r w:rsidRPr="00C9386A">
        <w:rPr>
          <w:rFonts w:ascii="Book Antiqua" w:hAnsi="Book Antiqua" w:cs="Book Antiqua"/>
          <w:color w:val="000000" w:themeColor="text1"/>
        </w:rPr>
        <w:t>Sørensen</w:t>
      </w:r>
      <w:proofErr w:type="spellEnd"/>
      <w:r w:rsidRPr="00C9386A">
        <w:rPr>
          <w:rFonts w:ascii="Book Antiqua" w:hAnsi="Book Antiqua" w:cs="Book Antiqua"/>
          <w:color w:val="000000" w:themeColor="text1"/>
        </w:rPr>
        <w:t xml:space="preserve"> AL, Jensen DH, </w:t>
      </w:r>
      <w:proofErr w:type="spellStart"/>
      <w:r w:rsidRPr="00C9386A">
        <w:rPr>
          <w:rFonts w:ascii="Book Antiqua" w:hAnsi="Book Antiqua" w:cs="Book Antiqua"/>
          <w:color w:val="000000" w:themeColor="text1"/>
        </w:rPr>
        <w:t>Kjaer</w:t>
      </w:r>
      <w:proofErr w:type="spellEnd"/>
      <w:r w:rsidRPr="00C9386A">
        <w:rPr>
          <w:rFonts w:ascii="Book Antiqua" w:hAnsi="Book Antiqua" w:cs="Book Antiqua"/>
          <w:color w:val="000000" w:themeColor="text1"/>
        </w:rPr>
        <w:t xml:space="preserve"> A, von Buchwald C. Urokinase-type plasminogen activator receptor (</w:t>
      </w:r>
      <w:proofErr w:type="spellStart"/>
      <w:r w:rsidRPr="00C9386A">
        <w:rPr>
          <w:rFonts w:ascii="Book Antiqua" w:hAnsi="Book Antiqua" w:cs="Book Antiqua"/>
          <w:color w:val="000000" w:themeColor="text1"/>
        </w:rPr>
        <w:t>uPAR</w:t>
      </w:r>
      <w:proofErr w:type="spellEnd"/>
      <w:r w:rsidRPr="00C9386A">
        <w:rPr>
          <w:rFonts w:ascii="Book Antiqua" w:hAnsi="Book Antiqua" w:cs="Book Antiqua"/>
          <w:color w:val="000000" w:themeColor="text1"/>
        </w:rPr>
        <w:t xml:space="preserve">), tissue factor (TF) and epidermal growth </w:t>
      </w:r>
      <w:r w:rsidRPr="00C9386A">
        <w:rPr>
          <w:rFonts w:ascii="Book Antiqua" w:hAnsi="Book Antiqua" w:cs="Book Antiqua"/>
          <w:color w:val="000000" w:themeColor="text1"/>
        </w:rPr>
        <w:lastRenderedPageBreak/>
        <w:t>factor receptor (EGFR): tumor expression patterns and prognostic value in oral cancer. </w:t>
      </w:r>
      <w:r w:rsidRPr="00C9386A">
        <w:rPr>
          <w:rFonts w:ascii="Book Antiqua" w:hAnsi="Book Antiqua" w:cs="Book Antiqua"/>
          <w:i/>
          <w:iCs/>
          <w:color w:val="000000" w:themeColor="text1"/>
        </w:rPr>
        <w:t>BMC Cancer</w:t>
      </w:r>
      <w:r w:rsidRPr="00C9386A">
        <w:rPr>
          <w:rFonts w:ascii="Book Antiqua" w:hAnsi="Book Antiqua" w:cs="Book Antiqua"/>
          <w:color w:val="000000" w:themeColor="text1"/>
        </w:rPr>
        <w:t> 2017; </w:t>
      </w:r>
      <w:r w:rsidRPr="00C9386A">
        <w:rPr>
          <w:rFonts w:ascii="Book Antiqua" w:hAnsi="Book Antiqua" w:cs="Book Antiqua"/>
          <w:b/>
          <w:bCs/>
          <w:color w:val="000000" w:themeColor="text1"/>
        </w:rPr>
        <w:t>17</w:t>
      </w:r>
      <w:r w:rsidRPr="00C9386A">
        <w:rPr>
          <w:rFonts w:ascii="Book Antiqua" w:hAnsi="Book Antiqua" w:cs="Book Antiqua"/>
          <w:color w:val="000000" w:themeColor="text1"/>
        </w:rPr>
        <w:t>: 572 [PMID: 28841839 DOI: 10.1186/s12885-017-3563-3]</w:t>
      </w:r>
    </w:p>
    <w:p w14:paraId="7DE50EC7"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42 </w:t>
      </w:r>
      <w:r w:rsidRPr="00C9386A">
        <w:rPr>
          <w:rFonts w:ascii="Book Antiqua" w:hAnsi="Book Antiqua" w:cs="Book Antiqua"/>
          <w:b/>
          <w:bCs/>
          <w:color w:val="000000" w:themeColor="text1"/>
        </w:rPr>
        <w:t>Christensen A</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Juhl</w:t>
      </w:r>
      <w:proofErr w:type="spellEnd"/>
      <w:r w:rsidRPr="00C9386A">
        <w:rPr>
          <w:rFonts w:ascii="Book Antiqua" w:hAnsi="Book Antiqua" w:cs="Book Antiqua"/>
          <w:color w:val="000000" w:themeColor="text1"/>
        </w:rPr>
        <w:t xml:space="preserve"> K, Persson M, </w:t>
      </w:r>
      <w:proofErr w:type="spellStart"/>
      <w:r w:rsidRPr="00C9386A">
        <w:rPr>
          <w:rFonts w:ascii="Book Antiqua" w:hAnsi="Book Antiqua" w:cs="Book Antiqua"/>
          <w:color w:val="000000" w:themeColor="text1"/>
        </w:rPr>
        <w:t>Charabi</w:t>
      </w:r>
      <w:proofErr w:type="spellEnd"/>
      <w:r w:rsidRPr="00C9386A">
        <w:rPr>
          <w:rFonts w:ascii="Book Antiqua" w:hAnsi="Book Antiqua" w:cs="Book Antiqua"/>
          <w:color w:val="000000" w:themeColor="text1"/>
        </w:rPr>
        <w:t xml:space="preserve"> BW, Mortensen J, Kiss K, </w:t>
      </w:r>
      <w:proofErr w:type="spellStart"/>
      <w:r w:rsidRPr="00C9386A">
        <w:rPr>
          <w:rFonts w:ascii="Book Antiqua" w:hAnsi="Book Antiqua" w:cs="Book Antiqua"/>
          <w:color w:val="000000" w:themeColor="text1"/>
        </w:rPr>
        <w:t>Lelkaitis</w:t>
      </w:r>
      <w:proofErr w:type="spellEnd"/>
      <w:r w:rsidRPr="00C9386A">
        <w:rPr>
          <w:rFonts w:ascii="Book Antiqua" w:hAnsi="Book Antiqua" w:cs="Book Antiqua"/>
          <w:color w:val="000000" w:themeColor="text1"/>
        </w:rPr>
        <w:t xml:space="preserve"> G, </w:t>
      </w:r>
      <w:proofErr w:type="spellStart"/>
      <w:r w:rsidRPr="00C9386A">
        <w:rPr>
          <w:rFonts w:ascii="Book Antiqua" w:hAnsi="Book Antiqua" w:cs="Book Antiqua"/>
          <w:color w:val="000000" w:themeColor="text1"/>
        </w:rPr>
        <w:t>Rubek</w:t>
      </w:r>
      <w:proofErr w:type="spellEnd"/>
      <w:r w:rsidRPr="00C9386A">
        <w:rPr>
          <w:rFonts w:ascii="Book Antiqua" w:hAnsi="Book Antiqua" w:cs="Book Antiqua"/>
          <w:color w:val="000000" w:themeColor="text1"/>
        </w:rPr>
        <w:t xml:space="preserve"> N, von Buchwald C, </w:t>
      </w:r>
      <w:proofErr w:type="spellStart"/>
      <w:r w:rsidRPr="00C9386A">
        <w:rPr>
          <w:rFonts w:ascii="Book Antiqua" w:hAnsi="Book Antiqua" w:cs="Book Antiqua"/>
          <w:color w:val="000000" w:themeColor="text1"/>
        </w:rPr>
        <w:t>Kjær</w:t>
      </w:r>
      <w:proofErr w:type="spellEnd"/>
      <w:r w:rsidRPr="00C9386A">
        <w:rPr>
          <w:rFonts w:ascii="Book Antiqua" w:hAnsi="Book Antiqua" w:cs="Book Antiqua"/>
          <w:color w:val="000000" w:themeColor="text1"/>
        </w:rPr>
        <w:t xml:space="preserve"> A. </w:t>
      </w:r>
      <w:proofErr w:type="spellStart"/>
      <w:r w:rsidRPr="00C9386A">
        <w:rPr>
          <w:rFonts w:ascii="Book Antiqua" w:hAnsi="Book Antiqua" w:cs="Book Antiqua"/>
          <w:color w:val="000000" w:themeColor="text1"/>
        </w:rPr>
        <w:t>uPAR</w:t>
      </w:r>
      <w:proofErr w:type="spellEnd"/>
      <w:r w:rsidRPr="00C9386A">
        <w:rPr>
          <w:rFonts w:ascii="Book Antiqua" w:hAnsi="Book Antiqua" w:cs="Book Antiqua"/>
          <w:color w:val="000000" w:themeColor="text1"/>
        </w:rPr>
        <w:t>-targeted optical near-infrared (NIR) fluorescence imaging and PET for image-guided surgery in head and neck cancer: proof-of-concept in orthotopic xenograft model. </w:t>
      </w:r>
      <w:proofErr w:type="spellStart"/>
      <w:r w:rsidRPr="00C9386A">
        <w:rPr>
          <w:rFonts w:ascii="Book Antiqua" w:hAnsi="Book Antiqua" w:cs="Book Antiqua"/>
          <w:i/>
          <w:iCs/>
          <w:color w:val="000000" w:themeColor="text1"/>
        </w:rPr>
        <w:t>Oncotarget</w:t>
      </w:r>
      <w:proofErr w:type="spellEnd"/>
      <w:r w:rsidRPr="00C9386A">
        <w:rPr>
          <w:rFonts w:ascii="Book Antiqua" w:hAnsi="Book Antiqua" w:cs="Book Antiqua"/>
          <w:color w:val="000000" w:themeColor="text1"/>
        </w:rPr>
        <w:t> 2017; </w:t>
      </w:r>
      <w:r w:rsidRPr="00C9386A">
        <w:rPr>
          <w:rFonts w:ascii="Book Antiqua" w:hAnsi="Book Antiqua" w:cs="Book Antiqua"/>
          <w:b/>
          <w:bCs/>
          <w:color w:val="000000" w:themeColor="text1"/>
        </w:rPr>
        <w:t>8</w:t>
      </w:r>
      <w:r w:rsidRPr="00C9386A">
        <w:rPr>
          <w:rFonts w:ascii="Book Antiqua" w:hAnsi="Book Antiqua" w:cs="Book Antiqua"/>
          <w:color w:val="000000" w:themeColor="text1"/>
        </w:rPr>
        <w:t>: 15407-15419 [PMID: 28039488 DOI: 10.18632/oncotarget.14282]</w:t>
      </w:r>
    </w:p>
    <w:p w14:paraId="5774E007"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43 </w:t>
      </w:r>
      <w:proofErr w:type="spellStart"/>
      <w:r w:rsidRPr="00C9386A">
        <w:rPr>
          <w:rFonts w:ascii="Book Antiqua" w:hAnsi="Book Antiqua" w:cs="Book Antiqua"/>
          <w:b/>
          <w:bCs/>
          <w:color w:val="000000" w:themeColor="text1"/>
        </w:rPr>
        <w:t>Rønn</w:t>
      </w:r>
      <w:proofErr w:type="spellEnd"/>
      <w:r w:rsidRPr="00C9386A">
        <w:rPr>
          <w:rFonts w:ascii="Book Antiqua" w:hAnsi="Book Antiqua" w:cs="Book Antiqua"/>
          <w:b/>
          <w:bCs/>
          <w:color w:val="000000" w:themeColor="text1"/>
        </w:rPr>
        <w:t xml:space="preserve"> JH</w:t>
      </w:r>
      <w:r w:rsidRPr="00C9386A">
        <w:rPr>
          <w:rFonts w:ascii="Book Antiqua" w:hAnsi="Book Antiqua" w:cs="Book Antiqua"/>
          <w:color w:val="000000" w:themeColor="text1"/>
        </w:rPr>
        <w:t xml:space="preserve">, </w:t>
      </w:r>
      <w:proofErr w:type="spellStart"/>
      <w:r w:rsidRPr="00C9386A">
        <w:rPr>
          <w:rFonts w:ascii="Book Antiqua" w:hAnsi="Book Antiqua" w:cs="Book Antiqua"/>
          <w:color w:val="000000" w:themeColor="text1"/>
        </w:rPr>
        <w:t>Nerup</w:t>
      </w:r>
      <w:proofErr w:type="spellEnd"/>
      <w:r w:rsidRPr="00C9386A">
        <w:rPr>
          <w:rFonts w:ascii="Book Antiqua" w:hAnsi="Book Antiqua" w:cs="Book Antiqua"/>
          <w:color w:val="000000" w:themeColor="text1"/>
        </w:rPr>
        <w:t xml:space="preserve"> N, </w:t>
      </w:r>
      <w:proofErr w:type="spellStart"/>
      <w:r w:rsidRPr="00C9386A">
        <w:rPr>
          <w:rFonts w:ascii="Book Antiqua" w:hAnsi="Book Antiqua" w:cs="Book Antiqua"/>
          <w:color w:val="000000" w:themeColor="text1"/>
        </w:rPr>
        <w:t>Strandby</w:t>
      </w:r>
      <w:proofErr w:type="spellEnd"/>
      <w:r w:rsidRPr="00C9386A">
        <w:rPr>
          <w:rFonts w:ascii="Book Antiqua" w:hAnsi="Book Antiqua" w:cs="Book Antiqua"/>
          <w:color w:val="000000" w:themeColor="text1"/>
        </w:rPr>
        <w:t xml:space="preserve"> RB, Svendsen MBS, </w:t>
      </w:r>
      <w:proofErr w:type="spellStart"/>
      <w:r w:rsidRPr="00C9386A">
        <w:rPr>
          <w:rFonts w:ascii="Book Antiqua" w:hAnsi="Book Antiqua" w:cs="Book Antiqua"/>
          <w:color w:val="000000" w:themeColor="text1"/>
        </w:rPr>
        <w:t>Ambrus</w:t>
      </w:r>
      <w:proofErr w:type="spellEnd"/>
      <w:r w:rsidRPr="00C9386A">
        <w:rPr>
          <w:rFonts w:ascii="Book Antiqua" w:hAnsi="Book Antiqua" w:cs="Book Antiqua"/>
          <w:color w:val="000000" w:themeColor="text1"/>
        </w:rPr>
        <w:t xml:space="preserve"> R, Svendsen LB, </w:t>
      </w:r>
      <w:proofErr w:type="spellStart"/>
      <w:r w:rsidRPr="00C9386A">
        <w:rPr>
          <w:rFonts w:ascii="Book Antiqua" w:hAnsi="Book Antiqua" w:cs="Book Antiqua"/>
          <w:color w:val="000000" w:themeColor="text1"/>
        </w:rPr>
        <w:t>Achiam</w:t>
      </w:r>
      <w:proofErr w:type="spellEnd"/>
      <w:r w:rsidRPr="00C9386A">
        <w:rPr>
          <w:rFonts w:ascii="Book Antiqua" w:hAnsi="Book Antiqua" w:cs="Book Antiqua"/>
          <w:color w:val="000000" w:themeColor="text1"/>
        </w:rPr>
        <w:t xml:space="preserve"> MP. Laser speckle contrast imaging and quantitative fluorescence angiography for perfusion assessment. </w:t>
      </w:r>
      <w:proofErr w:type="spellStart"/>
      <w:r w:rsidRPr="00C9386A">
        <w:rPr>
          <w:rFonts w:ascii="Book Antiqua" w:hAnsi="Book Antiqua" w:cs="Book Antiqua"/>
          <w:i/>
          <w:iCs/>
          <w:color w:val="000000" w:themeColor="text1"/>
        </w:rPr>
        <w:t>Langenbecks</w:t>
      </w:r>
      <w:proofErr w:type="spellEnd"/>
      <w:r w:rsidRPr="00C9386A">
        <w:rPr>
          <w:rFonts w:ascii="Book Antiqua" w:hAnsi="Book Antiqua" w:cs="Book Antiqua"/>
          <w:i/>
          <w:iCs/>
          <w:color w:val="000000" w:themeColor="text1"/>
        </w:rPr>
        <w:t xml:space="preserve"> Arch </w:t>
      </w:r>
      <w:proofErr w:type="spellStart"/>
      <w:r w:rsidRPr="00C9386A">
        <w:rPr>
          <w:rFonts w:ascii="Book Antiqua" w:hAnsi="Book Antiqua" w:cs="Book Antiqua"/>
          <w:i/>
          <w:iCs/>
          <w:color w:val="000000" w:themeColor="text1"/>
        </w:rPr>
        <w:t>Surg</w:t>
      </w:r>
      <w:proofErr w:type="spellEnd"/>
      <w:r w:rsidRPr="00C9386A">
        <w:rPr>
          <w:rFonts w:ascii="Book Antiqua" w:hAnsi="Book Antiqua" w:cs="Book Antiqua"/>
          <w:color w:val="000000" w:themeColor="text1"/>
        </w:rPr>
        <w:t> 2019; </w:t>
      </w:r>
      <w:r w:rsidRPr="00C9386A">
        <w:rPr>
          <w:rFonts w:ascii="Book Antiqua" w:hAnsi="Book Antiqua" w:cs="Book Antiqua"/>
          <w:b/>
          <w:bCs/>
          <w:color w:val="000000" w:themeColor="text1"/>
        </w:rPr>
        <w:t>404</w:t>
      </w:r>
      <w:r w:rsidRPr="00C9386A">
        <w:rPr>
          <w:rFonts w:ascii="Book Antiqua" w:hAnsi="Book Antiqua" w:cs="Book Antiqua"/>
          <w:color w:val="000000" w:themeColor="text1"/>
        </w:rPr>
        <w:t>: 505-515 [PMID: 31055638 DOI: 10.1007/s00423-019-01789-8]</w:t>
      </w:r>
    </w:p>
    <w:p w14:paraId="39C35093"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44 </w:t>
      </w:r>
      <w:proofErr w:type="spellStart"/>
      <w:r w:rsidRPr="00C9386A">
        <w:rPr>
          <w:rFonts w:ascii="Book Antiqua" w:hAnsi="Book Antiqua" w:cs="Book Antiqua"/>
          <w:b/>
          <w:bCs/>
          <w:color w:val="000000" w:themeColor="text1"/>
        </w:rPr>
        <w:t>Nerup</w:t>
      </w:r>
      <w:proofErr w:type="spellEnd"/>
      <w:r w:rsidRPr="00C9386A">
        <w:rPr>
          <w:rFonts w:ascii="Book Antiqua" w:hAnsi="Book Antiqua" w:cs="Book Antiqua"/>
          <w:b/>
          <w:bCs/>
          <w:color w:val="000000" w:themeColor="text1"/>
        </w:rPr>
        <w:t xml:space="preserve"> N</w:t>
      </w:r>
      <w:r w:rsidRPr="00C9386A">
        <w:rPr>
          <w:rFonts w:ascii="Book Antiqua" w:hAnsi="Book Antiqua" w:cs="Book Antiqua"/>
          <w:color w:val="000000" w:themeColor="text1"/>
        </w:rPr>
        <w:t xml:space="preserve">, Andersen HS, </w:t>
      </w:r>
      <w:proofErr w:type="spellStart"/>
      <w:r w:rsidRPr="00C9386A">
        <w:rPr>
          <w:rFonts w:ascii="Book Antiqua" w:hAnsi="Book Antiqua" w:cs="Book Antiqua"/>
          <w:color w:val="000000" w:themeColor="text1"/>
        </w:rPr>
        <w:t>Ambrus</w:t>
      </w:r>
      <w:proofErr w:type="spellEnd"/>
      <w:r w:rsidRPr="00C9386A">
        <w:rPr>
          <w:rFonts w:ascii="Book Antiqua" w:hAnsi="Book Antiqua" w:cs="Book Antiqua"/>
          <w:color w:val="000000" w:themeColor="text1"/>
        </w:rPr>
        <w:t xml:space="preserve"> R, </w:t>
      </w:r>
      <w:proofErr w:type="spellStart"/>
      <w:r w:rsidRPr="00C9386A">
        <w:rPr>
          <w:rFonts w:ascii="Book Antiqua" w:hAnsi="Book Antiqua" w:cs="Book Antiqua"/>
          <w:color w:val="000000" w:themeColor="text1"/>
        </w:rPr>
        <w:t>Strandby</w:t>
      </w:r>
      <w:proofErr w:type="spellEnd"/>
      <w:r w:rsidRPr="00C9386A">
        <w:rPr>
          <w:rFonts w:ascii="Book Antiqua" w:hAnsi="Book Antiqua" w:cs="Book Antiqua"/>
          <w:color w:val="000000" w:themeColor="text1"/>
        </w:rPr>
        <w:t xml:space="preserve"> RB, Svendsen MBS, Madsen MH, Svendsen LB, </w:t>
      </w:r>
      <w:proofErr w:type="spellStart"/>
      <w:r w:rsidRPr="00C9386A">
        <w:rPr>
          <w:rFonts w:ascii="Book Antiqua" w:hAnsi="Book Antiqua" w:cs="Book Antiqua"/>
          <w:color w:val="000000" w:themeColor="text1"/>
        </w:rPr>
        <w:t>Achiam</w:t>
      </w:r>
      <w:proofErr w:type="spellEnd"/>
      <w:r w:rsidRPr="00C9386A">
        <w:rPr>
          <w:rFonts w:ascii="Book Antiqua" w:hAnsi="Book Antiqua" w:cs="Book Antiqua"/>
          <w:color w:val="000000" w:themeColor="text1"/>
        </w:rPr>
        <w:t xml:space="preserve"> MP. Quantification of fluorescence angiography in a porcine model. </w:t>
      </w:r>
      <w:proofErr w:type="spellStart"/>
      <w:r w:rsidRPr="00C9386A">
        <w:rPr>
          <w:rFonts w:ascii="Book Antiqua" w:hAnsi="Book Antiqua" w:cs="Book Antiqua"/>
          <w:i/>
          <w:iCs/>
          <w:color w:val="000000" w:themeColor="text1"/>
        </w:rPr>
        <w:t>Langenbecks</w:t>
      </w:r>
      <w:proofErr w:type="spellEnd"/>
      <w:r w:rsidRPr="00C9386A">
        <w:rPr>
          <w:rFonts w:ascii="Book Antiqua" w:hAnsi="Book Antiqua" w:cs="Book Antiqua"/>
          <w:i/>
          <w:iCs/>
          <w:color w:val="000000" w:themeColor="text1"/>
        </w:rPr>
        <w:t xml:space="preserve"> Arch Surg</w:t>
      </w:r>
      <w:r w:rsidRPr="00C9386A">
        <w:rPr>
          <w:rFonts w:ascii="Book Antiqua" w:hAnsi="Book Antiqua" w:cs="Book Antiqua"/>
          <w:color w:val="000000" w:themeColor="text1"/>
        </w:rPr>
        <w:t>2017; </w:t>
      </w:r>
      <w:r w:rsidRPr="00C9386A">
        <w:rPr>
          <w:rFonts w:ascii="Book Antiqua" w:hAnsi="Book Antiqua" w:cs="Book Antiqua"/>
          <w:b/>
          <w:bCs/>
          <w:color w:val="000000" w:themeColor="text1"/>
        </w:rPr>
        <w:t>402</w:t>
      </w:r>
      <w:r w:rsidRPr="00C9386A">
        <w:rPr>
          <w:rFonts w:ascii="Book Antiqua" w:hAnsi="Book Antiqua" w:cs="Book Antiqua"/>
          <w:color w:val="000000" w:themeColor="text1"/>
        </w:rPr>
        <w:t>: 655-662 [PMID: 27848028 DOI: 10.1007/s00423-016-1531-z]</w:t>
      </w:r>
    </w:p>
    <w:p w14:paraId="14F6DDB0" w14:textId="77777777" w:rsidR="001D0CB2" w:rsidRPr="00C9386A" w:rsidRDefault="00555B35" w:rsidP="00C9386A">
      <w:pPr>
        <w:pStyle w:val="NormalWeb"/>
        <w:shd w:val="clear" w:color="auto" w:fill="FFFFFF"/>
        <w:adjustRightInd w:val="0"/>
        <w:snapToGrid w:val="0"/>
        <w:spacing w:before="0" w:beforeAutospacing="0" w:after="0" w:afterAutospacing="0" w:line="360" w:lineRule="auto"/>
        <w:jc w:val="both"/>
        <w:rPr>
          <w:rFonts w:ascii="Book Antiqua" w:hAnsi="Book Antiqua" w:cs="Book Antiqua"/>
          <w:color w:val="000000" w:themeColor="text1"/>
        </w:rPr>
      </w:pPr>
      <w:r w:rsidRPr="00C9386A">
        <w:rPr>
          <w:rFonts w:ascii="Book Antiqua" w:hAnsi="Book Antiqua" w:cs="Book Antiqua"/>
          <w:color w:val="000000" w:themeColor="text1"/>
        </w:rPr>
        <w:t>45 </w:t>
      </w:r>
      <w:proofErr w:type="spellStart"/>
      <w:r w:rsidRPr="00C9386A">
        <w:rPr>
          <w:rFonts w:ascii="Book Antiqua" w:hAnsi="Book Antiqua" w:cs="Book Antiqua"/>
          <w:b/>
          <w:bCs/>
          <w:color w:val="000000" w:themeColor="text1"/>
        </w:rPr>
        <w:t>Nerup</w:t>
      </w:r>
      <w:proofErr w:type="spellEnd"/>
      <w:r w:rsidRPr="00C9386A">
        <w:rPr>
          <w:rFonts w:ascii="Book Antiqua" w:hAnsi="Book Antiqua" w:cs="Book Antiqua"/>
          <w:b/>
          <w:bCs/>
          <w:color w:val="000000" w:themeColor="text1"/>
        </w:rPr>
        <w:t xml:space="preserve"> N</w:t>
      </w:r>
      <w:r w:rsidRPr="00C9386A">
        <w:rPr>
          <w:rFonts w:ascii="Book Antiqua" w:hAnsi="Book Antiqua" w:cs="Book Antiqua"/>
          <w:color w:val="000000" w:themeColor="text1"/>
        </w:rPr>
        <w:t xml:space="preserve">, Knudsen KBK, </w:t>
      </w:r>
      <w:proofErr w:type="spellStart"/>
      <w:r w:rsidRPr="00C9386A">
        <w:rPr>
          <w:rFonts w:ascii="Book Antiqua" w:hAnsi="Book Antiqua" w:cs="Book Antiqua"/>
          <w:color w:val="000000" w:themeColor="text1"/>
        </w:rPr>
        <w:t>Ambrus</w:t>
      </w:r>
      <w:proofErr w:type="spellEnd"/>
      <w:r w:rsidRPr="00C9386A">
        <w:rPr>
          <w:rFonts w:ascii="Book Antiqua" w:hAnsi="Book Antiqua" w:cs="Book Antiqua"/>
          <w:color w:val="000000" w:themeColor="text1"/>
        </w:rPr>
        <w:t xml:space="preserve"> R, Svendsen MBS, </w:t>
      </w:r>
      <w:proofErr w:type="spellStart"/>
      <w:r w:rsidRPr="00C9386A">
        <w:rPr>
          <w:rFonts w:ascii="Book Antiqua" w:hAnsi="Book Antiqua" w:cs="Book Antiqua"/>
          <w:color w:val="000000" w:themeColor="text1"/>
        </w:rPr>
        <w:t>Thymann</w:t>
      </w:r>
      <w:proofErr w:type="spellEnd"/>
      <w:r w:rsidRPr="00C9386A">
        <w:rPr>
          <w:rFonts w:ascii="Book Antiqua" w:hAnsi="Book Antiqua" w:cs="Book Antiqua"/>
          <w:color w:val="000000" w:themeColor="text1"/>
        </w:rPr>
        <w:t xml:space="preserve"> T, </w:t>
      </w:r>
      <w:proofErr w:type="spellStart"/>
      <w:r w:rsidRPr="00C9386A">
        <w:rPr>
          <w:rFonts w:ascii="Book Antiqua" w:hAnsi="Book Antiqua" w:cs="Book Antiqua"/>
          <w:color w:val="000000" w:themeColor="text1"/>
        </w:rPr>
        <w:t>Ifaoui</w:t>
      </w:r>
      <w:proofErr w:type="spellEnd"/>
      <w:r w:rsidRPr="00C9386A">
        <w:rPr>
          <w:rFonts w:ascii="Book Antiqua" w:hAnsi="Book Antiqua" w:cs="Book Antiqua"/>
          <w:color w:val="000000" w:themeColor="text1"/>
        </w:rPr>
        <w:t xml:space="preserve"> IBR, Svendsen LB, </w:t>
      </w:r>
      <w:proofErr w:type="spellStart"/>
      <w:r w:rsidRPr="00C9386A">
        <w:rPr>
          <w:rFonts w:ascii="Book Antiqua" w:hAnsi="Book Antiqua" w:cs="Book Antiqua"/>
          <w:color w:val="000000" w:themeColor="text1"/>
        </w:rPr>
        <w:t>Achiam</w:t>
      </w:r>
      <w:proofErr w:type="spellEnd"/>
      <w:r w:rsidRPr="00C9386A">
        <w:rPr>
          <w:rFonts w:ascii="Book Antiqua" w:hAnsi="Book Antiqua" w:cs="Book Antiqua"/>
          <w:color w:val="000000" w:themeColor="text1"/>
        </w:rPr>
        <w:t xml:space="preserve"> MP. Reproducibility and Reliability of Repeated Quantitative Fluorescence Angiography. </w:t>
      </w:r>
      <w:proofErr w:type="spellStart"/>
      <w:r w:rsidRPr="00C9386A">
        <w:rPr>
          <w:rFonts w:ascii="Book Antiqua" w:hAnsi="Book Antiqua" w:cs="Book Antiqua"/>
          <w:i/>
          <w:iCs/>
          <w:color w:val="000000" w:themeColor="text1"/>
        </w:rPr>
        <w:t>Surg</w:t>
      </w:r>
      <w:proofErr w:type="spellEnd"/>
      <w:r w:rsidRPr="00C9386A">
        <w:rPr>
          <w:rFonts w:ascii="Book Antiqua" w:hAnsi="Book Antiqua" w:cs="Book Antiqua"/>
          <w:i/>
          <w:iCs/>
          <w:color w:val="000000" w:themeColor="text1"/>
        </w:rPr>
        <w:t xml:space="preserve"> Technol </w:t>
      </w:r>
      <w:proofErr w:type="spellStart"/>
      <w:r w:rsidRPr="00C9386A">
        <w:rPr>
          <w:rFonts w:ascii="Book Antiqua" w:hAnsi="Book Antiqua" w:cs="Book Antiqua"/>
          <w:i/>
          <w:iCs/>
          <w:color w:val="000000" w:themeColor="text1"/>
        </w:rPr>
        <w:t>Int</w:t>
      </w:r>
      <w:proofErr w:type="spellEnd"/>
      <w:r w:rsidRPr="00C9386A">
        <w:rPr>
          <w:rFonts w:ascii="Book Antiqua" w:hAnsi="Book Antiqua" w:cs="Book Antiqua"/>
          <w:color w:val="000000" w:themeColor="text1"/>
        </w:rPr>
        <w:t> 2017; </w:t>
      </w:r>
      <w:r w:rsidRPr="00C9386A">
        <w:rPr>
          <w:rFonts w:ascii="Book Antiqua" w:hAnsi="Book Antiqua" w:cs="Book Antiqua"/>
          <w:b/>
          <w:bCs/>
          <w:color w:val="000000" w:themeColor="text1"/>
        </w:rPr>
        <w:t>31</w:t>
      </w:r>
      <w:r w:rsidRPr="00C9386A">
        <w:rPr>
          <w:rFonts w:ascii="Book Antiqua" w:hAnsi="Book Antiqua" w:cs="Book Antiqua"/>
          <w:color w:val="000000" w:themeColor="text1"/>
        </w:rPr>
        <w:t>: 35-39 [PMID: 29121692]</w:t>
      </w:r>
      <w:bookmarkEnd w:id="2"/>
    </w:p>
    <w:p w14:paraId="5DA36AF3" w14:textId="77777777" w:rsidR="001D0CB2" w:rsidRPr="00C9386A" w:rsidRDefault="001D0CB2" w:rsidP="00C9386A">
      <w:pPr>
        <w:adjustRightInd w:val="0"/>
        <w:snapToGrid w:val="0"/>
        <w:spacing w:after="0" w:line="360" w:lineRule="auto"/>
        <w:jc w:val="both"/>
        <w:rPr>
          <w:rFonts w:ascii="Book Antiqua" w:hAnsi="Book Antiqua" w:cs="Book Antiqua"/>
        </w:rPr>
        <w:sectPr w:rsidR="001D0CB2" w:rsidRPr="00C9386A">
          <w:pgSz w:w="12240" w:h="15840"/>
          <w:pgMar w:top="1440" w:right="1800" w:bottom="1440" w:left="1800" w:header="720" w:footer="720" w:gutter="0"/>
          <w:cols w:space="720"/>
          <w:docGrid w:linePitch="360"/>
        </w:sectPr>
      </w:pPr>
    </w:p>
    <w:p w14:paraId="614AC71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lastRenderedPageBreak/>
        <w:t>Footnotes</w:t>
      </w:r>
    </w:p>
    <w:p w14:paraId="0CC49CE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Conflict-of-interest statement: </w:t>
      </w:r>
      <w:r w:rsidRPr="00C9386A">
        <w:rPr>
          <w:rFonts w:ascii="Book Antiqua" w:eastAsia="Book Antiqua" w:hAnsi="Book Antiqua" w:cs="Book Antiqua"/>
          <w:color w:val="000000"/>
        </w:rPr>
        <w:t>All authors state that they have no conflict of interest.</w:t>
      </w:r>
    </w:p>
    <w:p w14:paraId="6DC3A101" w14:textId="77777777" w:rsidR="001D0CB2" w:rsidRPr="00C9386A" w:rsidRDefault="001D0CB2" w:rsidP="00C9386A">
      <w:pPr>
        <w:adjustRightInd w:val="0"/>
        <w:snapToGrid w:val="0"/>
        <w:spacing w:after="0" w:line="360" w:lineRule="auto"/>
        <w:jc w:val="both"/>
        <w:rPr>
          <w:rFonts w:ascii="Book Antiqua" w:hAnsi="Book Antiqua" w:cs="Book Antiqua"/>
        </w:rPr>
      </w:pPr>
    </w:p>
    <w:p w14:paraId="05049CD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PRISMA 2009 Checklist statement: </w:t>
      </w:r>
      <w:r w:rsidRPr="00C9386A">
        <w:rPr>
          <w:rFonts w:ascii="Book Antiqua" w:eastAsia="Book Antiqua" w:hAnsi="Book Antiqua" w:cs="Book Antiqua"/>
          <w:color w:val="000000"/>
        </w:rPr>
        <w:t>The guidelines of the PRISMA 2009 statement have been adopted.</w:t>
      </w:r>
    </w:p>
    <w:p w14:paraId="1D010F10" w14:textId="77777777" w:rsidR="001D0CB2" w:rsidRPr="00C9386A" w:rsidRDefault="001D0CB2" w:rsidP="00C9386A">
      <w:pPr>
        <w:adjustRightInd w:val="0"/>
        <w:snapToGrid w:val="0"/>
        <w:spacing w:after="0" w:line="360" w:lineRule="auto"/>
        <w:jc w:val="both"/>
        <w:rPr>
          <w:rFonts w:ascii="Book Antiqua" w:hAnsi="Book Antiqua" w:cs="Book Antiqua"/>
        </w:rPr>
      </w:pPr>
    </w:p>
    <w:p w14:paraId="4CABAC6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t xml:space="preserve">Open-Access: </w:t>
      </w:r>
      <w:r w:rsidRPr="00C9386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386A">
        <w:rPr>
          <w:rFonts w:ascii="Book Antiqua" w:eastAsia="Book Antiqua" w:hAnsi="Book Antiqua" w:cs="Book Antiqua"/>
          <w:color w:val="000000"/>
        </w:rPr>
        <w:t>NonCommercial</w:t>
      </w:r>
      <w:proofErr w:type="spellEnd"/>
      <w:r w:rsidRPr="00C9386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02ED12" w14:textId="77777777" w:rsidR="001D0CB2" w:rsidRPr="00C9386A" w:rsidRDefault="001D0CB2" w:rsidP="00C9386A">
      <w:pPr>
        <w:adjustRightInd w:val="0"/>
        <w:snapToGrid w:val="0"/>
        <w:spacing w:after="0" w:line="360" w:lineRule="auto"/>
        <w:jc w:val="both"/>
        <w:rPr>
          <w:rFonts w:ascii="Book Antiqua" w:hAnsi="Book Antiqua" w:cs="Book Antiqua"/>
        </w:rPr>
      </w:pPr>
    </w:p>
    <w:p w14:paraId="184DC81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Manuscript source: </w:t>
      </w:r>
      <w:r w:rsidRPr="00C9386A">
        <w:rPr>
          <w:rFonts w:ascii="Book Antiqua" w:eastAsia="Book Antiqua" w:hAnsi="Book Antiqua" w:cs="Book Antiqua"/>
          <w:color w:val="000000"/>
        </w:rPr>
        <w:t>Unsolicited manuscript</w:t>
      </w:r>
    </w:p>
    <w:p w14:paraId="7B01302E" w14:textId="77777777" w:rsidR="001D0CB2" w:rsidRPr="00C9386A" w:rsidRDefault="001D0CB2" w:rsidP="00C9386A">
      <w:pPr>
        <w:adjustRightInd w:val="0"/>
        <w:snapToGrid w:val="0"/>
        <w:spacing w:after="0" w:line="360" w:lineRule="auto"/>
        <w:jc w:val="both"/>
        <w:rPr>
          <w:rFonts w:ascii="Book Antiqua" w:hAnsi="Book Antiqua" w:cs="Book Antiqua"/>
        </w:rPr>
      </w:pPr>
    </w:p>
    <w:p w14:paraId="77A2462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Peer-review started: </w:t>
      </w:r>
      <w:r w:rsidRPr="00C9386A">
        <w:rPr>
          <w:rFonts w:ascii="Book Antiqua" w:eastAsia="Book Antiqua" w:hAnsi="Book Antiqua" w:cs="Book Antiqua"/>
          <w:color w:val="000000"/>
        </w:rPr>
        <w:t>May 13, 2020</w:t>
      </w:r>
    </w:p>
    <w:p w14:paraId="276A204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First decision: </w:t>
      </w:r>
      <w:r w:rsidRPr="00C9386A">
        <w:rPr>
          <w:rFonts w:ascii="Book Antiqua" w:eastAsia="Book Antiqua" w:hAnsi="Book Antiqua" w:cs="Book Antiqua"/>
          <w:color w:val="000000"/>
        </w:rPr>
        <w:t>June 15, 2020</w:t>
      </w:r>
    </w:p>
    <w:p w14:paraId="2D663DF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Article in press: </w:t>
      </w:r>
    </w:p>
    <w:p w14:paraId="4663AFE1" w14:textId="77777777" w:rsidR="001D0CB2" w:rsidRPr="00C9386A" w:rsidRDefault="001D0CB2" w:rsidP="00C9386A">
      <w:pPr>
        <w:adjustRightInd w:val="0"/>
        <w:snapToGrid w:val="0"/>
        <w:spacing w:after="0" w:line="360" w:lineRule="auto"/>
        <w:jc w:val="both"/>
        <w:rPr>
          <w:rFonts w:ascii="Book Antiqua" w:hAnsi="Book Antiqua" w:cs="Book Antiqua"/>
        </w:rPr>
      </w:pPr>
    </w:p>
    <w:p w14:paraId="795F1656" w14:textId="58471080"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Specialty type: </w:t>
      </w:r>
      <w:r w:rsidRPr="00C9386A">
        <w:rPr>
          <w:rFonts w:ascii="Book Antiqua" w:eastAsia="Book Antiqua" w:hAnsi="Book Antiqua" w:cs="Book Antiqua"/>
          <w:color w:val="000000"/>
        </w:rPr>
        <w:t xml:space="preserve">Gastroenterology and </w:t>
      </w:r>
      <w:r w:rsidR="00C9386A" w:rsidRPr="00C9386A">
        <w:rPr>
          <w:rFonts w:ascii="Book Antiqua" w:eastAsia="Book Antiqua" w:hAnsi="Book Antiqua" w:cs="Book Antiqua"/>
          <w:color w:val="000000"/>
        </w:rPr>
        <w:t>hepatology</w:t>
      </w:r>
    </w:p>
    <w:p w14:paraId="4FE8EC0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 xml:space="preserve">Country/Territory of origin: </w:t>
      </w:r>
      <w:r w:rsidRPr="00C9386A">
        <w:rPr>
          <w:rFonts w:ascii="Book Antiqua" w:eastAsia="Book Antiqua" w:hAnsi="Book Antiqua" w:cs="Book Antiqua"/>
          <w:color w:val="000000"/>
        </w:rPr>
        <w:t>Denmark</w:t>
      </w:r>
    </w:p>
    <w:p w14:paraId="35B2F1D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color w:val="000000"/>
        </w:rPr>
        <w:t>Peer-review report’s scientific quality classification</w:t>
      </w:r>
    </w:p>
    <w:p w14:paraId="2CF50BF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Grade A (Excellent): A</w:t>
      </w:r>
    </w:p>
    <w:p w14:paraId="4FD8DF6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Grade B (Very good): B</w:t>
      </w:r>
    </w:p>
    <w:p w14:paraId="4DFFD9C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Grade C (Good): 0</w:t>
      </w:r>
    </w:p>
    <w:p w14:paraId="6B533D5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Grade D (Fair): 0</w:t>
      </w:r>
    </w:p>
    <w:p w14:paraId="7365822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t>Grade E (Poor): 0</w:t>
      </w:r>
    </w:p>
    <w:p w14:paraId="183F1811" w14:textId="77777777" w:rsidR="001D0CB2" w:rsidRPr="00C9386A" w:rsidRDefault="001D0CB2" w:rsidP="00C9386A">
      <w:pPr>
        <w:adjustRightInd w:val="0"/>
        <w:snapToGrid w:val="0"/>
        <w:spacing w:after="0" w:line="360" w:lineRule="auto"/>
        <w:jc w:val="both"/>
        <w:rPr>
          <w:rFonts w:ascii="Book Antiqua" w:hAnsi="Book Antiqua" w:cs="Book Antiqua"/>
        </w:rPr>
      </w:pPr>
    </w:p>
    <w:p w14:paraId="478B0E6E" w14:textId="77777777" w:rsidR="001D0CB2" w:rsidRPr="00C9386A" w:rsidRDefault="00555B35" w:rsidP="00C9386A">
      <w:pPr>
        <w:adjustRightInd w:val="0"/>
        <w:snapToGrid w:val="0"/>
        <w:spacing w:after="0" w:line="360" w:lineRule="auto"/>
        <w:jc w:val="both"/>
        <w:rPr>
          <w:rFonts w:ascii="Book Antiqua" w:eastAsia="Book Antiqua" w:hAnsi="Book Antiqua" w:cs="Book Antiqua"/>
          <w:b/>
          <w:color w:val="000000"/>
        </w:rPr>
      </w:pPr>
      <w:r w:rsidRPr="00C9386A">
        <w:rPr>
          <w:rFonts w:ascii="Book Antiqua" w:eastAsia="Book Antiqua" w:hAnsi="Book Antiqua" w:cs="Book Antiqua"/>
          <w:b/>
          <w:color w:val="000000"/>
        </w:rPr>
        <w:t xml:space="preserve">P-Reviewer: </w:t>
      </w:r>
      <w:proofErr w:type="spellStart"/>
      <w:r w:rsidRPr="00C9386A">
        <w:rPr>
          <w:rFonts w:ascii="Book Antiqua" w:eastAsia="Book Antiqua" w:hAnsi="Book Antiqua" w:cs="Book Antiqua"/>
          <w:color w:val="000000"/>
        </w:rPr>
        <w:t>Quadros</w:t>
      </w:r>
      <w:proofErr w:type="spellEnd"/>
      <w:r w:rsidRPr="00C9386A">
        <w:rPr>
          <w:rFonts w:ascii="Book Antiqua" w:eastAsia="Book Antiqua" w:hAnsi="Book Antiqua" w:cs="Book Antiqua"/>
          <w:color w:val="000000"/>
        </w:rPr>
        <w:t xml:space="preserve"> LGD, Wan Q</w:t>
      </w:r>
      <w:r w:rsidRPr="00C9386A">
        <w:rPr>
          <w:rFonts w:ascii="Book Antiqua" w:eastAsia="Book Antiqua" w:hAnsi="Book Antiqua" w:cs="Book Antiqua"/>
          <w:b/>
          <w:color w:val="000000"/>
        </w:rPr>
        <w:t xml:space="preserve"> S-Editor: </w:t>
      </w:r>
      <w:r w:rsidRPr="00C9386A">
        <w:rPr>
          <w:rFonts w:ascii="Book Antiqua" w:eastAsia="Book Antiqua" w:hAnsi="Book Antiqua" w:cs="Book Antiqua"/>
          <w:color w:val="000000"/>
        </w:rPr>
        <w:t>Zhang L</w:t>
      </w:r>
      <w:r w:rsidRPr="00C9386A">
        <w:rPr>
          <w:rFonts w:ascii="Book Antiqua" w:eastAsia="Book Antiqua" w:hAnsi="Book Antiqua" w:cs="Book Antiqua"/>
          <w:b/>
          <w:color w:val="000000"/>
        </w:rPr>
        <w:t xml:space="preserve"> L-Editor: P-Editor: </w:t>
      </w:r>
    </w:p>
    <w:p w14:paraId="3CB56C06" w14:textId="77777777" w:rsidR="001D0CB2" w:rsidRPr="00C9386A" w:rsidRDefault="001D0CB2" w:rsidP="00C9386A">
      <w:pPr>
        <w:adjustRightInd w:val="0"/>
        <w:snapToGrid w:val="0"/>
        <w:spacing w:after="0" w:line="360" w:lineRule="auto"/>
        <w:jc w:val="both"/>
        <w:rPr>
          <w:rFonts w:ascii="Book Antiqua" w:hAnsi="Book Antiqua" w:cs="Book Antiqua"/>
        </w:rPr>
        <w:sectPr w:rsidR="001D0CB2" w:rsidRPr="00C9386A">
          <w:pgSz w:w="12240" w:h="15840"/>
          <w:pgMar w:top="1440" w:right="1800" w:bottom="1440" w:left="1800" w:header="720" w:footer="720" w:gutter="0"/>
          <w:cols w:space="720"/>
          <w:docGrid w:linePitch="360"/>
        </w:sectPr>
      </w:pPr>
    </w:p>
    <w:p w14:paraId="16FE08C2" w14:textId="77777777" w:rsidR="001D0CB2" w:rsidRPr="00C9386A" w:rsidRDefault="00555B35" w:rsidP="00C9386A">
      <w:pPr>
        <w:adjustRightInd w:val="0"/>
        <w:snapToGrid w:val="0"/>
        <w:spacing w:after="0" w:line="360" w:lineRule="auto"/>
        <w:jc w:val="both"/>
        <w:rPr>
          <w:rFonts w:ascii="Book Antiqua" w:eastAsia="Book Antiqua" w:hAnsi="Book Antiqua" w:cs="Book Antiqua"/>
          <w:b/>
          <w:color w:val="000000"/>
        </w:rPr>
      </w:pPr>
      <w:r w:rsidRPr="00C9386A">
        <w:rPr>
          <w:rFonts w:ascii="Book Antiqua" w:eastAsia="Book Antiqua" w:hAnsi="Book Antiqua" w:cs="Book Antiqua"/>
          <w:b/>
          <w:color w:val="000000"/>
        </w:rPr>
        <w:lastRenderedPageBreak/>
        <w:t>Figure Legends</w:t>
      </w:r>
    </w:p>
    <w:p w14:paraId="2AA2C781" w14:textId="6518FFF9" w:rsidR="001D0CB2" w:rsidRPr="00C9386A" w:rsidRDefault="00C9386A" w:rsidP="00C9386A">
      <w:pPr>
        <w:adjustRightInd w:val="0"/>
        <w:snapToGrid w:val="0"/>
        <w:spacing w:after="0" w:line="360" w:lineRule="auto"/>
        <w:jc w:val="both"/>
        <w:rPr>
          <w:rFonts w:ascii="Book Antiqua" w:hAnsi="Book Antiqua" w:cs="Book Antiqua"/>
        </w:rPr>
      </w:pPr>
      <w:r w:rsidRPr="00C9386A">
        <w:rPr>
          <w:rFonts w:ascii="Book Antiqua" w:hAnsi="Book Antiqua" w:cs="Book Antiqua"/>
          <w:noProof/>
          <w:lang w:eastAsia="zh-CN"/>
        </w:rPr>
        <w:drawing>
          <wp:inline distT="0" distB="0" distL="0" distR="0" wp14:anchorId="0B20E6A0" wp14:editId="4E9A829E">
            <wp:extent cx="5274310" cy="5867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5867400"/>
                    </a:xfrm>
                    <a:prstGeom prst="rect">
                      <a:avLst/>
                    </a:prstGeom>
                  </pic:spPr>
                </pic:pic>
              </a:graphicData>
            </a:graphic>
          </wp:inline>
        </w:drawing>
      </w:r>
    </w:p>
    <w:p w14:paraId="41CC6F36" w14:textId="68B6DF83" w:rsidR="001D0CB2" w:rsidRPr="00C9386A" w:rsidRDefault="00555B35" w:rsidP="00C9386A">
      <w:pPr>
        <w:adjustRightInd w:val="0"/>
        <w:snapToGrid w:val="0"/>
        <w:spacing w:after="0" w:line="360" w:lineRule="auto"/>
        <w:jc w:val="both"/>
        <w:rPr>
          <w:rFonts w:ascii="Book Antiqua" w:eastAsia="Book Antiqua" w:hAnsi="Book Antiqua" w:cs="Book Antiqua"/>
          <w:color w:val="000000"/>
        </w:rPr>
      </w:pPr>
      <w:r w:rsidRPr="00C9386A">
        <w:rPr>
          <w:rFonts w:ascii="Book Antiqua" w:eastAsia="Book Antiqua" w:hAnsi="Book Antiqua" w:cs="Book Antiqua"/>
          <w:b/>
          <w:bCs/>
          <w:color w:val="000000"/>
        </w:rPr>
        <w:t xml:space="preserve">Figure 1 The endoscope emits light in the excitation spectrum of the fluorophore injected. </w:t>
      </w:r>
      <w:r w:rsidRPr="00C9386A">
        <w:rPr>
          <w:rFonts w:ascii="Book Antiqua" w:eastAsia="Book Antiqua" w:hAnsi="Book Antiqua" w:cs="Book Antiqua"/>
          <w:color w:val="000000"/>
        </w:rPr>
        <w:t>The electrons of the fluorophore will shift from one state of energy to another (excitation), and back, releasing energy as light (fluorescence) at another wavelength (emission)</w:t>
      </w:r>
      <w:r w:rsidR="00C9386A" w:rsidRPr="00C9386A">
        <w:rPr>
          <w:rFonts w:ascii="Book Antiqua" w:eastAsia="SimSun" w:hAnsi="Book Antiqua" w:cs="Book Antiqua"/>
          <w:color w:val="000000"/>
          <w:lang w:eastAsia="zh-CN"/>
        </w:rPr>
        <w:t>.</w:t>
      </w:r>
      <w:r w:rsidRPr="00C9386A">
        <w:rPr>
          <w:rFonts w:ascii="Book Antiqua" w:eastAsia="Book Antiqua" w:hAnsi="Book Antiqua" w:cs="Book Antiqua"/>
          <w:color w:val="000000"/>
        </w:rPr>
        <w:t xml:space="preserve"> The imaging plane and the filter receive the signal and separate the signals of excitation and emission, only allowing the excitation light to pass.</w:t>
      </w:r>
    </w:p>
    <w:p w14:paraId="5AD3522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b/>
          <w:bCs/>
          <w:color w:val="000000"/>
        </w:rPr>
        <w:br w:type="page"/>
      </w:r>
      <w:r w:rsidRPr="00C9386A">
        <w:rPr>
          <w:rFonts w:ascii="Book Antiqua" w:hAnsi="Book Antiqua" w:cs="Book Antiqua"/>
          <w:noProof/>
          <w:lang w:eastAsia="zh-CN"/>
        </w:rPr>
        <w:lastRenderedPageBreak/>
        <w:drawing>
          <wp:inline distT="0" distB="0" distL="0" distR="0" wp14:anchorId="427E7047" wp14:editId="051BA48B">
            <wp:extent cx="5345950" cy="4890052"/>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348159" cy="4892072"/>
                    </a:xfrm>
                    <a:prstGeom prst="rect">
                      <a:avLst/>
                    </a:prstGeom>
                  </pic:spPr>
                </pic:pic>
              </a:graphicData>
            </a:graphic>
          </wp:inline>
        </w:drawing>
      </w:r>
    </w:p>
    <w:p w14:paraId="78041682" w14:textId="77777777" w:rsidR="001D0CB2" w:rsidRPr="00C9386A" w:rsidRDefault="00555B35" w:rsidP="00C9386A">
      <w:pPr>
        <w:adjustRightInd w:val="0"/>
        <w:snapToGrid w:val="0"/>
        <w:spacing w:after="0" w:line="360" w:lineRule="auto"/>
        <w:jc w:val="both"/>
        <w:rPr>
          <w:rFonts w:ascii="Book Antiqua" w:eastAsia="Book Antiqua" w:hAnsi="Book Antiqua" w:cs="Book Antiqua"/>
          <w:color w:val="000000"/>
        </w:rPr>
      </w:pPr>
      <w:r w:rsidRPr="00C9386A">
        <w:rPr>
          <w:rFonts w:ascii="Book Antiqua" w:eastAsia="Book Antiqua" w:hAnsi="Book Antiqua" w:cs="Book Antiqua"/>
          <w:b/>
          <w:bCs/>
          <w:color w:val="000000"/>
        </w:rPr>
        <w:t>Figure 2 The screening process for the systematic review according to the PRISMA flow diagram.</w:t>
      </w:r>
      <w:r w:rsidRPr="00C9386A">
        <w:rPr>
          <w:rFonts w:ascii="Book Antiqua" w:eastAsia="Book Antiqua" w:hAnsi="Book Antiqua" w:cs="Book Antiqua"/>
          <w:color w:val="000000"/>
        </w:rPr>
        <w:t xml:space="preserve"> </w:t>
      </w:r>
    </w:p>
    <w:p w14:paraId="4FE05FBA" w14:textId="77777777" w:rsidR="001D0CB2" w:rsidRPr="00C9386A" w:rsidRDefault="001D0CB2" w:rsidP="00C9386A">
      <w:pPr>
        <w:adjustRightInd w:val="0"/>
        <w:snapToGrid w:val="0"/>
        <w:spacing w:after="0" w:line="360" w:lineRule="auto"/>
        <w:jc w:val="both"/>
        <w:rPr>
          <w:rFonts w:ascii="Book Antiqua" w:eastAsia="Book Antiqua" w:hAnsi="Book Antiqua" w:cs="Book Antiqua"/>
          <w:color w:val="000000"/>
        </w:rPr>
      </w:pPr>
    </w:p>
    <w:p w14:paraId="6DC54EF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eastAsia="Book Antiqua" w:hAnsi="Book Antiqua" w:cs="Book Antiqua"/>
          <w:color w:val="000000"/>
        </w:rPr>
        <w:br w:type="page"/>
      </w:r>
      <w:r w:rsidRPr="00C9386A">
        <w:rPr>
          <w:rFonts w:ascii="Book Antiqua" w:hAnsi="Book Antiqua" w:cs="Book Antiqua"/>
          <w:b/>
        </w:rPr>
        <w:lastRenderedPageBreak/>
        <w:t>Table 1 Search string in Pub</w:t>
      </w:r>
      <w:r w:rsidRPr="00117D93">
        <w:rPr>
          <w:rFonts w:ascii="Book Antiqua" w:hAnsi="Book Antiqua" w:cs="Book Antiqua"/>
          <w:b/>
          <w:caps/>
        </w:rPr>
        <w:t>m</w:t>
      </w:r>
      <w:r w:rsidRPr="00C9386A">
        <w:rPr>
          <w:rFonts w:ascii="Book Antiqua" w:hAnsi="Book Antiqua" w:cs="Book Antiqua"/>
          <w:b/>
        </w:rPr>
        <w:t xml:space="preserve">ed, </w:t>
      </w:r>
      <w:proofErr w:type="spellStart"/>
      <w:r w:rsidRPr="00C9386A">
        <w:rPr>
          <w:rFonts w:ascii="Book Antiqua" w:hAnsi="Book Antiqua" w:cs="Book Antiqua"/>
          <w:b/>
        </w:rPr>
        <w:t>Embase</w:t>
      </w:r>
      <w:proofErr w:type="spellEnd"/>
      <w:r w:rsidRPr="00C9386A">
        <w:rPr>
          <w:rFonts w:ascii="Book Antiqua" w:hAnsi="Book Antiqua" w:cs="Book Antiqua"/>
          <w:b/>
        </w:rPr>
        <w:t>, Scopus, Web of Science and Cochrane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1D0CB2" w:rsidRPr="00C9386A" w14:paraId="16D8155A" w14:textId="77777777">
        <w:trPr>
          <w:trHeight w:val="412"/>
        </w:trPr>
        <w:tc>
          <w:tcPr>
            <w:tcW w:w="9423" w:type="dxa"/>
            <w:tcBorders>
              <w:top w:val="single" w:sz="4" w:space="0" w:color="auto"/>
              <w:bottom w:val="single" w:sz="4" w:space="0" w:color="auto"/>
            </w:tcBorders>
          </w:tcPr>
          <w:p w14:paraId="457439BE" w14:textId="77777777" w:rsidR="001D0CB2" w:rsidRPr="00C9386A" w:rsidRDefault="00555B35" w:rsidP="00C9386A">
            <w:pPr>
              <w:adjustRightInd w:val="0"/>
              <w:snapToGrid w:val="0"/>
              <w:spacing w:after="0" w:line="360" w:lineRule="auto"/>
              <w:jc w:val="both"/>
              <w:rPr>
                <w:rFonts w:ascii="Book Antiqua" w:hAnsi="Book Antiqua" w:cs="Book Antiqua"/>
                <w:b/>
                <w:bCs/>
                <w:lang w:val="da-DK" w:eastAsia="zh-CN"/>
              </w:rPr>
            </w:pPr>
            <w:r w:rsidRPr="00C9386A">
              <w:rPr>
                <w:rFonts w:ascii="Book Antiqua" w:eastAsia="Microsoft YaHei" w:hAnsi="Book Antiqua" w:cs="Book Antiqua"/>
                <w:b/>
                <w:bCs/>
                <w:color w:val="000000"/>
                <w:shd w:val="clear" w:color="auto" w:fill="FFFFFF"/>
                <w:lang w:val="da-DK" w:eastAsia="da-DK"/>
              </w:rPr>
              <w:t>Classification</w:t>
            </w:r>
          </w:p>
        </w:tc>
      </w:tr>
      <w:tr w:rsidR="001D0CB2" w:rsidRPr="00C9386A" w14:paraId="7BA656B6" w14:textId="77777777">
        <w:trPr>
          <w:trHeight w:val="3972"/>
        </w:trPr>
        <w:tc>
          <w:tcPr>
            <w:tcW w:w="9423" w:type="dxa"/>
            <w:tcBorders>
              <w:top w:val="single" w:sz="4" w:space="0" w:color="auto"/>
            </w:tcBorders>
          </w:tcPr>
          <w:p w14:paraId="7AB7E3AD" w14:textId="77777777" w:rsidR="001D0CB2" w:rsidRPr="00C9386A" w:rsidRDefault="00555B35" w:rsidP="00C9386A">
            <w:pPr>
              <w:adjustRightInd w:val="0"/>
              <w:snapToGrid w:val="0"/>
              <w:spacing w:after="0" w:line="360" w:lineRule="auto"/>
              <w:jc w:val="both"/>
              <w:rPr>
                <w:rFonts w:ascii="Book Antiqua" w:hAnsi="Book Antiqua" w:cs="Book Antiqua"/>
                <w:lang w:eastAsia="da-DK"/>
              </w:rPr>
            </w:pPr>
            <w:bookmarkStart w:id="3" w:name="_Hlk20905148"/>
            <w:r w:rsidRPr="00C9386A">
              <w:rPr>
                <w:rFonts w:ascii="Book Antiqua" w:hAnsi="Book Antiqua" w:cs="Book Antiqua"/>
                <w:lang w:eastAsia="da-DK"/>
              </w:rPr>
              <w:t>(</w:t>
            </w:r>
            <w:proofErr w:type="spellStart"/>
            <w:r w:rsidRPr="00C9386A">
              <w:rPr>
                <w:rFonts w:ascii="Book Antiqua" w:hAnsi="Book Antiqua" w:cs="Book Antiqua"/>
                <w:lang w:eastAsia="da-DK"/>
              </w:rPr>
              <w:t>Endoscop</w:t>
            </w:r>
            <w:proofErr w:type="spellEnd"/>
            <w:r w:rsidRPr="00C9386A">
              <w:rPr>
                <w:rFonts w:ascii="Book Antiqua" w:hAnsi="Book Antiqua" w:cs="Book Antiqua"/>
                <w:lang w:eastAsia="da-DK"/>
              </w:rPr>
              <w:t xml:space="preserve"> OR </w:t>
            </w:r>
            <w:proofErr w:type="spellStart"/>
            <w:r w:rsidRPr="00C9386A">
              <w:rPr>
                <w:rFonts w:ascii="Book Antiqua" w:hAnsi="Book Antiqua" w:cs="Book Antiqua"/>
                <w:lang w:eastAsia="da-DK"/>
              </w:rPr>
              <w:t>Esophagoscop</w:t>
            </w:r>
            <w:proofErr w:type="spellEnd"/>
            <w:r w:rsidRPr="00C9386A">
              <w:rPr>
                <w:rFonts w:ascii="Book Antiqua" w:hAnsi="Book Antiqua" w:cs="Book Antiqua"/>
                <w:lang w:eastAsia="da-DK"/>
              </w:rPr>
              <w:t xml:space="preserve"> OR </w:t>
            </w:r>
            <w:proofErr w:type="spellStart"/>
            <w:r w:rsidRPr="00C9386A">
              <w:rPr>
                <w:rFonts w:ascii="Book Antiqua" w:hAnsi="Book Antiqua" w:cs="Book Antiqua"/>
                <w:lang w:eastAsia="da-DK"/>
              </w:rPr>
              <w:t>Gastroscop</w:t>
            </w:r>
            <w:proofErr w:type="spellEnd"/>
            <w:r w:rsidRPr="00C9386A">
              <w:rPr>
                <w:rFonts w:ascii="Book Antiqua" w:hAnsi="Book Antiqua" w:cs="Book Antiqua"/>
                <w:lang w:eastAsia="da-DK"/>
              </w:rPr>
              <w:t xml:space="preserve"> OR Gastroscopic Surgical Procedure OR Gastroscopic Surgical Procedures OR </w:t>
            </w:r>
            <w:proofErr w:type="spellStart"/>
            <w:r w:rsidRPr="00C9386A">
              <w:rPr>
                <w:rFonts w:ascii="Book Antiqua" w:hAnsi="Book Antiqua" w:cs="Book Antiqua"/>
                <w:lang w:eastAsia="da-DK"/>
              </w:rPr>
              <w:t>Colonoscop</w:t>
            </w:r>
            <w:proofErr w:type="spellEnd"/>
            <w:r w:rsidRPr="00C9386A">
              <w:rPr>
                <w:rFonts w:ascii="Book Antiqua" w:hAnsi="Book Antiqua" w:cs="Book Antiqua"/>
                <w:lang w:eastAsia="da-DK"/>
              </w:rPr>
              <w:t xml:space="preserve"> OR </w:t>
            </w:r>
            <w:proofErr w:type="spellStart"/>
            <w:r w:rsidRPr="00C9386A">
              <w:rPr>
                <w:rFonts w:ascii="Book Antiqua" w:hAnsi="Book Antiqua" w:cs="Book Antiqua"/>
                <w:lang w:eastAsia="da-DK"/>
              </w:rPr>
              <w:t>Colonoscopic</w:t>
            </w:r>
            <w:proofErr w:type="spellEnd"/>
            <w:r w:rsidRPr="00C9386A">
              <w:rPr>
                <w:rFonts w:ascii="Book Antiqua" w:hAnsi="Book Antiqua" w:cs="Book Antiqua"/>
                <w:lang w:eastAsia="da-DK"/>
              </w:rPr>
              <w:t xml:space="preserve"> Surgical Procedure OR </w:t>
            </w:r>
            <w:proofErr w:type="spellStart"/>
            <w:r w:rsidRPr="00C9386A">
              <w:rPr>
                <w:rFonts w:ascii="Book Antiqua" w:hAnsi="Book Antiqua" w:cs="Book Antiqua"/>
                <w:lang w:eastAsia="da-DK"/>
              </w:rPr>
              <w:t>Colonoscopic</w:t>
            </w:r>
            <w:proofErr w:type="spellEnd"/>
            <w:r w:rsidRPr="00C9386A">
              <w:rPr>
                <w:rFonts w:ascii="Book Antiqua" w:hAnsi="Book Antiqua" w:cs="Book Antiqua"/>
                <w:lang w:eastAsia="da-DK"/>
              </w:rPr>
              <w:t xml:space="preserve"> Surgical Procedures OR Surgery Gastroscopic OR Surgery </w:t>
            </w:r>
            <w:proofErr w:type="spellStart"/>
            <w:r w:rsidRPr="00C9386A">
              <w:rPr>
                <w:rFonts w:ascii="Book Antiqua" w:hAnsi="Book Antiqua" w:cs="Book Antiqua"/>
                <w:lang w:eastAsia="da-DK"/>
              </w:rPr>
              <w:t>Colonoscopic</w:t>
            </w:r>
            <w:proofErr w:type="spellEnd"/>
            <w:r w:rsidRPr="00C9386A">
              <w:rPr>
                <w:rFonts w:ascii="Book Antiqua" w:hAnsi="Book Antiqua" w:cs="Book Antiqua"/>
                <w:lang w:eastAsia="da-DK"/>
              </w:rPr>
              <w:t>) AND</w:t>
            </w:r>
            <w:r w:rsidRPr="00C9386A">
              <w:rPr>
                <w:rFonts w:ascii="Book Antiqua" w:hAnsi="Book Antiqua" w:cs="Book Antiqua"/>
                <w:lang w:eastAsia="zh-CN"/>
              </w:rPr>
              <w:t xml:space="preserve"> </w:t>
            </w:r>
            <w:r w:rsidRPr="00C9386A">
              <w:rPr>
                <w:rFonts w:ascii="Book Antiqua" w:hAnsi="Book Antiqua" w:cs="Book Antiqua"/>
                <w:lang w:eastAsia="da-DK"/>
              </w:rPr>
              <w:t>(Indocyanine green fluorescence OR Indocyanine Green OR ICG OR fluorescent OR fluorescent dye OR fluorescence OR fluorescein OR near-infrared OR near infrared) AND</w:t>
            </w:r>
            <w:r w:rsidRPr="00C9386A">
              <w:rPr>
                <w:rFonts w:ascii="Book Antiqua" w:hAnsi="Book Antiqua" w:cs="Book Antiqua"/>
                <w:lang w:eastAsia="zh-CN"/>
              </w:rPr>
              <w:t xml:space="preserve"> </w:t>
            </w:r>
            <w:r w:rsidRPr="00C9386A">
              <w:rPr>
                <w:rFonts w:ascii="Book Antiqua" w:hAnsi="Book Antiqua" w:cs="Book Antiqua"/>
                <w:lang w:eastAsia="da-DK"/>
              </w:rPr>
              <w:t>(Upper Gastrointestinal Tract OR Lower Gastrointestinal Tract OR Upper gastrointestinal disease OR Lower gastrointestinal disease OR Upper gastrointestinal diseases OR Lower gastrointestinal diseases OR gastrointestinal tract OR gastrointestinal diseases OR GI diseases OR GI-diseases OR Upper GI-Diseases OR Lower GI-diseases) </w:t>
            </w:r>
          </w:p>
        </w:tc>
      </w:tr>
    </w:tbl>
    <w:bookmarkEnd w:id="3"/>
    <w:p w14:paraId="37596F7E" w14:textId="77777777" w:rsidR="001D0CB2" w:rsidRPr="00C9386A" w:rsidRDefault="00555B35" w:rsidP="00C9386A">
      <w:pPr>
        <w:adjustRightInd w:val="0"/>
        <w:snapToGrid w:val="0"/>
        <w:spacing w:after="0" w:line="360" w:lineRule="auto"/>
        <w:jc w:val="both"/>
        <w:rPr>
          <w:rFonts w:ascii="Book Antiqua" w:eastAsia="Book Antiqua" w:hAnsi="Book Antiqua" w:cs="Book Antiqua"/>
          <w:color w:val="000000"/>
        </w:rPr>
      </w:pPr>
      <w:r w:rsidRPr="00C9386A">
        <w:rPr>
          <w:rFonts w:ascii="Book Antiqua" w:hAnsi="Book Antiqua" w:cs="Book Antiqua"/>
          <w:bCs/>
          <w:lang w:eastAsia="zh-CN"/>
        </w:rPr>
        <w:t xml:space="preserve">ICG: </w:t>
      </w:r>
      <w:r w:rsidRPr="00C9386A">
        <w:rPr>
          <w:rFonts w:ascii="Book Antiqua" w:eastAsia="Book Antiqua" w:hAnsi="Book Antiqua" w:cs="Book Antiqua"/>
          <w:color w:val="000000"/>
        </w:rPr>
        <w:t>Indocyanine green</w:t>
      </w:r>
      <w:r w:rsidRPr="00C9386A">
        <w:rPr>
          <w:rFonts w:ascii="Book Antiqua" w:eastAsia="SimSun" w:hAnsi="Book Antiqua" w:cs="Book Antiqua"/>
          <w:color w:val="000000"/>
          <w:lang w:eastAsia="zh-CN"/>
        </w:rPr>
        <w:t xml:space="preserve">; </w:t>
      </w:r>
      <w:r w:rsidRPr="00C9386A">
        <w:rPr>
          <w:rFonts w:ascii="Book Antiqua" w:eastAsia="Book Antiqua" w:hAnsi="Book Antiqua" w:cs="Book Antiqua"/>
          <w:color w:val="000000"/>
        </w:rPr>
        <w:t>GI: Gastrointestinal.</w:t>
      </w:r>
    </w:p>
    <w:p w14:paraId="7D16F37C" w14:textId="77777777" w:rsidR="001D0CB2" w:rsidRPr="00C9386A" w:rsidRDefault="001D0CB2" w:rsidP="00C9386A">
      <w:pPr>
        <w:adjustRightInd w:val="0"/>
        <w:snapToGrid w:val="0"/>
        <w:spacing w:after="0" w:line="360" w:lineRule="auto"/>
        <w:jc w:val="both"/>
        <w:rPr>
          <w:rFonts w:ascii="Book Antiqua" w:eastAsia="Book Antiqua" w:hAnsi="Book Antiqua" w:cs="Book Antiqua"/>
          <w:color w:val="000000"/>
        </w:rPr>
        <w:sectPr w:rsidR="001D0CB2" w:rsidRPr="00C9386A">
          <w:footerReference w:type="default" r:id="rId15"/>
          <w:pgSz w:w="11906" w:h="16838"/>
          <w:pgMar w:top="1440" w:right="1800" w:bottom="1440" w:left="1800" w:header="708" w:footer="708" w:gutter="0"/>
          <w:cols w:space="708"/>
          <w:docGrid w:linePitch="360"/>
        </w:sectPr>
      </w:pPr>
    </w:p>
    <w:p w14:paraId="7487DD85"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lastRenderedPageBreak/>
        <w:t xml:space="preserve">Table 2 Newcastle </w:t>
      </w:r>
      <w:r w:rsidRPr="00C9386A">
        <w:rPr>
          <w:rFonts w:ascii="Book Antiqua" w:hAnsi="Book Antiqua" w:cs="Book Antiqua"/>
          <w:b/>
          <w:lang w:eastAsia="zh-CN"/>
        </w:rPr>
        <w:t>O</w:t>
      </w:r>
      <w:r w:rsidRPr="00C9386A">
        <w:rPr>
          <w:rFonts w:ascii="Book Antiqua" w:hAnsi="Book Antiqua" w:cs="Book Antiqua"/>
          <w:b/>
        </w:rPr>
        <w:t xml:space="preserve">ttawa </w:t>
      </w:r>
      <w:r w:rsidRPr="00C9386A">
        <w:rPr>
          <w:rFonts w:ascii="Book Antiqua" w:hAnsi="Book Antiqua" w:cs="Book Antiqua"/>
          <w:b/>
          <w:lang w:eastAsia="zh-CN"/>
        </w:rPr>
        <w:t>q</w:t>
      </w:r>
      <w:r w:rsidRPr="00C9386A">
        <w:rPr>
          <w:rFonts w:ascii="Book Antiqua" w:hAnsi="Book Antiqua" w:cs="Book Antiqua"/>
          <w:b/>
        </w:rPr>
        <w:t xml:space="preserve">uality </w:t>
      </w:r>
      <w:r w:rsidRPr="00C9386A">
        <w:rPr>
          <w:rFonts w:ascii="Book Antiqua" w:hAnsi="Book Antiqua" w:cs="Book Antiqua"/>
          <w:b/>
          <w:lang w:eastAsia="zh-CN"/>
        </w:rPr>
        <w:t>a</w:t>
      </w:r>
      <w:r w:rsidRPr="00C9386A">
        <w:rPr>
          <w:rFonts w:ascii="Book Antiqua" w:hAnsi="Book Antiqua" w:cs="Book Antiqua"/>
          <w:b/>
        </w:rPr>
        <w:t xml:space="preserve">ssessment </w:t>
      </w:r>
      <w:r w:rsidRPr="00C9386A">
        <w:rPr>
          <w:rFonts w:ascii="Book Antiqua" w:hAnsi="Book Antiqua" w:cs="Book Antiqua"/>
          <w:b/>
          <w:lang w:eastAsia="zh-CN"/>
        </w:rPr>
        <w:t>s</w:t>
      </w:r>
      <w:r w:rsidRPr="00C9386A">
        <w:rPr>
          <w:rFonts w:ascii="Book Antiqua" w:hAnsi="Book Antiqua" w:cs="Book Antiqua"/>
          <w:b/>
        </w:rPr>
        <w:t>cale</w:t>
      </w:r>
    </w:p>
    <w:tbl>
      <w:tblPr>
        <w:tblStyle w:val="Tabel-Gitter3"/>
        <w:tblW w:w="13341" w:type="dxa"/>
        <w:tblInd w:w="-28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
        <w:gridCol w:w="567"/>
        <w:gridCol w:w="567"/>
        <w:gridCol w:w="567"/>
        <w:gridCol w:w="1276"/>
        <w:gridCol w:w="992"/>
        <w:gridCol w:w="993"/>
        <w:gridCol w:w="567"/>
        <w:gridCol w:w="567"/>
        <w:gridCol w:w="708"/>
        <w:gridCol w:w="1288"/>
        <w:gridCol w:w="2130"/>
      </w:tblGrid>
      <w:tr w:rsidR="008808DF" w:rsidRPr="00C9386A" w14:paraId="104D3B92" w14:textId="77777777" w:rsidTr="00AB4C0C">
        <w:trPr>
          <w:trHeight w:val="286"/>
        </w:trPr>
        <w:tc>
          <w:tcPr>
            <w:tcW w:w="2411" w:type="dxa"/>
            <w:vMerge w:val="restart"/>
            <w:tcBorders>
              <w:top w:val="single" w:sz="4" w:space="0" w:color="auto"/>
            </w:tcBorders>
            <w:vAlign w:val="center"/>
          </w:tcPr>
          <w:p w14:paraId="1B4A32BA" w14:textId="1D64BA91" w:rsidR="008808DF" w:rsidRPr="00C9386A" w:rsidRDefault="008808DF" w:rsidP="00C9386A">
            <w:pPr>
              <w:adjustRightInd w:val="0"/>
              <w:snapToGrid w:val="0"/>
              <w:spacing w:after="0" w:line="360" w:lineRule="auto"/>
              <w:jc w:val="both"/>
              <w:rPr>
                <w:rFonts w:ascii="Book Antiqua" w:hAnsi="Book Antiqua" w:cs="Book Antiqua"/>
              </w:rPr>
            </w:pPr>
            <w:bookmarkStart w:id="4" w:name="_Hlk24976831"/>
            <w:r w:rsidRPr="00C9386A">
              <w:rPr>
                <w:rFonts w:ascii="Book Antiqua" w:hAnsi="Book Antiqua" w:cs="Book Antiqua"/>
                <w:b/>
                <w:lang w:eastAsia="zh-CN"/>
              </w:rPr>
              <w:t>Ref.</w:t>
            </w:r>
          </w:p>
        </w:tc>
        <w:tc>
          <w:tcPr>
            <w:tcW w:w="3685" w:type="dxa"/>
            <w:gridSpan w:val="5"/>
            <w:tcBorders>
              <w:top w:val="single" w:sz="4" w:space="0" w:color="auto"/>
              <w:bottom w:val="single" w:sz="4" w:space="0" w:color="auto"/>
            </w:tcBorders>
            <w:vAlign w:val="center"/>
          </w:tcPr>
          <w:p w14:paraId="0888C358" w14:textId="77777777" w:rsidR="008808DF" w:rsidRPr="00C9386A" w:rsidRDefault="008808DF" w:rsidP="00C9386A">
            <w:pPr>
              <w:adjustRightInd w:val="0"/>
              <w:snapToGrid w:val="0"/>
              <w:spacing w:after="0" w:line="360" w:lineRule="auto"/>
              <w:jc w:val="both"/>
              <w:rPr>
                <w:rFonts w:ascii="Book Antiqua" w:hAnsi="Book Antiqua" w:cs="Book Antiqua"/>
                <w:b/>
                <w:bCs/>
              </w:rPr>
            </w:pPr>
            <w:r w:rsidRPr="00C9386A">
              <w:rPr>
                <w:rFonts w:ascii="Book Antiqua" w:hAnsi="Book Antiqua" w:cs="Book Antiqua"/>
                <w:b/>
                <w:bCs/>
              </w:rPr>
              <w:t>Selection</w:t>
            </w:r>
          </w:p>
        </w:tc>
        <w:tc>
          <w:tcPr>
            <w:tcW w:w="1985" w:type="dxa"/>
            <w:gridSpan w:val="2"/>
            <w:tcBorders>
              <w:top w:val="single" w:sz="4" w:space="0" w:color="auto"/>
              <w:bottom w:val="single" w:sz="4" w:space="0" w:color="auto"/>
            </w:tcBorders>
            <w:vAlign w:val="center"/>
          </w:tcPr>
          <w:p w14:paraId="01BABC2C" w14:textId="77777777" w:rsidR="008808DF" w:rsidRPr="00C9386A" w:rsidRDefault="008808DF" w:rsidP="00C9386A">
            <w:pPr>
              <w:adjustRightInd w:val="0"/>
              <w:snapToGrid w:val="0"/>
              <w:spacing w:after="0" w:line="360" w:lineRule="auto"/>
              <w:jc w:val="both"/>
              <w:rPr>
                <w:rFonts w:ascii="Book Antiqua" w:hAnsi="Book Antiqua" w:cs="Book Antiqua"/>
                <w:b/>
                <w:bCs/>
              </w:rPr>
            </w:pPr>
            <w:r w:rsidRPr="00C9386A">
              <w:rPr>
                <w:rFonts w:ascii="Book Antiqua" w:hAnsi="Book Antiqua" w:cs="Book Antiqua"/>
                <w:b/>
                <w:bCs/>
              </w:rPr>
              <w:t>Comparability</w:t>
            </w:r>
          </w:p>
        </w:tc>
        <w:tc>
          <w:tcPr>
            <w:tcW w:w="3130" w:type="dxa"/>
            <w:gridSpan w:val="4"/>
            <w:tcBorders>
              <w:top w:val="single" w:sz="4" w:space="0" w:color="auto"/>
              <w:bottom w:val="single" w:sz="4" w:space="0" w:color="auto"/>
            </w:tcBorders>
            <w:vAlign w:val="center"/>
          </w:tcPr>
          <w:p w14:paraId="73D1961C" w14:textId="77777777" w:rsidR="008808DF" w:rsidRPr="00C9386A" w:rsidRDefault="008808DF" w:rsidP="00C9386A">
            <w:pPr>
              <w:adjustRightInd w:val="0"/>
              <w:snapToGrid w:val="0"/>
              <w:spacing w:after="0" w:line="360" w:lineRule="auto"/>
              <w:jc w:val="both"/>
              <w:rPr>
                <w:rFonts w:ascii="Book Antiqua" w:hAnsi="Book Antiqua" w:cs="Book Antiqua"/>
                <w:b/>
                <w:bCs/>
              </w:rPr>
            </w:pPr>
            <w:r w:rsidRPr="00C9386A">
              <w:rPr>
                <w:rFonts w:ascii="Book Antiqua" w:hAnsi="Book Antiqua" w:cs="Book Antiqua"/>
                <w:b/>
                <w:bCs/>
              </w:rPr>
              <w:t>Outcome</w:t>
            </w:r>
          </w:p>
        </w:tc>
        <w:tc>
          <w:tcPr>
            <w:tcW w:w="2130" w:type="dxa"/>
            <w:vMerge w:val="restart"/>
            <w:tcBorders>
              <w:top w:val="single" w:sz="4" w:space="0" w:color="auto"/>
            </w:tcBorders>
            <w:vAlign w:val="center"/>
          </w:tcPr>
          <w:p w14:paraId="4A789DDE" w14:textId="4E773C49" w:rsidR="008808DF" w:rsidRPr="00472117" w:rsidRDefault="008808DF" w:rsidP="00C9386A">
            <w:pPr>
              <w:adjustRightInd w:val="0"/>
              <w:snapToGrid w:val="0"/>
              <w:spacing w:after="0" w:line="360" w:lineRule="auto"/>
              <w:jc w:val="both"/>
              <w:rPr>
                <w:rFonts w:ascii="Book Antiqua" w:hAnsi="Book Antiqua" w:cs="Book Antiqua"/>
                <w:b/>
              </w:rPr>
            </w:pPr>
            <w:r w:rsidRPr="00472117">
              <w:rPr>
                <w:rFonts w:ascii="Book Antiqua" w:hAnsi="Book Antiqua" w:cs="Book Antiqua"/>
                <w:b/>
              </w:rPr>
              <w:t>Total score</w:t>
            </w:r>
          </w:p>
        </w:tc>
      </w:tr>
      <w:tr w:rsidR="008808DF" w:rsidRPr="00C9386A" w14:paraId="7506E6E5" w14:textId="77777777" w:rsidTr="00AB4C0C">
        <w:trPr>
          <w:trHeight w:val="336"/>
        </w:trPr>
        <w:tc>
          <w:tcPr>
            <w:tcW w:w="2411" w:type="dxa"/>
            <w:vMerge/>
            <w:tcBorders>
              <w:bottom w:val="single" w:sz="4" w:space="0" w:color="auto"/>
            </w:tcBorders>
            <w:vAlign w:val="center"/>
          </w:tcPr>
          <w:p w14:paraId="7DF3156B" w14:textId="3BAE00E2" w:rsidR="008808DF" w:rsidRPr="00C9386A" w:rsidRDefault="008808DF" w:rsidP="00C9386A">
            <w:pPr>
              <w:adjustRightInd w:val="0"/>
              <w:snapToGrid w:val="0"/>
              <w:spacing w:after="0" w:line="360" w:lineRule="auto"/>
              <w:jc w:val="both"/>
              <w:rPr>
                <w:rFonts w:ascii="Book Antiqua" w:hAnsi="Book Antiqua" w:cs="Book Antiqua"/>
                <w:b/>
                <w:lang w:eastAsia="zh-CN"/>
              </w:rPr>
            </w:pPr>
          </w:p>
        </w:tc>
        <w:tc>
          <w:tcPr>
            <w:tcW w:w="708" w:type="dxa"/>
            <w:tcBorders>
              <w:top w:val="single" w:sz="4" w:space="0" w:color="auto"/>
              <w:bottom w:val="single" w:sz="4" w:space="0" w:color="auto"/>
            </w:tcBorders>
            <w:vAlign w:val="center"/>
          </w:tcPr>
          <w:p w14:paraId="7189B1B7"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1</w:t>
            </w:r>
          </w:p>
        </w:tc>
        <w:tc>
          <w:tcPr>
            <w:tcW w:w="567" w:type="dxa"/>
            <w:tcBorders>
              <w:top w:val="single" w:sz="4" w:space="0" w:color="auto"/>
              <w:bottom w:val="single" w:sz="4" w:space="0" w:color="auto"/>
            </w:tcBorders>
            <w:vAlign w:val="center"/>
          </w:tcPr>
          <w:p w14:paraId="4A739F75"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2</w:t>
            </w:r>
          </w:p>
        </w:tc>
        <w:tc>
          <w:tcPr>
            <w:tcW w:w="567" w:type="dxa"/>
            <w:tcBorders>
              <w:top w:val="single" w:sz="4" w:space="0" w:color="auto"/>
              <w:bottom w:val="single" w:sz="4" w:space="0" w:color="auto"/>
            </w:tcBorders>
            <w:vAlign w:val="center"/>
          </w:tcPr>
          <w:p w14:paraId="50B92D96"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3</w:t>
            </w:r>
          </w:p>
        </w:tc>
        <w:tc>
          <w:tcPr>
            <w:tcW w:w="567" w:type="dxa"/>
            <w:tcBorders>
              <w:top w:val="single" w:sz="4" w:space="0" w:color="auto"/>
              <w:bottom w:val="single" w:sz="4" w:space="0" w:color="auto"/>
            </w:tcBorders>
            <w:vAlign w:val="center"/>
          </w:tcPr>
          <w:p w14:paraId="6B16A46A"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4</w:t>
            </w:r>
          </w:p>
        </w:tc>
        <w:tc>
          <w:tcPr>
            <w:tcW w:w="1276" w:type="dxa"/>
            <w:tcBorders>
              <w:top w:val="single" w:sz="4" w:space="0" w:color="auto"/>
              <w:bottom w:val="single" w:sz="4" w:space="0" w:color="auto"/>
            </w:tcBorders>
            <w:vAlign w:val="center"/>
          </w:tcPr>
          <w:p w14:paraId="5EAE56F0"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Score</w:t>
            </w:r>
          </w:p>
        </w:tc>
        <w:tc>
          <w:tcPr>
            <w:tcW w:w="992" w:type="dxa"/>
            <w:tcBorders>
              <w:top w:val="single" w:sz="4" w:space="0" w:color="auto"/>
              <w:bottom w:val="single" w:sz="4" w:space="0" w:color="auto"/>
            </w:tcBorders>
            <w:vAlign w:val="center"/>
          </w:tcPr>
          <w:p w14:paraId="614A2CB2"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1</w:t>
            </w:r>
          </w:p>
        </w:tc>
        <w:tc>
          <w:tcPr>
            <w:tcW w:w="993" w:type="dxa"/>
            <w:tcBorders>
              <w:top w:val="single" w:sz="4" w:space="0" w:color="auto"/>
              <w:bottom w:val="single" w:sz="4" w:space="0" w:color="auto"/>
            </w:tcBorders>
            <w:vAlign w:val="center"/>
          </w:tcPr>
          <w:p w14:paraId="75A19E00"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Score</w:t>
            </w:r>
          </w:p>
        </w:tc>
        <w:tc>
          <w:tcPr>
            <w:tcW w:w="567" w:type="dxa"/>
            <w:tcBorders>
              <w:top w:val="single" w:sz="4" w:space="0" w:color="auto"/>
              <w:bottom w:val="single" w:sz="4" w:space="0" w:color="auto"/>
            </w:tcBorders>
            <w:vAlign w:val="center"/>
          </w:tcPr>
          <w:p w14:paraId="54375112"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1</w:t>
            </w:r>
          </w:p>
        </w:tc>
        <w:tc>
          <w:tcPr>
            <w:tcW w:w="567" w:type="dxa"/>
            <w:tcBorders>
              <w:top w:val="single" w:sz="4" w:space="0" w:color="auto"/>
              <w:bottom w:val="single" w:sz="4" w:space="0" w:color="auto"/>
            </w:tcBorders>
            <w:vAlign w:val="center"/>
          </w:tcPr>
          <w:p w14:paraId="692E0F1B"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2</w:t>
            </w:r>
          </w:p>
        </w:tc>
        <w:tc>
          <w:tcPr>
            <w:tcW w:w="708" w:type="dxa"/>
            <w:tcBorders>
              <w:top w:val="single" w:sz="4" w:space="0" w:color="auto"/>
              <w:bottom w:val="single" w:sz="4" w:space="0" w:color="auto"/>
            </w:tcBorders>
            <w:vAlign w:val="center"/>
          </w:tcPr>
          <w:p w14:paraId="27066A68"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3</w:t>
            </w:r>
          </w:p>
        </w:tc>
        <w:tc>
          <w:tcPr>
            <w:tcW w:w="1288" w:type="dxa"/>
            <w:tcBorders>
              <w:top w:val="single" w:sz="4" w:space="0" w:color="auto"/>
              <w:bottom w:val="single" w:sz="4" w:space="0" w:color="auto"/>
            </w:tcBorders>
            <w:vAlign w:val="center"/>
          </w:tcPr>
          <w:p w14:paraId="3C2CEB54" w14:textId="77777777" w:rsidR="008808DF" w:rsidRPr="008808DF" w:rsidRDefault="008808DF" w:rsidP="00C9386A">
            <w:pPr>
              <w:adjustRightInd w:val="0"/>
              <w:snapToGrid w:val="0"/>
              <w:spacing w:after="0" w:line="360" w:lineRule="auto"/>
              <w:jc w:val="both"/>
              <w:rPr>
                <w:rFonts w:ascii="Book Antiqua" w:hAnsi="Book Antiqua" w:cs="Book Antiqua"/>
                <w:b/>
              </w:rPr>
            </w:pPr>
            <w:r w:rsidRPr="008808DF">
              <w:rPr>
                <w:rFonts w:ascii="Book Antiqua" w:hAnsi="Book Antiqua" w:cs="Book Antiqua"/>
                <w:b/>
              </w:rPr>
              <w:t>Score</w:t>
            </w:r>
          </w:p>
        </w:tc>
        <w:tc>
          <w:tcPr>
            <w:tcW w:w="2130" w:type="dxa"/>
            <w:vMerge/>
            <w:tcBorders>
              <w:bottom w:val="single" w:sz="4" w:space="0" w:color="auto"/>
            </w:tcBorders>
            <w:vAlign w:val="center"/>
          </w:tcPr>
          <w:p w14:paraId="224CBD4D" w14:textId="7021744A" w:rsidR="008808DF" w:rsidRPr="00C9386A" w:rsidRDefault="008808DF" w:rsidP="00C9386A">
            <w:pPr>
              <w:adjustRightInd w:val="0"/>
              <w:snapToGrid w:val="0"/>
              <w:spacing w:after="0" w:line="360" w:lineRule="auto"/>
              <w:jc w:val="both"/>
              <w:rPr>
                <w:rFonts w:ascii="Book Antiqua" w:hAnsi="Book Antiqua" w:cs="Book Antiqua"/>
              </w:rPr>
            </w:pPr>
          </w:p>
        </w:tc>
      </w:tr>
      <w:tr w:rsidR="001D0CB2" w:rsidRPr="00C9386A" w14:paraId="6EA2A9F5" w14:textId="77777777" w:rsidTr="008808DF">
        <w:trPr>
          <w:trHeight w:val="442"/>
        </w:trPr>
        <w:tc>
          <w:tcPr>
            <w:tcW w:w="2411" w:type="dxa"/>
            <w:tcBorders>
              <w:top w:val="single" w:sz="4" w:space="0" w:color="auto"/>
              <w:bottom w:val="nil"/>
            </w:tcBorders>
            <w:vAlign w:val="center"/>
          </w:tcPr>
          <w:p w14:paraId="24D4DAAD" w14:textId="77777777" w:rsidR="001D0CB2" w:rsidRPr="00C9386A" w:rsidRDefault="00555B35" w:rsidP="00C9386A">
            <w:pPr>
              <w:adjustRightInd w:val="0"/>
              <w:snapToGrid w:val="0"/>
              <w:spacing w:after="0" w:line="360" w:lineRule="auto"/>
              <w:jc w:val="both"/>
              <w:rPr>
                <w:rFonts w:ascii="Book Antiqua" w:hAnsi="Book Antiqua" w:cs="Book Antiqua"/>
                <w:bCs/>
                <w:vertAlign w:val="superscript"/>
              </w:rPr>
            </w:pPr>
            <w:r w:rsidRPr="00C9386A">
              <w:rPr>
                <w:rFonts w:ascii="Book Antiqua" w:hAnsi="Book Antiqua" w:cs="Book Antiqua"/>
                <w:bCs/>
              </w:rPr>
              <w:t xml:space="preserve">Iseki </w:t>
            </w:r>
            <w:r w:rsidRPr="00C9386A">
              <w:rPr>
                <w:rFonts w:ascii="Book Antiqua" w:hAnsi="Book Antiqua" w:cs="Book Antiqua"/>
                <w:bCs/>
                <w:i/>
                <w:iCs/>
              </w:rPr>
              <w:t>et al</w:t>
            </w:r>
            <w:r w:rsidRPr="00C9386A">
              <w:rPr>
                <w:rFonts w:ascii="Book Antiqua" w:hAnsi="Book Antiqua" w:cs="Book Antiqua"/>
                <w:bCs/>
                <w:vertAlign w:val="superscript"/>
              </w:rPr>
              <w:t>[25]</w:t>
            </w:r>
            <w:r w:rsidRPr="00C9386A">
              <w:rPr>
                <w:rFonts w:ascii="Book Antiqua" w:hAnsi="Book Antiqua" w:cs="Book Antiqua"/>
                <w:bCs/>
              </w:rPr>
              <w:t>,</w:t>
            </w:r>
            <w:r w:rsidRPr="00C9386A">
              <w:rPr>
                <w:rFonts w:ascii="Book Antiqua" w:hAnsi="Book Antiqua" w:cs="Book Antiqua"/>
                <w:bCs/>
                <w:vertAlign w:val="superscript"/>
                <w:lang w:eastAsia="zh-CN"/>
              </w:rPr>
              <w:t xml:space="preserve"> </w:t>
            </w:r>
            <w:r w:rsidRPr="00C9386A">
              <w:rPr>
                <w:rFonts w:ascii="Book Antiqua" w:hAnsi="Book Antiqua" w:cs="Book Antiqua"/>
                <w:bCs/>
              </w:rPr>
              <w:t>2000</w:t>
            </w:r>
          </w:p>
        </w:tc>
        <w:tc>
          <w:tcPr>
            <w:tcW w:w="708" w:type="dxa"/>
            <w:tcBorders>
              <w:top w:val="single" w:sz="4" w:space="0" w:color="auto"/>
              <w:bottom w:val="nil"/>
            </w:tcBorders>
            <w:vAlign w:val="center"/>
          </w:tcPr>
          <w:p w14:paraId="14D5DF8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single" w:sz="4" w:space="0" w:color="auto"/>
              <w:bottom w:val="nil"/>
            </w:tcBorders>
            <w:vAlign w:val="center"/>
          </w:tcPr>
          <w:p w14:paraId="6BEC750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single" w:sz="4" w:space="0" w:color="auto"/>
              <w:bottom w:val="nil"/>
            </w:tcBorders>
            <w:vAlign w:val="center"/>
          </w:tcPr>
          <w:p w14:paraId="6953C3C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single" w:sz="4" w:space="0" w:color="auto"/>
              <w:bottom w:val="nil"/>
            </w:tcBorders>
            <w:vAlign w:val="center"/>
          </w:tcPr>
          <w:p w14:paraId="4D8B52F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76" w:type="dxa"/>
            <w:tcBorders>
              <w:top w:val="single" w:sz="4" w:space="0" w:color="auto"/>
              <w:bottom w:val="nil"/>
            </w:tcBorders>
            <w:vAlign w:val="center"/>
          </w:tcPr>
          <w:p w14:paraId="74FB5A45" w14:textId="77777777" w:rsidR="001D0CB2" w:rsidRPr="00C9386A" w:rsidRDefault="00555B35" w:rsidP="00C9386A">
            <w:pPr>
              <w:adjustRightInd w:val="0"/>
              <w:snapToGrid w:val="0"/>
              <w:spacing w:after="0" w:line="360" w:lineRule="auto"/>
              <w:jc w:val="both"/>
              <w:rPr>
                <w:rFonts w:ascii="Book Antiqua" w:hAnsi="Book Antiqua" w:cs="Book Antiqua"/>
                <w:color w:val="000000"/>
                <w:lang w:val="da-DK"/>
              </w:rPr>
            </w:pPr>
            <w:r w:rsidRPr="00C9386A">
              <w:rPr>
                <w:rFonts w:ascii="Segoe UI Symbol" w:hAnsi="Segoe UI Symbol" w:cs="Segoe UI Symbol"/>
                <w:color w:val="000000"/>
                <w:lang w:val="da-DK" w:eastAsia="da-DK"/>
              </w:rPr>
              <w:t>★☆★★</w:t>
            </w:r>
          </w:p>
        </w:tc>
        <w:tc>
          <w:tcPr>
            <w:tcW w:w="992" w:type="dxa"/>
            <w:tcBorders>
              <w:top w:val="single" w:sz="4" w:space="0" w:color="auto"/>
              <w:bottom w:val="nil"/>
            </w:tcBorders>
            <w:vAlign w:val="center"/>
          </w:tcPr>
          <w:p w14:paraId="69C3094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single" w:sz="4" w:space="0" w:color="auto"/>
              <w:bottom w:val="nil"/>
            </w:tcBorders>
            <w:vAlign w:val="center"/>
          </w:tcPr>
          <w:p w14:paraId="7A476DC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single" w:sz="4" w:space="0" w:color="auto"/>
              <w:bottom w:val="nil"/>
            </w:tcBorders>
            <w:vAlign w:val="center"/>
          </w:tcPr>
          <w:p w14:paraId="214CA4E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single" w:sz="4" w:space="0" w:color="auto"/>
              <w:bottom w:val="nil"/>
            </w:tcBorders>
            <w:vAlign w:val="center"/>
          </w:tcPr>
          <w:p w14:paraId="145FBBF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single" w:sz="4" w:space="0" w:color="auto"/>
              <w:bottom w:val="nil"/>
            </w:tcBorders>
            <w:vAlign w:val="center"/>
          </w:tcPr>
          <w:p w14:paraId="37BBB2F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single" w:sz="4" w:space="0" w:color="auto"/>
              <w:bottom w:val="nil"/>
            </w:tcBorders>
            <w:vAlign w:val="center"/>
          </w:tcPr>
          <w:p w14:paraId="36CDE10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single" w:sz="4" w:space="0" w:color="auto"/>
              <w:bottom w:val="nil"/>
            </w:tcBorders>
            <w:vAlign w:val="center"/>
          </w:tcPr>
          <w:p w14:paraId="133EE34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729CE96D" w14:textId="77777777" w:rsidTr="00C9386A">
        <w:trPr>
          <w:trHeight w:val="577"/>
        </w:trPr>
        <w:tc>
          <w:tcPr>
            <w:tcW w:w="2411" w:type="dxa"/>
            <w:tcBorders>
              <w:top w:val="nil"/>
              <w:bottom w:val="nil"/>
            </w:tcBorders>
            <w:vAlign w:val="center"/>
          </w:tcPr>
          <w:p w14:paraId="715F038D" w14:textId="77777777" w:rsidR="001D0CB2" w:rsidRPr="00C9386A" w:rsidRDefault="00555B35" w:rsidP="00C9386A">
            <w:pPr>
              <w:adjustRightInd w:val="0"/>
              <w:snapToGrid w:val="0"/>
              <w:spacing w:after="0" w:line="360" w:lineRule="auto"/>
              <w:jc w:val="both"/>
              <w:rPr>
                <w:rFonts w:ascii="Book Antiqua" w:hAnsi="Book Antiqua" w:cs="Book Antiqua"/>
                <w:bCs/>
              </w:rPr>
            </w:pPr>
            <w:proofErr w:type="spellStart"/>
            <w:r w:rsidRPr="00C9386A">
              <w:rPr>
                <w:rFonts w:ascii="Book Antiqua" w:hAnsi="Book Antiqua" w:cs="Book Antiqua"/>
                <w:bCs/>
              </w:rPr>
              <w:t>Mataki</w:t>
            </w:r>
            <w:proofErr w:type="spellEnd"/>
            <w:r w:rsidRPr="00C9386A">
              <w:rPr>
                <w:rFonts w:ascii="Book Antiqua" w:hAnsi="Book Antiqua" w:cs="Book Antiqua"/>
                <w:bCs/>
              </w:rPr>
              <w:t xml:space="preserve"> </w:t>
            </w:r>
            <w:r w:rsidRPr="00C9386A">
              <w:rPr>
                <w:rFonts w:ascii="Book Antiqua" w:hAnsi="Book Antiqua" w:cs="Book Antiqua"/>
                <w:bCs/>
                <w:i/>
                <w:iCs/>
              </w:rPr>
              <w:t>et al</w:t>
            </w:r>
            <w:r w:rsidRPr="00C9386A">
              <w:rPr>
                <w:rFonts w:ascii="Book Antiqua" w:hAnsi="Book Antiqua" w:cs="Book Antiqua"/>
                <w:bCs/>
                <w:vertAlign w:val="superscript"/>
              </w:rPr>
              <w:t>[21]</w:t>
            </w:r>
            <w:r w:rsidRPr="00C9386A">
              <w:rPr>
                <w:rFonts w:ascii="Book Antiqua" w:hAnsi="Book Antiqua" w:cs="Book Antiqua"/>
                <w:bCs/>
              </w:rPr>
              <w:t>, 2003</w:t>
            </w:r>
          </w:p>
        </w:tc>
        <w:tc>
          <w:tcPr>
            <w:tcW w:w="708" w:type="dxa"/>
            <w:tcBorders>
              <w:top w:val="nil"/>
              <w:bottom w:val="nil"/>
            </w:tcBorders>
            <w:vAlign w:val="center"/>
          </w:tcPr>
          <w:p w14:paraId="6518399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6D677D4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nil"/>
              <w:bottom w:val="nil"/>
            </w:tcBorders>
            <w:vAlign w:val="center"/>
          </w:tcPr>
          <w:p w14:paraId="363DD19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7C9DEB0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1276" w:type="dxa"/>
            <w:tcBorders>
              <w:top w:val="nil"/>
              <w:bottom w:val="nil"/>
            </w:tcBorders>
            <w:vAlign w:val="center"/>
          </w:tcPr>
          <w:p w14:paraId="514DC08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992" w:type="dxa"/>
            <w:tcBorders>
              <w:top w:val="nil"/>
              <w:bottom w:val="nil"/>
            </w:tcBorders>
            <w:vAlign w:val="center"/>
          </w:tcPr>
          <w:p w14:paraId="2EE017B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nil"/>
              <w:bottom w:val="nil"/>
            </w:tcBorders>
            <w:vAlign w:val="center"/>
          </w:tcPr>
          <w:p w14:paraId="65FAC06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nil"/>
              <w:bottom w:val="nil"/>
            </w:tcBorders>
            <w:vAlign w:val="center"/>
          </w:tcPr>
          <w:p w14:paraId="5FB482C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2B0A68E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nil"/>
              <w:bottom w:val="nil"/>
            </w:tcBorders>
            <w:vAlign w:val="center"/>
          </w:tcPr>
          <w:p w14:paraId="4966765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nil"/>
              <w:bottom w:val="nil"/>
            </w:tcBorders>
            <w:vAlign w:val="center"/>
          </w:tcPr>
          <w:p w14:paraId="7AD722C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nil"/>
              <w:bottom w:val="nil"/>
            </w:tcBorders>
            <w:vAlign w:val="center"/>
          </w:tcPr>
          <w:p w14:paraId="2A5DFC1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1C87E68F" w14:textId="77777777" w:rsidTr="00C9386A">
        <w:trPr>
          <w:trHeight w:val="773"/>
        </w:trPr>
        <w:tc>
          <w:tcPr>
            <w:tcW w:w="2411" w:type="dxa"/>
            <w:tcBorders>
              <w:top w:val="nil"/>
              <w:bottom w:val="nil"/>
            </w:tcBorders>
            <w:vAlign w:val="center"/>
          </w:tcPr>
          <w:p w14:paraId="08B3EA18"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t xml:space="preserve">Okamoto </w:t>
            </w:r>
            <w:r w:rsidRPr="00C9386A">
              <w:rPr>
                <w:rFonts w:ascii="Book Antiqua" w:hAnsi="Book Antiqua" w:cs="Book Antiqua"/>
                <w:bCs/>
                <w:i/>
                <w:iCs/>
              </w:rPr>
              <w:t>et al</w:t>
            </w:r>
            <w:r w:rsidRPr="00C9386A">
              <w:rPr>
                <w:rFonts w:ascii="Book Antiqua" w:hAnsi="Book Antiqua" w:cs="Book Antiqua"/>
                <w:bCs/>
                <w:vertAlign w:val="superscript"/>
              </w:rPr>
              <w:t>[22]</w:t>
            </w:r>
            <w:r w:rsidRPr="00C9386A">
              <w:rPr>
                <w:rFonts w:ascii="Book Antiqua" w:hAnsi="Book Antiqua" w:cs="Book Antiqua"/>
                <w:bCs/>
              </w:rPr>
              <w:t xml:space="preserve">, 2005 </w:t>
            </w:r>
          </w:p>
        </w:tc>
        <w:tc>
          <w:tcPr>
            <w:tcW w:w="708" w:type="dxa"/>
            <w:tcBorders>
              <w:top w:val="nil"/>
              <w:bottom w:val="nil"/>
            </w:tcBorders>
            <w:vAlign w:val="center"/>
          </w:tcPr>
          <w:p w14:paraId="792858F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1BEA933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nil"/>
              <w:bottom w:val="nil"/>
            </w:tcBorders>
            <w:vAlign w:val="center"/>
          </w:tcPr>
          <w:p w14:paraId="111E6C8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5736AF8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1276" w:type="dxa"/>
            <w:tcBorders>
              <w:top w:val="nil"/>
              <w:bottom w:val="nil"/>
            </w:tcBorders>
            <w:vAlign w:val="center"/>
          </w:tcPr>
          <w:p w14:paraId="67F83C6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992" w:type="dxa"/>
            <w:tcBorders>
              <w:top w:val="nil"/>
              <w:bottom w:val="nil"/>
            </w:tcBorders>
            <w:vAlign w:val="center"/>
          </w:tcPr>
          <w:p w14:paraId="3933543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nil"/>
              <w:bottom w:val="nil"/>
            </w:tcBorders>
            <w:vAlign w:val="center"/>
          </w:tcPr>
          <w:p w14:paraId="0133101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nil"/>
              <w:bottom w:val="nil"/>
            </w:tcBorders>
            <w:vAlign w:val="center"/>
          </w:tcPr>
          <w:p w14:paraId="1EFDD04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c</w:t>
            </w:r>
          </w:p>
        </w:tc>
        <w:tc>
          <w:tcPr>
            <w:tcW w:w="567" w:type="dxa"/>
            <w:tcBorders>
              <w:top w:val="nil"/>
              <w:bottom w:val="nil"/>
            </w:tcBorders>
            <w:vAlign w:val="center"/>
          </w:tcPr>
          <w:p w14:paraId="0A2AE51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nil"/>
              <w:bottom w:val="nil"/>
            </w:tcBorders>
            <w:vAlign w:val="center"/>
          </w:tcPr>
          <w:p w14:paraId="2AA29CE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nil"/>
              <w:bottom w:val="nil"/>
            </w:tcBorders>
            <w:vAlign w:val="center"/>
          </w:tcPr>
          <w:p w14:paraId="3B69EBF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nil"/>
              <w:bottom w:val="nil"/>
            </w:tcBorders>
            <w:vAlign w:val="center"/>
          </w:tcPr>
          <w:p w14:paraId="698E8B6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38A921DC" w14:textId="77777777" w:rsidTr="00C9386A">
        <w:trPr>
          <w:trHeight w:val="528"/>
        </w:trPr>
        <w:tc>
          <w:tcPr>
            <w:tcW w:w="2411" w:type="dxa"/>
            <w:tcBorders>
              <w:top w:val="nil"/>
              <w:bottom w:val="nil"/>
            </w:tcBorders>
            <w:vAlign w:val="center"/>
          </w:tcPr>
          <w:p w14:paraId="24A4CF7F"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t xml:space="preserve">Ishihara </w:t>
            </w:r>
            <w:r w:rsidRPr="00C9386A">
              <w:rPr>
                <w:rFonts w:ascii="Book Antiqua" w:hAnsi="Book Antiqua" w:cs="Book Antiqua"/>
                <w:bCs/>
                <w:i/>
                <w:iCs/>
              </w:rPr>
              <w:t>et al</w:t>
            </w:r>
            <w:r w:rsidRPr="00C9386A">
              <w:rPr>
                <w:rFonts w:ascii="Book Antiqua" w:hAnsi="Book Antiqua" w:cs="Book Antiqua"/>
                <w:bCs/>
                <w:vertAlign w:val="superscript"/>
              </w:rPr>
              <w:t>[12]</w:t>
            </w:r>
            <w:r w:rsidRPr="00C9386A">
              <w:rPr>
                <w:rFonts w:ascii="Book Antiqua" w:hAnsi="Book Antiqua" w:cs="Book Antiqua"/>
                <w:bCs/>
              </w:rPr>
              <w:t>, 2006</w:t>
            </w:r>
          </w:p>
        </w:tc>
        <w:tc>
          <w:tcPr>
            <w:tcW w:w="708" w:type="dxa"/>
            <w:tcBorders>
              <w:top w:val="nil"/>
              <w:bottom w:val="nil"/>
            </w:tcBorders>
            <w:vAlign w:val="center"/>
          </w:tcPr>
          <w:p w14:paraId="61B902E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11B1CBA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nil"/>
              <w:bottom w:val="nil"/>
            </w:tcBorders>
            <w:vAlign w:val="center"/>
          </w:tcPr>
          <w:p w14:paraId="6CDEE78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3E64739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76" w:type="dxa"/>
            <w:tcBorders>
              <w:top w:val="nil"/>
              <w:bottom w:val="nil"/>
            </w:tcBorders>
            <w:vAlign w:val="center"/>
          </w:tcPr>
          <w:p w14:paraId="2EB444F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992" w:type="dxa"/>
            <w:tcBorders>
              <w:top w:val="nil"/>
              <w:bottom w:val="nil"/>
            </w:tcBorders>
            <w:vAlign w:val="center"/>
          </w:tcPr>
          <w:p w14:paraId="54C5DBD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nil"/>
              <w:bottom w:val="nil"/>
            </w:tcBorders>
            <w:vAlign w:val="center"/>
          </w:tcPr>
          <w:p w14:paraId="4590B95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nil"/>
              <w:bottom w:val="nil"/>
            </w:tcBorders>
            <w:vAlign w:val="center"/>
          </w:tcPr>
          <w:p w14:paraId="5C2291A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353A67B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nil"/>
              <w:bottom w:val="nil"/>
            </w:tcBorders>
            <w:vAlign w:val="center"/>
          </w:tcPr>
          <w:p w14:paraId="1CAAC71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nil"/>
              <w:bottom w:val="nil"/>
            </w:tcBorders>
            <w:vAlign w:val="center"/>
          </w:tcPr>
          <w:p w14:paraId="5EA4290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nil"/>
              <w:bottom w:val="nil"/>
            </w:tcBorders>
            <w:vAlign w:val="center"/>
          </w:tcPr>
          <w:p w14:paraId="5AC7A8F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168437CB" w14:textId="77777777" w:rsidTr="00C9386A">
        <w:trPr>
          <w:trHeight w:val="547"/>
        </w:trPr>
        <w:tc>
          <w:tcPr>
            <w:tcW w:w="2411" w:type="dxa"/>
            <w:tcBorders>
              <w:top w:val="nil"/>
              <w:bottom w:val="nil"/>
            </w:tcBorders>
            <w:vAlign w:val="center"/>
          </w:tcPr>
          <w:p w14:paraId="4B84B582"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t xml:space="preserve">Kimura </w:t>
            </w:r>
            <w:r w:rsidRPr="00C9386A">
              <w:rPr>
                <w:rFonts w:ascii="Book Antiqua" w:hAnsi="Book Antiqua" w:cs="Book Antiqua"/>
                <w:bCs/>
                <w:i/>
                <w:iCs/>
              </w:rPr>
              <w:t>et al</w:t>
            </w:r>
            <w:r w:rsidRPr="00C9386A">
              <w:rPr>
                <w:rFonts w:ascii="Book Antiqua" w:hAnsi="Book Antiqua" w:cs="Book Antiqua"/>
                <w:bCs/>
                <w:vertAlign w:val="superscript"/>
              </w:rPr>
              <w:t>[23]</w:t>
            </w:r>
            <w:r w:rsidRPr="00C9386A">
              <w:rPr>
                <w:rFonts w:ascii="Book Antiqua" w:hAnsi="Book Antiqua" w:cs="Book Antiqua"/>
                <w:bCs/>
              </w:rPr>
              <w:t>, 2007</w:t>
            </w:r>
          </w:p>
        </w:tc>
        <w:tc>
          <w:tcPr>
            <w:tcW w:w="708" w:type="dxa"/>
            <w:tcBorders>
              <w:top w:val="nil"/>
              <w:bottom w:val="nil"/>
            </w:tcBorders>
            <w:vAlign w:val="center"/>
          </w:tcPr>
          <w:p w14:paraId="3D342C1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158C75D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nil"/>
              <w:bottom w:val="nil"/>
            </w:tcBorders>
            <w:vAlign w:val="center"/>
          </w:tcPr>
          <w:p w14:paraId="4891091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7F160D8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1276" w:type="dxa"/>
            <w:tcBorders>
              <w:top w:val="nil"/>
              <w:bottom w:val="nil"/>
            </w:tcBorders>
            <w:vAlign w:val="center"/>
          </w:tcPr>
          <w:p w14:paraId="0C12801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992" w:type="dxa"/>
            <w:tcBorders>
              <w:top w:val="nil"/>
              <w:bottom w:val="nil"/>
            </w:tcBorders>
            <w:vAlign w:val="center"/>
          </w:tcPr>
          <w:p w14:paraId="3CC7B55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nil"/>
              <w:bottom w:val="nil"/>
            </w:tcBorders>
            <w:vAlign w:val="center"/>
          </w:tcPr>
          <w:p w14:paraId="54838D3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nil"/>
              <w:bottom w:val="nil"/>
            </w:tcBorders>
            <w:vAlign w:val="center"/>
          </w:tcPr>
          <w:p w14:paraId="55CC3D1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nil"/>
            </w:tcBorders>
            <w:vAlign w:val="center"/>
          </w:tcPr>
          <w:p w14:paraId="175035E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nil"/>
              <w:bottom w:val="nil"/>
            </w:tcBorders>
            <w:vAlign w:val="center"/>
          </w:tcPr>
          <w:p w14:paraId="7B2FDE1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nil"/>
              <w:bottom w:val="nil"/>
            </w:tcBorders>
            <w:vAlign w:val="center"/>
          </w:tcPr>
          <w:p w14:paraId="7668F58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nil"/>
              <w:bottom w:val="nil"/>
            </w:tcBorders>
            <w:vAlign w:val="center"/>
          </w:tcPr>
          <w:p w14:paraId="339FDA3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137374F4" w14:textId="77777777" w:rsidTr="00C9386A">
        <w:trPr>
          <w:trHeight w:val="1077"/>
        </w:trPr>
        <w:tc>
          <w:tcPr>
            <w:tcW w:w="2411" w:type="dxa"/>
            <w:tcBorders>
              <w:top w:val="nil"/>
              <w:bottom w:val="nil"/>
            </w:tcBorders>
            <w:vAlign w:val="center"/>
          </w:tcPr>
          <w:p w14:paraId="695D3438" w14:textId="77777777" w:rsidR="001D0CB2" w:rsidRPr="00C9386A" w:rsidRDefault="00555B35" w:rsidP="00C9386A">
            <w:pPr>
              <w:adjustRightInd w:val="0"/>
              <w:snapToGrid w:val="0"/>
              <w:spacing w:after="0" w:line="360" w:lineRule="auto"/>
              <w:jc w:val="both"/>
              <w:rPr>
                <w:rFonts w:ascii="Book Antiqua" w:hAnsi="Book Antiqua" w:cs="Book Antiqua"/>
                <w:bCs/>
                <w:lang w:val="da-DK"/>
              </w:rPr>
            </w:pPr>
            <w:r w:rsidRPr="00C9386A">
              <w:rPr>
                <w:rFonts w:ascii="Book Antiqua" w:hAnsi="Book Antiqua" w:cs="Book Antiqua"/>
                <w:bCs/>
                <w:lang w:val="da-DK"/>
              </w:rPr>
              <w:t>Ortiz-</w:t>
            </w:r>
          </w:p>
          <w:p w14:paraId="37A94181" w14:textId="77777777" w:rsidR="001D0CB2" w:rsidRPr="00C9386A" w:rsidRDefault="00555B35" w:rsidP="00C9386A">
            <w:pPr>
              <w:adjustRightInd w:val="0"/>
              <w:snapToGrid w:val="0"/>
              <w:spacing w:after="0" w:line="360" w:lineRule="auto"/>
              <w:jc w:val="both"/>
              <w:rPr>
                <w:rFonts w:ascii="Book Antiqua" w:hAnsi="Book Antiqua" w:cs="Book Antiqua"/>
                <w:bCs/>
                <w:lang w:val="da-DK"/>
              </w:rPr>
            </w:pPr>
            <w:r w:rsidRPr="00C9386A">
              <w:rPr>
                <w:rFonts w:ascii="Book Antiqua" w:hAnsi="Book Antiqua" w:cs="Book Antiqua"/>
                <w:bCs/>
                <w:lang w:val="da-DK"/>
              </w:rPr>
              <w:t xml:space="preserve">Fernandez-Sordo </w:t>
            </w:r>
            <w:r w:rsidRPr="00C9386A">
              <w:rPr>
                <w:rFonts w:ascii="Book Antiqua" w:hAnsi="Book Antiqua" w:cs="Book Antiqua"/>
                <w:bCs/>
                <w:i/>
                <w:iCs/>
                <w:lang w:val="da-DK"/>
              </w:rPr>
              <w:t>et al</w:t>
            </w:r>
            <w:r w:rsidRPr="00C9386A">
              <w:rPr>
                <w:rFonts w:ascii="Book Antiqua" w:hAnsi="Book Antiqua" w:cs="Book Antiqua"/>
                <w:bCs/>
                <w:vertAlign w:val="superscript"/>
                <w:lang w:val="da-DK"/>
              </w:rPr>
              <w:t>[24]</w:t>
            </w:r>
            <w:r w:rsidRPr="00C9386A">
              <w:rPr>
                <w:rFonts w:ascii="Book Antiqua" w:hAnsi="Book Antiqua" w:cs="Book Antiqua"/>
                <w:bCs/>
                <w:lang w:val="da-DK"/>
              </w:rPr>
              <w:t>, 2018</w:t>
            </w:r>
          </w:p>
        </w:tc>
        <w:tc>
          <w:tcPr>
            <w:tcW w:w="708" w:type="dxa"/>
            <w:tcBorders>
              <w:top w:val="nil"/>
              <w:bottom w:val="nil"/>
            </w:tcBorders>
            <w:vAlign w:val="center"/>
          </w:tcPr>
          <w:p w14:paraId="7342C0AF"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567" w:type="dxa"/>
            <w:tcBorders>
              <w:top w:val="nil"/>
              <w:bottom w:val="nil"/>
            </w:tcBorders>
            <w:vAlign w:val="center"/>
          </w:tcPr>
          <w:p w14:paraId="62E6FD12"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b</w:t>
            </w:r>
          </w:p>
        </w:tc>
        <w:tc>
          <w:tcPr>
            <w:tcW w:w="567" w:type="dxa"/>
            <w:tcBorders>
              <w:top w:val="nil"/>
              <w:bottom w:val="nil"/>
            </w:tcBorders>
            <w:vAlign w:val="center"/>
          </w:tcPr>
          <w:p w14:paraId="52879359"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567" w:type="dxa"/>
            <w:tcBorders>
              <w:top w:val="nil"/>
              <w:bottom w:val="nil"/>
            </w:tcBorders>
            <w:vAlign w:val="center"/>
          </w:tcPr>
          <w:p w14:paraId="362CA82E"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1276" w:type="dxa"/>
            <w:tcBorders>
              <w:top w:val="nil"/>
              <w:bottom w:val="nil"/>
            </w:tcBorders>
            <w:vAlign w:val="center"/>
          </w:tcPr>
          <w:p w14:paraId="6A3CC74C"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Segoe UI Symbol" w:hAnsi="Segoe UI Symbol" w:cs="Segoe UI Symbol"/>
                <w:color w:val="000000"/>
                <w:lang w:val="da-DK" w:eastAsia="da-DK"/>
              </w:rPr>
              <w:t>★☆★★</w:t>
            </w:r>
          </w:p>
        </w:tc>
        <w:tc>
          <w:tcPr>
            <w:tcW w:w="992" w:type="dxa"/>
            <w:tcBorders>
              <w:top w:val="nil"/>
              <w:bottom w:val="nil"/>
            </w:tcBorders>
            <w:vAlign w:val="center"/>
          </w:tcPr>
          <w:p w14:paraId="38B69F9A"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w:t>
            </w:r>
          </w:p>
        </w:tc>
        <w:tc>
          <w:tcPr>
            <w:tcW w:w="993" w:type="dxa"/>
            <w:tcBorders>
              <w:top w:val="nil"/>
              <w:bottom w:val="nil"/>
            </w:tcBorders>
            <w:vAlign w:val="center"/>
          </w:tcPr>
          <w:p w14:paraId="5115AD7D"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Segoe UI Symbol" w:hAnsi="Segoe UI Symbol" w:cs="Segoe UI Symbol"/>
                <w:color w:val="000000"/>
                <w:lang w:val="da-DK" w:eastAsia="da-DK"/>
              </w:rPr>
              <w:t>☆☆</w:t>
            </w:r>
          </w:p>
        </w:tc>
        <w:tc>
          <w:tcPr>
            <w:tcW w:w="567" w:type="dxa"/>
            <w:tcBorders>
              <w:top w:val="nil"/>
              <w:bottom w:val="nil"/>
            </w:tcBorders>
            <w:vAlign w:val="center"/>
          </w:tcPr>
          <w:p w14:paraId="47AD6662"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567" w:type="dxa"/>
            <w:tcBorders>
              <w:top w:val="nil"/>
              <w:bottom w:val="nil"/>
            </w:tcBorders>
            <w:vAlign w:val="center"/>
          </w:tcPr>
          <w:p w14:paraId="623D8C80"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708" w:type="dxa"/>
            <w:tcBorders>
              <w:top w:val="nil"/>
              <w:bottom w:val="nil"/>
            </w:tcBorders>
            <w:vAlign w:val="center"/>
          </w:tcPr>
          <w:p w14:paraId="6E43EE9A"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Book Antiqua" w:hAnsi="Book Antiqua" w:cs="Book Antiqua"/>
                <w:lang w:val="da-DK"/>
              </w:rPr>
              <w:t>a</w:t>
            </w:r>
          </w:p>
        </w:tc>
        <w:tc>
          <w:tcPr>
            <w:tcW w:w="1288" w:type="dxa"/>
            <w:tcBorders>
              <w:top w:val="nil"/>
              <w:bottom w:val="nil"/>
            </w:tcBorders>
            <w:vAlign w:val="center"/>
          </w:tcPr>
          <w:p w14:paraId="3F257D8F" w14:textId="77777777" w:rsidR="001D0CB2" w:rsidRPr="00C9386A" w:rsidRDefault="00555B35" w:rsidP="00C9386A">
            <w:pPr>
              <w:adjustRightInd w:val="0"/>
              <w:snapToGrid w:val="0"/>
              <w:spacing w:after="0" w:line="360" w:lineRule="auto"/>
              <w:jc w:val="both"/>
              <w:rPr>
                <w:rFonts w:ascii="Book Antiqua" w:hAnsi="Book Antiqua" w:cs="Book Antiqua"/>
                <w:lang w:val="da-DK"/>
              </w:rPr>
            </w:pPr>
            <w:r w:rsidRPr="00C9386A">
              <w:rPr>
                <w:rFonts w:ascii="Segoe UI Symbol" w:hAnsi="Segoe UI Symbol" w:cs="Segoe UI Symbol"/>
                <w:color w:val="000000"/>
                <w:lang w:val="da-DK" w:eastAsia="da-DK"/>
              </w:rPr>
              <w:t>★★★</w:t>
            </w:r>
          </w:p>
        </w:tc>
        <w:tc>
          <w:tcPr>
            <w:tcW w:w="2130" w:type="dxa"/>
            <w:tcBorders>
              <w:top w:val="nil"/>
              <w:bottom w:val="nil"/>
            </w:tcBorders>
            <w:vAlign w:val="center"/>
          </w:tcPr>
          <w:p w14:paraId="1C4EBB4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r w:rsidR="001D0CB2" w:rsidRPr="00C9386A" w14:paraId="0E8B0630" w14:textId="77777777" w:rsidTr="00C9386A">
        <w:trPr>
          <w:trHeight w:val="528"/>
        </w:trPr>
        <w:tc>
          <w:tcPr>
            <w:tcW w:w="2411" w:type="dxa"/>
            <w:tcBorders>
              <w:top w:val="nil"/>
              <w:bottom w:val="single" w:sz="4" w:space="0" w:color="auto"/>
            </w:tcBorders>
            <w:vAlign w:val="center"/>
          </w:tcPr>
          <w:p w14:paraId="4F5A662B" w14:textId="77777777" w:rsidR="001D0CB2" w:rsidRPr="00C9386A" w:rsidRDefault="00555B35" w:rsidP="00C9386A">
            <w:pPr>
              <w:adjustRightInd w:val="0"/>
              <w:snapToGrid w:val="0"/>
              <w:spacing w:after="0" w:line="360" w:lineRule="auto"/>
              <w:jc w:val="both"/>
              <w:rPr>
                <w:rFonts w:ascii="Book Antiqua" w:hAnsi="Book Antiqua" w:cs="Book Antiqua"/>
                <w:bCs/>
              </w:rPr>
            </w:pPr>
            <w:proofErr w:type="spellStart"/>
            <w:r w:rsidRPr="00C9386A">
              <w:rPr>
                <w:rFonts w:ascii="Book Antiqua" w:hAnsi="Book Antiqua" w:cs="Book Antiqua"/>
                <w:bCs/>
              </w:rPr>
              <w:t>Hartmans</w:t>
            </w:r>
            <w:proofErr w:type="spellEnd"/>
            <w:r w:rsidRPr="00C9386A">
              <w:rPr>
                <w:rFonts w:ascii="Book Antiqua" w:hAnsi="Book Antiqua" w:cs="Book Antiqua"/>
                <w:bCs/>
              </w:rPr>
              <w:t xml:space="preserve"> </w:t>
            </w:r>
            <w:r w:rsidRPr="00C9386A">
              <w:rPr>
                <w:rFonts w:ascii="Book Antiqua" w:hAnsi="Book Antiqua" w:cs="Book Antiqua"/>
                <w:bCs/>
                <w:i/>
                <w:iCs/>
              </w:rPr>
              <w:t>et al</w:t>
            </w:r>
            <w:r w:rsidRPr="00C9386A">
              <w:rPr>
                <w:rFonts w:ascii="Book Antiqua" w:hAnsi="Book Antiqua" w:cs="Book Antiqua"/>
                <w:bCs/>
                <w:vertAlign w:val="superscript"/>
              </w:rPr>
              <w:t>[15]</w:t>
            </w:r>
            <w:r w:rsidRPr="00C9386A">
              <w:rPr>
                <w:rFonts w:ascii="Book Antiqua" w:hAnsi="Book Antiqua" w:cs="Book Antiqua"/>
                <w:bCs/>
              </w:rPr>
              <w:t>, 2018</w:t>
            </w:r>
          </w:p>
        </w:tc>
        <w:tc>
          <w:tcPr>
            <w:tcW w:w="708" w:type="dxa"/>
            <w:tcBorders>
              <w:top w:val="nil"/>
              <w:bottom w:val="single" w:sz="4" w:space="0" w:color="auto"/>
            </w:tcBorders>
            <w:vAlign w:val="center"/>
          </w:tcPr>
          <w:p w14:paraId="5A0E5BE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single" w:sz="4" w:space="0" w:color="auto"/>
            </w:tcBorders>
            <w:vAlign w:val="center"/>
          </w:tcPr>
          <w:p w14:paraId="73E9B14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w:t>
            </w:r>
          </w:p>
        </w:tc>
        <w:tc>
          <w:tcPr>
            <w:tcW w:w="567" w:type="dxa"/>
            <w:tcBorders>
              <w:top w:val="nil"/>
              <w:bottom w:val="single" w:sz="4" w:space="0" w:color="auto"/>
            </w:tcBorders>
            <w:vAlign w:val="center"/>
          </w:tcPr>
          <w:p w14:paraId="67428EE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567" w:type="dxa"/>
            <w:tcBorders>
              <w:top w:val="nil"/>
              <w:bottom w:val="single" w:sz="4" w:space="0" w:color="auto"/>
            </w:tcBorders>
            <w:vAlign w:val="center"/>
          </w:tcPr>
          <w:p w14:paraId="7F7181B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76" w:type="dxa"/>
            <w:tcBorders>
              <w:top w:val="nil"/>
              <w:bottom w:val="single" w:sz="4" w:space="0" w:color="auto"/>
            </w:tcBorders>
            <w:vAlign w:val="center"/>
          </w:tcPr>
          <w:p w14:paraId="408B54F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992" w:type="dxa"/>
            <w:tcBorders>
              <w:top w:val="nil"/>
              <w:bottom w:val="single" w:sz="4" w:space="0" w:color="auto"/>
            </w:tcBorders>
            <w:vAlign w:val="center"/>
          </w:tcPr>
          <w:p w14:paraId="3C46E31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w:t>
            </w:r>
          </w:p>
        </w:tc>
        <w:tc>
          <w:tcPr>
            <w:tcW w:w="993" w:type="dxa"/>
            <w:tcBorders>
              <w:top w:val="nil"/>
              <w:bottom w:val="single" w:sz="4" w:space="0" w:color="auto"/>
            </w:tcBorders>
            <w:vAlign w:val="center"/>
          </w:tcPr>
          <w:p w14:paraId="0682CA0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567" w:type="dxa"/>
            <w:tcBorders>
              <w:top w:val="nil"/>
              <w:bottom w:val="single" w:sz="4" w:space="0" w:color="auto"/>
            </w:tcBorders>
            <w:vAlign w:val="center"/>
          </w:tcPr>
          <w:p w14:paraId="628CBB1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c</w:t>
            </w:r>
          </w:p>
        </w:tc>
        <w:tc>
          <w:tcPr>
            <w:tcW w:w="567" w:type="dxa"/>
            <w:tcBorders>
              <w:top w:val="nil"/>
              <w:bottom w:val="single" w:sz="4" w:space="0" w:color="auto"/>
            </w:tcBorders>
            <w:vAlign w:val="center"/>
          </w:tcPr>
          <w:p w14:paraId="4BF15D2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708" w:type="dxa"/>
            <w:tcBorders>
              <w:top w:val="nil"/>
              <w:bottom w:val="single" w:sz="4" w:space="0" w:color="auto"/>
            </w:tcBorders>
            <w:vAlign w:val="center"/>
          </w:tcPr>
          <w:p w14:paraId="05909E0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a</w:t>
            </w:r>
          </w:p>
        </w:tc>
        <w:tc>
          <w:tcPr>
            <w:tcW w:w="1288" w:type="dxa"/>
            <w:tcBorders>
              <w:top w:val="nil"/>
              <w:bottom w:val="single" w:sz="4" w:space="0" w:color="auto"/>
            </w:tcBorders>
            <w:vAlign w:val="center"/>
          </w:tcPr>
          <w:p w14:paraId="180B571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Segoe UI Symbol" w:hAnsi="Segoe UI Symbol" w:cs="Segoe UI Symbol"/>
                <w:color w:val="000000"/>
                <w:lang w:val="da-DK" w:eastAsia="da-DK"/>
              </w:rPr>
              <w:t>☆★★</w:t>
            </w:r>
          </w:p>
        </w:tc>
        <w:tc>
          <w:tcPr>
            <w:tcW w:w="2130" w:type="dxa"/>
            <w:tcBorders>
              <w:top w:val="nil"/>
              <w:bottom w:val="single" w:sz="4" w:space="0" w:color="auto"/>
            </w:tcBorders>
            <w:vAlign w:val="center"/>
          </w:tcPr>
          <w:p w14:paraId="06192AC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Poor quality</w:t>
            </w:r>
          </w:p>
        </w:tc>
      </w:tr>
    </w:tbl>
    <w:bookmarkEnd w:id="4"/>
    <w:p w14:paraId="06791683"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Segoe UI Symbol" w:hAnsi="Segoe UI Symbol" w:cs="Segoe UI Symbol"/>
          <w:bCs/>
          <w:color w:val="000000"/>
          <w:lang w:eastAsia="da-DK"/>
        </w:rPr>
        <w:t>★</w:t>
      </w:r>
      <w:r w:rsidRPr="00C9386A">
        <w:rPr>
          <w:rFonts w:ascii="Book Antiqua" w:hAnsi="Book Antiqua" w:cs="Book Antiqua"/>
          <w:bCs/>
          <w:color w:val="000000"/>
          <w:lang w:eastAsia="zh-CN"/>
        </w:rPr>
        <w:t>/a</w:t>
      </w:r>
      <w:r w:rsidRPr="00C9386A">
        <w:rPr>
          <w:rFonts w:ascii="Book Antiqua" w:hAnsi="Book Antiqua" w:cs="Book Antiqua"/>
          <w:bCs/>
        </w:rPr>
        <w:t xml:space="preserve">: One star rewarded; </w:t>
      </w:r>
      <w:r w:rsidRPr="00C9386A">
        <w:rPr>
          <w:rFonts w:ascii="Segoe UI Symbol" w:hAnsi="Segoe UI Symbol" w:cs="Segoe UI Symbol"/>
          <w:bCs/>
          <w:color w:val="000000"/>
          <w:lang w:eastAsia="da-DK"/>
        </w:rPr>
        <w:t>☆</w:t>
      </w:r>
      <w:r w:rsidRPr="00C9386A">
        <w:rPr>
          <w:rFonts w:ascii="Book Antiqua" w:hAnsi="Book Antiqua" w:cs="Book Antiqua"/>
          <w:bCs/>
          <w:color w:val="000000"/>
          <w:lang w:eastAsia="zh-CN"/>
        </w:rPr>
        <w:t>/b/c</w:t>
      </w:r>
      <w:r w:rsidRPr="00C9386A">
        <w:rPr>
          <w:rFonts w:ascii="Book Antiqua" w:hAnsi="Book Antiqua" w:cs="Book Antiqua"/>
          <w:bCs/>
        </w:rPr>
        <w:t>: No star rewarded.</w:t>
      </w:r>
    </w:p>
    <w:p w14:paraId="6E616678" w14:textId="77777777" w:rsidR="001D0CB2" w:rsidRPr="00C9386A" w:rsidRDefault="001D0CB2" w:rsidP="00C9386A">
      <w:pPr>
        <w:adjustRightInd w:val="0"/>
        <w:snapToGrid w:val="0"/>
        <w:spacing w:after="0" w:line="360" w:lineRule="auto"/>
        <w:jc w:val="both"/>
        <w:rPr>
          <w:rFonts w:ascii="Book Antiqua" w:hAnsi="Book Antiqua" w:cs="Book Antiqua"/>
        </w:rPr>
        <w:sectPr w:rsidR="001D0CB2" w:rsidRPr="00C9386A">
          <w:pgSz w:w="16838" w:h="11906" w:orient="landscape"/>
          <w:pgMar w:top="1440" w:right="1800" w:bottom="1440" w:left="1800" w:header="708" w:footer="708" w:gutter="0"/>
          <w:cols w:space="708"/>
          <w:docGrid w:linePitch="360"/>
        </w:sectPr>
      </w:pPr>
    </w:p>
    <w:p w14:paraId="29A5035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b/>
        </w:rPr>
        <w:lastRenderedPageBreak/>
        <w:t>Table 3 Included studies</w:t>
      </w:r>
    </w:p>
    <w:tbl>
      <w:tblPr>
        <w:tblStyle w:val="Tabel-Gitter2"/>
        <w:tblW w:w="13273" w:type="dxa"/>
        <w:tblLayout w:type="fixed"/>
        <w:tblLook w:val="04A0" w:firstRow="1" w:lastRow="0" w:firstColumn="1" w:lastColumn="0" w:noHBand="0" w:noVBand="1"/>
      </w:tblPr>
      <w:tblGrid>
        <w:gridCol w:w="1021"/>
        <w:gridCol w:w="1021"/>
        <w:gridCol w:w="935"/>
        <w:gridCol w:w="851"/>
        <w:gridCol w:w="992"/>
        <w:gridCol w:w="992"/>
        <w:gridCol w:w="992"/>
        <w:gridCol w:w="993"/>
        <w:gridCol w:w="1134"/>
        <w:gridCol w:w="1279"/>
        <w:gridCol w:w="1021"/>
        <w:gridCol w:w="1021"/>
        <w:gridCol w:w="1021"/>
      </w:tblGrid>
      <w:tr w:rsidR="001D0CB2" w:rsidRPr="00C9386A" w14:paraId="13792B2B" w14:textId="77777777" w:rsidTr="00C9386A">
        <w:trPr>
          <w:trHeight w:val="837"/>
        </w:trPr>
        <w:tc>
          <w:tcPr>
            <w:tcW w:w="1021" w:type="dxa"/>
            <w:tcBorders>
              <w:top w:val="single" w:sz="4" w:space="0" w:color="auto"/>
              <w:left w:val="nil"/>
              <w:bottom w:val="single" w:sz="4" w:space="0" w:color="auto"/>
              <w:right w:val="nil"/>
            </w:tcBorders>
          </w:tcPr>
          <w:p w14:paraId="3A7E73FB" w14:textId="77777777" w:rsidR="001D0CB2" w:rsidRPr="00C9386A" w:rsidRDefault="00555B35" w:rsidP="00C9386A">
            <w:pPr>
              <w:adjustRightInd w:val="0"/>
              <w:snapToGrid w:val="0"/>
              <w:spacing w:after="0" w:line="360" w:lineRule="auto"/>
              <w:jc w:val="both"/>
              <w:rPr>
                <w:rFonts w:ascii="Book Antiqua" w:hAnsi="Book Antiqua" w:cs="Book Antiqua"/>
                <w:b/>
              </w:rPr>
            </w:pPr>
            <w:bookmarkStart w:id="5" w:name="_Hlk24977526"/>
            <w:bookmarkStart w:id="6" w:name="_Hlk22049149"/>
            <w:r w:rsidRPr="00C9386A">
              <w:rPr>
                <w:rFonts w:ascii="Book Antiqua" w:hAnsi="Book Antiqua" w:cs="Book Antiqua"/>
                <w:b/>
              </w:rPr>
              <w:t>Ref.</w:t>
            </w:r>
          </w:p>
        </w:tc>
        <w:tc>
          <w:tcPr>
            <w:tcW w:w="1021" w:type="dxa"/>
            <w:tcBorders>
              <w:top w:val="single" w:sz="4" w:space="0" w:color="auto"/>
              <w:left w:val="nil"/>
              <w:bottom w:val="single" w:sz="4" w:space="0" w:color="auto"/>
              <w:right w:val="nil"/>
            </w:tcBorders>
          </w:tcPr>
          <w:p w14:paraId="20342752"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Study</w:t>
            </w:r>
            <w:r w:rsidRPr="00C9386A">
              <w:rPr>
                <w:rFonts w:ascii="Book Antiqua" w:hAnsi="Book Antiqua" w:cs="Book Antiqua"/>
                <w:b/>
                <w:lang w:eastAsia="zh-CN"/>
              </w:rPr>
              <w:t xml:space="preserve"> </w:t>
            </w:r>
            <w:r w:rsidRPr="00C9386A">
              <w:rPr>
                <w:rFonts w:ascii="Book Antiqua" w:hAnsi="Book Antiqua" w:cs="Book Antiqua"/>
                <w:b/>
              </w:rPr>
              <w:t>design</w:t>
            </w:r>
          </w:p>
        </w:tc>
        <w:tc>
          <w:tcPr>
            <w:tcW w:w="935" w:type="dxa"/>
            <w:tcBorders>
              <w:top w:val="single" w:sz="4" w:space="0" w:color="auto"/>
              <w:left w:val="nil"/>
              <w:bottom w:val="single" w:sz="4" w:space="0" w:color="auto"/>
              <w:right w:val="nil"/>
            </w:tcBorders>
          </w:tcPr>
          <w:p w14:paraId="0BD5450A"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Patients</w:t>
            </w:r>
            <w:r w:rsidRPr="00C9386A">
              <w:rPr>
                <w:rFonts w:ascii="Book Antiqua" w:hAnsi="Book Antiqua" w:cs="Book Antiqua"/>
                <w:b/>
                <w:lang w:eastAsia="zh-CN"/>
              </w:rPr>
              <w:t xml:space="preserve"> </w:t>
            </w:r>
            <w:r w:rsidRPr="00C9386A">
              <w:rPr>
                <w:rFonts w:ascii="Book Antiqua" w:hAnsi="Book Antiqua" w:cs="Book Antiqua"/>
                <w:b/>
              </w:rPr>
              <w:t>(</w:t>
            </w:r>
            <w:r w:rsidRPr="00C9386A">
              <w:rPr>
                <w:rFonts w:ascii="Book Antiqua" w:hAnsi="Book Antiqua" w:cs="Book Antiqua"/>
                <w:b/>
                <w:i/>
                <w:iCs/>
              </w:rPr>
              <w:t>n</w:t>
            </w:r>
            <w:r w:rsidRPr="00C9386A">
              <w:rPr>
                <w:rFonts w:ascii="Book Antiqua" w:hAnsi="Book Antiqua" w:cs="Book Antiqua"/>
                <w:b/>
              </w:rPr>
              <w:t>)</w:t>
            </w:r>
          </w:p>
        </w:tc>
        <w:tc>
          <w:tcPr>
            <w:tcW w:w="851" w:type="dxa"/>
            <w:tcBorders>
              <w:top w:val="single" w:sz="4" w:space="0" w:color="auto"/>
              <w:left w:val="nil"/>
              <w:bottom w:val="single" w:sz="4" w:space="0" w:color="auto"/>
              <w:right w:val="nil"/>
            </w:tcBorders>
          </w:tcPr>
          <w:p w14:paraId="0FC658B8"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Age</w:t>
            </w:r>
            <w:r w:rsidRPr="00C9386A">
              <w:rPr>
                <w:rFonts w:ascii="Book Antiqua" w:hAnsi="Book Antiqua" w:cs="Book Antiqua"/>
                <w:b/>
                <w:lang w:eastAsia="zh-CN"/>
              </w:rPr>
              <w:t xml:space="preserve"> </w:t>
            </w:r>
            <w:r w:rsidRPr="00C9386A">
              <w:rPr>
                <w:rFonts w:ascii="Book Antiqua" w:hAnsi="Book Antiqua" w:cs="Book Antiqua"/>
                <w:b/>
              </w:rPr>
              <w:t>(</w:t>
            </w:r>
            <w:proofErr w:type="spellStart"/>
            <w:r w:rsidRPr="00C9386A">
              <w:rPr>
                <w:rFonts w:ascii="Book Antiqua" w:hAnsi="Book Antiqua" w:cs="Book Antiqua"/>
                <w:b/>
              </w:rPr>
              <w:t>yr</w:t>
            </w:r>
            <w:proofErr w:type="spellEnd"/>
            <w:r w:rsidRPr="00C9386A">
              <w:rPr>
                <w:rFonts w:ascii="Book Antiqua" w:hAnsi="Book Antiqua" w:cs="Book Antiqua"/>
                <w:b/>
              </w:rPr>
              <w:t>)</w:t>
            </w:r>
          </w:p>
        </w:tc>
        <w:tc>
          <w:tcPr>
            <w:tcW w:w="992" w:type="dxa"/>
            <w:tcBorders>
              <w:top w:val="single" w:sz="4" w:space="0" w:color="auto"/>
              <w:left w:val="nil"/>
              <w:bottom w:val="single" w:sz="4" w:space="0" w:color="auto"/>
              <w:right w:val="nil"/>
            </w:tcBorders>
          </w:tcPr>
          <w:p w14:paraId="47463447"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Gender</w:t>
            </w:r>
            <w:r w:rsidRPr="00C9386A">
              <w:rPr>
                <w:rFonts w:ascii="Book Antiqua" w:hAnsi="Book Antiqua" w:cs="Book Antiqua"/>
                <w:b/>
                <w:lang w:eastAsia="zh-CN"/>
              </w:rPr>
              <w:t xml:space="preserve"> </w:t>
            </w:r>
            <w:r w:rsidRPr="00C9386A">
              <w:rPr>
                <w:rFonts w:ascii="Book Antiqua" w:hAnsi="Book Antiqua" w:cs="Book Antiqua"/>
                <w:b/>
              </w:rPr>
              <w:t>(M/W)</w:t>
            </w:r>
          </w:p>
        </w:tc>
        <w:tc>
          <w:tcPr>
            <w:tcW w:w="992" w:type="dxa"/>
            <w:tcBorders>
              <w:top w:val="single" w:sz="4" w:space="0" w:color="auto"/>
              <w:left w:val="nil"/>
              <w:bottom w:val="single" w:sz="4" w:space="0" w:color="auto"/>
              <w:right w:val="nil"/>
            </w:tcBorders>
          </w:tcPr>
          <w:p w14:paraId="6B5072CA"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Diagnosis</w:t>
            </w:r>
          </w:p>
        </w:tc>
        <w:tc>
          <w:tcPr>
            <w:tcW w:w="992" w:type="dxa"/>
            <w:tcBorders>
              <w:top w:val="single" w:sz="4" w:space="0" w:color="auto"/>
              <w:left w:val="nil"/>
              <w:bottom w:val="single" w:sz="4" w:space="0" w:color="auto"/>
              <w:right w:val="nil"/>
            </w:tcBorders>
          </w:tcPr>
          <w:p w14:paraId="085097E9"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Contrast</w:t>
            </w:r>
          </w:p>
        </w:tc>
        <w:tc>
          <w:tcPr>
            <w:tcW w:w="993" w:type="dxa"/>
            <w:tcBorders>
              <w:top w:val="single" w:sz="4" w:space="0" w:color="auto"/>
              <w:left w:val="nil"/>
              <w:bottom w:val="single" w:sz="4" w:space="0" w:color="auto"/>
              <w:right w:val="nil"/>
            </w:tcBorders>
          </w:tcPr>
          <w:p w14:paraId="16E0881C"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Dosage</w:t>
            </w:r>
            <w:r w:rsidRPr="00C9386A">
              <w:rPr>
                <w:rFonts w:ascii="Book Antiqua" w:hAnsi="Book Antiqua" w:cs="Book Antiqua"/>
                <w:b/>
                <w:lang w:eastAsia="zh-CN"/>
              </w:rPr>
              <w:t xml:space="preserve"> </w:t>
            </w:r>
            <w:r w:rsidRPr="00C9386A">
              <w:rPr>
                <w:rFonts w:ascii="Book Antiqua" w:hAnsi="Book Antiqua" w:cs="Book Antiqua"/>
                <w:b/>
              </w:rPr>
              <w:t>(mg/kg)</w:t>
            </w:r>
          </w:p>
        </w:tc>
        <w:tc>
          <w:tcPr>
            <w:tcW w:w="1134" w:type="dxa"/>
            <w:tcBorders>
              <w:top w:val="single" w:sz="4" w:space="0" w:color="auto"/>
              <w:left w:val="nil"/>
              <w:bottom w:val="single" w:sz="4" w:space="0" w:color="auto"/>
              <w:right w:val="nil"/>
            </w:tcBorders>
          </w:tcPr>
          <w:p w14:paraId="3ED25212"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Adverse events</w:t>
            </w:r>
          </w:p>
        </w:tc>
        <w:tc>
          <w:tcPr>
            <w:tcW w:w="1279" w:type="dxa"/>
            <w:tcBorders>
              <w:top w:val="single" w:sz="4" w:space="0" w:color="auto"/>
              <w:left w:val="nil"/>
              <w:bottom w:val="single" w:sz="4" w:space="0" w:color="auto"/>
              <w:right w:val="nil"/>
            </w:tcBorders>
          </w:tcPr>
          <w:p w14:paraId="25A34359"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Endoscopic findings</w:t>
            </w:r>
          </w:p>
        </w:tc>
        <w:tc>
          <w:tcPr>
            <w:tcW w:w="1021" w:type="dxa"/>
            <w:tcBorders>
              <w:top w:val="single" w:sz="4" w:space="0" w:color="auto"/>
              <w:left w:val="nil"/>
              <w:bottom w:val="single" w:sz="4" w:space="0" w:color="auto"/>
              <w:right w:val="nil"/>
            </w:tcBorders>
          </w:tcPr>
          <w:p w14:paraId="035B79C3"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Diagnostic</w:t>
            </w:r>
            <w:r w:rsidRPr="00C9386A">
              <w:rPr>
                <w:rFonts w:ascii="Book Antiqua" w:hAnsi="Book Antiqua" w:cs="Book Antiqua"/>
                <w:b/>
                <w:lang w:eastAsia="zh-CN"/>
              </w:rPr>
              <w:t xml:space="preserve"> </w:t>
            </w:r>
            <w:r w:rsidRPr="00C9386A">
              <w:rPr>
                <w:rFonts w:ascii="Book Antiqua" w:hAnsi="Book Antiqua" w:cs="Book Antiqua"/>
                <w:b/>
              </w:rPr>
              <w:t>accuracy</w:t>
            </w:r>
            <w:r w:rsidRPr="00C9386A">
              <w:rPr>
                <w:rFonts w:ascii="Book Antiqua" w:hAnsi="Book Antiqua" w:cs="Book Antiqua"/>
                <w:b/>
                <w:lang w:eastAsia="zh-CN"/>
              </w:rPr>
              <w:t xml:space="preserve"> </w:t>
            </w:r>
            <w:r w:rsidRPr="00C9386A">
              <w:rPr>
                <w:rFonts w:ascii="Book Antiqua" w:hAnsi="Book Antiqua" w:cs="Book Antiqua"/>
                <w:b/>
              </w:rPr>
              <w:t>(%)</w:t>
            </w:r>
          </w:p>
        </w:tc>
        <w:tc>
          <w:tcPr>
            <w:tcW w:w="1021" w:type="dxa"/>
            <w:tcBorders>
              <w:top w:val="single" w:sz="4" w:space="0" w:color="auto"/>
              <w:left w:val="nil"/>
              <w:bottom w:val="single" w:sz="4" w:space="0" w:color="auto"/>
              <w:right w:val="nil"/>
            </w:tcBorders>
          </w:tcPr>
          <w:p w14:paraId="675AEBCE"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Vessel count</w:t>
            </w:r>
          </w:p>
        </w:tc>
        <w:tc>
          <w:tcPr>
            <w:tcW w:w="1021" w:type="dxa"/>
            <w:tcBorders>
              <w:top w:val="single" w:sz="4" w:space="0" w:color="auto"/>
              <w:left w:val="nil"/>
              <w:bottom w:val="single" w:sz="4" w:space="0" w:color="auto"/>
              <w:right w:val="nil"/>
            </w:tcBorders>
          </w:tcPr>
          <w:p w14:paraId="26151FFE" w14:textId="77777777" w:rsidR="001D0CB2" w:rsidRPr="00C9386A" w:rsidRDefault="00555B35" w:rsidP="00C9386A">
            <w:pPr>
              <w:adjustRightInd w:val="0"/>
              <w:snapToGrid w:val="0"/>
              <w:spacing w:after="0" w:line="360" w:lineRule="auto"/>
              <w:jc w:val="both"/>
              <w:rPr>
                <w:rFonts w:ascii="Book Antiqua" w:hAnsi="Book Antiqua" w:cs="Book Antiqua"/>
                <w:b/>
              </w:rPr>
            </w:pPr>
            <w:r w:rsidRPr="00C9386A">
              <w:rPr>
                <w:rFonts w:ascii="Book Antiqua" w:hAnsi="Book Antiqua" w:cs="Book Antiqua"/>
                <w:b/>
              </w:rPr>
              <w:t>Applicability</w:t>
            </w:r>
          </w:p>
        </w:tc>
      </w:tr>
      <w:tr w:rsidR="001D0CB2" w:rsidRPr="00C9386A" w14:paraId="33A04116" w14:textId="77777777" w:rsidTr="00C9386A">
        <w:trPr>
          <w:trHeight w:val="1208"/>
        </w:trPr>
        <w:tc>
          <w:tcPr>
            <w:tcW w:w="1021" w:type="dxa"/>
            <w:tcBorders>
              <w:top w:val="single" w:sz="4" w:space="0" w:color="auto"/>
              <w:left w:val="nil"/>
              <w:bottom w:val="nil"/>
              <w:right w:val="nil"/>
            </w:tcBorders>
          </w:tcPr>
          <w:p w14:paraId="2A79C692" w14:textId="77777777" w:rsidR="001D0CB2" w:rsidRPr="00C9386A" w:rsidRDefault="00555B35" w:rsidP="00C9386A">
            <w:pPr>
              <w:adjustRightInd w:val="0"/>
              <w:snapToGrid w:val="0"/>
              <w:spacing w:after="0" w:line="360" w:lineRule="auto"/>
              <w:jc w:val="both"/>
              <w:rPr>
                <w:rFonts w:ascii="Book Antiqua" w:hAnsi="Book Antiqua" w:cs="Book Antiqua"/>
                <w:bCs/>
                <w:vertAlign w:val="superscript"/>
              </w:rPr>
            </w:pPr>
            <w:r w:rsidRPr="00C9386A">
              <w:rPr>
                <w:rFonts w:ascii="Book Antiqua" w:hAnsi="Book Antiqua" w:cs="Book Antiqua"/>
                <w:bCs/>
              </w:rPr>
              <w:t xml:space="preserve">Iseki </w:t>
            </w:r>
            <w:r w:rsidRPr="00C9386A">
              <w:rPr>
                <w:rFonts w:ascii="Book Antiqua" w:hAnsi="Book Antiqua" w:cs="Book Antiqua"/>
                <w:bCs/>
                <w:i/>
                <w:iCs/>
              </w:rPr>
              <w:t>et al</w:t>
            </w:r>
            <w:r w:rsidRPr="00C9386A">
              <w:rPr>
                <w:rFonts w:ascii="Book Antiqua" w:hAnsi="Book Antiqua" w:cs="Book Antiqua"/>
                <w:bCs/>
                <w:vertAlign w:val="superscript"/>
              </w:rPr>
              <w:t>[25]</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2000</w:t>
            </w:r>
          </w:p>
        </w:tc>
        <w:tc>
          <w:tcPr>
            <w:tcW w:w="1021" w:type="dxa"/>
            <w:tcBorders>
              <w:top w:val="single" w:sz="4" w:space="0" w:color="auto"/>
              <w:left w:val="nil"/>
              <w:bottom w:val="nil"/>
              <w:right w:val="nil"/>
            </w:tcBorders>
          </w:tcPr>
          <w:p w14:paraId="1CC3A07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Retrospective</w:t>
            </w:r>
          </w:p>
        </w:tc>
        <w:tc>
          <w:tcPr>
            <w:tcW w:w="935" w:type="dxa"/>
            <w:tcBorders>
              <w:top w:val="single" w:sz="4" w:space="0" w:color="auto"/>
              <w:left w:val="nil"/>
              <w:bottom w:val="nil"/>
              <w:right w:val="nil"/>
            </w:tcBorders>
          </w:tcPr>
          <w:p w14:paraId="17F09FE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37</w:t>
            </w:r>
          </w:p>
        </w:tc>
        <w:tc>
          <w:tcPr>
            <w:tcW w:w="851" w:type="dxa"/>
            <w:tcBorders>
              <w:top w:val="single" w:sz="4" w:space="0" w:color="auto"/>
              <w:left w:val="nil"/>
              <w:bottom w:val="nil"/>
              <w:right w:val="nil"/>
            </w:tcBorders>
          </w:tcPr>
          <w:p w14:paraId="0532EEC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59 (me)</w:t>
            </w:r>
          </w:p>
        </w:tc>
        <w:tc>
          <w:tcPr>
            <w:tcW w:w="992" w:type="dxa"/>
            <w:tcBorders>
              <w:top w:val="single" w:sz="4" w:space="0" w:color="auto"/>
              <w:left w:val="nil"/>
              <w:bottom w:val="nil"/>
              <w:right w:val="nil"/>
            </w:tcBorders>
          </w:tcPr>
          <w:p w14:paraId="0DFF394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25/12</w:t>
            </w:r>
          </w:p>
        </w:tc>
        <w:tc>
          <w:tcPr>
            <w:tcW w:w="992" w:type="dxa"/>
            <w:tcBorders>
              <w:top w:val="single" w:sz="4" w:space="0" w:color="auto"/>
              <w:left w:val="nil"/>
              <w:bottom w:val="nil"/>
              <w:right w:val="nil"/>
            </w:tcBorders>
          </w:tcPr>
          <w:p w14:paraId="13457C1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Gastric cancer</w:t>
            </w:r>
          </w:p>
        </w:tc>
        <w:tc>
          <w:tcPr>
            <w:tcW w:w="992" w:type="dxa"/>
            <w:tcBorders>
              <w:top w:val="single" w:sz="4" w:space="0" w:color="auto"/>
              <w:left w:val="nil"/>
              <w:bottom w:val="nil"/>
              <w:right w:val="nil"/>
            </w:tcBorders>
          </w:tcPr>
          <w:p w14:paraId="6BB543C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ICG</w:t>
            </w:r>
          </w:p>
        </w:tc>
        <w:tc>
          <w:tcPr>
            <w:tcW w:w="993" w:type="dxa"/>
            <w:tcBorders>
              <w:top w:val="single" w:sz="4" w:space="0" w:color="auto"/>
              <w:left w:val="nil"/>
              <w:bottom w:val="nil"/>
              <w:right w:val="nil"/>
            </w:tcBorders>
          </w:tcPr>
          <w:p w14:paraId="23F644E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2-5</w:t>
            </w:r>
          </w:p>
        </w:tc>
        <w:tc>
          <w:tcPr>
            <w:tcW w:w="1134" w:type="dxa"/>
            <w:tcBorders>
              <w:top w:val="single" w:sz="4" w:space="0" w:color="auto"/>
              <w:left w:val="nil"/>
              <w:bottom w:val="nil"/>
              <w:right w:val="nil"/>
            </w:tcBorders>
          </w:tcPr>
          <w:p w14:paraId="39BECF8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279" w:type="dxa"/>
            <w:tcBorders>
              <w:top w:val="single" w:sz="4" w:space="0" w:color="auto"/>
              <w:left w:val="nil"/>
              <w:bottom w:val="nil"/>
              <w:right w:val="nil"/>
            </w:tcBorders>
          </w:tcPr>
          <w:p w14:paraId="682D2871" w14:textId="77777777" w:rsidR="001D0CB2" w:rsidRPr="00C9386A" w:rsidRDefault="00555B35" w:rsidP="00C9386A">
            <w:pPr>
              <w:adjustRightInd w:val="0"/>
              <w:snapToGrid w:val="0"/>
              <w:spacing w:after="0" w:line="360" w:lineRule="auto"/>
              <w:jc w:val="both"/>
              <w:rPr>
                <w:rFonts w:ascii="Book Antiqua" w:hAnsi="Book Antiqua" w:cs="Book Antiqua"/>
                <w:iCs/>
              </w:rPr>
            </w:pPr>
            <w:r w:rsidRPr="00C9386A">
              <w:rPr>
                <w:rFonts w:ascii="Book Antiqua" w:hAnsi="Book Antiqua" w:cs="Book Antiqua"/>
              </w:rPr>
              <w:t xml:space="preserve">16/18 M tumors: </w:t>
            </w:r>
            <w:r w:rsidRPr="00C9386A">
              <w:rPr>
                <w:rFonts w:ascii="Book Antiqua" w:hAnsi="Book Antiqua" w:cs="Book Antiqua"/>
                <w:iCs/>
              </w:rPr>
              <w:t>No stain or homogeneous stain.</w:t>
            </w:r>
            <w:r w:rsidRPr="00C9386A">
              <w:rPr>
                <w:rFonts w:ascii="Book Antiqua" w:hAnsi="Book Antiqua" w:cs="Book Antiqua"/>
                <w:iCs/>
                <w:lang w:eastAsia="zh-CN"/>
              </w:rPr>
              <w:t xml:space="preserve"> </w:t>
            </w:r>
            <w:r w:rsidRPr="00C9386A">
              <w:rPr>
                <w:rFonts w:ascii="Book Antiqua" w:hAnsi="Book Antiqua" w:cs="Book Antiqua"/>
              </w:rPr>
              <w:t xml:space="preserve">17/19 SM or more invasive tumors: </w:t>
            </w:r>
            <w:r w:rsidRPr="00C9386A">
              <w:rPr>
                <w:rFonts w:ascii="Book Antiqua" w:hAnsi="Book Antiqua" w:cs="Book Antiqua"/>
                <w:iCs/>
              </w:rPr>
              <w:t>Inhomogeneous stain or pooling of the dye</w:t>
            </w:r>
          </w:p>
        </w:tc>
        <w:tc>
          <w:tcPr>
            <w:tcW w:w="1021" w:type="dxa"/>
            <w:tcBorders>
              <w:top w:val="single" w:sz="4" w:space="0" w:color="auto"/>
              <w:left w:val="nil"/>
              <w:bottom w:val="nil"/>
              <w:right w:val="nil"/>
            </w:tcBorders>
          </w:tcPr>
          <w:p w14:paraId="2775573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89</w:t>
            </w:r>
          </w:p>
        </w:tc>
        <w:tc>
          <w:tcPr>
            <w:tcW w:w="1021" w:type="dxa"/>
            <w:tcBorders>
              <w:top w:val="single" w:sz="4" w:space="0" w:color="auto"/>
              <w:left w:val="nil"/>
              <w:bottom w:val="nil"/>
              <w:right w:val="nil"/>
            </w:tcBorders>
          </w:tcPr>
          <w:p w14:paraId="5B9E81A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Yes</w:t>
            </w:r>
          </w:p>
        </w:tc>
        <w:tc>
          <w:tcPr>
            <w:tcW w:w="1021" w:type="dxa"/>
            <w:tcBorders>
              <w:top w:val="single" w:sz="4" w:space="0" w:color="auto"/>
              <w:left w:val="nil"/>
              <w:bottom w:val="nil"/>
              <w:right w:val="nil"/>
            </w:tcBorders>
          </w:tcPr>
          <w:p w14:paraId="6AE022B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Tumor invasion</w:t>
            </w:r>
          </w:p>
        </w:tc>
      </w:tr>
      <w:tr w:rsidR="001D0CB2" w:rsidRPr="00C9386A" w14:paraId="58C54C59" w14:textId="77777777" w:rsidTr="00C9386A">
        <w:trPr>
          <w:trHeight w:val="695"/>
        </w:trPr>
        <w:tc>
          <w:tcPr>
            <w:tcW w:w="1021" w:type="dxa"/>
            <w:tcBorders>
              <w:top w:val="nil"/>
              <w:left w:val="nil"/>
              <w:bottom w:val="nil"/>
              <w:right w:val="nil"/>
            </w:tcBorders>
          </w:tcPr>
          <w:p w14:paraId="25EDBFD6" w14:textId="77777777" w:rsidR="001D0CB2" w:rsidRPr="00C9386A" w:rsidRDefault="00555B35" w:rsidP="00C9386A">
            <w:pPr>
              <w:adjustRightInd w:val="0"/>
              <w:snapToGrid w:val="0"/>
              <w:spacing w:after="0" w:line="360" w:lineRule="auto"/>
              <w:jc w:val="both"/>
              <w:rPr>
                <w:rFonts w:ascii="Book Antiqua" w:hAnsi="Book Antiqua" w:cs="Book Antiqua"/>
                <w:bCs/>
              </w:rPr>
            </w:pPr>
            <w:proofErr w:type="spellStart"/>
            <w:r w:rsidRPr="00C9386A">
              <w:rPr>
                <w:rFonts w:ascii="Book Antiqua" w:hAnsi="Book Antiqua" w:cs="Book Antiqua"/>
                <w:bCs/>
              </w:rPr>
              <w:lastRenderedPageBreak/>
              <w:t>Mataki</w:t>
            </w:r>
            <w:proofErr w:type="spellEnd"/>
            <w:r w:rsidRPr="00C9386A">
              <w:rPr>
                <w:rFonts w:ascii="Book Antiqua" w:hAnsi="Book Antiqua" w:cs="Book Antiqua"/>
                <w:bCs/>
              </w:rPr>
              <w:t xml:space="preserve"> </w:t>
            </w:r>
            <w:r w:rsidRPr="00C9386A">
              <w:rPr>
                <w:rFonts w:ascii="Book Antiqua" w:hAnsi="Book Antiqua" w:cs="Book Antiqua"/>
                <w:bCs/>
                <w:i/>
                <w:iCs/>
              </w:rPr>
              <w:t>et al</w:t>
            </w:r>
            <w:r w:rsidRPr="00C9386A">
              <w:rPr>
                <w:rFonts w:ascii="Book Antiqua" w:hAnsi="Book Antiqua" w:cs="Book Antiqua"/>
                <w:bCs/>
                <w:vertAlign w:val="superscript"/>
              </w:rPr>
              <w:t>[21]</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2003</w:t>
            </w:r>
          </w:p>
        </w:tc>
        <w:tc>
          <w:tcPr>
            <w:tcW w:w="1021" w:type="dxa"/>
            <w:tcBorders>
              <w:top w:val="nil"/>
              <w:left w:val="nil"/>
              <w:bottom w:val="nil"/>
              <w:right w:val="nil"/>
            </w:tcBorders>
          </w:tcPr>
          <w:p w14:paraId="2CE53C3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Retrospective</w:t>
            </w:r>
          </w:p>
        </w:tc>
        <w:tc>
          <w:tcPr>
            <w:tcW w:w="935" w:type="dxa"/>
            <w:tcBorders>
              <w:top w:val="nil"/>
              <w:left w:val="nil"/>
              <w:bottom w:val="nil"/>
              <w:right w:val="nil"/>
            </w:tcBorders>
          </w:tcPr>
          <w:p w14:paraId="71443B7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33</w:t>
            </w:r>
          </w:p>
        </w:tc>
        <w:tc>
          <w:tcPr>
            <w:tcW w:w="851" w:type="dxa"/>
            <w:tcBorders>
              <w:top w:val="nil"/>
              <w:left w:val="nil"/>
              <w:bottom w:val="nil"/>
              <w:right w:val="nil"/>
            </w:tcBorders>
          </w:tcPr>
          <w:p w14:paraId="61AAE9A6"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992" w:type="dxa"/>
            <w:tcBorders>
              <w:top w:val="nil"/>
              <w:left w:val="nil"/>
              <w:bottom w:val="nil"/>
              <w:right w:val="nil"/>
            </w:tcBorders>
          </w:tcPr>
          <w:p w14:paraId="74D26AD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992" w:type="dxa"/>
            <w:tcBorders>
              <w:top w:val="nil"/>
              <w:left w:val="nil"/>
              <w:bottom w:val="nil"/>
              <w:right w:val="nil"/>
            </w:tcBorders>
          </w:tcPr>
          <w:p w14:paraId="47594BF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Early stage gastric cancer and gastric adenoma</w:t>
            </w:r>
          </w:p>
        </w:tc>
        <w:tc>
          <w:tcPr>
            <w:tcW w:w="992" w:type="dxa"/>
            <w:tcBorders>
              <w:top w:val="nil"/>
              <w:left w:val="nil"/>
              <w:bottom w:val="nil"/>
              <w:right w:val="nil"/>
            </w:tcBorders>
          </w:tcPr>
          <w:p w14:paraId="47C3190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ICG</w:t>
            </w:r>
          </w:p>
        </w:tc>
        <w:tc>
          <w:tcPr>
            <w:tcW w:w="993" w:type="dxa"/>
            <w:tcBorders>
              <w:top w:val="nil"/>
              <w:left w:val="nil"/>
              <w:bottom w:val="nil"/>
              <w:right w:val="nil"/>
            </w:tcBorders>
          </w:tcPr>
          <w:p w14:paraId="22A39EB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1</w:t>
            </w:r>
          </w:p>
        </w:tc>
        <w:tc>
          <w:tcPr>
            <w:tcW w:w="1134" w:type="dxa"/>
            <w:tcBorders>
              <w:top w:val="nil"/>
              <w:left w:val="nil"/>
              <w:bottom w:val="nil"/>
              <w:right w:val="nil"/>
            </w:tcBorders>
          </w:tcPr>
          <w:p w14:paraId="7A0BF03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None</w:t>
            </w:r>
          </w:p>
        </w:tc>
        <w:tc>
          <w:tcPr>
            <w:tcW w:w="1279" w:type="dxa"/>
            <w:tcBorders>
              <w:top w:val="nil"/>
              <w:left w:val="nil"/>
              <w:bottom w:val="nil"/>
              <w:right w:val="nil"/>
            </w:tcBorders>
          </w:tcPr>
          <w:p w14:paraId="370C9C1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0/8 adenomas: + fluorescence.</w:t>
            </w:r>
            <w:r w:rsidRPr="00C9386A">
              <w:rPr>
                <w:rFonts w:ascii="Book Antiqua" w:hAnsi="Book Antiqua" w:cs="Book Antiqua"/>
                <w:lang w:eastAsia="zh-CN"/>
              </w:rPr>
              <w:t xml:space="preserve"> </w:t>
            </w:r>
            <w:r w:rsidRPr="00C9386A">
              <w:rPr>
                <w:rFonts w:ascii="Book Antiqua" w:hAnsi="Book Antiqua" w:cs="Book Antiqua"/>
              </w:rPr>
              <w:t>9/14 M tumors: + fluorescence.</w:t>
            </w:r>
          </w:p>
          <w:p w14:paraId="79CC29B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11/11 SM tumors: + fluorescence</w:t>
            </w:r>
          </w:p>
        </w:tc>
        <w:tc>
          <w:tcPr>
            <w:tcW w:w="1021" w:type="dxa"/>
            <w:tcBorders>
              <w:top w:val="nil"/>
              <w:left w:val="nil"/>
              <w:bottom w:val="nil"/>
              <w:right w:val="nil"/>
            </w:tcBorders>
          </w:tcPr>
          <w:p w14:paraId="28684C4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44425B9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40C1757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Tumor invasion</w:t>
            </w:r>
          </w:p>
        </w:tc>
      </w:tr>
      <w:tr w:rsidR="001D0CB2" w:rsidRPr="00C9386A" w14:paraId="0088B73F" w14:textId="77777777" w:rsidTr="00C9386A">
        <w:trPr>
          <w:trHeight w:val="926"/>
        </w:trPr>
        <w:tc>
          <w:tcPr>
            <w:tcW w:w="1021" w:type="dxa"/>
            <w:tcBorders>
              <w:top w:val="nil"/>
              <w:left w:val="nil"/>
              <w:bottom w:val="nil"/>
              <w:right w:val="nil"/>
            </w:tcBorders>
          </w:tcPr>
          <w:p w14:paraId="240EC98D"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t xml:space="preserve">Okamoto </w:t>
            </w:r>
            <w:r w:rsidRPr="00C9386A">
              <w:rPr>
                <w:rFonts w:ascii="Book Antiqua" w:hAnsi="Book Antiqua" w:cs="Book Antiqua"/>
                <w:bCs/>
                <w:i/>
                <w:iCs/>
              </w:rPr>
              <w:t>et al</w:t>
            </w:r>
            <w:r w:rsidRPr="00C9386A">
              <w:rPr>
                <w:rFonts w:ascii="Book Antiqua" w:hAnsi="Book Antiqua" w:cs="Book Antiqua"/>
                <w:bCs/>
                <w:vertAlign w:val="superscript"/>
              </w:rPr>
              <w:t>[22]</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2005</w:t>
            </w:r>
          </w:p>
        </w:tc>
        <w:tc>
          <w:tcPr>
            <w:tcW w:w="1021" w:type="dxa"/>
            <w:tcBorders>
              <w:top w:val="nil"/>
              <w:left w:val="nil"/>
              <w:bottom w:val="nil"/>
              <w:right w:val="nil"/>
            </w:tcBorders>
          </w:tcPr>
          <w:p w14:paraId="6656EA2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Retrospective</w:t>
            </w:r>
          </w:p>
        </w:tc>
        <w:tc>
          <w:tcPr>
            <w:tcW w:w="935" w:type="dxa"/>
            <w:tcBorders>
              <w:top w:val="nil"/>
              <w:left w:val="nil"/>
              <w:bottom w:val="nil"/>
              <w:right w:val="nil"/>
            </w:tcBorders>
          </w:tcPr>
          <w:p w14:paraId="2F62DD4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20</w:t>
            </w:r>
          </w:p>
        </w:tc>
        <w:tc>
          <w:tcPr>
            <w:tcW w:w="851" w:type="dxa"/>
            <w:tcBorders>
              <w:top w:val="nil"/>
              <w:left w:val="nil"/>
              <w:bottom w:val="nil"/>
              <w:right w:val="nil"/>
            </w:tcBorders>
          </w:tcPr>
          <w:p w14:paraId="7ECEA15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65</w:t>
            </w:r>
            <w:r w:rsidRPr="00C9386A">
              <w:rPr>
                <w:rFonts w:ascii="Book Antiqua" w:hAnsi="Book Antiqua" w:cs="Book Antiqua"/>
                <w:lang w:eastAsia="zh-CN"/>
              </w:rPr>
              <w:t xml:space="preserve"> </w:t>
            </w:r>
            <w:r w:rsidRPr="00C9386A">
              <w:rPr>
                <w:rFonts w:ascii="Book Antiqua" w:hAnsi="Book Antiqua" w:cs="Book Antiqua"/>
              </w:rPr>
              <w:t>(me)</w:t>
            </w:r>
          </w:p>
        </w:tc>
        <w:tc>
          <w:tcPr>
            <w:tcW w:w="992" w:type="dxa"/>
            <w:tcBorders>
              <w:top w:val="nil"/>
              <w:left w:val="nil"/>
              <w:bottom w:val="nil"/>
              <w:right w:val="nil"/>
            </w:tcBorders>
          </w:tcPr>
          <w:p w14:paraId="581140B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12/8</w:t>
            </w:r>
          </w:p>
        </w:tc>
        <w:tc>
          <w:tcPr>
            <w:tcW w:w="992" w:type="dxa"/>
            <w:tcBorders>
              <w:top w:val="nil"/>
              <w:left w:val="nil"/>
              <w:bottom w:val="nil"/>
              <w:right w:val="nil"/>
            </w:tcBorders>
          </w:tcPr>
          <w:p w14:paraId="28EC240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Varices</w:t>
            </w:r>
          </w:p>
        </w:tc>
        <w:tc>
          <w:tcPr>
            <w:tcW w:w="992" w:type="dxa"/>
            <w:tcBorders>
              <w:top w:val="nil"/>
              <w:left w:val="nil"/>
              <w:bottom w:val="nil"/>
              <w:right w:val="nil"/>
            </w:tcBorders>
          </w:tcPr>
          <w:p w14:paraId="062E732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ICG</w:t>
            </w:r>
          </w:p>
        </w:tc>
        <w:tc>
          <w:tcPr>
            <w:tcW w:w="993" w:type="dxa"/>
            <w:tcBorders>
              <w:top w:val="nil"/>
              <w:left w:val="nil"/>
              <w:bottom w:val="nil"/>
              <w:right w:val="nil"/>
            </w:tcBorders>
          </w:tcPr>
          <w:p w14:paraId="3F03DCB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 0.1, 0.01, 0.005 or 0.001</w:t>
            </w:r>
          </w:p>
        </w:tc>
        <w:tc>
          <w:tcPr>
            <w:tcW w:w="1134" w:type="dxa"/>
            <w:tcBorders>
              <w:top w:val="nil"/>
              <w:left w:val="nil"/>
              <w:bottom w:val="nil"/>
              <w:right w:val="nil"/>
            </w:tcBorders>
          </w:tcPr>
          <w:p w14:paraId="1236E12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None</w:t>
            </w:r>
          </w:p>
        </w:tc>
        <w:tc>
          <w:tcPr>
            <w:tcW w:w="1279" w:type="dxa"/>
            <w:tcBorders>
              <w:top w:val="nil"/>
              <w:left w:val="nil"/>
              <w:bottom w:val="nil"/>
              <w:right w:val="nil"/>
            </w:tcBorders>
          </w:tcPr>
          <w:p w14:paraId="5E69318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Clear fluorescence with doses of ICG in 0.005 to 0.01 mg/kg</w:t>
            </w:r>
          </w:p>
        </w:tc>
        <w:tc>
          <w:tcPr>
            <w:tcW w:w="1021" w:type="dxa"/>
            <w:tcBorders>
              <w:top w:val="nil"/>
              <w:left w:val="nil"/>
              <w:bottom w:val="nil"/>
              <w:right w:val="nil"/>
            </w:tcBorders>
          </w:tcPr>
          <w:p w14:paraId="049DA1A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2E4FFB9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4D74450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Detection of varices</w:t>
            </w:r>
          </w:p>
        </w:tc>
      </w:tr>
      <w:tr w:rsidR="001D0CB2" w:rsidRPr="00C9386A" w14:paraId="40F1B084" w14:textId="77777777" w:rsidTr="00C9386A">
        <w:trPr>
          <w:trHeight w:val="1276"/>
        </w:trPr>
        <w:tc>
          <w:tcPr>
            <w:tcW w:w="1021" w:type="dxa"/>
            <w:tcBorders>
              <w:top w:val="nil"/>
              <w:left w:val="nil"/>
              <w:bottom w:val="nil"/>
              <w:right w:val="nil"/>
            </w:tcBorders>
          </w:tcPr>
          <w:p w14:paraId="17EAAAFB"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lastRenderedPageBreak/>
              <w:t xml:space="preserve">Ishihara </w:t>
            </w:r>
            <w:r w:rsidRPr="00C9386A">
              <w:rPr>
                <w:rFonts w:ascii="Book Antiqua" w:hAnsi="Book Antiqua" w:cs="Book Antiqua"/>
                <w:bCs/>
                <w:i/>
                <w:iCs/>
              </w:rPr>
              <w:t>et al</w:t>
            </w:r>
            <w:r w:rsidRPr="00C9386A">
              <w:rPr>
                <w:rFonts w:ascii="Book Antiqua" w:hAnsi="Book Antiqua" w:cs="Book Antiqua"/>
                <w:bCs/>
                <w:vertAlign w:val="superscript"/>
              </w:rPr>
              <w:t>[12]</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2006</w:t>
            </w:r>
          </w:p>
        </w:tc>
        <w:tc>
          <w:tcPr>
            <w:tcW w:w="1021" w:type="dxa"/>
            <w:tcBorders>
              <w:top w:val="nil"/>
              <w:left w:val="nil"/>
              <w:bottom w:val="nil"/>
              <w:right w:val="nil"/>
            </w:tcBorders>
          </w:tcPr>
          <w:p w14:paraId="20AE106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Retrospective</w:t>
            </w:r>
          </w:p>
        </w:tc>
        <w:tc>
          <w:tcPr>
            <w:tcW w:w="935" w:type="dxa"/>
            <w:tcBorders>
              <w:top w:val="nil"/>
              <w:left w:val="nil"/>
              <w:bottom w:val="nil"/>
              <w:right w:val="nil"/>
            </w:tcBorders>
          </w:tcPr>
          <w:p w14:paraId="50B87E7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30</w:t>
            </w:r>
          </w:p>
        </w:tc>
        <w:tc>
          <w:tcPr>
            <w:tcW w:w="851" w:type="dxa"/>
            <w:tcBorders>
              <w:top w:val="nil"/>
              <w:left w:val="nil"/>
              <w:bottom w:val="nil"/>
              <w:right w:val="nil"/>
            </w:tcBorders>
          </w:tcPr>
          <w:p w14:paraId="50D7CBF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992" w:type="dxa"/>
            <w:tcBorders>
              <w:top w:val="nil"/>
              <w:left w:val="nil"/>
              <w:bottom w:val="nil"/>
              <w:right w:val="nil"/>
            </w:tcBorders>
          </w:tcPr>
          <w:p w14:paraId="01B9B91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992" w:type="dxa"/>
            <w:tcBorders>
              <w:top w:val="nil"/>
              <w:left w:val="nil"/>
              <w:bottom w:val="nil"/>
              <w:right w:val="nil"/>
            </w:tcBorders>
          </w:tcPr>
          <w:p w14:paraId="4CFDD3A9" w14:textId="77777777" w:rsidR="001D0CB2" w:rsidRPr="00C9386A" w:rsidRDefault="00555B35" w:rsidP="00C9386A">
            <w:pPr>
              <w:adjustRightInd w:val="0"/>
              <w:snapToGrid w:val="0"/>
              <w:spacing w:after="0" w:line="360" w:lineRule="auto"/>
              <w:ind w:left="120" w:hangingChars="50" w:hanging="120"/>
              <w:jc w:val="both"/>
              <w:rPr>
                <w:rFonts w:ascii="Book Antiqua" w:hAnsi="Book Antiqua" w:cs="Book Antiqua"/>
              </w:rPr>
            </w:pPr>
            <w:proofErr w:type="spellStart"/>
            <w:r w:rsidRPr="00C9386A">
              <w:rPr>
                <w:rFonts w:ascii="Book Antiqua" w:hAnsi="Book Antiqua" w:cs="Book Antiqua"/>
              </w:rPr>
              <w:t>Gastriccancer</w:t>
            </w:r>
            <w:proofErr w:type="spellEnd"/>
          </w:p>
        </w:tc>
        <w:tc>
          <w:tcPr>
            <w:tcW w:w="992" w:type="dxa"/>
            <w:tcBorders>
              <w:top w:val="nil"/>
              <w:left w:val="nil"/>
              <w:bottom w:val="nil"/>
              <w:right w:val="nil"/>
            </w:tcBorders>
          </w:tcPr>
          <w:p w14:paraId="40ADD85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ICG</w:t>
            </w:r>
          </w:p>
        </w:tc>
        <w:tc>
          <w:tcPr>
            <w:tcW w:w="993" w:type="dxa"/>
            <w:tcBorders>
              <w:top w:val="nil"/>
              <w:left w:val="nil"/>
              <w:bottom w:val="nil"/>
              <w:right w:val="nil"/>
            </w:tcBorders>
          </w:tcPr>
          <w:p w14:paraId="6852035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w:t>
            </w:r>
          </w:p>
        </w:tc>
        <w:tc>
          <w:tcPr>
            <w:tcW w:w="1134" w:type="dxa"/>
            <w:tcBorders>
              <w:top w:val="nil"/>
              <w:left w:val="nil"/>
              <w:bottom w:val="nil"/>
              <w:right w:val="nil"/>
            </w:tcBorders>
          </w:tcPr>
          <w:p w14:paraId="2D57B44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279" w:type="dxa"/>
            <w:tcBorders>
              <w:top w:val="nil"/>
              <w:left w:val="nil"/>
              <w:bottom w:val="nil"/>
              <w:right w:val="nil"/>
            </w:tcBorders>
          </w:tcPr>
          <w:p w14:paraId="18AB785C" w14:textId="77777777" w:rsidR="001D0CB2" w:rsidRPr="00C9386A" w:rsidRDefault="00555B35" w:rsidP="00C9386A">
            <w:pPr>
              <w:adjustRightInd w:val="0"/>
              <w:snapToGrid w:val="0"/>
              <w:spacing w:after="0" w:line="360" w:lineRule="auto"/>
              <w:jc w:val="both"/>
              <w:rPr>
                <w:rFonts w:ascii="Book Antiqua" w:hAnsi="Book Antiqua" w:cs="Book Antiqua"/>
                <w:i/>
              </w:rPr>
            </w:pPr>
            <w:r w:rsidRPr="00C9386A">
              <w:rPr>
                <w:rFonts w:ascii="Book Antiqua" w:hAnsi="Book Antiqua" w:cs="Book Antiqua"/>
              </w:rPr>
              <w:t xml:space="preserve">21/23 M or SM tumors &lt; 1 mm: </w:t>
            </w:r>
            <w:r w:rsidRPr="00C9386A">
              <w:rPr>
                <w:rFonts w:ascii="Book Antiqua" w:hAnsi="Book Antiqua" w:cs="Book Antiqua"/>
                <w:iCs/>
              </w:rPr>
              <w:t>No stain or homogeneous stain</w:t>
            </w:r>
            <w:r w:rsidRPr="00C9386A">
              <w:rPr>
                <w:rFonts w:ascii="Book Antiqua" w:hAnsi="Book Antiqua" w:cs="Book Antiqua"/>
                <w:i/>
              </w:rPr>
              <w:t>.</w:t>
            </w:r>
            <w:r w:rsidRPr="00C9386A">
              <w:rPr>
                <w:rFonts w:ascii="Book Antiqua" w:hAnsi="Book Antiqua" w:cs="Book Antiqua"/>
                <w:i/>
                <w:lang w:eastAsia="zh-CN"/>
              </w:rPr>
              <w:t xml:space="preserve"> </w:t>
            </w:r>
            <w:r w:rsidRPr="00C9386A">
              <w:rPr>
                <w:rFonts w:ascii="Book Antiqua" w:hAnsi="Book Antiqua" w:cs="Book Antiqua"/>
              </w:rPr>
              <w:t>7/7 SM tumors &gt; 1 mm:</w:t>
            </w:r>
            <w:r w:rsidRPr="00C9386A">
              <w:rPr>
                <w:rFonts w:ascii="Book Antiqua" w:hAnsi="Book Antiqua" w:cs="Book Antiqua"/>
                <w:i/>
                <w:lang w:eastAsia="zh-CN"/>
              </w:rPr>
              <w:t xml:space="preserve"> </w:t>
            </w:r>
            <w:r w:rsidRPr="00C9386A">
              <w:rPr>
                <w:rFonts w:ascii="Book Antiqua" w:hAnsi="Book Antiqua" w:cs="Book Antiqua"/>
              </w:rPr>
              <w:t>inhomogeneous stain or pooling of the dye</w:t>
            </w:r>
          </w:p>
        </w:tc>
        <w:tc>
          <w:tcPr>
            <w:tcW w:w="1021" w:type="dxa"/>
            <w:tcBorders>
              <w:top w:val="nil"/>
              <w:left w:val="nil"/>
              <w:bottom w:val="nil"/>
              <w:right w:val="nil"/>
            </w:tcBorders>
          </w:tcPr>
          <w:p w14:paraId="05352B3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93</w:t>
            </w:r>
          </w:p>
        </w:tc>
        <w:tc>
          <w:tcPr>
            <w:tcW w:w="1021" w:type="dxa"/>
            <w:tcBorders>
              <w:top w:val="nil"/>
              <w:left w:val="nil"/>
              <w:bottom w:val="nil"/>
              <w:right w:val="nil"/>
            </w:tcBorders>
          </w:tcPr>
          <w:p w14:paraId="63C826B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108106E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Tumor invasion</w:t>
            </w:r>
          </w:p>
        </w:tc>
      </w:tr>
      <w:tr w:rsidR="001D0CB2" w:rsidRPr="00C9386A" w14:paraId="0818DB34" w14:textId="77777777" w:rsidTr="00C9386A">
        <w:trPr>
          <w:trHeight w:val="779"/>
        </w:trPr>
        <w:tc>
          <w:tcPr>
            <w:tcW w:w="1021" w:type="dxa"/>
            <w:tcBorders>
              <w:top w:val="nil"/>
              <w:left w:val="nil"/>
              <w:bottom w:val="nil"/>
              <w:right w:val="nil"/>
            </w:tcBorders>
          </w:tcPr>
          <w:p w14:paraId="130D9C6F" w14:textId="77777777" w:rsidR="001D0CB2" w:rsidRPr="00C9386A" w:rsidRDefault="00555B35" w:rsidP="00C9386A">
            <w:pPr>
              <w:adjustRightInd w:val="0"/>
              <w:snapToGrid w:val="0"/>
              <w:spacing w:after="0" w:line="360" w:lineRule="auto"/>
              <w:jc w:val="both"/>
              <w:rPr>
                <w:rFonts w:ascii="Book Antiqua" w:hAnsi="Book Antiqua" w:cs="Book Antiqua"/>
                <w:bCs/>
              </w:rPr>
            </w:pPr>
            <w:r w:rsidRPr="00C9386A">
              <w:rPr>
                <w:rFonts w:ascii="Book Antiqua" w:hAnsi="Book Antiqua" w:cs="Book Antiqua"/>
                <w:bCs/>
              </w:rPr>
              <w:t xml:space="preserve">Kimura </w:t>
            </w:r>
            <w:r w:rsidRPr="00C9386A">
              <w:rPr>
                <w:rFonts w:ascii="Book Antiqua" w:hAnsi="Book Antiqua" w:cs="Book Antiqua"/>
                <w:bCs/>
                <w:i/>
                <w:iCs/>
              </w:rPr>
              <w:t>et al</w:t>
            </w:r>
            <w:r w:rsidRPr="00C9386A">
              <w:rPr>
                <w:rFonts w:ascii="Book Antiqua" w:hAnsi="Book Antiqua" w:cs="Book Antiqua"/>
                <w:bCs/>
                <w:vertAlign w:val="superscript"/>
              </w:rPr>
              <w:t>[23]</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2007</w:t>
            </w:r>
          </w:p>
        </w:tc>
        <w:tc>
          <w:tcPr>
            <w:tcW w:w="1021" w:type="dxa"/>
            <w:tcBorders>
              <w:top w:val="nil"/>
              <w:left w:val="nil"/>
              <w:bottom w:val="nil"/>
              <w:right w:val="nil"/>
            </w:tcBorders>
          </w:tcPr>
          <w:p w14:paraId="0C37180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Retrospective</w:t>
            </w:r>
          </w:p>
        </w:tc>
        <w:tc>
          <w:tcPr>
            <w:tcW w:w="935" w:type="dxa"/>
            <w:tcBorders>
              <w:top w:val="nil"/>
              <w:left w:val="nil"/>
              <w:bottom w:val="nil"/>
              <w:right w:val="nil"/>
            </w:tcBorders>
          </w:tcPr>
          <w:p w14:paraId="38A2A0B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30</w:t>
            </w:r>
          </w:p>
        </w:tc>
        <w:tc>
          <w:tcPr>
            <w:tcW w:w="851" w:type="dxa"/>
            <w:tcBorders>
              <w:top w:val="nil"/>
              <w:left w:val="nil"/>
              <w:bottom w:val="nil"/>
              <w:right w:val="nil"/>
            </w:tcBorders>
          </w:tcPr>
          <w:p w14:paraId="51FD295B"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71.5 (me)</w:t>
            </w:r>
          </w:p>
        </w:tc>
        <w:tc>
          <w:tcPr>
            <w:tcW w:w="992" w:type="dxa"/>
            <w:tcBorders>
              <w:top w:val="nil"/>
              <w:left w:val="nil"/>
              <w:bottom w:val="nil"/>
              <w:right w:val="nil"/>
            </w:tcBorders>
          </w:tcPr>
          <w:p w14:paraId="782878D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20/10</w:t>
            </w:r>
          </w:p>
        </w:tc>
        <w:tc>
          <w:tcPr>
            <w:tcW w:w="992" w:type="dxa"/>
            <w:tcBorders>
              <w:top w:val="nil"/>
              <w:left w:val="nil"/>
              <w:bottom w:val="nil"/>
              <w:right w:val="nil"/>
            </w:tcBorders>
          </w:tcPr>
          <w:p w14:paraId="43B01EA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 xml:space="preserve">Early stage gastric cancer and </w:t>
            </w:r>
            <w:r w:rsidRPr="00C9386A">
              <w:rPr>
                <w:rFonts w:ascii="Book Antiqua" w:hAnsi="Book Antiqua" w:cs="Book Antiqua"/>
              </w:rPr>
              <w:lastRenderedPageBreak/>
              <w:t>gastric adenoma</w:t>
            </w:r>
          </w:p>
        </w:tc>
        <w:tc>
          <w:tcPr>
            <w:tcW w:w="992" w:type="dxa"/>
            <w:tcBorders>
              <w:top w:val="nil"/>
              <w:left w:val="nil"/>
              <w:bottom w:val="nil"/>
              <w:right w:val="nil"/>
            </w:tcBorders>
          </w:tcPr>
          <w:p w14:paraId="5694CB00"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lastRenderedPageBreak/>
              <w:t>ICG</w:t>
            </w:r>
          </w:p>
        </w:tc>
        <w:tc>
          <w:tcPr>
            <w:tcW w:w="993" w:type="dxa"/>
            <w:tcBorders>
              <w:top w:val="nil"/>
              <w:left w:val="nil"/>
              <w:bottom w:val="nil"/>
              <w:right w:val="nil"/>
            </w:tcBorders>
          </w:tcPr>
          <w:p w14:paraId="253CB32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0.01</w:t>
            </w:r>
          </w:p>
        </w:tc>
        <w:tc>
          <w:tcPr>
            <w:tcW w:w="1134" w:type="dxa"/>
            <w:tcBorders>
              <w:top w:val="nil"/>
              <w:left w:val="nil"/>
              <w:bottom w:val="nil"/>
              <w:right w:val="nil"/>
            </w:tcBorders>
          </w:tcPr>
          <w:p w14:paraId="24B1346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None</w:t>
            </w:r>
          </w:p>
        </w:tc>
        <w:tc>
          <w:tcPr>
            <w:tcW w:w="1279" w:type="dxa"/>
            <w:tcBorders>
              <w:top w:val="nil"/>
              <w:left w:val="nil"/>
              <w:bottom w:val="nil"/>
              <w:right w:val="nil"/>
            </w:tcBorders>
          </w:tcPr>
          <w:p w14:paraId="3D33784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1/20 M tumors: + fluorescence.</w:t>
            </w:r>
            <w:r w:rsidRPr="00C9386A">
              <w:rPr>
                <w:rFonts w:ascii="Book Antiqua" w:hAnsi="Book Antiqua" w:cs="Book Antiqua"/>
                <w:lang w:eastAsia="zh-CN"/>
              </w:rPr>
              <w:t xml:space="preserve"> </w:t>
            </w:r>
            <w:r w:rsidRPr="00C9386A">
              <w:rPr>
                <w:rFonts w:ascii="Book Antiqua" w:hAnsi="Book Antiqua" w:cs="Book Antiqua"/>
              </w:rPr>
              <w:t xml:space="preserve">8/10 SM </w:t>
            </w:r>
            <w:r w:rsidRPr="00C9386A">
              <w:rPr>
                <w:rFonts w:ascii="Book Antiqua" w:hAnsi="Book Antiqua" w:cs="Book Antiqua"/>
              </w:rPr>
              <w:lastRenderedPageBreak/>
              <w:t>tumors: + fluorescence</w:t>
            </w:r>
          </w:p>
        </w:tc>
        <w:tc>
          <w:tcPr>
            <w:tcW w:w="1021" w:type="dxa"/>
            <w:tcBorders>
              <w:top w:val="nil"/>
              <w:left w:val="nil"/>
              <w:bottom w:val="nil"/>
              <w:right w:val="nil"/>
            </w:tcBorders>
          </w:tcPr>
          <w:p w14:paraId="7A9B26F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lastRenderedPageBreak/>
              <w:t>N/A</w:t>
            </w:r>
          </w:p>
        </w:tc>
        <w:tc>
          <w:tcPr>
            <w:tcW w:w="1021" w:type="dxa"/>
            <w:tcBorders>
              <w:top w:val="nil"/>
              <w:left w:val="nil"/>
              <w:bottom w:val="nil"/>
              <w:right w:val="nil"/>
            </w:tcBorders>
          </w:tcPr>
          <w:p w14:paraId="2D32E1B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Yes</w:t>
            </w:r>
          </w:p>
        </w:tc>
        <w:tc>
          <w:tcPr>
            <w:tcW w:w="1021" w:type="dxa"/>
            <w:tcBorders>
              <w:top w:val="nil"/>
              <w:left w:val="nil"/>
              <w:bottom w:val="nil"/>
              <w:right w:val="nil"/>
            </w:tcBorders>
          </w:tcPr>
          <w:p w14:paraId="140B145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Tumor</w:t>
            </w:r>
            <w:r w:rsidRPr="00C9386A">
              <w:rPr>
                <w:rFonts w:ascii="Book Antiqua" w:hAnsi="Book Antiqua" w:cs="Book Antiqua"/>
                <w:lang w:eastAsia="zh-CN"/>
              </w:rPr>
              <w:t xml:space="preserve"> </w:t>
            </w:r>
            <w:r w:rsidRPr="00C9386A">
              <w:rPr>
                <w:rFonts w:ascii="Book Antiqua" w:hAnsi="Book Antiqua" w:cs="Book Antiqua"/>
              </w:rPr>
              <w:t>invasion</w:t>
            </w:r>
          </w:p>
        </w:tc>
      </w:tr>
      <w:tr w:rsidR="001D0CB2" w:rsidRPr="00C9386A" w14:paraId="4C9BB4D0" w14:textId="77777777" w:rsidTr="00C9386A">
        <w:trPr>
          <w:trHeight w:val="111"/>
        </w:trPr>
        <w:tc>
          <w:tcPr>
            <w:tcW w:w="1021" w:type="dxa"/>
            <w:tcBorders>
              <w:top w:val="nil"/>
              <w:left w:val="nil"/>
              <w:bottom w:val="nil"/>
              <w:right w:val="nil"/>
            </w:tcBorders>
          </w:tcPr>
          <w:p w14:paraId="3C9DFBD5" w14:textId="77777777" w:rsidR="001D0CB2" w:rsidRPr="00C9386A" w:rsidRDefault="00555B35" w:rsidP="00C9386A">
            <w:pPr>
              <w:adjustRightInd w:val="0"/>
              <w:snapToGrid w:val="0"/>
              <w:spacing w:after="0" w:line="360" w:lineRule="auto"/>
              <w:jc w:val="both"/>
              <w:rPr>
                <w:rFonts w:ascii="Book Antiqua" w:hAnsi="Book Antiqua" w:cs="Book Antiqua"/>
                <w:bCs/>
                <w:lang w:val="da-DK"/>
              </w:rPr>
            </w:pPr>
            <w:r w:rsidRPr="00C9386A">
              <w:rPr>
                <w:rFonts w:ascii="Book Antiqua" w:hAnsi="Book Antiqua" w:cs="Book Antiqua"/>
                <w:bCs/>
                <w:lang w:val="da-DK"/>
              </w:rPr>
              <w:t>Ortiz-</w:t>
            </w:r>
          </w:p>
          <w:p w14:paraId="13D2FF16" w14:textId="77777777" w:rsidR="001D0CB2" w:rsidRPr="00C9386A" w:rsidRDefault="00555B35" w:rsidP="00C9386A">
            <w:pPr>
              <w:adjustRightInd w:val="0"/>
              <w:snapToGrid w:val="0"/>
              <w:spacing w:after="0" w:line="360" w:lineRule="auto"/>
              <w:jc w:val="both"/>
              <w:rPr>
                <w:rFonts w:ascii="Book Antiqua" w:hAnsi="Book Antiqua" w:cs="Book Antiqua"/>
                <w:bCs/>
                <w:lang w:val="da-DK"/>
              </w:rPr>
            </w:pPr>
            <w:r w:rsidRPr="00C9386A">
              <w:rPr>
                <w:rFonts w:ascii="Book Antiqua" w:hAnsi="Book Antiqua" w:cs="Book Antiqua"/>
                <w:bCs/>
                <w:lang w:val="da-DK"/>
              </w:rPr>
              <w:t xml:space="preserve">Fernandez-Sordo </w:t>
            </w:r>
            <w:r w:rsidRPr="00C9386A">
              <w:rPr>
                <w:rFonts w:ascii="Book Antiqua" w:hAnsi="Book Antiqua" w:cs="Book Antiqua"/>
                <w:bCs/>
                <w:i/>
                <w:iCs/>
                <w:lang w:val="da-DK"/>
              </w:rPr>
              <w:t>et al</w:t>
            </w:r>
            <w:r w:rsidRPr="00C9386A">
              <w:rPr>
                <w:rFonts w:ascii="Book Antiqua" w:hAnsi="Book Antiqua" w:cs="Book Antiqua"/>
                <w:bCs/>
                <w:vertAlign w:val="superscript"/>
                <w:lang w:val="da-DK"/>
              </w:rPr>
              <w:t>[24]</w:t>
            </w:r>
            <w:r w:rsidRPr="00C9386A">
              <w:rPr>
                <w:rFonts w:ascii="Book Antiqua" w:hAnsi="Book Antiqua" w:cs="Book Antiqua"/>
                <w:bCs/>
                <w:lang w:val="da-DK"/>
              </w:rPr>
              <w:t>,</w:t>
            </w:r>
            <w:r w:rsidRPr="00C9386A">
              <w:rPr>
                <w:rFonts w:ascii="Book Antiqua" w:hAnsi="Book Antiqua" w:cs="Book Antiqua"/>
                <w:bCs/>
                <w:vertAlign w:val="superscript"/>
                <w:lang w:val="da-DK"/>
              </w:rPr>
              <w:t xml:space="preserve"> </w:t>
            </w:r>
            <w:r w:rsidRPr="00C9386A">
              <w:rPr>
                <w:rFonts w:ascii="Book Antiqua" w:hAnsi="Book Antiqua" w:cs="Book Antiqua"/>
                <w:bCs/>
                <w:lang w:val="da-DK"/>
              </w:rPr>
              <w:t>2018</w:t>
            </w:r>
          </w:p>
        </w:tc>
        <w:tc>
          <w:tcPr>
            <w:tcW w:w="1021" w:type="dxa"/>
            <w:tcBorders>
              <w:top w:val="nil"/>
              <w:left w:val="nil"/>
              <w:bottom w:val="nil"/>
              <w:right w:val="nil"/>
            </w:tcBorders>
          </w:tcPr>
          <w:p w14:paraId="2090A74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Pilot study</w:t>
            </w:r>
          </w:p>
        </w:tc>
        <w:tc>
          <w:tcPr>
            <w:tcW w:w="935" w:type="dxa"/>
            <w:tcBorders>
              <w:top w:val="nil"/>
              <w:left w:val="nil"/>
              <w:bottom w:val="nil"/>
              <w:right w:val="nil"/>
            </w:tcBorders>
          </w:tcPr>
          <w:p w14:paraId="686D9EFD"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23</w:t>
            </w:r>
          </w:p>
        </w:tc>
        <w:tc>
          <w:tcPr>
            <w:tcW w:w="851" w:type="dxa"/>
            <w:tcBorders>
              <w:top w:val="nil"/>
              <w:left w:val="nil"/>
              <w:bottom w:val="nil"/>
              <w:right w:val="nil"/>
            </w:tcBorders>
          </w:tcPr>
          <w:p w14:paraId="50792E1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69</w:t>
            </w:r>
            <w:r w:rsidRPr="00C9386A">
              <w:rPr>
                <w:rFonts w:ascii="Book Antiqua" w:hAnsi="Book Antiqua" w:cs="Book Antiqua"/>
                <w:lang w:eastAsia="zh-CN"/>
              </w:rPr>
              <w:t xml:space="preserve"> </w:t>
            </w:r>
            <w:r w:rsidRPr="00C9386A">
              <w:rPr>
                <w:rFonts w:ascii="Book Antiqua" w:hAnsi="Book Antiqua" w:cs="Book Antiqua"/>
              </w:rPr>
              <w:t>(49-85)</w:t>
            </w:r>
            <w:r w:rsidRPr="00C9386A">
              <w:rPr>
                <w:rFonts w:ascii="Book Antiqua" w:hAnsi="Book Antiqua" w:cs="Book Antiqua"/>
                <w:lang w:eastAsia="zh-CN"/>
              </w:rPr>
              <w:t xml:space="preserve"> </w:t>
            </w:r>
            <w:r w:rsidRPr="00C9386A">
              <w:rPr>
                <w:rFonts w:ascii="Book Antiqua" w:hAnsi="Book Antiqua" w:cs="Book Antiqua"/>
              </w:rPr>
              <w:t>(med)</w:t>
            </w:r>
          </w:p>
        </w:tc>
        <w:tc>
          <w:tcPr>
            <w:tcW w:w="992" w:type="dxa"/>
            <w:tcBorders>
              <w:top w:val="nil"/>
              <w:left w:val="nil"/>
              <w:bottom w:val="nil"/>
              <w:right w:val="nil"/>
            </w:tcBorders>
          </w:tcPr>
          <w:p w14:paraId="53EA34E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20/3</w:t>
            </w:r>
          </w:p>
        </w:tc>
        <w:tc>
          <w:tcPr>
            <w:tcW w:w="992" w:type="dxa"/>
            <w:tcBorders>
              <w:top w:val="nil"/>
              <w:left w:val="nil"/>
              <w:bottom w:val="nil"/>
              <w:right w:val="nil"/>
            </w:tcBorders>
          </w:tcPr>
          <w:p w14:paraId="5AFD124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Early neoplastic lesions within Barrett’s esophagus</w:t>
            </w:r>
          </w:p>
        </w:tc>
        <w:tc>
          <w:tcPr>
            <w:tcW w:w="992" w:type="dxa"/>
            <w:tcBorders>
              <w:top w:val="nil"/>
              <w:left w:val="nil"/>
              <w:bottom w:val="nil"/>
              <w:right w:val="nil"/>
            </w:tcBorders>
          </w:tcPr>
          <w:p w14:paraId="39B3381C"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ICG</w:t>
            </w:r>
          </w:p>
        </w:tc>
        <w:tc>
          <w:tcPr>
            <w:tcW w:w="993" w:type="dxa"/>
            <w:tcBorders>
              <w:top w:val="nil"/>
              <w:left w:val="nil"/>
              <w:bottom w:val="nil"/>
              <w:right w:val="nil"/>
            </w:tcBorders>
          </w:tcPr>
          <w:p w14:paraId="2B7C6FDA"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2</w:t>
            </w:r>
          </w:p>
        </w:tc>
        <w:tc>
          <w:tcPr>
            <w:tcW w:w="1134" w:type="dxa"/>
            <w:tcBorders>
              <w:top w:val="nil"/>
              <w:left w:val="nil"/>
              <w:bottom w:val="nil"/>
              <w:right w:val="nil"/>
            </w:tcBorders>
          </w:tcPr>
          <w:p w14:paraId="5FDBC45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None</w:t>
            </w:r>
          </w:p>
        </w:tc>
        <w:tc>
          <w:tcPr>
            <w:tcW w:w="1279" w:type="dxa"/>
            <w:tcBorders>
              <w:top w:val="nil"/>
              <w:left w:val="nil"/>
              <w:bottom w:val="nil"/>
              <w:right w:val="nil"/>
            </w:tcBorders>
          </w:tcPr>
          <w:p w14:paraId="0D07A4F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 xml:space="preserve">7/23 tumors: </w:t>
            </w:r>
            <w:r w:rsidRPr="00C9386A">
              <w:rPr>
                <w:rFonts w:ascii="Book Antiqua" w:hAnsi="Book Antiqua" w:cs="Book Antiqua"/>
                <w:iCs/>
              </w:rPr>
              <w:t>No stain</w:t>
            </w:r>
            <w:r w:rsidRPr="00C9386A">
              <w:rPr>
                <w:rFonts w:ascii="Book Antiqua" w:hAnsi="Book Antiqua" w:cs="Book Antiqua"/>
              </w:rPr>
              <w:t xml:space="preserve"> (5/7 were less than HGD)</w:t>
            </w:r>
            <w:r w:rsidRPr="00C9386A">
              <w:rPr>
                <w:rFonts w:ascii="Book Antiqua" w:hAnsi="Book Antiqua" w:cs="Book Antiqua"/>
                <w:lang w:eastAsia="zh-CN"/>
              </w:rPr>
              <w:t xml:space="preserve"> </w:t>
            </w:r>
            <w:r w:rsidRPr="00C9386A">
              <w:rPr>
                <w:rFonts w:ascii="Book Antiqua" w:hAnsi="Book Antiqua" w:cs="Book Antiqua"/>
              </w:rPr>
              <w:t>18/23 tumors: stain</w:t>
            </w:r>
            <w:r w:rsidRPr="00C9386A">
              <w:rPr>
                <w:rFonts w:ascii="Book Antiqua" w:hAnsi="Book Antiqua" w:cs="Book Antiqua"/>
                <w:i/>
              </w:rPr>
              <w:t xml:space="preserve"> </w:t>
            </w:r>
            <w:r w:rsidRPr="00C9386A">
              <w:rPr>
                <w:rFonts w:ascii="Book Antiqua" w:hAnsi="Book Antiqua" w:cs="Book Antiqua"/>
              </w:rPr>
              <w:t>(17/18 were at least HGD, MC or SMC)</w:t>
            </w:r>
          </w:p>
        </w:tc>
        <w:tc>
          <w:tcPr>
            <w:tcW w:w="1021" w:type="dxa"/>
            <w:tcBorders>
              <w:top w:val="nil"/>
              <w:left w:val="nil"/>
              <w:bottom w:val="nil"/>
              <w:right w:val="nil"/>
            </w:tcBorders>
          </w:tcPr>
          <w:p w14:paraId="795007B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88</w:t>
            </w:r>
          </w:p>
        </w:tc>
        <w:tc>
          <w:tcPr>
            <w:tcW w:w="1021" w:type="dxa"/>
            <w:tcBorders>
              <w:top w:val="nil"/>
              <w:left w:val="nil"/>
              <w:bottom w:val="nil"/>
              <w:right w:val="nil"/>
            </w:tcBorders>
          </w:tcPr>
          <w:p w14:paraId="0E441674"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nil"/>
              <w:right w:val="nil"/>
            </w:tcBorders>
          </w:tcPr>
          <w:p w14:paraId="651E0B1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Detection of neoplasms</w:t>
            </w:r>
          </w:p>
        </w:tc>
      </w:tr>
      <w:tr w:rsidR="001D0CB2" w:rsidRPr="00C9386A" w14:paraId="62F0F3DF" w14:textId="77777777" w:rsidTr="00C9386A">
        <w:trPr>
          <w:trHeight w:val="550"/>
        </w:trPr>
        <w:tc>
          <w:tcPr>
            <w:tcW w:w="1021" w:type="dxa"/>
            <w:tcBorders>
              <w:top w:val="nil"/>
              <w:left w:val="nil"/>
              <w:bottom w:val="single" w:sz="4" w:space="0" w:color="auto"/>
              <w:right w:val="nil"/>
            </w:tcBorders>
          </w:tcPr>
          <w:p w14:paraId="0C747265" w14:textId="77777777" w:rsidR="001D0CB2" w:rsidRPr="00C9386A" w:rsidRDefault="00555B35" w:rsidP="00C9386A">
            <w:pPr>
              <w:adjustRightInd w:val="0"/>
              <w:snapToGrid w:val="0"/>
              <w:spacing w:after="0" w:line="360" w:lineRule="auto"/>
              <w:jc w:val="both"/>
              <w:rPr>
                <w:rFonts w:ascii="Book Antiqua" w:hAnsi="Book Antiqua" w:cs="Book Antiqua"/>
                <w:bCs/>
              </w:rPr>
            </w:pPr>
            <w:proofErr w:type="spellStart"/>
            <w:r w:rsidRPr="00C9386A">
              <w:rPr>
                <w:rFonts w:ascii="Book Antiqua" w:hAnsi="Book Antiqua" w:cs="Book Antiqua"/>
                <w:bCs/>
              </w:rPr>
              <w:t>Hartmans</w:t>
            </w:r>
            <w:proofErr w:type="spellEnd"/>
            <w:r w:rsidRPr="00C9386A">
              <w:rPr>
                <w:rFonts w:ascii="Book Antiqua" w:hAnsi="Book Antiqua" w:cs="Book Antiqua"/>
                <w:bCs/>
              </w:rPr>
              <w:t xml:space="preserve"> </w:t>
            </w:r>
            <w:r w:rsidRPr="00C9386A">
              <w:rPr>
                <w:rFonts w:ascii="Book Antiqua" w:hAnsi="Book Antiqua" w:cs="Book Antiqua"/>
                <w:bCs/>
                <w:i/>
                <w:iCs/>
              </w:rPr>
              <w:t xml:space="preserve">et </w:t>
            </w:r>
            <w:r w:rsidRPr="00C9386A">
              <w:rPr>
                <w:rFonts w:ascii="Book Antiqua" w:hAnsi="Book Antiqua" w:cs="Book Antiqua"/>
                <w:bCs/>
                <w:i/>
                <w:iCs/>
              </w:rPr>
              <w:lastRenderedPageBreak/>
              <w:t>al</w:t>
            </w:r>
            <w:r w:rsidRPr="00C9386A">
              <w:rPr>
                <w:rFonts w:ascii="Book Antiqua" w:hAnsi="Book Antiqua" w:cs="Book Antiqua"/>
                <w:bCs/>
                <w:vertAlign w:val="superscript"/>
              </w:rPr>
              <w:t>[15]</w:t>
            </w:r>
            <w:r w:rsidRPr="00C9386A">
              <w:rPr>
                <w:rFonts w:ascii="Book Antiqua" w:hAnsi="Book Antiqua" w:cs="Book Antiqua"/>
                <w:bCs/>
              </w:rPr>
              <w:t>,</w:t>
            </w:r>
            <w:r w:rsidRPr="00C9386A">
              <w:rPr>
                <w:rFonts w:ascii="Book Antiqua" w:hAnsi="Book Antiqua" w:cs="Book Antiqua"/>
                <w:bCs/>
                <w:vertAlign w:val="superscript"/>
              </w:rPr>
              <w:t xml:space="preserve"> </w:t>
            </w:r>
            <w:r w:rsidRPr="00C9386A">
              <w:rPr>
                <w:rFonts w:ascii="Book Antiqua" w:hAnsi="Book Antiqua" w:cs="Book Antiqua"/>
                <w:bCs/>
              </w:rPr>
              <w:t>2018</w:t>
            </w:r>
          </w:p>
        </w:tc>
        <w:tc>
          <w:tcPr>
            <w:tcW w:w="1021" w:type="dxa"/>
            <w:tcBorders>
              <w:top w:val="nil"/>
              <w:left w:val="nil"/>
              <w:bottom w:val="single" w:sz="4" w:space="0" w:color="auto"/>
              <w:right w:val="nil"/>
            </w:tcBorders>
          </w:tcPr>
          <w:p w14:paraId="6A55569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lastRenderedPageBreak/>
              <w:t>Retrospective</w:t>
            </w:r>
          </w:p>
        </w:tc>
        <w:tc>
          <w:tcPr>
            <w:tcW w:w="935" w:type="dxa"/>
            <w:tcBorders>
              <w:top w:val="nil"/>
              <w:left w:val="nil"/>
              <w:bottom w:val="single" w:sz="4" w:space="0" w:color="auto"/>
              <w:right w:val="nil"/>
            </w:tcBorders>
          </w:tcPr>
          <w:p w14:paraId="66E6FC9F"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17</w:t>
            </w:r>
          </w:p>
        </w:tc>
        <w:tc>
          <w:tcPr>
            <w:tcW w:w="851" w:type="dxa"/>
            <w:tcBorders>
              <w:top w:val="nil"/>
              <w:left w:val="nil"/>
              <w:bottom w:val="single" w:sz="4" w:space="0" w:color="auto"/>
              <w:right w:val="nil"/>
            </w:tcBorders>
          </w:tcPr>
          <w:p w14:paraId="46765AF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42</w:t>
            </w:r>
            <w:r w:rsidRPr="00C9386A">
              <w:rPr>
                <w:rFonts w:ascii="Book Antiqua" w:hAnsi="Book Antiqua" w:cs="Book Antiqua"/>
                <w:lang w:eastAsia="zh-CN"/>
              </w:rPr>
              <w:t xml:space="preserve"> </w:t>
            </w:r>
            <w:r w:rsidRPr="00C9386A">
              <w:rPr>
                <w:rFonts w:ascii="Book Antiqua" w:hAnsi="Book Antiqua" w:cs="Book Antiqua"/>
              </w:rPr>
              <w:t>(20-</w:t>
            </w:r>
            <w:r w:rsidRPr="00C9386A">
              <w:rPr>
                <w:rFonts w:ascii="Book Antiqua" w:hAnsi="Book Antiqua" w:cs="Book Antiqua"/>
              </w:rPr>
              <w:lastRenderedPageBreak/>
              <w:t>65) (med)</w:t>
            </w:r>
          </w:p>
        </w:tc>
        <w:tc>
          <w:tcPr>
            <w:tcW w:w="992" w:type="dxa"/>
            <w:tcBorders>
              <w:top w:val="nil"/>
              <w:left w:val="nil"/>
              <w:bottom w:val="single" w:sz="4" w:space="0" w:color="auto"/>
              <w:right w:val="nil"/>
            </w:tcBorders>
          </w:tcPr>
          <w:p w14:paraId="458BC11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lastRenderedPageBreak/>
              <w:t>5/12</w:t>
            </w:r>
          </w:p>
        </w:tc>
        <w:tc>
          <w:tcPr>
            <w:tcW w:w="992" w:type="dxa"/>
            <w:tcBorders>
              <w:top w:val="nil"/>
              <w:left w:val="nil"/>
              <w:bottom w:val="single" w:sz="4" w:space="0" w:color="auto"/>
              <w:right w:val="nil"/>
            </w:tcBorders>
          </w:tcPr>
          <w:p w14:paraId="1D7A8A23"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FAP</w:t>
            </w:r>
          </w:p>
        </w:tc>
        <w:tc>
          <w:tcPr>
            <w:tcW w:w="992" w:type="dxa"/>
            <w:tcBorders>
              <w:top w:val="nil"/>
              <w:left w:val="nil"/>
              <w:bottom w:val="single" w:sz="4" w:space="0" w:color="auto"/>
              <w:right w:val="nil"/>
            </w:tcBorders>
          </w:tcPr>
          <w:p w14:paraId="011215D8"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Bevacizumab800CW</w:t>
            </w:r>
          </w:p>
        </w:tc>
        <w:tc>
          <w:tcPr>
            <w:tcW w:w="993" w:type="dxa"/>
            <w:tcBorders>
              <w:top w:val="nil"/>
              <w:left w:val="nil"/>
              <w:bottom w:val="single" w:sz="4" w:space="0" w:color="auto"/>
              <w:right w:val="nil"/>
            </w:tcBorders>
          </w:tcPr>
          <w:p w14:paraId="2DDCAAA1"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4.5, 10 or 25 mg</w:t>
            </w:r>
          </w:p>
        </w:tc>
        <w:tc>
          <w:tcPr>
            <w:tcW w:w="1134" w:type="dxa"/>
            <w:tcBorders>
              <w:top w:val="nil"/>
              <w:left w:val="nil"/>
              <w:bottom w:val="single" w:sz="4" w:space="0" w:color="auto"/>
              <w:right w:val="nil"/>
            </w:tcBorders>
          </w:tcPr>
          <w:p w14:paraId="058AADF2"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None</w:t>
            </w:r>
          </w:p>
        </w:tc>
        <w:tc>
          <w:tcPr>
            <w:tcW w:w="1279" w:type="dxa"/>
            <w:tcBorders>
              <w:top w:val="nil"/>
              <w:left w:val="nil"/>
              <w:bottom w:val="single" w:sz="4" w:space="0" w:color="auto"/>
              <w:right w:val="nil"/>
            </w:tcBorders>
          </w:tcPr>
          <w:p w14:paraId="343FD885"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Colorectal adenoma</w:t>
            </w:r>
            <w:r w:rsidRPr="00C9386A">
              <w:rPr>
                <w:rFonts w:ascii="Book Antiqua" w:hAnsi="Book Antiqua" w:cs="Book Antiqua"/>
              </w:rPr>
              <w:lastRenderedPageBreak/>
              <w:t>s detected at all doses by fluorescence</w:t>
            </w:r>
          </w:p>
        </w:tc>
        <w:tc>
          <w:tcPr>
            <w:tcW w:w="1021" w:type="dxa"/>
            <w:tcBorders>
              <w:top w:val="nil"/>
              <w:left w:val="nil"/>
              <w:bottom w:val="single" w:sz="4" w:space="0" w:color="auto"/>
              <w:right w:val="nil"/>
            </w:tcBorders>
          </w:tcPr>
          <w:p w14:paraId="10623FF9"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lastRenderedPageBreak/>
              <w:t>N/A</w:t>
            </w:r>
          </w:p>
        </w:tc>
        <w:tc>
          <w:tcPr>
            <w:tcW w:w="1021" w:type="dxa"/>
            <w:tcBorders>
              <w:top w:val="nil"/>
              <w:left w:val="nil"/>
              <w:bottom w:val="single" w:sz="4" w:space="0" w:color="auto"/>
              <w:right w:val="nil"/>
            </w:tcBorders>
          </w:tcPr>
          <w:p w14:paraId="243CE087"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N/A</w:t>
            </w:r>
          </w:p>
        </w:tc>
        <w:tc>
          <w:tcPr>
            <w:tcW w:w="1021" w:type="dxa"/>
            <w:tcBorders>
              <w:top w:val="nil"/>
              <w:left w:val="nil"/>
              <w:bottom w:val="single" w:sz="4" w:space="0" w:color="auto"/>
              <w:right w:val="nil"/>
            </w:tcBorders>
          </w:tcPr>
          <w:p w14:paraId="4E7E6B8E" w14:textId="77777777"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rPr>
              <w:t>Detection of colorec</w:t>
            </w:r>
            <w:r w:rsidRPr="00C9386A">
              <w:rPr>
                <w:rFonts w:ascii="Book Antiqua" w:hAnsi="Book Antiqua" w:cs="Book Antiqua"/>
              </w:rPr>
              <w:lastRenderedPageBreak/>
              <w:t>tal adenomas</w:t>
            </w:r>
          </w:p>
        </w:tc>
      </w:tr>
    </w:tbl>
    <w:bookmarkEnd w:id="5"/>
    <w:bookmarkEnd w:id="6"/>
    <w:p w14:paraId="50C8ACE5" w14:textId="4873ABE6" w:rsidR="001D0CB2" w:rsidRPr="00C9386A" w:rsidRDefault="00555B35" w:rsidP="00C9386A">
      <w:pPr>
        <w:adjustRightInd w:val="0"/>
        <w:snapToGrid w:val="0"/>
        <w:spacing w:after="0" w:line="360" w:lineRule="auto"/>
        <w:jc w:val="both"/>
        <w:rPr>
          <w:rFonts w:ascii="Book Antiqua" w:hAnsi="Book Antiqua" w:cs="Book Antiqua"/>
        </w:rPr>
      </w:pPr>
      <w:r w:rsidRPr="00C9386A">
        <w:rPr>
          <w:rFonts w:ascii="Book Antiqua" w:hAnsi="Book Antiqua" w:cs="Book Antiqua"/>
          <w:bCs/>
        </w:rPr>
        <w:lastRenderedPageBreak/>
        <w:t xml:space="preserve">N/A: Not </w:t>
      </w:r>
      <w:r w:rsidRPr="00C9386A">
        <w:rPr>
          <w:rFonts w:ascii="Book Antiqua" w:hAnsi="Book Antiqua" w:cs="Book Antiqua"/>
          <w:bCs/>
          <w:lang w:eastAsia="zh-CN"/>
        </w:rPr>
        <w:t>a</w:t>
      </w:r>
      <w:r w:rsidRPr="00C9386A">
        <w:rPr>
          <w:rFonts w:ascii="Book Antiqua" w:hAnsi="Book Antiqua" w:cs="Book Antiqua"/>
          <w:bCs/>
        </w:rPr>
        <w:t>pplicable</w:t>
      </w:r>
      <w:r w:rsidRPr="00C9386A">
        <w:rPr>
          <w:rFonts w:ascii="Book Antiqua" w:eastAsia="SimSun" w:hAnsi="Book Antiqua" w:cs="Book Antiqua"/>
          <w:bCs/>
          <w:lang w:eastAsia="zh-CN"/>
        </w:rPr>
        <w:t>;</w:t>
      </w:r>
      <w:r w:rsidRPr="00C9386A">
        <w:rPr>
          <w:rFonts w:ascii="Book Antiqua" w:hAnsi="Book Antiqua" w:cs="Book Antiqua"/>
          <w:bCs/>
        </w:rPr>
        <w:t xml:space="preserve"> FAP: Familial </w:t>
      </w:r>
      <w:r w:rsidRPr="00C9386A">
        <w:rPr>
          <w:rFonts w:ascii="Book Antiqua" w:hAnsi="Book Antiqua" w:cs="Book Antiqua"/>
          <w:bCs/>
          <w:lang w:eastAsia="zh-CN"/>
        </w:rPr>
        <w:t>a</w:t>
      </w:r>
      <w:r w:rsidRPr="00C9386A">
        <w:rPr>
          <w:rFonts w:ascii="Book Antiqua" w:hAnsi="Book Antiqua" w:cs="Book Antiqua"/>
          <w:bCs/>
        </w:rPr>
        <w:t xml:space="preserve">denomatous </w:t>
      </w:r>
      <w:r w:rsidRPr="00C9386A">
        <w:rPr>
          <w:rFonts w:ascii="Book Antiqua" w:hAnsi="Book Antiqua" w:cs="Book Antiqua"/>
          <w:bCs/>
          <w:lang w:eastAsia="zh-CN"/>
        </w:rPr>
        <w:t>p</w:t>
      </w:r>
      <w:r w:rsidRPr="00C9386A">
        <w:rPr>
          <w:rFonts w:ascii="Book Antiqua" w:hAnsi="Book Antiqua" w:cs="Book Antiqua"/>
          <w:bCs/>
        </w:rPr>
        <w:t xml:space="preserve">olyposis; M: Mucosal; SM: Submucosal; me: </w:t>
      </w:r>
      <w:r w:rsidR="00C27739">
        <w:rPr>
          <w:rFonts w:ascii="Book Antiqua" w:hAnsi="Book Antiqua" w:cs="Book Antiqua"/>
          <w:bCs/>
        </w:rPr>
        <w:t>M</w:t>
      </w:r>
      <w:bookmarkStart w:id="7" w:name="_GoBack"/>
      <w:bookmarkEnd w:id="7"/>
      <w:r w:rsidRPr="00C9386A">
        <w:rPr>
          <w:rFonts w:ascii="Book Antiqua" w:hAnsi="Book Antiqua" w:cs="Book Antiqua"/>
          <w:bCs/>
        </w:rPr>
        <w:t>ean; med: Median;</w:t>
      </w:r>
      <w:r w:rsidRPr="00C9386A">
        <w:rPr>
          <w:rFonts w:ascii="Book Antiqua" w:hAnsi="Book Antiqua" w:cs="Book Antiqua"/>
          <w:bCs/>
          <w:lang w:eastAsia="zh-CN"/>
        </w:rPr>
        <w:t xml:space="preserve"> </w:t>
      </w:r>
      <w:r w:rsidRPr="00C9386A">
        <w:rPr>
          <w:rFonts w:ascii="Book Antiqua" w:hAnsi="Book Antiqua" w:cs="Book Antiqua"/>
          <w:bCs/>
        </w:rPr>
        <w:t>No stain</w:t>
      </w:r>
      <w:r w:rsidRPr="00C9386A">
        <w:rPr>
          <w:rFonts w:ascii="Book Antiqua" w:hAnsi="Book Antiqua" w:cs="Book Antiqua"/>
          <w:bCs/>
          <w:lang w:eastAsia="zh-CN"/>
        </w:rPr>
        <w:t>:</w:t>
      </w:r>
      <w:r w:rsidRPr="00C9386A">
        <w:rPr>
          <w:rFonts w:ascii="Book Antiqua" w:hAnsi="Book Antiqua" w:cs="Book Antiqua"/>
          <w:bCs/>
        </w:rPr>
        <w:t xml:space="preserve"> Decreased dye accumulation in the tumor compared to surrounding mucosa; Homogeneous stain: Diffuse increased dye accumulation in the tumor compared to surrounding mucosa; Inhomogeneous stain: Scattered dye accumulation in the tumor; Pooling of the dye: Strong dye accumulation in the tumor;</w:t>
      </w:r>
      <w:r w:rsidRPr="00C9386A">
        <w:rPr>
          <w:rFonts w:ascii="Book Antiqua" w:hAnsi="Book Antiqua" w:cs="Book Antiqua"/>
          <w:bCs/>
          <w:lang w:eastAsia="zh-CN"/>
        </w:rPr>
        <w:t xml:space="preserve"> </w:t>
      </w:r>
      <w:r w:rsidRPr="00C9386A">
        <w:rPr>
          <w:rFonts w:ascii="Book Antiqua" w:hAnsi="Book Antiqua" w:cs="Book Antiqua"/>
          <w:bCs/>
        </w:rPr>
        <w:t>HGD: High grade dysplasia; MC: Mucosal carcinoma; SMC: Submucosal carcinoma.</w:t>
      </w:r>
    </w:p>
    <w:sectPr w:rsidR="001D0CB2" w:rsidRPr="00C9386A">
      <w:pgSz w:w="15840" w:h="12240" w:orient="landscape"/>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DE1E" w16cex:dateUtc="2020-09-02T07:02:00Z"/>
  <w16cex:commentExtensible w16cex:durableId="22F9DE48" w16cex:dateUtc="2020-09-02T0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3AE4" w14:textId="77777777" w:rsidR="005C54D7" w:rsidRDefault="005C54D7">
      <w:pPr>
        <w:spacing w:after="0" w:line="240" w:lineRule="auto"/>
      </w:pPr>
      <w:r>
        <w:separator/>
      </w:r>
    </w:p>
  </w:endnote>
  <w:endnote w:type="continuationSeparator" w:id="0">
    <w:p w14:paraId="68CEE7EB" w14:textId="77777777" w:rsidR="005C54D7" w:rsidRDefault="005C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03750"/>
      <w:docPartObj>
        <w:docPartGallery w:val="AutoText"/>
      </w:docPartObj>
    </w:sdtPr>
    <w:sdtEndPr/>
    <w:sdtContent>
      <w:sdt>
        <w:sdtPr>
          <w:id w:val="-1769616900"/>
          <w:docPartObj>
            <w:docPartGallery w:val="AutoText"/>
          </w:docPartObj>
        </w:sdtPr>
        <w:sdtEndPr/>
        <w:sdtContent>
          <w:p w14:paraId="6C91E5C4" w14:textId="77777777" w:rsidR="00555B35" w:rsidRDefault="00555B35">
            <w:pPr>
              <w:pStyle w:val="Footer"/>
              <w:jc w:val="right"/>
            </w:pPr>
            <w:r>
              <w:rPr>
                <w:lang w:val="zh-CN" w:eastAsia="zh-CN"/>
              </w:rPr>
              <w:t xml:space="preserve"> </w:t>
            </w:r>
            <w:r>
              <w:rPr>
                <w:b/>
                <w:bCs/>
              </w:rPr>
              <w:fldChar w:fldCharType="begin"/>
            </w:r>
            <w:r>
              <w:rPr>
                <w:b/>
                <w:bCs/>
              </w:rPr>
              <w:instrText>PAGE</w:instrText>
            </w:r>
            <w:r>
              <w:rPr>
                <w:b/>
                <w:bCs/>
              </w:rPr>
              <w:fldChar w:fldCharType="separate"/>
            </w:r>
            <w:r w:rsidR="00765772">
              <w:rPr>
                <w:b/>
                <w:bCs/>
                <w:noProof/>
              </w:rPr>
              <w:t>26</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765772">
              <w:rPr>
                <w:b/>
                <w:bCs/>
                <w:noProof/>
              </w:rPr>
              <w:t>35</w:t>
            </w:r>
            <w:r>
              <w:rPr>
                <w:b/>
                <w:bCs/>
              </w:rPr>
              <w:fldChar w:fldCharType="end"/>
            </w:r>
          </w:p>
        </w:sdtContent>
      </w:sdt>
    </w:sdtContent>
  </w:sdt>
  <w:p w14:paraId="342872E2" w14:textId="77777777" w:rsidR="00555B35" w:rsidRDefault="0055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35226"/>
      <w:docPartObj>
        <w:docPartGallery w:val="Page Numbers (Bottom of Page)"/>
        <w:docPartUnique/>
      </w:docPartObj>
    </w:sdtPr>
    <w:sdtEndPr/>
    <w:sdtContent>
      <w:sdt>
        <w:sdtPr>
          <w:id w:val="-1705238520"/>
          <w:docPartObj>
            <w:docPartGallery w:val="Page Numbers (Top of Page)"/>
            <w:docPartUnique/>
          </w:docPartObj>
        </w:sdtPr>
        <w:sdtEndPr/>
        <w:sdtContent>
          <w:p w14:paraId="4C5447A2" w14:textId="13FFC21E" w:rsidR="00555B35" w:rsidRPr="00765772" w:rsidRDefault="00765772" w:rsidP="00765772">
            <w:pPr>
              <w:pStyle w:val="Footer"/>
              <w:jc w:val="right"/>
            </w:pPr>
            <w:r>
              <w:rPr>
                <w:lang w:val="zh-CN" w:eastAsia="zh-CN"/>
              </w:rPr>
              <w:t xml:space="preserve"> </w:t>
            </w:r>
            <w:r>
              <w:rPr>
                <w:b/>
                <w:bCs/>
              </w:rPr>
              <w:fldChar w:fldCharType="begin"/>
            </w:r>
            <w:r>
              <w:rPr>
                <w:b/>
                <w:bCs/>
              </w:rPr>
              <w:instrText>PAGE</w:instrText>
            </w:r>
            <w:r>
              <w:rPr>
                <w:b/>
                <w:bCs/>
              </w:rPr>
              <w:fldChar w:fldCharType="separate"/>
            </w:r>
            <w:r>
              <w:rPr>
                <w:b/>
                <w:bCs/>
                <w:noProof/>
              </w:rPr>
              <w:t>33</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Pr>
                <w:b/>
                <w:bCs/>
                <w:noProof/>
              </w:rPr>
              <w:t>35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0BEE" w14:textId="77777777" w:rsidR="005C54D7" w:rsidRDefault="005C54D7">
      <w:pPr>
        <w:spacing w:after="0" w:line="240" w:lineRule="auto"/>
      </w:pPr>
      <w:r>
        <w:separator/>
      </w:r>
    </w:p>
  </w:footnote>
  <w:footnote w:type="continuationSeparator" w:id="0">
    <w:p w14:paraId="5315C408" w14:textId="77777777" w:rsidR="005C54D7" w:rsidRDefault="005C5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269E"/>
    <w:rsid w:val="00066373"/>
    <w:rsid w:val="000963BA"/>
    <w:rsid w:val="000A28D2"/>
    <w:rsid w:val="000D4934"/>
    <w:rsid w:val="000F6B8A"/>
    <w:rsid w:val="00117D93"/>
    <w:rsid w:val="00137C2E"/>
    <w:rsid w:val="00140931"/>
    <w:rsid w:val="00173A32"/>
    <w:rsid w:val="00185D80"/>
    <w:rsid w:val="00190317"/>
    <w:rsid w:val="001D0CB2"/>
    <w:rsid w:val="001D6A16"/>
    <w:rsid w:val="00244067"/>
    <w:rsid w:val="002F7CD8"/>
    <w:rsid w:val="00313090"/>
    <w:rsid w:val="003250CF"/>
    <w:rsid w:val="003F5D0E"/>
    <w:rsid w:val="00410700"/>
    <w:rsid w:val="00472117"/>
    <w:rsid w:val="004902D1"/>
    <w:rsid w:val="004979E3"/>
    <w:rsid w:val="004D2999"/>
    <w:rsid w:val="004D6C9A"/>
    <w:rsid w:val="00506602"/>
    <w:rsid w:val="00555B35"/>
    <w:rsid w:val="00556B79"/>
    <w:rsid w:val="0058631C"/>
    <w:rsid w:val="005942CF"/>
    <w:rsid w:val="005B4F49"/>
    <w:rsid w:val="005C54D7"/>
    <w:rsid w:val="005D6B43"/>
    <w:rsid w:val="005E770C"/>
    <w:rsid w:val="0060288B"/>
    <w:rsid w:val="006802C9"/>
    <w:rsid w:val="006A14B3"/>
    <w:rsid w:val="006F29C4"/>
    <w:rsid w:val="00714915"/>
    <w:rsid w:val="007168F7"/>
    <w:rsid w:val="00732BE3"/>
    <w:rsid w:val="00765772"/>
    <w:rsid w:val="007B5EB8"/>
    <w:rsid w:val="007D0564"/>
    <w:rsid w:val="007D0B5C"/>
    <w:rsid w:val="007E52CE"/>
    <w:rsid w:val="0085294C"/>
    <w:rsid w:val="00852D4A"/>
    <w:rsid w:val="00857BEC"/>
    <w:rsid w:val="00860A71"/>
    <w:rsid w:val="008808DF"/>
    <w:rsid w:val="008B4C11"/>
    <w:rsid w:val="008C0938"/>
    <w:rsid w:val="008D1001"/>
    <w:rsid w:val="008D36FC"/>
    <w:rsid w:val="008E7F83"/>
    <w:rsid w:val="00901855"/>
    <w:rsid w:val="00916E18"/>
    <w:rsid w:val="00917858"/>
    <w:rsid w:val="00921362"/>
    <w:rsid w:val="00921751"/>
    <w:rsid w:val="00934C9E"/>
    <w:rsid w:val="00967F67"/>
    <w:rsid w:val="00972A7E"/>
    <w:rsid w:val="009A16C2"/>
    <w:rsid w:val="009C56E0"/>
    <w:rsid w:val="009D2E2F"/>
    <w:rsid w:val="00A34E39"/>
    <w:rsid w:val="00A42D30"/>
    <w:rsid w:val="00A4434A"/>
    <w:rsid w:val="00A63000"/>
    <w:rsid w:val="00A77B3E"/>
    <w:rsid w:val="00B02D0E"/>
    <w:rsid w:val="00B22DF1"/>
    <w:rsid w:val="00B33B1E"/>
    <w:rsid w:val="00BF4281"/>
    <w:rsid w:val="00C06C2E"/>
    <w:rsid w:val="00C27739"/>
    <w:rsid w:val="00C55663"/>
    <w:rsid w:val="00C9386A"/>
    <w:rsid w:val="00CA2A55"/>
    <w:rsid w:val="00CC2B77"/>
    <w:rsid w:val="00D127E0"/>
    <w:rsid w:val="00D65DA1"/>
    <w:rsid w:val="00D84D5A"/>
    <w:rsid w:val="00D958BB"/>
    <w:rsid w:val="00DA6784"/>
    <w:rsid w:val="00DB3E3B"/>
    <w:rsid w:val="00DF2101"/>
    <w:rsid w:val="00E31246"/>
    <w:rsid w:val="00E605D4"/>
    <w:rsid w:val="00E65D11"/>
    <w:rsid w:val="00E856D1"/>
    <w:rsid w:val="00F001C1"/>
    <w:rsid w:val="472E79FD"/>
    <w:rsid w:val="70B04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8BA63"/>
  <w15:docId w15:val="{F70CCB22-7925-4D38-BCFD-EC91900F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a-DK" w:eastAsia="da-DK"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rFonts w:asciiTheme="majorHAnsi" w:eastAsia="SimHei" w:hAnsiTheme="majorHAnsi" w:cstheme="majorBidi"/>
      <w:sz w:val="20"/>
      <w:szCs w:val="20"/>
    </w:rPr>
  </w:style>
  <w:style w:type="paragraph" w:styleId="CommentText">
    <w:name w:val="annotation text"/>
    <w:basedOn w:val="Normal"/>
    <w:link w:val="CommentTextChar"/>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qFormat/>
    <w:pPr>
      <w:tabs>
        <w:tab w:val="center" w:pos="4819"/>
        <w:tab w:val="right" w:pos="9638"/>
      </w:tabs>
      <w:spacing w:line="360" w:lineRule="auto"/>
      <w:ind w:right="284"/>
    </w:pPr>
    <w:rPr>
      <w:rFonts w:eastAsia="Times New Roman"/>
      <w:lang w:val="en-GB"/>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uiPriority w:val="39"/>
    <w:qFormat/>
    <w:pPr>
      <w:spacing w:line="300" w:lineRule="atLeast"/>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basedOn w:val="DefaultParagraphFont"/>
    <w:semiHidden/>
    <w:unhideWhenUsed/>
    <w:rPr>
      <w:sz w:val="21"/>
      <w:szCs w:val="21"/>
    </w:rPr>
  </w:style>
  <w:style w:type="character" w:customStyle="1" w:styleId="FooterChar">
    <w:name w:val="Footer Char"/>
    <w:basedOn w:val="DefaultParagraphFont"/>
    <w:link w:val="Footer"/>
    <w:uiPriority w:val="99"/>
    <w:qFormat/>
    <w:rPr>
      <w:rFonts w:eastAsia="Times New Roman"/>
      <w:sz w:val="24"/>
      <w:szCs w:val="24"/>
      <w:lang w:val="en-GB"/>
    </w:rPr>
  </w:style>
  <w:style w:type="table" w:customStyle="1" w:styleId="Tabel-Gitter2">
    <w:name w:val="Tabel - Gitter2"/>
    <w:basedOn w:val="TableNormal"/>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leNormal"/>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character" w:customStyle="1" w:styleId="BalloonTextChar">
    <w:name w:val="Balloon Text Char"/>
    <w:basedOn w:val="DefaultParagraphFont"/>
    <w:link w:val="BalloonText"/>
    <w:rPr>
      <w:sz w:val="18"/>
      <w:szCs w:val="18"/>
    </w:rPr>
  </w:style>
  <w:style w:type="character" w:styleId="FollowedHyperlink">
    <w:name w:val="FollowedHyperlink"/>
    <w:basedOn w:val="DefaultParagraphFont"/>
    <w:semiHidden/>
    <w:unhideWhenUsed/>
    <w:rsid w:val="00C27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ugs.com/pro/indocyanine-gree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i.ca/programs/clinical_epidemiology/oxford.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ayyan.qcri.org/welcom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crd.york.ac.uk/PROSPER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64949-2374-3948-A517-30643124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6686</Words>
  <Characters>38111</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2020-09-08T18:32:00Z</dcterms:created>
  <dcterms:modified xsi:type="dcterms:W3CDTF">2020-09-08T18:32:00Z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