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D420E" w14:textId="77777777" w:rsidR="00F64FCD" w:rsidRPr="00E74730" w:rsidRDefault="004E536D" w:rsidP="00E74730">
      <w:pPr>
        <w:snapToGrid w:val="0"/>
        <w:spacing w:line="360" w:lineRule="auto"/>
        <w:jc w:val="both"/>
      </w:pPr>
      <w:r w:rsidRPr="00E74730">
        <w:rPr>
          <w:rFonts w:ascii="Book Antiqua" w:eastAsia="Book Antiqua" w:hAnsi="Book Antiqua" w:cs="Book Antiqua"/>
          <w:b/>
        </w:rPr>
        <w:t xml:space="preserve">Name of Journal: </w:t>
      </w:r>
      <w:r w:rsidRPr="00E74730">
        <w:rPr>
          <w:rFonts w:ascii="Book Antiqua" w:eastAsia="Book Antiqua" w:hAnsi="Book Antiqua" w:cs="Book Antiqua"/>
          <w:i/>
        </w:rPr>
        <w:t>World Journal of Gastroenterology</w:t>
      </w:r>
    </w:p>
    <w:p w14:paraId="43DBF2B2" w14:textId="77777777" w:rsidR="00F64FCD" w:rsidRPr="00E74730" w:rsidRDefault="004E536D" w:rsidP="00E74730">
      <w:pPr>
        <w:snapToGrid w:val="0"/>
        <w:spacing w:line="360" w:lineRule="auto"/>
        <w:jc w:val="both"/>
      </w:pPr>
      <w:r w:rsidRPr="00E74730">
        <w:rPr>
          <w:rFonts w:ascii="Book Antiqua" w:eastAsia="Book Antiqua" w:hAnsi="Book Antiqua" w:cs="Book Antiqua"/>
          <w:b/>
        </w:rPr>
        <w:t xml:space="preserve">Manuscript NO: </w:t>
      </w:r>
      <w:r w:rsidRPr="00E74730">
        <w:rPr>
          <w:rFonts w:ascii="Book Antiqua" w:eastAsia="Book Antiqua" w:hAnsi="Book Antiqua" w:cs="Book Antiqua"/>
        </w:rPr>
        <w:t>56821</w:t>
      </w:r>
    </w:p>
    <w:p w14:paraId="67FA67CF" w14:textId="77777777" w:rsidR="00F64FCD" w:rsidRPr="00E74730" w:rsidRDefault="004E536D" w:rsidP="00E74730">
      <w:pPr>
        <w:snapToGrid w:val="0"/>
        <w:spacing w:line="360" w:lineRule="auto"/>
        <w:jc w:val="both"/>
      </w:pPr>
      <w:r w:rsidRPr="00E74730">
        <w:rPr>
          <w:rFonts w:ascii="Book Antiqua" w:eastAsia="Book Antiqua" w:hAnsi="Book Antiqua" w:cs="Book Antiqua"/>
          <w:b/>
        </w:rPr>
        <w:t xml:space="preserve">Manuscript Type: </w:t>
      </w:r>
      <w:r w:rsidRPr="00E74730">
        <w:rPr>
          <w:rFonts w:ascii="Book Antiqua" w:eastAsia="Book Antiqua" w:hAnsi="Book Antiqua" w:cs="Book Antiqua"/>
        </w:rPr>
        <w:t>ORIGINAL ARTICLE</w:t>
      </w:r>
    </w:p>
    <w:p w14:paraId="0C6D658A" w14:textId="77777777" w:rsidR="00F64FCD" w:rsidRPr="00E74730" w:rsidRDefault="00F64FCD" w:rsidP="00E74730">
      <w:pPr>
        <w:snapToGrid w:val="0"/>
        <w:spacing w:line="360" w:lineRule="auto"/>
        <w:jc w:val="both"/>
      </w:pPr>
    </w:p>
    <w:p w14:paraId="5BDD23D7" w14:textId="77777777" w:rsidR="00F64FCD" w:rsidRPr="00E74730" w:rsidRDefault="004E536D" w:rsidP="00E74730">
      <w:pPr>
        <w:snapToGrid w:val="0"/>
        <w:spacing w:line="360" w:lineRule="auto"/>
        <w:jc w:val="both"/>
      </w:pPr>
      <w:r w:rsidRPr="00E74730">
        <w:rPr>
          <w:rFonts w:ascii="Book Antiqua" w:eastAsia="Book Antiqua" w:hAnsi="Book Antiqua" w:cs="Book Antiqua"/>
          <w:b/>
          <w:i/>
        </w:rPr>
        <w:t>Retrospective Cohort Study</w:t>
      </w:r>
    </w:p>
    <w:p w14:paraId="4DB4DE99" w14:textId="77777777" w:rsidR="00F64FCD" w:rsidRPr="00E74730" w:rsidRDefault="004E536D" w:rsidP="00E74730">
      <w:pPr>
        <w:snapToGrid w:val="0"/>
        <w:spacing w:line="360" w:lineRule="auto"/>
        <w:jc w:val="both"/>
      </w:pPr>
      <w:r w:rsidRPr="00E74730">
        <w:rPr>
          <w:rFonts w:ascii="Book Antiqua" w:eastAsia="Book Antiqua" w:hAnsi="Book Antiqua" w:cs="Book Antiqua"/>
          <w:b/>
          <w:bCs/>
        </w:rPr>
        <w:t>Predicting cholecystocholedochal fistulas in patients with Mirizzi syndrome undergoing endoscopic retrograde cholangiopancreatography</w:t>
      </w:r>
    </w:p>
    <w:p w14:paraId="2ECC7836" w14:textId="77777777" w:rsidR="00F64FCD" w:rsidRPr="00E74730" w:rsidRDefault="00F64FCD" w:rsidP="00E74730">
      <w:pPr>
        <w:snapToGrid w:val="0"/>
        <w:spacing w:line="360" w:lineRule="auto"/>
        <w:jc w:val="both"/>
      </w:pPr>
    </w:p>
    <w:p w14:paraId="752C8748" w14:textId="77777777" w:rsidR="00F64FCD" w:rsidRPr="00E74730" w:rsidRDefault="004E536D" w:rsidP="00E74730">
      <w:pPr>
        <w:snapToGrid w:val="0"/>
        <w:spacing w:line="360" w:lineRule="auto"/>
        <w:jc w:val="both"/>
      </w:pPr>
      <w:r w:rsidRPr="00E74730">
        <w:rPr>
          <w:rFonts w:ascii="Book Antiqua" w:eastAsia="Book Antiqua" w:hAnsi="Book Antiqua" w:cs="Book Antiqua"/>
        </w:rPr>
        <w:t xml:space="preserve">Wu CH </w:t>
      </w:r>
      <w:r w:rsidRPr="00E74730">
        <w:rPr>
          <w:rFonts w:ascii="Book Antiqua" w:eastAsia="Book Antiqua" w:hAnsi="Book Antiqua" w:cs="Book Antiqua"/>
          <w:i/>
          <w:iCs/>
        </w:rPr>
        <w:t xml:space="preserve">et al. </w:t>
      </w:r>
      <w:r w:rsidRPr="00E74730">
        <w:rPr>
          <w:rFonts w:ascii="Book Antiqua" w:eastAsia="Book Antiqua" w:hAnsi="Book Antiqua" w:cs="Book Antiqua"/>
        </w:rPr>
        <w:t>Cholecystocholedochal fistulas by ERCP in Mirizzi syndrome</w:t>
      </w:r>
    </w:p>
    <w:p w14:paraId="484EC2ED" w14:textId="77777777" w:rsidR="00F64FCD" w:rsidRPr="00E74730" w:rsidRDefault="00F64FCD" w:rsidP="00E74730">
      <w:pPr>
        <w:snapToGrid w:val="0"/>
        <w:spacing w:line="360" w:lineRule="auto"/>
        <w:jc w:val="both"/>
      </w:pPr>
    </w:p>
    <w:p w14:paraId="1098DBFC" w14:textId="77777777" w:rsidR="00F64FCD" w:rsidRPr="00E74730" w:rsidRDefault="004E536D" w:rsidP="00E74730">
      <w:pPr>
        <w:snapToGrid w:val="0"/>
        <w:spacing w:line="360" w:lineRule="auto"/>
        <w:jc w:val="both"/>
      </w:pPr>
      <w:r w:rsidRPr="00E74730">
        <w:rPr>
          <w:rFonts w:ascii="Book Antiqua" w:eastAsia="Book Antiqua" w:hAnsi="Book Antiqua" w:cs="Book Antiqua"/>
        </w:rPr>
        <w:t>Chi-Huan Wu, Nai-Jen Liu, Chun-Nan Yeh, Shang-Yu Wang, Yi-Yin Jan</w:t>
      </w:r>
    </w:p>
    <w:p w14:paraId="533C1CE0" w14:textId="77777777" w:rsidR="00F64FCD" w:rsidRPr="00E74730" w:rsidRDefault="00F64FCD" w:rsidP="00E74730">
      <w:pPr>
        <w:snapToGrid w:val="0"/>
        <w:spacing w:line="360" w:lineRule="auto"/>
        <w:jc w:val="both"/>
      </w:pPr>
    </w:p>
    <w:p w14:paraId="442C9E68" w14:textId="77777777"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Chi-Huan Wu, Nai-Jen Liu, </w:t>
      </w:r>
      <w:r w:rsidRPr="00E74730">
        <w:rPr>
          <w:rFonts w:ascii="Book Antiqua" w:eastAsia="Book Antiqua" w:hAnsi="Book Antiqua" w:cs="Book Antiqua"/>
        </w:rPr>
        <w:t>Department of Gastroenterology and Hepatology, Linkou Medical Center, Chang Gung Memorial Hospital, Chang Gung University, College of Medicine, Taoyuan 333, Taiwan</w:t>
      </w:r>
    </w:p>
    <w:p w14:paraId="7EC5DE3C" w14:textId="77777777" w:rsidR="00F64FCD" w:rsidRPr="00E74730" w:rsidRDefault="00F64FCD" w:rsidP="00E74730">
      <w:pPr>
        <w:snapToGrid w:val="0"/>
        <w:spacing w:line="360" w:lineRule="auto"/>
        <w:jc w:val="both"/>
      </w:pPr>
    </w:p>
    <w:p w14:paraId="07EB9791" w14:textId="77777777"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Chun-Nan Yeh, Shang-Yu Wang, Yi-Yin Jan, </w:t>
      </w:r>
      <w:r w:rsidRPr="00E74730">
        <w:rPr>
          <w:rFonts w:ascii="Book Antiqua" w:eastAsia="Book Antiqua" w:hAnsi="Book Antiqua" w:cs="Book Antiqua"/>
        </w:rPr>
        <w:t>Department of General Surgery, Linkou Medical Center, Chang Gung Memorial Hospital, Chang Gung University, College of Medicine, Taoyuan 333, Taiwan</w:t>
      </w:r>
    </w:p>
    <w:p w14:paraId="74223B36" w14:textId="77777777" w:rsidR="00F64FCD" w:rsidRPr="00E74730" w:rsidRDefault="00F64FCD" w:rsidP="00E74730">
      <w:pPr>
        <w:snapToGrid w:val="0"/>
        <w:spacing w:line="360" w:lineRule="auto"/>
        <w:jc w:val="both"/>
      </w:pPr>
    </w:p>
    <w:p w14:paraId="604686E5" w14:textId="269C2EA6"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Author contributions: </w:t>
      </w:r>
      <w:r w:rsidRPr="00E74730">
        <w:rPr>
          <w:rFonts w:ascii="Book Antiqua" w:eastAsia="Book Antiqua" w:hAnsi="Book Antiqua" w:cs="Book Antiqua"/>
        </w:rPr>
        <w:t>Jan YY designed the research protocol; Liu NJ</w:t>
      </w:r>
      <w:r w:rsidR="00F30BAA" w:rsidRPr="00E74730">
        <w:rPr>
          <w:rFonts w:ascii="Book Antiqua" w:eastAsia="Book Antiqua" w:hAnsi="Book Antiqua" w:cs="Book Antiqua"/>
        </w:rPr>
        <w:t xml:space="preserve"> and</w:t>
      </w:r>
      <w:r w:rsidRPr="00E74730">
        <w:rPr>
          <w:rFonts w:ascii="Book Antiqua" w:eastAsia="Book Antiqua" w:hAnsi="Book Antiqua" w:cs="Book Antiqua"/>
        </w:rPr>
        <w:t xml:space="preserve"> Wang SY conducted the research and contributed analytic tools; Wu CH wrote the paper and analyzed </w:t>
      </w:r>
      <w:r w:rsidR="00F30BAA" w:rsidRPr="00E74730">
        <w:rPr>
          <w:rFonts w:ascii="Book Antiqua" w:eastAsia="Book Antiqua" w:hAnsi="Book Antiqua" w:cs="Book Antiqua"/>
        </w:rPr>
        <w:t xml:space="preserve">the </w:t>
      </w:r>
      <w:r w:rsidRPr="00E74730">
        <w:rPr>
          <w:rFonts w:ascii="Book Antiqua" w:eastAsia="Book Antiqua" w:hAnsi="Book Antiqua" w:cs="Book Antiqua"/>
        </w:rPr>
        <w:t>data; Yeh CN reviewed and revised the paper</w:t>
      </w:r>
      <w:r w:rsidRPr="00E74730">
        <w:rPr>
          <w:rFonts w:ascii="Book Antiqua" w:eastAsia="Book Antiqua" w:hAnsi="Book Antiqua" w:cs="Book Antiqua"/>
          <w:bCs/>
        </w:rPr>
        <w:t>.</w:t>
      </w:r>
    </w:p>
    <w:p w14:paraId="0CB1D7D6" w14:textId="77777777" w:rsidR="00F64FCD" w:rsidRPr="00E74730" w:rsidRDefault="00F64FCD" w:rsidP="00E74730">
      <w:pPr>
        <w:snapToGrid w:val="0"/>
        <w:spacing w:line="360" w:lineRule="auto"/>
        <w:jc w:val="both"/>
      </w:pPr>
    </w:p>
    <w:p w14:paraId="1DB1DBA6" w14:textId="77777777"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Corresponding author: Yi-Yin Jan, MD, Attending Doctor, </w:t>
      </w:r>
      <w:r w:rsidRPr="00E74730">
        <w:rPr>
          <w:rFonts w:ascii="Book Antiqua" w:eastAsia="Book Antiqua" w:hAnsi="Book Antiqua" w:cs="Book Antiqua"/>
        </w:rPr>
        <w:t>Department of General Surgery, Linkou Medical Center, Chang Gung Memorial Hospital, Chang Gung University, College of Medicine, No. 5 Fu-Hsin Street, Queishan, Taoyuan 333, Taiwan. janyy@cgmh.org.tw</w:t>
      </w:r>
    </w:p>
    <w:p w14:paraId="4B443DE7" w14:textId="77777777" w:rsidR="00F64FCD" w:rsidRPr="00E74730" w:rsidRDefault="00F64FCD" w:rsidP="00E74730">
      <w:pPr>
        <w:snapToGrid w:val="0"/>
        <w:spacing w:line="360" w:lineRule="auto"/>
        <w:jc w:val="both"/>
      </w:pPr>
    </w:p>
    <w:p w14:paraId="1407B584" w14:textId="77777777"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Received: </w:t>
      </w:r>
      <w:r w:rsidRPr="00E74730">
        <w:rPr>
          <w:rFonts w:ascii="Book Antiqua" w:eastAsia="Book Antiqua" w:hAnsi="Book Antiqua" w:cs="Book Antiqua"/>
        </w:rPr>
        <w:t>May 16, 2020</w:t>
      </w:r>
    </w:p>
    <w:p w14:paraId="06CB4054" w14:textId="77777777" w:rsidR="00F64FCD" w:rsidRPr="00E74730" w:rsidRDefault="004E536D" w:rsidP="00E74730">
      <w:pPr>
        <w:snapToGrid w:val="0"/>
        <w:spacing w:line="360" w:lineRule="auto"/>
        <w:jc w:val="both"/>
      </w:pPr>
      <w:r w:rsidRPr="00E74730">
        <w:rPr>
          <w:rFonts w:ascii="Book Antiqua" w:eastAsia="Book Antiqua" w:hAnsi="Book Antiqua" w:cs="Book Antiqua"/>
          <w:b/>
          <w:bCs/>
        </w:rPr>
        <w:lastRenderedPageBreak/>
        <w:t xml:space="preserve">Revised: </w:t>
      </w:r>
      <w:r w:rsidRPr="00E74730">
        <w:rPr>
          <w:rFonts w:ascii="Book Antiqua" w:eastAsia="Book Antiqua" w:hAnsi="Book Antiqua" w:cs="Book Antiqua"/>
        </w:rPr>
        <w:t>June 9, 2020</w:t>
      </w:r>
    </w:p>
    <w:p w14:paraId="3E6F92E9" w14:textId="5F5EFB67" w:rsidR="00F64FCD" w:rsidRPr="00E74730" w:rsidRDefault="004E536D" w:rsidP="00E74730">
      <w:pPr>
        <w:snapToGrid w:val="0"/>
        <w:spacing w:line="360" w:lineRule="auto"/>
        <w:jc w:val="both"/>
      </w:pPr>
      <w:r w:rsidRPr="00E74730">
        <w:rPr>
          <w:rFonts w:ascii="Book Antiqua" w:eastAsia="Book Antiqua" w:hAnsi="Book Antiqua" w:cs="Book Antiqua"/>
          <w:b/>
          <w:bCs/>
        </w:rPr>
        <w:t>Accepted:</w:t>
      </w:r>
      <w:r w:rsidR="007A48A0" w:rsidRPr="00E74730">
        <w:t xml:space="preserve"> </w:t>
      </w:r>
      <w:r w:rsidR="007A48A0" w:rsidRPr="00E74730">
        <w:rPr>
          <w:rFonts w:ascii="Book Antiqua" w:eastAsia="Book Antiqua" w:hAnsi="Book Antiqua" w:cs="Book Antiqua"/>
        </w:rPr>
        <w:t>October 1, 2020</w:t>
      </w:r>
      <w:r w:rsidRPr="00E74730">
        <w:rPr>
          <w:rFonts w:ascii="Book Antiqua" w:eastAsia="Book Antiqua" w:hAnsi="Book Antiqua" w:cs="Book Antiqua"/>
        </w:rPr>
        <w:t xml:space="preserve"> </w:t>
      </w:r>
    </w:p>
    <w:p w14:paraId="5963B78E" w14:textId="1878B9AD"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Published online: </w:t>
      </w:r>
      <w:r w:rsidR="00D842D6" w:rsidRPr="003C5FCC">
        <w:rPr>
          <w:rFonts w:ascii="Book Antiqua" w:eastAsia="Book Antiqua" w:hAnsi="Book Antiqua" w:cs="Book Antiqua"/>
          <w:bCs/>
          <w:color w:val="000000"/>
        </w:rPr>
        <w:t>October 2</w:t>
      </w:r>
      <w:r w:rsidR="00D842D6">
        <w:rPr>
          <w:rFonts w:ascii="Book Antiqua" w:hAnsi="Book Antiqua" w:cs="Book Antiqua" w:hint="eastAsia"/>
          <w:bCs/>
          <w:color w:val="000000"/>
          <w:lang w:eastAsia="zh-CN"/>
        </w:rPr>
        <w:t>8,</w:t>
      </w:r>
      <w:r w:rsidR="00D842D6" w:rsidRPr="003C5FCC">
        <w:rPr>
          <w:rFonts w:ascii="Book Antiqua" w:hAnsi="Book Antiqua" w:cs="Book Antiqua" w:hint="eastAsia"/>
          <w:bCs/>
          <w:color w:val="000000"/>
          <w:lang w:eastAsia="zh-CN"/>
        </w:rPr>
        <w:t xml:space="preserve"> 2020</w:t>
      </w:r>
    </w:p>
    <w:p w14:paraId="6185A44A" w14:textId="77777777" w:rsidR="00F64FCD" w:rsidRPr="00E74730" w:rsidRDefault="00F64FCD" w:rsidP="00E74730">
      <w:pPr>
        <w:snapToGrid w:val="0"/>
        <w:spacing w:line="360" w:lineRule="auto"/>
        <w:jc w:val="both"/>
        <w:sectPr w:rsidR="00F64FCD" w:rsidRPr="00E74730">
          <w:footerReference w:type="default" r:id="rId8"/>
          <w:pgSz w:w="12240" w:h="15840"/>
          <w:pgMar w:top="1440" w:right="1440" w:bottom="1440" w:left="1440" w:header="720" w:footer="720" w:gutter="0"/>
          <w:cols w:space="720"/>
          <w:docGrid w:linePitch="360"/>
        </w:sectPr>
      </w:pPr>
    </w:p>
    <w:p w14:paraId="5EFCA5B0" w14:textId="77777777" w:rsidR="00F64FCD" w:rsidRPr="00E74730" w:rsidRDefault="004E536D" w:rsidP="00E74730">
      <w:pPr>
        <w:snapToGrid w:val="0"/>
        <w:spacing w:line="360" w:lineRule="auto"/>
        <w:jc w:val="both"/>
      </w:pPr>
      <w:r w:rsidRPr="00E74730">
        <w:rPr>
          <w:rFonts w:ascii="Book Antiqua" w:eastAsia="Book Antiqua" w:hAnsi="Book Antiqua" w:cs="Book Antiqua"/>
          <w:b/>
        </w:rPr>
        <w:t>Abstract</w:t>
      </w:r>
    </w:p>
    <w:p w14:paraId="1D6D45FA" w14:textId="77777777" w:rsidR="00F64FCD" w:rsidRPr="00E74730" w:rsidRDefault="004E536D" w:rsidP="00E74730">
      <w:pPr>
        <w:snapToGrid w:val="0"/>
        <w:spacing w:line="360" w:lineRule="auto"/>
        <w:jc w:val="both"/>
      </w:pPr>
      <w:r w:rsidRPr="00E74730">
        <w:rPr>
          <w:rFonts w:ascii="Book Antiqua" w:eastAsia="Book Antiqua" w:hAnsi="Book Antiqua" w:cs="Book Antiqua"/>
        </w:rPr>
        <w:t>BACKGROUND</w:t>
      </w:r>
    </w:p>
    <w:p w14:paraId="04225706" w14:textId="1FE6A2E1" w:rsidR="00F64FCD" w:rsidRPr="00E74730" w:rsidRDefault="004E536D" w:rsidP="00E74730">
      <w:pPr>
        <w:snapToGrid w:val="0"/>
        <w:spacing w:line="360" w:lineRule="auto"/>
        <w:jc w:val="both"/>
      </w:pPr>
      <w:r w:rsidRPr="00E74730">
        <w:rPr>
          <w:rFonts w:ascii="Book Antiqua" w:eastAsia="Book Antiqua" w:hAnsi="Book Antiqua" w:cs="Book Antiqua"/>
        </w:rPr>
        <w:t xml:space="preserve">Mirizzi syndrome </w:t>
      </w:r>
      <w:r w:rsidR="009A475C" w:rsidRPr="00E74730">
        <w:rPr>
          <w:rFonts w:ascii="Book Antiqua" w:eastAsia="Book Antiqua" w:hAnsi="Book Antiqua" w:cs="Book Antiqua"/>
        </w:rPr>
        <w:t xml:space="preserve">(MS) </w:t>
      </w:r>
      <w:r w:rsidRPr="00E74730">
        <w:rPr>
          <w:rFonts w:ascii="Book Antiqua" w:eastAsia="Book Antiqua" w:hAnsi="Book Antiqua" w:cs="Book Antiqua"/>
        </w:rPr>
        <w:t>is defined as an extrinsic compression of the extrahepatic biliary system by an impacted stone in the gallbladder or the cystic duct leading to obstructive jaundice</w:t>
      </w:r>
      <w:r w:rsidRPr="00E74730">
        <w:rPr>
          <w:rFonts w:ascii="Book Antiqua" w:eastAsia="Book Antiqua" w:hAnsi="Book Antiqua" w:cs="Book Antiqua"/>
          <w:shd w:val="clear" w:color="auto" w:fill="FFFFFF"/>
        </w:rPr>
        <w:t xml:space="preserve">. </w:t>
      </w:r>
      <w:r w:rsidRPr="00E74730">
        <w:rPr>
          <w:rFonts w:ascii="Book Antiqua" w:eastAsia="Book Antiqua" w:hAnsi="Book Antiqua" w:cs="Book Antiqua"/>
        </w:rPr>
        <w:t>Endoscopic retrograde cholangiopancreatography (ERCP)</w:t>
      </w:r>
      <w:r w:rsidRPr="00E74730">
        <w:rPr>
          <w:rFonts w:ascii="Book Antiqua" w:eastAsia="Book Antiqua" w:hAnsi="Book Antiqua" w:cs="Book Antiqua"/>
          <w:shd w:val="clear" w:color="auto" w:fill="FFFFFF"/>
        </w:rPr>
        <w:t xml:space="preserve"> could serve diagnostic and therapeutic purposes in patients with </w:t>
      </w:r>
      <w:r w:rsidR="009A475C" w:rsidRPr="00E74730">
        <w:rPr>
          <w:rFonts w:ascii="Book Antiqua" w:eastAsia="Book Antiqua" w:hAnsi="Book Antiqua" w:cs="Book Antiqua"/>
        </w:rPr>
        <w:t>MS</w:t>
      </w:r>
      <w:r w:rsidR="0058386C" w:rsidRPr="00E74730">
        <w:rPr>
          <w:rFonts w:ascii="Book Antiqua" w:eastAsia="Book Antiqua" w:hAnsi="Book Antiqua" w:cs="Book Antiqua"/>
        </w:rPr>
        <w:t xml:space="preserve"> in addition to revealing</w:t>
      </w:r>
      <w:r w:rsidRPr="00E74730">
        <w:rPr>
          <w:rFonts w:ascii="Book Antiqua" w:eastAsia="Book Antiqua" w:hAnsi="Book Antiqua" w:cs="Book Antiqua"/>
          <w:shd w:val="clear" w:color="auto" w:fill="FFFFFF"/>
        </w:rPr>
        <w:t xml:space="preserve"> the relationships between the cystic duct, the gallbladder, and the common bile duct (CBD). Cholecystectomy</w:t>
      </w:r>
      <w:r w:rsidRPr="00E74730">
        <w:rPr>
          <w:rFonts w:ascii="Book Antiqua" w:eastAsia="Book Antiqua" w:hAnsi="Book Antiqua" w:cs="Book Antiqua"/>
        </w:rPr>
        <w:t xml:space="preserve"> is a challenging procedure </w:t>
      </w:r>
      <w:r w:rsidRPr="00E74730">
        <w:rPr>
          <w:rFonts w:ascii="Book Antiqua" w:eastAsia="Book Antiqua" w:hAnsi="Book Antiqua" w:cs="Book Antiqua"/>
          <w:shd w:val="clear" w:color="auto" w:fill="FFFFFF"/>
        </w:rPr>
        <w:t xml:space="preserve">for a laparoscopic surgeon </w:t>
      </w:r>
      <w:r w:rsidRPr="00E74730">
        <w:rPr>
          <w:rFonts w:ascii="Book Antiqua" w:eastAsia="Book Antiqua" w:hAnsi="Book Antiqua" w:cs="Book Antiqua"/>
        </w:rPr>
        <w:t xml:space="preserve">in patients with </w:t>
      </w:r>
      <w:r w:rsidR="009A475C" w:rsidRPr="00E74730">
        <w:rPr>
          <w:rFonts w:ascii="Book Antiqua" w:eastAsia="Book Antiqua" w:hAnsi="Book Antiqua" w:cs="Book Antiqua"/>
        </w:rPr>
        <w:t>MS</w:t>
      </w:r>
      <w:r w:rsidRPr="00E74730">
        <w:rPr>
          <w:rFonts w:ascii="Book Antiqua" w:eastAsia="Book Antiqua" w:hAnsi="Book Antiqua" w:cs="Book Antiqua"/>
        </w:rPr>
        <w:t>, and the presence of a cholecystocholedochal fistula</w:t>
      </w:r>
      <w:r w:rsidRPr="00E74730">
        <w:rPr>
          <w:rFonts w:ascii="Book Antiqua" w:eastAsia="Book Antiqua" w:hAnsi="Book Antiqua" w:cs="Book Antiqua"/>
          <w:shd w:val="clear" w:color="auto" w:fill="FFFFFF"/>
        </w:rPr>
        <w:t xml:space="preserve"> renders preoperative diagnosis important during </w:t>
      </w:r>
      <w:r w:rsidRPr="00E74730">
        <w:rPr>
          <w:rFonts w:ascii="Book Antiqua" w:eastAsia="Book Antiqua" w:hAnsi="Book Antiqua" w:cs="Book Antiqua"/>
        </w:rPr>
        <w:t>ERCP</w:t>
      </w:r>
      <w:r w:rsidRPr="00E74730">
        <w:rPr>
          <w:rFonts w:ascii="Book Antiqua" w:eastAsia="Book Antiqua" w:hAnsi="Book Antiqua" w:cs="Book Antiqua"/>
          <w:shd w:val="clear" w:color="auto" w:fill="FFFFFF"/>
        </w:rPr>
        <w:t>.</w:t>
      </w:r>
    </w:p>
    <w:p w14:paraId="3471346F" w14:textId="77777777" w:rsidR="00F64FCD" w:rsidRPr="00E74730" w:rsidRDefault="00F64FCD" w:rsidP="00E74730">
      <w:pPr>
        <w:snapToGrid w:val="0"/>
        <w:spacing w:line="360" w:lineRule="auto"/>
        <w:jc w:val="both"/>
      </w:pPr>
    </w:p>
    <w:p w14:paraId="75F54317" w14:textId="77777777" w:rsidR="00F64FCD" w:rsidRPr="00E74730" w:rsidRDefault="004E536D" w:rsidP="00E74730">
      <w:pPr>
        <w:snapToGrid w:val="0"/>
        <w:spacing w:line="360" w:lineRule="auto"/>
        <w:jc w:val="both"/>
      </w:pPr>
      <w:r w:rsidRPr="00E74730">
        <w:rPr>
          <w:rFonts w:ascii="Book Antiqua" w:eastAsia="Book Antiqua" w:hAnsi="Book Antiqua" w:cs="Book Antiqua"/>
        </w:rPr>
        <w:t>AIM</w:t>
      </w:r>
    </w:p>
    <w:p w14:paraId="5D1BAF1B" w14:textId="77777777" w:rsidR="00F64FCD" w:rsidRPr="00E74730" w:rsidRDefault="004E536D" w:rsidP="00E74730">
      <w:pPr>
        <w:snapToGrid w:val="0"/>
        <w:spacing w:line="360" w:lineRule="auto"/>
        <w:jc w:val="both"/>
      </w:pPr>
      <w:r w:rsidRPr="00E74730">
        <w:rPr>
          <w:rFonts w:ascii="Book Antiqua" w:eastAsia="Book Antiqua" w:hAnsi="Book Antiqua" w:cs="Book Antiqua"/>
        </w:rPr>
        <w:t xml:space="preserve">To evaluate cholecystocholedochal fistulas in patients with </w:t>
      </w:r>
      <w:r w:rsidR="009A475C" w:rsidRPr="00E74730">
        <w:rPr>
          <w:rFonts w:ascii="Book Antiqua" w:eastAsia="Book Antiqua" w:hAnsi="Book Antiqua" w:cs="Book Antiqua"/>
        </w:rPr>
        <w:t>MS</w:t>
      </w:r>
      <w:r w:rsidRPr="00E74730">
        <w:rPr>
          <w:rFonts w:ascii="Book Antiqua" w:eastAsia="Book Antiqua" w:hAnsi="Book Antiqua" w:cs="Book Antiqua"/>
        </w:rPr>
        <w:t xml:space="preserve"> during ERCP before cholecystectomy.</w:t>
      </w:r>
    </w:p>
    <w:p w14:paraId="0A19926D" w14:textId="77777777" w:rsidR="00F64FCD" w:rsidRPr="00E74730" w:rsidRDefault="00F64FCD" w:rsidP="00E74730">
      <w:pPr>
        <w:snapToGrid w:val="0"/>
        <w:spacing w:line="360" w:lineRule="auto"/>
        <w:jc w:val="both"/>
      </w:pPr>
    </w:p>
    <w:p w14:paraId="12131D7E" w14:textId="77777777" w:rsidR="00F64FCD" w:rsidRPr="00E74730" w:rsidRDefault="004E536D" w:rsidP="00E74730">
      <w:pPr>
        <w:snapToGrid w:val="0"/>
        <w:spacing w:line="360" w:lineRule="auto"/>
        <w:jc w:val="both"/>
      </w:pPr>
      <w:r w:rsidRPr="00E74730">
        <w:rPr>
          <w:rFonts w:ascii="Book Antiqua" w:eastAsia="Book Antiqua" w:hAnsi="Book Antiqua" w:cs="Book Antiqua"/>
        </w:rPr>
        <w:t>METHODS</w:t>
      </w:r>
    </w:p>
    <w:p w14:paraId="025F1F9A" w14:textId="77777777" w:rsidR="00F64FCD" w:rsidRPr="00E74730" w:rsidRDefault="004E536D" w:rsidP="00E74730">
      <w:pPr>
        <w:snapToGrid w:val="0"/>
        <w:spacing w:line="360" w:lineRule="auto"/>
        <w:jc w:val="both"/>
      </w:pPr>
      <w:r w:rsidRPr="00E74730">
        <w:rPr>
          <w:rFonts w:ascii="Book Antiqua" w:eastAsia="Book Antiqua" w:hAnsi="Book Antiqua" w:cs="Book Antiqua"/>
        </w:rPr>
        <w:t>From 2004 to 2018, all patients diagnosed with</w:t>
      </w:r>
      <w:r w:rsidR="009A475C" w:rsidRPr="00E74730">
        <w:rPr>
          <w:rFonts w:ascii="Book Antiqua" w:eastAsia="Book Antiqua" w:hAnsi="Book Antiqua" w:cs="Book Antiqua"/>
        </w:rPr>
        <w:t xml:space="preserve"> </w:t>
      </w:r>
      <w:r w:rsidRPr="00E74730">
        <w:rPr>
          <w:rFonts w:ascii="Book Antiqua" w:eastAsia="Book Antiqua" w:hAnsi="Book Antiqua" w:cs="Book Antiqua"/>
        </w:rPr>
        <w:t>MS</w:t>
      </w:r>
      <w:r w:rsidR="009A475C" w:rsidRPr="00E74730">
        <w:rPr>
          <w:rFonts w:ascii="Book Antiqua" w:eastAsia="Book Antiqua" w:hAnsi="Book Antiqua" w:cs="Book Antiqua"/>
        </w:rPr>
        <w:t xml:space="preserve"> </w:t>
      </w:r>
      <w:r w:rsidRPr="00E74730">
        <w:rPr>
          <w:rFonts w:ascii="Book Antiqua" w:eastAsia="Book Antiqua" w:hAnsi="Book Antiqua" w:cs="Book Antiqua"/>
        </w:rPr>
        <w:t xml:space="preserve">during ERCP were enrolled in this study. Patients with associated malignancy or those who had already undergone cholecystectomy before ERCP were excluded. In total, 117 patients with </w:t>
      </w:r>
      <w:r w:rsidR="009A475C" w:rsidRPr="00E74730">
        <w:rPr>
          <w:rFonts w:ascii="Book Antiqua" w:eastAsia="Book Antiqua" w:hAnsi="Book Antiqua" w:cs="Book Antiqua"/>
        </w:rPr>
        <w:t>MS</w:t>
      </w:r>
      <w:r w:rsidRPr="00E74730">
        <w:rPr>
          <w:rFonts w:ascii="Book Antiqua" w:eastAsia="Book Antiqua" w:hAnsi="Book Antiqua" w:cs="Book Antiqua"/>
        </w:rPr>
        <w:t xml:space="preserve"> diagnosed by ERCP were enrolled in this study. Among them, 21 patients with </w:t>
      </w:r>
      <w:r w:rsidR="009A475C" w:rsidRPr="00E74730">
        <w:rPr>
          <w:rFonts w:ascii="Book Antiqua" w:eastAsia="Book Antiqua" w:hAnsi="Book Antiqua" w:cs="Book Antiqua"/>
        </w:rPr>
        <w:t>MS</w:t>
      </w:r>
      <w:r w:rsidRPr="00E74730">
        <w:rPr>
          <w:rFonts w:ascii="Book Antiqua" w:eastAsia="Book Antiqua" w:hAnsi="Book Antiqua" w:cs="Book Antiqua"/>
        </w:rPr>
        <w:t xml:space="preserve"> had cholecystocholedochal fistulas. </w:t>
      </w:r>
      <w:r w:rsidR="009A475C" w:rsidRPr="00E74730">
        <w:rPr>
          <w:rFonts w:ascii="Book Antiqua" w:eastAsia="Book Antiqua" w:hAnsi="Book Antiqua" w:cs="Book Antiqua"/>
        </w:rPr>
        <w:t>MS</w:t>
      </w:r>
      <w:r w:rsidR="009A475C" w:rsidRPr="00E74730">
        <w:rPr>
          <w:rFonts w:ascii="Book Antiqua" w:eastAsia="Book Antiqua" w:hAnsi="Book Antiqua" w:cs="Book Antiqua"/>
          <w:shd w:val="clear" w:color="auto" w:fill="FFFFFF"/>
        </w:rPr>
        <w:t xml:space="preserve"> </w:t>
      </w:r>
      <w:r w:rsidRPr="00E74730">
        <w:rPr>
          <w:rFonts w:ascii="Book Antiqua" w:eastAsia="Book Antiqua" w:hAnsi="Book Antiqua" w:cs="Book Antiqua"/>
          <w:shd w:val="clear" w:color="auto" w:fill="FFFFFF"/>
        </w:rPr>
        <w:t xml:space="preserve">was further confirmed during cholecystectomy to check </w:t>
      </w:r>
      <w:r w:rsidRPr="00E74730">
        <w:rPr>
          <w:rFonts w:ascii="Book Antiqua" w:eastAsia="Book Antiqua" w:hAnsi="Book Antiqua" w:cs="Book Antiqua"/>
        </w:rPr>
        <w:t>if cholecystocholedochal fistulas were present. The clinical data, cholangiography, and endoscopic findings during ERCP were recorded</w:t>
      </w:r>
      <w:r w:rsidRPr="00E74730">
        <w:rPr>
          <w:rFonts w:ascii="Book Antiqua" w:eastAsia="Book Antiqua" w:hAnsi="Book Antiqua" w:cs="Book Antiqua"/>
          <w:shd w:val="clear" w:color="auto" w:fill="FFFFFF"/>
        </w:rPr>
        <w:t xml:space="preserve"> and analyzed. </w:t>
      </w:r>
    </w:p>
    <w:p w14:paraId="164C0C99" w14:textId="77777777" w:rsidR="00F64FCD" w:rsidRPr="00E74730" w:rsidRDefault="00F64FCD" w:rsidP="00E74730">
      <w:pPr>
        <w:snapToGrid w:val="0"/>
        <w:spacing w:line="360" w:lineRule="auto"/>
        <w:jc w:val="both"/>
      </w:pPr>
    </w:p>
    <w:p w14:paraId="7E8BFF28" w14:textId="77777777" w:rsidR="00F64FCD" w:rsidRPr="00E74730" w:rsidRDefault="004E536D" w:rsidP="00E74730">
      <w:pPr>
        <w:snapToGrid w:val="0"/>
        <w:spacing w:line="360" w:lineRule="auto"/>
        <w:jc w:val="both"/>
      </w:pPr>
      <w:r w:rsidRPr="00E74730">
        <w:rPr>
          <w:rFonts w:ascii="Book Antiqua" w:eastAsia="Book Antiqua" w:hAnsi="Book Antiqua" w:cs="Book Antiqua"/>
        </w:rPr>
        <w:t>RESULTS</w:t>
      </w:r>
    </w:p>
    <w:p w14:paraId="5BC88D80" w14:textId="6E0362E2" w:rsidR="00F64FCD" w:rsidRPr="00E74730" w:rsidRDefault="004E536D" w:rsidP="00E74730">
      <w:pPr>
        <w:snapToGrid w:val="0"/>
        <w:spacing w:line="360" w:lineRule="auto"/>
        <w:jc w:val="both"/>
      </w:pPr>
      <w:r w:rsidRPr="00E74730">
        <w:rPr>
          <w:rFonts w:ascii="Book Antiqua" w:eastAsia="Book Antiqua" w:hAnsi="Book Antiqua" w:cs="Book Antiqua"/>
        </w:rPr>
        <w:t xml:space="preserve">Gallbladder opacification on cholangiography is more frequent in patients with </w:t>
      </w:r>
      <w:r w:rsidR="009A475C" w:rsidRPr="00E74730">
        <w:rPr>
          <w:rFonts w:ascii="Book Antiqua" w:eastAsia="Book Antiqua" w:hAnsi="Book Antiqua" w:cs="Book Antiqua"/>
        </w:rPr>
        <w:t>MS</w:t>
      </w:r>
      <w:r w:rsidRPr="00E74730">
        <w:rPr>
          <w:rFonts w:ascii="Book Antiqua" w:eastAsia="Book Antiqua" w:hAnsi="Book Antiqua" w:cs="Book Antiqua"/>
        </w:rPr>
        <w:t xml:space="preserve"> complicated by cholecystocholedochal fistulas (</w:t>
      </w:r>
      <w:r w:rsidRPr="00E74730">
        <w:rPr>
          <w:rFonts w:ascii="Book Antiqua" w:eastAsia="Book Antiqua" w:hAnsi="Book Antiqua" w:cs="Book Antiqua"/>
          <w:i/>
          <w:iCs/>
        </w:rPr>
        <w:t>P</w:t>
      </w:r>
      <w:r w:rsidRPr="00E74730">
        <w:rPr>
          <w:rFonts w:ascii="Book Antiqua" w:eastAsia="Book Antiqua" w:hAnsi="Book Antiqua" w:cs="Book Antiqua"/>
        </w:rPr>
        <w:t xml:space="preserve"> &lt; 0.001). Pus in the </w:t>
      </w:r>
      <w:r w:rsidRPr="00E74730">
        <w:rPr>
          <w:rFonts w:ascii="Book Antiqua" w:eastAsia="Book Antiqua" w:hAnsi="Book Antiqua" w:cs="Book Antiqua"/>
          <w:shd w:val="clear" w:color="auto" w:fill="FFFFFF"/>
        </w:rPr>
        <w:t>CBD</w:t>
      </w:r>
      <w:r w:rsidRPr="00E74730">
        <w:rPr>
          <w:rFonts w:ascii="Book Antiqua" w:eastAsia="Book Antiqua" w:hAnsi="Book Antiqua" w:cs="Book Antiqua"/>
        </w:rPr>
        <w:t xml:space="preserve"> and stricture length of the CBD longer than 2 cm were two additional independent </w:t>
      </w:r>
      <w:r w:rsidRPr="00E74730">
        <w:rPr>
          <w:rFonts w:ascii="Book Antiqua" w:eastAsia="Book Antiqua" w:hAnsi="Book Antiqua" w:cs="Book Antiqua"/>
          <w:shd w:val="clear" w:color="auto" w:fill="FFFFFF"/>
        </w:rPr>
        <w:t xml:space="preserve">factors associated with </w:t>
      </w:r>
      <w:r w:rsidR="009A475C" w:rsidRPr="00E74730">
        <w:rPr>
          <w:rFonts w:ascii="Book Antiqua" w:eastAsia="Book Antiqua" w:hAnsi="Book Antiqua" w:cs="Book Antiqua"/>
        </w:rPr>
        <w:t>MS</w:t>
      </w:r>
      <w:r w:rsidRPr="00E74730">
        <w:rPr>
          <w:rFonts w:ascii="Book Antiqua" w:eastAsia="Book Antiqua" w:hAnsi="Book Antiqua" w:cs="Book Antiqua"/>
          <w:shd w:val="clear" w:color="auto" w:fill="FFFFFF"/>
        </w:rPr>
        <w:t>, as demonstrated by multivariate analysis (</w:t>
      </w:r>
      <w:r w:rsidRPr="00E74730">
        <w:rPr>
          <w:rFonts w:ascii="Book Antiqua" w:eastAsia="Book Antiqua" w:hAnsi="Book Antiqua" w:cs="Book Antiqua"/>
        </w:rPr>
        <w:t xml:space="preserve">odds ratio 5.82, </w:t>
      </w:r>
      <w:r w:rsidRPr="00E74730">
        <w:rPr>
          <w:rFonts w:ascii="Book Antiqua" w:eastAsia="Book Antiqua" w:hAnsi="Book Antiqua" w:cs="Book Antiqua"/>
          <w:i/>
          <w:iCs/>
        </w:rPr>
        <w:t xml:space="preserve">P </w:t>
      </w:r>
      <w:r w:rsidRPr="00E74730">
        <w:rPr>
          <w:rFonts w:ascii="Book Antiqua" w:eastAsia="Book Antiqua" w:hAnsi="Book Antiqua" w:cs="Book Antiqua"/>
        </w:rPr>
        <w:t xml:space="preserve">= 0.002; 0.12, </w:t>
      </w:r>
      <w:r w:rsidRPr="00E74730">
        <w:rPr>
          <w:rFonts w:ascii="Book Antiqua" w:eastAsia="Book Antiqua" w:hAnsi="Book Antiqua" w:cs="Book Antiqua"/>
          <w:i/>
          <w:iCs/>
        </w:rPr>
        <w:t xml:space="preserve">P </w:t>
      </w:r>
      <w:r w:rsidRPr="00E74730">
        <w:rPr>
          <w:rFonts w:ascii="Book Antiqua" w:eastAsia="Book Antiqua" w:hAnsi="Book Antiqua" w:cs="Book Antiqua"/>
        </w:rPr>
        <w:t>= 0.008, respectively).</w:t>
      </w:r>
    </w:p>
    <w:p w14:paraId="37E95DF6" w14:textId="77777777" w:rsidR="00F64FCD" w:rsidRPr="00E74730" w:rsidRDefault="00F64FCD" w:rsidP="00E74730">
      <w:pPr>
        <w:snapToGrid w:val="0"/>
        <w:spacing w:line="360" w:lineRule="auto"/>
        <w:jc w:val="both"/>
      </w:pPr>
    </w:p>
    <w:p w14:paraId="0EC686E1" w14:textId="77777777" w:rsidR="00F64FCD" w:rsidRPr="00E74730" w:rsidRDefault="004E536D" w:rsidP="00E74730">
      <w:pPr>
        <w:snapToGrid w:val="0"/>
        <w:spacing w:line="360" w:lineRule="auto"/>
        <w:jc w:val="both"/>
      </w:pPr>
      <w:r w:rsidRPr="00E74730">
        <w:rPr>
          <w:rFonts w:ascii="Book Antiqua" w:eastAsia="Book Antiqua" w:hAnsi="Book Antiqua" w:cs="Book Antiqua"/>
        </w:rPr>
        <w:t>CONCLUSION</w:t>
      </w:r>
    </w:p>
    <w:p w14:paraId="7131176A" w14:textId="12F56D71" w:rsidR="00F64FCD" w:rsidRPr="00E74730" w:rsidRDefault="004E536D" w:rsidP="00E74730">
      <w:pPr>
        <w:snapToGrid w:val="0"/>
        <w:spacing w:line="360" w:lineRule="auto"/>
        <w:jc w:val="both"/>
      </w:pPr>
      <w:r w:rsidRPr="00E74730">
        <w:rPr>
          <w:rFonts w:ascii="Book Antiqua" w:eastAsia="Book Antiqua" w:hAnsi="Book Antiqua" w:cs="Book Antiqua"/>
        </w:rPr>
        <w:t xml:space="preserve">Gall bladder opacification is commonly seen in patients with </w:t>
      </w:r>
      <w:r w:rsidR="00984333" w:rsidRPr="00E74730">
        <w:rPr>
          <w:rFonts w:ascii="Book Antiqua" w:eastAsia="Book Antiqua" w:hAnsi="Book Antiqua" w:cs="Book Antiqua"/>
        </w:rPr>
        <w:t>MS</w:t>
      </w:r>
      <w:r w:rsidRPr="00E74730">
        <w:rPr>
          <w:rFonts w:ascii="Book Antiqua" w:eastAsia="Book Antiqua" w:hAnsi="Book Antiqua" w:cs="Book Antiqua"/>
        </w:rPr>
        <w:t xml:space="preserve"> with cholecystocholedochal fistulas during pre-operative ERCP. Additional findings such</w:t>
      </w:r>
      <w:r w:rsidRPr="00E74730">
        <w:rPr>
          <w:rFonts w:ascii="Book Antiqua" w:eastAsia="Book Antiqua" w:hAnsi="Book Antiqua" w:cs="Book Antiqua"/>
          <w:b/>
          <w:bCs/>
        </w:rPr>
        <w:t xml:space="preserve"> </w:t>
      </w:r>
      <w:r w:rsidRPr="00E74730">
        <w:rPr>
          <w:rFonts w:ascii="Book Antiqua" w:eastAsia="Book Antiqua" w:hAnsi="Book Antiqua" w:cs="Book Antiqua"/>
        </w:rPr>
        <w:t xml:space="preserve">as pus in the </w:t>
      </w:r>
      <w:r w:rsidRPr="00E74730">
        <w:rPr>
          <w:rFonts w:ascii="Book Antiqua" w:eastAsia="Book Antiqua" w:hAnsi="Book Antiqua" w:cs="Book Antiqua"/>
          <w:shd w:val="clear" w:color="auto" w:fill="FFFFFF"/>
        </w:rPr>
        <w:t>CBD</w:t>
      </w:r>
      <w:r w:rsidRPr="00E74730">
        <w:rPr>
          <w:rFonts w:ascii="Book Antiqua" w:eastAsia="Book Antiqua" w:hAnsi="Book Antiqua" w:cs="Book Antiqua"/>
        </w:rPr>
        <w:t xml:space="preserve"> and </w:t>
      </w:r>
      <w:r w:rsidRPr="00E74730">
        <w:rPr>
          <w:rFonts w:ascii="Book Antiqua" w:eastAsia="Book Antiqua" w:hAnsi="Book Antiqua" w:cs="Book Antiqua"/>
          <w:shd w:val="clear" w:color="auto" w:fill="FFFFFF"/>
        </w:rPr>
        <w:t>stricture length of the CBD longer than 2 cm</w:t>
      </w:r>
      <w:r w:rsidRPr="00E74730">
        <w:rPr>
          <w:rFonts w:ascii="Book Antiqua" w:eastAsia="Book Antiqua" w:hAnsi="Book Antiqua" w:cs="Book Antiqua"/>
        </w:rPr>
        <w:t xml:space="preserve"> may aid the diagnosis of </w:t>
      </w:r>
      <w:r w:rsidR="00984333" w:rsidRPr="00E74730">
        <w:rPr>
          <w:rFonts w:ascii="Book Antiqua" w:eastAsia="Book Antiqua" w:hAnsi="Book Antiqua" w:cs="Book Antiqua"/>
        </w:rPr>
        <w:t>MS</w:t>
      </w:r>
      <w:r w:rsidRPr="00E74730">
        <w:rPr>
          <w:rFonts w:ascii="Book Antiqua" w:eastAsia="Book Antiqua" w:hAnsi="Book Antiqua" w:cs="Book Antiqua"/>
        </w:rPr>
        <w:t xml:space="preserve"> with cholecystocholedochal</w:t>
      </w:r>
      <w:r w:rsidRPr="00E74730">
        <w:rPr>
          <w:rFonts w:ascii="Book Antiqua" w:eastAsia="Book Antiqua" w:hAnsi="Book Antiqua" w:cs="Book Antiqua"/>
          <w:shd w:val="clear" w:color="auto" w:fill="FFFFFF"/>
        </w:rPr>
        <w:t xml:space="preserve"> fistulas.</w:t>
      </w:r>
    </w:p>
    <w:p w14:paraId="035C27C3" w14:textId="77777777" w:rsidR="00F64FCD" w:rsidRPr="00E74730" w:rsidRDefault="00F64FCD" w:rsidP="00E74730">
      <w:pPr>
        <w:snapToGrid w:val="0"/>
        <w:spacing w:line="360" w:lineRule="auto"/>
        <w:jc w:val="both"/>
      </w:pPr>
    </w:p>
    <w:p w14:paraId="016E06D6" w14:textId="77777777"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Key </w:t>
      </w:r>
      <w:r w:rsidRPr="00E74730">
        <w:rPr>
          <w:rFonts w:ascii="Book Antiqua" w:eastAsia="Book Antiqua" w:hAnsi="Book Antiqua" w:cs="Book Antiqua"/>
          <w:b/>
          <w:bCs/>
          <w:caps/>
        </w:rPr>
        <w:t>w</w:t>
      </w:r>
      <w:r w:rsidRPr="00E74730">
        <w:rPr>
          <w:rFonts w:ascii="Book Antiqua" w:eastAsia="Book Antiqua" w:hAnsi="Book Antiqua" w:cs="Book Antiqua"/>
          <w:b/>
          <w:bCs/>
        </w:rPr>
        <w:t xml:space="preserve">ords: </w:t>
      </w:r>
      <w:r w:rsidRPr="00E74730">
        <w:rPr>
          <w:rFonts w:ascii="Book Antiqua" w:eastAsia="Book Antiqua" w:hAnsi="Book Antiqua" w:cs="Book Antiqua"/>
        </w:rPr>
        <w:t>Cholecystectomy; Cholecystocholedochal</w:t>
      </w:r>
      <w:r w:rsidRPr="00E74730">
        <w:rPr>
          <w:rFonts w:ascii="Book Antiqua" w:eastAsia="Book Antiqua" w:hAnsi="Book Antiqua" w:cs="Book Antiqua"/>
          <w:shd w:val="clear" w:color="auto" w:fill="FFFFFF"/>
        </w:rPr>
        <w:t xml:space="preserve"> fistula</w:t>
      </w:r>
      <w:r w:rsidRPr="00E74730">
        <w:rPr>
          <w:rFonts w:ascii="Book Antiqua" w:eastAsia="Book Antiqua" w:hAnsi="Book Antiqua" w:cs="Book Antiqua"/>
        </w:rPr>
        <w:t>; Common bile duct; Endoscopic retrograde cholangiopancreatography; Mirizzi syndrome</w:t>
      </w:r>
    </w:p>
    <w:p w14:paraId="7508EC8C" w14:textId="77777777" w:rsidR="00F64FCD" w:rsidRPr="00E74730" w:rsidRDefault="00F64FCD" w:rsidP="00E74730">
      <w:pPr>
        <w:snapToGrid w:val="0"/>
        <w:spacing w:line="360" w:lineRule="auto"/>
        <w:jc w:val="both"/>
      </w:pPr>
    </w:p>
    <w:p w14:paraId="7F22FC91" w14:textId="50562C56" w:rsidR="00010578" w:rsidRDefault="00046CB4" w:rsidP="00E74730">
      <w:pPr>
        <w:snapToGrid w:val="0"/>
        <w:spacing w:line="360" w:lineRule="auto"/>
        <w:jc w:val="both"/>
        <w:rPr>
          <w:rFonts w:ascii="Book Antiqua" w:eastAsiaTheme="minorEastAsia" w:hAnsi="Book Antiqua" w:cs="Book Antiqua" w:hint="eastAsia"/>
          <w:color w:val="000000"/>
          <w:lang w:eastAsia="zh-CN"/>
        </w:rPr>
      </w:pPr>
      <w:r w:rsidRPr="00046CB4">
        <w:rPr>
          <w:rFonts w:ascii="Book Antiqua" w:eastAsiaTheme="minorEastAsia" w:hAnsi="Book Antiqua" w:cs="Book Antiqua" w:hint="eastAsia"/>
          <w:b/>
          <w:lang w:eastAsia="zh-CN"/>
        </w:rPr>
        <w:t xml:space="preserve">Citation: </w:t>
      </w:r>
      <w:r w:rsidR="004E536D" w:rsidRPr="00E74730">
        <w:rPr>
          <w:rFonts w:ascii="Book Antiqua" w:eastAsia="Book Antiqua" w:hAnsi="Book Antiqua" w:cs="Book Antiqua"/>
        </w:rPr>
        <w:t xml:space="preserve">Wu CH, Liu NJ, Yeh CN, Wang SY, Jan YY. Predicting cholecystocholedochal fistulas in patients with Mirizzi syndrome undergoing endoscopic retrograde cholangiopancreatography. </w:t>
      </w:r>
      <w:r w:rsidR="004E536D" w:rsidRPr="00E74730">
        <w:rPr>
          <w:rFonts w:ascii="Book Antiqua" w:eastAsia="Book Antiqua" w:hAnsi="Book Antiqua" w:cs="Book Antiqua"/>
          <w:i/>
          <w:iCs/>
        </w:rPr>
        <w:t>World J Gastroenterol</w:t>
      </w:r>
      <w:r w:rsidR="004E536D" w:rsidRPr="00E74730">
        <w:rPr>
          <w:rFonts w:ascii="Book Antiqua" w:eastAsia="Book Antiqua" w:hAnsi="Book Antiqua" w:cs="Book Antiqua"/>
        </w:rPr>
        <w:t xml:space="preserve"> </w:t>
      </w:r>
      <w:r w:rsidR="00FE7E24" w:rsidRPr="00E42B4F">
        <w:rPr>
          <w:rFonts w:ascii="Book Antiqua" w:eastAsia="Book Antiqua" w:hAnsi="Book Antiqua" w:cs="Book Antiqua"/>
          <w:color w:val="000000"/>
        </w:rPr>
        <w:t>2020; 26(</w:t>
      </w:r>
      <w:r w:rsidR="00FE7E24">
        <w:rPr>
          <w:rFonts w:ascii="Book Antiqua" w:hAnsi="Book Antiqua" w:cs="Book Antiqua" w:hint="eastAsia"/>
          <w:color w:val="000000"/>
          <w:lang w:eastAsia="zh-CN"/>
        </w:rPr>
        <w:t>40</w:t>
      </w:r>
      <w:r w:rsidR="00FE7E24" w:rsidRPr="00E42B4F">
        <w:rPr>
          <w:rFonts w:ascii="Book Antiqua" w:eastAsia="Book Antiqua" w:hAnsi="Book Antiqua" w:cs="Book Antiqua"/>
          <w:color w:val="000000"/>
        </w:rPr>
        <w:t xml:space="preserve">): </w:t>
      </w:r>
      <w:r w:rsidR="00256F17" w:rsidRPr="00256F17">
        <w:rPr>
          <w:rFonts w:ascii="Book Antiqua" w:hAnsi="Book Antiqua" w:cs="Book Antiqua"/>
          <w:color w:val="000000"/>
          <w:lang w:eastAsia="zh-CN"/>
        </w:rPr>
        <w:t>6241-6249</w:t>
      </w:r>
      <w:r w:rsidR="00FE7E24">
        <w:rPr>
          <w:rFonts w:ascii="Book Antiqua" w:hAnsi="Book Antiqua" w:cs="Book Antiqua" w:hint="eastAsia"/>
          <w:color w:val="000000"/>
          <w:lang w:eastAsia="zh-CN"/>
        </w:rPr>
        <w:t xml:space="preserve">  </w:t>
      </w:r>
    </w:p>
    <w:p w14:paraId="47E6632E" w14:textId="77777777" w:rsidR="00010578" w:rsidRDefault="00FE7E24" w:rsidP="00E74730">
      <w:pPr>
        <w:snapToGrid w:val="0"/>
        <w:spacing w:line="360" w:lineRule="auto"/>
        <w:jc w:val="both"/>
        <w:rPr>
          <w:rFonts w:ascii="Book Antiqua" w:eastAsiaTheme="minorEastAsia" w:hAnsi="Book Antiqua" w:cs="Book Antiqua" w:hint="eastAsia"/>
          <w:color w:val="000000"/>
          <w:lang w:eastAsia="zh-CN"/>
        </w:rPr>
      </w:pPr>
      <w:r w:rsidRPr="00046CB4">
        <w:rPr>
          <w:rFonts w:ascii="Book Antiqua" w:eastAsia="Book Antiqua" w:hAnsi="Book Antiqua" w:cs="Book Antiqua"/>
          <w:b/>
          <w:color w:val="000000"/>
        </w:rPr>
        <w:t xml:space="preserve">URL: </w:t>
      </w:r>
      <w:r w:rsidRPr="00E42B4F">
        <w:rPr>
          <w:rFonts w:ascii="Book Antiqua" w:eastAsia="Book Antiqua" w:hAnsi="Book Antiqua" w:cs="Book Antiqua"/>
          <w:color w:val="000000"/>
        </w:rPr>
        <w:t>https://www.wjgnet.com/1007-9327/full/v26/i</w:t>
      </w:r>
      <w:r w:rsidR="00D94254">
        <w:rPr>
          <w:rFonts w:ascii="Book Antiqua" w:eastAsiaTheme="minorEastAsia" w:hAnsi="Book Antiqua" w:cs="Book Antiqua" w:hint="eastAsia"/>
          <w:color w:val="000000"/>
          <w:lang w:eastAsia="zh-CN"/>
        </w:rPr>
        <w:t>40</w:t>
      </w:r>
      <w:r w:rsidRPr="00E42B4F">
        <w:rPr>
          <w:rFonts w:ascii="Book Antiqua" w:eastAsia="Book Antiqua" w:hAnsi="Book Antiqua" w:cs="Book Antiqua"/>
          <w:color w:val="000000"/>
        </w:rPr>
        <w:t>/</w:t>
      </w:r>
      <w:r w:rsidR="002A0A39">
        <w:rPr>
          <w:rFonts w:ascii="Book Antiqua" w:eastAsiaTheme="minorEastAsia" w:hAnsi="Book Antiqua" w:cs="Book Antiqua" w:hint="eastAsia"/>
          <w:color w:val="000000"/>
          <w:lang w:eastAsia="zh-CN"/>
        </w:rPr>
        <w:t>6241</w:t>
      </w:r>
      <w:r w:rsidRPr="00E42B4F">
        <w:rPr>
          <w:rFonts w:ascii="Book Antiqua" w:eastAsia="Book Antiqua" w:hAnsi="Book Antiqua" w:cs="Book Antiqua"/>
          <w:color w:val="000000"/>
        </w:rPr>
        <w:t>.htm</w:t>
      </w:r>
      <w:r>
        <w:rPr>
          <w:rFonts w:ascii="Book Antiqua" w:hAnsi="Book Antiqua" w:cs="Book Antiqua" w:hint="eastAsia"/>
          <w:color w:val="000000"/>
          <w:lang w:eastAsia="zh-CN"/>
        </w:rPr>
        <w:t xml:space="preserve">  </w:t>
      </w:r>
    </w:p>
    <w:p w14:paraId="7267A886" w14:textId="6C77AC8E" w:rsidR="00F64FCD" w:rsidRPr="00BF5FA8" w:rsidRDefault="00FE7E24" w:rsidP="00E74730">
      <w:pPr>
        <w:snapToGrid w:val="0"/>
        <w:spacing w:line="360" w:lineRule="auto"/>
        <w:jc w:val="both"/>
        <w:rPr>
          <w:rFonts w:eastAsiaTheme="minorEastAsia"/>
        </w:rPr>
      </w:pPr>
      <w:bookmarkStart w:id="0" w:name="_GoBack"/>
      <w:r w:rsidRPr="00046CB4">
        <w:rPr>
          <w:rFonts w:ascii="Book Antiqua" w:eastAsia="Book Antiqua" w:hAnsi="Book Antiqua" w:cs="Book Antiqua"/>
          <w:b/>
          <w:color w:val="000000"/>
        </w:rPr>
        <w:t xml:space="preserve">DOI: </w:t>
      </w:r>
      <w:bookmarkEnd w:id="0"/>
      <w:r w:rsidRPr="00E42B4F">
        <w:rPr>
          <w:rFonts w:ascii="Book Antiqua" w:eastAsia="Book Antiqua" w:hAnsi="Book Antiqua" w:cs="Book Antiqua"/>
          <w:color w:val="000000"/>
        </w:rPr>
        <w:t>https://dx.doi.org/10.3748/wjg.v26.i</w:t>
      </w:r>
      <w:r>
        <w:rPr>
          <w:rFonts w:ascii="Book Antiqua" w:hAnsi="Book Antiqua" w:cs="Book Antiqua" w:hint="eastAsia"/>
          <w:color w:val="000000"/>
          <w:lang w:eastAsia="zh-CN"/>
        </w:rPr>
        <w:t>40</w:t>
      </w:r>
      <w:r w:rsidRPr="00E42B4F">
        <w:rPr>
          <w:rFonts w:ascii="Book Antiqua" w:eastAsia="Book Antiqua" w:hAnsi="Book Antiqua" w:cs="Book Antiqua"/>
          <w:color w:val="000000"/>
        </w:rPr>
        <w:t>.</w:t>
      </w:r>
      <w:r w:rsidR="00BF5FA8">
        <w:rPr>
          <w:rFonts w:ascii="Book Antiqua" w:eastAsiaTheme="minorEastAsia" w:hAnsi="Book Antiqua" w:cs="Book Antiqua" w:hint="eastAsia"/>
          <w:color w:val="000000"/>
          <w:lang w:eastAsia="zh-CN"/>
        </w:rPr>
        <w:t>6241</w:t>
      </w:r>
    </w:p>
    <w:p w14:paraId="0DB91731" w14:textId="77777777" w:rsidR="00F64FCD" w:rsidRPr="00E74730" w:rsidRDefault="00F64FCD" w:rsidP="00E74730">
      <w:pPr>
        <w:snapToGrid w:val="0"/>
        <w:spacing w:line="360" w:lineRule="auto"/>
        <w:jc w:val="both"/>
      </w:pPr>
    </w:p>
    <w:p w14:paraId="10BB65AE" w14:textId="42D12990"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Core </w:t>
      </w:r>
      <w:r w:rsidRPr="00E74730">
        <w:rPr>
          <w:rFonts w:ascii="Book Antiqua" w:eastAsia="Book Antiqua" w:hAnsi="Book Antiqua" w:cs="Book Antiqua"/>
          <w:b/>
          <w:bCs/>
          <w:caps/>
        </w:rPr>
        <w:t>t</w:t>
      </w:r>
      <w:r w:rsidRPr="00E74730">
        <w:rPr>
          <w:rFonts w:ascii="Book Antiqua" w:eastAsia="Book Antiqua" w:hAnsi="Book Antiqua" w:cs="Book Antiqua"/>
          <w:b/>
          <w:bCs/>
        </w:rPr>
        <w:t xml:space="preserve">ip: </w:t>
      </w:r>
      <w:r w:rsidRPr="00E74730">
        <w:rPr>
          <w:rFonts w:ascii="Book Antiqua" w:eastAsia="Book Antiqua" w:hAnsi="Book Antiqua" w:cs="Book Antiqua"/>
          <w:shd w:val="clear" w:color="auto" w:fill="FFFFFF"/>
        </w:rPr>
        <w:t xml:space="preserve">The diagnosis of </w:t>
      </w:r>
      <w:r w:rsidRPr="00E74730">
        <w:rPr>
          <w:rFonts w:ascii="Book Antiqua" w:eastAsia="Book Antiqua" w:hAnsi="Book Antiqua" w:cs="Book Antiqua"/>
        </w:rPr>
        <w:t xml:space="preserve">Mirizzi syndrome </w:t>
      </w:r>
      <w:r w:rsidR="00AC393B" w:rsidRPr="00E74730">
        <w:rPr>
          <w:rFonts w:ascii="Book Antiqua" w:eastAsia="Book Antiqua" w:hAnsi="Book Antiqua" w:cs="Book Antiqua"/>
        </w:rPr>
        <w:t xml:space="preserve">(MS) </w:t>
      </w:r>
      <w:r w:rsidRPr="00E74730">
        <w:rPr>
          <w:rFonts w:ascii="Book Antiqua" w:eastAsia="Book Antiqua" w:hAnsi="Book Antiqua" w:cs="Book Antiqua"/>
        </w:rPr>
        <w:t>and the presence or absence of a cholecystocholedochal fistula is important for surgical planning before cholecystectomy. Endoscopic retrograde cholangiopancreatography</w:t>
      </w:r>
      <w:r w:rsidRPr="00E74730">
        <w:rPr>
          <w:rFonts w:ascii="Book Antiqua" w:eastAsia="Book Antiqua" w:hAnsi="Book Antiqua" w:cs="Book Antiqua"/>
          <w:shd w:val="clear" w:color="auto" w:fill="FFFFFF"/>
        </w:rPr>
        <w:t xml:space="preserve"> could serve diagnostic and therapeutic purposes in patients with </w:t>
      </w:r>
      <w:r w:rsidR="00AC393B" w:rsidRPr="00E74730">
        <w:rPr>
          <w:rFonts w:ascii="Book Antiqua" w:eastAsia="Book Antiqua" w:hAnsi="Book Antiqua" w:cs="Book Antiqua"/>
        </w:rPr>
        <w:t>MS</w:t>
      </w:r>
      <w:r w:rsidRPr="00E74730">
        <w:rPr>
          <w:rFonts w:ascii="Book Antiqua" w:eastAsia="Book Antiqua" w:hAnsi="Book Antiqua" w:cs="Book Antiqua"/>
          <w:shd w:val="clear" w:color="auto" w:fill="FFFFFF"/>
        </w:rPr>
        <w:t xml:space="preserve"> and also help detect </w:t>
      </w:r>
      <w:r w:rsidRPr="00E74730">
        <w:rPr>
          <w:rFonts w:ascii="Book Antiqua" w:eastAsia="Book Antiqua" w:hAnsi="Book Antiqua" w:cs="Book Antiqua"/>
        </w:rPr>
        <w:t>cholecystocholedochal fistulas</w:t>
      </w:r>
      <w:r w:rsidRPr="00E74730">
        <w:rPr>
          <w:rFonts w:ascii="Book Antiqua" w:eastAsia="Book Antiqua" w:hAnsi="Book Antiqua" w:cs="Book Antiqua"/>
          <w:shd w:val="clear" w:color="auto" w:fill="FFFFFF"/>
        </w:rPr>
        <w:t xml:space="preserve"> before operation. </w:t>
      </w:r>
      <w:r w:rsidRPr="00E74730">
        <w:rPr>
          <w:rFonts w:ascii="Book Antiqua" w:eastAsia="Book Antiqua" w:hAnsi="Book Antiqua" w:cs="Book Antiqua"/>
        </w:rPr>
        <w:t xml:space="preserve">Our study revealed that gall bladder opacification is more frequent in patients with cholecystocholedochal fistula. Pus in the </w:t>
      </w:r>
      <w:r w:rsidRPr="00E74730">
        <w:rPr>
          <w:rFonts w:ascii="Book Antiqua" w:eastAsia="Book Antiqua" w:hAnsi="Book Antiqua" w:cs="Book Antiqua"/>
          <w:shd w:val="clear" w:color="auto" w:fill="FFFFFF"/>
        </w:rPr>
        <w:t>common bile duct</w:t>
      </w:r>
      <w:r w:rsidRPr="00E74730">
        <w:rPr>
          <w:rFonts w:ascii="Book Antiqua" w:eastAsia="Book Antiqua" w:hAnsi="Book Antiqua" w:cs="Book Antiqua"/>
        </w:rPr>
        <w:t xml:space="preserve"> is predictive factor for the diagnosis of </w:t>
      </w:r>
      <w:r w:rsidR="00AC393B" w:rsidRPr="00E74730">
        <w:rPr>
          <w:rFonts w:ascii="Book Antiqua" w:eastAsia="Book Antiqua" w:hAnsi="Book Antiqua" w:cs="Book Antiqua"/>
        </w:rPr>
        <w:t>MS</w:t>
      </w:r>
      <w:r w:rsidRPr="00E74730">
        <w:rPr>
          <w:rFonts w:ascii="Book Antiqua" w:eastAsia="Book Antiqua" w:hAnsi="Book Antiqua" w:cs="Book Antiqua"/>
        </w:rPr>
        <w:t xml:space="preserve"> with cholecystocholedochal</w:t>
      </w:r>
      <w:r w:rsidRPr="00E74730">
        <w:rPr>
          <w:rFonts w:ascii="Book Antiqua" w:eastAsia="Book Antiqua" w:hAnsi="Book Antiqua" w:cs="Book Antiqua"/>
          <w:shd w:val="clear" w:color="auto" w:fill="FFFFFF"/>
        </w:rPr>
        <w:t xml:space="preserve"> fistulas</w:t>
      </w:r>
      <w:r w:rsidR="007A2437" w:rsidRPr="00E74730">
        <w:rPr>
          <w:rFonts w:ascii="Book Antiqua" w:eastAsia="Book Antiqua" w:hAnsi="Book Antiqua" w:cs="Book Antiqua"/>
          <w:shd w:val="clear" w:color="auto" w:fill="FFFFFF"/>
        </w:rPr>
        <w:t>,</w:t>
      </w:r>
      <w:r w:rsidRPr="00E74730">
        <w:rPr>
          <w:rFonts w:ascii="Book Antiqua" w:eastAsia="Book Antiqua" w:hAnsi="Book Antiqua" w:cs="Book Antiqua"/>
          <w:shd w:val="clear" w:color="auto" w:fill="FFFFFF"/>
        </w:rPr>
        <w:t xml:space="preserve"> </w:t>
      </w:r>
      <w:r w:rsidRPr="00E74730">
        <w:rPr>
          <w:rFonts w:ascii="Book Antiqua" w:eastAsia="Book Antiqua" w:hAnsi="Book Antiqua" w:cs="Book Antiqua"/>
        </w:rPr>
        <w:t xml:space="preserve">and </w:t>
      </w:r>
      <w:r w:rsidRPr="00E74730">
        <w:rPr>
          <w:rFonts w:ascii="Book Antiqua" w:eastAsia="Book Antiqua" w:hAnsi="Book Antiqua" w:cs="Book Antiqua"/>
          <w:shd w:val="clear" w:color="auto" w:fill="FFFFFF"/>
        </w:rPr>
        <w:t>stricture length of the common bile duct longer than 2 cm</w:t>
      </w:r>
      <w:r w:rsidRPr="00E74730">
        <w:rPr>
          <w:rFonts w:ascii="Book Antiqua" w:eastAsia="Book Antiqua" w:hAnsi="Book Antiqua" w:cs="Book Antiqua"/>
        </w:rPr>
        <w:t xml:space="preserve"> is the protective factor for cholecystocholedochal</w:t>
      </w:r>
      <w:r w:rsidRPr="00E74730">
        <w:rPr>
          <w:rFonts w:ascii="Book Antiqua" w:eastAsia="Book Antiqua" w:hAnsi="Book Antiqua" w:cs="Book Antiqua"/>
          <w:shd w:val="clear" w:color="auto" w:fill="FFFFFF"/>
        </w:rPr>
        <w:t xml:space="preserve"> fistulas in patients with </w:t>
      </w:r>
      <w:r w:rsidR="00AC393B" w:rsidRPr="00E74730">
        <w:rPr>
          <w:rFonts w:ascii="Book Antiqua" w:eastAsia="Book Antiqua" w:hAnsi="Book Antiqua" w:cs="Book Antiqua"/>
        </w:rPr>
        <w:t>MS</w:t>
      </w:r>
      <w:r w:rsidRPr="00E74730">
        <w:rPr>
          <w:rFonts w:ascii="Book Antiqua" w:eastAsia="Book Antiqua" w:hAnsi="Book Antiqua" w:cs="Book Antiqua"/>
          <w:shd w:val="clear" w:color="auto" w:fill="FFFFFF"/>
        </w:rPr>
        <w:t>.</w:t>
      </w:r>
    </w:p>
    <w:p w14:paraId="00388481" w14:textId="77777777" w:rsidR="00F64FCD" w:rsidRPr="00E74730" w:rsidRDefault="00F64FCD" w:rsidP="00E74730">
      <w:pPr>
        <w:snapToGrid w:val="0"/>
        <w:spacing w:line="360" w:lineRule="auto"/>
        <w:jc w:val="both"/>
      </w:pPr>
    </w:p>
    <w:p w14:paraId="133FF67F" w14:textId="77777777" w:rsidR="00F64FCD" w:rsidRPr="00E74730" w:rsidRDefault="00775355" w:rsidP="00E74730">
      <w:pPr>
        <w:snapToGrid w:val="0"/>
        <w:spacing w:line="360" w:lineRule="auto"/>
        <w:jc w:val="both"/>
      </w:pPr>
      <w:r w:rsidRPr="00E74730">
        <w:rPr>
          <w:rFonts w:ascii="Book Antiqua" w:eastAsia="Book Antiqua" w:hAnsi="Book Antiqua" w:cs="Book Antiqua"/>
          <w:b/>
          <w:caps/>
          <w:u w:val="single"/>
        </w:rPr>
        <w:br w:type="page"/>
      </w:r>
      <w:r w:rsidR="004E536D" w:rsidRPr="00E74730">
        <w:rPr>
          <w:rFonts w:ascii="Book Antiqua" w:eastAsia="Book Antiqua" w:hAnsi="Book Antiqua" w:cs="Book Antiqua"/>
          <w:b/>
          <w:caps/>
          <w:u w:val="single"/>
        </w:rPr>
        <w:t>INTRODUCTION</w:t>
      </w:r>
    </w:p>
    <w:p w14:paraId="17E0315E" w14:textId="77777777" w:rsidR="00F64FCD" w:rsidRPr="00E74730" w:rsidRDefault="004E536D" w:rsidP="00E74730">
      <w:pPr>
        <w:snapToGrid w:val="0"/>
        <w:spacing w:line="360" w:lineRule="auto"/>
        <w:jc w:val="both"/>
      </w:pPr>
      <w:r w:rsidRPr="00E74730">
        <w:rPr>
          <w:rFonts w:ascii="Book Antiqua" w:eastAsia="Book Antiqua" w:hAnsi="Book Antiqua" w:cs="Book Antiqua"/>
        </w:rPr>
        <w:t xml:space="preserve">Mirizzi syndrome (MS) is defined as an extrinsic compression of the extrahepatic biliary system by an impacted stone in the gallbladder or the cystic duct, leading to obstructive jaundice. </w:t>
      </w:r>
      <w:r w:rsidRPr="00E74730">
        <w:rPr>
          <w:rFonts w:ascii="Book Antiqua" w:eastAsia="Book Antiqua" w:hAnsi="Book Antiqua" w:cs="Book Antiqua"/>
          <w:shd w:val="clear" w:color="auto" w:fill="FFFFFF"/>
        </w:rPr>
        <w:t xml:space="preserve">Cholecystectomy in a </w:t>
      </w:r>
      <w:r w:rsidRPr="00E74730">
        <w:rPr>
          <w:rFonts w:ascii="Book Antiqua" w:eastAsia="Book Antiqua" w:hAnsi="Book Antiqua" w:cs="Book Antiqua"/>
        </w:rPr>
        <w:t>patient with MS and the presence of a cholecystocholedochal fistula</w:t>
      </w:r>
      <w:r w:rsidRPr="00E74730">
        <w:rPr>
          <w:rFonts w:ascii="Book Antiqua" w:eastAsia="Book Antiqua" w:hAnsi="Book Antiqua" w:cs="Book Antiqua"/>
          <w:shd w:val="clear" w:color="auto" w:fill="FFFFFF"/>
        </w:rPr>
        <w:t xml:space="preserve"> is a complex and challenging procedure for a laparoscopic surgeon, making preoperative diagnosis important during e</w:t>
      </w:r>
      <w:r w:rsidRPr="00E74730">
        <w:rPr>
          <w:rFonts w:ascii="Book Antiqua" w:eastAsia="Book Antiqua" w:hAnsi="Book Antiqua" w:cs="Book Antiqua"/>
        </w:rPr>
        <w:t>ndoscopic retrograde cholangiopancreatography (</w:t>
      </w:r>
      <w:r w:rsidRPr="00E74730">
        <w:rPr>
          <w:rFonts w:ascii="Book Antiqua" w:eastAsia="Book Antiqua" w:hAnsi="Book Antiqua" w:cs="Book Antiqua"/>
          <w:shd w:val="clear" w:color="auto" w:fill="FFFFFF"/>
        </w:rPr>
        <w:t>ERCP) examination.</w:t>
      </w:r>
    </w:p>
    <w:p w14:paraId="0ED2B315" w14:textId="00B577B0" w:rsidR="00F64FCD" w:rsidRPr="00E74730" w:rsidRDefault="004E536D" w:rsidP="00E74730">
      <w:pPr>
        <w:snapToGrid w:val="0"/>
        <w:spacing w:line="360" w:lineRule="auto"/>
        <w:ind w:firstLine="340"/>
        <w:jc w:val="both"/>
      </w:pPr>
      <w:r w:rsidRPr="00E74730">
        <w:rPr>
          <w:rFonts w:ascii="Book Antiqua" w:eastAsia="Book Antiqua" w:hAnsi="Book Antiqua" w:cs="Book Antiqua"/>
        </w:rPr>
        <w:t>Pablo Mirizzi first described MS in 1948</w:t>
      </w:r>
      <w:r w:rsidRPr="00E74730">
        <w:rPr>
          <w:rFonts w:ascii="Book Antiqua" w:eastAsia="Book Antiqua" w:hAnsi="Book Antiqua" w:cs="Book Antiqua"/>
          <w:vertAlign w:val="superscript"/>
        </w:rPr>
        <w:t>[1]</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 xml:space="preserve">McSherry </w:t>
      </w:r>
      <w:r w:rsidRPr="00E74730">
        <w:rPr>
          <w:rFonts w:ascii="Book Antiqua" w:eastAsia="Book Antiqua" w:hAnsi="Book Antiqua" w:cs="Book Antiqua"/>
          <w:i/>
          <w:iCs/>
        </w:rPr>
        <w:t>et al</w:t>
      </w:r>
      <w:r w:rsidRPr="00E74730">
        <w:rPr>
          <w:rFonts w:ascii="Book Antiqua" w:eastAsia="Book Antiqua" w:hAnsi="Book Antiqua" w:cs="Book Antiqua"/>
          <w:vertAlign w:val="superscript"/>
        </w:rPr>
        <w:t>[2]</w:t>
      </w:r>
      <w:r w:rsidRPr="00E74730">
        <w:rPr>
          <w:rFonts w:ascii="Book Antiqua" w:eastAsia="Book Antiqua" w:hAnsi="Book Antiqua" w:cs="Book Antiqua"/>
        </w:rPr>
        <w:t xml:space="preserve"> classified this syndrome into two distinct types: </w:t>
      </w:r>
      <w:r w:rsidR="007A2437" w:rsidRPr="00E74730">
        <w:rPr>
          <w:rFonts w:ascii="Book Antiqua" w:eastAsia="Book Antiqua" w:hAnsi="Book Antiqua" w:cs="Book Antiqua"/>
        </w:rPr>
        <w:t>E</w:t>
      </w:r>
      <w:r w:rsidRPr="00E74730">
        <w:rPr>
          <w:rFonts w:ascii="Book Antiqua" w:eastAsia="Book Antiqua" w:hAnsi="Book Antiqua" w:cs="Book Antiqua"/>
        </w:rPr>
        <w:t>xtrinsic compression of the common hepatic duct by the gallbladder and erosion of the gallstone from the gallbladder or the cystic duct into the common hepatic duct resulting in a cholecystocholedochal fistula.</w:t>
      </w:r>
      <w:r w:rsidR="00E410AA" w:rsidRPr="00E74730">
        <w:rPr>
          <w:rFonts w:ascii="Book Antiqua" w:eastAsia="Book Antiqua" w:hAnsi="Book Antiqua" w:cs="Book Antiqua"/>
        </w:rPr>
        <w:t xml:space="preserve"> </w:t>
      </w:r>
      <w:r w:rsidRPr="00E74730">
        <w:rPr>
          <w:rFonts w:ascii="Book Antiqua" w:eastAsia="Book Antiqua" w:hAnsi="Book Antiqua" w:cs="Book Antiqua"/>
        </w:rPr>
        <w:t xml:space="preserve">In 1989, Csendes </w:t>
      </w:r>
      <w:r w:rsidRPr="00E74730">
        <w:rPr>
          <w:rFonts w:ascii="Book Antiqua" w:eastAsia="Book Antiqua" w:hAnsi="Book Antiqua" w:cs="Book Antiqua"/>
          <w:i/>
          <w:iCs/>
        </w:rPr>
        <w:t>et al</w:t>
      </w:r>
      <w:r w:rsidRPr="00E74730">
        <w:rPr>
          <w:rFonts w:ascii="Book Antiqua" w:eastAsia="Book Antiqua" w:hAnsi="Book Antiqua" w:cs="Book Antiqua"/>
          <w:vertAlign w:val="superscript"/>
        </w:rPr>
        <w:t>[3]</w:t>
      </w:r>
      <w:r w:rsidRPr="00E74730">
        <w:rPr>
          <w:rFonts w:ascii="Book Antiqua" w:eastAsia="Book Antiqua" w:hAnsi="Book Antiqua" w:cs="Book Antiqua"/>
        </w:rPr>
        <w:t xml:space="preserve"> further proposed a new classification of patients with MS </w:t>
      </w:r>
      <w:r w:rsidR="007A2437" w:rsidRPr="00E74730">
        <w:rPr>
          <w:rFonts w:ascii="Book Antiqua" w:eastAsia="Book Antiqua" w:hAnsi="Book Antiqua" w:cs="Book Antiqua"/>
        </w:rPr>
        <w:t xml:space="preserve">that </w:t>
      </w:r>
      <w:r w:rsidRPr="00E74730">
        <w:rPr>
          <w:rFonts w:ascii="Book Antiqua" w:eastAsia="Book Antiqua" w:hAnsi="Book Antiqua" w:cs="Book Antiqua"/>
        </w:rPr>
        <w:t xml:space="preserve">also divided patients into two categories: </w:t>
      </w:r>
      <w:r w:rsidR="007A2437" w:rsidRPr="00E74730">
        <w:rPr>
          <w:rFonts w:ascii="Book Antiqua" w:eastAsia="Book Antiqua" w:hAnsi="Book Antiqua" w:cs="Book Antiqua"/>
        </w:rPr>
        <w:t>E</w:t>
      </w:r>
      <w:r w:rsidRPr="00E74730">
        <w:rPr>
          <w:rFonts w:ascii="Book Antiqua" w:eastAsia="Book Antiqua" w:hAnsi="Book Antiqua" w:cs="Book Antiqua"/>
        </w:rPr>
        <w:t xml:space="preserve">xternal compression (Type 1) </w:t>
      </w:r>
      <w:r w:rsidR="007A2437" w:rsidRPr="00E74730">
        <w:rPr>
          <w:rFonts w:ascii="Book Antiqua" w:eastAsia="Book Antiqua" w:hAnsi="Book Antiqua" w:cs="Book Antiqua"/>
        </w:rPr>
        <w:t xml:space="preserve">and </w:t>
      </w:r>
      <w:r w:rsidRPr="00E74730">
        <w:rPr>
          <w:rFonts w:ascii="Book Antiqua" w:eastAsia="Book Antiqua" w:hAnsi="Book Antiqua" w:cs="Book Antiqua"/>
        </w:rPr>
        <w:t>fistulas from the gallbladder to the common bile or hepatic duct (Types 2</w:t>
      </w:r>
      <w:r w:rsidR="00655A8C" w:rsidRPr="00E74730">
        <w:rPr>
          <w:rFonts w:ascii="Book Antiqua" w:eastAsia="Book Antiqua" w:hAnsi="Book Antiqua" w:cs="Book Antiqua"/>
        </w:rPr>
        <w:t>-</w:t>
      </w:r>
      <w:r w:rsidRPr="00E74730">
        <w:rPr>
          <w:rFonts w:ascii="Book Antiqua" w:eastAsia="Book Antiqua" w:hAnsi="Book Antiqua" w:cs="Book Antiqua"/>
        </w:rPr>
        <w:t>4).</w:t>
      </w:r>
      <w:r w:rsidR="00E410AA" w:rsidRPr="00E74730">
        <w:rPr>
          <w:rFonts w:ascii="Book Antiqua" w:eastAsia="Book Antiqua" w:hAnsi="Book Antiqua" w:cs="Book Antiqua"/>
        </w:rPr>
        <w:t xml:space="preserve"> </w:t>
      </w:r>
      <w:r w:rsidRPr="00E74730">
        <w:rPr>
          <w:rFonts w:ascii="Book Antiqua" w:eastAsia="Book Antiqua" w:hAnsi="Book Antiqua" w:cs="Book Antiqua"/>
        </w:rPr>
        <w:t>Laparoscopic surgery can be used to treat MS of the extrinsic compression type</w:t>
      </w:r>
      <w:r w:rsidRPr="00E74730">
        <w:rPr>
          <w:rFonts w:ascii="Book Antiqua" w:eastAsia="Book Antiqua" w:hAnsi="Book Antiqua" w:cs="Book Antiqua"/>
          <w:vertAlign w:val="superscript"/>
        </w:rPr>
        <w:t>[4]</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However, operating on</w:t>
      </w:r>
      <w:r w:rsidR="00E410AA" w:rsidRPr="00E74730">
        <w:rPr>
          <w:rFonts w:ascii="Book Antiqua" w:eastAsia="Book Antiqua" w:hAnsi="Book Antiqua" w:cs="Book Antiqua"/>
        </w:rPr>
        <w:t xml:space="preserve"> </w:t>
      </w:r>
      <w:r w:rsidRPr="00E74730">
        <w:rPr>
          <w:rFonts w:ascii="Book Antiqua" w:eastAsia="Book Antiqua" w:hAnsi="Book Antiqua" w:cs="Book Antiqua"/>
        </w:rPr>
        <w:t>patients with MS with cholecystocholedochal fistulas is still a challenge</w:t>
      </w:r>
      <w:r w:rsidRPr="00E74730">
        <w:rPr>
          <w:rFonts w:ascii="Book Antiqua" w:eastAsia="Book Antiqua" w:hAnsi="Book Antiqua" w:cs="Book Antiqua"/>
          <w:vertAlign w:val="superscript"/>
        </w:rPr>
        <w:t>[5-8]</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In such situations, the preoperative diagnosis of the cholecystocholedochal fistula is crucial. In previous studies, cholecystocholedochal fistulas were detected by intraoperative cholangiography during cholecystectomy. Recently, ERCP has not only played a therapeutic-operative role but has also provided diagnostic perspectives before operation. The incidence of MS is estimated to be 1.07% in patients who underwent ERCP</w:t>
      </w:r>
      <w:r w:rsidRPr="00E74730">
        <w:rPr>
          <w:rFonts w:ascii="Book Antiqua" w:eastAsia="Book Antiqua" w:hAnsi="Book Antiqua" w:cs="Book Antiqua"/>
          <w:vertAlign w:val="superscript"/>
        </w:rPr>
        <w:t>[9]</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 xml:space="preserve">A typical cholangiography of MS consists of dilated intrahepatic ducts and pronounced narrowing of the common hepatic duct due to compression near the cystic duct or the gallbladder. ERCP may be useful in patients with MS in the retrieval of the common bile duct (CBD) stones after a sphincterotomy and placement of stents in the bile duct for drainage. This study is a retrospective analysis </w:t>
      </w:r>
      <w:r w:rsidR="007A2437" w:rsidRPr="00E74730">
        <w:rPr>
          <w:rFonts w:ascii="Book Antiqua" w:eastAsia="Book Antiqua" w:hAnsi="Book Antiqua" w:cs="Book Antiqua"/>
        </w:rPr>
        <w:t xml:space="preserve">that </w:t>
      </w:r>
      <w:r w:rsidRPr="00E74730">
        <w:rPr>
          <w:rFonts w:ascii="Book Antiqua" w:eastAsia="Book Antiqua" w:hAnsi="Book Antiqua" w:cs="Book Antiqua"/>
        </w:rPr>
        <w:t>aimed to investigate predictive factors for patients with MS with cholecystocholedochal fistulas during ERCP before laparoscopic surgery.</w:t>
      </w:r>
    </w:p>
    <w:p w14:paraId="442CE0AF" w14:textId="77777777" w:rsidR="00F64FCD" w:rsidRPr="00E74730" w:rsidRDefault="00F64FCD" w:rsidP="00E74730">
      <w:pPr>
        <w:snapToGrid w:val="0"/>
        <w:spacing w:line="360" w:lineRule="auto"/>
        <w:ind w:firstLine="340"/>
        <w:jc w:val="both"/>
      </w:pPr>
    </w:p>
    <w:p w14:paraId="08B4847B" w14:textId="77777777" w:rsidR="00F64FCD" w:rsidRPr="00E74730" w:rsidRDefault="004E536D" w:rsidP="00E74730">
      <w:pPr>
        <w:snapToGrid w:val="0"/>
        <w:spacing w:line="360" w:lineRule="auto"/>
        <w:jc w:val="both"/>
      </w:pPr>
      <w:r w:rsidRPr="00E74730">
        <w:rPr>
          <w:rFonts w:ascii="Book Antiqua" w:eastAsia="Book Antiqua" w:hAnsi="Book Antiqua" w:cs="Book Antiqua"/>
          <w:b/>
          <w:caps/>
          <w:u w:val="single"/>
        </w:rPr>
        <w:t>MATERIALS AND METHODS</w:t>
      </w:r>
    </w:p>
    <w:p w14:paraId="104B25BF" w14:textId="77777777" w:rsidR="00F64FCD" w:rsidRPr="00E74730" w:rsidRDefault="004E536D" w:rsidP="00E74730">
      <w:pPr>
        <w:snapToGrid w:val="0"/>
        <w:spacing w:line="360" w:lineRule="auto"/>
        <w:jc w:val="both"/>
      </w:pPr>
      <w:r w:rsidRPr="00E74730">
        <w:rPr>
          <w:rFonts w:ascii="Book Antiqua" w:eastAsia="Book Antiqua" w:hAnsi="Book Antiqua" w:cs="Book Antiqua"/>
          <w:b/>
          <w:bCs/>
          <w:i/>
          <w:iCs/>
        </w:rPr>
        <w:t>Study design and setting</w:t>
      </w:r>
    </w:p>
    <w:p w14:paraId="2DF3D9AB" w14:textId="4CBD5B00" w:rsidR="00F64FCD" w:rsidRPr="00E74730" w:rsidRDefault="004E536D" w:rsidP="00E74730">
      <w:pPr>
        <w:snapToGrid w:val="0"/>
        <w:spacing w:line="360" w:lineRule="auto"/>
        <w:jc w:val="both"/>
      </w:pPr>
      <w:r w:rsidRPr="00E74730">
        <w:rPr>
          <w:rFonts w:ascii="Book Antiqua" w:eastAsia="Book Antiqua" w:hAnsi="Book Antiqua" w:cs="Book Antiqua"/>
        </w:rPr>
        <w:t xml:space="preserve">We conducted a retrospective study involving patients diagnosed with MS during preoperative ERCP examination. All patients underwent cholecystectomy at the Chang Gung Memorial Hospital, Linkou </w:t>
      </w:r>
      <w:r w:rsidR="008931C6" w:rsidRPr="00E74730">
        <w:rPr>
          <w:rFonts w:ascii="Book Antiqua" w:eastAsia="Book Antiqua" w:hAnsi="Book Antiqua" w:cs="Book Antiqua"/>
        </w:rPr>
        <w:t>B</w:t>
      </w:r>
      <w:r w:rsidRPr="00E74730">
        <w:rPr>
          <w:rFonts w:ascii="Book Antiqua" w:eastAsia="Book Antiqua" w:hAnsi="Book Antiqua" w:cs="Book Antiqua"/>
        </w:rPr>
        <w:t xml:space="preserve">ranch, which is a tertiary care academic hospital. Data were collected from an extensive retrospective chart review. </w:t>
      </w:r>
    </w:p>
    <w:p w14:paraId="7EF24152" w14:textId="77777777" w:rsidR="00F64FCD" w:rsidRPr="00E74730" w:rsidRDefault="00F64FCD" w:rsidP="00E74730">
      <w:pPr>
        <w:snapToGrid w:val="0"/>
        <w:spacing w:line="360" w:lineRule="auto"/>
        <w:jc w:val="both"/>
      </w:pPr>
    </w:p>
    <w:p w14:paraId="2EC0DC94" w14:textId="77777777" w:rsidR="00F64FCD" w:rsidRPr="00E74730" w:rsidRDefault="004E536D" w:rsidP="00E74730">
      <w:pPr>
        <w:snapToGrid w:val="0"/>
        <w:spacing w:line="360" w:lineRule="auto"/>
        <w:jc w:val="both"/>
      </w:pPr>
      <w:r w:rsidRPr="00E74730">
        <w:rPr>
          <w:rFonts w:ascii="Book Antiqua" w:eastAsia="Book Antiqua" w:hAnsi="Book Antiqua" w:cs="Book Antiqua"/>
          <w:b/>
          <w:bCs/>
          <w:i/>
          <w:iCs/>
        </w:rPr>
        <w:t>Patients and data collection</w:t>
      </w:r>
    </w:p>
    <w:p w14:paraId="37DAE1EC" w14:textId="1758F475" w:rsidR="00F64FCD" w:rsidRPr="00E74730" w:rsidRDefault="004E536D" w:rsidP="00E74730">
      <w:pPr>
        <w:snapToGrid w:val="0"/>
        <w:spacing w:line="360" w:lineRule="auto"/>
        <w:jc w:val="both"/>
      </w:pPr>
      <w:r w:rsidRPr="00E74730">
        <w:rPr>
          <w:rFonts w:ascii="Book Antiqua" w:eastAsia="Book Antiqua" w:hAnsi="Book Antiqua" w:cs="Book Antiqua"/>
        </w:rPr>
        <w:t>From 2004 to 2018, all patients diagnosed with MS during ERCP were enrolled in this study. The diagnosis of MS with or without a cholecystocholedochal fistula was confirmed by intraoperative findings. Patients with associated malignancy or those who had already undergone cholecystectomy before ERCP were excluded from this study. Demographic data, clinical presentation</w:t>
      </w:r>
      <w:r w:rsidR="008931C6" w:rsidRPr="00E74730">
        <w:rPr>
          <w:rFonts w:ascii="Book Antiqua" w:eastAsia="Book Antiqua" w:hAnsi="Book Antiqua" w:cs="Book Antiqua"/>
        </w:rPr>
        <w:t xml:space="preserve"> information</w:t>
      </w:r>
      <w:r w:rsidRPr="00E74730">
        <w:rPr>
          <w:rFonts w:ascii="Book Antiqua" w:eastAsia="Book Antiqua" w:hAnsi="Book Antiqua" w:cs="Book Antiqua"/>
        </w:rPr>
        <w:t>, and blood test results were recorded. The diagnosis of cholangitis was based on Tokyo Guidelines 2018 for cholangitis, which included acute inflammation, cholestasis, and imaging depicting bile duct dilation</w:t>
      </w:r>
      <w:r w:rsidRPr="00E74730">
        <w:rPr>
          <w:rFonts w:ascii="Book Antiqua" w:eastAsia="Book Antiqua" w:hAnsi="Book Antiqua" w:cs="Book Antiqua"/>
          <w:vertAlign w:val="superscript"/>
        </w:rPr>
        <w:t>[10]</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 xml:space="preserve">Endoscopic and cholangiographic findings during ERCP were also recorded and analyzed. Pus detected from the bile duct orifice at the papilla of Vater were defined as pus in the CBD. Contrast medium that filled the cystic duct or the gall bladder </w:t>
      </w:r>
      <w:r w:rsidR="00AF04E6" w:rsidRPr="00E74730">
        <w:rPr>
          <w:rFonts w:ascii="Book Antiqua" w:eastAsia="Book Antiqua" w:hAnsi="Book Antiqua" w:cs="Book Antiqua"/>
        </w:rPr>
        <w:t xml:space="preserve">was </w:t>
      </w:r>
      <w:r w:rsidRPr="00E74730">
        <w:rPr>
          <w:rFonts w:ascii="Book Antiqua" w:eastAsia="Book Antiqua" w:hAnsi="Book Antiqua" w:cs="Book Antiqua"/>
        </w:rPr>
        <w:t xml:space="preserve">defined as cystic duct or gall bladder opacification </w:t>
      </w:r>
    </w:p>
    <w:p w14:paraId="6319F180" w14:textId="77777777" w:rsidR="00F64FCD" w:rsidRPr="00E74730" w:rsidRDefault="00F64FCD" w:rsidP="00E74730">
      <w:pPr>
        <w:snapToGrid w:val="0"/>
        <w:spacing w:line="360" w:lineRule="auto"/>
        <w:jc w:val="both"/>
      </w:pPr>
    </w:p>
    <w:p w14:paraId="7552A260" w14:textId="77777777" w:rsidR="00F64FCD" w:rsidRPr="00E74730" w:rsidRDefault="004E536D" w:rsidP="00E74730">
      <w:pPr>
        <w:snapToGrid w:val="0"/>
        <w:spacing w:line="360" w:lineRule="auto"/>
        <w:jc w:val="both"/>
      </w:pPr>
      <w:r w:rsidRPr="00E74730">
        <w:rPr>
          <w:rFonts w:ascii="Book Antiqua" w:eastAsia="Book Antiqua" w:hAnsi="Book Antiqua" w:cs="Book Antiqua"/>
          <w:b/>
          <w:bCs/>
          <w:i/>
          <w:iCs/>
        </w:rPr>
        <w:t>Ethical concerns</w:t>
      </w:r>
    </w:p>
    <w:p w14:paraId="7E2C25C5" w14:textId="77777777" w:rsidR="00F64FCD" w:rsidRPr="00E74730" w:rsidRDefault="004E536D" w:rsidP="00E74730">
      <w:pPr>
        <w:snapToGrid w:val="0"/>
        <w:spacing w:line="360" w:lineRule="auto"/>
        <w:jc w:val="both"/>
      </w:pPr>
      <w:r w:rsidRPr="00E74730">
        <w:rPr>
          <w:rFonts w:ascii="Book Antiqua" w:eastAsia="Book Antiqua" w:hAnsi="Book Antiqua" w:cs="Book Antiqua"/>
        </w:rPr>
        <w:t xml:space="preserve">The study was approved by the Chang Gung Medical Foundation Institutional Review Board (IRB number: 201801210B0). Data acquisition and analysis were carried out in accordance with guidelines and regulations. Due to the retrospective design of the study, consent was waived by the ethics committee for the entire study. </w:t>
      </w:r>
    </w:p>
    <w:p w14:paraId="7EB20228" w14:textId="77777777" w:rsidR="00F64FCD" w:rsidRPr="00E74730" w:rsidRDefault="00F64FCD" w:rsidP="00E74730">
      <w:pPr>
        <w:snapToGrid w:val="0"/>
        <w:spacing w:line="360" w:lineRule="auto"/>
        <w:jc w:val="both"/>
      </w:pPr>
    </w:p>
    <w:p w14:paraId="0E09A1A9" w14:textId="77777777" w:rsidR="00F64FCD" w:rsidRPr="00E74730" w:rsidRDefault="004E536D" w:rsidP="00E74730">
      <w:pPr>
        <w:snapToGrid w:val="0"/>
        <w:spacing w:line="360" w:lineRule="auto"/>
        <w:jc w:val="both"/>
      </w:pPr>
      <w:r w:rsidRPr="00E74730">
        <w:rPr>
          <w:rFonts w:ascii="Book Antiqua" w:eastAsia="Book Antiqua" w:hAnsi="Book Antiqua" w:cs="Book Antiqua"/>
          <w:b/>
          <w:bCs/>
          <w:i/>
          <w:iCs/>
        </w:rPr>
        <w:t>Statistical analysis</w:t>
      </w:r>
    </w:p>
    <w:p w14:paraId="228B7DE1" w14:textId="6886B734" w:rsidR="00F64FCD" w:rsidRPr="00E74730" w:rsidRDefault="004E536D" w:rsidP="00E74730">
      <w:pPr>
        <w:snapToGrid w:val="0"/>
        <w:spacing w:line="360" w:lineRule="auto"/>
        <w:jc w:val="both"/>
      </w:pPr>
      <w:r w:rsidRPr="00E74730">
        <w:rPr>
          <w:rFonts w:ascii="Book Antiqua" w:eastAsia="Book Antiqua" w:hAnsi="Book Antiqua" w:cs="Book Antiqua"/>
          <w:shd w:val="clear" w:color="auto" w:fill="FFFFFF"/>
        </w:rPr>
        <w:t>Continuous variables are presented as m</w:t>
      </w:r>
      <w:r w:rsidRPr="00110B52">
        <w:rPr>
          <w:rFonts w:ascii="Book Antiqua" w:eastAsia="Book Antiqua" w:hAnsi="Book Antiqua" w:cs="Book Antiqua"/>
          <w:shd w:val="clear" w:color="auto" w:fill="FFFFFF"/>
        </w:rPr>
        <w:t xml:space="preserve">eans ± </w:t>
      </w:r>
      <w:r w:rsidR="00110B52" w:rsidRPr="00110B52">
        <w:rPr>
          <w:rFonts w:ascii="Book Antiqua" w:eastAsiaTheme="minorEastAsia" w:hAnsi="Book Antiqua" w:cs="Book Antiqua"/>
          <w:shd w:val="clear" w:color="auto" w:fill="FFFFFF"/>
          <w:lang w:eastAsia="zh-CN"/>
        </w:rPr>
        <w:t>SD</w:t>
      </w:r>
      <w:r w:rsidR="00C0052D" w:rsidRPr="00110B52">
        <w:rPr>
          <w:rFonts w:ascii="Book Antiqua" w:eastAsia="Book Antiqua" w:hAnsi="Book Antiqua" w:cs="Book Antiqua"/>
          <w:shd w:val="clear" w:color="auto" w:fill="FFFFFF"/>
        </w:rPr>
        <w:t>,</w:t>
      </w:r>
      <w:r w:rsidRPr="00110B52">
        <w:rPr>
          <w:rFonts w:ascii="Book Antiqua" w:eastAsia="Book Antiqua" w:hAnsi="Book Antiqua" w:cs="Book Antiqua"/>
          <w:shd w:val="clear" w:color="auto" w:fill="FFFFFF"/>
        </w:rPr>
        <w:t xml:space="preserve"> and categorica</w:t>
      </w:r>
      <w:r w:rsidRPr="00E74730">
        <w:rPr>
          <w:rFonts w:ascii="Book Antiqua" w:eastAsia="Book Antiqua" w:hAnsi="Book Antiqua" w:cs="Book Antiqua"/>
          <w:shd w:val="clear" w:color="auto" w:fill="FFFFFF"/>
        </w:rPr>
        <w:t xml:space="preserve">l variables are presented as frequencies and percentages. The differences between patients with MS with or without </w:t>
      </w:r>
      <w:r w:rsidRPr="00E74730">
        <w:rPr>
          <w:rFonts w:ascii="Book Antiqua" w:eastAsia="Book Antiqua" w:hAnsi="Book Antiqua" w:cs="Book Antiqua"/>
        </w:rPr>
        <w:t>cholecystocholedochal fistulas</w:t>
      </w:r>
      <w:r w:rsidRPr="00E74730">
        <w:rPr>
          <w:rFonts w:ascii="Book Antiqua" w:eastAsia="Book Antiqua" w:hAnsi="Book Antiqua" w:cs="Book Antiqua"/>
          <w:shd w:val="clear" w:color="auto" w:fill="FFFFFF"/>
        </w:rPr>
        <w:t xml:space="preserve"> were compared using Fisher's exact test for categorical variables and Mann–Whitney </w:t>
      </w:r>
      <w:r w:rsidRPr="00E74730">
        <w:rPr>
          <w:rFonts w:ascii="Book Antiqua" w:eastAsia="Book Antiqua" w:hAnsi="Book Antiqua" w:cs="Book Antiqua"/>
          <w:i/>
          <w:iCs/>
          <w:shd w:val="clear" w:color="auto" w:fill="FFFFFF"/>
        </w:rPr>
        <w:t>U</w:t>
      </w:r>
      <w:r w:rsidRPr="00E74730">
        <w:rPr>
          <w:rFonts w:ascii="Book Antiqua" w:eastAsia="Book Antiqua" w:hAnsi="Book Antiqua" w:cs="Book Antiqua"/>
          <w:shd w:val="clear" w:color="auto" w:fill="FFFFFF"/>
        </w:rPr>
        <w:t xml:space="preserve"> test for continuous variables. Multivariate logistic regression analysis was employed to determine independent significant factors. Statistical analyses were performed using IBM </w:t>
      </w:r>
      <w:r w:rsidRPr="00E74730">
        <w:rPr>
          <w:rFonts w:ascii="Book Antiqua" w:eastAsia="Book Antiqua" w:hAnsi="Book Antiqua" w:cs="Book Antiqua"/>
        </w:rPr>
        <w:t xml:space="preserve">SPSS </w:t>
      </w:r>
      <w:r w:rsidRPr="00E74730">
        <w:rPr>
          <w:rFonts w:ascii="Book Antiqua" w:eastAsia="Book Antiqua" w:hAnsi="Book Antiqua" w:cs="Book Antiqua"/>
          <w:shd w:val="clear" w:color="auto" w:fill="FFFFFF"/>
        </w:rPr>
        <w:t xml:space="preserve">Statistics, </w:t>
      </w:r>
      <w:r w:rsidRPr="00E74730">
        <w:rPr>
          <w:rFonts w:ascii="Book Antiqua" w:eastAsia="Book Antiqua" w:hAnsi="Book Antiqua" w:cs="Book Antiqua"/>
        </w:rPr>
        <w:t>version</w:t>
      </w:r>
      <w:r w:rsidRPr="00E74730">
        <w:rPr>
          <w:rFonts w:ascii="Book Antiqua" w:eastAsia="Book Antiqua" w:hAnsi="Book Antiqua" w:cs="Book Antiqua"/>
          <w:shd w:val="clear" w:color="auto" w:fill="FFFFFF"/>
        </w:rPr>
        <w:t xml:space="preserve"> </w:t>
      </w:r>
      <w:r w:rsidRPr="00E74730">
        <w:rPr>
          <w:rFonts w:ascii="Book Antiqua" w:eastAsia="Book Antiqua" w:hAnsi="Book Antiqua" w:cs="Book Antiqua"/>
        </w:rPr>
        <w:t>25 (IBM Corp., A</w:t>
      </w:r>
      <w:r w:rsidRPr="00E74730">
        <w:rPr>
          <w:rFonts w:ascii="Book Antiqua" w:eastAsia="Book Antiqua" w:hAnsi="Book Antiqua" w:cs="Book Antiqua"/>
          <w:shd w:val="clear" w:color="auto" w:fill="FFFFFF"/>
        </w:rPr>
        <w:t>rmonk, NY</w:t>
      </w:r>
      <w:r w:rsidR="00503AB1" w:rsidRPr="00E74730">
        <w:rPr>
          <w:rFonts w:ascii="Book Antiqua" w:eastAsia="Book Antiqua" w:hAnsi="Book Antiqua" w:cs="Book Antiqua"/>
          <w:shd w:val="clear" w:color="auto" w:fill="FFFFFF"/>
        </w:rPr>
        <w:t>, United States</w:t>
      </w:r>
      <w:r w:rsidRPr="00E74730">
        <w:rPr>
          <w:rFonts w:ascii="Book Antiqua" w:eastAsia="Book Antiqua" w:hAnsi="Book Antiqua" w:cs="Book Antiqua"/>
          <w:shd w:val="clear" w:color="auto" w:fill="FFFFFF"/>
        </w:rPr>
        <w:t xml:space="preserve">). </w:t>
      </w:r>
      <w:r w:rsidRPr="00E74730">
        <w:rPr>
          <w:rFonts w:ascii="Book Antiqua" w:eastAsia="Book Antiqua" w:hAnsi="Book Antiqua" w:cs="Book Antiqua"/>
        </w:rPr>
        <w:t xml:space="preserve">A two-sided </w:t>
      </w:r>
      <w:r w:rsidRPr="00E74730">
        <w:rPr>
          <w:rFonts w:ascii="Book Antiqua" w:eastAsia="Book Antiqua" w:hAnsi="Book Antiqua" w:cs="Book Antiqua"/>
          <w:i/>
          <w:iCs/>
        </w:rPr>
        <w:t>P</w:t>
      </w:r>
      <w:r w:rsidR="00AB52C7" w:rsidRPr="00E74730">
        <w:rPr>
          <w:rFonts w:ascii="Book Antiqua" w:eastAsia="Book Antiqua" w:hAnsi="Book Antiqua" w:cs="Book Antiqua"/>
        </w:rPr>
        <w:t xml:space="preserve"> </w:t>
      </w:r>
      <w:r w:rsidRPr="00E74730">
        <w:rPr>
          <w:rFonts w:ascii="Book Antiqua" w:eastAsia="Book Antiqua" w:hAnsi="Book Antiqua" w:cs="Book Antiqua"/>
        </w:rPr>
        <w:t>value &lt; 0.05 was considered statistically significant.</w:t>
      </w:r>
    </w:p>
    <w:p w14:paraId="5C68DE07" w14:textId="77777777" w:rsidR="00F64FCD" w:rsidRPr="00E74730" w:rsidRDefault="00F64FCD" w:rsidP="00E74730">
      <w:pPr>
        <w:snapToGrid w:val="0"/>
        <w:spacing w:line="360" w:lineRule="auto"/>
        <w:jc w:val="both"/>
      </w:pPr>
    </w:p>
    <w:p w14:paraId="3E1AA2B6" w14:textId="77777777" w:rsidR="00F64FCD" w:rsidRPr="00E74730" w:rsidRDefault="004E536D" w:rsidP="00E74730">
      <w:pPr>
        <w:snapToGrid w:val="0"/>
        <w:spacing w:line="360" w:lineRule="auto"/>
        <w:jc w:val="both"/>
      </w:pPr>
      <w:r w:rsidRPr="00E74730">
        <w:rPr>
          <w:rFonts w:ascii="Book Antiqua" w:eastAsia="Book Antiqua" w:hAnsi="Book Antiqua" w:cs="Book Antiqua"/>
          <w:b/>
          <w:caps/>
          <w:u w:val="single"/>
        </w:rPr>
        <w:t>RESULTS</w:t>
      </w:r>
    </w:p>
    <w:p w14:paraId="1EE0F6BD" w14:textId="25509880" w:rsidR="00F64FCD" w:rsidRPr="00E74730" w:rsidRDefault="004E536D" w:rsidP="00E74730">
      <w:pPr>
        <w:snapToGrid w:val="0"/>
        <w:spacing w:line="360" w:lineRule="auto"/>
        <w:jc w:val="both"/>
      </w:pPr>
      <w:r w:rsidRPr="00E74730">
        <w:rPr>
          <w:rFonts w:ascii="Book Antiqua" w:eastAsia="Book Antiqua" w:hAnsi="Book Antiqua" w:cs="Book Antiqua"/>
        </w:rPr>
        <w:t>A total of 117 patients were suspected of having MS during ERCP; this was confirmed during operation between 2004 and 2018. The incidence of MS was 0.9% of all ERCP procedures (</w:t>
      </w:r>
      <w:r w:rsidRPr="00E74730">
        <w:rPr>
          <w:rFonts w:ascii="Book Antiqua" w:eastAsia="Book Antiqua" w:hAnsi="Book Antiqua" w:cs="Book Antiqua"/>
          <w:i/>
          <w:iCs/>
        </w:rPr>
        <w:t>n</w:t>
      </w:r>
      <w:r w:rsidRPr="00E74730">
        <w:rPr>
          <w:rFonts w:ascii="Book Antiqua" w:eastAsia="Book Antiqua" w:hAnsi="Book Antiqua" w:cs="Book Antiqua"/>
        </w:rPr>
        <w:t xml:space="preserve"> </w:t>
      </w:r>
      <w:r w:rsidR="00AB52C7" w:rsidRPr="00E74730">
        <w:rPr>
          <w:rFonts w:ascii="Book Antiqua" w:eastAsia="Book Antiqua" w:hAnsi="Book Antiqua" w:cs="Book Antiqua"/>
        </w:rPr>
        <w:t xml:space="preserve">approximately </w:t>
      </w:r>
      <w:r w:rsidRPr="00E74730">
        <w:rPr>
          <w:rFonts w:ascii="Book Antiqua" w:eastAsia="Book Antiqua" w:hAnsi="Book Antiqua" w:cs="Book Antiqua"/>
        </w:rPr>
        <w:t>13000) performed during the same period. Twenty-one patients with MS had a cholecystocholedochal fistula</w:t>
      </w:r>
      <w:r w:rsidR="00C0052D" w:rsidRPr="00E74730">
        <w:rPr>
          <w:rFonts w:ascii="Book Antiqua" w:eastAsia="Book Antiqua" w:hAnsi="Book Antiqua" w:cs="Book Antiqua"/>
        </w:rPr>
        <w:t>,</w:t>
      </w:r>
      <w:r w:rsidRPr="00E74730">
        <w:rPr>
          <w:rFonts w:ascii="Book Antiqua" w:eastAsia="Book Antiqua" w:hAnsi="Book Antiqua" w:cs="Book Antiqua"/>
        </w:rPr>
        <w:t xml:space="preserve"> and 96 patients with MS suffered only from external compression. The two groups of patients did not differ in age, sex, clinical findings, or laboratory data. The laboratory data included total bilirubin, serum glutamic-oxaloacetic transaminase, glutamic-pyruvic transaminase, a</w:t>
      </w:r>
      <w:hyperlink r:id="rId9" w:history="1">
        <w:r w:rsidRPr="00E74730">
          <w:rPr>
            <w:rFonts w:ascii="Book Antiqua" w:eastAsia="Book Antiqua" w:hAnsi="Book Antiqua" w:cs="Book Antiqua"/>
          </w:rPr>
          <w:t>lkaline phosphatase</w:t>
        </w:r>
      </w:hyperlink>
      <w:r w:rsidRPr="00E74730">
        <w:rPr>
          <w:rFonts w:ascii="Book Antiqua" w:eastAsia="Book Antiqua" w:hAnsi="Book Antiqua" w:cs="Book Antiqua"/>
        </w:rPr>
        <w:t xml:space="preserve">, and leukocyte counts (Table 1). </w:t>
      </w:r>
    </w:p>
    <w:p w14:paraId="3766633D" w14:textId="1FF73C72" w:rsidR="00F64FCD" w:rsidRPr="00E74730" w:rsidRDefault="004E536D" w:rsidP="00E74730">
      <w:pPr>
        <w:snapToGrid w:val="0"/>
        <w:spacing w:line="360" w:lineRule="auto"/>
        <w:ind w:firstLine="480"/>
        <w:jc w:val="both"/>
      </w:pPr>
      <w:r w:rsidRPr="00E74730">
        <w:rPr>
          <w:rFonts w:ascii="Book Antiqua" w:eastAsia="Book Antiqua" w:hAnsi="Book Antiqua" w:cs="Book Antiqua"/>
        </w:rPr>
        <w:t>For pre-operative diagnosis, all patients who underwent ultrasonography initially revealed stones in the gall bladder. Ninety patients further underwent computed tomography</w:t>
      </w:r>
      <w:r w:rsidR="00C0052D" w:rsidRPr="00E74730">
        <w:rPr>
          <w:rFonts w:ascii="Book Antiqua" w:eastAsia="Book Antiqua" w:hAnsi="Book Antiqua" w:cs="Book Antiqua"/>
        </w:rPr>
        <w:t>,</w:t>
      </w:r>
      <w:r w:rsidRPr="00E74730">
        <w:rPr>
          <w:rFonts w:ascii="Book Antiqua" w:eastAsia="Book Antiqua" w:hAnsi="Book Antiqua" w:cs="Book Antiqua"/>
        </w:rPr>
        <w:t xml:space="preserve"> and 85 patients revealed a dilated intrahepatic or extrahepatic bile duct before ERCP. Moreover, 24 patients underwent magnetic resonance cholangiopancreatography (MRCP), 20 patients showed external compression of the hepatic ducts and were suspected to have MS. Among the 21 patients with MS with cholecystocholedochal fistula, MRCP was performed in four patients</w:t>
      </w:r>
      <w:r w:rsidR="00A51B90" w:rsidRPr="00E74730">
        <w:rPr>
          <w:rFonts w:ascii="Book Antiqua" w:eastAsia="Book Antiqua" w:hAnsi="Book Antiqua" w:cs="Book Antiqua"/>
        </w:rPr>
        <w:t>,</w:t>
      </w:r>
      <w:r w:rsidRPr="00E74730">
        <w:rPr>
          <w:rFonts w:ascii="Book Antiqua" w:eastAsia="Book Antiqua" w:hAnsi="Book Antiqua" w:cs="Book Antiqua"/>
        </w:rPr>
        <w:t xml:space="preserve"> but none of the patients could be diagnosed with cholecystocholedochal fistula on MRCP.</w:t>
      </w:r>
    </w:p>
    <w:p w14:paraId="6DF9E5F0" w14:textId="77777777" w:rsidR="00F64FCD" w:rsidRPr="00E74730" w:rsidRDefault="004E536D" w:rsidP="00E74730">
      <w:pPr>
        <w:snapToGrid w:val="0"/>
        <w:spacing w:line="360" w:lineRule="auto"/>
        <w:ind w:firstLine="340"/>
        <w:jc w:val="both"/>
      </w:pPr>
      <w:r w:rsidRPr="00E74730">
        <w:rPr>
          <w:rFonts w:ascii="Book Antiqua" w:eastAsia="Book Antiqua" w:hAnsi="Book Antiqua" w:cs="Book Antiqua"/>
        </w:rPr>
        <w:t xml:space="preserve">Figure 1 shows the cholangiography during ERCP for patients with MS with and without a cholecystocholedochal fistula (Figure 1). The percentage of cystic duct opacification was similar between the two groups (10/21 patients (47.61%) with a fistula </w:t>
      </w:r>
      <w:r w:rsidRPr="00E74730">
        <w:rPr>
          <w:rFonts w:ascii="Book Antiqua" w:eastAsia="Book Antiqua" w:hAnsi="Book Antiqua" w:cs="Book Antiqua"/>
          <w:i/>
          <w:iCs/>
        </w:rPr>
        <w:t>vs</w:t>
      </w:r>
      <w:r w:rsidRPr="00E74730">
        <w:rPr>
          <w:rFonts w:ascii="Book Antiqua" w:eastAsia="Book Antiqua" w:hAnsi="Book Antiqua" w:cs="Book Antiqua"/>
        </w:rPr>
        <w:t xml:space="preserve"> 46/96 patients (47.92%) without a fistula; </w:t>
      </w:r>
      <w:r w:rsidRPr="00E74730">
        <w:rPr>
          <w:rFonts w:ascii="Book Antiqua" w:eastAsia="Book Antiqua" w:hAnsi="Book Antiqua" w:cs="Book Antiqua"/>
          <w:i/>
          <w:iCs/>
        </w:rPr>
        <w:t>P</w:t>
      </w:r>
      <w:r w:rsidRPr="00E74730">
        <w:rPr>
          <w:rFonts w:ascii="Book Antiqua" w:eastAsia="Book Antiqua" w:hAnsi="Book Antiqua" w:cs="Book Antiqua"/>
        </w:rPr>
        <w:t xml:space="preserve"> = 0.81). However, patients with MS and cholecystocholedochal fistula had a significantly higher percentage of gallbladder opacification than those without (76.19% </w:t>
      </w:r>
      <w:r w:rsidRPr="00E74730">
        <w:rPr>
          <w:rFonts w:ascii="Book Antiqua" w:eastAsia="Book Antiqua" w:hAnsi="Book Antiqua" w:cs="Book Antiqua"/>
          <w:i/>
          <w:iCs/>
        </w:rPr>
        <w:t>vs</w:t>
      </w:r>
      <w:r w:rsidRPr="00E74730">
        <w:rPr>
          <w:rFonts w:ascii="Book Antiqua" w:eastAsia="Book Antiqua" w:hAnsi="Book Antiqua" w:cs="Book Antiqua"/>
        </w:rPr>
        <w:t xml:space="preserve"> 23.96%; </w:t>
      </w:r>
      <w:r w:rsidRPr="00E74730">
        <w:rPr>
          <w:rFonts w:ascii="Book Antiqua" w:eastAsia="Book Antiqua" w:hAnsi="Book Antiqua" w:cs="Book Antiqua"/>
          <w:i/>
          <w:iCs/>
        </w:rPr>
        <w:t>P</w:t>
      </w:r>
      <w:r w:rsidRPr="00E74730">
        <w:rPr>
          <w:rFonts w:ascii="Book Antiqua" w:eastAsia="Book Antiqua" w:hAnsi="Book Antiqua" w:cs="Book Antiqua"/>
        </w:rPr>
        <w:t xml:space="preserve"> &lt; 0.001). </w:t>
      </w:r>
    </w:p>
    <w:p w14:paraId="26F70CAB" w14:textId="454995D6" w:rsidR="00F64FCD" w:rsidRPr="00E74730" w:rsidRDefault="004E536D" w:rsidP="00E74730">
      <w:pPr>
        <w:snapToGrid w:val="0"/>
        <w:spacing w:line="360" w:lineRule="auto"/>
        <w:ind w:firstLine="340"/>
        <w:jc w:val="both"/>
      </w:pPr>
      <w:r w:rsidRPr="00E74730">
        <w:rPr>
          <w:rFonts w:ascii="Book Antiqua" w:eastAsia="Book Antiqua" w:hAnsi="Book Antiqua" w:cs="Book Antiqua"/>
        </w:rPr>
        <w:t>Other than the original purpose of ERCP</w:t>
      </w:r>
      <w:r w:rsidR="0096227B" w:rsidRPr="00E74730">
        <w:rPr>
          <w:rFonts w:ascii="Book Antiqua" w:eastAsia="Book Antiqua" w:hAnsi="Book Antiqua" w:cs="Book Antiqua"/>
        </w:rPr>
        <w:t>, which was</w:t>
      </w:r>
      <w:r w:rsidRPr="00E74730">
        <w:rPr>
          <w:rFonts w:ascii="Book Antiqua" w:eastAsia="Book Antiqua" w:hAnsi="Book Antiqua" w:cs="Book Antiqua"/>
        </w:rPr>
        <w:t xml:space="preserve"> to reveal the relationship of the cystic duct, the gall bladder</w:t>
      </w:r>
      <w:r w:rsidR="0096227B" w:rsidRPr="00E74730">
        <w:rPr>
          <w:rFonts w:ascii="Book Antiqua" w:eastAsia="Book Antiqua" w:hAnsi="Book Antiqua" w:cs="Book Antiqua"/>
        </w:rPr>
        <w:t>,</w:t>
      </w:r>
      <w:r w:rsidRPr="00E74730">
        <w:rPr>
          <w:rFonts w:ascii="Book Antiqua" w:eastAsia="Book Antiqua" w:hAnsi="Book Antiqua" w:cs="Book Antiqua"/>
        </w:rPr>
        <w:t xml:space="preserve"> and the CBD, some additional factors were obtained during the procedure. Stricture length at the CBD longer than 2 cm was more frequent in patients with MS without a cholecystocholedochal fistula </w:t>
      </w:r>
      <w:r w:rsidR="0096227B" w:rsidRPr="00E74730">
        <w:rPr>
          <w:rFonts w:ascii="Book Antiqua" w:eastAsia="Book Antiqua" w:hAnsi="Book Antiqua" w:cs="Book Antiqua"/>
        </w:rPr>
        <w:t>than</w:t>
      </w:r>
      <w:r w:rsidRPr="00E74730">
        <w:rPr>
          <w:rFonts w:ascii="Book Antiqua" w:eastAsia="Book Antiqua" w:hAnsi="Book Antiqua" w:cs="Book Antiqua"/>
        </w:rPr>
        <w:t xml:space="preserve"> in those with a fistula (42.71% </w:t>
      </w:r>
      <w:r w:rsidRPr="00E74730">
        <w:rPr>
          <w:rFonts w:ascii="Book Antiqua" w:eastAsia="Book Antiqua" w:hAnsi="Book Antiqua" w:cs="Book Antiqua"/>
          <w:i/>
          <w:iCs/>
        </w:rPr>
        <w:t>vs</w:t>
      </w:r>
      <w:r w:rsidRPr="00E74730">
        <w:rPr>
          <w:rFonts w:ascii="Book Antiqua" w:eastAsia="Book Antiqua" w:hAnsi="Book Antiqua" w:cs="Book Antiqua"/>
        </w:rPr>
        <w:t xml:space="preserve"> 9.52%; </w:t>
      </w:r>
      <w:r w:rsidRPr="00E74730">
        <w:rPr>
          <w:rFonts w:ascii="Book Antiqua" w:eastAsia="Book Antiqua" w:hAnsi="Book Antiqua" w:cs="Book Antiqua"/>
          <w:i/>
          <w:iCs/>
        </w:rPr>
        <w:t>P</w:t>
      </w:r>
      <w:r w:rsidRPr="00E74730">
        <w:rPr>
          <w:rFonts w:ascii="Book Antiqua" w:eastAsia="Book Antiqua" w:hAnsi="Book Antiqua" w:cs="Book Antiqua"/>
        </w:rPr>
        <w:t xml:space="preserve"> = 0.005). CBD stones are often found during ERCP and are important indications for ERCP. We retrieved as many CBD stones as possible during our routine practice. The incidence of CBD stone retrieval was similar in both groups</w:t>
      </w:r>
      <w:r w:rsidR="0096227B" w:rsidRPr="00E74730">
        <w:rPr>
          <w:rFonts w:ascii="Book Antiqua" w:eastAsia="Book Antiqua" w:hAnsi="Book Antiqua" w:cs="Book Antiqua"/>
        </w:rPr>
        <w:t xml:space="preserve"> (</w:t>
      </w:r>
      <w:r w:rsidRPr="00E74730">
        <w:rPr>
          <w:rFonts w:ascii="Book Antiqua" w:eastAsia="Book Antiqua" w:hAnsi="Book Antiqua" w:cs="Book Antiqua"/>
        </w:rPr>
        <w:t>2/21 (9.52%) in patients with MS with a cholecystocholedochal fistula, and 28/96 (29.17%) in patients without</w:t>
      </w:r>
      <w:r w:rsidR="0096227B" w:rsidRPr="00E74730">
        <w:rPr>
          <w:rFonts w:ascii="Book Antiqua" w:eastAsia="Book Antiqua" w:hAnsi="Book Antiqua" w:cs="Book Antiqua"/>
        </w:rPr>
        <w:t xml:space="preserve">; </w:t>
      </w:r>
      <w:r w:rsidRPr="00E74730">
        <w:rPr>
          <w:rFonts w:ascii="Book Antiqua" w:eastAsia="Book Antiqua" w:hAnsi="Book Antiqua" w:cs="Book Antiqua"/>
          <w:i/>
          <w:iCs/>
        </w:rPr>
        <w:t>P</w:t>
      </w:r>
      <w:r w:rsidRPr="00E74730">
        <w:rPr>
          <w:rFonts w:ascii="Book Antiqua" w:eastAsia="Book Antiqua" w:hAnsi="Book Antiqua" w:cs="Book Antiqua"/>
        </w:rPr>
        <w:t xml:space="preserve"> = 0.09). However, both groups of patients had a much lower incidence of CBD stone retrieval compared with the patients in the routine ERCP examination group. </w:t>
      </w:r>
    </w:p>
    <w:p w14:paraId="6EADC5EC" w14:textId="33061E57" w:rsidR="00F64FCD" w:rsidRPr="00E74730" w:rsidRDefault="004E536D" w:rsidP="00E74730">
      <w:pPr>
        <w:snapToGrid w:val="0"/>
        <w:spacing w:line="360" w:lineRule="auto"/>
        <w:ind w:firstLine="340"/>
        <w:jc w:val="both"/>
      </w:pPr>
      <w:r w:rsidRPr="00E74730">
        <w:rPr>
          <w:rFonts w:ascii="Book Antiqua" w:eastAsia="Book Antiqua" w:hAnsi="Book Antiqua" w:cs="Book Antiqua"/>
        </w:rPr>
        <w:t>Stress-related peptic ulcers were a common finding with bile duct obstruction, which was previously described in many studies, especially in animal models</w:t>
      </w:r>
      <w:r w:rsidRPr="00E74730">
        <w:rPr>
          <w:rFonts w:ascii="Book Antiqua" w:eastAsia="Book Antiqua" w:hAnsi="Book Antiqua" w:cs="Book Antiqua"/>
          <w:vertAlign w:val="superscript"/>
        </w:rPr>
        <w:t>[11-14]</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Six (28.57%) patients had duodenal ulcers found during ERCP in the group affected by MS with a cholecystocholedochal fistula</w:t>
      </w:r>
      <w:r w:rsidR="0058386C" w:rsidRPr="00E74730">
        <w:rPr>
          <w:rFonts w:ascii="Book Antiqua" w:eastAsia="Book Antiqua" w:hAnsi="Book Antiqua" w:cs="Book Antiqua"/>
        </w:rPr>
        <w:t>,</w:t>
      </w:r>
      <w:r w:rsidRPr="00E74730">
        <w:rPr>
          <w:rFonts w:ascii="Book Antiqua" w:eastAsia="Book Antiqua" w:hAnsi="Book Antiqua" w:cs="Book Antiqua"/>
        </w:rPr>
        <w:t xml:space="preserve"> and 19 (19.79%) patients had duodenal ulcers in the group affected by MS without a cholecystocholedochal fistula. However, the difference between the two groups was not significant (</w:t>
      </w:r>
      <w:r w:rsidRPr="00E74730">
        <w:rPr>
          <w:rFonts w:ascii="Book Antiqua" w:eastAsia="Book Antiqua" w:hAnsi="Book Antiqua" w:cs="Book Antiqua"/>
          <w:i/>
          <w:iCs/>
        </w:rPr>
        <w:t>P</w:t>
      </w:r>
      <w:r w:rsidRPr="00E74730">
        <w:rPr>
          <w:rFonts w:ascii="Book Antiqua" w:eastAsia="Book Antiqua" w:hAnsi="Book Antiqua" w:cs="Book Antiqua"/>
        </w:rPr>
        <w:t xml:space="preserve"> = 0.39). In contrast, pus formation in the CBD was seen frequently in patients with</w:t>
      </w:r>
      <w:r w:rsidR="0058386C" w:rsidRPr="00E74730">
        <w:rPr>
          <w:rFonts w:ascii="Book Antiqua" w:eastAsia="Book Antiqua" w:hAnsi="Book Antiqua" w:cs="Book Antiqua"/>
        </w:rPr>
        <w:t xml:space="preserve"> MS</w:t>
      </w:r>
      <w:r w:rsidRPr="00E74730">
        <w:rPr>
          <w:rFonts w:ascii="Book Antiqua" w:eastAsia="Book Antiqua" w:hAnsi="Book Antiqua" w:cs="Book Antiqua"/>
        </w:rPr>
        <w:t xml:space="preserve"> during ERCP (Figure 2). Further, patients with a cholecystocholedochal fistula had a higher percentage of pus in the CBD compared to patients without a cholecystocholedochal fistula (47.62% </w:t>
      </w:r>
      <w:r w:rsidRPr="00E74730">
        <w:rPr>
          <w:rFonts w:ascii="Book Antiqua" w:eastAsia="Book Antiqua" w:hAnsi="Book Antiqua" w:cs="Book Antiqua"/>
          <w:i/>
          <w:iCs/>
        </w:rPr>
        <w:t>vs</w:t>
      </w:r>
      <w:r w:rsidRPr="00E74730">
        <w:rPr>
          <w:rFonts w:ascii="Book Antiqua" w:eastAsia="Book Antiqua" w:hAnsi="Book Antiqua" w:cs="Book Antiqua"/>
        </w:rPr>
        <w:t xml:space="preserve"> 15.63%; </w:t>
      </w:r>
      <w:r w:rsidRPr="00E74730">
        <w:rPr>
          <w:rFonts w:ascii="Book Antiqua" w:eastAsia="Book Antiqua" w:hAnsi="Book Antiqua" w:cs="Book Antiqua"/>
          <w:i/>
          <w:iCs/>
        </w:rPr>
        <w:t>P</w:t>
      </w:r>
      <w:r w:rsidRPr="00E74730">
        <w:rPr>
          <w:rFonts w:ascii="Book Antiqua" w:eastAsia="Book Antiqua" w:hAnsi="Book Antiqua" w:cs="Book Antiqua"/>
        </w:rPr>
        <w:t xml:space="preserve"> = 0.003) (Table 2). </w:t>
      </w:r>
    </w:p>
    <w:p w14:paraId="1B8EEBB8" w14:textId="0CC6C327" w:rsidR="00F64FCD" w:rsidRPr="00E74730" w:rsidRDefault="004E536D" w:rsidP="00E74730">
      <w:pPr>
        <w:snapToGrid w:val="0"/>
        <w:spacing w:line="360" w:lineRule="auto"/>
        <w:ind w:firstLine="340"/>
        <w:jc w:val="both"/>
      </w:pPr>
      <w:r w:rsidRPr="00E74730">
        <w:rPr>
          <w:rFonts w:ascii="Book Antiqua" w:eastAsia="Book Antiqua" w:hAnsi="Book Antiqua" w:cs="Book Antiqua"/>
          <w:shd w:val="clear" w:color="auto" w:fill="FFFFFF"/>
        </w:rPr>
        <w:t xml:space="preserve">Logistic regression analysis was used to determine additional factors that could be predictive factors for the presence of a </w:t>
      </w:r>
      <w:r w:rsidRPr="00E74730">
        <w:rPr>
          <w:rFonts w:ascii="Book Antiqua" w:eastAsia="Book Antiqua" w:hAnsi="Book Antiqua" w:cs="Book Antiqua"/>
        </w:rPr>
        <w:t>cholecystocholedochal fistula</w:t>
      </w:r>
      <w:r w:rsidRPr="00E74730">
        <w:rPr>
          <w:rFonts w:ascii="Book Antiqua" w:eastAsia="Book Antiqua" w:hAnsi="Book Antiqua" w:cs="Book Antiqua"/>
          <w:shd w:val="clear" w:color="auto" w:fill="FFFFFF"/>
        </w:rPr>
        <w:t xml:space="preserve"> through endoscopic or cholangiography findings during ERCP (T</w:t>
      </w:r>
      <w:r w:rsidRPr="00E74730">
        <w:rPr>
          <w:rFonts w:ascii="Book Antiqua" w:eastAsia="Book Antiqua" w:hAnsi="Book Antiqua" w:cs="Book Antiqua"/>
        </w:rPr>
        <w:t>able 3</w:t>
      </w:r>
      <w:r w:rsidRPr="00E74730">
        <w:rPr>
          <w:rFonts w:ascii="Book Antiqua" w:eastAsia="Book Antiqua" w:hAnsi="Book Antiqua" w:cs="Book Antiqua"/>
          <w:shd w:val="clear" w:color="auto" w:fill="FFFFFF"/>
        </w:rPr>
        <w:t xml:space="preserve">). </w:t>
      </w:r>
      <w:r w:rsidR="00E81611" w:rsidRPr="00E74730">
        <w:rPr>
          <w:rFonts w:ascii="Book Antiqua" w:eastAsia="Book Antiqua" w:hAnsi="Book Antiqua" w:cs="Book Antiqua"/>
          <w:shd w:val="clear" w:color="auto" w:fill="FFFFFF"/>
        </w:rPr>
        <w:t>Signiﬁcant</w:t>
      </w:r>
      <w:r w:rsidRPr="00E74730">
        <w:rPr>
          <w:rFonts w:ascii="Book Antiqua" w:eastAsia="Book Antiqua" w:hAnsi="Book Antiqua" w:cs="Book Antiqua"/>
          <w:shd w:val="clear" w:color="auto" w:fill="FFFFFF"/>
        </w:rPr>
        <w:t xml:space="preserve"> predictors of a </w:t>
      </w:r>
      <w:r w:rsidRPr="00E74730">
        <w:rPr>
          <w:rFonts w:ascii="Book Antiqua" w:eastAsia="Book Antiqua" w:hAnsi="Book Antiqua" w:cs="Book Antiqua"/>
        </w:rPr>
        <w:t>cholecystocholedochal fistula</w:t>
      </w:r>
      <w:r w:rsidRPr="00E74730">
        <w:rPr>
          <w:rFonts w:ascii="Book Antiqua" w:eastAsia="Book Antiqua" w:hAnsi="Book Antiqua" w:cs="Book Antiqua"/>
          <w:shd w:val="clear" w:color="auto" w:fill="FFFFFF"/>
        </w:rPr>
        <w:t xml:space="preserve"> based on univariate analysis were</w:t>
      </w:r>
      <w:r w:rsidRPr="00E74730">
        <w:rPr>
          <w:rFonts w:ascii="Book Antiqua" w:eastAsia="Book Antiqua" w:hAnsi="Book Antiqua" w:cs="Book Antiqua"/>
        </w:rPr>
        <w:t xml:space="preserve"> pus in the CBD and stricture length &gt; 2 cm at the CBD. </w:t>
      </w:r>
      <w:r w:rsidRPr="00E74730">
        <w:rPr>
          <w:rFonts w:ascii="Book Antiqua" w:eastAsia="Book Antiqua" w:hAnsi="Book Antiqua" w:cs="Book Antiqua"/>
          <w:shd w:val="clear" w:color="auto" w:fill="FFFFFF"/>
        </w:rPr>
        <w:t xml:space="preserve">Multivariate analysis with a multiple logistic regression model showed </w:t>
      </w:r>
      <w:r w:rsidRPr="00E74730">
        <w:rPr>
          <w:rFonts w:ascii="Book Antiqua" w:eastAsia="Book Antiqua" w:hAnsi="Book Antiqua" w:cs="Book Antiqua"/>
        </w:rPr>
        <w:t xml:space="preserve">pus in the CBD had greater odds of predicting </w:t>
      </w:r>
      <w:r w:rsidRPr="00E74730">
        <w:rPr>
          <w:rFonts w:ascii="Book Antiqua" w:eastAsia="Book Antiqua" w:hAnsi="Book Antiqua" w:cs="Book Antiqua"/>
          <w:shd w:val="clear" w:color="auto" w:fill="FFFFFF"/>
        </w:rPr>
        <w:t xml:space="preserve">a </w:t>
      </w:r>
      <w:r w:rsidRPr="00E74730">
        <w:rPr>
          <w:rFonts w:ascii="Book Antiqua" w:eastAsia="Book Antiqua" w:hAnsi="Book Antiqua" w:cs="Book Antiqua"/>
        </w:rPr>
        <w:t>cholecystocholedochal fistula in patients with MS (</w:t>
      </w:r>
      <w:r w:rsidR="0058386C" w:rsidRPr="00E74730">
        <w:rPr>
          <w:rFonts w:ascii="Book Antiqua" w:eastAsia="Book Antiqua" w:hAnsi="Book Antiqua" w:cs="Book Antiqua"/>
        </w:rPr>
        <w:t>odds ratio (</w:t>
      </w:r>
      <w:r w:rsidRPr="00E74730">
        <w:rPr>
          <w:rFonts w:ascii="Book Antiqua" w:eastAsia="Book Antiqua" w:hAnsi="Book Antiqua" w:cs="Book Antiqua"/>
        </w:rPr>
        <w:t>OR</w:t>
      </w:r>
      <w:r w:rsidR="0058386C" w:rsidRPr="00E74730">
        <w:rPr>
          <w:rFonts w:ascii="Book Antiqua" w:eastAsia="Book Antiqua" w:hAnsi="Book Antiqua" w:cs="Book Antiqua"/>
        </w:rPr>
        <w:t>)</w:t>
      </w:r>
      <w:r w:rsidRPr="00E74730">
        <w:rPr>
          <w:rFonts w:ascii="Book Antiqua" w:eastAsia="Book Antiqua" w:hAnsi="Book Antiqua" w:cs="Book Antiqua"/>
        </w:rPr>
        <w:t xml:space="preserve"> 5.82, 95%</w:t>
      </w:r>
      <w:r w:rsidR="0058386C" w:rsidRPr="00E74730">
        <w:rPr>
          <w:rFonts w:ascii="Book Antiqua" w:eastAsia="Book Antiqua" w:hAnsi="Book Antiqua" w:cs="Book Antiqua"/>
        </w:rPr>
        <w:t xml:space="preserve"> confidence interval (</w:t>
      </w:r>
      <w:r w:rsidRPr="00E74730">
        <w:rPr>
          <w:rFonts w:ascii="Book Antiqua" w:eastAsia="Book Antiqua" w:hAnsi="Book Antiqua" w:cs="Book Antiqua"/>
        </w:rPr>
        <w:t>CI</w:t>
      </w:r>
      <w:r w:rsidR="0058386C" w:rsidRPr="00E74730">
        <w:rPr>
          <w:rFonts w:ascii="Book Antiqua" w:eastAsia="Book Antiqua" w:hAnsi="Book Antiqua" w:cs="Book Antiqua"/>
        </w:rPr>
        <w:t>)</w:t>
      </w:r>
      <w:r w:rsidR="005678EE" w:rsidRPr="00E74730">
        <w:rPr>
          <w:rFonts w:ascii="Book Antiqua" w:eastAsia="Book Antiqua" w:hAnsi="Book Antiqua" w:cs="Book Antiqua"/>
        </w:rPr>
        <w:t>:</w:t>
      </w:r>
      <w:r w:rsidRPr="00E74730">
        <w:rPr>
          <w:rFonts w:ascii="Book Antiqua" w:eastAsia="Book Antiqua" w:hAnsi="Book Antiqua" w:cs="Book Antiqua"/>
        </w:rPr>
        <w:t xml:space="preserve"> 1.93</w:t>
      </w:r>
      <w:r w:rsidR="00AB52C7" w:rsidRPr="00E74730">
        <w:rPr>
          <w:rFonts w:ascii="Book Antiqua" w:eastAsia="Book Antiqua" w:hAnsi="Book Antiqua" w:cs="Book Antiqua"/>
        </w:rPr>
        <w:t>-</w:t>
      </w:r>
      <w:r w:rsidRPr="00E74730">
        <w:rPr>
          <w:rFonts w:ascii="Book Antiqua" w:eastAsia="Book Antiqua" w:hAnsi="Book Antiqua" w:cs="Book Antiqua"/>
        </w:rPr>
        <w:t xml:space="preserve">17.58, </w:t>
      </w:r>
      <w:r w:rsidRPr="00E74730">
        <w:rPr>
          <w:rFonts w:ascii="Book Antiqua" w:eastAsia="Book Antiqua" w:hAnsi="Book Antiqua" w:cs="Book Antiqua"/>
          <w:i/>
          <w:iCs/>
        </w:rPr>
        <w:t xml:space="preserve">P </w:t>
      </w:r>
      <w:r w:rsidRPr="00E74730">
        <w:rPr>
          <w:rFonts w:ascii="Book Antiqua" w:eastAsia="Book Antiqua" w:hAnsi="Book Antiqua" w:cs="Book Antiqua"/>
        </w:rPr>
        <w:t>= 0.002). Patients with MS with a stricture length longer than 2 cm at the CBD were less likely to have a cholecystocholedochal fistula (OR 0.12, 95%CI</w:t>
      </w:r>
      <w:r w:rsidR="005678EE" w:rsidRPr="00E74730">
        <w:rPr>
          <w:rFonts w:ascii="Book Antiqua" w:eastAsia="Book Antiqua" w:hAnsi="Book Antiqua" w:cs="Book Antiqua"/>
        </w:rPr>
        <w:t>:</w:t>
      </w:r>
      <w:r w:rsidRPr="00E74730">
        <w:rPr>
          <w:rFonts w:ascii="Book Antiqua" w:eastAsia="Book Antiqua" w:hAnsi="Book Antiqua" w:cs="Book Antiqua"/>
        </w:rPr>
        <w:t xml:space="preserve"> 0.03</w:t>
      </w:r>
      <w:r w:rsidR="00AB52C7" w:rsidRPr="00E74730">
        <w:rPr>
          <w:rFonts w:ascii="Book Antiqua" w:eastAsia="Book Antiqua" w:hAnsi="Book Antiqua" w:cs="Book Antiqua"/>
        </w:rPr>
        <w:t>-</w:t>
      </w:r>
      <w:r w:rsidRPr="00E74730">
        <w:rPr>
          <w:rFonts w:ascii="Book Antiqua" w:eastAsia="Book Antiqua" w:hAnsi="Book Antiqua" w:cs="Book Antiqua"/>
        </w:rPr>
        <w:t xml:space="preserve">0.58, </w:t>
      </w:r>
      <w:r w:rsidRPr="00E74730">
        <w:rPr>
          <w:rFonts w:ascii="Book Antiqua" w:eastAsia="Book Antiqua" w:hAnsi="Book Antiqua" w:cs="Book Antiqua"/>
          <w:i/>
          <w:iCs/>
        </w:rPr>
        <w:t xml:space="preserve">P </w:t>
      </w:r>
      <w:r w:rsidRPr="00E74730">
        <w:rPr>
          <w:rFonts w:ascii="Book Antiqua" w:eastAsia="Book Antiqua" w:hAnsi="Book Antiqua" w:cs="Book Antiqua"/>
        </w:rPr>
        <w:t>= 0.008).</w:t>
      </w:r>
    </w:p>
    <w:p w14:paraId="54F5A46B" w14:textId="2F5BE9CC" w:rsidR="00F64FCD" w:rsidRPr="00E74730" w:rsidRDefault="004E536D" w:rsidP="00E74730">
      <w:pPr>
        <w:snapToGrid w:val="0"/>
        <w:spacing w:line="360" w:lineRule="auto"/>
        <w:ind w:firstLineChars="100" w:firstLine="240"/>
        <w:jc w:val="both"/>
      </w:pPr>
      <w:r w:rsidRPr="00E74730">
        <w:rPr>
          <w:rFonts w:ascii="Book Antiqua" w:eastAsia="Book Antiqua" w:hAnsi="Book Antiqua" w:cs="Book Antiqua"/>
        </w:rPr>
        <w:t>All patients received bile duct drainage since they were referred for ERCP due to a clinically suspected bile duct obstruction (18 patients received endoscopic nasobiliary drainage</w:t>
      </w:r>
      <w:r w:rsidR="0058386C" w:rsidRPr="00E74730">
        <w:rPr>
          <w:rFonts w:ascii="Book Antiqua" w:eastAsia="Book Antiqua" w:hAnsi="Book Antiqua" w:cs="Book Antiqua"/>
        </w:rPr>
        <w:t>,</w:t>
      </w:r>
      <w:r w:rsidRPr="00E74730">
        <w:rPr>
          <w:rFonts w:ascii="Book Antiqua" w:eastAsia="Book Antiqua" w:hAnsi="Book Antiqua" w:cs="Book Antiqua"/>
        </w:rPr>
        <w:t xml:space="preserve"> and 99 patients received endoscopic retrograde biliary drainage with 10 Fr</w:t>
      </w:r>
      <w:r w:rsidR="0058386C" w:rsidRPr="00E74730">
        <w:rPr>
          <w:rFonts w:ascii="Book Antiqua" w:eastAsia="Book Antiqua" w:hAnsi="Book Antiqua" w:cs="Book Antiqua"/>
        </w:rPr>
        <w:t>ench</w:t>
      </w:r>
      <w:r w:rsidRPr="00E74730">
        <w:rPr>
          <w:rFonts w:ascii="Book Antiqua" w:eastAsia="Book Antiqua" w:hAnsi="Book Antiqua" w:cs="Book Antiqua"/>
        </w:rPr>
        <w:t xml:space="preserve"> or 8.5 Fr</w:t>
      </w:r>
      <w:r w:rsidR="0058386C" w:rsidRPr="00E74730">
        <w:rPr>
          <w:rFonts w:ascii="Book Antiqua" w:eastAsia="Book Antiqua" w:hAnsi="Book Antiqua" w:cs="Book Antiqua"/>
        </w:rPr>
        <w:t>ench</w:t>
      </w:r>
      <w:r w:rsidRPr="00E74730">
        <w:rPr>
          <w:rFonts w:ascii="Book Antiqua" w:eastAsia="Book Antiqua" w:hAnsi="Book Antiqua" w:cs="Book Antiqua"/>
        </w:rPr>
        <w:t xml:space="preserve"> plastic stents). Three patients suffered from mild pancreatitis post ERCP and recovered in </w:t>
      </w:r>
      <w:r w:rsidR="0058386C" w:rsidRPr="00E74730">
        <w:rPr>
          <w:rFonts w:ascii="Book Antiqua" w:eastAsia="Book Antiqua" w:hAnsi="Book Antiqua" w:cs="Book Antiqua"/>
        </w:rPr>
        <w:t>1 wk</w:t>
      </w:r>
      <w:r w:rsidRPr="00E74730">
        <w:rPr>
          <w:rFonts w:ascii="Book Antiqua" w:eastAsia="Book Antiqua" w:hAnsi="Book Antiqua" w:cs="Book Antiqua"/>
        </w:rPr>
        <w:t>.</w:t>
      </w:r>
    </w:p>
    <w:p w14:paraId="6EB18E03" w14:textId="77777777" w:rsidR="00F64FCD" w:rsidRPr="00E74730" w:rsidRDefault="00F64FCD" w:rsidP="00E74730">
      <w:pPr>
        <w:snapToGrid w:val="0"/>
        <w:spacing w:line="360" w:lineRule="auto"/>
        <w:jc w:val="both"/>
      </w:pPr>
    </w:p>
    <w:p w14:paraId="2CA1ED92" w14:textId="77777777" w:rsidR="00F64FCD" w:rsidRPr="00E74730" w:rsidRDefault="004E536D" w:rsidP="00E74730">
      <w:pPr>
        <w:snapToGrid w:val="0"/>
        <w:spacing w:line="360" w:lineRule="auto"/>
        <w:jc w:val="both"/>
      </w:pPr>
      <w:r w:rsidRPr="00E74730">
        <w:rPr>
          <w:rFonts w:ascii="Book Antiqua" w:eastAsia="Book Antiqua" w:hAnsi="Book Antiqua" w:cs="Book Antiqua"/>
          <w:b/>
          <w:caps/>
          <w:u w:val="single"/>
        </w:rPr>
        <w:t>DISCUSSION</w:t>
      </w:r>
    </w:p>
    <w:p w14:paraId="5B23C3D8" w14:textId="49423767" w:rsidR="00F64FCD" w:rsidRPr="00E74730" w:rsidRDefault="004E536D" w:rsidP="00E74730">
      <w:pPr>
        <w:snapToGrid w:val="0"/>
        <w:spacing w:line="360" w:lineRule="auto"/>
        <w:jc w:val="both"/>
      </w:pPr>
      <w:r w:rsidRPr="00E74730">
        <w:rPr>
          <w:rFonts w:ascii="Book Antiqua" w:eastAsia="Book Antiqua" w:hAnsi="Book Antiqua" w:cs="Book Antiqua"/>
        </w:rPr>
        <w:t>In this study, several novel endoscopic findings were identified to predict cases of MS complicated with cholecystocholedochal fistulas. MS is a rare complication of gallstone disease, with a reported incidence ranging from 0.06% to 5.7% in patients undergoing cholecystectomy</w:t>
      </w:r>
      <w:r w:rsidRPr="00E74730">
        <w:rPr>
          <w:rFonts w:ascii="Book Antiqua" w:eastAsia="Book Antiqua" w:hAnsi="Book Antiqua" w:cs="Book Antiqua"/>
          <w:vertAlign w:val="superscript"/>
        </w:rPr>
        <w:t>[15,16]</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In 1942, Puestow reported a series of 16 patients who had a spontaneous internal biliary fistula between the gallbladder and CBD</w:t>
      </w:r>
      <w:r w:rsidRPr="00E74730">
        <w:rPr>
          <w:rFonts w:ascii="Book Antiqua" w:eastAsia="Book Antiqua" w:hAnsi="Book Antiqua" w:cs="Book Antiqua"/>
          <w:vertAlign w:val="superscript"/>
        </w:rPr>
        <w:t>[17]</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 xml:space="preserve">McSherry </w:t>
      </w:r>
      <w:r w:rsidRPr="00E74730">
        <w:rPr>
          <w:rFonts w:ascii="Book Antiqua" w:eastAsia="Book Antiqua" w:hAnsi="Book Antiqua" w:cs="Book Antiqua"/>
          <w:i/>
          <w:iCs/>
        </w:rPr>
        <w:t>et al</w:t>
      </w:r>
      <w:r w:rsidRPr="00E74730">
        <w:rPr>
          <w:rFonts w:ascii="Book Antiqua" w:eastAsia="Book Antiqua" w:hAnsi="Book Antiqua" w:cs="Book Antiqua"/>
          <w:vertAlign w:val="superscript"/>
        </w:rPr>
        <w:t>[2]</w:t>
      </w:r>
      <w:r w:rsidRPr="00E74730">
        <w:rPr>
          <w:rFonts w:ascii="Book Antiqua" w:eastAsia="Book Antiqua" w:hAnsi="Book Antiqua" w:cs="Book Antiqua"/>
        </w:rPr>
        <w:t xml:space="preserve"> and Csendes </w:t>
      </w:r>
      <w:r w:rsidRPr="00E74730">
        <w:rPr>
          <w:rFonts w:ascii="Book Antiqua" w:eastAsia="Book Antiqua" w:hAnsi="Book Antiqua" w:cs="Book Antiqua"/>
          <w:i/>
          <w:iCs/>
        </w:rPr>
        <w:t>et al</w:t>
      </w:r>
      <w:r w:rsidRPr="00E74730">
        <w:rPr>
          <w:rFonts w:ascii="Book Antiqua" w:eastAsia="Book Antiqua" w:hAnsi="Book Antiqua" w:cs="Book Antiqua"/>
          <w:vertAlign w:val="superscript"/>
        </w:rPr>
        <w:t>[3]</w:t>
      </w:r>
      <w:r w:rsidRPr="00E74730">
        <w:rPr>
          <w:rFonts w:ascii="Book Antiqua" w:eastAsia="Book Antiqua" w:hAnsi="Book Antiqua" w:cs="Book Antiqua"/>
        </w:rPr>
        <w:t xml:space="preserve"> further described patients with MS and a cholecystocholedochal fistula. MS without a cholecystocholedochal fistula can initially be treated laparoscopically</w:t>
      </w:r>
      <w:r w:rsidRPr="00E74730">
        <w:rPr>
          <w:rFonts w:ascii="Book Antiqua" w:eastAsia="Book Antiqua" w:hAnsi="Book Antiqua" w:cs="Book Antiqua"/>
          <w:vertAlign w:val="superscript"/>
        </w:rPr>
        <w:t>[18-21]</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However, the surgical treatment of MS with a cholecystocholedochal fistula is more difficult</w:t>
      </w:r>
      <w:r w:rsidR="0058386C" w:rsidRPr="00E74730">
        <w:rPr>
          <w:rFonts w:ascii="Book Antiqua" w:eastAsia="Book Antiqua" w:hAnsi="Book Antiqua" w:cs="Book Antiqua"/>
        </w:rPr>
        <w:t>,</w:t>
      </w:r>
      <w:r w:rsidRPr="00E74730">
        <w:rPr>
          <w:rFonts w:ascii="Book Antiqua" w:eastAsia="Book Antiqua" w:hAnsi="Book Antiqua" w:cs="Book Antiqua"/>
        </w:rPr>
        <w:t xml:space="preserve"> and laparotomy cholecystectomy w</w:t>
      </w:r>
      <w:r w:rsidR="0058386C" w:rsidRPr="00E74730">
        <w:rPr>
          <w:rFonts w:ascii="Book Antiqua" w:eastAsia="Book Antiqua" w:hAnsi="Book Antiqua" w:cs="Book Antiqua"/>
        </w:rPr>
        <w:t>as</w:t>
      </w:r>
      <w:r w:rsidRPr="00E74730">
        <w:rPr>
          <w:rFonts w:ascii="Book Antiqua" w:eastAsia="Book Antiqua" w:hAnsi="Book Antiqua" w:cs="Book Antiqua"/>
        </w:rPr>
        <w:t xml:space="preserve"> often used. Sometimes a T-tube may be placed in the CBD, away from the fistulous site, to prevent future stricture or worsening of the fistula, or a Roux-en-Y hepaticojejunostomy should be performed</w:t>
      </w:r>
      <w:r w:rsidRPr="00E74730">
        <w:rPr>
          <w:rFonts w:ascii="Book Antiqua" w:eastAsia="Book Antiqua" w:hAnsi="Book Antiqua" w:cs="Book Antiqua"/>
          <w:vertAlign w:val="superscript"/>
        </w:rPr>
        <w:t>[3,5-8,22,23]</w:t>
      </w:r>
      <w:r w:rsidRPr="00E74730">
        <w:rPr>
          <w:rFonts w:ascii="Book Antiqua" w:eastAsia="Book Antiqua" w:hAnsi="Book Antiqua" w:cs="Book Antiqua"/>
        </w:rPr>
        <w:t>. Hence, predicting a cholecystocholedochal fistula before cholecystectomy could help the surgeon make more precise surgical plans.</w:t>
      </w:r>
    </w:p>
    <w:p w14:paraId="061D0C17" w14:textId="0C54478F" w:rsidR="00F64FCD" w:rsidRPr="00E74730" w:rsidRDefault="004E536D" w:rsidP="00E74730">
      <w:pPr>
        <w:snapToGrid w:val="0"/>
        <w:spacing w:line="360" w:lineRule="auto"/>
        <w:ind w:firstLine="340"/>
        <w:jc w:val="both"/>
      </w:pPr>
      <w:r w:rsidRPr="00E74730">
        <w:rPr>
          <w:rFonts w:ascii="Book Antiqua" w:eastAsia="Book Antiqua" w:hAnsi="Book Antiqua" w:cs="Book Antiqua"/>
        </w:rPr>
        <w:t>Based on the above findings, the preoperative diagnosis of a biliary fistula is crucial. Abdominal ultrasound has a 96% sensitivity for gallstone detection</w:t>
      </w:r>
      <w:r w:rsidRPr="00E74730">
        <w:rPr>
          <w:rFonts w:ascii="Book Antiqua" w:eastAsia="Book Antiqua" w:hAnsi="Book Antiqua" w:cs="Book Antiqua"/>
          <w:vertAlign w:val="superscript"/>
        </w:rPr>
        <w:t>[24]</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Computed tomography can demonstrate the level of obstruction and is also able to exclude neoplastic lesions located at the hepatic hilum or the liver in patients with MS</w:t>
      </w:r>
      <w:r w:rsidRPr="00E74730">
        <w:rPr>
          <w:rFonts w:ascii="Book Antiqua" w:eastAsia="Book Antiqua" w:hAnsi="Book Antiqua" w:cs="Book Antiqua"/>
          <w:vertAlign w:val="superscript"/>
        </w:rPr>
        <w:t>[25,26]</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However, neither tool is ideal for diagnosing cholecystocholedochal fistulas.</w:t>
      </w:r>
      <w:r w:rsidRPr="00E74730">
        <w:rPr>
          <w:rFonts w:ascii="Book Antiqua" w:eastAsia="Book Antiqua" w:hAnsi="Book Antiqua" w:cs="Book Antiqua"/>
          <w:shd w:val="clear" w:color="auto" w:fill="FFFFFF"/>
        </w:rPr>
        <w:t xml:space="preserve"> </w:t>
      </w:r>
      <w:r w:rsidRPr="00E74730">
        <w:rPr>
          <w:rFonts w:ascii="Book Antiqua" w:eastAsia="Book Antiqua" w:hAnsi="Book Antiqua" w:cs="Book Antiqua"/>
        </w:rPr>
        <w:t>MRCP is as good as ERCP in diagnosing and delineating the details of biliary strictures. However, compared with ERCP, MRCP does not offer simultaneous therapeutic stenting</w:t>
      </w:r>
      <w:r w:rsidRPr="00E74730">
        <w:rPr>
          <w:rFonts w:ascii="Book Antiqua" w:eastAsia="Book Antiqua" w:hAnsi="Book Antiqua" w:cs="Book Antiqua"/>
          <w:vertAlign w:val="superscript"/>
        </w:rPr>
        <w:t>[27]</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 xml:space="preserve">Although intraoperative cholangiography can be performed on patients with MS during cholecystectomy, ERCP provides a cholangiogram and illustrates the relationship between the CBD, the cystic duct, and the gallbladder preoperatively. </w:t>
      </w:r>
    </w:p>
    <w:p w14:paraId="236580EF" w14:textId="77777777" w:rsidR="00F64FCD" w:rsidRPr="00E74730" w:rsidRDefault="004E536D" w:rsidP="00E74730">
      <w:pPr>
        <w:snapToGrid w:val="0"/>
        <w:spacing w:line="360" w:lineRule="auto"/>
        <w:ind w:firstLine="340"/>
        <w:jc w:val="both"/>
      </w:pPr>
      <w:r w:rsidRPr="00E74730">
        <w:rPr>
          <w:rFonts w:ascii="Book Antiqua" w:eastAsia="Book Antiqua" w:hAnsi="Book Antiqua" w:cs="Book Antiqua"/>
        </w:rPr>
        <w:t>First, a higher percentage of opacification of the gallbladder is seen during ERCP examination in patients with MS with a cholecystocholedochal fistula. In most patients with MS, the stones wreck the walls of the bile duct. As time passes, the stone can gradually migrate into the bile duct, causing necrosis of the duct, leading to a cholecystocholedochal fistula</w:t>
      </w:r>
      <w:r w:rsidRPr="00E74730">
        <w:rPr>
          <w:rFonts w:ascii="Book Antiqua" w:eastAsia="Book Antiqua" w:hAnsi="Book Antiqua" w:cs="Book Antiqua"/>
          <w:vertAlign w:val="superscript"/>
        </w:rPr>
        <w:t>[25,28]</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 xml:space="preserve">The elevated gallbladder pressure due to the cystic duct or the gallbladder neck obstruction in patients without a cholecystocholedochal fistula makes contrast difficult to enhance the gallbladder. The gallbladder pressure is then released after formation of the cholecystocholedochal fistula. Taken together, this could explain the higher percentage of opacification of the gallbladder during ERCP in this study. </w:t>
      </w:r>
    </w:p>
    <w:p w14:paraId="08101B9B" w14:textId="77777777" w:rsidR="00F64FCD" w:rsidRPr="00E74730" w:rsidRDefault="004E536D" w:rsidP="00E74730">
      <w:pPr>
        <w:snapToGrid w:val="0"/>
        <w:spacing w:line="360" w:lineRule="auto"/>
        <w:ind w:firstLine="340"/>
        <w:jc w:val="both"/>
      </w:pPr>
      <w:r w:rsidRPr="00E74730">
        <w:rPr>
          <w:rFonts w:ascii="Book Antiqua" w:eastAsia="Book Antiqua" w:hAnsi="Book Antiqua" w:cs="Book Antiqua"/>
        </w:rPr>
        <w:t xml:space="preserve">Second, a </w:t>
      </w:r>
      <w:r w:rsidRPr="00E74730">
        <w:rPr>
          <w:rFonts w:ascii="Book Antiqua" w:eastAsia="Book Antiqua" w:hAnsi="Book Antiqua" w:cs="Book Antiqua"/>
          <w:shd w:val="clear" w:color="auto" w:fill="FFFFFF"/>
        </w:rPr>
        <w:t>stricture length longer than 2 cm</w:t>
      </w:r>
      <w:r w:rsidRPr="00E74730">
        <w:rPr>
          <w:rFonts w:ascii="Book Antiqua" w:eastAsia="Book Antiqua" w:hAnsi="Book Antiqua" w:cs="Book Antiqua"/>
        </w:rPr>
        <w:t xml:space="preserve"> at the CBD is another important endoscopic finding in patients with MS without a fistula. Interestingly, the stone size in patients with MS with a cholecystocholedochal fistula was larger (median 2.25 cm) than in those without a cholecystocholedochal fistula (median 1.5 cm)</w:t>
      </w:r>
      <w:r w:rsidRPr="00E74730">
        <w:rPr>
          <w:rFonts w:ascii="Book Antiqua" w:eastAsia="Book Antiqua" w:hAnsi="Book Antiqua" w:cs="Book Antiqua"/>
          <w:vertAlign w:val="superscript"/>
        </w:rPr>
        <w:t>[29]</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 xml:space="preserve">Theoretically, the stricture length of the CBD is longer in patients with MS with a cholecystocholedochal fistula. Contrary to our analysis, we hypothesized that the longer stricture of the CBD might be related to the compression of the distended gallbladder or the cystic duct rather than the direct compression by the stone itself. After cholecystocholedochal fistula formation, the gallbladder and cystic duct decompress, and the stricture of the CBD may result from the direct compression by the stone, shortening the stricture length (Figure 3). </w:t>
      </w:r>
    </w:p>
    <w:p w14:paraId="6CFFC76C" w14:textId="5AA2FB32" w:rsidR="00F64FCD" w:rsidRPr="00E74730" w:rsidRDefault="004E536D" w:rsidP="00E74730">
      <w:pPr>
        <w:snapToGrid w:val="0"/>
        <w:spacing w:line="360" w:lineRule="auto"/>
        <w:ind w:firstLine="340"/>
        <w:jc w:val="both"/>
      </w:pPr>
      <w:r w:rsidRPr="00E74730">
        <w:rPr>
          <w:rFonts w:ascii="Book Antiqua" w:eastAsia="Book Antiqua" w:hAnsi="Book Antiqua" w:cs="Book Antiqua"/>
        </w:rPr>
        <w:t>ERCP also provides extra information in endoscopic findings not typically seen using intraoperative cholangiography. CBD stone is the most frequent finding during ERCP in patients with gallstones. In our series, we retrieved as many CBD stones as possible but only 10</w:t>
      </w:r>
      <w:r w:rsidR="00AB52C7" w:rsidRPr="00E74730">
        <w:rPr>
          <w:rFonts w:ascii="Book Antiqua" w:eastAsia="Book Antiqua" w:hAnsi="Book Antiqua" w:cs="Book Antiqua"/>
        </w:rPr>
        <w:t>%-</w:t>
      </w:r>
      <w:r w:rsidRPr="00E74730">
        <w:rPr>
          <w:rFonts w:ascii="Book Antiqua" w:eastAsia="Book Antiqua" w:hAnsi="Book Antiqua" w:cs="Book Antiqua"/>
        </w:rPr>
        <w:t>30% of patients had CBD stones in each of our groups, which is a much lower rate than in the regular patient population undergoing ERCP</w:t>
      </w:r>
      <w:r w:rsidRPr="00E74730">
        <w:rPr>
          <w:rFonts w:ascii="Book Antiqua" w:eastAsia="Book Antiqua" w:hAnsi="Book Antiqua" w:cs="Book Antiqua"/>
          <w:vertAlign w:val="superscript"/>
        </w:rPr>
        <w:t>[30,31]</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In MS, most of the bile duct obstruction is caused by external compression. Even in patients with a cholecystocholedochal fistula, only a small part of the stone eroded into the CBD, making it difficult to retrieve the stone. Previous studies have reported that stones causing MS are not always amenable to removal by ERCP methods</w:t>
      </w:r>
      <w:r w:rsidRPr="00E74730">
        <w:rPr>
          <w:rFonts w:ascii="Book Antiqua" w:eastAsia="Book Antiqua" w:hAnsi="Book Antiqua" w:cs="Book Antiqua"/>
          <w:vertAlign w:val="superscript"/>
        </w:rPr>
        <w:t>[32]</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This could explain the low retrieval rate of CBD stones in patients with MS.</w:t>
      </w:r>
    </w:p>
    <w:p w14:paraId="2B926A54" w14:textId="796E36CD" w:rsidR="00F64FCD" w:rsidRPr="00E74730" w:rsidRDefault="004E536D" w:rsidP="00E74730">
      <w:pPr>
        <w:snapToGrid w:val="0"/>
        <w:spacing w:line="360" w:lineRule="auto"/>
        <w:ind w:firstLine="340"/>
        <w:jc w:val="both"/>
      </w:pPr>
      <w:r w:rsidRPr="00E74730">
        <w:rPr>
          <w:rFonts w:ascii="Book Antiqua" w:eastAsia="Book Antiqua" w:hAnsi="Book Antiqua" w:cs="Book Antiqua"/>
        </w:rPr>
        <w:t>The last novel endoscopic finding was that pus in the CBD was more frequently found in patients with MS with cholecystocholedochal fistulas, presenting as an independent predictive factor, as demonstrated by multivariate logistic regression analysis. The incidence of pus in the CBD was up to 50% in patients with MS with a cholecystocholedochal fistula and only 15% in patients with MS without a fistula. Pus in the bile duct, or suppurative cholangitis, caused by calculus obstruction of the CBD and superimposed infection involving the entire biliary tract is associated with increased intraluminal pressure of the CBD</w:t>
      </w:r>
      <w:r w:rsidRPr="00E74730">
        <w:rPr>
          <w:rFonts w:ascii="Book Antiqua" w:eastAsia="Book Antiqua" w:hAnsi="Book Antiqua" w:cs="Book Antiqua"/>
          <w:vertAlign w:val="superscript"/>
        </w:rPr>
        <w:t>[33]</w:t>
      </w:r>
      <w:r w:rsidRPr="00E74730">
        <w:rPr>
          <w:rFonts w:ascii="Book Antiqua" w:eastAsia="Book Antiqua" w:hAnsi="Book Antiqua" w:cs="Book Antiqua"/>
        </w:rPr>
        <w:t>.</w:t>
      </w:r>
      <w:r w:rsidR="00E410AA" w:rsidRPr="00E74730">
        <w:rPr>
          <w:rFonts w:ascii="Book Antiqua" w:eastAsia="Book Antiqua" w:hAnsi="Book Antiqua" w:cs="Book Antiqua"/>
        </w:rPr>
        <w:t xml:space="preserve"> </w:t>
      </w:r>
      <w:r w:rsidRPr="00E74730">
        <w:rPr>
          <w:rFonts w:ascii="Book Antiqua" w:eastAsia="Book Antiqua" w:hAnsi="Book Antiqua" w:cs="Book Antiqua"/>
        </w:rPr>
        <w:t>As mentioned before, we consider MS with a cholecystocholedochal fistula as a progressive disease. Patients with impacted stones at the neck of the gallbladder or the cystic duct have elevated gallbladder pressure. The stones lead to repeated inflammation and necrosis of the gallbladder wall, resulting in a cholecystocholedochal fistula. The pressure in the gallbladder is released</w:t>
      </w:r>
      <w:r w:rsidR="008E140A" w:rsidRPr="00E74730">
        <w:rPr>
          <w:rFonts w:ascii="Book Antiqua" w:eastAsia="Book Antiqua" w:hAnsi="Book Antiqua" w:cs="Book Antiqua"/>
        </w:rPr>
        <w:t>,</w:t>
      </w:r>
      <w:r w:rsidRPr="00E74730">
        <w:rPr>
          <w:rFonts w:ascii="Book Antiqua" w:eastAsia="Book Antiqua" w:hAnsi="Book Antiqua" w:cs="Book Antiqua"/>
        </w:rPr>
        <w:t xml:space="preserve"> but intraductal pressure of the CBD increases due to stone migration, causing serious bile duct obstruction and suppurative cholangitis. This endoscopic finding has been previously confirmed by intraoperative findings</w:t>
      </w:r>
      <w:r w:rsidRPr="00E74730">
        <w:rPr>
          <w:rFonts w:ascii="Book Antiqua" w:eastAsia="Book Antiqua" w:hAnsi="Book Antiqua" w:cs="Book Antiqua"/>
          <w:vertAlign w:val="superscript"/>
        </w:rPr>
        <w:t>[3]</w:t>
      </w:r>
      <w:r w:rsidRPr="00E74730">
        <w:rPr>
          <w:rFonts w:ascii="Book Antiqua" w:eastAsia="Book Antiqua" w:hAnsi="Book Antiqua" w:cs="Book Antiqua"/>
        </w:rPr>
        <w:t xml:space="preserve">. </w:t>
      </w:r>
    </w:p>
    <w:p w14:paraId="2B05E82A" w14:textId="77777777" w:rsidR="00F64FCD" w:rsidRPr="00E74730" w:rsidRDefault="004E536D" w:rsidP="00E74730">
      <w:pPr>
        <w:snapToGrid w:val="0"/>
        <w:spacing w:line="360" w:lineRule="auto"/>
        <w:ind w:firstLine="340"/>
        <w:jc w:val="both"/>
      </w:pPr>
      <w:r w:rsidRPr="00E74730">
        <w:rPr>
          <w:rFonts w:ascii="Book Antiqua" w:eastAsia="Book Antiqua" w:hAnsi="Book Antiqua" w:cs="Book Antiqua"/>
        </w:rPr>
        <w:t>A major limitation of our study is its retrospective nature. In addition, the number of patients with MS with cholecystocholedochal</w:t>
      </w:r>
      <w:r w:rsidRPr="00E74730">
        <w:rPr>
          <w:rFonts w:ascii="Book Antiqua" w:eastAsia="Book Antiqua" w:hAnsi="Book Antiqua" w:cs="Book Antiqua"/>
          <w:shd w:val="clear" w:color="auto" w:fill="FFFFFF"/>
        </w:rPr>
        <w:t xml:space="preserve"> fistulas</w:t>
      </w:r>
      <w:r w:rsidRPr="00E74730">
        <w:rPr>
          <w:rFonts w:ascii="Book Antiqua" w:eastAsia="Book Antiqua" w:hAnsi="Book Antiqua" w:cs="Book Antiqua"/>
        </w:rPr>
        <w:t xml:space="preserve"> were relatively small. The factors that were found in our study should also be verified in future clinical studies.</w:t>
      </w:r>
    </w:p>
    <w:p w14:paraId="1CA87052" w14:textId="77777777" w:rsidR="00F64FCD" w:rsidRPr="00E74730" w:rsidRDefault="00F64FCD" w:rsidP="00E74730">
      <w:pPr>
        <w:snapToGrid w:val="0"/>
        <w:spacing w:line="360" w:lineRule="auto"/>
        <w:jc w:val="both"/>
      </w:pPr>
    </w:p>
    <w:p w14:paraId="04E9C432" w14:textId="77777777" w:rsidR="005678EE" w:rsidRPr="00E74730" w:rsidRDefault="005678EE" w:rsidP="00E74730">
      <w:pPr>
        <w:snapToGrid w:val="0"/>
        <w:spacing w:line="360" w:lineRule="auto"/>
        <w:jc w:val="both"/>
        <w:rPr>
          <w:b/>
          <w:caps/>
          <w:u w:val="single"/>
        </w:rPr>
      </w:pPr>
      <w:r w:rsidRPr="00E74730">
        <w:rPr>
          <w:rFonts w:ascii="Book Antiqua" w:eastAsia="Book Antiqua" w:hAnsi="Book Antiqua" w:cs="Book Antiqua"/>
          <w:b/>
          <w:caps/>
          <w:u w:val="single"/>
        </w:rPr>
        <w:t>conclusion</w:t>
      </w:r>
    </w:p>
    <w:p w14:paraId="171873CE" w14:textId="77777777" w:rsidR="00F64FCD" w:rsidRPr="00E74730" w:rsidRDefault="004E536D" w:rsidP="00E74730">
      <w:pPr>
        <w:snapToGrid w:val="0"/>
        <w:spacing w:line="360" w:lineRule="auto"/>
        <w:jc w:val="both"/>
      </w:pPr>
      <w:r w:rsidRPr="00E74730">
        <w:rPr>
          <w:rFonts w:ascii="Book Antiqua" w:eastAsia="Book Antiqua" w:hAnsi="Book Antiqua" w:cs="Book Antiqua"/>
        </w:rPr>
        <w:t>In conclusion, it is important to establish the preoperative diagnosis of a cholecystocholedochal fistula by ERCP to optimize planning for the surgical procedure in patients with MS. In our series, ERCP provided a predictive factor for cholecystocholedochal fistulas, both endoscopically and by cholangiography. Gall bladder opacification is more frequent is patients with cholecystocholedochal fistula. Pus in the CBD during ERCP is more likely to predict an adverse event with a cholecystocholedochal</w:t>
      </w:r>
      <w:r w:rsidRPr="00E74730">
        <w:rPr>
          <w:rFonts w:ascii="Book Antiqua" w:eastAsia="Book Antiqua" w:hAnsi="Book Antiqua" w:cs="Book Antiqua"/>
          <w:shd w:val="clear" w:color="auto" w:fill="FFFFFF"/>
        </w:rPr>
        <w:t xml:space="preserve"> fistula in patients with MS. However, a stricture longer than 2 cm at the CBD is less likely to predict a </w:t>
      </w:r>
      <w:r w:rsidRPr="00E74730">
        <w:rPr>
          <w:rFonts w:ascii="Book Antiqua" w:eastAsia="Book Antiqua" w:hAnsi="Book Antiqua" w:cs="Book Antiqua"/>
        </w:rPr>
        <w:t>cholecystocholedochal</w:t>
      </w:r>
      <w:r w:rsidRPr="00E74730">
        <w:rPr>
          <w:rFonts w:ascii="Book Antiqua" w:eastAsia="Book Antiqua" w:hAnsi="Book Antiqua" w:cs="Book Antiqua"/>
          <w:shd w:val="clear" w:color="auto" w:fill="FFFFFF"/>
        </w:rPr>
        <w:t xml:space="preserve"> fistula in these patients.</w:t>
      </w:r>
    </w:p>
    <w:p w14:paraId="17634668" w14:textId="77777777" w:rsidR="00186E24" w:rsidRPr="00E74730" w:rsidRDefault="00186E24" w:rsidP="00E74730">
      <w:pPr>
        <w:snapToGrid w:val="0"/>
        <w:spacing w:line="360" w:lineRule="auto"/>
        <w:jc w:val="both"/>
      </w:pPr>
    </w:p>
    <w:p w14:paraId="5690C305" w14:textId="77777777" w:rsidR="00F64FCD" w:rsidRPr="00E74730" w:rsidRDefault="004E536D" w:rsidP="00E74730">
      <w:pPr>
        <w:snapToGrid w:val="0"/>
        <w:spacing w:line="360" w:lineRule="auto"/>
        <w:jc w:val="both"/>
      </w:pPr>
      <w:r w:rsidRPr="00E74730">
        <w:rPr>
          <w:rFonts w:ascii="Book Antiqua" w:eastAsia="Book Antiqua" w:hAnsi="Book Antiqua" w:cs="Book Antiqua"/>
          <w:b/>
          <w:caps/>
          <w:u w:val="single"/>
        </w:rPr>
        <w:t>ARTICLE HIGHLIGHTS</w:t>
      </w:r>
    </w:p>
    <w:p w14:paraId="0A967C59" w14:textId="77777777" w:rsidR="00F64FCD" w:rsidRPr="00E74730" w:rsidRDefault="004E536D" w:rsidP="00E74730">
      <w:pPr>
        <w:snapToGrid w:val="0"/>
        <w:spacing w:line="360" w:lineRule="auto"/>
        <w:jc w:val="both"/>
      </w:pPr>
      <w:r w:rsidRPr="00E74730">
        <w:rPr>
          <w:rFonts w:ascii="Book Antiqua" w:eastAsia="Book Antiqua" w:hAnsi="Book Antiqua" w:cs="Book Antiqua"/>
          <w:b/>
          <w:i/>
        </w:rPr>
        <w:t>Research background</w:t>
      </w:r>
    </w:p>
    <w:p w14:paraId="4A2D1A87" w14:textId="77777777" w:rsidR="00F64FCD" w:rsidRPr="00E74730" w:rsidRDefault="004E536D" w:rsidP="00E74730">
      <w:pPr>
        <w:snapToGrid w:val="0"/>
        <w:spacing w:line="360" w:lineRule="auto"/>
        <w:jc w:val="both"/>
      </w:pPr>
      <w:r w:rsidRPr="00E74730">
        <w:rPr>
          <w:rFonts w:ascii="Book Antiqua" w:eastAsia="Book Antiqua" w:hAnsi="Book Antiqua" w:cs="Book Antiqua"/>
        </w:rPr>
        <w:t>Mirizzi syndrome (MS) is defined as an extrinsic compression of the extrahepatic biliary system by an impacted stone in the gallbladder or the cystic duct leading to obstructive jaundice</w:t>
      </w:r>
      <w:r w:rsidRPr="00E74730">
        <w:rPr>
          <w:rFonts w:ascii="Book Antiqua" w:eastAsia="Book Antiqua" w:hAnsi="Book Antiqua" w:cs="Book Antiqua"/>
          <w:shd w:val="clear" w:color="auto" w:fill="FFFFFF"/>
        </w:rPr>
        <w:t>. Cholecystectomy</w:t>
      </w:r>
      <w:r w:rsidRPr="00E74730">
        <w:rPr>
          <w:rFonts w:ascii="Book Antiqua" w:eastAsia="Book Antiqua" w:hAnsi="Book Antiqua" w:cs="Book Antiqua"/>
        </w:rPr>
        <w:t xml:space="preserve"> is a challenging procedure </w:t>
      </w:r>
      <w:r w:rsidRPr="00E74730">
        <w:rPr>
          <w:rFonts w:ascii="Book Antiqua" w:eastAsia="Book Antiqua" w:hAnsi="Book Antiqua" w:cs="Book Antiqua"/>
          <w:shd w:val="clear" w:color="auto" w:fill="FFFFFF"/>
        </w:rPr>
        <w:t xml:space="preserve">for a laparoscopic surgeon </w:t>
      </w:r>
      <w:r w:rsidRPr="00E74730">
        <w:rPr>
          <w:rFonts w:ascii="Book Antiqua" w:eastAsia="Book Antiqua" w:hAnsi="Book Antiqua" w:cs="Book Antiqua"/>
        </w:rPr>
        <w:t>in patients with MS, and the presence of a cholecystocholedochal fistula</w:t>
      </w:r>
      <w:r w:rsidRPr="00E74730">
        <w:rPr>
          <w:rFonts w:ascii="Book Antiqua" w:eastAsia="Book Antiqua" w:hAnsi="Book Antiqua" w:cs="Book Antiqua"/>
          <w:shd w:val="clear" w:color="auto" w:fill="FFFFFF"/>
        </w:rPr>
        <w:t xml:space="preserve"> renders preoperative diagnosis important during </w:t>
      </w:r>
      <w:r w:rsidRPr="00E74730">
        <w:rPr>
          <w:rFonts w:ascii="Book Antiqua" w:eastAsia="Book Antiqua" w:hAnsi="Book Antiqua" w:cs="Book Antiqua"/>
        </w:rPr>
        <w:t>endoscopic retrograde cholangiopancreatography (ERCP).</w:t>
      </w:r>
    </w:p>
    <w:p w14:paraId="3F5F8FB9" w14:textId="77777777" w:rsidR="00F64FCD" w:rsidRPr="00E74730" w:rsidRDefault="00F64FCD" w:rsidP="00E74730">
      <w:pPr>
        <w:snapToGrid w:val="0"/>
        <w:spacing w:line="360" w:lineRule="auto"/>
        <w:jc w:val="both"/>
      </w:pPr>
    </w:p>
    <w:p w14:paraId="50198E83" w14:textId="77777777" w:rsidR="00F64FCD" w:rsidRPr="00E74730" w:rsidRDefault="004E536D" w:rsidP="00E74730">
      <w:pPr>
        <w:snapToGrid w:val="0"/>
        <w:spacing w:line="360" w:lineRule="auto"/>
        <w:jc w:val="both"/>
      </w:pPr>
      <w:r w:rsidRPr="00E74730">
        <w:rPr>
          <w:rFonts w:ascii="Book Antiqua" w:eastAsia="Book Antiqua" w:hAnsi="Book Antiqua" w:cs="Book Antiqua"/>
          <w:b/>
          <w:i/>
        </w:rPr>
        <w:t>Research motivation</w:t>
      </w:r>
    </w:p>
    <w:p w14:paraId="7F7D1D6A" w14:textId="1849E3F6" w:rsidR="00F64FCD" w:rsidRPr="00E74730" w:rsidRDefault="004E536D" w:rsidP="00E74730">
      <w:pPr>
        <w:snapToGrid w:val="0"/>
        <w:spacing w:line="360" w:lineRule="auto"/>
        <w:jc w:val="both"/>
      </w:pPr>
      <w:r w:rsidRPr="00E74730">
        <w:rPr>
          <w:rFonts w:ascii="Book Antiqua" w:eastAsia="Book Antiqua" w:hAnsi="Book Antiqua" w:cs="Book Antiqua"/>
        </w:rPr>
        <w:t xml:space="preserve">Our study revealed that gall bladder opacification is more frequent in patients with cholecystocholedochal fistula. Pus in the </w:t>
      </w:r>
      <w:r w:rsidRPr="00E74730">
        <w:rPr>
          <w:rFonts w:ascii="Book Antiqua" w:eastAsia="Book Antiqua" w:hAnsi="Book Antiqua" w:cs="Book Antiqua"/>
          <w:shd w:val="clear" w:color="auto" w:fill="FFFFFF"/>
        </w:rPr>
        <w:t>common bile duct</w:t>
      </w:r>
      <w:r w:rsidRPr="00E74730">
        <w:rPr>
          <w:rFonts w:ascii="Book Antiqua" w:eastAsia="Book Antiqua" w:hAnsi="Book Antiqua" w:cs="Book Antiqua"/>
        </w:rPr>
        <w:t xml:space="preserve"> is </w:t>
      </w:r>
      <w:r w:rsidR="008E140A" w:rsidRPr="00E74730">
        <w:rPr>
          <w:rFonts w:ascii="Book Antiqua" w:eastAsia="Book Antiqua" w:hAnsi="Book Antiqua" w:cs="Book Antiqua"/>
        </w:rPr>
        <w:t xml:space="preserve">a </w:t>
      </w:r>
      <w:r w:rsidRPr="00E74730">
        <w:rPr>
          <w:rFonts w:ascii="Book Antiqua" w:eastAsia="Book Antiqua" w:hAnsi="Book Antiqua" w:cs="Book Antiqua"/>
        </w:rPr>
        <w:t>predictive factor for the diagnosis of MS with cholecystocholedochal</w:t>
      </w:r>
      <w:r w:rsidRPr="00E74730">
        <w:rPr>
          <w:rFonts w:ascii="Book Antiqua" w:eastAsia="Book Antiqua" w:hAnsi="Book Antiqua" w:cs="Book Antiqua"/>
          <w:shd w:val="clear" w:color="auto" w:fill="FFFFFF"/>
        </w:rPr>
        <w:t xml:space="preserve"> fistulas</w:t>
      </w:r>
      <w:r w:rsidR="008E140A" w:rsidRPr="00E74730">
        <w:rPr>
          <w:rFonts w:ascii="Book Antiqua" w:eastAsia="Book Antiqua" w:hAnsi="Book Antiqua" w:cs="Book Antiqua"/>
          <w:shd w:val="clear" w:color="auto" w:fill="FFFFFF"/>
        </w:rPr>
        <w:t>,</w:t>
      </w:r>
      <w:r w:rsidRPr="00E74730">
        <w:rPr>
          <w:rFonts w:ascii="Book Antiqua" w:eastAsia="Book Antiqua" w:hAnsi="Book Antiqua" w:cs="Book Antiqua"/>
          <w:shd w:val="clear" w:color="auto" w:fill="FFFFFF"/>
        </w:rPr>
        <w:t xml:space="preserve"> </w:t>
      </w:r>
      <w:r w:rsidRPr="00E74730">
        <w:rPr>
          <w:rFonts w:ascii="Book Antiqua" w:eastAsia="Book Antiqua" w:hAnsi="Book Antiqua" w:cs="Book Antiqua"/>
        </w:rPr>
        <w:t xml:space="preserve">and </w:t>
      </w:r>
      <w:r w:rsidRPr="00E74730">
        <w:rPr>
          <w:rFonts w:ascii="Book Antiqua" w:eastAsia="Book Antiqua" w:hAnsi="Book Antiqua" w:cs="Book Antiqua"/>
          <w:shd w:val="clear" w:color="auto" w:fill="FFFFFF"/>
        </w:rPr>
        <w:t>stricture length of the common bile duct longer than 2 cm</w:t>
      </w:r>
      <w:r w:rsidRPr="00E74730">
        <w:rPr>
          <w:rFonts w:ascii="Book Antiqua" w:eastAsia="Book Antiqua" w:hAnsi="Book Antiqua" w:cs="Book Antiqua"/>
        </w:rPr>
        <w:t xml:space="preserve"> is </w:t>
      </w:r>
      <w:r w:rsidR="008E140A" w:rsidRPr="00E74730">
        <w:rPr>
          <w:rFonts w:ascii="Book Antiqua" w:eastAsia="Book Antiqua" w:hAnsi="Book Antiqua" w:cs="Book Antiqua"/>
        </w:rPr>
        <w:t>a</w:t>
      </w:r>
      <w:r w:rsidRPr="00E74730">
        <w:rPr>
          <w:rFonts w:ascii="Book Antiqua" w:eastAsia="Book Antiqua" w:hAnsi="Book Antiqua" w:cs="Book Antiqua"/>
        </w:rPr>
        <w:t xml:space="preserve"> protective factor for cholecystocholedochal</w:t>
      </w:r>
      <w:r w:rsidRPr="00E74730">
        <w:rPr>
          <w:rFonts w:ascii="Book Antiqua" w:eastAsia="Book Antiqua" w:hAnsi="Book Antiqua" w:cs="Book Antiqua"/>
          <w:shd w:val="clear" w:color="auto" w:fill="FFFFFF"/>
        </w:rPr>
        <w:t xml:space="preserve"> fistulas in patients with MS.</w:t>
      </w:r>
    </w:p>
    <w:p w14:paraId="7DDE65F0" w14:textId="77777777" w:rsidR="00F64FCD" w:rsidRPr="00E74730" w:rsidRDefault="00F64FCD" w:rsidP="00E74730">
      <w:pPr>
        <w:snapToGrid w:val="0"/>
        <w:spacing w:line="360" w:lineRule="auto"/>
        <w:jc w:val="both"/>
      </w:pPr>
    </w:p>
    <w:p w14:paraId="57F9A0E5" w14:textId="77777777" w:rsidR="00F64FCD" w:rsidRPr="00E74730" w:rsidRDefault="004E536D" w:rsidP="00E74730">
      <w:pPr>
        <w:snapToGrid w:val="0"/>
        <w:spacing w:line="360" w:lineRule="auto"/>
        <w:jc w:val="both"/>
      </w:pPr>
      <w:r w:rsidRPr="00E74730">
        <w:rPr>
          <w:rFonts w:ascii="Book Antiqua" w:eastAsia="Book Antiqua" w:hAnsi="Book Antiqua" w:cs="Book Antiqua"/>
          <w:b/>
          <w:i/>
        </w:rPr>
        <w:t>Research objectives</w:t>
      </w:r>
    </w:p>
    <w:p w14:paraId="1E9E6303" w14:textId="65BB11E2" w:rsidR="00F64FCD" w:rsidRPr="00E74730" w:rsidRDefault="004E536D" w:rsidP="00E74730">
      <w:pPr>
        <w:snapToGrid w:val="0"/>
        <w:spacing w:line="360" w:lineRule="auto"/>
        <w:jc w:val="both"/>
      </w:pPr>
      <w:r w:rsidRPr="00E74730">
        <w:rPr>
          <w:rFonts w:ascii="Book Antiqua" w:eastAsia="Book Antiqua" w:hAnsi="Book Antiqua" w:cs="Book Antiqua"/>
        </w:rPr>
        <w:t xml:space="preserve">This study is a retrospective analysis </w:t>
      </w:r>
      <w:r w:rsidR="008E140A" w:rsidRPr="00E74730">
        <w:rPr>
          <w:rFonts w:ascii="Book Antiqua" w:eastAsia="Book Antiqua" w:hAnsi="Book Antiqua" w:cs="Book Antiqua"/>
        </w:rPr>
        <w:t xml:space="preserve">that </w:t>
      </w:r>
      <w:r w:rsidRPr="00E74730">
        <w:rPr>
          <w:rFonts w:ascii="Book Antiqua" w:eastAsia="Book Antiqua" w:hAnsi="Book Antiqua" w:cs="Book Antiqua"/>
        </w:rPr>
        <w:t>aimed to investigate predictive factors for patients with MS with cholecystocholedochal fistulas during ERCP before laparoscopic surgery.</w:t>
      </w:r>
    </w:p>
    <w:p w14:paraId="3D491A32" w14:textId="77777777" w:rsidR="00F64FCD" w:rsidRPr="00E74730" w:rsidRDefault="00F64FCD" w:rsidP="00E74730">
      <w:pPr>
        <w:snapToGrid w:val="0"/>
        <w:spacing w:line="360" w:lineRule="auto"/>
        <w:jc w:val="both"/>
      </w:pPr>
    </w:p>
    <w:p w14:paraId="387EBB2B" w14:textId="77777777" w:rsidR="00F64FCD" w:rsidRPr="00E74730" w:rsidRDefault="004E536D" w:rsidP="00E74730">
      <w:pPr>
        <w:snapToGrid w:val="0"/>
        <w:spacing w:line="360" w:lineRule="auto"/>
        <w:jc w:val="both"/>
      </w:pPr>
      <w:r w:rsidRPr="00E74730">
        <w:rPr>
          <w:rFonts w:ascii="Book Antiqua" w:eastAsia="Book Antiqua" w:hAnsi="Book Antiqua" w:cs="Book Antiqua"/>
          <w:b/>
          <w:i/>
        </w:rPr>
        <w:t>Research methods</w:t>
      </w:r>
    </w:p>
    <w:p w14:paraId="70DF33A4" w14:textId="77777777" w:rsidR="00F64FCD" w:rsidRPr="00E74730" w:rsidRDefault="004E536D" w:rsidP="00E74730">
      <w:pPr>
        <w:snapToGrid w:val="0"/>
        <w:spacing w:line="360" w:lineRule="auto"/>
        <w:jc w:val="both"/>
      </w:pPr>
      <w:r w:rsidRPr="00E74730">
        <w:rPr>
          <w:rFonts w:ascii="Book Antiqua" w:eastAsia="Book Antiqua" w:hAnsi="Book Antiqua" w:cs="Book Antiqua"/>
        </w:rPr>
        <w:t xml:space="preserve">Patients with associated malignancy or those who had already undergone cholecystectomy before ERCP were excluded. In total, 117 patients with MS diagnosed by ERCP were enrolled in this study. The clinical data, cholangiography, and endoscopic findings during ERCP were recorded and analyzed. </w:t>
      </w:r>
    </w:p>
    <w:p w14:paraId="3DCCFE4F" w14:textId="77777777" w:rsidR="00F64FCD" w:rsidRPr="00E74730" w:rsidRDefault="00F64FCD" w:rsidP="00E74730">
      <w:pPr>
        <w:snapToGrid w:val="0"/>
        <w:spacing w:line="360" w:lineRule="auto"/>
        <w:jc w:val="both"/>
      </w:pPr>
    </w:p>
    <w:p w14:paraId="7C44ED8B" w14:textId="77777777" w:rsidR="00F64FCD" w:rsidRPr="00E74730" w:rsidRDefault="004E536D" w:rsidP="00E74730">
      <w:pPr>
        <w:snapToGrid w:val="0"/>
        <w:spacing w:line="360" w:lineRule="auto"/>
        <w:jc w:val="both"/>
      </w:pPr>
      <w:r w:rsidRPr="00E74730">
        <w:rPr>
          <w:rFonts w:ascii="Book Antiqua" w:eastAsia="Book Antiqua" w:hAnsi="Book Antiqua" w:cs="Book Antiqua"/>
          <w:b/>
          <w:i/>
        </w:rPr>
        <w:t>Research results</w:t>
      </w:r>
    </w:p>
    <w:p w14:paraId="7B59ED52" w14:textId="157B9AD2" w:rsidR="00F64FCD" w:rsidRPr="00E74730" w:rsidRDefault="004E536D" w:rsidP="00E74730">
      <w:pPr>
        <w:snapToGrid w:val="0"/>
        <w:spacing w:line="360" w:lineRule="auto"/>
        <w:jc w:val="both"/>
      </w:pPr>
      <w:r w:rsidRPr="00E74730">
        <w:rPr>
          <w:rFonts w:ascii="Book Antiqua" w:eastAsia="Book Antiqua" w:hAnsi="Book Antiqua" w:cs="Book Antiqua"/>
        </w:rPr>
        <w:t>Gallbladder opacification on cholangiography is more frequent in patients with MS complicated by</w:t>
      </w:r>
      <w:r w:rsidR="001A11E9" w:rsidRPr="00E74730">
        <w:rPr>
          <w:rFonts w:ascii="Book Antiqua" w:eastAsia="Book Antiqua" w:hAnsi="Book Antiqua" w:cs="Book Antiqua"/>
        </w:rPr>
        <w:t xml:space="preserve"> cholecystocholedochal fistulas</w:t>
      </w:r>
      <w:r w:rsidRPr="00E74730">
        <w:rPr>
          <w:rFonts w:ascii="Book Antiqua" w:eastAsia="Book Antiqua" w:hAnsi="Book Antiqua" w:cs="Book Antiqua"/>
        </w:rPr>
        <w:t xml:space="preserve">. Pus in the common bile duct and stricture length of the </w:t>
      </w:r>
      <w:r w:rsidR="008E140A" w:rsidRPr="00E74730">
        <w:rPr>
          <w:rFonts w:ascii="Book Antiqua" w:eastAsia="Book Antiqua" w:hAnsi="Book Antiqua" w:cs="Book Antiqua"/>
        </w:rPr>
        <w:t>common bile duct</w:t>
      </w:r>
      <w:r w:rsidRPr="00E74730">
        <w:rPr>
          <w:rFonts w:ascii="Book Antiqua" w:eastAsia="Book Antiqua" w:hAnsi="Book Antiqua" w:cs="Book Antiqua"/>
        </w:rPr>
        <w:t xml:space="preserve"> longer than 2 cm were two additional independent </w:t>
      </w:r>
      <w:r w:rsidRPr="00E74730">
        <w:rPr>
          <w:rFonts w:ascii="Book Antiqua" w:eastAsia="Book Antiqua" w:hAnsi="Book Antiqua" w:cs="Book Antiqua"/>
          <w:shd w:val="clear" w:color="auto" w:fill="FFFFFF"/>
        </w:rPr>
        <w:t>factors associated with MS, as demonstrated by multivariate analysis</w:t>
      </w:r>
    </w:p>
    <w:p w14:paraId="43F25E7F" w14:textId="77777777" w:rsidR="00F64FCD" w:rsidRPr="00E74730" w:rsidRDefault="00F64FCD" w:rsidP="00E74730">
      <w:pPr>
        <w:snapToGrid w:val="0"/>
        <w:spacing w:line="360" w:lineRule="auto"/>
        <w:jc w:val="both"/>
      </w:pPr>
    </w:p>
    <w:p w14:paraId="442003C8" w14:textId="77777777" w:rsidR="00F64FCD" w:rsidRPr="00E74730" w:rsidRDefault="004E536D" w:rsidP="00E74730">
      <w:pPr>
        <w:snapToGrid w:val="0"/>
        <w:spacing w:line="360" w:lineRule="auto"/>
        <w:jc w:val="both"/>
      </w:pPr>
      <w:r w:rsidRPr="00E74730">
        <w:rPr>
          <w:rFonts w:ascii="Book Antiqua" w:eastAsia="Book Antiqua" w:hAnsi="Book Antiqua" w:cs="Book Antiqua"/>
          <w:b/>
          <w:i/>
        </w:rPr>
        <w:t>Research conclusions</w:t>
      </w:r>
    </w:p>
    <w:p w14:paraId="1B3DDABD" w14:textId="77777777" w:rsidR="00F64FCD" w:rsidRPr="00E74730" w:rsidRDefault="004E536D" w:rsidP="00E74730">
      <w:pPr>
        <w:snapToGrid w:val="0"/>
        <w:spacing w:line="360" w:lineRule="auto"/>
        <w:jc w:val="both"/>
      </w:pPr>
      <w:r w:rsidRPr="00E74730">
        <w:rPr>
          <w:rFonts w:ascii="Book Antiqua" w:eastAsia="Book Antiqua" w:hAnsi="Book Antiqua" w:cs="Book Antiqua"/>
        </w:rPr>
        <w:t xml:space="preserve">It is important to establish the preoperative diagnosis of a cholecystocholedochal fistula by ERCP to optimize planning for the surgical procedure in patients with MS. Gall bladder opacification is more frequent is patients with cholecystocholedochal fistula. </w:t>
      </w:r>
    </w:p>
    <w:p w14:paraId="2EFD384A" w14:textId="77777777" w:rsidR="00F64FCD" w:rsidRPr="00E74730" w:rsidRDefault="00F64FCD" w:rsidP="00E74730">
      <w:pPr>
        <w:snapToGrid w:val="0"/>
        <w:spacing w:line="360" w:lineRule="auto"/>
        <w:jc w:val="both"/>
      </w:pPr>
    </w:p>
    <w:p w14:paraId="43652821" w14:textId="77777777" w:rsidR="00F64FCD" w:rsidRPr="00E74730" w:rsidRDefault="004E536D" w:rsidP="00E74730">
      <w:pPr>
        <w:snapToGrid w:val="0"/>
        <w:spacing w:line="360" w:lineRule="auto"/>
        <w:jc w:val="both"/>
      </w:pPr>
      <w:r w:rsidRPr="00E74730">
        <w:rPr>
          <w:rFonts w:ascii="Book Antiqua" w:eastAsia="Book Antiqua" w:hAnsi="Book Antiqua" w:cs="Book Antiqua"/>
          <w:b/>
          <w:i/>
        </w:rPr>
        <w:t>Research perspectives</w:t>
      </w:r>
    </w:p>
    <w:p w14:paraId="1AC14B23" w14:textId="77777777" w:rsidR="00F64FCD" w:rsidRPr="00E74730" w:rsidRDefault="004E536D" w:rsidP="00E74730">
      <w:pPr>
        <w:snapToGrid w:val="0"/>
        <w:spacing w:line="360" w:lineRule="auto"/>
        <w:jc w:val="both"/>
      </w:pPr>
      <w:r w:rsidRPr="00E74730">
        <w:rPr>
          <w:rFonts w:ascii="Book Antiqua" w:eastAsia="Book Antiqua" w:hAnsi="Book Antiqua" w:cs="Book Antiqua"/>
        </w:rPr>
        <w:t>The number of patients with MS with cholecystocholedochal</w:t>
      </w:r>
      <w:r w:rsidRPr="00E74730">
        <w:rPr>
          <w:rFonts w:ascii="Book Antiqua" w:eastAsia="Book Antiqua" w:hAnsi="Book Antiqua" w:cs="Book Antiqua"/>
          <w:shd w:val="clear" w:color="auto" w:fill="FFFFFF"/>
        </w:rPr>
        <w:t xml:space="preserve"> fistulas</w:t>
      </w:r>
      <w:r w:rsidRPr="00E74730">
        <w:rPr>
          <w:rFonts w:ascii="Book Antiqua" w:eastAsia="Book Antiqua" w:hAnsi="Book Antiqua" w:cs="Book Antiqua"/>
        </w:rPr>
        <w:t xml:space="preserve"> were relatively small. The factors that were found in our study should also be verified in future clinical studies.</w:t>
      </w:r>
    </w:p>
    <w:p w14:paraId="046C4CB1" w14:textId="77777777" w:rsidR="00F64FCD" w:rsidRDefault="00F64FCD" w:rsidP="00E74730">
      <w:pPr>
        <w:snapToGrid w:val="0"/>
        <w:spacing w:line="360" w:lineRule="auto"/>
        <w:jc w:val="both"/>
        <w:rPr>
          <w:rFonts w:eastAsiaTheme="minorEastAsia"/>
          <w:lang w:eastAsia="zh-CN"/>
        </w:rPr>
      </w:pPr>
    </w:p>
    <w:p w14:paraId="5F469630" w14:textId="77777777" w:rsidR="00565B8A" w:rsidRPr="00E74730" w:rsidRDefault="00565B8A" w:rsidP="00565B8A">
      <w:pPr>
        <w:snapToGrid w:val="0"/>
        <w:spacing w:line="360" w:lineRule="auto"/>
        <w:jc w:val="both"/>
      </w:pPr>
    </w:p>
    <w:p w14:paraId="31FCA7C6" w14:textId="77777777" w:rsidR="00565B8A" w:rsidRPr="00E74730" w:rsidRDefault="00565B8A" w:rsidP="00565B8A">
      <w:pPr>
        <w:snapToGrid w:val="0"/>
        <w:spacing w:line="360" w:lineRule="auto"/>
        <w:jc w:val="both"/>
      </w:pPr>
      <w:r w:rsidRPr="00E74730">
        <w:rPr>
          <w:rFonts w:ascii="Book Antiqua" w:eastAsia="Book Antiqua" w:hAnsi="Book Antiqua" w:cs="Book Antiqua"/>
          <w:b/>
          <w:caps/>
          <w:u w:val="single"/>
        </w:rPr>
        <w:t>ACKNOWLEDGEMENTS</w:t>
      </w:r>
    </w:p>
    <w:p w14:paraId="44BD25D4" w14:textId="77777777" w:rsidR="00565B8A" w:rsidRPr="00E74730" w:rsidRDefault="00565B8A" w:rsidP="00565B8A">
      <w:pPr>
        <w:snapToGrid w:val="0"/>
        <w:spacing w:line="360" w:lineRule="auto"/>
        <w:jc w:val="both"/>
      </w:pPr>
      <w:r w:rsidRPr="00E74730">
        <w:rPr>
          <w:rFonts w:ascii="Book Antiqua" w:eastAsia="Book Antiqua" w:hAnsi="Book Antiqua" w:cs="Book Antiqua"/>
          <w:shd w:val="clear" w:color="auto" w:fill="FFFFFF"/>
        </w:rPr>
        <w:t xml:space="preserve">The authors would like to thank Professor Teng W for reviewing the result of </w:t>
      </w:r>
      <w:r w:rsidRPr="00E74730">
        <w:rPr>
          <w:rFonts w:ascii="Book Antiqua" w:eastAsia="Book Antiqua" w:hAnsi="Book Antiqua" w:cs="Book Antiqua"/>
        </w:rPr>
        <w:t>statistical analysis in this study.</w:t>
      </w:r>
    </w:p>
    <w:p w14:paraId="689CB7DD" w14:textId="77777777" w:rsidR="00565B8A" w:rsidRPr="00565B8A" w:rsidRDefault="00565B8A" w:rsidP="00E74730">
      <w:pPr>
        <w:snapToGrid w:val="0"/>
        <w:spacing w:line="360" w:lineRule="auto"/>
        <w:jc w:val="both"/>
        <w:rPr>
          <w:rFonts w:eastAsiaTheme="minorEastAsia"/>
          <w:lang w:eastAsia="zh-CN"/>
        </w:rPr>
      </w:pPr>
    </w:p>
    <w:p w14:paraId="49C6E702" w14:textId="77777777" w:rsidR="00F64FCD" w:rsidRPr="00E74730" w:rsidRDefault="004E536D" w:rsidP="00E74730">
      <w:pPr>
        <w:snapToGrid w:val="0"/>
        <w:spacing w:line="360" w:lineRule="auto"/>
        <w:jc w:val="both"/>
      </w:pPr>
      <w:r w:rsidRPr="00E74730">
        <w:br w:type="page"/>
      </w:r>
      <w:r w:rsidRPr="00E74730">
        <w:rPr>
          <w:rFonts w:ascii="Book Antiqua" w:eastAsia="Book Antiqua" w:hAnsi="Book Antiqua" w:cs="Book Antiqua"/>
          <w:b/>
        </w:rPr>
        <w:t>REFERENCES</w:t>
      </w:r>
    </w:p>
    <w:p w14:paraId="6E992738" w14:textId="77777777" w:rsidR="00F64FCD" w:rsidRPr="00E74730" w:rsidRDefault="004E536D" w:rsidP="00E74730">
      <w:pPr>
        <w:widowControl w:val="0"/>
        <w:snapToGrid w:val="0"/>
        <w:spacing w:line="360" w:lineRule="auto"/>
        <w:jc w:val="both"/>
        <w:rPr>
          <w:rFonts w:ascii="Book Antiqua" w:hAnsi="Book Antiqua" w:cs="Book Antiqua"/>
        </w:rPr>
      </w:pPr>
      <w:bookmarkStart w:id="1" w:name="OLE_LINK2190"/>
      <w:bookmarkStart w:id="2" w:name="OLE_LINK2191"/>
      <w:r w:rsidRPr="00E74730">
        <w:rPr>
          <w:rFonts w:ascii="Book Antiqua" w:hAnsi="Book Antiqua" w:cs="Book Antiqua"/>
        </w:rPr>
        <w:t xml:space="preserve">1 </w:t>
      </w:r>
      <w:r w:rsidRPr="00E74730">
        <w:rPr>
          <w:rFonts w:ascii="Book Antiqua" w:hAnsi="Book Antiqua" w:cs="Book Antiqua"/>
          <w:b/>
        </w:rPr>
        <w:t>Mirizzi P</w:t>
      </w:r>
      <w:r w:rsidRPr="00E74730">
        <w:rPr>
          <w:rFonts w:ascii="Book Antiqua" w:hAnsi="Book Antiqua" w:cs="Book Antiqua"/>
        </w:rPr>
        <w:t xml:space="preserve">. Sindrome del conducto hepatico. </w:t>
      </w:r>
      <w:r w:rsidRPr="00E74730">
        <w:rPr>
          <w:rFonts w:ascii="Book Antiqua" w:hAnsi="Book Antiqua" w:cs="Book Antiqua"/>
          <w:i/>
        </w:rPr>
        <w:t>J Int Chir</w:t>
      </w:r>
      <w:r w:rsidRPr="00E74730">
        <w:rPr>
          <w:rFonts w:ascii="Book Antiqua" w:hAnsi="Book Antiqua" w:cs="Book Antiqua"/>
        </w:rPr>
        <w:t xml:space="preserve"> 1948; </w:t>
      </w:r>
      <w:r w:rsidRPr="00E74730">
        <w:rPr>
          <w:rFonts w:ascii="Book Antiqua" w:hAnsi="Book Antiqua" w:cs="Book Antiqua"/>
          <w:b/>
        </w:rPr>
        <w:t>8</w:t>
      </w:r>
      <w:r w:rsidRPr="00E74730">
        <w:rPr>
          <w:rFonts w:ascii="Book Antiqua" w:hAnsi="Book Antiqua" w:cs="Book Antiqua"/>
        </w:rPr>
        <w:t>: 731-777</w:t>
      </w:r>
    </w:p>
    <w:p w14:paraId="048273FA"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2 </w:t>
      </w:r>
      <w:r w:rsidRPr="00E74730">
        <w:rPr>
          <w:rFonts w:ascii="Book Antiqua" w:hAnsi="Book Antiqua" w:cs="Book Antiqua"/>
          <w:b/>
        </w:rPr>
        <w:t>McSherry C</w:t>
      </w:r>
      <w:r w:rsidRPr="00E74730">
        <w:rPr>
          <w:rFonts w:ascii="Book Antiqua" w:hAnsi="Book Antiqua" w:cs="Book Antiqua"/>
        </w:rPr>
        <w:t xml:space="preserve">. The Mirizzi syndrome: suggested classification and surgical therapy. </w:t>
      </w:r>
      <w:r w:rsidRPr="00E74730">
        <w:rPr>
          <w:rFonts w:ascii="Book Antiqua" w:hAnsi="Book Antiqua" w:cs="Book Antiqua"/>
          <w:i/>
        </w:rPr>
        <w:t xml:space="preserve">Surg Gastroenterol </w:t>
      </w:r>
      <w:r w:rsidRPr="00E74730">
        <w:rPr>
          <w:rFonts w:ascii="Book Antiqua" w:hAnsi="Book Antiqua" w:cs="Book Antiqua"/>
        </w:rPr>
        <w:t xml:space="preserve">1982; </w:t>
      </w:r>
      <w:r w:rsidRPr="00E74730">
        <w:rPr>
          <w:rFonts w:ascii="Book Antiqua" w:hAnsi="Book Antiqua" w:cs="Book Antiqua"/>
          <w:b/>
        </w:rPr>
        <w:t>1</w:t>
      </w:r>
      <w:r w:rsidRPr="00E74730">
        <w:rPr>
          <w:rFonts w:ascii="Book Antiqua" w:hAnsi="Book Antiqua" w:cs="Book Antiqua"/>
        </w:rPr>
        <w:t>: 219-225</w:t>
      </w:r>
    </w:p>
    <w:p w14:paraId="1BA7EF33"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3 </w:t>
      </w:r>
      <w:r w:rsidRPr="00E74730">
        <w:rPr>
          <w:rFonts w:ascii="Book Antiqua" w:hAnsi="Book Antiqua" w:cs="Book Antiqua"/>
          <w:b/>
        </w:rPr>
        <w:t>Csendes A</w:t>
      </w:r>
      <w:r w:rsidRPr="00E74730">
        <w:rPr>
          <w:rFonts w:ascii="Book Antiqua" w:hAnsi="Book Antiqua" w:cs="Book Antiqua"/>
        </w:rPr>
        <w:t xml:space="preserve">, Díaz JC, Burdiles P, Maluenda F, Nava O. Mirizzi syndrome and cholecystobiliary fistula: a unifying classification. </w:t>
      </w:r>
      <w:r w:rsidRPr="00E74730">
        <w:rPr>
          <w:rFonts w:ascii="Book Antiqua" w:hAnsi="Book Antiqua" w:cs="Book Antiqua"/>
          <w:i/>
        </w:rPr>
        <w:t>Br J Surg</w:t>
      </w:r>
      <w:r w:rsidRPr="00E74730">
        <w:rPr>
          <w:rFonts w:ascii="Book Antiqua" w:hAnsi="Book Antiqua" w:cs="Book Antiqua"/>
        </w:rPr>
        <w:t xml:space="preserve"> 1989; </w:t>
      </w:r>
      <w:r w:rsidRPr="00E74730">
        <w:rPr>
          <w:rFonts w:ascii="Book Antiqua" w:hAnsi="Book Antiqua" w:cs="Book Antiqua"/>
          <w:b/>
        </w:rPr>
        <w:t>76</w:t>
      </w:r>
      <w:r w:rsidRPr="00E74730">
        <w:rPr>
          <w:rFonts w:ascii="Book Antiqua" w:hAnsi="Book Antiqua" w:cs="Book Antiqua"/>
        </w:rPr>
        <w:t>: 1139-1143 [PMID: 2597969 DOI: 10.1002/bjs.1800761110]</w:t>
      </w:r>
    </w:p>
    <w:p w14:paraId="149045E8"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4 </w:t>
      </w:r>
      <w:r w:rsidRPr="00E74730">
        <w:rPr>
          <w:rFonts w:ascii="Book Antiqua" w:hAnsi="Book Antiqua" w:cs="Book Antiqua"/>
          <w:b/>
        </w:rPr>
        <w:t>Elhanafy E</w:t>
      </w:r>
      <w:r w:rsidRPr="00E74730">
        <w:rPr>
          <w:rFonts w:ascii="Book Antiqua" w:hAnsi="Book Antiqua" w:cs="Book Antiqua"/>
        </w:rPr>
        <w:t xml:space="preserve">, Atef E, El Nakeeb A, Hamdy E, Elhemaly M, Sultan AM. Mirizzi Syndrome: How it could be a challenge. </w:t>
      </w:r>
      <w:r w:rsidRPr="00E74730">
        <w:rPr>
          <w:rFonts w:ascii="Book Antiqua" w:hAnsi="Book Antiqua" w:cs="Book Antiqua"/>
          <w:i/>
        </w:rPr>
        <w:t>Hepatogastroenterology</w:t>
      </w:r>
      <w:r w:rsidRPr="00E74730">
        <w:rPr>
          <w:rFonts w:ascii="Book Antiqua" w:hAnsi="Book Antiqua" w:cs="Book Antiqua"/>
        </w:rPr>
        <w:t xml:space="preserve"> 2014; </w:t>
      </w:r>
      <w:r w:rsidRPr="00E74730">
        <w:rPr>
          <w:rFonts w:ascii="Book Antiqua" w:hAnsi="Book Antiqua" w:cs="Book Antiqua"/>
          <w:b/>
        </w:rPr>
        <w:t>61</w:t>
      </w:r>
      <w:r w:rsidRPr="00E74730">
        <w:rPr>
          <w:rFonts w:ascii="Book Antiqua" w:hAnsi="Book Antiqua" w:cs="Book Antiqua"/>
        </w:rPr>
        <w:t>: 1182-1186 [PMID: 25436279]</w:t>
      </w:r>
    </w:p>
    <w:p w14:paraId="7DD6889B"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5 </w:t>
      </w:r>
      <w:r w:rsidRPr="00E74730">
        <w:rPr>
          <w:rFonts w:ascii="Book Antiqua" w:hAnsi="Book Antiqua" w:cs="Book Antiqua"/>
          <w:b/>
        </w:rPr>
        <w:t>Baer HU</w:t>
      </w:r>
      <w:r w:rsidRPr="00E74730">
        <w:rPr>
          <w:rFonts w:ascii="Book Antiqua" w:hAnsi="Book Antiqua" w:cs="Book Antiqua"/>
        </w:rPr>
        <w:t xml:space="preserve">, Matthews JB, Schweizer WP, Gertsch P, Blumgart LH. Management of the Mirizzi syndrome and the surgical implications of cholecystcholedochal fistula. </w:t>
      </w:r>
      <w:r w:rsidRPr="00E74730">
        <w:rPr>
          <w:rFonts w:ascii="Book Antiqua" w:hAnsi="Book Antiqua" w:cs="Book Antiqua"/>
          <w:i/>
        </w:rPr>
        <w:t>Br J Surg</w:t>
      </w:r>
      <w:r w:rsidRPr="00E74730">
        <w:rPr>
          <w:rFonts w:ascii="Book Antiqua" w:hAnsi="Book Antiqua" w:cs="Book Antiqua"/>
        </w:rPr>
        <w:t xml:space="preserve"> 1990; </w:t>
      </w:r>
      <w:r w:rsidRPr="00E74730">
        <w:rPr>
          <w:rFonts w:ascii="Book Antiqua" w:hAnsi="Book Antiqua" w:cs="Book Antiqua"/>
          <w:b/>
        </w:rPr>
        <w:t>77</w:t>
      </w:r>
      <w:r w:rsidRPr="00E74730">
        <w:rPr>
          <w:rFonts w:ascii="Book Antiqua" w:hAnsi="Book Antiqua" w:cs="Book Antiqua"/>
        </w:rPr>
        <w:t>: 743-745 [PMID: 2383747 DOI: 10.1002/bjs.1800770708]</w:t>
      </w:r>
    </w:p>
    <w:p w14:paraId="2A438C69"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6 </w:t>
      </w:r>
      <w:r w:rsidRPr="00E74730">
        <w:rPr>
          <w:rFonts w:ascii="Book Antiqua" w:hAnsi="Book Antiqua" w:cs="Book Antiqua"/>
          <w:b/>
        </w:rPr>
        <w:t>Katsohis C</w:t>
      </w:r>
      <w:r w:rsidRPr="00E74730">
        <w:rPr>
          <w:rFonts w:ascii="Book Antiqua" w:hAnsi="Book Antiqua" w:cs="Book Antiqua"/>
        </w:rPr>
        <w:t xml:space="preserve">, Prousalidis J, Tzardinoglou E, Michalopoulos A, Fahandidis E, Apostolidis S, Aletras H. Subtotal cholecystectomy. </w:t>
      </w:r>
      <w:r w:rsidRPr="00E74730">
        <w:rPr>
          <w:rFonts w:ascii="Book Antiqua" w:hAnsi="Book Antiqua" w:cs="Book Antiqua"/>
          <w:i/>
        </w:rPr>
        <w:t>HPB Surg</w:t>
      </w:r>
      <w:r w:rsidRPr="00E74730">
        <w:rPr>
          <w:rFonts w:ascii="Book Antiqua" w:hAnsi="Book Antiqua" w:cs="Book Antiqua"/>
        </w:rPr>
        <w:t xml:space="preserve"> 1996; </w:t>
      </w:r>
      <w:r w:rsidRPr="00E74730">
        <w:rPr>
          <w:rFonts w:ascii="Book Antiqua" w:hAnsi="Book Antiqua" w:cs="Book Antiqua"/>
          <w:b/>
        </w:rPr>
        <w:t>9</w:t>
      </w:r>
      <w:r w:rsidRPr="00E74730">
        <w:rPr>
          <w:rFonts w:ascii="Book Antiqua" w:hAnsi="Book Antiqua" w:cs="Book Antiqua"/>
        </w:rPr>
        <w:t>: 133-136 [PMID: 8725451 DOI: 10.1155/1996/14515]</w:t>
      </w:r>
    </w:p>
    <w:p w14:paraId="7C6E5369"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7 </w:t>
      </w:r>
      <w:r w:rsidRPr="00E74730">
        <w:rPr>
          <w:rFonts w:ascii="Book Antiqua" w:hAnsi="Book Antiqua" w:cs="Book Antiqua"/>
          <w:b/>
        </w:rPr>
        <w:t>Lee KF</w:t>
      </w:r>
      <w:r w:rsidRPr="00E74730">
        <w:rPr>
          <w:rFonts w:ascii="Book Antiqua" w:hAnsi="Book Antiqua" w:cs="Book Antiqua"/>
        </w:rPr>
        <w:t xml:space="preserve">, Chong CN, Ma KW, Cheung E, Wong J, Cheung S, Lai P. A minimally invasive strategy for Mirizzi syndrome: the combined endoscopic and robotic approach. </w:t>
      </w:r>
      <w:r w:rsidRPr="00E74730">
        <w:rPr>
          <w:rFonts w:ascii="Book Antiqua" w:hAnsi="Book Antiqua" w:cs="Book Antiqua"/>
          <w:i/>
        </w:rPr>
        <w:t>Surg Endosc</w:t>
      </w:r>
      <w:r w:rsidRPr="00E74730">
        <w:rPr>
          <w:rFonts w:ascii="Book Antiqua" w:hAnsi="Book Antiqua" w:cs="Book Antiqua"/>
        </w:rPr>
        <w:t xml:space="preserve"> 2014; </w:t>
      </w:r>
      <w:r w:rsidRPr="00E74730">
        <w:rPr>
          <w:rFonts w:ascii="Book Antiqua" w:hAnsi="Book Antiqua" w:cs="Book Antiqua"/>
          <w:b/>
        </w:rPr>
        <w:t>28</w:t>
      </w:r>
      <w:r w:rsidRPr="00E74730">
        <w:rPr>
          <w:rFonts w:ascii="Book Antiqua" w:hAnsi="Book Antiqua" w:cs="Book Antiqua"/>
        </w:rPr>
        <w:t>: 2690-2694 [PMID: 24737533 DOI: 10.1007/s00464-014-3529-3]</w:t>
      </w:r>
    </w:p>
    <w:p w14:paraId="2F82D6FC"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8 </w:t>
      </w:r>
      <w:r w:rsidRPr="00E74730">
        <w:rPr>
          <w:rFonts w:ascii="Book Antiqua" w:hAnsi="Book Antiqua" w:cs="Book Antiqua"/>
          <w:b/>
        </w:rPr>
        <w:t>Lacerda Pde S</w:t>
      </w:r>
      <w:r w:rsidRPr="00E74730">
        <w:rPr>
          <w:rFonts w:ascii="Book Antiqua" w:hAnsi="Book Antiqua" w:cs="Book Antiqua"/>
        </w:rPr>
        <w:t xml:space="preserve">, Ruiz MR, Melo A, Guimarães LS, Silva-Junior RA, Nakajima GS. Mirizzi syndrome: a surgical challenge. </w:t>
      </w:r>
      <w:r w:rsidRPr="00E74730">
        <w:rPr>
          <w:rFonts w:ascii="Book Antiqua" w:hAnsi="Book Antiqua" w:cs="Book Antiqua"/>
          <w:i/>
        </w:rPr>
        <w:t>Arq Bras Cir Dig</w:t>
      </w:r>
      <w:r w:rsidRPr="00E74730">
        <w:rPr>
          <w:rFonts w:ascii="Book Antiqua" w:hAnsi="Book Antiqua" w:cs="Book Antiqua"/>
        </w:rPr>
        <w:t xml:space="preserve"> 2014; </w:t>
      </w:r>
      <w:r w:rsidRPr="00E74730">
        <w:rPr>
          <w:rFonts w:ascii="Book Antiqua" w:hAnsi="Book Antiqua" w:cs="Book Antiqua"/>
          <w:b/>
        </w:rPr>
        <w:t>27</w:t>
      </w:r>
      <w:r w:rsidRPr="00E74730">
        <w:rPr>
          <w:rFonts w:ascii="Book Antiqua" w:hAnsi="Book Antiqua" w:cs="Book Antiqua"/>
        </w:rPr>
        <w:t>: 226-227 [PMID: 25184779 DOI: 10.1590/s0102-67202014000300017]</w:t>
      </w:r>
    </w:p>
    <w:p w14:paraId="497E547E"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9 </w:t>
      </w:r>
      <w:r w:rsidRPr="00E74730">
        <w:rPr>
          <w:rFonts w:ascii="Book Antiqua" w:hAnsi="Book Antiqua" w:cs="Book Antiqua"/>
          <w:b/>
        </w:rPr>
        <w:t>Yonetci N</w:t>
      </w:r>
      <w:r w:rsidRPr="00E74730">
        <w:rPr>
          <w:rFonts w:ascii="Book Antiqua" w:hAnsi="Book Antiqua" w:cs="Book Antiqua"/>
        </w:rPr>
        <w:t xml:space="preserve">, Kutluana U, Yilmaz M, Sungurtekin U, Tekin K. The incidence of Mirizzi syndrome in patients undergoing endoscopic retrograde cholangiopancreatography. </w:t>
      </w:r>
      <w:r w:rsidRPr="00E74730">
        <w:rPr>
          <w:rFonts w:ascii="Book Antiqua" w:hAnsi="Book Antiqua" w:cs="Book Antiqua"/>
          <w:i/>
        </w:rPr>
        <w:t>Hepatobiliary Pancreat Dis Int</w:t>
      </w:r>
      <w:r w:rsidRPr="00E74730">
        <w:rPr>
          <w:rFonts w:ascii="Book Antiqua" w:hAnsi="Book Antiqua" w:cs="Book Antiqua"/>
        </w:rPr>
        <w:t xml:space="preserve"> 2008; </w:t>
      </w:r>
      <w:r w:rsidRPr="00E74730">
        <w:rPr>
          <w:rFonts w:ascii="Book Antiqua" w:hAnsi="Book Antiqua" w:cs="Book Antiqua"/>
          <w:b/>
        </w:rPr>
        <w:t>7</w:t>
      </w:r>
      <w:r w:rsidRPr="00E74730">
        <w:rPr>
          <w:rFonts w:ascii="Book Antiqua" w:hAnsi="Book Antiqua" w:cs="Book Antiqua"/>
        </w:rPr>
        <w:t>: 520-524 [PMID: 18842500]</w:t>
      </w:r>
    </w:p>
    <w:p w14:paraId="0E7C428A"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10 </w:t>
      </w:r>
      <w:r w:rsidRPr="00E74730">
        <w:rPr>
          <w:rFonts w:ascii="Book Antiqua" w:hAnsi="Book Antiqua" w:cs="Book Antiqua"/>
          <w:b/>
        </w:rPr>
        <w:t>Kiriyama S</w:t>
      </w:r>
      <w:r w:rsidRPr="00E74730">
        <w:rPr>
          <w:rFonts w:ascii="Book Antiqua" w:hAnsi="Book Antiqua" w:cs="Book Antiqua"/>
        </w:rPr>
        <w:t xml:space="preserve">, Kozaka K, Takada T, Strasberg SM, Pitt HA, Gabata T, Hata J, Liau KH, Miura F, Horiguchi A, Liu KH, Su CH, Wada K, Jagannath P, Itoi T, Gouma DJ, Mori Y, Mukai S, Giménez ME, Huang WS, Kim MH, Okamoto K, Belli G, Dervenis C, Chan ACW, Lau WY, Endo I, Gomi H, Yoshida M, Mayumi T, Baron TH, de Santibañes E, Teoh AYB, Hwang TL, Ker CG, Chen MF, Han HS, Yoon YS, Choi IS, Yoon DS, Higuchi R, Kitano S, Inomata M, Deziel DJ, Jonas E, Hirata K, Sumiyama Y, Inui K, Yamamoto M. Tokyo Guidelines 2018: diagnostic criteria and severity grading of acute cholangitis (with videos). </w:t>
      </w:r>
      <w:r w:rsidRPr="00E74730">
        <w:rPr>
          <w:rFonts w:ascii="Book Antiqua" w:hAnsi="Book Antiqua" w:cs="Book Antiqua"/>
          <w:i/>
        </w:rPr>
        <w:t>J Hepatobiliary Pancreat Sci</w:t>
      </w:r>
      <w:r w:rsidRPr="00E74730">
        <w:rPr>
          <w:rFonts w:ascii="Book Antiqua" w:hAnsi="Book Antiqua" w:cs="Book Antiqua"/>
        </w:rPr>
        <w:t xml:space="preserve"> 2018; </w:t>
      </w:r>
      <w:r w:rsidRPr="00E74730">
        <w:rPr>
          <w:rFonts w:ascii="Book Antiqua" w:hAnsi="Book Antiqua" w:cs="Book Antiqua"/>
          <w:b/>
        </w:rPr>
        <w:t>25</w:t>
      </w:r>
      <w:r w:rsidRPr="00E74730">
        <w:rPr>
          <w:rFonts w:ascii="Book Antiqua" w:hAnsi="Book Antiqua" w:cs="Book Antiqua"/>
        </w:rPr>
        <w:t>: 17-30 [PMID: 29032610 DOI: 10.1002/jhbp.512]</w:t>
      </w:r>
    </w:p>
    <w:p w14:paraId="501156AA"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11 </w:t>
      </w:r>
      <w:r w:rsidRPr="00E74730">
        <w:rPr>
          <w:rFonts w:ascii="Book Antiqua" w:hAnsi="Book Antiqua" w:cs="Book Antiqua"/>
          <w:b/>
        </w:rPr>
        <w:t>Bollman JL,</w:t>
      </w:r>
      <w:r w:rsidR="00E410AA" w:rsidRPr="00E74730">
        <w:rPr>
          <w:rFonts w:ascii="Book Antiqua" w:hAnsi="Book Antiqua" w:cs="Book Antiqua"/>
        </w:rPr>
        <w:t xml:space="preserve"> </w:t>
      </w:r>
      <w:r w:rsidRPr="00E74730">
        <w:rPr>
          <w:rFonts w:ascii="Book Antiqua" w:hAnsi="Book Antiqua" w:cs="Book Antiqua"/>
        </w:rPr>
        <w:t xml:space="preserve">Mann FC. Peptic ulcer in experimental obstructive jaundice. </w:t>
      </w:r>
      <w:r w:rsidRPr="00E74730">
        <w:rPr>
          <w:rFonts w:ascii="Book Antiqua" w:hAnsi="Book Antiqua" w:cs="Book Antiqua"/>
          <w:i/>
        </w:rPr>
        <w:t>Arch Surg</w:t>
      </w:r>
      <w:r w:rsidRPr="00E74730">
        <w:rPr>
          <w:rFonts w:ascii="Book Antiqua" w:hAnsi="Book Antiqua" w:cs="Book Antiqua"/>
        </w:rPr>
        <w:t xml:space="preserve"> 1932; </w:t>
      </w:r>
      <w:r w:rsidRPr="00E74730">
        <w:rPr>
          <w:rFonts w:ascii="Book Antiqua" w:hAnsi="Book Antiqua" w:cs="Book Antiqua"/>
          <w:b/>
        </w:rPr>
        <w:t>24</w:t>
      </w:r>
      <w:r w:rsidRPr="00E74730">
        <w:rPr>
          <w:rFonts w:ascii="Book Antiqua" w:hAnsi="Book Antiqua" w:cs="Book Antiqua"/>
        </w:rPr>
        <w:t>: 126-135 [</w:t>
      </w:r>
      <w:r w:rsidRPr="00E74730">
        <w:rPr>
          <w:rFonts w:ascii="Book Antiqua" w:hAnsi="Book Antiqua" w:cs="Book Antiqua"/>
          <w:caps/>
        </w:rPr>
        <w:t>doi:</w:t>
      </w:r>
      <w:r w:rsidR="009A1A6A" w:rsidRPr="00E74730">
        <w:rPr>
          <w:rFonts w:ascii="Book Antiqua" w:hAnsi="Book Antiqua" w:cs="Book Antiqua"/>
        </w:rPr>
        <w:t xml:space="preserve"> </w:t>
      </w:r>
      <w:r w:rsidRPr="00E74730">
        <w:rPr>
          <w:rFonts w:ascii="Book Antiqua" w:hAnsi="Book Antiqua" w:cs="Book Antiqua"/>
        </w:rPr>
        <w:t>10.1001/archsurg.1932.01160130129008]</w:t>
      </w:r>
    </w:p>
    <w:p w14:paraId="443689E1"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12 </w:t>
      </w:r>
      <w:r w:rsidRPr="00E74730">
        <w:rPr>
          <w:rFonts w:ascii="Book Antiqua" w:hAnsi="Book Antiqua" w:cs="Book Antiqua"/>
          <w:b/>
        </w:rPr>
        <w:t>Cingi A</w:t>
      </w:r>
      <w:r w:rsidRPr="00E74730">
        <w:rPr>
          <w:rFonts w:ascii="Book Antiqua" w:hAnsi="Book Antiqua" w:cs="Book Antiqua"/>
        </w:rPr>
        <w:t xml:space="preserve">, Ahiskali R, Oktar BK, Gülpinar MA, Yegen C, Yegen BC. Biliary decompression reduces the susceptibility to ethanol-induced ulcer in jaundiced rats. </w:t>
      </w:r>
      <w:r w:rsidRPr="00E74730">
        <w:rPr>
          <w:rFonts w:ascii="Book Antiqua" w:hAnsi="Book Antiqua" w:cs="Book Antiqua"/>
          <w:i/>
        </w:rPr>
        <w:t>Physiol Res</w:t>
      </w:r>
      <w:r w:rsidRPr="00E74730">
        <w:rPr>
          <w:rFonts w:ascii="Book Antiqua" w:hAnsi="Book Antiqua" w:cs="Book Antiqua"/>
        </w:rPr>
        <w:t xml:space="preserve"> 2002; </w:t>
      </w:r>
      <w:r w:rsidRPr="00E74730">
        <w:rPr>
          <w:rFonts w:ascii="Book Antiqua" w:hAnsi="Book Antiqua" w:cs="Book Antiqua"/>
          <w:b/>
        </w:rPr>
        <w:t>51</w:t>
      </w:r>
      <w:r w:rsidRPr="00E74730">
        <w:rPr>
          <w:rFonts w:ascii="Book Antiqua" w:hAnsi="Book Antiqua" w:cs="Book Antiqua"/>
        </w:rPr>
        <w:t>: 619-627 [PMID: 12511187]</w:t>
      </w:r>
    </w:p>
    <w:p w14:paraId="7B545992"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13 </w:t>
      </w:r>
      <w:r w:rsidRPr="00E74730">
        <w:rPr>
          <w:rFonts w:ascii="Book Antiqua" w:hAnsi="Book Antiqua" w:cs="Book Antiqua"/>
          <w:b/>
        </w:rPr>
        <w:t>Sasaki I</w:t>
      </w:r>
      <w:r w:rsidRPr="00E74730">
        <w:rPr>
          <w:rFonts w:ascii="Book Antiqua" w:hAnsi="Book Antiqua" w:cs="Book Antiqua"/>
        </w:rPr>
        <w:t xml:space="preserve">, Miyakawa H, Kameyama J, Kamiyama Y, Sato T. Influence of obstructive jaundice on acute gastric ulcer, intragastric pH and potential difference in rats. </w:t>
      </w:r>
      <w:r w:rsidRPr="00E74730">
        <w:rPr>
          <w:rFonts w:ascii="Book Antiqua" w:hAnsi="Book Antiqua" w:cs="Book Antiqua"/>
          <w:i/>
        </w:rPr>
        <w:t>Tohoku J Exp Med</w:t>
      </w:r>
      <w:r w:rsidRPr="00E74730">
        <w:rPr>
          <w:rFonts w:ascii="Book Antiqua" w:hAnsi="Book Antiqua" w:cs="Book Antiqua"/>
        </w:rPr>
        <w:t xml:space="preserve"> 1986; </w:t>
      </w:r>
      <w:r w:rsidRPr="00E74730">
        <w:rPr>
          <w:rFonts w:ascii="Book Antiqua" w:hAnsi="Book Antiqua" w:cs="Book Antiqua"/>
          <w:b/>
        </w:rPr>
        <w:t>150</w:t>
      </w:r>
      <w:r w:rsidRPr="00E74730">
        <w:rPr>
          <w:rFonts w:ascii="Book Antiqua" w:hAnsi="Book Antiqua" w:cs="Book Antiqua"/>
        </w:rPr>
        <w:t>: 161-168 [PMID: 3810641 DOI: 10.1620/tjem.150.161]</w:t>
      </w:r>
    </w:p>
    <w:p w14:paraId="6DFD3843"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14 </w:t>
      </w:r>
      <w:r w:rsidRPr="00E74730">
        <w:rPr>
          <w:rFonts w:ascii="Book Antiqua" w:hAnsi="Book Antiqua" w:cs="Book Antiqua"/>
          <w:b/>
        </w:rPr>
        <w:t>Cantürk NZ</w:t>
      </w:r>
      <w:r w:rsidRPr="00E74730">
        <w:rPr>
          <w:rFonts w:ascii="Book Antiqua" w:hAnsi="Book Antiqua" w:cs="Book Antiqua"/>
        </w:rPr>
        <w:t xml:space="preserve">, Cantürk Z, Ozbilim G, Yenisey C. Protective effect of vitamin E on gastric mucosal injury in rats with biliary obstruction. </w:t>
      </w:r>
      <w:r w:rsidRPr="00E74730">
        <w:rPr>
          <w:rFonts w:ascii="Book Antiqua" w:hAnsi="Book Antiqua" w:cs="Book Antiqua"/>
          <w:i/>
        </w:rPr>
        <w:t>Can J Gastroenterol</w:t>
      </w:r>
      <w:r w:rsidRPr="00E74730">
        <w:rPr>
          <w:rFonts w:ascii="Book Antiqua" w:hAnsi="Book Antiqua" w:cs="Book Antiqua"/>
        </w:rPr>
        <w:t xml:space="preserve"> 2000; </w:t>
      </w:r>
      <w:r w:rsidRPr="00E74730">
        <w:rPr>
          <w:rFonts w:ascii="Book Antiqua" w:hAnsi="Book Antiqua" w:cs="Book Antiqua"/>
          <w:b/>
        </w:rPr>
        <w:t>14</w:t>
      </w:r>
      <w:r w:rsidRPr="00E74730">
        <w:rPr>
          <w:rFonts w:ascii="Book Antiqua" w:hAnsi="Book Antiqua" w:cs="Book Antiqua"/>
        </w:rPr>
        <w:t>: 499-503 [PMID: 10888730 DOI: 10.1155/2000/641671]</w:t>
      </w:r>
    </w:p>
    <w:p w14:paraId="266456DB"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15 </w:t>
      </w:r>
      <w:r w:rsidRPr="00E74730">
        <w:rPr>
          <w:rFonts w:ascii="Book Antiqua" w:hAnsi="Book Antiqua" w:cs="Book Antiqua"/>
          <w:b/>
        </w:rPr>
        <w:t>Antoniou SA</w:t>
      </w:r>
      <w:r w:rsidRPr="00E74730">
        <w:rPr>
          <w:rFonts w:ascii="Book Antiqua" w:hAnsi="Book Antiqua" w:cs="Book Antiqua"/>
        </w:rPr>
        <w:t xml:space="preserve">, Antoniou GA, Makridis C. Laparoscopic treatment of Mirizzi syndrome: a systematic review. </w:t>
      </w:r>
      <w:r w:rsidRPr="00E74730">
        <w:rPr>
          <w:rFonts w:ascii="Book Antiqua" w:hAnsi="Book Antiqua" w:cs="Book Antiqua"/>
          <w:i/>
        </w:rPr>
        <w:t>Surg Endosc</w:t>
      </w:r>
      <w:r w:rsidRPr="00E74730">
        <w:rPr>
          <w:rFonts w:ascii="Book Antiqua" w:hAnsi="Book Antiqua" w:cs="Book Antiqua"/>
        </w:rPr>
        <w:t xml:space="preserve"> 2010; </w:t>
      </w:r>
      <w:r w:rsidRPr="00E74730">
        <w:rPr>
          <w:rFonts w:ascii="Book Antiqua" w:hAnsi="Book Antiqua" w:cs="Book Antiqua"/>
          <w:b/>
        </w:rPr>
        <w:t>24</w:t>
      </w:r>
      <w:r w:rsidRPr="00E74730">
        <w:rPr>
          <w:rFonts w:ascii="Book Antiqua" w:hAnsi="Book Antiqua" w:cs="Book Antiqua"/>
        </w:rPr>
        <w:t>: 33-39 [PMID: 19466486 DOI: 10.1007/s00464-009-0520-5]</w:t>
      </w:r>
    </w:p>
    <w:p w14:paraId="7264D46A"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16 </w:t>
      </w:r>
      <w:r w:rsidRPr="00E74730">
        <w:rPr>
          <w:rFonts w:ascii="Book Antiqua" w:hAnsi="Book Antiqua" w:cs="Book Antiqua"/>
          <w:b/>
        </w:rPr>
        <w:t>Beltran MA</w:t>
      </w:r>
      <w:r w:rsidRPr="00E74730">
        <w:rPr>
          <w:rFonts w:ascii="Book Antiqua" w:hAnsi="Book Antiqua" w:cs="Book Antiqua"/>
        </w:rPr>
        <w:t xml:space="preserve">, Csendes A, Cruces KS. The relationship of Mirizzi syndrome and cholecystoenteric fistula: validation of a modified classification. </w:t>
      </w:r>
      <w:r w:rsidRPr="00E74730">
        <w:rPr>
          <w:rFonts w:ascii="Book Antiqua" w:hAnsi="Book Antiqua" w:cs="Book Antiqua"/>
          <w:i/>
        </w:rPr>
        <w:t>World J Surg</w:t>
      </w:r>
      <w:r w:rsidRPr="00E74730">
        <w:rPr>
          <w:rFonts w:ascii="Book Antiqua" w:hAnsi="Book Antiqua" w:cs="Book Antiqua"/>
        </w:rPr>
        <w:t xml:space="preserve"> 2008; </w:t>
      </w:r>
      <w:r w:rsidRPr="00E74730">
        <w:rPr>
          <w:rFonts w:ascii="Book Antiqua" w:hAnsi="Book Antiqua" w:cs="Book Antiqua"/>
          <w:b/>
        </w:rPr>
        <w:t>32</w:t>
      </w:r>
      <w:r w:rsidRPr="00E74730">
        <w:rPr>
          <w:rFonts w:ascii="Book Antiqua" w:hAnsi="Book Antiqua" w:cs="Book Antiqua"/>
        </w:rPr>
        <w:t>: 2237-2243 [PMID: 18587614 DOI: 10.1007/s00268-008-9660-3]</w:t>
      </w:r>
    </w:p>
    <w:p w14:paraId="2135E3F1" w14:textId="6CA9AD8D"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17 </w:t>
      </w:r>
      <w:r w:rsidRPr="00E74730">
        <w:rPr>
          <w:rFonts w:ascii="Book Antiqua" w:hAnsi="Book Antiqua" w:cs="Book Antiqua"/>
          <w:b/>
        </w:rPr>
        <w:t>Puestow CB</w:t>
      </w:r>
      <w:r w:rsidRPr="00E74730">
        <w:rPr>
          <w:rFonts w:ascii="Book Antiqua" w:hAnsi="Book Antiqua" w:cs="Book Antiqua"/>
        </w:rPr>
        <w:t>. S</w:t>
      </w:r>
      <w:r w:rsidR="00C47E91" w:rsidRPr="00E74730">
        <w:rPr>
          <w:rFonts w:ascii="Book Antiqua" w:hAnsi="Book Antiqua" w:cs="Book Antiqua"/>
        </w:rPr>
        <w:t>pontaneous internal biliary fistulae</w:t>
      </w:r>
      <w:r w:rsidRPr="00E74730">
        <w:rPr>
          <w:rFonts w:ascii="Book Antiqua" w:hAnsi="Book Antiqua" w:cs="Book Antiqua"/>
        </w:rPr>
        <w:t xml:space="preserve">. </w:t>
      </w:r>
      <w:r w:rsidRPr="00E74730">
        <w:rPr>
          <w:rFonts w:ascii="Book Antiqua" w:hAnsi="Book Antiqua" w:cs="Book Antiqua"/>
          <w:i/>
        </w:rPr>
        <w:t>Ann Surg</w:t>
      </w:r>
      <w:r w:rsidRPr="00E74730">
        <w:rPr>
          <w:rFonts w:ascii="Book Antiqua" w:hAnsi="Book Antiqua" w:cs="Book Antiqua"/>
        </w:rPr>
        <w:t xml:space="preserve"> 1942; </w:t>
      </w:r>
      <w:r w:rsidRPr="00E74730">
        <w:rPr>
          <w:rFonts w:ascii="Book Antiqua" w:hAnsi="Book Antiqua" w:cs="Book Antiqua"/>
          <w:b/>
        </w:rPr>
        <w:t>115</w:t>
      </w:r>
      <w:r w:rsidRPr="00E74730">
        <w:rPr>
          <w:rFonts w:ascii="Book Antiqua" w:hAnsi="Book Antiqua" w:cs="Book Antiqua"/>
        </w:rPr>
        <w:t>: 1043-1054 [PMID: 17858034 DOI: 10.1097/00000658-194206000-00016]</w:t>
      </w:r>
    </w:p>
    <w:p w14:paraId="2B764ABA"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18 </w:t>
      </w:r>
      <w:r w:rsidRPr="00E74730">
        <w:rPr>
          <w:rFonts w:ascii="Book Antiqua" w:hAnsi="Book Antiqua" w:cs="Book Antiqua"/>
          <w:b/>
        </w:rPr>
        <w:t>Binnie NR</w:t>
      </w:r>
      <w:r w:rsidRPr="00E74730">
        <w:rPr>
          <w:rFonts w:ascii="Book Antiqua" w:hAnsi="Book Antiqua" w:cs="Book Antiqua"/>
        </w:rPr>
        <w:t xml:space="preserve">, Nixon SJ, Palmer KR. Mirizzi syndrome managed by endoscopic stenting and laparoscopic cholecystectomy. </w:t>
      </w:r>
      <w:r w:rsidRPr="00E74730">
        <w:rPr>
          <w:rFonts w:ascii="Book Antiqua" w:hAnsi="Book Antiqua" w:cs="Book Antiqua"/>
          <w:i/>
        </w:rPr>
        <w:t>Br J Surg</w:t>
      </w:r>
      <w:r w:rsidRPr="00E74730">
        <w:rPr>
          <w:rFonts w:ascii="Book Antiqua" w:hAnsi="Book Antiqua" w:cs="Book Antiqua"/>
        </w:rPr>
        <w:t xml:space="preserve"> 1992; </w:t>
      </w:r>
      <w:r w:rsidRPr="00E74730">
        <w:rPr>
          <w:rFonts w:ascii="Book Antiqua" w:hAnsi="Book Antiqua" w:cs="Book Antiqua"/>
          <w:b/>
        </w:rPr>
        <w:t>79</w:t>
      </w:r>
      <w:r w:rsidRPr="00E74730">
        <w:rPr>
          <w:rFonts w:ascii="Book Antiqua" w:hAnsi="Book Antiqua" w:cs="Book Antiqua"/>
        </w:rPr>
        <w:t>: 647 [PMID: 1643475 DOI: 10.1002/bjs.1800790717]</w:t>
      </w:r>
    </w:p>
    <w:p w14:paraId="741D818E"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19 </w:t>
      </w:r>
      <w:r w:rsidRPr="00E74730">
        <w:rPr>
          <w:rFonts w:ascii="Book Antiqua" w:hAnsi="Book Antiqua" w:cs="Book Antiqua"/>
          <w:b/>
        </w:rPr>
        <w:t>Paul MG</w:t>
      </w:r>
      <w:r w:rsidRPr="00E74730">
        <w:rPr>
          <w:rFonts w:ascii="Book Antiqua" w:hAnsi="Book Antiqua" w:cs="Book Antiqua"/>
        </w:rPr>
        <w:t xml:space="preserve">, Burris DG, McGuire AM, Thorfinnson HD, Schönekäs H. Laparoscopic surgery in the treatment of Mirizzi's syndrome. </w:t>
      </w:r>
      <w:r w:rsidRPr="00E74730">
        <w:rPr>
          <w:rFonts w:ascii="Book Antiqua" w:hAnsi="Book Antiqua" w:cs="Book Antiqua"/>
          <w:i/>
        </w:rPr>
        <w:t>J Laparoendosc Surg</w:t>
      </w:r>
      <w:r w:rsidRPr="00E74730">
        <w:rPr>
          <w:rFonts w:ascii="Book Antiqua" w:hAnsi="Book Antiqua" w:cs="Book Antiqua"/>
        </w:rPr>
        <w:t xml:space="preserve"> 1992; </w:t>
      </w:r>
      <w:r w:rsidRPr="00E74730">
        <w:rPr>
          <w:rFonts w:ascii="Book Antiqua" w:hAnsi="Book Antiqua" w:cs="Book Antiqua"/>
          <w:b/>
        </w:rPr>
        <w:t>2</w:t>
      </w:r>
      <w:r w:rsidRPr="00E74730">
        <w:rPr>
          <w:rFonts w:ascii="Book Antiqua" w:hAnsi="Book Antiqua" w:cs="Book Antiqua"/>
        </w:rPr>
        <w:t>: 157-163 [PMID: 1388067 DOI: 10.1089/Lps.1992.2.157]</w:t>
      </w:r>
    </w:p>
    <w:p w14:paraId="2B00296F"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20 </w:t>
      </w:r>
      <w:r w:rsidRPr="00E74730">
        <w:rPr>
          <w:rFonts w:ascii="Book Antiqua" w:hAnsi="Book Antiqua" w:cs="Book Antiqua"/>
          <w:b/>
        </w:rPr>
        <w:t>Meng WC</w:t>
      </w:r>
      <w:r w:rsidRPr="00E74730">
        <w:rPr>
          <w:rFonts w:ascii="Book Antiqua" w:hAnsi="Book Antiqua" w:cs="Book Antiqua"/>
        </w:rPr>
        <w:t xml:space="preserve">, Kwok SP, Kelly SB, Lau WY, Li AK. Management of Mirizzi syndrome by laparoscopic cholecystectomy and laparoscopic ultrasonography. </w:t>
      </w:r>
      <w:r w:rsidRPr="00E74730">
        <w:rPr>
          <w:rFonts w:ascii="Book Antiqua" w:hAnsi="Book Antiqua" w:cs="Book Antiqua"/>
          <w:i/>
        </w:rPr>
        <w:t>Br J Surg</w:t>
      </w:r>
      <w:r w:rsidRPr="00E74730">
        <w:rPr>
          <w:rFonts w:ascii="Book Antiqua" w:hAnsi="Book Antiqua" w:cs="Book Antiqua"/>
        </w:rPr>
        <w:t xml:space="preserve"> 1995; </w:t>
      </w:r>
      <w:r w:rsidRPr="00E74730">
        <w:rPr>
          <w:rFonts w:ascii="Book Antiqua" w:hAnsi="Book Antiqua" w:cs="Book Antiqua"/>
          <w:b/>
        </w:rPr>
        <w:t>82</w:t>
      </w:r>
      <w:r w:rsidRPr="00E74730">
        <w:rPr>
          <w:rFonts w:ascii="Book Antiqua" w:hAnsi="Book Antiqua" w:cs="Book Antiqua"/>
        </w:rPr>
        <w:t>: 396 [PMID: 7796022 DOI: 10.1002/bjs.1800820338]</w:t>
      </w:r>
    </w:p>
    <w:p w14:paraId="4042631D"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21 </w:t>
      </w:r>
      <w:r w:rsidRPr="00E74730">
        <w:rPr>
          <w:rFonts w:ascii="Book Antiqua" w:hAnsi="Book Antiqua" w:cs="Book Antiqua"/>
          <w:b/>
        </w:rPr>
        <w:t>Waisberg J</w:t>
      </w:r>
      <w:r w:rsidRPr="00E74730">
        <w:rPr>
          <w:rFonts w:ascii="Book Antiqua" w:hAnsi="Book Antiqua" w:cs="Book Antiqua"/>
        </w:rPr>
        <w:t xml:space="preserve">, Corona A, de Abreu IW, Farah JF, Lupinacci RA, Goffi FS. Benign obstruction of the common hepatic duct (Mirizzi syndrome): diagnosis and operative management. </w:t>
      </w:r>
      <w:r w:rsidRPr="00E74730">
        <w:rPr>
          <w:rFonts w:ascii="Book Antiqua" w:hAnsi="Book Antiqua" w:cs="Book Antiqua"/>
          <w:i/>
        </w:rPr>
        <w:t>Arq Gastroenterol</w:t>
      </w:r>
      <w:r w:rsidRPr="00E74730">
        <w:rPr>
          <w:rFonts w:ascii="Book Antiqua" w:hAnsi="Book Antiqua" w:cs="Book Antiqua"/>
        </w:rPr>
        <w:t xml:space="preserve"> 2005; </w:t>
      </w:r>
      <w:r w:rsidRPr="00E74730">
        <w:rPr>
          <w:rFonts w:ascii="Book Antiqua" w:hAnsi="Book Antiqua" w:cs="Book Antiqua"/>
          <w:b/>
        </w:rPr>
        <w:t>42</w:t>
      </w:r>
      <w:r w:rsidRPr="00E74730">
        <w:rPr>
          <w:rFonts w:ascii="Book Antiqua" w:hAnsi="Book Antiqua" w:cs="Book Antiqua"/>
        </w:rPr>
        <w:t>: 13-18 [PMID: 15976905 DOI: 10.1590/s0004-28032005000100005]</w:t>
      </w:r>
    </w:p>
    <w:p w14:paraId="4DE11691"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22 </w:t>
      </w:r>
      <w:r w:rsidRPr="00E74730">
        <w:rPr>
          <w:rFonts w:ascii="Book Antiqua" w:hAnsi="Book Antiqua" w:cs="Book Antiqua"/>
          <w:b/>
        </w:rPr>
        <w:t>Karademir S</w:t>
      </w:r>
      <w:r w:rsidRPr="00E74730">
        <w:rPr>
          <w:rFonts w:ascii="Book Antiqua" w:hAnsi="Book Antiqua" w:cs="Book Antiqua"/>
        </w:rPr>
        <w:t xml:space="preserve">, Astarcioğlu H, Sökmen S, Atila K, Tankurt E, Akpinar H, Coker A, Astarcioğlu I. Mirizzi's syndrome: diagnostic and surgical considerations in 25 patients. </w:t>
      </w:r>
      <w:r w:rsidRPr="00E74730">
        <w:rPr>
          <w:rFonts w:ascii="Book Antiqua" w:hAnsi="Book Antiqua" w:cs="Book Antiqua"/>
          <w:i/>
        </w:rPr>
        <w:t>J Hepatobiliary Pancreat Surg</w:t>
      </w:r>
      <w:r w:rsidRPr="00E74730">
        <w:rPr>
          <w:rFonts w:ascii="Book Antiqua" w:hAnsi="Book Antiqua" w:cs="Book Antiqua"/>
        </w:rPr>
        <w:t xml:space="preserve"> 2000; </w:t>
      </w:r>
      <w:r w:rsidRPr="00E74730">
        <w:rPr>
          <w:rFonts w:ascii="Book Antiqua" w:hAnsi="Book Antiqua" w:cs="Book Antiqua"/>
          <w:b/>
        </w:rPr>
        <w:t>7</w:t>
      </w:r>
      <w:r w:rsidRPr="00E74730">
        <w:rPr>
          <w:rFonts w:ascii="Book Antiqua" w:hAnsi="Book Antiqua" w:cs="Book Antiqua"/>
        </w:rPr>
        <w:t>: 72-77 [PMID: 10982595 DOI: 10.1007/s005340050157]</w:t>
      </w:r>
    </w:p>
    <w:p w14:paraId="4F2B9A02"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23 </w:t>
      </w:r>
      <w:r w:rsidRPr="00E74730">
        <w:rPr>
          <w:rFonts w:ascii="Book Antiqua" w:hAnsi="Book Antiqua" w:cs="Book Antiqua"/>
          <w:b/>
        </w:rPr>
        <w:t>Yip AW</w:t>
      </w:r>
      <w:r w:rsidRPr="00E74730">
        <w:rPr>
          <w:rFonts w:ascii="Book Antiqua" w:hAnsi="Book Antiqua" w:cs="Book Antiqua"/>
        </w:rPr>
        <w:t xml:space="preserve">, Chow WC, Chan J, Lam KH. Mirizzi syndrome with cholecystocholedochal fistula: preoperative diagnosis and management. </w:t>
      </w:r>
      <w:r w:rsidRPr="00E74730">
        <w:rPr>
          <w:rFonts w:ascii="Book Antiqua" w:hAnsi="Book Antiqua" w:cs="Book Antiqua"/>
          <w:i/>
        </w:rPr>
        <w:t>Surgery</w:t>
      </w:r>
      <w:r w:rsidRPr="00E74730">
        <w:rPr>
          <w:rFonts w:ascii="Book Antiqua" w:hAnsi="Book Antiqua" w:cs="Book Antiqua"/>
        </w:rPr>
        <w:t xml:space="preserve"> 1992; </w:t>
      </w:r>
      <w:r w:rsidRPr="00E74730">
        <w:rPr>
          <w:rFonts w:ascii="Book Antiqua" w:hAnsi="Book Antiqua" w:cs="Book Antiqua"/>
          <w:b/>
        </w:rPr>
        <w:t>111</w:t>
      </w:r>
      <w:r w:rsidRPr="00E74730">
        <w:rPr>
          <w:rFonts w:ascii="Book Antiqua" w:hAnsi="Book Antiqua" w:cs="Book Antiqua"/>
        </w:rPr>
        <w:t>: 335-338 [PMID: 1542859]</w:t>
      </w:r>
    </w:p>
    <w:p w14:paraId="56C016B1"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24 </w:t>
      </w:r>
      <w:r w:rsidRPr="00E74730">
        <w:rPr>
          <w:rFonts w:ascii="Book Antiqua" w:hAnsi="Book Antiqua" w:cs="Book Antiqua"/>
          <w:b/>
        </w:rPr>
        <w:t>Costi R</w:t>
      </w:r>
      <w:r w:rsidRPr="00E74730">
        <w:rPr>
          <w:rFonts w:ascii="Book Antiqua" w:hAnsi="Book Antiqua" w:cs="Book Antiqua"/>
        </w:rPr>
        <w:t xml:space="preserve">, Gnocchi A, Di Mario F, Sarli L. Diagnosis and management of choledocholithiasis in the golden age of imaging, endoscopy and laparoscopy. </w:t>
      </w:r>
      <w:r w:rsidRPr="00E74730">
        <w:rPr>
          <w:rFonts w:ascii="Book Antiqua" w:hAnsi="Book Antiqua" w:cs="Book Antiqua"/>
          <w:i/>
        </w:rPr>
        <w:t>World J Gastroenterol</w:t>
      </w:r>
      <w:r w:rsidRPr="00E74730">
        <w:rPr>
          <w:rFonts w:ascii="Book Antiqua" w:hAnsi="Book Antiqua" w:cs="Book Antiqua"/>
        </w:rPr>
        <w:t xml:space="preserve"> 2014; </w:t>
      </w:r>
      <w:r w:rsidRPr="00E74730">
        <w:rPr>
          <w:rFonts w:ascii="Book Antiqua" w:hAnsi="Book Antiqua" w:cs="Book Antiqua"/>
          <w:b/>
        </w:rPr>
        <w:t>20</w:t>
      </w:r>
      <w:r w:rsidRPr="00E74730">
        <w:rPr>
          <w:rFonts w:ascii="Book Antiqua" w:hAnsi="Book Antiqua" w:cs="Book Antiqua"/>
        </w:rPr>
        <w:t>: 13382-13401 [PMID: 25309071 DOI: 10.3748/wjg.v20.i37.13382]</w:t>
      </w:r>
    </w:p>
    <w:p w14:paraId="22336795"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25 </w:t>
      </w:r>
      <w:r w:rsidRPr="00E74730">
        <w:rPr>
          <w:rFonts w:ascii="Book Antiqua" w:hAnsi="Book Antiqua" w:cs="Book Antiqua"/>
          <w:b/>
        </w:rPr>
        <w:t xml:space="preserve">Beltrán MA. </w:t>
      </w:r>
      <w:r w:rsidRPr="00E74730">
        <w:rPr>
          <w:rFonts w:ascii="Book Antiqua" w:hAnsi="Book Antiqua" w:cs="Book Antiqua"/>
          <w:bCs/>
        </w:rPr>
        <w:t>Mirizzi syndrome: history, cur</w:t>
      </w:r>
      <w:r w:rsidRPr="00E74730">
        <w:rPr>
          <w:rFonts w:ascii="Book Antiqua" w:hAnsi="Book Antiqua" w:cs="Book Antiqua"/>
        </w:rPr>
        <w:t xml:space="preserve">rent knowledge and proposal of a simplified classification. </w:t>
      </w:r>
      <w:r w:rsidRPr="00E74730">
        <w:rPr>
          <w:rFonts w:ascii="Book Antiqua" w:hAnsi="Book Antiqua" w:cs="Book Antiqua"/>
          <w:i/>
          <w:iCs/>
        </w:rPr>
        <w:t>World J Gastroenterol</w:t>
      </w:r>
      <w:r w:rsidRPr="00E74730">
        <w:rPr>
          <w:rFonts w:ascii="Book Antiqua" w:hAnsi="Book Antiqua" w:cs="Book Antiqua"/>
        </w:rPr>
        <w:t xml:space="preserve"> 2012; </w:t>
      </w:r>
      <w:r w:rsidRPr="00E74730">
        <w:rPr>
          <w:rFonts w:ascii="Book Antiqua" w:hAnsi="Book Antiqua" w:cs="Book Antiqua"/>
          <w:b/>
          <w:bCs/>
        </w:rPr>
        <w:t>18:</w:t>
      </w:r>
      <w:r w:rsidRPr="00E74730">
        <w:rPr>
          <w:rFonts w:ascii="Book Antiqua" w:hAnsi="Book Antiqua" w:cs="Book Antiqua"/>
        </w:rPr>
        <w:t xml:space="preserve"> 4639-4650 [PMID: 23002333 DOI: 10.3748/wjg.v18.i34.4639]</w:t>
      </w:r>
    </w:p>
    <w:p w14:paraId="29198C75"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26 </w:t>
      </w:r>
      <w:r w:rsidRPr="00E74730">
        <w:rPr>
          <w:rFonts w:ascii="Book Antiqua" w:hAnsi="Book Antiqua" w:cs="Book Antiqua"/>
          <w:b/>
        </w:rPr>
        <w:t>Abou-Saif A</w:t>
      </w:r>
      <w:r w:rsidRPr="00E74730">
        <w:rPr>
          <w:rFonts w:ascii="Book Antiqua" w:hAnsi="Book Antiqua" w:cs="Book Antiqua"/>
        </w:rPr>
        <w:t xml:space="preserve">, Al-Kawas FH. Complications of gallstone disease: Mirizzi syndrome, cholecystocholedochal fistula, and gallstone ileus. </w:t>
      </w:r>
      <w:r w:rsidRPr="00E74730">
        <w:rPr>
          <w:rFonts w:ascii="Book Antiqua" w:hAnsi="Book Antiqua" w:cs="Book Antiqua"/>
          <w:i/>
        </w:rPr>
        <w:t>Am J Gastroenterol</w:t>
      </w:r>
      <w:r w:rsidRPr="00E74730">
        <w:rPr>
          <w:rFonts w:ascii="Book Antiqua" w:hAnsi="Book Antiqua" w:cs="Book Antiqua"/>
        </w:rPr>
        <w:t xml:space="preserve"> 2002; </w:t>
      </w:r>
      <w:r w:rsidRPr="00E74730">
        <w:rPr>
          <w:rFonts w:ascii="Book Antiqua" w:hAnsi="Book Antiqua" w:cs="Book Antiqua"/>
          <w:b/>
        </w:rPr>
        <w:t>97</w:t>
      </w:r>
      <w:r w:rsidRPr="00E74730">
        <w:rPr>
          <w:rFonts w:ascii="Book Antiqua" w:hAnsi="Book Antiqua" w:cs="Book Antiqua"/>
        </w:rPr>
        <w:t>: 249-254 [PMID: 11866258 DOI: 10.1111/j.1572-0241.2002.05451.x]</w:t>
      </w:r>
    </w:p>
    <w:p w14:paraId="542E295D"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27 </w:t>
      </w:r>
      <w:r w:rsidRPr="00E74730">
        <w:rPr>
          <w:rFonts w:ascii="Book Antiqua" w:hAnsi="Book Antiqua" w:cs="Book Antiqua"/>
          <w:b/>
        </w:rPr>
        <w:t>Safioleas M</w:t>
      </w:r>
      <w:r w:rsidRPr="00E74730">
        <w:rPr>
          <w:rFonts w:ascii="Book Antiqua" w:hAnsi="Book Antiqua" w:cs="Book Antiqua"/>
        </w:rPr>
        <w:t xml:space="preserve">, Stamatakos M, Safioleas P, Smyrnis A, Revenas C, Safioleas C. Mirizzi Syndrome: an unexpected problem of cholelithiasis. Our experience with 27 cases. </w:t>
      </w:r>
      <w:r w:rsidRPr="00E74730">
        <w:rPr>
          <w:rFonts w:ascii="Book Antiqua" w:hAnsi="Book Antiqua" w:cs="Book Antiqua"/>
          <w:i/>
        </w:rPr>
        <w:t>Int Semin Surg Oncol</w:t>
      </w:r>
      <w:r w:rsidRPr="00E74730">
        <w:rPr>
          <w:rFonts w:ascii="Book Antiqua" w:hAnsi="Book Antiqua" w:cs="Book Antiqua"/>
        </w:rPr>
        <w:t xml:space="preserve"> 2008; </w:t>
      </w:r>
      <w:r w:rsidRPr="00E74730">
        <w:rPr>
          <w:rFonts w:ascii="Book Antiqua" w:hAnsi="Book Antiqua" w:cs="Book Antiqua"/>
          <w:b/>
        </w:rPr>
        <w:t>5</w:t>
      </w:r>
      <w:r w:rsidRPr="00E74730">
        <w:rPr>
          <w:rFonts w:ascii="Book Antiqua" w:hAnsi="Book Antiqua" w:cs="Book Antiqua"/>
        </w:rPr>
        <w:t>: 12 [PMID: 18495037]</w:t>
      </w:r>
    </w:p>
    <w:p w14:paraId="09F5ABDB"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28 </w:t>
      </w:r>
      <w:r w:rsidRPr="00E74730">
        <w:rPr>
          <w:rFonts w:ascii="Book Antiqua" w:hAnsi="Book Antiqua" w:cs="Book Antiqua"/>
          <w:b/>
        </w:rPr>
        <w:t>Marinov L</w:t>
      </w:r>
      <w:r w:rsidRPr="00E74730">
        <w:rPr>
          <w:rFonts w:ascii="Book Antiqua" w:hAnsi="Book Antiqua" w:cs="Book Antiqua"/>
        </w:rPr>
        <w:t xml:space="preserve">. The Mirizzi Syndrome -Major Cause for Biliary Duct Injury during Laparoscopic Cholecystectomy. </w:t>
      </w:r>
      <w:r w:rsidRPr="00E74730">
        <w:rPr>
          <w:rFonts w:ascii="Book Antiqua" w:hAnsi="Book Antiqua" w:cs="Book Antiqua"/>
          <w:i/>
        </w:rPr>
        <w:t>Biomed J Sci</w:t>
      </w:r>
      <w:r w:rsidR="00B11FF7" w:rsidRPr="00E74730">
        <w:rPr>
          <w:rFonts w:ascii="Book Antiqua" w:hAnsi="Book Antiqua" w:cs="Book Antiqua"/>
          <w:i/>
        </w:rPr>
        <w:t xml:space="preserve"> </w:t>
      </w:r>
      <w:r w:rsidRPr="00E74730">
        <w:rPr>
          <w:rFonts w:ascii="Book Antiqua" w:hAnsi="Book Antiqua" w:cs="Book Antiqua"/>
          <w:i/>
        </w:rPr>
        <w:t>Tech Res</w:t>
      </w:r>
      <w:r w:rsidRPr="00E74730">
        <w:rPr>
          <w:rFonts w:ascii="Book Antiqua" w:hAnsi="Book Antiqua" w:cs="Book Antiqua"/>
        </w:rPr>
        <w:t xml:space="preserve"> 2017; </w:t>
      </w:r>
      <w:r w:rsidRPr="00E74730">
        <w:rPr>
          <w:rFonts w:ascii="Book Antiqua" w:hAnsi="Book Antiqua" w:cs="Book Antiqua"/>
          <w:b/>
        </w:rPr>
        <w:t>1</w:t>
      </w:r>
      <w:r w:rsidRPr="00E74730">
        <w:rPr>
          <w:rFonts w:ascii="Book Antiqua" w:hAnsi="Book Antiqua" w:cs="Book Antiqua"/>
        </w:rPr>
        <w:t>: 804-805 [DOI: 10.26717/BJSTR.2017.01.000308]</w:t>
      </w:r>
    </w:p>
    <w:p w14:paraId="30CEA695"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29 </w:t>
      </w:r>
      <w:r w:rsidRPr="00E74730">
        <w:rPr>
          <w:rFonts w:ascii="Book Antiqua" w:hAnsi="Book Antiqua" w:cs="Book Antiqua"/>
          <w:b/>
        </w:rPr>
        <w:t>England RE</w:t>
      </w:r>
      <w:r w:rsidRPr="00E74730">
        <w:rPr>
          <w:rFonts w:ascii="Book Antiqua" w:hAnsi="Book Antiqua" w:cs="Book Antiqua"/>
        </w:rPr>
        <w:t xml:space="preserve">, Martin DF. Endoscopic management of Mirizzi's syndrome. </w:t>
      </w:r>
      <w:r w:rsidRPr="00E74730">
        <w:rPr>
          <w:rFonts w:ascii="Book Antiqua" w:hAnsi="Book Antiqua" w:cs="Book Antiqua"/>
          <w:i/>
        </w:rPr>
        <w:t>Gut</w:t>
      </w:r>
      <w:r w:rsidRPr="00E74730">
        <w:rPr>
          <w:rFonts w:ascii="Book Antiqua" w:hAnsi="Book Antiqua" w:cs="Book Antiqua"/>
        </w:rPr>
        <w:t xml:space="preserve"> 1997; </w:t>
      </w:r>
      <w:r w:rsidRPr="00E74730">
        <w:rPr>
          <w:rFonts w:ascii="Book Antiqua" w:hAnsi="Book Antiqua" w:cs="Book Antiqua"/>
          <w:b/>
        </w:rPr>
        <w:t>40</w:t>
      </w:r>
      <w:r w:rsidRPr="00E74730">
        <w:rPr>
          <w:rFonts w:ascii="Book Antiqua" w:hAnsi="Book Antiqua" w:cs="Book Antiqua"/>
        </w:rPr>
        <w:t>: 272-276 [PMID: 9071944 DOI: 10.1136/gut.40.2.272]</w:t>
      </w:r>
    </w:p>
    <w:p w14:paraId="02D97A8C"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30 </w:t>
      </w:r>
      <w:r w:rsidRPr="00E74730">
        <w:rPr>
          <w:rFonts w:ascii="Book Antiqua" w:hAnsi="Book Antiqua" w:cs="Book Antiqua"/>
          <w:b/>
        </w:rPr>
        <w:t>Rhodes M</w:t>
      </w:r>
      <w:r w:rsidRPr="00E74730">
        <w:rPr>
          <w:rFonts w:ascii="Book Antiqua" w:hAnsi="Book Antiqua" w:cs="Book Antiqua"/>
        </w:rPr>
        <w:t xml:space="preserve">, Sussman L, Cohen L, Lewis MP. Randomised trial of laparoscopic exploration of common bile duct versus postoperative endoscopic retrograde cholangiography for common bile duct stones. </w:t>
      </w:r>
      <w:r w:rsidRPr="00E74730">
        <w:rPr>
          <w:rFonts w:ascii="Book Antiqua" w:hAnsi="Book Antiqua" w:cs="Book Antiqua"/>
          <w:i/>
        </w:rPr>
        <w:t>Lancet</w:t>
      </w:r>
      <w:r w:rsidRPr="00E74730">
        <w:rPr>
          <w:rFonts w:ascii="Book Antiqua" w:hAnsi="Book Antiqua" w:cs="Book Antiqua"/>
        </w:rPr>
        <w:t xml:space="preserve"> 1998; </w:t>
      </w:r>
      <w:r w:rsidRPr="00E74730">
        <w:rPr>
          <w:rFonts w:ascii="Book Antiqua" w:hAnsi="Book Antiqua" w:cs="Book Antiqua"/>
          <w:b/>
        </w:rPr>
        <w:t>351</w:t>
      </w:r>
      <w:r w:rsidRPr="00E74730">
        <w:rPr>
          <w:rFonts w:ascii="Book Antiqua" w:hAnsi="Book Antiqua" w:cs="Book Antiqua"/>
        </w:rPr>
        <w:t>: 159-161 [PMID: 9449869 DOI: 10.1016/s0140-6736(97)09175-7]</w:t>
      </w:r>
    </w:p>
    <w:p w14:paraId="6C3F0D38"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31 </w:t>
      </w:r>
      <w:r w:rsidRPr="00E74730">
        <w:rPr>
          <w:rFonts w:ascii="Book Antiqua" w:hAnsi="Book Antiqua" w:cs="Book Antiqua"/>
          <w:b/>
        </w:rPr>
        <w:t>Palazzo L</w:t>
      </w:r>
      <w:r w:rsidRPr="00E74730">
        <w:rPr>
          <w:rFonts w:ascii="Book Antiqua" w:hAnsi="Book Antiqua" w:cs="Book Antiqua"/>
        </w:rPr>
        <w:t xml:space="preserve">, Girollet PP, Salmeron M, Silvain C, Roseau G, Canard JM, Chaussade S, Couturier D, Paolaggi JA. Value of endoscopic ultrasonography in the diagnosis of common bile duct stones: comparison with surgical exploration and ERCP. </w:t>
      </w:r>
      <w:r w:rsidRPr="00E74730">
        <w:rPr>
          <w:rFonts w:ascii="Book Antiqua" w:hAnsi="Book Antiqua" w:cs="Book Antiqua"/>
          <w:i/>
        </w:rPr>
        <w:t>Gastrointest Endosc</w:t>
      </w:r>
      <w:r w:rsidRPr="00E74730">
        <w:rPr>
          <w:rFonts w:ascii="Book Antiqua" w:hAnsi="Book Antiqua" w:cs="Book Antiqua"/>
        </w:rPr>
        <w:t xml:space="preserve"> 1995; </w:t>
      </w:r>
      <w:r w:rsidRPr="00E74730">
        <w:rPr>
          <w:rFonts w:ascii="Book Antiqua" w:hAnsi="Book Antiqua" w:cs="Book Antiqua"/>
          <w:b/>
        </w:rPr>
        <w:t>42</w:t>
      </w:r>
      <w:r w:rsidRPr="00E74730">
        <w:rPr>
          <w:rFonts w:ascii="Book Antiqua" w:hAnsi="Book Antiqua" w:cs="Book Antiqua"/>
        </w:rPr>
        <w:t>: 225-231 [PMID: 7498687 DOI: 10.1016/s0016-5107(95)70096-x]</w:t>
      </w:r>
    </w:p>
    <w:p w14:paraId="49EB1EAC"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32 </w:t>
      </w:r>
      <w:r w:rsidRPr="00E74730">
        <w:rPr>
          <w:rFonts w:ascii="Book Antiqua" w:hAnsi="Book Antiqua" w:cs="Book Antiqua"/>
          <w:b/>
        </w:rPr>
        <w:t>Bhandari S</w:t>
      </w:r>
      <w:r w:rsidRPr="00E74730">
        <w:rPr>
          <w:rFonts w:ascii="Book Antiqua" w:hAnsi="Book Antiqua" w:cs="Book Antiqua"/>
        </w:rPr>
        <w:t xml:space="preserve">, Bathini R, Sharma A, Maydeo A. Usefulness of single-operator cholangioscopy-guided laser lithotripsy in patients with Mirizzi syndrome and cystic duct stones: experience at a tertiary care center. </w:t>
      </w:r>
      <w:r w:rsidRPr="00E74730">
        <w:rPr>
          <w:rFonts w:ascii="Book Antiqua" w:hAnsi="Book Antiqua" w:cs="Book Antiqua"/>
          <w:i/>
        </w:rPr>
        <w:t>Gastrointest Endosc</w:t>
      </w:r>
      <w:r w:rsidRPr="00E74730">
        <w:rPr>
          <w:rFonts w:ascii="Book Antiqua" w:hAnsi="Book Antiqua" w:cs="Book Antiqua"/>
        </w:rPr>
        <w:t xml:space="preserve"> 2016; </w:t>
      </w:r>
      <w:r w:rsidRPr="00E74730">
        <w:rPr>
          <w:rFonts w:ascii="Book Antiqua" w:hAnsi="Book Antiqua" w:cs="Book Antiqua"/>
          <w:b/>
        </w:rPr>
        <w:t>84</w:t>
      </w:r>
      <w:r w:rsidRPr="00E74730">
        <w:rPr>
          <w:rFonts w:ascii="Book Antiqua" w:hAnsi="Book Antiqua" w:cs="Book Antiqua"/>
        </w:rPr>
        <w:t>: 56-61 [PMID: 26764195 DOI: 10.1016/j.gie.2015.12.025]</w:t>
      </w:r>
    </w:p>
    <w:p w14:paraId="5C048AAB" w14:textId="77777777" w:rsidR="00F64FCD" w:rsidRPr="00E74730" w:rsidRDefault="004E536D" w:rsidP="00E74730">
      <w:pPr>
        <w:widowControl w:val="0"/>
        <w:snapToGrid w:val="0"/>
        <w:spacing w:line="360" w:lineRule="auto"/>
        <w:jc w:val="both"/>
        <w:rPr>
          <w:rFonts w:ascii="Book Antiqua" w:hAnsi="Book Antiqua" w:cs="Book Antiqua"/>
        </w:rPr>
      </w:pPr>
      <w:r w:rsidRPr="00E74730">
        <w:rPr>
          <w:rFonts w:ascii="Book Antiqua" w:hAnsi="Book Antiqua" w:cs="Book Antiqua"/>
        </w:rPr>
        <w:t xml:space="preserve">33 </w:t>
      </w:r>
      <w:r w:rsidRPr="00E74730">
        <w:rPr>
          <w:rFonts w:ascii="Book Antiqua" w:hAnsi="Book Antiqua" w:cs="Book Antiqua"/>
          <w:b/>
        </w:rPr>
        <w:t>Csendes A</w:t>
      </w:r>
      <w:r w:rsidRPr="00E74730">
        <w:rPr>
          <w:rFonts w:ascii="Book Antiqua" w:hAnsi="Book Antiqua" w:cs="Book Antiqua"/>
        </w:rPr>
        <w:t xml:space="preserve">, Sepúlveda A, Burdiles P, Braghetto I, Bastias J, Schütte H, Díaz JC, Yarmuch J, Maluenda F. Common bile duct pressure in patients with common bile duct stones with or without acute suppurative cholangitis. </w:t>
      </w:r>
      <w:r w:rsidRPr="00E74730">
        <w:rPr>
          <w:rFonts w:ascii="Book Antiqua" w:hAnsi="Book Antiqua" w:cs="Book Antiqua"/>
          <w:i/>
        </w:rPr>
        <w:t>Arch Surg</w:t>
      </w:r>
      <w:r w:rsidRPr="00E74730">
        <w:rPr>
          <w:rFonts w:ascii="Book Antiqua" w:hAnsi="Book Antiqua" w:cs="Book Antiqua"/>
        </w:rPr>
        <w:t xml:space="preserve"> 1988; </w:t>
      </w:r>
      <w:r w:rsidRPr="00E74730">
        <w:rPr>
          <w:rFonts w:ascii="Book Antiqua" w:hAnsi="Book Antiqua" w:cs="Book Antiqua"/>
          <w:b/>
        </w:rPr>
        <w:t>123</w:t>
      </w:r>
      <w:r w:rsidRPr="00E74730">
        <w:rPr>
          <w:rFonts w:ascii="Book Antiqua" w:hAnsi="Book Antiqua" w:cs="Book Antiqua"/>
        </w:rPr>
        <w:t>: 697-699 [PMID: 3369934 DOI: 10.1001/archsurg.1988.01400300039005]</w:t>
      </w:r>
    </w:p>
    <w:bookmarkEnd w:id="1"/>
    <w:bookmarkEnd w:id="2"/>
    <w:p w14:paraId="3548A853" w14:textId="77777777" w:rsidR="00F64FCD" w:rsidRPr="00E74730" w:rsidRDefault="00F64FCD" w:rsidP="00E74730">
      <w:pPr>
        <w:snapToGrid w:val="0"/>
        <w:spacing w:line="360" w:lineRule="auto"/>
        <w:jc w:val="both"/>
      </w:pPr>
    </w:p>
    <w:p w14:paraId="3F6E48B3" w14:textId="77777777" w:rsidR="00F64FCD" w:rsidRPr="00E74730" w:rsidRDefault="00F64FCD" w:rsidP="00E74730">
      <w:pPr>
        <w:snapToGrid w:val="0"/>
        <w:spacing w:line="360" w:lineRule="auto"/>
        <w:jc w:val="both"/>
        <w:sectPr w:rsidR="00F64FCD" w:rsidRPr="00E74730">
          <w:pgSz w:w="12240" w:h="15840"/>
          <w:pgMar w:top="1440" w:right="1440" w:bottom="1440" w:left="1440" w:header="720" w:footer="720" w:gutter="0"/>
          <w:cols w:space="720"/>
          <w:docGrid w:linePitch="360"/>
        </w:sectPr>
      </w:pPr>
    </w:p>
    <w:p w14:paraId="04E7DEFC" w14:textId="77777777" w:rsidR="00F64FCD" w:rsidRPr="00E74730" w:rsidRDefault="004E536D" w:rsidP="00E74730">
      <w:pPr>
        <w:snapToGrid w:val="0"/>
        <w:spacing w:line="360" w:lineRule="auto"/>
        <w:jc w:val="both"/>
      </w:pPr>
      <w:r w:rsidRPr="00E74730">
        <w:rPr>
          <w:rFonts w:ascii="Book Antiqua" w:eastAsia="Book Antiqua" w:hAnsi="Book Antiqua" w:cs="Book Antiqua"/>
          <w:b/>
        </w:rPr>
        <w:t>Footnotes</w:t>
      </w:r>
    </w:p>
    <w:p w14:paraId="4E6228DC" w14:textId="77777777"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Institutional review board statement: </w:t>
      </w:r>
      <w:r w:rsidRPr="00E74730">
        <w:rPr>
          <w:rFonts w:ascii="Book Antiqua" w:eastAsia="Book Antiqua" w:hAnsi="Book Antiqua" w:cs="Book Antiqua"/>
        </w:rPr>
        <w:t>The study was approved by the Chang Gung Medical Foundation Institutional Review Board (IRB number: 201801210B0).</w:t>
      </w:r>
    </w:p>
    <w:p w14:paraId="26C66C6B" w14:textId="77777777" w:rsidR="00F64FCD" w:rsidRPr="00E74730" w:rsidRDefault="00F64FCD" w:rsidP="00E74730">
      <w:pPr>
        <w:snapToGrid w:val="0"/>
        <w:spacing w:line="360" w:lineRule="auto"/>
        <w:jc w:val="both"/>
      </w:pPr>
    </w:p>
    <w:p w14:paraId="253A1F50" w14:textId="531DD4D2"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Informed consent statement: </w:t>
      </w:r>
      <w:r w:rsidR="00271FDB" w:rsidRPr="00E74730">
        <w:rPr>
          <w:rFonts w:ascii="Book Antiqua" w:eastAsia="Book Antiqua" w:hAnsi="Book Antiqua" w:cs="Book Antiqua"/>
        </w:rPr>
        <w:t xml:space="preserve">Due to the retrospective design of the study, consent was waived by the ethics committee for the entire study. </w:t>
      </w:r>
    </w:p>
    <w:p w14:paraId="41CFFCC1" w14:textId="77777777" w:rsidR="00F64FCD" w:rsidRPr="00E74730" w:rsidRDefault="00F64FCD" w:rsidP="00E74730">
      <w:pPr>
        <w:snapToGrid w:val="0"/>
        <w:spacing w:line="360" w:lineRule="auto"/>
        <w:jc w:val="both"/>
      </w:pPr>
    </w:p>
    <w:p w14:paraId="632056E5" w14:textId="35158A8A"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Conflict-of-interest statement: </w:t>
      </w:r>
      <w:r w:rsidRPr="00E74730">
        <w:rPr>
          <w:rFonts w:ascii="Book Antiqua" w:eastAsia="Book Antiqua" w:hAnsi="Book Antiqua" w:cs="Book Antiqua"/>
        </w:rPr>
        <w:t>The authors have no financial disclosures to declare and no conflicts of interest to report</w:t>
      </w:r>
      <w:r w:rsidR="00690729" w:rsidRPr="00E74730">
        <w:rPr>
          <w:rFonts w:ascii="Book Antiqua" w:eastAsia="Book Antiqua" w:hAnsi="Book Antiqua" w:cs="Book Antiqua"/>
        </w:rPr>
        <w:t>.</w:t>
      </w:r>
    </w:p>
    <w:p w14:paraId="6AB286C6" w14:textId="77777777" w:rsidR="00F64FCD" w:rsidRPr="00E74730" w:rsidRDefault="00F64FCD" w:rsidP="00E74730">
      <w:pPr>
        <w:snapToGrid w:val="0"/>
        <w:spacing w:line="360" w:lineRule="auto"/>
        <w:jc w:val="both"/>
      </w:pPr>
    </w:p>
    <w:p w14:paraId="5DE9563C" w14:textId="77777777"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Data sharing statement: </w:t>
      </w:r>
      <w:r w:rsidRPr="00E74730">
        <w:rPr>
          <w:rFonts w:ascii="Book Antiqua" w:eastAsia="Book Antiqua" w:hAnsi="Book Antiqua" w:cs="Book Antiqua"/>
        </w:rPr>
        <w:t xml:space="preserve">Technical appendix, statistical code, and dataset available from the corresponding author at </w:t>
      </w:r>
      <w:hyperlink r:id="rId10" w:history="1">
        <w:r w:rsidRPr="00E74730">
          <w:rPr>
            <w:rFonts w:ascii="Book Antiqua" w:eastAsia="Book Antiqua" w:hAnsi="Book Antiqua" w:cs="Book Antiqua"/>
          </w:rPr>
          <w:t>yehchunnan@gmail.com</w:t>
        </w:r>
      </w:hyperlink>
      <w:r w:rsidRPr="00E74730">
        <w:rPr>
          <w:rFonts w:ascii="Book Antiqua" w:eastAsia="Book Antiqua" w:hAnsi="Book Antiqua" w:cs="Book Antiqua"/>
        </w:rPr>
        <w:t>. Participants gave informed consent for data sharing.</w:t>
      </w:r>
    </w:p>
    <w:p w14:paraId="5B9E22BF" w14:textId="77777777" w:rsidR="00F64FCD" w:rsidRPr="00E74730" w:rsidRDefault="00F64FCD" w:rsidP="00E74730">
      <w:pPr>
        <w:snapToGrid w:val="0"/>
        <w:spacing w:line="360" w:lineRule="auto"/>
        <w:jc w:val="both"/>
      </w:pPr>
    </w:p>
    <w:p w14:paraId="5CA7E941" w14:textId="77777777" w:rsidR="00176070" w:rsidRPr="00E74730" w:rsidRDefault="00176070" w:rsidP="00E74730">
      <w:pPr>
        <w:snapToGrid w:val="0"/>
        <w:spacing w:line="360" w:lineRule="auto"/>
        <w:jc w:val="both"/>
        <w:rPr>
          <w:rFonts w:ascii="Book Antiqua" w:hAnsi="Book Antiqua"/>
          <w:b/>
        </w:rPr>
      </w:pPr>
      <w:r w:rsidRPr="00E74730">
        <w:rPr>
          <w:rFonts w:ascii="Book Antiqua" w:hAnsi="Book Antiqua"/>
          <w:b/>
        </w:rPr>
        <w:t xml:space="preserve">STROBE statement: </w:t>
      </w:r>
      <w:r w:rsidRPr="00E74730">
        <w:rPr>
          <w:rFonts w:ascii="Book Antiqua" w:hAnsi="Book Antiqua" w:cs="Garamond-Bold"/>
          <w:bCs/>
        </w:rPr>
        <w:t>The authors have read the STROBE Statement—checklist of items, and the manuscript was prepared and revised according to the STROBE Statement—checklist of items.</w:t>
      </w:r>
    </w:p>
    <w:p w14:paraId="30AC43B9" w14:textId="77777777" w:rsidR="00176070" w:rsidRPr="00E74730" w:rsidRDefault="00176070" w:rsidP="00E74730">
      <w:pPr>
        <w:snapToGrid w:val="0"/>
        <w:spacing w:line="360" w:lineRule="auto"/>
        <w:jc w:val="both"/>
      </w:pPr>
    </w:p>
    <w:p w14:paraId="5BAED344" w14:textId="77777777" w:rsidR="00F64FCD" w:rsidRPr="00E74730" w:rsidRDefault="004E536D" w:rsidP="00E74730">
      <w:pPr>
        <w:snapToGrid w:val="0"/>
        <w:spacing w:line="360" w:lineRule="auto"/>
        <w:jc w:val="both"/>
      </w:pPr>
      <w:r w:rsidRPr="00E74730">
        <w:rPr>
          <w:rFonts w:ascii="Book Antiqua" w:eastAsia="Book Antiqua" w:hAnsi="Book Antiqua" w:cs="Book Antiqua"/>
          <w:b/>
          <w:bCs/>
        </w:rPr>
        <w:t xml:space="preserve">Open-Access: </w:t>
      </w:r>
      <w:r w:rsidRPr="00E7473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EBC758" w14:textId="77777777" w:rsidR="00F64FCD" w:rsidRPr="00E74730" w:rsidRDefault="00F64FCD" w:rsidP="00E74730">
      <w:pPr>
        <w:snapToGrid w:val="0"/>
        <w:spacing w:line="360" w:lineRule="auto"/>
        <w:jc w:val="both"/>
      </w:pPr>
    </w:p>
    <w:p w14:paraId="5C4B6D88" w14:textId="77777777" w:rsidR="00F64FCD" w:rsidRPr="00E74730" w:rsidRDefault="004E536D" w:rsidP="00E74730">
      <w:pPr>
        <w:snapToGrid w:val="0"/>
        <w:spacing w:line="360" w:lineRule="auto"/>
        <w:jc w:val="both"/>
      </w:pPr>
      <w:r w:rsidRPr="00E74730">
        <w:rPr>
          <w:rFonts w:ascii="Book Antiqua" w:eastAsia="Book Antiqua" w:hAnsi="Book Antiqua" w:cs="Book Antiqua"/>
          <w:b/>
        </w:rPr>
        <w:t xml:space="preserve">Manuscript source: </w:t>
      </w:r>
      <w:r w:rsidRPr="00E74730">
        <w:rPr>
          <w:rFonts w:ascii="Book Antiqua" w:eastAsia="Book Antiqua" w:hAnsi="Book Antiqua" w:cs="Book Antiqua"/>
        </w:rPr>
        <w:t>Unsolicited manuscript</w:t>
      </w:r>
    </w:p>
    <w:p w14:paraId="54B5F031" w14:textId="77777777" w:rsidR="00F64FCD" w:rsidRPr="00E74730" w:rsidRDefault="00F64FCD" w:rsidP="00E74730">
      <w:pPr>
        <w:snapToGrid w:val="0"/>
        <w:spacing w:line="360" w:lineRule="auto"/>
        <w:jc w:val="both"/>
      </w:pPr>
    </w:p>
    <w:p w14:paraId="62CC7651" w14:textId="77777777" w:rsidR="00F64FCD" w:rsidRPr="00E74730" w:rsidRDefault="004E536D" w:rsidP="00E74730">
      <w:pPr>
        <w:snapToGrid w:val="0"/>
        <w:spacing w:line="360" w:lineRule="auto"/>
        <w:jc w:val="both"/>
      </w:pPr>
      <w:r w:rsidRPr="00E74730">
        <w:rPr>
          <w:rFonts w:ascii="Book Antiqua" w:eastAsia="Book Antiqua" w:hAnsi="Book Antiqua" w:cs="Book Antiqua"/>
          <w:b/>
        </w:rPr>
        <w:t xml:space="preserve">Peer-review started: </w:t>
      </w:r>
      <w:r w:rsidRPr="00E74730">
        <w:rPr>
          <w:rFonts w:ascii="Book Antiqua" w:eastAsia="Book Antiqua" w:hAnsi="Book Antiqua" w:cs="Book Antiqua"/>
        </w:rPr>
        <w:t>May 16, 2020</w:t>
      </w:r>
    </w:p>
    <w:p w14:paraId="58E3FE8E" w14:textId="77777777" w:rsidR="00F64FCD" w:rsidRPr="00E74730" w:rsidRDefault="004E536D" w:rsidP="00E74730">
      <w:pPr>
        <w:snapToGrid w:val="0"/>
        <w:spacing w:line="360" w:lineRule="auto"/>
        <w:jc w:val="both"/>
      </w:pPr>
      <w:r w:rsidRPr="00E74730">
        <w:rPr>
          <w:rFonts w:ascii="Book Antiqua" w:eastAsia="Book Antiqua" w:hAnsi="Book Antiqua" w:cs="Book Antiqua"/>
          <w:b/>
        </w:rPr>
        <w:t xml:space="preserve">First decision: </w:t>
      </w:r>
      <w:r w:rsidRPr="00E74730">
        <w:rPr>
          <w:rFonts w:ascii="Book Antiqua" w:eastAsia="Book Antiqua" w:hAnsi="Book Antiqua" w:cs="Book Antiqua"/>
        </w:rPr>
        <w:t>May 29, 2020</w:t>
      </w:r>
    </w:p>
    <w:p w14:paraId="3DA97477" w14:textId="176FDF58" w:rsidR="00F64FCD" w:rsidRPr="00E74730" w:rsidRDefault="004E536D" w:rsidP="00E74730">
      <w:pPr>
        <w:snapToGrid w:val="0"/>
        <w:spacing w:line="360" w:lineRule="auto"/>
        <w:jc w:val="both"/>
      </w:pPr>
      <w:r w:rsidRPr="00E74730">
        <w:rPr>
          <w:rFonts w:ascii="Book Antiqua" w:eastAsia="Book Antiqua" w:hAnsi="Book Antiqua" w:cs="Book Antiqua"/>
          <w:b/>
        </w:rPr>
        <w:t xml:space="preserve">Article in press: </w:t>
      </w:r>
      <w:r w:rsidR="003471F8" w:rsidRPr="00E74730">
        <w:rPr>
          <w:rFonts w:ascii="Book Antiqua" w:eastAsia="Book Antiqua" w:hAnsi="Book Antiqua" w:cs="Book Antiqua"/>
        </w:rPr>
        <w:t>October 1, 2020</w:t>
      </w:r>
    </w:p>
    <w:p w14:paraId="28E5BBC5" w14:textId="77777777" w:rsidR="00F64FCD" w:rsidRPr="00E74730" w:rsidRDefault="00F64FCD" w:rsidP="00E74730">
      <w:pPr>
        <w:snapToGrid w:val="0"/>
        <w:spacing w:line="360" w:lineRule="auto"/>
        <w:jc w:val="both"/>
      </w:pPr>
    </w:p>
    <w:p w14:paraId="1061336F" w14:textId="77777777" w:rsidR="00F64FCD" w:rsidRPr="00E74730" w:rsidRDefault="004E536D" w:rsidP="00E74730">
      <w:pPr>
        <w:snapToGrid w:val="0"/>
        <w:spacing w:line="360" w:lineRule="auto"/>
        <w:jc w:val="both"/>
      </w:pPr>
      <w:r w:rsidRPr="00E74730">
        <w:rPr>
          <w:rFonts w:ascii="Book Antiqua" w:eastAsia="Book Antiqua" w:hAnsi="Book Antiqua" w:cs="Book Antiqua"/>
          <w:b/>
        </w:rPr>
        <w:t xml:space="preserve">Specialty type: </w:t>
      </w:r>
      <w:r w:rsidRPr="00E74730">
        <w:rPr>
          <w:rFonts w:ascii="Book Antiqua" w:eastAsia="Book Antiqua" w:hAnsi="Book Antiqua" w:cs="Book Antiqua"/>
        </w:rPr>
        <w:t>Gastroenterology and hepatology</w:t>
      </w:r>
    </w:p>
    <w:p w14:paraId="7BFEEC02" w14:textId="77777777" w:rsidR="00F64FCD" w:rsidRPr="00E74730" w:rsidRDefault="004E536D" w:rsidP="00E74730">
      <w:pPr>
        <w:snapToGrid w:val="0"/>
        <w:spacing w:line="360" w:lineRule="auto"/>
        <w:jc w:val="both"/>
      </w:pPr>
      <w:r w:rsidRPr="00E74730">
        <w:rPr>
          <w:rFonts w:ascii="Book Antiqua" w:eastAsia="Book Antiqua" w:hAnsi="Book Antiqua" w:cs="Book Antiqua"/>
          <w:b/>
        </w:rPr>
        <w:t xml:space="preserve">Country/Territory of origin: </w:t>
      </w:r>
      <w:r w:rsidRPr="00E74730">
        <w:rPr>
          <w:rFonts w:ascii="Book Antiqua" w:eastAsia="Book Antiqua" w:hAnsi="Book Antiqua" w:cs="Book Antiqua"/>
        </w:rPr>
        <w:t>Taiwan</w:t>
      </w:r>
    </w:p>
    <w:p w14:paraId="7DB0FBE3" w14:textId="77777777" w:rsidR="00F64FCD" w:rsidRPr="00E74730" w:rsidRDefault="004E536D" w:rsidP="00E74730">
      <w:pPr>
        <w:snapToGrid w:val="0"/>
        <w:spacing w:line="360" w:lineRule="auto"/>
        <w:jc w:val="both"/>
      </w:pPr>
      <w:r w:rsidRPr="00E74730">
        <w:rPr>
          <w:rFonts w:ascii="Book Antiqua" w:eastAsia="Book Antiqua" w:hAnsi="Book Antiqua" w:cs="Book Antiqua"/>
          <w:b/>
        </w:rPr>
        <w:t>Peer-review report’s scientific quality classification</w:t>
      </w:r>
    </w:p>
    <w:p w14:paraId="09BC3AB7" w14:textId="77777777" w:rsidR="00F64FCD" w:rsidRPr="00E74730" w:rsidRDefault="004E536D" w:rsidP="00E74730">
      <w:pPr>
        <w:snapToGrid w:val="0"/>
        <w:spacing w:line="360" w:lineRule="auto"/>
        <w:jc w:val="both"/>
      </w:pPr>
      <w:r w:rsidRPr="00E74730">
        <w:rPr>
          <w:rFonts w:ascii="Book Antiqua" w:eastAsia="Book Antiqua" w:hAnsi="Book Antiqua" w:cs="Book Antiqua"/>
        </w:rPr>
        <w:t>Grade A (Excellent): A</w:t>
      </w:r>
    </w:p>
    <w:p w14:paraId="15252CB7" w14:textId="77777777" w:rsidR="00F64FCD" w:rsidRPr="00E74730" w:rsidRDefault="004E536D" w:rsidP="00E74730">
      <w:pPr>
        <w:snapToGrid w:val="0"/>
        <w:spacing w:line="360" w:lineRule="auto"/>
        <w:jc w:val="both"/>
      </w:pPr>
      <w:r w:rsidRPr="00E74730">
        <w:rPr>
          <w:rFonts w:ascii="Book Antiqua" w:eastAsia="Book Antiqua" w:hAnsi="Book Antiqua" w:cs="Book Antiqua"/>
        </w:rPr>
        <w:t>Grade B (Very good): B, B</w:t>
      </w:r>
    </w:p>
    <w:p w14:paraId="4E311EBA" w14:textId="439E56EC" w:rsidR="00F64FCD" w:rsidRPr="00E74730" w:rsidRDefault="004E536D" w:rsidP="00E74730">
      <w:pPr>
        <w:snapToGrid w:val="0"/>
        <w:spacing w:line="360" w:lineRule="auto"/>
        <w:jc w:val="both"/>
      </w:pPr>
      <w:r w:rsidRPr="00E74730">
        <w:rPr>
          <w:rFonts w:ascii="Book Antiqua" w:eastAsia="Book Antiqua" w:hAnsi="Book Antiqua" w:cs="Book Antiqua"/>
        </w:rPr>
        <w:t>Grade C (Good): C</w:t>
      </w:r>
      <w:r w:rsidR="00AB52C7" w:rsidRPr="00E74730">
        <w:rPr>
          <w:rFonts w:ascii="Book Antiqua" w:eastAsia="Book Antiqua" w:hAnsi="Book Antiqua" w:cs="Book Antiqua"/>
        </w:rPr>
        <w:t>, C</w:t>
      </w:r>
    </w:p>
    <w:p w14:paraId="4D74B2E4" w14:textId="77777777" w:rsidR="00F64FCD" w:rsidRPr="00E74730" w:rsidRDefault="004E536D" w:rsidP="00E74730">
      <w:pPr>
        <w:snapToGrid w:val="0"/>
        <w:spacing w:line="360" w:lineRule="auto"/>
        <w:jc w:val="both"/>
      </w:pPr>
      <w:r w:rsidRPr="00E74730">
        <w:rPr>
          <w:rFonts w:ascii="Book Antiqua" w:eastAsia="Book Antiqua" w:hAnsi="Book Antiqua" w:cs="Book Antiqua"/>
        </w:rPr>
        <w:t>Grade D (Fair): 0</w:t>
      </w:r>
    </w:p>
    <w:p w14:paraId="10FFAF32" w14:textId="77777777" w:rsidR="00F64FCD" w:rsidRPr="00E74730" w:rsidRDefault="004E536D" w:rsidP="00E74730">
      <w:pPr>
        <w:snapToGrid w:val="0"/>
        <w:spacing w:line="360" w:lineRule="auto"/>
        <w:jc w:val="both"/>
      </w:pPr>
      <w:r w:rsidRPr="00E74730">
        <w:rPr>
          <w:rFonts w:ascii="Book Antiqua" w:eastAsia="Book Antiqua" w:hAnsi="Book Antiqua" w:cs="Book Antiqua"/>
        </w:rPr>
        <w:t>Grade E (Poor): 0</w:t>
      </w:r>
    </w:p>
    <w:p w14:paraId="3BF0C6E3" w14:textId="77777777" w:rsidR="00F64FCD" w:rsidRPr="00E74730" w:rsidRDefault="00F64FCD" w:rsidP="00E74730">
      <w:pPr>
        <w:snapToGrid w:val="0"/>
        <w:spacing w:line="360" w:lineRule="auto"/>
        <w:jc w:val="both"/>
      </w:pPr>
    </w:p>
    <w:p w14:paraId="644CEC0D" w14:textId="08FC8762" w:rsidR="00B2445D" w:rsidRPr="00B2445D" w:rsidRDefault="004E536D" w:rsidP="00E74730">
      <w:pPr>
        <w:snapToGrid w:val="0"/>
        <w:spacing w:line="360" w:lineRule="auto"/>
        <w:jc w:val="both"/>
        <w:rPr>
          <w:rFonts w:ascii="Book Antiqua" w:eastAsiaTheme="minorEastAsia" w:hAnsi="Book Antiqua" w:cs="Book Antiqua"/>
          <w:b/>
          <w:lang w:eastAsia="zh-CN"/>
        </w:rPr>
      </w:pPr>
      <w:r w:rsidRPr="00E74730">
        <w:rPr>
          <w:rFonts w:ascii="Book Antiqua" w:eastAsia="Book Antiqua" w:hAnsi="Book Antiqua" w:cs="Book Antiqua"/>
          <w:b/>
        </w:rPr>
        <w:t xml:space="preserve">P-Reviewer: </w:t>
      </w:r>
      <w:r w:rsidRPr="00E74730">
        <w:rPr>
          <w:rFonts w:ascii="Book Antiqua" w:eastAsia="Book Antiqua" w:hAnsi="Book Antiqua" w:cs="Book Antiqua"/>
        </w:rPr>
        <w:t>Nishida T, Rabago LR, Saito H, Şentürk H</w:t>
      </w:r>
      <w:r w:rsidRPr="00E74730">
        <w:rPr>
          <w:rFonts w:ascii="Book Antiqua" w:eastAsia="Book Antiqua" w:hAnsi="Book Antiqua" w:cs="Book Antiqua"/>
          <w:b/>
        </w:rPr>
        <w:t xml:space="preserve"> S-Editor: </w:t>
      </w:r>
      <w:r w:rsidRPr="00E74730">
        <w:rPr>
          <w:rFonts w:ascii="Book Antiqua" w:eastAsia="Book Antiqua" w:hAnsi="Book Antiqua" w:cs="Book Antiqua"/>
        </w:rPr>
        <w:t>Gong ZM</w:t>
      </w:r>
      <w:r w:rsidRPr="00E74730">
        <w:rPr>
          <w:rFonts w:ascii="Book Antiqua" w:eastAsia="Book Antiqua" w:hAnsi="Book Antiqua" w:cs="Book Antiqua"/>
          <w:b/>
        </w:rPr>
        <w:t xml:space="preserve"> L-Editor:</w:t>
      </w:r>
      <w:r w:rsidR="00E410AA" w:rsidRPr="00E74730">
        <w:rPr>
          <w:rFonts w:ascii="Book Antiqua" w:eastAsia="Book Antiqua" w:hAnsi="Book Antiqua" w:cs="Book Antiqua"/>
          <w:b/>
        </w:rPr>
        <w:t xml:space="preserve"> </w:t>
      </w:r>
      <w:r w:rsidR="00885919" w:rsidRPr="00E74730">
        <w:rPr>
          <w:rFonts w:ascii="Book Antiqua" w:eastAsia="Book Antiqua" w:hAnsi="Book Antiqua" w:cs="Book Antiqua"/>
          <w:bCs/>
        </w:rPr>
        <w:t xml:space="preserve">Filipodia </w:t>
      </w:r>
      <w:r w:rsidRPr="00E74730">
        <w:rPr>
          <w:rFonts w:ascii="Book Antiqua" w:eastAsia="Book Antiqua" w:hAnsi="Book Antiqua" w:cs="Book Antiqua"/>
          <w:b/>
        </w:rPr>
        <w:t>P-Editor:</w:t>
      </w:r>
      <w:r w:rsidR="00B2445D">
        <w:rPr>
          <w:rFonts w:ascii="Book Antiqua" w:eastAsiaTheme="minorEastAsia" w:hAnsi="Book Antiqua" w:cs="Book Antiqua" w:hint="eastAsia"/>
          <w:b/>
          <w:lang w:eastAsia="zh-CN"/>
        </w:rPr>
        <w:t xml:space="preserve"> </w:t>
      </w:r>
      <w:r w:rsidR="00B2445D" w:rsidRPr="00B2445D">
        <w:rPr>
          <w:rFonts w:ascii="Book Antiqua" w:eastAsiaTheme="minorEastAsia" w:hAnsi="Book Antiqua" w:cs="Book Antiqua" w:hint="eastAsia"/>
          <w:lang w:eastAsia="zh-CN"/>
        </w:rPr>
        <w:t>Liu JH</w:t>
      </w:r>
    </w:p>
    <w:p w14:paraId="1F0AD55F" w14:textId="760899F1" w:rsidR="00F64FCD" w:rsidRPr="00E74730" w:rsidRDefault="004E536D" w:rsidP="00E74730">
      <w:pPr>
        <w:snapToGrid w:val="0"/>
        <w:spacing w:line="360" w:lineRule="auto"/>
        <w:jc w:val="both"/>
        <w:sectPr w:rsidR="00F64FCD" w:rsidRPr="00E74730">
          <w:pgSz w:w="12240" w:h="15840"/>
          <w:pgMar w:top="1440" w:right="1440" w:bottom="1440" w:left="1440" w:header="720" w:footer="720" w:gutter="0"/>
          <w:cols w:space="720"/>
          <w:docGrid w:linePitch="360"/>
        </w:sectPr>
      </w:pPr>
      <w:r w:rsidRPr="00E74730">
        <w:rPr>
          <w:rFonts w:ascii="Book Antiqua" w:eastAsia="Book Antiqua" w:hAnsi="Book Antiqua" w:cs="Book Antiqua"/>
          <w:b/>
        </w:rPr>
        <w:t xml:space="preserve"> </w:t>
      </w:r>
    </w:p>
    <w:p w14:paraId="7DA86E5B" w14:textId="77777777" w:rsidR="00F64FCD" w:rsidRPr="00E74730" w:rsidRDefault="004E536D" w:rsidP="00E74730">
      <w:pPr>
        <w:snapToGrid w:val="0"/>
        <w:spacing w:line="360" w:lineRule="auto"/>
        <w:jc w:val="both"/>
        <w:rPr>
          <w:rFonts w:ascii="Book Antiqua" w:eastAsia="Book Antiqua" w:hAnsi="Book Antiqua" w:cs="Book Antiqua"/>
          <w:b/>
        </w:rPr>
      </w:pPr>
      <w:r w:rsidRPr="00E74730">
        <w:rPr>
          <w:rFonts w:ascii="Book Antiqua" w:eastAsia="Book Antiqua" w:hAnsi="Book Antiqua" w:cs="Book Antiqua"/>
          <w:b/>
        </w:rPr>
        <w:t>Figure Legends</w:t>
      </w:r>
    </w:p>
    <w:p w14:paraId="419E98E3" w14:textId="77777777" w:rsidR="00F64FCD" w:rsidRPr="00E74730" w:rsidRDefault="004E536D" w:rsidP="00E74730">
      <w:pPr>
        <w:snapToGrid w:val="0"/>
        <w:spacing w:line="360" w:lineRule="auto"/>
        <w:jc w:val="both"/>
        <w:rPr>
          <w:rFonts w:ascii="Book Antiqua" w:eastAsia="Book Antiqua" w:hAnsi="Book Antiqua" w:cs="Book Antiqua"/>
          <w:b/>
        </w:rPr>
      </w:pPr>
      <w:r w:rsidRPr="00E74730">
        <w:rPr>
          <w:rFonts w:ascii="Book Antiqua" w:hAnsi="Book Antiqua"/>
          <w:b/>
          <w:noProof/>
          <w:lang w:eastAsia="zh-CN"/>
        </w:rPr>
        <w:drawing>
          <wp:inline distT="0" distB="0" distL="0" distR="0" wp14:anchorId="11916DF8" wp14:editId="133472E7">
            <wp:extent cx="5274310" cy="2665730"/>
            <wp:effectExtent l="0" t="0" r="2540" b="1270"/>
            <wp:docPr id="4" name="圖片 4" descr="一張含有 相片, 動物, 尋找, 坐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descr="一張含有 相片, 動物, 尋找, 坐 的圖片&#10;&#10;自動產生的描述"/>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665730"/>
                    </a:xfrm>
                    <a:prstGeom prst="rect">
                      <a:avLst/>
                    </a:prstGeom>
                  </pic:spPr>
                </pic:pic>
              </a:graphicData>
            </a:graphic>
          </wp:inline>
        </w:drawing>
      </w:r>
    </w:p>
    <w:p w14:paraId="7C5C11CE" w14:textId="5444E242" w:rsidR="00F64FCD" w:rsidRPr="00E74730" w:rsidRDefault="004E536D" w:rsidP="00E74730">
      <w:pPr>
        <w:snapToGrid w:val="0"/>
        <w:spacing w:line="360" w:lineRule="auto"/>
        <w:jc w:val="both"/>
      </w:pPr>
      <w:r w:rsidRPr="00E74730">
        <w:rPr>
          <w:rFonts w:ascii="Book Antiqua" w:eastAsia="Book Antiqua" w:hAnsi="Book Antiqua" w:cs="Book Antiqua"/>
          <w:b/>
          <w:bCs/>
        </w:rPr>
        <w:t>Figure 1</w:t>
      </w:r>
      <w:r w:rsidRPr="00E74730">
        <w:rPr>
          <w:rFonts w:ascii="Book Antiqua" w:eastAsia="Book Antiqua" w:hAnsi="Book Antiqua" w:cs="Book Antiqua"/>
        </w:rPr>
        <w:t xml:space="preserve"> </w:t>
      </w:r>
      <w:r w:rsidRPr="00E74730">
        <w:rPr>
          <w:rFonts w:ascii="Book Antiqua" w:eastAsia="Book Antiqua" w:hAnsi="Book Antiqua" w:cs="Book Antiqua"/>
          <w:b/>
          <w:bCs/>
        </w:rPr>
        <w:t>Cholangiography of patients with Mirizzi syndrome</w:t>
      </w:r>
      <w:r w:rsidR="00552220" w:rsidRPr="00E74730">
        <w:rPr>
          <w:rFonts w:ascii="Book Antiqua" w:eastAsia="Book Antiqua" w:hAnsi="Book Antiqua" w:cs="Book Antiqua"/>
        </w:rPr>
        <w:t xml:space="preserve">. </w:t>
      </w:r>
      <w:r w:rsidRPr="00E74730">
        <w:rPr>
          <w:rFonts w:ascii="Book Antiqua" w:eastAsia="Book Antiqua" w:hAnsi="Book Antiqua" w:cs="Book Antiqua"/>
        </w:rPr>
        <w:t>A</w:t>
      </w:r>
      <w:r w:rsidR="00552220" w:rsidRPr="00E74730">
        <w:rPr>
          <w:rFonts w:ascii="Book Antiqua" w:eastAsia="Book Antiqua" w:hAnsi="Book Antiqua" w:cs="Book Antiqua"/>
        </w:rPr>
        <w:t xml:space="preserve">: </w:t>
      </w:r>
      <w:r w:rsidRPr="00E74730">
        <w:rPr>
          <w:rFonts w:ascii="Book Antiqua" w:eastAsia="Book Antiqua" w:hAnsi="Book Antiqua" w:cs="Book Antiqua"/>
        </w:rPr>
        <w:t>Patient without a cholecystocholedochal fistula. Eccentric compression (</w:t>
      </w:r>
      <w:r w:rsidR="007C20D9" w:rsidRPr="007C20D9">
        <w:rPr>
          <w:rFonts w:ascii="Book Antiqua" w:eastAsia="Book Antiqua" w:hAnsi="Book Antiqua" w:cs="Book Antiqua"/>
        </w:rPr>
        <w:t>orange</w:t>
      </w:r>
      <w:r w:rsidRPr="00E74730">
        <w:rPr>
          <w:rFonts w:ascii="Book Antiqua" w:eastAsia="Book Antiqua" w:hAnsi="Book Antiqua" w:cs="Book Antiqua"/>
        </w:rPr>
        <w:t xml:space="preserve"> arrow) of the common bile duct is observed and a short part of</w:t>
      </w:r>
      <w:r w:rsidR="00552220" w:rsidRPr="00E74730">
        <w:rPr>
          <w:rFonts w:ascii="Book Antiqua" w:eastAsia="Book Antiqua" w:hAnsi="Book Antiqua" w:cs="Book Antiqua"/>
        </w:rPr>
        <w:t xml:space="preserve"> the cystic duct is opacified</w:t>
      </w:r>
      <w:r w:rsidR="00AB52C7" w:rsidRPr="00E74730">
        <w:rPr>
          <w:rFonts w:ascii="Book Antiqua" w:eastAsia="Book Antiqua" w:hAnsi="Book Antiqua" w:cs="Book Antiqua"/>
        </w:rPr>
        <w:t>;</w:t>
      </w:r>
      <w:r w:rsidR="00552220" w:rsidRPr="00E74730">
        <w:rPr>
          <w:rFonts w:ascii="Book Antiqua" w:eastAsia="Book Antiqua" w:hAnsi="Book Antiqua" w:cs="Book Antiqua"/>
        </w:rPr>
        <w:t xml:space="preserve"> </w:t>
      </w:r>
      <w:r w:rsidRPr="00E74730">
        <w:rPr>
          <w:rFonts w:ascii="Book Antiqua" w:eastAsia="Book Antiqua" w:hAnsi="Book Antiqua" w:cs="Book Antiqua"/>
        </w:rPr>
        <w:t>B</w:t>
      </w:r>
      <w:r w:rsidR="00552220" w:rsidRPr="00E74730">
        <w:rPr>
          <w:rFonts w:ascii="Book Antiqua" w:eastAsia="Book Antiqua" w:hAnsi="Book Antiqua" w:cs="Book Antiqua"/>
        </w:rPr>
        <w:t xml:space="preserve">: </w:t>
      </w:r>
      <w:r w:rsidRPr="00E74730">
        <w:rPr>
          <w:rFonts w:ascii="Book Antiqua" w:eastAsia="Book Antiqua" w:hAnsi="Book Antiqua" w:cs="Book Antiqua"/>
        </w:rPr>
        <w:t>Patient with a cholecystocholedochal fistula (</w:t>
      </w:r>
      <w:r w:rsidR="00526CB7" w:rsidRPr="00526CB7">
        <w:rPr>
          <w:rFonts w:ascii="Book Antiqua" w:eastAsia="Book Antiqua" w:hAnsi="Book Antiqua" w:cs="Book Antiqua"/>
        </w:rPr>
        <w:t>orange</w:t>
      </w:r>
      <w:r w:rsidR="00526CB7">
        <w:rPr>
          <w:rFonts w:ascii="Book Antiqua" w:eastAsiaTheme="minorEastAsia" w:hAnsi="Book Antiqua" w:cs="Book Antiqua" w:hint="eastAsia"/>
          <w:lang w:eastAsia="zh-CN"/>
        </w:rPr>
        <w:t xml:space="preserve"> </w:t>
      </w:r>
      <w:r w:rsidRPr="00E74730">
        <w:rPr>
          <w:rFonts w:ascii="Book Antiqua" w:eastAsia="Book Antiqua" w:hAnsi="Book Antiqua" w:cs="Book Antiqua"/>
        </w:rPr>
        <w:t xml:space="preserve">arrowhead). A contrast opacified gallbladder without the typical spiral and corkscrew-like cystic duct opacification is shown. </w:t>
      </w:r>
    </w:p>
    <w:p w14:paraId="732407C4" w14:textId="77777777" w:rsidR="00F64FCD" w:rsidRPr="00E74730" w:rsidRDefault="004E536D" w:rsidP="00E74730">
      <w:pPr>
        <w:snapToGrid w:val="0"/>
        <w:spacing w:line="360" w:lineRule="auto"/>
        <w:jc w:val="both"/>
        <w:rPr>
          <w:rFonts w:ascii="Book Antiqua" w:eastAsia="Book Antiqua" w:hAnsi="Book Antiqua" w:cs="Book Antiqua"/>
          <w:b/>
          <w:bCs/>
        </w:rPr>
      </w:pPr>
      <w:r w:rsidRPr="00E74730">
        <w:rPr>
          <w:rFonts w:ascii="Book Antiqua" w:eastAsia="Book Antiqua" w:hAnsi="Book Antiqua" w:cs="Book Antiqua"/>
          <w:b/>
          <w:bCs/>
        </w:rPr>
        <w:br w:type="page"/>
      </w:r>
      <w:r w:rsidRPr="00E74730">
        <w:rPr>
          <w:rFonts w:ascii="Book Antiqua" w:hAnsi="Book Antiqua"/>
          <w:b/>
          <w:noProof/>
          <w:lang w:eastAsia="zh-CN"/>
        </w:rPr>
        <w:drawing>
          <wp:inline distT="0" distB="0" distL="0" distR="0" wp14:anchorId="5E28B70C" wp14:editId="5B032ADD">
            <wp:extent cx="5274310" cy="2470785"/>
            <wp:effectExtent l="0" t="0" r="2540" b="5715"/>
            <wp:docPr id="2" name="圖片 2" descr="一張含有 食物, 室內, 相片, 巧克力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一張含有 食物, 室內, 相片, 巧克力 的圖片&#10;&#10;自動產生的描述"/>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274310" cy="2470785"/>
                    </a:xfrm>
                    <a:prstGeom prst="rect">
                      <a:avLst/>
                    </a:prstGeom>
                  </pic:spPr>
                </pic:pic>
              </a:graphicData>
            </a:graphic>
          </wp:inline>
        </w:drawing>
      </w:r>
    </w:p>
    <w:p w14:paraId="484AD4D3" w14:textId="028FD8E2" w:rsidR="00F64FCD" w:rsidRPr="00E74730" w:rsidRDefault="004E536D" w:rsidP="00E74730">
      <w:pPr>
        <w:snapToGrid w:val="0"/>
        <w:spacing w:line="360" w:lineRule="auto"/>
        <w:jc w:val="both"/>
      </w:pPr>
      <w:r w:rsidRPr="00E74730">
        <w:rPr>
          <w:rFonts w:ascii="Book Antiqua" w:eastAsia="Book Antiqua" w:hAnsi="Book Antiqua" w:cs="Book Antiqua"/>
          <w:b/>
          <w:bCs/>
        </w:rPr>
        <w:t>Figure 2 Endoscopic finding of pus in the common bile duct in patients with Mirizzi syndrome</w:t>
      </w:r>
      <w:r w:rsidR="00D274BC" w:rsidRPr="00E74730">
        <w:rPr>
          <w:rFonts w:ascii="Book Antiqua" w:eastAsia="Book Antiqua" w:hAnsi="Book Antiqua" w:cs="Book Antiqua"/>
        </w:rPr>
        <w:t xml:space="preserve">. </w:t>
      </w:r>
      <w:r w:rsidRPr="00E74730">
        <w:rPr>
          <w:rFonts w:ascii="Book Antiqua" w:eastAsia="Book Antiqua" w:hAnsi="Book Antiqua" w:cs="Book Antiqua"/>
        </w:rPr>
        <w:t>A</w:t>
      </w:r>
      <w:r w:rsidR="00D274BC" w:rsidRPr="00E74730">
        <w:rPr>
          <w:rFonts w:ascii="Book Antiqua" w:eastAsia="Book Antiqua" w:hAnsi="Book Antiqua" w:cs="Book Antiqua"/>
        </w:rPr>
        <w:t xml:space="preserve">: </w:t>
      </w:r>
      <w:r w:rsidRPr="00E74730">
        <w:rPr>
          <w:rFonts w:ascii="Book Antiqua" w:eastAsia="Book Antiqua" w:hAnsi="Book Antiqua" w:cs="Book Antiqua"/>
        </w:rPr>
        <w:t>The pus is extruding from the ampulla of Vater during endoscopic retrograde ch</w:t>
      </w:r>
      <w:r w:rsidR="00D274BC" w:rsidRPr="00E74730">
        <w:rPr>
          <w:rFonts w:ascii="Book Antiqua" w:eastAsia="Book Antiqua" w:hAnsi="Book Antiqua" w:cs="Book Antiqua"/>
        </w:rPr>
        <w:t>olangiopancreatography</w:t>
      </w:r>
      <w:r w:rsidR="00AB52C7" w:rsidRPr="00E74730">
        <w:rPr>
          <w:rFonts w:ascii="Book Antiqua" w:eastAsia="Book Antiqua" w:hAnsi="Book Antiqua" w:cs="Book Antiqua"/>
        </w:rPr>
        <w:t>;</w:t>
      </w:r>
      <w:r w:rsidR="00D274BC" w:rsidRPr="00E74730">
        <w:rPr>
          <w:rFonts w:ascii="Book Antiqua" w:eastAsia="Book Antiqua" w:hAnsi="Book Antiqua" w:cs="Book Antiqua"/>
        </w:rPr>
        <w:t xml:space="preserve"> </w:t>
      </w:r>
      <w:r w:rsidRPr="00E74730">
        <w:rPr>
          <w:rFonts w:ascii="Book Antiqua" w:eastAsia="Book Antiqua" w:hAnsi="Book Antiqua" w:cs="Book Antiqua"/>
        </w:rPr>
        <w:t>B</w:t>
      </w:r>
      <w:r w:rsidR="00D274BC" w:rsidRPr="00E74730">
        <w:rPr>
          <w:rFonts w:ascii="Book Antiqua" w:eastAsia="Book Antiqua" w:hAnsi="Book Antiqua" w:cs="Book Antiqua"/>
        </w:rPr>
        <w:t>:</w:t>
      </w:r>
      <w:r w:rsidRPr="00E74730">
        <w:rPr>
          <w:rFonts w:ascii="Book Antiqua" w:eastAsia="Book Antiqua" w:hAnsi="Book Antiqua" w:cs="Book Antiqua"/>
        </w:rPr>
        <w:t xml:space="preserve"> The pus is observed from the ampulla of Vater after an endoscopic sphincterotomy. </w:t>
      </w:r>
    </w:p>
    <w:p w14:paraId="79D38EC5" w14:textId="77777777" w:rsidR="00F64FCD" w:rsidRPr="00E74730" w:rsidRDefault="004E536D" w:rsidP="00E74730">
      <w:pPr>
        <w:snapToGrid w:val="0"/>
        <w:spacing w:line="360" w:lineRule="auto"/>
        <w:jc w:val="both"/>
        <w:rPr>
          <w:rFonts w:ascii="Book Antiqua" w:eastAsia="Book Antiqua" w:hAnsi="Book Antiqua" w:cs="Book Antiqua"/>
          <w:b/>
          <w:bCs/>
        </w:rPr>
      </w:pPr>
      <w:r w:rsidRPr="00E74730">
        <w:rPr>
          <w:rFonts w:ascii="Book Antiqua" w:eastAsia="Book Antiqua" w:hAnsi="Book Antiqua" w:cs="Book Antiqua"/>
          <w:b/>
          <w:bCs/>
        </w:rPr>
        <w:br w:type="page"/>
      </w:r>
      <w:r w:rsidRPr="00E74730">
        <w:rPr>
          <w:rFonts w:ascii="Book Antiqua" w:eastAsia="MinionPro-Regular" w:hAnsi="Book Antiqua"/>
          <w:noProof/>
          <w:lang w:eastAsia="zh-CN"/>
        </w:rPr>
        <w:drawing>
          <wp:inline distT="0" distB="0" distL="0" distR="0" wp14:anchorId="23904285" wp14:editId="7054A0CF">
            <wp:extent cx="5866685" cy="1884459"/>
            <wp:effectExtent l="0" t="0" r="0" b="0"/>
            <wp:docPr id="3" name="圖片 3" descr="一張含有 相片, 發現, 差異, 男人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descr="一張含有 相片, 發現, 差異, 男人 的圖片&#10;&#10;自動產生的描述"/>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76855" cy="1887726"/>
                    </a:xfrm>
                    <a:prstGeom prst="rect">
                      <a:avLst/>
                    </a:prstGeom>
                  </pic:spPr>
                </pic:pic>
              </a:graphicData>
            </a:graphic>
          </wp:inline>
        </w:drawing>
      </w:r>
    </w:p>
    <w:p w14:paraId="44191FE4" w14:textId="0EE202FB" w:rsidR="00F64FCD" w:rsidRPr="00E74730" w:rsidRDefault="004E536D" w:rsidP="00E74730">
      <w:pPr>
        <w:snapToGrid w:val="0"/>
        <w:spacing w:line="360" w:lineRule="auto"/>
        <w:jc w:val="both"/>
        <w:rPr>
          <w:rFonts w:ascii="Book Antiqua" w:eastAsia="Book Antiqua" w:hAnsi="Book Antiqua" w:cs="Book Antiqua"/>
        </w:rPr>
      </w:pPr>
      <w:r w:rsidRPr="00E74730">
        <w:rPr>
          <w:rFonts w:ascii="Book Antiqua" w:eastAsia="Book Antiqua" w:hAnsi="Book Antiqua" w:cs="Book Antiqua"/>
          <w:b/>
          <w:bCs/>
        </w:rPr>
        <w:t xml:space="preserve">Figure 3 Stricture length in common bile duct in patients with Mirizzi syndrome. </w:t>
      </w:r>
      <w:r w:rsidRPr="00E74730">
        <w:rPr>
          <w:rFonts w:ascii="Book Antiqua" w:eastAsia="Book Antiqua" w:hAnsi="Book Antiqua" w:cs="Book Antiqua"/>
        </w:rPr>
        <w:t>A</w:t>
      </w:r>
      <w:r w:rsidR="007E39E8" w:rsidRPr="00E74730">
        <w:rPr>
          <w:rFonts w:ascii="Book Antiqua" w:eastAsia="Book Antiqua" w:hAnsi="Book Antiqua" w:cs="Book Antiqua"/>
        </w:rPr>
        <w:t>:</w:t>
      </w:r>
      <w:r w:rsidRPr="00E74730">
        <w:rPr>
          <w:rFonts w:ascii="Book Antiqua" w:eastAsia="Book Antiqua" w:hAnsi="Book Antiqua" w:cs="Book Antiqua"/>
        </w:rPr>
        <w:t xml:space="preserve"> One 2.7-cm gall bladder stone caused a cholecystocholedochal fistula. The stricture length is only 1.7 cm, which is less than</w:t>
      </w:r>
      <w:r w:rsidR="007E39E8" w:rsidRPr="00E74730">
        <w:rPr>
          <w:rFonts w:ascii="Book Antiqua" w:eastAsia="Book Antiqua" w:hAnsi="Book Antiqua" w:cs="Book Antiqua"/>
        </w:rPr>
        <w:t xml:space="preserve"> the actual size of the stone</w:t>
      </w:r>
      <w:r w:rsidR="00AB52C7" w:rsidRPr="00E74730">
        <w:rPr>
          <w:rFonts w:ascii="Book Antiqua" w:eastAsia="Book Antiqua" w:hAnsi="Book Antiqua" w:cs="Book Antiqua"/>
        </w:rPr>
        <w:t>;</w:t>
      </w:r>
      <w:r w:rsidR="007E39E8" w:rsidRPr="00E74730">
        <w:rPr>
          <w:rFonts w:ascii="Book Antiqua" w:eastAsia="Book Antiqua" w:hAnsi="Book Antiqua" w:cs="Book Antiqua"/>
        </w:rPr>
        <w:t xml:space="preserve"> </w:t>
      </w:r>
      <w:r w:rsidRPr="00E74730">
        <w:rPr>
          <w:rFonts w:ascii="Book Antiqua" w:eastAsia="Book Antiqua" w:hAnsi="Book Antiqua" w:cs="Book Antiqua"/>
        </w:rPr>
        <w:t>B</w:t>
      </w:r>
      <w:r w:rsidR="007E39E8" w:rsidRPr="00E74730">
        <w:rPr>
          <w:rFonts w:ascii="Book Antiqua" w:eastAsia="Book Antiqua" w:hAnsi="Book Antiqua" w:cs="Book Antiqua"/>
        </w:rPr>
        <w:t xml:space="preserve"> and </w:t>
      </w:r>
      <w:r w:rsidRPr="00E74730">
        <w:rPr>
          <w:rFonts w:ascii="Book Antiqua" w:eastAsia="Book Antiqua" w:hAnsi="Book Antiqua" w:cs="Book Antiqua"/>
        </w:rPr>
        <w:t>C</w:t>
      </w:r>
      <w:r w:rsidR="007E39E8" w:rsidRPr="00E74730">
        <w:rPr>
          <w:rFonts w:ascii="Book Antiqua" w:eastAsia="Book Antiqua" w:hAnsi="Book Antiqua" w:cs="Book Antiqua"/>
        </w:rPr>
        <w:t xml:space="preserve">: </w:t>
      </w:r>
      <w:r w:rsidRPr="00E74730">
        <w:rPr>
          <w:rFonts w:ascii="Book Antiqua" w:eastAsia="Book Antiqua" w:hAnsi="Book Antiqua" w:cs="Book Antiqua"/>
        </w:rPr>
        <w:t xml:space="preserve">One 1.4-cm gall bladder stone compressed the </w:t>
      </w:r>
      <w:r w:rsidR="002A3E2F" w:rsidRPr="00E74730">
        <w:rPr>
          <w:rFonts w:ascii="Book Antiqua" w:eastAsia="Book Antiqua" w:hAnsi="Book Antiqua" w:cs="Book Antiqua"/>
          <w:shd w:val="clear" w:color="auto" w:fill="FFFFFF"/>
        </w:rPr>
        <w:t>common bile duct</w:t>
      </w:r>
      <w:r w:rsidRPr="00E74730">
        <w:rPr>
          <w:rFonts w:ascii="Book Antiqua" w:eastAsia="Book Antiqua" w:hAnsi="Book Antiqua" w:cs="Book Antiqua"/>
        </w:rPr>
        <w:t xml:space="preserve">. However, the stricture of </w:t>
      </w:r>
      <w:r w:rsidR="008E140A" w:rsidRPr="00E74730">
        <w:rPr>
          <w:rFonts w:ascii="Book Antiqua" w:eastAsia="Book Antiqua" w:hAnsi="Book Antiqua" w:cs="Book Antiqua"/>
        </w:rPr>
        <w:t xml:space="preserve">common bile duct </w:t>
      </w:r>
      <w:r w:rsidRPr="00E74730">
        <w:rPr>
          <w:rFonts w:ascii="Book Antiqua" w:eastAsia="Book Antiqua" w:hAnsi="Book Antiqua" w:cs="Book Antiqua"/>
        </w:rPr>
        <w:t>is 3.3 cm in length. Computerized tomography</w:t>
      </w:r>
      <w:r w:rsidR="006825CD" w:rsidRPr="00E74730">
        <w:rPr>
          <w:rFonts w:ascii="Book Antiqua" w:eastAsia="Book Antiqua" w:hAnsi="Book Antiqua" w:cs="Book Antiqua"/>
        </w:rPr>
        <w:t xml:space="preserve"> </w:t>
      </w:r>
      <w:r w:rsidRPr="00E74730">
        <w:rPr>
          <w:rFonts w:ascii="Book Antiqua" w:eastAsia="Book Antiqua" w:hAnsi="Book Antiqua" w:cs="Book Antiqua"/>
        </w:rPr>
        <w:t xml:space="preserve">after </w:t>
      </w:r>
      <w:r w:rsidR="002A3E2F" w:rsidRPr="00E74730">
        <w:rPr>
          <w:rFonts w:ascii="Book Antiqua" w:hAnsi="Book Antiqua"/>
        </w:rPr>
        <w:t>endoscopic retrograde cholangiopancreatography</w:t>
      </w:r>
      <w:r w:rsidRPr="00E74730">
        <w:rPr>
          <w:rFonts w:ascii="Book Antiqua" w:eastAsia="Book Antiqua" w:hAnsi="Book Antiqua" w:cs="Book Antiqua"/>
        </w:rPr>
        <w:t xml:space="preserve"> revealed that </w:t>
      </w:r>
      <w:r w:rsidR="008E140A" w:rsidRPr="00E74730">
        <w:rPr>
          <w:rFonts w:ascii="Book Antiqua" w:eastAsia="Book Antiqua" w:hAnsi="Book Antiqua" w:cs="Book Antiqua"/>
        </w:rPr>
        <w:t xml:space="preserve">the </w:t>
      </w:r>
      <w:r w:rsidRPr="00E74730">
        <w:rPr>
          <w:rFonts w:ascii="Book Antiqua" w:eastAsia="Book Antiqua" w:hAnsi="Book Antiqua" w:cs="Book Antiqua"/>
        </w:rPr>
        <w:t>plastic biliary stent was close to the stone (</w:t>
      </w:r>
      <w:r w:rsidR="00926510" w:rsidRPr="00926510">
        <w:rPr>
          <w:rFonts w:ascii="Book Antiqua" w:eastAsia="Book Antiqua" w:hAnsi="Book Antiqua" w:cs="Book Antiqua"/>
        </w:rPr>
        <w:t xml:space="preserve">orange </w:t>
      </w:r>
      <w:r w:rsidRPr="00E74730">
        <w:rPr>
          <w:rFonts w:ascii="Book Antiqua" w:eastAsia="Book Antiqua" w:hAnsi="Book Antiqua" w:cs="Book Antiqua"/>
        </w:rPr>
        <w:t>arrow).</w:t>
      </w:r>
    </w:p>
    <w:p w14:paraId="12E93F47" w14:textId="77777777" w:rsidR="00F64FCD" w:rsidRPr="00E74730" w:rsidRDefault="004E536D" w:rsidP="00E74730">
      <w:pPr>
        <w:snapToGrid w:val="0"/>
        <w:spacing w:line="360" w:lineRule="auto"/>
        <w:jc w:val="both"/>
        <w:rPr>
          <w:rFonts w:ascii="Book Antiqua" w:eastAsia="MinionPro-Regular" w:hAnsi="Book Antiqua"/>
          <w:b/>
        </w:rPr>
      </w:pPr>
      <w:r w:rsidRPr="00E74730">
        <w:rPr>
          <w:rFonts w:ascii="Book Antiqua" w:eastAsia="Book Antiqua" w:hAnsi="Book Antiqua" w:cs="Book Antiqua"/>
        </w:rPr>
        <w:br w:type="page"/>
      </w:r>
      <w:r w:rsidRPr="00E74730">
        <w:rPr>
          <w:rFonts w:ascii="Book Antiqua" w:hAnsi="Book Antiqua"/>
          <w:b/>
        </w:rPr>
        <w:t xml:space="preserve">Table 1 </w:t>
      </w:r>
      <w:r w:rsidRPr="00E74730">
        <w:rPr>
          <w:rFonts w:ascii="Book Antiqua" w:hAnsi="Book Antiqua" w:cs="TimesNewRoman"/>
          <w:b/>
        </w:rPr>
        <w:t>Clinical presentation data</w:t>
      </w:r>
    </w:p>
    <w:tbl>
      <w:tblPr>
        <w:tblW w:w="9441" w:type="dxa"/>
        <w:tblBorders>
          <w:top w:val="single" w:sz="4" w:space="0" w:color="auto"/>
          <w:bottom w:val="single" w:sz="4" w:space="0" w:color="auto"/>
        </w:tblBorders>
        <w:tblLook w:val="04A0" w:firstRow="1" w:lastRow="0" w:firstColumn="1" w:lastColumn="0" w:noHBand="0" w:noVBand="1"/>
      </w:tblPr>
      <w:tblGrid>
        <w:gridCol w:w="3823"/>
        <w:gridCol w:w="2353"/>
        <w:gridCol w:w="2303"/>
        <w:gridCol w:w="962"/>
      </w:tblGrid>
      <w:tr w:rsidR="00E74730" w:rsidRPr="00E74730" w14:paraId="24719CCB" w14:textId="77777777" w:rsidTr="00896453">
        <w:trPr>
          <w:trHeight w:val="957"/>
        </w:trPr>
        <w:tc>
          <w:tcPr>
            <w:tcW w:w="3823" w:type="dxa"/>
            <w:tcBorders>
              <w:bottom w:val="single" w:sz="4" w:space="0" w:color="auto"/>
            </w:tcBorders>
            <w:shd w:val="clear" w:color="auto" w:fill="auto"/>
          </w:tcPr>
          <w:p w14:paraId="192D4B48" w14:textId="77777777" w:rsidR="00F64FCD" w:rsidRPr="00E74730" w:rsidRDefault="00F64FCD" w:rsidP="00E74730">
            <w:pPr>
              <w:snapToGrid w:val="0"/>
              <w:spacing w:line="360" w:lineRule="auto"/>
              <w:jc w:val="both"/>
              <w:rPr>
                <w:rFonts w:ascii="Book Antiqua" w:hAnsi="Book Antiqua"/>
                <w:b/>
              </w:rPr>
            </w:pPr>
          </w:p>
        </w:tc>
        <w:tc>
          <w:tcPr>
            <w:tcW w:w="2353" w:type="dxa"/>
            <w:tcBorders>
              <w:bottom w:val="single" w:sz="4" w:space="0" w:color="auto"/>
            </w:tcBorders>
            <w:shd w:val="clear" w:color="auto" w:fill="auto"/>
          </w:tcPr>
          <w:p w14:paraId="79ADBD61" w14:textId="0B656575" w:rsidR="00F64FCD" w:rsidRPr="00E74730" w:rsidRDefault="004E536D" w:rsidP="00E74730">
            <w:pPr>
              <w:snapToGrid w:val="0"/>
              <w:spacing w:line="360" w:lineRule="auto"/>
              <w:jc w:val="both"/>
              <w:rPr>
                <w:rFonts w:ascii="Book Antiqua" w:hAnsi="Book Antiqua"/>
                <w:b/>
              </w:rPr>
            </w:pPr>
            <w:r w:rsidRPr="00E74730">
              <w:rPr>
                <w:rFonts w:ascii="Book Antiqua" w:hAnsi="Book Antiqua"/>
                <w:b/>
              </w:rPr>
              <w:t>MS with fistula formation</w:t>
            </w:r>
            <w:r w:rsidR="00137290">
              <w:rPr>
                <w:rFonts w:ascii="Book Antiqua" w:hAnsi="Book Antiqua"/>
                <w:b/>
              </w:rPr>
              <w:t>,</w:t>
            </w:r>
            <w:r w:rsidRPr="00E74730">
              <w:rPr>
                <w:rFonts w:ascii="Book Antiqua" w:hAnsi="Book Antiqua"/>
                <w:b/>
              </w:rPr>
              <w:t xml:space="preserve"> </w:t>
            </w:r>
            <w:bookmarkStart w:id="3" w:name="OLE_LINK2192"/>
            <w:bookmarkStart w:id="4" w:name="OLE_LINK2193"/>
            <w:r w:rsidRPr="00E74730">
              <w:rPr>
                <w:rFonts w:ascii="Book Antiqua" w:hAnsi="Book Antiqua"/>
                <w:b/>
                <w:i/>
                <w:iCs/>
              </w:rPr>
              <w:t>n</w:t>
            </w:r>
            <w:bookmarkEnd w:id="3"/>
            <w:bookmarkEnd w:id="4"/>
            <w:r w:rsidRPr="00E74730">
              <w:rPr>
                <w:rFonts w:ascii="Book Antiqua" w:hAnsi="Book Antiqua"/>
                <w:b/>
              </w:rPr>
              <w:t xml:space="preserve"> = 21</w:t>
            </w:r>
          </w:p>
        </w:tc>
        <w:tc>
          <w:tcPr>
            <w:tcW w:w="2303" w:type="dxa"/>
            <w:tcBorders>
              <w:bottom w:val="single" w:sz="4" w:space="0" w:color="auto"/>
            </w:tcBorders>
          </w:tcPr>
          <w:p w14:paraId="1947233C" w14:textId="1A065767" w:rsidR="00F64FCD" w:rsidRPr="00E74730" w:rsidRDefault="004E536D" w:rsidP="00E74730">
            <w:pPr>
              <w:pStyle w:val="a3"/>
              <w:spacing w:line="360" w:lineRule="auto"/>
              <w:jc w:val="both"/>
              <w:rPr>
                <w:rFonts w:ascii="Book Antiqua" w:hAnsi="Book Antiqua"/>
                <w:b/>
                <w:sz w:val="24"/>
                <w:szCs w:val="24"/>
              </w:rPr>
            </w:pPr>
            <w:r w:rsidRPr="00E74730">
              <w:rPr>
                <w:rFonts w:ascii="Book Antiqua" w:hAnsi="Book Antiqua"/>
                <w:b/>
                <w:sz w:val="24"/>
                <w:szCs w:val="24"/>
              </w:rPr>
              <w:t>MS without fistula formation</w:t>
            </w:r>
            <w:r w:rsidR="00137290">
              <w:rPr>
                <w:rFonts w:ascii="Book Antiqua" w:hAnsi="Book Antiqua"/>
                <w:b/>
                <w:sz w:val="24"/>
                <w:szCs w:val="24"/>
              </w:rPr>
              <w:t>,</w:t>
            </w:r>
            <w:r w:rsidRPr="00E74730">
              <w:rPr>
                <w:rFonts w:ascii="Book Antiqua" w:hAnsi="Book Antiqua"/>
                <w:b/>
                <w:sz w:val="24"/>
                <w:szCs w:val="24"/>
              </w:rPr>
              <w:t xml:space="preserve"> </w:t>
            </w:r>
            <w:r w:rsidR="00AB52C7" w:rsidRPr="00E74730">
              <w:rPr>
                <w:rFonts w:ascii="Book Antiqua" w:hAnsi="Book Antiqua"/>
                <w:b/>
                <w:i/>
                <w:iCs/>
                <w:sz w:val="24"/>
                <w:szCs w:val="24"/>
              </w:rPr>
              <w:t>n</w:t>
            </w:r>
            <w:r w:rsidR="00AB52C7" w:rsidRPr="00E74730">
              <w:rPr>
                <w:rFonts w:ascii="Book Antiqua" w:hAnsi="Book Antiqua"/>
                <w:b/>
                <w:sz w:val="24"/>
                <w:szCs w:val="24"/>
              </w:rPr>
              <w:t xml:space="preserve"> </w:t>
            </w:r>
            <w:r w:rsidRPr="00E74730">
              <w:rPr>
                <w:rFonts w:ascii="Book Antiqua" w:hAnsi="Book Antiqua"/>
                <w:b/>
                <w:sz w:val="24"/>
                <w:szCs w:val="24"/>
              </w:rPr>
              <w:t>= 96</w:t>
            </w:r>
          </w:p>
        </w:tc>
        <w:tc>
          <w:tcPr>
            <w:tcW w:w="962" w:type="dxa"/>
            <w:tcBorders>
              <w:bottom w:val="single" w:sz="4" w:space="0" w:color="auto"/>
            </w:tcBorders>
          </w:tcPr>
          <w:p w14:paraId="591F64F9" w14:textId="77777777" w:rsidR="00F64FCD" w:rsidRPr="00E74730" w:rsidRDefault="004E536D" w:rsidP="00E74730">
            <w:pPr>
              <w:pStyle w:val="a3"/>
              <w:spacing w:line="360" w:lineRule="auto"/>
              <w:jc w:val="both"/>
              <w:rPr>
                <w:rFonts w:ascii="Book Antiqua" w:hAnsi="Book Antiqua"/>
                <w:b/>
                <w:sz w:val="24"/>
                <w:szCs w:val="24"/>
              </w:rPr>
            </w:pPr>
            <w:r w:rsidRPr="00E74730">
              <w:rPr>
                <w:rFonts w:ascii="Book Antiqua" w:hAnsi="Book Antiqua"/>
                <w:b/>
                <w:i/>
                <w:sz w:val="24"/>
                <w:szCs w:val="24"/>
              </w:rPr>
              <w:t>P</w:t>
            </w:r>
            <w:r w:rsidR="000F0BB9" w:rsidRPr="00E74730">
              <w:rPr>
                <w:rFonts w:ascii="Book Antiqua" w:hAnsi="Book Antiqua"/>
                <w:b/>
                <w:sz w:val="24"/>
                <w:szCs w:val="24"/>
              </w:rPr>
              <w:t xml:space="preserve"> </w:t>
            </w:r>
            <w:r w:rsidRPr="00E74730">
              <w:rPr>
                <w:rFonts w:ascii="Book Antiqua" w:hAnsi="Book Antiqua"/>
                <w:b/>
                <w:sz w:val="24"/>
                <w:szCs w:val="24"/>
              </w:rPr>
              <w:t>value</w:t>
            </w:r>
          </w:p>
        </w:tc>
      </w:tr>
      <w:tr w:rsidR="00E74730" w:rsidRPr="00E74730" w14:paraId="316A1049" w14:textId="77777777" w:rsidTr="00D07923">
        <w:trPr>
          <w:trHeight w:val="454"/>
        </w:trPr>
        <w:tc>
          <w:tcPr>
            <w:tcW w:w="3823" w:type="dxa"/>
            <w:tcBorders>
              <w:top w:val="single" w:sz="4" w:space="0" w:color="auto"/>
              <w:bottom w:val="nil"/>
            </w:tcBorders>
            <w:shd w:val="clear" w:color="auto" w:fill="auto"/>
          </w:tcPr>
          <w:p w14:paraId="3598E6A6" w14:textId="2A0190D6"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 xml:space="preserve">Age </w:t>
            </w:r>
            <w:r w:rsidR="00137290">
              <w:rPr>
                <w:rFonts w:ascii="Book Antiqua" w:hAnsi="Book Antiqua"/>
                <w:bCs/>
              </w:rPr>
              <w:t xml:space="preserve">in </w:t>
            </w:r>
            <w:r w:rsidRPr="00E74730">
              <w:rPr>
                <w:rFonts w:ascii="Book Antiqua" w:hAnsi="Book Antiqua"/>
                <w:bCs/>
              </w:rPr>
              <w:t>yr</w:t>
            </w:r>
          </w:p>
        </w:tc>
        <w:tc>
          <w:tcPr>
            <w:tcW w:w="2353" w:type="dxa"/>
            <w:tcBorders>
              <w:top w:val="single" w:sz="4" w:space="0" w:color="auto"/>
              <w:bottom w:val="nil"/>
            </w:tcBorders>
            <w:shd w:val="clear" w:color="auto" w:fill="auto"/>
          </w:tcPr>
          <w:p w14:paraId="45D52C0C"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56 ± 15</w:t>
            </w:r>
          </w:p>
        </w:tc>
        <w:tc>
          <w:tcPr>
            <w:tcW w:w="2303" w:type="dxa"/>
            <w:tcBorders>
              <w:top w:val="single" w:sz="4" w:space="0" w:color="auto"/>
              <w:bottom w:val="nil"/>
            </w:tcBorders>
          </w:tcPr>
          <w:p w14:paraId="1E07959D"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57 ± 15</w:t>
            </w:r>
          </w:p>
        </w:tc>
        <w:tc>
          <w:tcPr>
            <w:tcW w:w="962" w:type="dxa"/>
            <w:tcBorders>
              <w:top w:val="single" w:sz="4" w:space="0" w:color="auto"/>
              <w:bottom w:val="nil"/>
            </w:tcBorders>
          </w:tcPr>
          <w:p w14:paraId="240365EE"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0.72</w:t>
            </w:r>
          </w:p>
        </w:tc>
      </w:tr>
      <w:tr w:rsidR="00E74730" w:rsidRPr="00E74730" w14:paraId="2DD4BD96" w14:textId="77777777" w:rsidTr="00D07923">
        <w:trPr>
          <w:trHeight w:val="454"/>
        </w:trPr>
        <w:tc>
          <w:tcPr>
            <w:tcW w:w="3823" w:type="dxa"/>
            <w:tcBorders>
              <w:top w:val="nil"/>
              <w:bottom w:val="nil"/>
            </w:tcBorders>
            <w:shd w:val="clear" w:color="auto" w:fill="auto"/>
          </w:tcPr>
          <w:p w14:paraId="4CFF9C88" w14:textId="353761D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Sex</w:t>
            </w:r>
            <w:r w:rsidR="00137290">
              <w:rPr>
                <w:rFonts w:ascii="Book Antiqua" w:hAnsi="Book Antiqua"/>
                <w:bCs/>
              </w:rPr>
              <w:t>,</w:t>
            </w:r>
            <w:r w:rsidRPr="00E74730">
              <w:rPr>
                <w:rFonts w:ascii="Book Antiqua" w:hAnsi="Book Antiqua"/>
                <w:bCs/>
              </w:rPr>
              <w:t xml:space="preserve"> male/female</w:t>
            </w:r>
          </w:p>
        </w:tc>
        <w:tc>
          <w:tcPr>
            <w:tcW w:w="2353" w:type="dxa"/>
            <w:tcBorders>
              <w:top w:val="nil"/>
              <w:bottom w:val="nil"/>
            </w:tcBorders>
            <w:shd w:val="clear" w:color="auto" w:fill="auto"/>
          </w:tcPr>
          <w:p w14:paraId="0524E959"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16/5</w:t>
            </w:r>
          </w:p>
        </w:tc>
        <w:tc>
          <w:tcPr>
            <w:tcW w:w="2303" w:type="dxa"/>
            <w:tcBorders>
              <w:top w:val="nil"/>
              <w:bottom w:val="nil"/>
            </w:tcBorders>
          </w:tcPr>
          <w:p w14:paraId="7418A9EF"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63/33</w:t>
            </w:r>
          </w:p>
        </w:tc>
        <w:tc>
          <w:tcPr>
            <w:tcW w:w="962" w:type="dxa"/>
            <w:tcBorders>
              <w:top w:val="nil"/>
              <w:bottom w:val="nil"/>
            </w:tcBorders>
          </w:tcPr>
          <w:p w14:paraId="713C3546" w14:textId="77777777"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0.45</w:t>
            </w:r>
          </w:p>
        </w:tc>
      </w:tr>
      <w:tr w:rsidR="00E74730" w:rsidRPr="00E74730" w14:paraId="6AD1EEFE" w14:textId="77777777" w:rsidTr="00D07923">
        <w:trPr>
          <w:trHeight w:val="410"/>
        </w:trPr>
        <w:tc>
          <w:tcPr>
            <w:tcW w:w="3823" w:type="dxa"/>
            <w:tcBorders>
              <w:top w:val="nil"/>
              <w:bottom w:val="nil"/>
            </w:tcBorders>
            <w:shd w:val="clear" w:color="auto" w:fill="auto"/>
          </w:tcPr>
          <w:p w14:paraId="1F77A7FF" w14:textId="67CDBEE3"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Clinical symptom</w:t>
            </w:r>
            <w:r w:rsidR="00896453" w:rsidRPr="00E74730">
              <w:rPr>
                <w:rFonts w:ascii="Book Antiqua" w:hAnsi="Book Antiqua"/>
                <w:bCs/>
              </w:rPr>
              <w:t xml:space="preserve">, </w:t>
            </w:r>
            <w:r w:rsidR="00896453" w:rsidRPr="00E74730">
              <w:rPr>
                <w:rFonts w:ascii="Book Antiqua" w:hAnsi="Book Antiqua"/>
                <w:bCs/>
                <w:i/>
              </w:rPr>
              <w:t>n</w:t>
            </w:r>
            <w:r w:rsidRPr="00E74730">
              <w:rPr>
                <w:rFonts w:ascii="Book Antiqua" w:eastAsia="NewGalliard-Roman" w:hAnsi="Book Antiqua"/>
                <w:bCs/>
                <w:i/>
              </w:rPr>
              <w:t xml:space="preserve"> </w:t>
            </w:r>
            <w:r w:rsidRPr="00E74730">
              <w:rPr>
                <w:rFonts w:ascii="Book Antiqua" w:eastAsia="NewGalliard-Roman" w:hAnsi="Book Antiqua"/>
                <w:bCs/>
              </w:rPr>
              <w:t>(%)</w:t>
            </w:r>
          </w:p>
        </w:tc>
        <w:tc>
          <w:tcPr>
            <w:tcW w:w="2353" w:type="dxa"/>
            <w:tcBorders>
              <w:top w:val="nil"/>
              <w:bottom w:val="nil"/>
            </w:tcBorders>
            <w:shd w:val="clear" w:color="auto" w:fill="auto"/>
          </w:tcPr>
          <w:p w14:paraId="1BFC7410" w14:textId="0F79C44A" w:rsidR="00F64FCD" w:rsidRPr="00E74730" w:rsidRDefault="00F64FCD" w:rsidP="00E74730">
            <w:pPr>
              <w:snapToGrid w:val="0"/>
              <w:spacing w:line="360" w:lineRule="auto"/>
              <w:jc w:val="both"/>
              <w:rPr>
                <w:rFonts w:ascii="Book Antiqua" w:hAnsi="Book Antiqua"/>
                <w:bCs/>
              </w:rPr>
            </w:pPr>
          </w:p>
        </w:tc>
        <w:tc>
          <w:tcPr>
            <w:tcW w:w="2303" w:type="dxa"/>
            <w:tcBorders>
              <w:top w:val="nil"/>
              <w:bottom w:val="nil"/>
            </w:tcBorders>
          </w:tcPr>
          <w:p w14:paraId="4519532C" w14:textId="1EC75918" w:rsidR="00F64FCD" w:rsidRPr="00E74730" w:rsidRDefault="00F64FCD" w:rsidP="00E74730">
            <w:pPr>
              <w:snapToGrid w:val="0"/>
              <w:spacing w:line="360" w:lineRule="auto"/>
              <w:jc w:val="both"/>
              <w:rPr>
                <w:rFonts w:ascii="Book Antiqua" w:hAnsi="Book Antiqua"/>
                <w:bCs/>
              </w:rPr>
            </w:pPr>
          </w:p>
        </w:tc>
        <w:tc>
          <w:tcPr>
            <w:tcW w:w="962" w:type="dxa"/>
            <w:tcBorders>
              <w:top w:val="nil"/>
              <w:bottom w:val="nil"/>
            </w:tcBorders>
          </w:tcPr>
          <w:p w14:paraId="7BAB0453" w14:textId="6A28C573" w:rsidR="00F64FCD" w:rsidRPr="00E74730" w:rsidRDefault="00F64FCD" w:rsidP="00E74730">
            <w:pPr>
              <w:snapToGrid w:val="0"/>
              <w:spacing w:line="360" w:lineRule="auto"/>
              <w:jc w:val="both"/>
              <w:rPr>
                <w:rFonts w:ascii="Book Antiqua" w:hAnsi="Book Antiqua"/>
                <w:bCs/>
              </w:rPr>
            </w:pPr>
          </w:p>
        </w:tc>
      </w:tr>
      <w:tr w:rsidR="00201244" w:rsidRPr="00E74730" w14:paraId="607BD51E" w14:textId="77777777" w:rsidTr="00D07923">
        <w:trPr>
          <w:trHeight w:val="370"/>
        </w:trPr>
        <w:tc>
          <w:tcPr>
            <w:tcW w:w="3823" w:type="dxa"/>
            <w:tcBorders>
              <w:top w:val="nil"/>
              <w:bottom w:val="nil"/>
            </w:tcBorders>
            <w:shd w:val="clear" w:color="auto" w:fill="auto"/>
          </w:tcPr>
          <w:p w14:paraId="5BCEB9AD" w14:textId="76B07C04"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 xml:space="preserve"> Abdominal pain</w:t>
            </w:r>
          </w:p>
        </w:tc>
        <w:tc>
          <w:tcPr>
            <w:tcW w:w="2353" w:type="dxa"/>
            <w:tcBorders>
              <w:top w:val="nil"/>
              <w:bottom w:val="nil"/>
            </w:tcBorders>
            <w:shd w:val="clear" w:color="auto" w:fill="auto"/>
          </w:tcPr>
          <w:p w14:paraId="24B6013C" w14:textId="25566A4E"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14 (66.67)</w:t>
            </w:r>
          </w:p>
        </w:tc>
        <w:tc>
          <w:tcPr>
            <w:tcW w:w="2303" w:type="dxa"/>
            <w:tcBorders>
              <w:top w:val="nil"/>
              <w:bottom w:val="nil"/>
            </w:tcBorders>
          </w:tcPr>
          <w:p w14:paraId="755A1709" w14:textId="3F96098B"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86 (77.08)</w:t>
            </w:r>
          </w:p>
        </w:tc>
        <w:tc>
          <w:tcPr>
            <w:tcW w:w="962" w:type="dxa"/>
            <w:tcBorders>
              <w:top w:val="nil"/>
              <w:bottom w:val="nil"/>
            </w:tcBorders>
          </w:tcPr>
          <w:p w14:paraId="1C32B5F9" w14:textId="5B73DFEC"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0.40</w:t>
            </w:r>
          </w:p>
        </w:tc>
      </w:tr>
      <w:tr w:rsidR="00201244" w:rsidRPr="00E74730" w14:paraId="350BC317" w14:textId="77777777" w:rsidTr="00D07923">
        <w:trPr>
          <w:trHeight w:val="360"/>
        </w:trPr>
        <w:tc>
          <w:tcPr>
            <w:tcW w:w="3823" w:type="dxa"/>
            <w:tcBorders>
              <w:top w:val="nil"/>
              <w:bottom w:val="nil"/>
            </w:tcBorders>
            <w:shd w:val="clear" w:color="auto" w:fill="auto"/>
          </w:tcPr>
          <w:p w14:paraId="713AE2A7" w14:textId="6088149C"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 xml:space="preserve"> Jaundice</w:t>
            </w:r>
          </w:p>
        </w:tc>
        <w:tc>
          <w:tcPr>
            <w:tcW w:w="2353" w:type="dxa"/>
            <w:tcBorders>
              <w:top w:val="nil"/>
              <w:bottom w:val="nil"/>
            </w:tcBorders>
            <w:shd w:val="clear" w:color="auto" w:fill="auto"/>
          </w:tcPr>
          <w:p w14:paraId="7B160777" w14:textId="01424570"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15 (71.42)</w:t>
            </w:r>
          </w:p>
        </w:tc>
        <w:tc>
          <w:tcPr>
            <w:tcW w:w="2303" w:type="dxa"/>
            <w:tcBorders>
              <w:top w:val="nil"/>
              <w:bottom w:val="nil"/>
            </w:tcBorders>
          </w:tcPr>
          <w:p w14:paraId="17296887" w14:textId="538B91BF"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81 (79.17)</w:t>
            </w:r>
          </w:p>
        </w:tc>
        <w:tc>
          <w:tcPr>
            <w:tcW w:w="962" w:type="dxa"/>
            <w:tcBorders>
              <w:top w:val="nil"/>
              <w:bottom w:val="nil"/>
            </w:tcBorders>
          </w:tcPr>
          <w:p w14:paraId="2A9BC61B" w14:textId="4E324D5F"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0.56</w:t>
            </w:r>
          </w:p>
        </w:tc>
      </w:tr>
      <w:tr w:rsidR="00201244" w:rsidRPr="00E74730" w14:paraId="7E3C5A8C" w14:textId="77777777" w:rsidTr="00D07923">
        <w:trPr>
          <w:trHeight w:val="620"/>
        </w:trPr>
        <w:tc>
          <w:tcPr>
            <w:tcW w:w="3823" w:type="dxa"/>
            <w:tcBorders>
              <w:top w:val="nil"/>
              <w:bottom w:val="nil"/>
            </w:tcBorders>
            <w:shd w:val="clear" w:color="auto" w:fill="auto"/>
          </w:tcPr>
          <w:p w14:paraId="59D4BF3A" w14:textId="36E73FD1" w:rsidR="00201244" w:rsidRPr="00E74730" w:rsidRDefault="00201244" w:rsidP="00E74730">
            <w:pPr>
              <w:snapToGrid w:val="0"/>
              <w:spacing w:line="360" w:lineRule="auto"/>
              <w:ind w:leftChars="100" w:left="240"/>
              <w:jc w:val="both"/>
              <w:rPr>
                <w:rFonts w:ascii="Book Antiqua" w:hAnsi="Book Antiqua"/>
                <w:bCs/>
              </w:rPr>
            </w:pPr>
            <w:r w:rsidRPr="00E74730">
              <w:rPr>
                <w:rFonts w:ascii="Book Antiqua" w:hAnsi="Book Antiqua"/>
                <w:bCs/>
              </w:rPr>
              <w:t>Cholangitis</w:t>
            </w:r>
          </w:p>
        </w:tc>
        <w:tc>
          <w:tcPr>
            <w:tcW w:w="2353" w:type="dxa"/>
            <w:tcBorders>
              <w:top w:val="nil"/>
              <w:bottom w:val="nil"/>
            </w:tcBorders>
            <w:shd w:val="clear" w:color="auto" w:fill="auto"/>
          </w:tcPr>
          <w:p w14:paraId="51B8E884" w14:textId="0289F32A"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10 (47.62)</w:t>
            </w:r>
          </w:p>
        </w:tc>
        <w:tc>
          <w:tcPr>
            <w:tcW w:w="2303" w:type="dxa"/>
            <w:tcBorders>
              <w:top w:val="nil"/>
              <w:bottom w:val="nil"/>
            </w:tcBorders>
          </w:tcPr>
          <w:p w14:paraId="3DBCDEA1" w14:textId="42A87489"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54 (56.25)</w:t>
            </w:r>
          </w:p>
        </w:tc>
        <w:tc>
          <w:tcPr>
            <w:tcW w:w="962" w:type="dxa"/>
            <w:tcBorders>
              <w:top w:val="nil"/>
              <w:bottom w:val="nil"/>
            </w:tcBorders>
          </w:tcPr>
          <w:p w14:paraId="11B595B1" w14:textId="68638D58"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0.48</w:t>
            </w:r>
          </w:p>
        </w:tc>
      </w:tr>
      <w:tr w:rsidR="00E74730" w:rsidRPr="00E74730" w14:paraId="0BAC366F" w14:textId="77777777" w:rsidTr="00D07923">
        <w:trPr>
          <w:trHeight w:val="370"/>
        </w:trPr>
        <w:tc>
          <w:tcPr>
            <w:tcW w:w="3823" w:type="dxa"/>
            <w:tcBorders>
              <w:top w:val="nil"/>
              <w:bottom w:val="nil"/>
            </w:tcBorders>
            <w:shd w:val="clear" w:color="auto" w:fill="auto"/>
          </w:tcPr>
          <w:p w14:paraId="5FACF557" w14:textId="29820A56" w:rsidR="00F64FCD" w:rsidRPr="00E74730" w:rsidRDefault="004E536D" w:rsidP="00E74730">
            <w:pPr>
              <w:snapToGrid w:val="0"/>
              <w:spacing w:line="360" w:lineRule="auto"/>
              <w:jc w:val="both"/>
              <w:rPr>
                <w:rFonts w:ascii="Book Antiqua" w:hAnsi="Book Antiqua" w:cs="TimesNewRoman"/>
                <w:bCs/>
              </w:rPr>
            </w:pPr>
            <w:r w:rsidRPr="00E74730">
              <w:rPr>
                <w:rFonts w:ascii="Book Antiqua" w:hAnsi="Book Antiqua" w:cs="TimesNewRoman"/>
                <w:bCs/>
              </w:rPr>
              <w:t>Laboratory findings</w:t>
            </w:r>
          </w:p>
        </w:tc>
        <w:tc>
          <w:tcPr>
            <w:tcW w:w="2353" w:type="dxa"/>
            <w:tcBorders>
              <w:top w:val="nil"/>
              <w:bottom w:val="nil"/>
            </w:tcBorders>
            <w:shd w:val="clear" w:color="auto" w:fill="auto"/>
          </w:tcPr>
          <w:p w14:paraId="39239018" w14:textId="08004FA0" w:rsidR="00F64FCD" w:rsidRPr="00E74730" w:rsidRDefault="00F64FCD" w:rsidP="00E74730">
            <w:pPr>
              <w:snapToGrid w:val="0"/>
              <w:spacing w:line="360" w:lineRule="auto"/>
              <w:jc w:val="both"/>
              <w:rPr>
                <w:rFonts w:ascii="Book Antiqua" w:hAnsi="Book Antiqua"/>
                <w:bCs/>
              </w:rPr>
            </w:pPr>
          </w:p>
        </w:tc>
        <w:tc>
          <w:tcPr>
            <w:tcW w:w="2303" w:type="dxa"/>
            <w:tcBorders>
              <w:top w:val="nil"/>
              <w:bottom w:val="nil"/>
            </w:tcBorders>
          </w:tcPr>
          <w:p w14:paraId="24F662BE" w14:textId="02997FE4" w:rsidR="00F64FCD" w:rsidRPr="00E74730" w:rsidRDefault="00F64FCD" w:rsidP="00E74730">
            <w:pPr>
              <w:snapToGrid w:val="0"/>
              <w:spacing w:line="360" w:lineRule="auto"/>
              <w:jc w:val="both"/>
              <w:rPr>
                <w:rFonts w:ascii="Book Antiqua" w:hAnsi="Book Antiqua"/>
                <w:bCs/>
              </w:rPr>
            </w:pPr>
          </w:p>
        </w:tc>
        <w:tc>
          <w:tcPr>
            <w:tcW w:w="962" w:type="dxa"/>
            <w:tcBorders>
              <w:top w:val="nil"/>
              <w:bottom w:val="nil"/>
            </w:tcBorders>
          </w:tcPr>
          <w:p w14:paraId="4793C9A9" w14:textId="13236647" w:rsidR="00F64FCD" w:rsidRPr="00E74730" w:rsidRDefault="00F64FCD" w:rsidP="00E74730">
            <w:pPr>
              <w:snapToGrid w:val="0"/>
              <w:spacing w:line="360" w:lineRule="auto"/>
              <w:jc w:val="both"/>
              <w:rPr>
                <w:rFonts w:ascii="Book Antiqua" w:hAnsi="Book Antiqua"/>
                <w:bCs/>
              </w:rPr>
            </w:pPr>
          </w:p>
        </w:tc>
      </w:tr>
      <w:tr w:rsidR="00201244" w:rsidRPr="00E74730" w14:paraId="531A6281" w14:textId="77777777" w:rsidTr="00D07923">
        <w:trPr>
          <w:trHeight w:val="360"/>
        </w:trPr>
        <w:tc>
          <w:tcPr>
            <w:tcW w:w="3823" w:type="dxa"/>
            <w:tcBorders>
              <w:top w:val="nil"/>
              <w:bottom w:val="nil"/>
            </w:tcBorders>
            <w:shd w:val="clear" w:color="auto" w:fill="auto"/>
          </w:tcPr>
          <w:p w14:paraId="0742FE23" w14:textId="3F421CB1" w:rsidR="00201244" w:rsidRPr="00E74730" w:rsidRDefault="00201244" w:rsidP="00E74730">
            <w:pPr>
              <w:snapToGrid w:val="0"/>
              <w:spacing w:line="360" w:lineRule="auto"/>
              <w:ind w:firstLineChars="100" w:firstLine="240"/>
              <w:jc w:val="both"/>
              <w:rPr>
                <w:rFonts w:ascii="Book Antiqua" w:hAnsi="Book Antiqua" w:cs="TimesNewRoman"/>
                <w:bCs/>
              </w:rPr>
            </w:pPr>
            <w:r w:rsidRPr="00E74730">
              <w:rPr>
                <w:rFonts w:ascii="Book Antiqua" w:hAnsi="Book Antiqua" w:cs="TimesNewRoman"/>
                <w:bCs/>
              </w:rPr>
              <w:t xml:space="preserve">Bilirubin </w:t>
            </w:r>
            <w:r>
              <w:rPr>
                <w:rFonts w:ascii="Book Antiqua" w:hAnsi="Book Antiqua" w:cs="TimesNewRoman"/>
                <w:bCs/>
              </w:rPr>
              <w:t xml:space="preserve">in </w:t>
            </w:r>
            <w:r w:rsidRPr="00E74730">
              <w:rPr>
                <w:rFonts w:ascii="Book Antiqua" w:hAnsi="Book Antiqua" w:cs="TimesNewRoman"/>
                <w:bCs/>
              </w:rPr>
              <w:t>mg/dL</w:t>
            </w:r>
          </w:p>
        </w:tc>
        <w:tc>
          <w:tcPr>
            <w:tcW w:w="2353" w:type="dxa"/>
            <w:tcBorders>
              <w:top w:val="nil"/>
              <w:bottom w:val="nil"/>
            </w:tcBorders>
            <w:shd w:val="clear" w:color="auto" w:fill="auto"/>
          </w:tcPr>
          <w:p w14:paraId="301C261F" w14:textId="16A627BF"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 xml:space="preserve">7.60 ± 7.81 </w:t>
            </w:r>
          </w:p>
        </w:tc>
        <w:tc>
          <w:tcPr>
            <w:tcW w:w="2303" w:type="dxa"/>
            <w:tcBorders>
              <w:top w:val="nil"/>
              <w:bottom w:val="nil"/>
            </w:tcBorders>
          </w:tcPr>
          <w:p w14:paraId="42EF4DAA" w14:textId="192AA72D"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 xml:space="preserve">5.87 ± 5.25 </w:t>
            </w:r>
          </w:p>
        </w:tc>
        <w:tc>
          <w:tcPr>
            <w:tcW w:w="962" w:type="dxa"/>
            <w:tcBorders>
              <w:top w:val="nil"/>
              <w:bottom w:val="nil"/>
            </w:tcBorders>
          </w:tcPr>
          <w:p w14:paraId="71833F25" w14:textId="4AA32874"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0.45</w:t>
            </w:r>
          </w:p>
        </w:tc>
      </w:tr>
      <w:tr w:rsidR="00201244" w:rsidRPr="00E74730" w14:paraId="1870FF29" w14:textId="77777777" w:rsidTr="00D07923">
        <w:trPr>
          <w:trHeight w:val="400"/>
        </w:trPr>
        <w:tc>
          <w:tcPr>
            <w:tcW w:w="3823" w:type="dxa"/>
            <w:tcBorders>
              <w:top w:val="nil"/>
              <w:bottom w:val="nil"/>
            </w:tcBorders>
            <w:shd w:val="clear" w:color="auto" w:fill="auto"/>
          </w:tcPr>
          <w:p w14:paraId="3346B304" w14:textId="15DB0A8F" w:rsidR="00201244" w:rsidRPr="00E74730" w:rsidRDefault="00201244" w:rsidP="00E74730">
            <w:pPr>
              <w:snapToGrid w:val="0"/>
              <w:spacing w:line="360" w:lineRule="auto"/>
              <w:ind w:firstLineChars="100" w:firstLine="240"/>
              <w:jc w:val="both"/>
              <w:rPr>
                <w:rFonts w:ascii="Book Antiqua" w:hAnsi="Book Antiqua" w:cs="TimesNewRoman"/>
                <w:bCs/>
              </w:rPr>
            </w:pPr>
            <w:r w:rsidRPr="00E74730">
              <w:rPr>
                <w:rFonts w:ascii="Book Antiqua" w:hAnsi="Book Antiqua" w:cs="TimesNewRoman"/>
                <w:bCs/>
              </w:rPr>
              <w:t xml:space="preserve">ALK-P </w:t>
            </w:r>
            <w:r>
              <w:rPr>
                <w:rFonts w:ascii="Book Antiqua" w:hAnsi="Book Antiqua" w:cs="TimesNewRoman"/>
                <w:bCs/>
              </w:rPr>
              <w:t xml:space="preserve">in </w:t>
            </w:r>
            <w:r w:rsidRPr="00E74730">
              <w:rPr>
                <w:rFonts w:ascii="Book Antiqua" w:hAnsi="Book Antiqua" w:cs="Symbol"/>
                <w:bCs/>
                <w:caps/>
              </w:rPr>
              <w:t>u</w:t>
            </w:r>
            <w:r w:rsidRPr="00E74730">
              <w:rPr>
                <w:rFonts w:ascii="Book Antiqua" w:hAnsi="Book Antiqua" w:cs="TimesNewRoman"/>
                <w:bCs/>
              </w:rPr>
              <w:t>/L</w:t>
            </w:r>
          </w:p>
        </w:tc>
        <w:tc>
          <w:tcPr>
            <w:tcW w:w="2353" w:type="dxa"/>
            <w:tcBorders>
              <w:top w:val="nil"/>
              <w:bottom w:val="nil"/>
            </w:tcBorders>
            <w:shd w:val="clear" w:color="auto" w:fill="auto"/>
          </w:tcPr>
          <w:p w14:paraId="3A4E775F" w14:textId="14D4D0EF"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 xml:space="preserve">243.61 ± 162.74 </w:t>
            </w:r>
          </w:p>
        </w:tc>
        <w:tc>
          <w:tcPr>
            <w:tcW w:w="2303" w:type="dxa"/>
            <w:tcBorders>
              <w:top w:val="nil"/>
              <w:bottom w:val="nil"/>
            </w:tcBorders>
          </w:tcPr>
          <w:p w14:paraId="6F4645F6" w14:textId="2F08AEDD"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205.20 ± 130.85</w:t>
            </w:r>
          </w:p>
        </w:tc>
        <w:tc>
          <w:tcPr>
            <w:tcW w:w="962" w:type="dxa"/>
            <w:tcBorders>
              <w:top w:val="nil"/>
              <w:bottom w:val="nil"/>
            </w:tcBorders>
          </w:tcPr>
          <w:p w14:paraId="75F6CF06" w14:textId="224FFFCE"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0.46</w:t>
            </w:r>
          </w:p>
        </w:tc>
      </w:tr>
      <w:tr w:rsidR="00201244" w:rsidRPr="00E74730" w14:paraId="601D7887" w14:textId="77777777" w:rsidTr="00D07923">
        <w:trPr>
          <w:trHeight w:val="340"/>
        </w:trPr>
        <w:tc>
          <w:tcPr>
            <w:tcW w:w="3823" w:type="dxa"/>
            <w:tcBorders>
              <w:top w:val="nil"/>
              <w:bottom w:val="nil"/>
            </w:tcBorders>
            <w:shd w:val="clear" w:color="auto" w:fill="auto"/>
          </w:tcPr>
          <w:p w14:paraId="69A3957F" w14:textId="50C6A6BB" w:rsidR="00201244" w:rsidRPr="00E74730" w:rsidRDefault="00201244" w:rsidP="00E74730">
            <w:pPr>
              <w:snapToGrid w:val="0"/>
              <w:spacing w:line="360" w:lineRule="auto"/>
              <w:ind w:firstLineChars="100" w:firstLine="240"/>
              <w:jc w:val="both"/>
              <w:rPr>
                <w:rFonts w:ascii="Book Antiqua" w:hAnsi="Book Antiqua" w:cs="TimesNewRoman"/>
                <w:bCs/>
              </w:rPr>
            </w:pPr>
            <w:r w:rsidRPr="00E74730">
              <w:rPr>
                <w:rFonts w:ascii="Book Antiqua" w:hAnsi="Book Antiqua" w:cs="TimesNewRoman"/>
                <w:bCs/>
              </w:rPr>
              <w:t xml:space="preserve">SGOT </w:t>
            </w:r>
            <w:r>
              <w:rPr>
                <w:rFonts w:ascii="Book Antiqua" w:hAnsi="Book Antiqua" w:cs="TimesNewRoman"/>
                <w:bCs/>
              </w:rPr>
              <w:t xml:space="preserve">in </w:t>
            </w:r>
            <w:r w:rsidRPr="00E74730">
              <w:rPr>
                <w:rFonts w:ascii="Book Antiqua" w:hAnsi="Book Antiqua" w:cs="Symbol"/>
                <w:bCs/>
                <w:caps/>
              </w:rPr>
              <w:t>u</w:t>
            </w:r>
            <w:r w:rsidRPr="00E74730">
              <w:rPr>
                <w:rFonts w:ascii="Book Antiqua" w:hAnsi="Book Antiqua" w:cs="TimesNewRoman"/>
                <w:bCs/>
              </w:rPr>
              <w:t>/L</w:t>
            </w:r>
          </w:p>
        </w:tc>
        <w:tc>
          <w:tcPr>
            <w:tcW w:w="2353" w:type="dxa"/>
            <w:tcBorders>
              <w:top w:val="nil"/>
              <w:bottom w:val="nil"/>
            </w:tcBorders>
            <w:shd w:val="clear" w:color="auto" w:fill="auto"/>
          </w:tcPr>
          <w:p w14:paraId="43AB19E7" w14:textId="15D8B8A4"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136.53 ± 116.85</w:t>
            </w:r>
          </w:p>
        </w:tc>
        <w:tc>
          <w:tcPr>
            <w:tcW w:w="2303" w:type="dxa"/>
            <w:tcBorders>
              <w:top w:val="nil"/>
              <w:bottom w:val="nil"/>
            </w:tcBorders>
          </w:tcPr>
          <w:p w14:paraId="160D9AEC" w14:textId="0D818564"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197.09 ± 202.04</w:t>
            </w:r>
          </w:p>
        </w:tc>
        <w:tc>
          <w:tcPr>
            <w:tcW w:w="962" w:type="dxa"/>
            <w:tcBorders>
              <w:top w:val="nil"/>
              <w:bottom w:val="nil"/>
            </w:tcBorders>
          </w:tcPr>
          <w:p w14:paraId="22FD07B5" w14:textId="71037675"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0.27</w:t>
            </w:r>
          </w:p>
        </w:tc>
      </w:tr>
      <w:tr w:rsidR="00201244" w:rsidRPr="00E74730" w14:paraId="73ACC138" w14:textId="77777777" w:rsidTr="00D07923">
        <w:trPr>
          <w:trHeight w:val="390"/>
        </w:trPr>
        <w:tc>
          <w:tcPr>
            <w:tcW w:w="3823" w:type="dxa"/>
            <w:tcBorders>
              <w:top w:val="nil"/>
              <w:bottom w:val="nil"/>
            </w:tcBorders>
            <w:shd w:val="clear" w:color="auto" w:fill="auto"/>
          </w:tcPr>
          <w:p w14:paraId="29AD7E3C" w14:textId="68E77265" w:rsidR="00201244" w:rsidRPr="00E74730" w:rsidRDefault="00201244" w:rsidP="00201244">
            <w:pPr>
              <w:autoSpaceDE w:val="0"/>
              <w:autoSpaceDN w:val="0"/>
              <w:adjustRightInd w:val="0"/>
              <w:snapToGrid w:val="0"/>
              <w:spacing w:line="360" w:lineRule="auto"/>
              <w:ind w:firstLineChars="100" w:firstLine="240"/>
              <w:jc w:val="both"/>
              <w:rPr>
                <w:rFonts w:ascii="Book Antiqua" w:hAnsi="Book Antiqua" w:cs="TimesNewRoman"/>
                <w:bCs/>
              </w:rPr>
            </w:pPr>
            <w:r w:rsidRPr="00E74730">
              <w:rPr>
                <w:rFonts w:ascii="Book Antiqua" w:hAnsi="Book Antiqua" w:cs="TimesNewRoman"/>
                <w:bCs/>
              </w:rPr>
              <w:t xml:space="preserve">SGPT </w:t>
            </w:r>
            <w:r>
              <w:rPr>
                <w:rFonts w:ascii="Book Antiqua" w:hAnsi="Book Antiqua" w:cs="TimesNewRoman"/>
                <w:bCs/>
              </w:rPr>
              <w:t xml:space="preserve">in </w:t>
            </w:r>
            <w:r w:rsidRPr="00E74730">
              <w:rPr>
                <w:rFonts w:ascii="Book Antiqua" w:hAnsi="Book Antiqua" w:cs="Symbol"/>
                <w:bCs/>
                <w:caps/>
              </w:rPr>
              <w:t>u</w:t>
            </w:r>
            <w:r w:rsidRPr="00E74730">
              <w:rPr>
                <w:rFonts w:ascii="Book Antiqua" w:hAnsi="Book Antiqua" w:cs="TimesNewRoman"/>
                <w:bCs/>
              </w:rPr>
              <w:t>/L</w:t>
            </w:r>
          </w:p>
        </w:tc>
        <w:tc>
          <w:tcPr>
            <w:tcW w:w="2353" w:type="dxa"/>
            <w:tcBorders>
              <w:top w:val="nil"/>
              <w:bottom w:val="nil"/>
            </w:tcBorders>
            <w:shd w:val="clear" w:color="auto" w:fill="auto"/>
          </w:tcPr>
          <w:p w14:paraId="7FD09551" w14:textId="4012DA8B"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226.69 ± 177.39</w:t>
            </w:r>
          </w:p>
        </w:tc>
        <w:tc>
          <w:tcPr>
            <w:tcW w:w="2303" w:type="dxa"/>
            <w:tcBorders>
              <w:top w:val="nil"/>
              <w:bottom w:val="nil"/>
            </w:tcBorders>
          </w:tcPr>
          <w:p w14:paraId="7FFD363D" w14:textId="0481BDAF"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304.10 ± 290.84</w:t>
            </w:r>
          </w:p>
        </w:tc>
        <w:tc>
          <w:tcPr>
            <w:tcW w:w="962" w:type="dxa"/>
            <w:tcBorders>
              <w:top w:val="nil"/>
              <w:bottom w:val="nil"/>
            </w:tcBorders>
          </w:tcPr>
          <w:p w14:paraId="3016BF11" w14:textId="1CAA5E8F"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0.47</w:t>
            </w:r>
          </w:p>
        </w:tc>
      </w:tr>
      <w:tr w:rsidR="00201244" w:rsidRPr="00E74730" w14:paraId="1AF7ED27" w14:textId="77777777" w:rsidTr="00D07923">
        <w:trPr>
          <w:trHeight w:val="850"/>
        </w:trPr>
        <w:tc>
          <w:tcPr>
            <w:tcW w:w="3823" w:type="dxa"/>
            <w:tcBorders>
              <w:top w:val="nil"/>
            </w:tcBorders>
            <w:shd w:val="clear" w:color="auto" w:fill="auto"/>
          </w:tcPr>
          <w:p w14:paraId="0BE4034F" w14:textId="3E79FCE3" w:rsidR="00201244" w:rsidRPr="00E74730" w:rsidRDefault="00201244" w:rsidP="00E74730">
            <w:pPr>
              <w:snapToGrid w:val="0"/>
              <w:spacing w:line="360" w:lineRule="auto"/>
              <w:ind w:firstLineChars="100" w:firstLine="240"/>
              <w:jc w:val="both"/>
              <w:rPr>
                <w:rFonts w:ascii="Book Antiqua" w:hAnsi="Book Antiqua" w:cs="TimesNewRoman"/>
                <w:bCs/>
              </w:rPr>
            </w:pPr>
            <w:r w:rsidRPr="00E74730">
              <w:rPr>
                <w:rFonts w:ascii="Book Antiqua" w:hAnsi="Book Antiqua" w:cs="TimesNewRoman"/>
                <w:bCs/>
              </w:rPr>
              <w:t xml:space="preserve">Leukocytes </w:t>
            </w:r>
            <w:r>
              <w:rPr>
                <w:rFonts w:ascii="Book Antiqua" w:hAnsi="Book Antiqua" w:cs="TimesNewRoman"/>
                <w:bCs/>
              </w:rPr>
              <w:t xml:space="preserve">as </w:t>
            </w:r>
            <w:r w:rsidRPr="00E74730">
              <w:rPr>
                <w:rFonts w:ascii="Book Antiqua" w:hAnsi="Book Antiqua" w:cs="TimesNewRoman"/>
                <w:bCs/>
              </w:rPr>
              <w:t>× 10</w:t>
            </w:r>
            <w:r w:rsidRPr="00E74730">
              <w:rPr>
                <w:rFonts w:ascii="Book Antiqua" w:hAnsi="Book Antiqua" w:cs="TimesNewRoman"/>
                <w:bCs/>
                <w:vertAlign w:val="superscript"/>
              </w:rPr>
              <w:t>3</w:t>
            </w:r>
            <w:r w:rsidRPr="00E74730">
              <w:rPr>
                <w:rFonts w:ascii="Book Antiqua" w:hAnsi="Book Antiqua" w:cs="TimesNewRoman"/>
                <w:bCs/>
              </w:rPr>
              <w:t>/L</w:t>
            </w:r>
          </w:p>
        </w:tc>
        <w:tc>
          <w:tcPr>
            <w:tcW w:w="2353" w:type="dxa"/>
            <w:tcBorders>
              <w:top w:val="nil"/>
            </w:tcBorders>
            <w:shd w:val="clear" w:color="auto" w:fill="auto"/>
          </w:tcPr>
          <w:p w14:paraId="455FA871" w14:textId="07D2E11D"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 xml:space="preserve">11.56 ± 14.02 </w:t>
            </w:r>
          </w:p>
        </w:tc>
        <w:tc>
          <w:tcPr>
            <w:tcW w:w="2303" w:type="dxa"/>
            <w:tcBorders>
              <w:top w:val="nil"/>
            </w:tcBorders>
          </w:tcPr>
          <w:p w14:paraId="01CDE07B" w14:textId="0AE168E5"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9.56 ± 3.51</w:t>
            </w:r>
          </w:p>
        </w:tc>
        <w:tc>
          <w:tcPr>
            <w:tcW w:w="962" w:type="dxa"/>
            <w:tcBorders>
              <w:top w:val="nil"/>
            </w:tcBorders>
          </w:tcPr>
          <w:p w14:paraId="52297199" w14:textId="5550ED3F" w:rsidR="00201244" w:rsidRPr="00E74730" w:rsidRDefault="00201244" w:rsidP="00E74730">
            <w:pPr>
              <w:snapToGrid w:val="0"/>
              <w:spacing w:line="360" w:lineRule="auto"/>
              <w:jc w:val="both"/>
              <w:rPr>
                <w:rFonts w:ascii="Book Antiqua" w:hAnsi="Book Antiqua"/>
                <w:bCs/>
              </w:rPr>
            </w:pPr>
            <w:r w:rsidRPr="00E74730">
              <w:rPr>
                <w:rFonts w:ascii="Book Antiqua" w:hAnsi="Book Antiqua"/>
                <w:bCs/>
              </w:rPr>
              <w:t>0.55</w:t>
            </w:r>
          </w:p>
        </w:tc>
      </w:tr>
    </w:tbl>
    <w:p w14:paraId="68B0F239" w14:textId="1662BCF7" w:rsidR="00F64FCD" w:rsidRPr="00E74730" w:rsidRDefault="004E536D" w:rsidP="00E74730">
      <w:pPr>
        <w:snapToGrid w:val="0"/>
        <w:spacing w:line="360" w:lineRule="auto"/>
        <w:jc w:val="both"/>
        <w:rPr>
          <w:rFonts w:ascii="Book Antiqua" w:hAnsi="Book Antiqua"/>
        </w:rPr>
      </w:pPr>
      <w:r w:rsidRPr="00E74730">
        <w:rPr>
          <w:rFonts w:ascii="Book Antiqua" w:hAnsi="Book Antiqua"/>
        </w:rPr>
        <w:t xml:space="preserve">ALK-P: </w:t>
      </w:r>
      <w:hyperlink r:id="rId14" w:history="1">
        <w:r w:rsidRPr="00E74730">
          <w:rPr>
            <w:rStyle w:val="a5"/>
            <w:rFonts w:ascii="Book Antiqua" w:hAnsi="Book Antiqua"/>
            <w:color w:val="auto"/>
            <w:u w:val="none"/>
          </w:rPr>
          <w:t>Alkaline phosphatase</w:t>
        </w:r>
      </w:hyperlink>
      <w:r w:rsidRPr="00E74730">
        <w:rPr>
          <w:rStyle w:val="a5"/>
          <w:rFonts w:ascii="Book Antiqua" w:hAnsi="Book Antiqua"/>
          <w:color w:val="auto"/>
          <w:u w:val="none"/>
        </w:rPr>
        <w:t xml:space="preserve">; </w:t>
      </w:r>
      <w:r w:rsidR="00137290" w:rsidRPr="00E74730">
        <w:rPr>
          <w:rFonts w:ascii="Book Antiqua" w:hAnsi="Book Antiqua"/>
        </w:rPr>
        <w:t>MS: Mirizzi syndrome;</w:t>
      </w:r>
      <w:r w:rsidR="00137290">
        <w:rPr>
          <w:rFonts w:ascii="Book Antiqua" w:hAnsi="Book Antiqua"/>
        </w:rPr>
        <w:t xml:space="preserve"> </w:t>
      </w:r>
      <w:r w:rsidRPr="00E74730">
        <w:rPr>
          <w:rFonts w:ascii="Book Antiqua" w:hAnsi="Book Antiqua"/>
        </w:rPr>
        <w:t xml:space="preserve">SGOT: Serum glutamic-oxaloacetic transaminase; SGPT: Serum glutamic-pyruvic transaminase. Values are means ± </w:t>
      </w:r>
      <w:r w:rsidR="00AB52C7" w:rsidRPr="00E74730">
        <w:rPr>
          <w:rFonts w:ascii="Book Antiqua" w:hAnsi="Book Antiqua"/>
        </w:rPr>
        <w:t>SD</w:t>
      </w:r>
      <w:r w:rsidRPr="00E74730">
        <w:rPr>
          <w:rFonts w:ascii="Book Antiqua" w:hAnsi="Book Antiqua"/>
        </w:rPr>
        <w:t xml:space="preserve"> or number (percentage).</w:t>
      </w:r>
    </w:p>
    <w:p w14:paraId="674973DC" w14:textId="77777777" w:rsidR="00F64FCD" w:rsidRPr="00E74730" w:rsidRDefault="00F64FCD" w:rsidP="00E74730">
      <w:pPr>
        <w:autoSpaceDE w:val="0"/>
        <w:autoSpaceDN w:val="0"/>
        <w:adjustRightInd w:val="0"/>
        <w:snapToGrid w:val="0"/>
        <w:spacing w:line="360" w:lineRule="auto"/>
        <w:jc w:val="both"/>
        <w:rPr>
          <w:rFonts w:ascii="Book Antiqua" w:eastAsia="MinionPro-Regular" w:hAnsi="Book Antiqua"/>
        </w:rPr>
      </w:pPr>
    </w:p>
    <w:p w14:paraId="07EEA221" w14:textId="77777777" w:rsidR="00F64FCD" w:rsidRPr="00E74730" w:rsidRDefault="004E536D" w:rsidP="00E74730">
      <w:pPr>
        <w:snapToGrid w:val="0"/>
        <w:spacing w:line="360" w:lineRule="auto"/>
        <w:jc w:val="both"/>
        <w:rPr>
          <w:rFonts w:ascii="Book Antiqua" w:eastAsia="MinionPro-Regular" w:hAnsi="Book Antiqua"/>
          <w:b/>
        </w:rPr>
      </w:pPr>
      <w:r w:rsidRPr="00E74730">
        <w:rPr>
          <w:rFonts w:ascii="Book Antiqua" w:eastAsia="MinionPro-Regular" w:hAnsi="Book Antiqua"/>
        </w:rPr>
        <w:br w:type="page"/>
      </w:r>
      <w:r w:rsidRPr="00E74730">
        <w:rPr>
          <w:rFonts w:ascii="Book Antiqua" w:hAnsi="Book Antiqua"/>
          <w:b/>
        </w:rPr>
        <w:t>Table 2 Comparison of endoscopic retrograde cholangiopancreatography findings in patients with Mirizzi syndrome with or without cholecystocholedochal fistula formation</w:t>
      </w:r>
      <w:r w:rsidR="00896453" w:rsidRPr="00E74730">
        <w:rPr>
          <w:rFonts w:ascii="Book Antiqua" w:hAnsi="Book Antiqua"/>
          <w:b/>
        </w:rPr>
        <w:t xml:space="preserve">, </w:t>
      </w:r>
      <w:r w:rsidR="00896453" w:rsidRPr="00E74730">
        <w:rPr>
          <w:rFonts w:ascii="Book Antiqua" w:hAnsi="Book Antiqua"/>
          <w:b/>
          <w:i/>
        </w:rPr>
        <w:t>n</w:t>
      </w:r>
      <w:r w:rsidR="00896453" w:rsidRPr="00E74730">
        <w:rPr>
          <w:rFonts w:ascii="Book Antiqua" w:hAnsi="Book Antiqua"/>
          <w:b/>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3455"/>
        <w:gridCol w:w="2137"/>
        <w:gridCol w:w="2084"/>
        <w:gridCol w:w="1684"/>
      </w:tblGrid>
      <w:tr w:rsidR="00E74730" w:rsidRPr="00E74730" w14:paraId="1EE740D7" w14:textId="77777777" w:rsidTr="00137290">
        <w:trPr>
          <w:trHeight w:val="817"/>
        </w:trPr>
        <w:tc>
          <w:tcPr>
            <w:tcW w:w="3455" w:type="dxa"/>
            <w:tcBorders>
              <w:bottom w:val="single" w:sz="4" w:space="0" w:color="auto"/>
            </w:tcBorders>
            <w:shd w:val="clear" w:color="auto" w:fill="auto"/>
          </w:tcPr>
          <w:p w14:paraId="68CE9258" w14:textId="77777777" w:rsidR="00F64FCD" w:rsidRPr="00E74730" w:rsidRDefault="00F64FCD" w:rsidP="00E74730">
            <w:pPr>
              <w:snapToGrid w:val="0"/>
              <w:spacing w:line="360" w:lineRule="auto"/>
              <w:jc w:val="both"/>
              <w:rPr>
                <w:rFonts w:ascii="Book Antiqua" w:hAnsi="Book Antiqua"/>
                <w:b/>
              </w:rPr>
            </w:pPr>
          </w:p>
        </w:tc>
        <w:tc>
          <w:tcPr>
            <w:tcW w:w="2137" w:type="dxa"/>
            <w:tcBorders>
              <w:bottom w:val="single" w:sz="4" w:space="0" w:color="auto"/>
            </w:tcBorders>
            <w:shd w:val="clear" w:color="auto" w:fill="auto"/>
          </w:tcPr>
          <w:p w14:paraId="57D12950" w14:textId="1CECF3E8" w:rsidR="00F64FCD" w:rsidRPr="00E74730" w:rsidRDefault="004E536D" w:rsidP="00E74730">
            <w:pPr>
              <w:snapToGrid w:val="0"/>
              <w:spacing w:line="360" w:lineRule="auto"/>
              <w:jc w:val="both"/>
              <w:rPr>
                <w:rFonts w:ascii="Book Antiqua" w:hAnsi="Book Antiqua"/>
                <w:b/>
              </w:rPr>
            </w:pPr>
            <w:r w:rsidRPr="00E74730">
              <w:rPr>
                <w:rFonts w:ascii="Book Antiqua" w:hAnsi="Book Antiqua"/>
                <w:b/>
              </w:rPr>
              <w:t>MS with fistula formation</w:t>
            </w:r>
            <w:r w:rsidR="00137290">
              <w:rPr>
                <w:rFonts w:ascii="Book Antiqua" w:hAnsi="Book Antiqua"/>
                <w:b/>
              </w:rPr>
              <w:t>,</w:t>
            </w:r>
            <w:r w:rsidRPr="00E74730">
              <w:rPr>
                <w:rFonts w:ascii="Book Antiqua" w:hAnsi="Book Antiqua"/>
                <w:b/>
              </w:rPr>
              <w:t xml:space="preserve"> </w:t>
            </w:r>
            <w:r w:rsidRPr="00E74730">
              <w:rPr>
                <w:rFonts w:ascii="Book Antiqua" w:hAnsi="Book Antiqua"/>
                <w:b/>
                <w:i/>
                <w:iCs/>
              </w:rPr>
              <w:t>n</w:t>
            </w:r>
            <w:r w:rsidRPr="00E74730">
              <w:rPr>
                <w:rFonts w:ascii="Book Antiqua" w:hAnsi="Book Antiqua"/>
                <w:b/>
              </w:rPr>
              <w:t xml:space="preserve"> = 21</w:t>
            </w:r>
          </w:p>
        </w:tc>
        <w:tc>
          <w:tcPr>
            <w:tcW w:w="2084" w:type="dxa"/>
            <w:tcBorders>
              <w:bottom w:val="single" w:sz="4" w:space="0" w:color="auto"/>
            </w:tcBorders>
          </w:tcPr>
          <w:p w14:paraId="0E2AB8C2" w14:textId="7BD9CF3F" w:rsidR="00F64FCD" w:rsidRPr="00E74730" w:rsidRDefault="004E536D" w:rsidP="00E74730">
            <w:pPr>
              <w:pStyle w:val="a3"/>
              <w:spacing w:line="360" w:lineRule="auto"/>
              <w:jc w:val="both"/>
              <w:rPr>
                <w:rFonts w:ascii="Book Antiqua" w:hAnsi="Book Antiqua"/>
                <w:b/>
                <w:sz w:val="24"/>
                <w:szCs w:val="24"/>
              </w:rPr>
            </w:pPr>
            <w:r w:rsidRPr="00E74730">
              <w:rPr>
                <w:rFonts w:ascii="Book Antiqua" w:hAnsi="Book Antiqua"/>
                <w:b/>
                <w:sz w:val="24"/>
                <w:szCs w:val="24"/>
              </w:rPr>
              <w:t>MS without fistula formation</w:t>
            </w:r>
            <w:r w:rsidR="00137290">
              <w:rPr>
                <w:rFonts w:ascii="Book Antiqua" w:hAnsi="Book Antiqua"/>
                <w:b/>
                <w:sz w:val="24"/>
                <w:szCs w:val="24"/>
              </w:rPr>
              <w:t>,</w:t>
            </w:r>
            <w:r w:rsidRPr="00E74730">
              <w:rPr>
                <w:rFonts w:ascii="Book Antiqua" w:hAnsi="Book Antiqua"/>
                <w:b/>
                <w:sz w:val="24"/>
                <w:szCs w:val="24"/>
              </w:rPr>
              <w:t xml:space="preserve"> </w:t>
            </w:r>
            <w:r w:rsidRPr="00E74730">
              <w:rPr>
                <w:rFonts w:ascii="Book Antiqua" w:hAnsi="Book Antiqua"/>
                <w:b/>
                <w:i/>
                <w:iCs/>
                <w:sz w:val="24"/>
                <w:szCs w:val="24"/>
              </w:rPr>
              <w:t>n</w:t>
            </w:r>
            <w:r w:rsidRPr="00E74730">
              <w:rPr>
                <w:rFonts w:ascii="Book Antiqua" w:hAnsi="Book Antiqua"/>
                <w:b/>
                <w:sz w:val="24"/>
                <w:szCs w:val="24"/>
              </w:rPr>
              <w:t xml:space="preserve"> = 96</w:t>
            </w:r>
          </w:p>
        </w:tc>
        <w:tc>
          <w:tcPr>
            <w:tcW w:w="1684" w:type="dxa"/>
            <w:tcBorders>
              <w:bottom w:val="single" w:sz="4" w:space="0" w:color="auto"/>
            </w:tcBorders>
          </w:tcPr>
          <w:p w14:paraId="17FEA406" w14:textId="77777777" w:rsidR="00F64FCD" w:rsidRPr="00E74730" w:rsidRDefault="004E536D" w:rsidP="00E74730">
            <w:pPr>
              <w:pStyle w:val="a3"/>
              <w:spacing w:line="360" w:lineRule="auto"/>
              <w:jc w:val="both"/>
              <w:rPr>
                <w:rFonts w:ascii="Book Antiqua" w:hAnsi="Book Antiqua"/>
                <w:b/>
                <w:sz w:val="24"/>
                <w:szCs w:val="24"/>
              </w:rPr>
            </w:pPr>
            <w:r w:rsidRPr="00E74730">
              <w:rPr>
                <w:rFonts w:ascii="Book Antiqua" w:hAnsi="Book Antiqua"/>
                <w:b/>
                <w:i/>
                <w:sz w:val="24"/>
                <w:szCs w:val="24"/>
              </w:rPr>
              <w:t>P</w:t>
            </w:r>
            <w:r w:rsidR="007C2985" w:rsidRPr="00E74730">
              <w:rPr>
                <w:rFonts w:ascii="Book Antiqua" w:hAnsi="Book Antiqua"/>
                <w:b/>
                <w:sz w:val="24"/>
                <w:szCs w:val="24"/>
              </w:rPr>
              <w:t xml:space="preserve"> </w:t>
            </w:r>
            <w:r w:rsidRPr="00E74730">
              <w:rPr>
                <w:rFonts w:ascii="Book Antiqua" w:hAnsi="Book Antiqua"/>
                <w:b/>
                <w:sz w:val="24"/>
                <w:szCs w:val="24"/>
              </w:rPr>
              <w:t>value</w:t>
            </w:r>
          </w:p>
        </w:tc>
      </w:tr>
      <w:tr w:rsidR="00E74730" w:rsidRPr="00E74730" w14:paraId="218DA230" w14:textId="77777777" w:rsidTr="0034070B">
        <w:trPr>
          <w:trHeight w:val="380"/>
        </w:trPr>
        <w:tc>
          <w:tcPr>
            <w:tcW w:w="3455" w:type="dxa"/>
            <w:tcBorders>
              <w:top w:val="single" w:sz="4" w:space="0" w:color="auto"/>
              <w:bottom w:val="nil"/>
            </w:tcBorders>
            <w:shd w:val="clear" w:color="auto" w:fill="auto"/>
          </w:tcPr>
          <w:p w14:paraId="5A2493CA" w14:textId="0DFFFC5D"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 xml:space="preserve">Original findings </w:t>
            </w:r>
          </w:p>
        </w:tc>
        <w:tc>
          <w:tcPr>
            <w:tcW w:w="2137" w:type="dxa"/>
            <w:tcBorders>
              <w:top w:val="single" w:sz="4" w:space="0" w:color="auto"/>
              <w:bottom w:val="nil"/>
            </w:tcBorders>
            <w:shd w:val="clear" w:color="auto" w:fill="auto"/>
          </w:tcPr>
          <w:p w14:paraId="32872532" w14:textId="1B1CB9AF" w:rsidR="00F64FCD" w:rsidRPr="00E74730" w:rsidRDefault="00F64FCD" w:rsidP="00E74730">
            <w:pPr>
              <w:snapToGrid w:val="0"/>
              <w:spacing w:line="360" w:lineRule="auto"/>
              <w:jc w:val="both"/>
              <w:rPr>
                <w:rFonts w:ascii="Book Antiqua" w:hAnsi="Book Antiqua"/>
                <w:bCs/>
              </w:rPr>
            </w:pPr>
          </w:p>
        </w:tc>
        <w:tc>
          <w:tcPr>
            <w:tcW w:w="2084" w:type="dxa"/>
            <w:tcBorders>
              <w:top w:val="single" w:sz="4" w:space="0" w:color="auto"/>
              <w:bottom w:val="nil"/>
            </w:tcBorders>
          </w:tcPr>
          <w:p w14:paraId="001FD96B" w14:textId="344B6E95" w:rsidR="00F64FCD" w:rsidRPr="00E74730" w:rsidRDefault="00F64FCD" w:rsidP="00E74730">
            <w:pPr>
              <w:snapToGrid w:val="0"/>
              <w:spacing w:line="360" w:lineRule="auto"/>
              <w:jc w:val="both"/>
              <w:rPr>
                <w:rFonts w:ascii="Book Antiqua" w:hAnsi="Book Antiqua"/>
                <w:bCs/>
              </w:rPr>
            </w:pPr>
          </w:p>
        </w:tc>
        <w:tc>
          <w:tcPr>
            <w:tcW w:w="1684" w:type="dxa"/>
            <w:tcBorders>
              <w:top w:val="single" w:sz="4" w:space="0" w:color="auto"/>
              <w:bottom w:val="nil"/>
            </w:tcBorders>
          </w:tcPr>
          <w:p w14:paraId="6F4ABEFB" w14:textId="4F425D0E" w:rsidR="00F64FCD" w:rsidRPr="00E74730" w:rsidRDefault="00F64FCD" w:rsidP="00E74730">
            <w:pPr>
              <w:snapToGrid w:val="0"/>
              <w:spacing w:line="360" w:lineRule="auto"/>
              <w:jc w:val="both"/>
              <w:rPr>
                <w:rFonts w:ascii="Book Antiqua" w:hAnsi="Book Antiqua"/>
                <w:bCs/>
              </w:rPr>
            </w:pPr>
          </w:p>
        </w:tc>
      </w:tr>
      <w:tr w:rsidR="006F1566" w:rsidRPr="00E74730" w14:paraId="493AED8F" w14:textId="77777777" w:rsidTr="0034070B">
        <w:trPr>
          <w:trHeight w:val="360"/>
        </w:trPr>
        <w:tc>
          <w:tcPr>
            <w:tcW w:w="3455" w:type="dxa"/>
            <w:tcBorders>
              <w:top w:val="nil"/>
              <w:bottom w:val="nil"/>
            </w:tcBorders>
            <w:shd w:val="clear" w:color="auto" w:fill="auto"/>
          </w:tcPr>
          <w:p w14:paraId="630A328C" w14:textId="2106711B" w:rsidR="006F1566" w:rsidRPr="00E74730" w:rsidRDefault="006F1566" w:rsidP="006F1566">
            <w:pPr>
              <w:snapToGrid w:val="0"/>
              <w:spacing w:line="360" w:lineRule="auto"/>
              <w:ind w:leftChars="100" w:left="240"/>
              <w:jc w:val="both"/>
              <w:rPr>
                <w:rFonts w:ascii="Book Antiqua" w:hAnsi="Book Antiqua"/>
                <w:bCs/>
              </w:rPr>
            </w:pPr>
            <w:r w:rsidRPr="00E74730">
              <w:rPr>
                <w:rFonts w:ascii="Book Antiqua" w:hAnsi="Book Antiqua"/>
                <w:bCs/>
              </w:rPr>
              <w:t>Cystic duct opacification</w:t>
            </w:r>
          </w:p>
        </w:tc>
        <w:tc>
          <w:tcPr>
            <w:tcW w:w="2137" w:type="dxa"/>
            <w:tcBorders>
              <w:top w:val="nil"/>
              <w:bottom w:val="nil"/>
            </w:tcBorders>
            <w:shd w:val="clear" w:color="auto" w:fill="auto"/>
          </w:tcPr>
          <w:p w14:paraId="1942109C" w14:textId="72CC3B0F" w:rsidR="006F1566" w:rsidRPr="00E74730" w:rsidRDefault="006F1566" w:rsidP="00E74730">
            <w:pPr>
              <w:snapToGrid w:val="0"/>
              <w:spacing w:line="360" w:lineRule="auto"/>
              <w:jc w:val="both"/>
              <w:rPr>
                <w:rFonts w:ascii="Book Antiqua" w:hAnsi="Book Antiqua"/>
                <w:bCs/>
              </w:rPr>
            </w:pPr>
            <w:r w:rsidRPr="00E74730">
              <w:rPr>
                <w:rFonts w:ascii="Book Antiqua" w:hAnsi="Book Antiqua"/>
                <w:bCs/>
              </w:rPr>
              <w:t>10 (47.61)</w:t>
            </w:r>
          </w:p>
        </w:tc>
        <w:tc>
          <w:tcPr>
            <w:tcW w:w="2084" w:type="dxa"/>
            <w:tcBorders>
              <w:top w:val="nil"/>
              <w:bottom w:val="nil"/>
            </w:tcBorders>
          </w:tcPr>
          <w:p w14:paraId="1683EBCB" w14:textId="499E899C" w:rsidR="006F1566" w:rsidRPr="00E74730" w:rsidRDefault="006F1566" w:rsidP="00E74730">
            <w:pPr>
              <w:snapToGrid w:val="0"/>
              <w:spacing w:line="360" w:lineRule="auto"/>
              <w:jc w:val="both"/>
              <w:rPr>
                <w:rFonts w:ascii="Book Antiqua" w:hAnsi="Book Antiqua"/>
                <w:bCs/>
              </w:rPr>
            </w:pPr>
            <w:r w:rsidRPr="00E74730">
              <w:rPr>
                <w:rFonts w:ascii="Book Antiqua" w:hAnsi="Book Antiqua"/>
                <w:bCs/>
              </w:rPr>
              <w:t>46 (47.92)</w:t>
            </w:r>
          </w:p>
        </w:tc>
        <w:tc>
          <w:tcPr>
            <w:tcW w:w="1684" w:type="dxa"/>
            <w:tcBorders>
              <w:top w:val="nil"/>
              <w:bottom w:val="nil"/>
            </w:tcBorders>
          </w:tcPr>
          <w:p w14:paraId="5DF98A49" w14:textId="5866AEC9" w:rsidR="006F1566" w:rsidRPr="00E74730" w:rsidRDefault="006F1566" w:rsidP="00E74730">
            <w:pPr>
              <w:snapToGrid w:val="0"/>
              <w:spacing w:line="360" w:lineRule="auto"/>
              <w:jc w:val="both"/>
              <w:rPr>
                <w:rFonts w:ascii="Book Antiqua" w:hAnsi="Book Antiqua"/>
                <w:bCs/>
                <w:i/>
              </w:rPr>
            </w:pPr>
            <w:r w:rsidRPr="00E74730">
              <w:rPr>
                <w:rFonts w:ascii="Book Antiqua" w:hAnsi="Book Antiqua"/>
                <w:bCs/>
              </w:rPr>
              <w:t>0.81</w:t>
            </w:r>
          </w:p>
        </w:tc>
      </w:tr>
      <w:tr w:rsidR="006F1566" w:rsidRPr="00E74730" w14:paraId="5EA16EEA" w14:textId="77777777" w:rsidTr="0034070B">
        <w:trPr>
          <w:trHeight w:val="600"/>
        </w:trPr>
        <w:tc>
          <w:tcPr>
            <w:tcW w:w="3455" w:type="dxa"/>
            <w:tcBorders>
              <w:top w:val="nil"/>
              <w:bottom w:val="nil"/>
            </w:tcBorders>
            <w:shd w:val="clear" w:color="auto" w:fill="auto"/>
          </w:tcPr>
          <w:p w14:paraId="1189471A" w14:textId="41EC4B02" w:rsidR="006F1566" w:rsidRPr="00E74730" w:rsidRDefault="006F1566" w:rsidP="00E74730">
            <w:pPr>
              <w:snapToGrid w:val="0"/>
              <w:spacing w:line="360" w:lineRule="auto"/>
              <w:ind w:leftChars="100" w:left="240"/>
              <w:jc w:val="both"/>
              <w:rPr>
                <w:rFonts w:ascii="Book Antiqua" w:hAnsi="Book Antiqua"/>
                <w:bCs/>
              </w:rPr>
            </w:pPr>
            <w:r w:rsidRPr="00E74730">
              <w:rPr>
                <w:rFonts w:ascii="Book Antiqua" w:hAnsi="Book Antiqua"/>
                <w:bCs/>
              </w:rPr>
              <w:t>GB opacification</w:t>
            </w:r>
          </w:p>
        </w:tc>
        <w:tc>
          <w:tcPr>
            <w:tcW w:w="2137" w:type="dxa"/>
            <w:tcBorders>
              <w:top w:val="nil"/>
              <w:bottom w:val="nil"/>
            </w:tcBorders>
            <w:shd w:val="clear" w:color="auto" w:fill="auto"/>
          </w:tcPr>
          <w:p w14:paraId="5A796F9C" w14:textId="09F0B7EA" w:rsidR="006F1566" w:rsidRPr="00E74730" w:rsidRDefault="006F1566" w:rsidP="00E74730">
            <w:pPr>
              <w:snapToGrid w:val="0"/>
              <w:spacing w:line="360" w:lineRule="auto"/>
              <w:jc w:val="both"/>
              <w:rPr>
                <w:rFonts w:ascii="Book Antiqua" w:hAnsi="Book Antiqua"/>
                <w:bCs/>
              </w:rPr>
            </w:pPr>
            <w:r w:rsidRPr="00E74730">
              <w:rPr>
                <w:rFonts w:ascii="Book Antiqua" w:hAnsi="Book Antiqua"/>
                <w:bCs/>
              </w:rPr>
              <w:t>16 (76.19)</w:t>
            </w:r>
          </w:p>
        </w:tc>
        <w:tc>
          <w:tcPr>
            <w:tcW w:w="2084" w:type="dxa"/>
            <w:tcBorders>
              <w:top w:val="nil"/>
              <w:bottom w:val="nil"/>
            </w:tcBorders>
          </w:tcPr>
          <w:p w14:paraId="7FBB923A" w14:textId="1914AF87" w:rsidR="006F1566" w:rsidRPr="00E74730" w:rsidRDefault="006F1566" w:rsidP="00E74730">
            <w:pPr>
              <w:snapToGrid w:val="0"/>
              <w:spacing w:line="360" w:lineRule="auto"/>
              <w:jc w:val="both"/>
              <w:rPr>
                <w:rFonts w:ascii="Book Antiqua" w:hAnsi="Book Antiqua"/>
                <w:bCs/>
              </w:rPr>
            </w:pPr>
            <w:r w:rsidRPr="00E74730">
              <w:rPr>
                <w:rFonts w:ascii="Book Antiqua" w:hAnsi="Book Antiqua"/>
                <w:bCs/>
              </w:rPr>
              <w:t>26 (23.96)</w:t>
            </w:r>
          </w:p>
        </w:tc>
        <w:tc>
          <w:tcPr>
            <w:tcW w:w="1684" w:type="dxa"/>
            <w:tcBorders>
              <w:top w:val="nil"/>
              <w:bottom w:val="nil"/>
            </w:tcBorders>
          </w:tcPr>
          <w:p w14:paraId="59E5C41D" w14:textId="44C1C31B" w:rsidR="006F1566" w:rsidRPr="00E74730" w:rsidRDefault="006F1566" w:rsidP="00E74730">
            <w:pPr>
              <w:snapToGrid w:val="0"/>
              <w:spacing w:line="360" w:lineRule="auto"/>
              <w:jc w:val="both"/>
              <w:rPr>
                <w:rFonts w:ascii="Book Antiqua" w:hAnsi="Book Antiqua"/>
                <w:bCs/>
              </w:rPr>
            </w:pPr>
            <w:r w:rsidRPr="00E74730">
              <w:rPr>
                <w:rFonts w:ascii="Book Antiqua" w:hAnsi="Book Antiqua"/>
                <w:bCs/>
              </w:rPr>
              <w:t>&lt; 0.001</w:t>
            </w:r>
          </w:p>
        </w:tc>
      </w:tr>
      <w:tr w:rsidR="00E74730" w:rsidRPr="00E74730" w14:paraId="0B72972A" w14:textId="77777777" w:rsidTr="0034070B">
        <w:trPr>
          <w:trHeight w:val="407"/>
        </w:trPr>
        <w:tc>
          <w:tcPr>
            <w:tcW w:w="3455" w:type="dxa"/>
            <w:tcBorders>
              <w:top w:val="nil"/>
              <w:bottom w:val="nil"/>
            </w:tcBorders>
            <w:shd w:val="clear" w:color="auto" w:fill="auto"/>
          </w:tcPr>
          <w:p w14:paraId="21FF9486" w14:textId="14B5E06F" w:rsidR="00F64FCD" w:rsidRPr="00E74730" w:rsidRDefault="004E536D" w:rsidP="00E74730">
            <w:pPr>
              <w:snapToGrid w:val="0"/>
              <w:spacing w:line="360" w:lineRule="auto"/>
              <w:jc w:val="both"/>
              <w:rPr>
                <w:rFonts w:ascii="Book Antiqua" w:hAnsi="Book Antiqua"/>
                <w:bCs/>
              </w:rPr>
            </w:pPr>
            <w:r w:rsidRPr="00E74730">
              <w:rPr>
                <w:rFonts w:ascii="Book Antiqua" w:hAnsi="Book Antiqua"/>
                <w:bCs/>
              </w:rPr>
              <w:t>Additional findings</w:t>
            </w:r>
          </w:p>
        </w:tc>
        <w:tc>
          <w:tcPr>
            <w:tcW w:w="2137" w:type="dxa"/>
            <w:tcBorders>
              <w:top w:val="nil"/>
              <w:bottom w:val="nil"/>
            </w:tcBorders>
            <w:shd w:val="clear" w:color="auto" w:fill="auto"/>
          </w:tcPr>
          <w:p w14:paraId="7BA5CFE3" w14:textId="49A2774B" w:rsidR="00F64FCD" w:rsidRPr="00E74730" w:rsidRDefault="00F64FCD" w:rsidP="00E74730">
            <w:pPr>
              <w:snapToGrid w:val="0"/>
              <w:spacing w:line="360" w:lineRule="auto"/>
              <w:jc w:val="both"/>
              <w:rPr>
                <w:rFonts w:ascii="Book Antiqua" w:hAnsi="Book Antiqua"/>
                <w:bCs/>
              </w:rPr>
            </w:pPr>
          </w:p>
        </w:tc>
        <w:tc>
          <w:tcPr>
            <w:tcW w:w="2084" w:type="dxa"/>
            <w:tcBorders>
              <w:top w:val="nil"/>
              <w:bottom w:val="nil"/>
            </w:tcBorders>
          </w:tcPr>
          <w:p w14:paraId="00E24B86" w14:textId="3E588129" w:rsidR="00F64FCD" w:rsidRPr="00E74730" w:rsidRDefault="00F64FCD" w:rsidP="00E74730">
            <w:pPr>
              <w:snapToGrid w:val="0"/>
              <w:spacing w:line="360" w:lineRule="auto"/>
              <w:jc w:val="both"/>
              <w:rPr>
                <w:rFonts w:ascii="Book Antiqua" w:hAnsi="Book Antiqua"/>
                <w:bCs/>
              </w:rPr>
            </w:pPr>
          </w:p>
        </w:tc>
        <w:tc>
          <w:tcPr>
            <w:tcW w:w="1684" w:type="dxa"/>
            <w:tcBorders>
              <w:top w:val="nil"/>
              <w:bottom w:val="nil"/>
            </w:tcBorders>
          </w:tcPr>
          <w:p w14:paraId="6508535A" w14:textId="06B89E24" w:rsidR="00F64FCD" w:rsidRPr="00E74730" w:rsidRDefault="00F64FCD" w:rsidP="00E74730">
            <w:pPr>
              <w:snapToGrid w:val="0"/>
              <w:spacing w:line="360" w:lineRule="auto"/>
              <w:jc w:val="both"/>
              <w:rPr>
                <w:rFonts w:ascii="Book Antiqua" w:hAnsi="Book Antiqua"/>
                <w:bCs/>
              </w:rPr>
            </w:pPr>
          </w:p>
        </w:tc>
      </w:tr>
      <w:tr w:rsidR="006F1566" w:rsidRPr="00E74730" w14:paraId="7C4CEAC8" w14:textId="77777777" w:rsidTr="0034070B">
        <w:trPr>
          <w:trHeight w:val="310"/>
        </w:trPr>
        <w:tc>
          <w:tcPr>
            <w:tcW w:w="3455" w:type="dxa"/>
            <w:tcBorders>
              <w:top w:val="nil"/>
              <w:bottom w:val="nil"/>
            </w:tcBorders>
            <w:shd w:val="clear" w:color="auto" w:fill="auto"/>
          </w:tcPr>
          <w:p w14:paraId="1F6177E2" w14:textId="1742BFA1" w:rsidR="006F1566" w:rsidRPr="00E74730" w:rsidRDefault="006F1566" w:rsidP="00E74730">
            <w:pPr>
              <w:snapToGrid w:val="0"/>
              <w:spacing w:line="360" w:lineRule="auto"/>
              <w:ind w:firstLineChars="100" w:firstLine="240"/>
              <w:jc w:val="both"/>
              <w:rPr>
                <w:rFonts w:ascii="Book Antiqua" w:hAnsi="Book Antiqua"/>
                <w:bCs/>
              </w:rPr>
            </w:pPr>
            <w:r w:rsidRPr="00E74730">
              <w:rPr>
                <w:rFonts w:ascii="Book Antiqua" w:hAnsi="Book Antiqua"/>
                <w:bCs/>
              </w:rPr>
              <w:t>Stricture length &gt; 2 cm</w:t>
            </w:r>
          </w:p>
        </w:tc>
        <w:tc>
          <w:tcPr>
            <w:tcW w:w="2137" w:type="dxa"/>
            <w:tcBorders>
              <w:top w:val="nil"/>
              <w:bottom w:val="nil"/>
            </w:tcBorders>
            <w:shd w:val="clear" w:color="auto" w:fill="auto"/>
          </w:tcPr>
          <w:p w14:paraId="7940EA3F" w14:textId="32169208" w:rsidR="006F1566" w:rsidRPr="00E74730" w:rsidRDefault="006F1566" w:rsidP="00E74730">
            <w:pPr>
              <w:snapToGrid w:val="0"/>
              <w:spacing w:line="360" w:lineRule="auto"/>
              <w:jc w:val="both"/>
              <w:rPr>
                <w:rFonts w:ascii="Book Antiqua" w:hAnsi="Book Antiqua"/>
                <w:bCs/>
              </w:rPr>
            </w:pPr>
            <w:r w:rsidRPr="00E74730">
              <w:rPr>
                <w:rFonts w:ascii="Book Antiqua" w:hAnsi="Book Antiqua"/>
                <w:bCs/>
              </w:rPr>
              <w:t>2 (9.52)</w:t>
            </w:r>
          </w:p>
        </w:tc>
        <w:tc>
          <w:tcPr>
            <w:tcW w:w="2084" w:type="dxa"/>
            <w:tcBorders>
              <w:top w:val="nil"/>
              <w:bottom w:val="nil"/>
            </w:tcBorders>
          </w:tcPr>
          <w:p w14:paraId="4A676839" w14:textId="647A7FB8" w:rsidR="006F1566" w:rsidRPr="00E74730" w:rsidRDefault="006F1566" w:rsidP="00E74730">
            <w:pPr>
              <w:snapToGrid w:val="0"/>
              <w:spacing w:line="360" w:lineRule="auto"/>
              <w:jc w:val="both"/>
              <w:rPr>
                <w:rFonts w:ascii="Book Antiqua" w:hAnsi="Book Antiqua"/>
                <w:bCs/>
              </w:rPr>
            </w:pPr>
            <w:r w:rsidRPr="00E74730">
              <w:rPr>
                <w:rFonts w:ascii="Book Antiqua" w:hAnsi="Book Antiqua"/>
                <w:bCs/>
              </w:rPr>
              <w:t>41 (42.71)</w:t>
            </w:r>
          </w:p>
        </w:tc>
        <w:tc>
          <w:tcPr>
            <w:tcW w:w="1684" w:type="dxa"/>
            <w:tcBorders>
              <w:top w:val="nil"/>
              <w:bottom w:val="nil"/>
            </w:tcBorders>
          </w:tcPr>
          <w:p w14:paraId="7C163DC7" w14:textId="1A662436" w:rsidR="006F1566" w:rsidRPr="00E74730" w:rsidRDefault="006F1566" w:rsidP="00E74730">
            <w:pPr>
              <w:snapToGrid w:val="0"/>
              <w:spacing w:line="360" w:lineRule="auto"/>
              <w:jc w:val="both"/>
              <w:rPr>
                <w:rFonts w:ascii="Book Antiqua" w:hAnsi="Book Antiqua"/>
                <w:bCs/>
              </w:rPr>
            </w:pPr>
            <w:r w:rsidRPr="00E74730">
              <w:rPr>
                <w:rFonts w:ascii="Book Antiqua" w:hAnsi="Book Antiqua"/>
                <w:bCs/>
              </w:rPr>
              <w:t>0.005</w:t>
            </w:r>
          </w:p>
        </w:tc>
      </w:tr>
      <w:tr w:rsidR="006F1566" w:rsidRPr="00E74730" w14:paraId="3E976646" w14:textId="77777777" w:rsidTr="0034070B">
        <w:trPr>
          <w:trHeight w:val="330"/>
        </w:trPr>
        <w:tc>
          <w:tcPr>
            <w:tcW w:w="3455" w:type="dxa"/>
            <w:tcBorders>
              <w:top w:val="nil"/>
              <w:bottom w:val="nil"/>
            </w:tcBorders>
            <w:shd w:val="clear" w:color="auto" w:fill="auto"/>
          </w:tcPr>
          <w:p w14:paraId="300C3DA9" w14:textId="6AF0A196" w:rsidR="006F1566" w:rsidRPr="00E74730" w:rsidRDefault="006F1566" w:rsidP="00E74730">
            <w:pPr>
              <w:snapToGrid w:val="0"/>
              <w:spacing w:line="360" w:lineRule="auto"/>
              <w:ind w:firstLineChars="100" w:firstLine="240"/>
              <w:jc w:val="both"/>
              <w:rPr>
                <w:rFonts w:ascii="Book Antiqua" w:hAnsi="Book Antiqua"/>
                <w:bCs/>
              </w:rPr>
            </w:pPr>
            <w:r w:rsidRPr="00E74730">
              <w:rPr>
                <w:rFonts w:ascii="Book Antiqua" w:hAnsi="Book Antiqua"/>
                <w:bCs/>
              </w:rPr>
              <w:t>CBD stones retrieved</w:t>
            </w:r>
          </w:p>
        </w:tc>
        <w:tc>
          <w:tcPr>
            <w:tcW w:w="2137" w:type="dxa"/>
            <w:tcBorders>
              <w:top w:val="nil"/>
              <w:bottom w:val="nil"/>
            </w:tcBorders>
            <w:shd w:val="clear" w:color="auto" w:fill="auto"/>
          </w:tcPr>
          <w:p w14:paraId="60A648BF" w14:textId="0901F83C" w:rsidR="006F1566" w:rsidRPr="00E74730" w:rsidRDefault="006F1566" w:rsidP="00E74730">
            <w:pPr>
              <w:snapToGrid w:val="0"/>
              <w:spacing w:line="360" w:lineRule="auto"/>
              <w:jc w:val="both"/>
              <w:rPr>
                <w:rFonts w:ascii="Book Antiqua" w:hAnsi="Book Antiqua"/>
                <w:bCs/>
              </w:rPr>
            </w:pPr>
            <w:r w:rsidRPr="00E74730">
              <w:rPr>
                <w:rFonts w:ascii="Book Antiqua" w:hAnsi="Book Antiqua"/>
                <w:bCs/>
              </w:rPr>
              <w:t>2 (9.52)</w:t>
            </w:r>
          </w:p>
        </w:tc>
        <w:tc>
          <w:tcPr>
            <w:tcW w:w="2084" w:type="dxa"/>
            <w:tcBorders>
              <w:top w:val="nil"/>
              <w:bottom w:val="nil"/>
            </w:tcBorders>
          </w:tcPr>
          <w:p w14:paraId="6641A4BF" w14:textId="2366984E" w:rsidR="006F1566" w:rsidRPr="00E74730" w:rsidRDefault="006F1566" w:rsidP="00E74730">
            <w:pPr>
              <w:snapToGrid w:val="0"/>
              <w:spacing w:line="360" w:lineRule="auto"/>
              <w:jc w:val="both"/>
              <w:rPr>
                <w:rFonts w:ascii="Book Antiqua" w:hAnsi="Book Antiqua"/>
                <w:bCs/>
              </w:rPr>
            </w:pPr>
            <w:r w:rsidRPr="00E74730">
              <w:rPr>
                <w:rFonts w:ascii="Book Antiqua" w:hAnsi="Book Antiqua"/>
                <w:bCs/>
              </w:rPr>
              <w:t>28 (29.17)</w:t>
            </w:r>
          </w:p>
        </w:tc>
        <w:tc>
          <w:tcPr>
            <w:tcW w:w="1684" w:type="dxa"/>
            <w:tcBorders>
              <w:top w:val="nil"/>
              <w:bottom w:val="nil"/>
            </w:tcBorders>
          </w:tcPr>
          <w:p w14:paraId="7F5A19A9" w14:textId="7D832577" w:rsidR="006F1566" w:rsidRPr="00E74730" w:rsidRDefault="006F1566" w:rsidP="00E74730">
            <w:pPr>
              <w:snapToGrid w:val="0"/>
              <w:spacing w:line="360" w:lineRule="auto"/>
              <w:jc w:val="both"/>
              <w:rPr>
                <w:rFonts w:ascii="Book Antiqua" w:hAnsi="Book Antiqua"/>
                <w:bCs/>
              </w:rPr>
            </w:pPr>
            <w:r w:rsidRPr="00E74730">
              <w:rPr>
                <w:rStyle w:val="result"/>
                <w:rFonts w:ascii="Book Antiqua" w:hAnsi="Book Antiqua"/>
                <w:bCs/>
                <w:color w:val="auto"/>
              </w:rPr>
              <w:t>0.09</w:t>
            </w:r>
          </w:p>
        </w:tc>
      </w:tr>
      <w:tr w:rsidR="006F1566" w:rsidRPr="00E74730" w14:paraId="2440F017" w14:textId="77777777" w:rsidTr="0034070B">
        <w:trPr>
          <w:trHeight w:val="360"/>
        </w:trPr>
        <w:tc>
          <w:tcPr>
            <w:tcW w:w="3455" w:type="dxa"/>
            <w:tcBorders>
              <w:top w:val="nil"/>
              <w:bottom w:val="nil"/>
            </w:tcBorders>
            <w:shd w:val="clear" w:color="auto" w:fill="auto"/>
          </w:tcPr>
          <w:p w14:paraId="4FE39261" w14:textId="6FE9CEFA" w:rsidR="006F1566" w:rsidRPr="00E74730" w:rsidRDefault="006F1566" w:rsidP="006F1566">
            <w:pPr>
              <w:snapToGrid w:val="0"/>
              <w:spacing w:line="360" w:lineRule="auto"/>
              <w:ind w:firstLineChars="100" w:firstLine="240"/>
              <w:jc w:val="both"/>
              <w:rPr>
                <w:rFonts w:ascii="Book Antiqua" w:hAnsi="Book Antiqua"/>
                <w:bCs/>
              </w:rPr>
            </w:pPr>
            <w:r w:rsidRPr="00E74730">
              <w:rPr>
                <w:rFonts w:ascii="Book Antiqua" w:hAnsi="Book Antiqua"/>
                <w:bCs/>
              </w:rPr>
              <w:t>Pus in the CBD</w:t>
            </w:r>
          </w:p>
        </w:tc>
        <w:tc>
          <w:tcPr>
            <w:tcW w:w="2137" w:type="dxa"/>
            <w:tcBorders>
              <w:top w:val="nil"/>
              <w:bottom w:val="nil"/>
            </w:tcBorders>
            <w:shd w:val="clear" w:color="auto" w:fill="auto"/>
          </w:tcPr>
          <w:p w14:paraId="68737FF5" w14:textId="49B11707" w:rsidR="006F1566" w:rsidRPr="00E74730" w:rsidRDefault="006F1566" w:rsidP="00E74730">
            <w:pPr>
              <w:snapToGrid w:val="0"/>
              <w:spacing w:line="360" w:lineRule="auto"/>
              <w:jc w:val="both"/>
              <w:rPr>
                <w:rFonts w:ascii="Book Antiqua" w:hAnsi="Book Antiqua"/>
                <w:bCs/>
              </w:rPr>
            </w:pPr>
            <w:r w:rsidRPr="00E74730">
              <w:rPr>
                <w:rFonts w:ascii="Book Antiqua" w:hAnsi="Book Antiqua"/>
                <w:bCs/>
              </w:rPr>
              <w:t>10 (47.62)</w:t>
            </w:r>
          </w:p>
        </w:tc>
        <w:tc>
          <w:tcPr>
            <w:tcW w:w="2084" w:type="dxa"/>
            <w:tcBorders>
              <w:top w:val="nil"/>
              <w:bottom w:val="nil"/>
            </w:tcBorders>
          </w:tcPr>
          <w:p w14:paraId="3200C959" w14:textId="27C5A8EF" w:rsidR="006F1566" w:rsidRPr="00E74730" w:rsidRDefault="006F1566" w:rsidP="00E74730">
            <w:pPr>
              <w:snapToGrid w:val="0"/>
              <w:spacing w:line="360" w:lineRule="auto"/>
              <w:jc w:val="both"/>
              <w:rPr>
                <w:rFonts w:ascii="Book Antiqua" w:hAnsi="Book Antiqua"/>
                <w:bCs/>
              </w:rPr>
            </w:pPr>
            <w:r w:rsidRPr="00E74730">
              <w:rPr>
                <w:rFonts w:ascii="Book Antiqua" w:hAnsi="Book Antiqua"/>
                <w:bCs/>
              </w:rPr>
              <w:t>15 (15.63)</w:t>
            </w:r>
          </w:p>
        </w:tc>
        <w:tc>
          <w:tcPr>
            <w:tcW w:w="1684" w:type="dxa"/>
            <w:tcBorders>
              <w:top w:val="nil"/>
              <w:bottom w:val="nil"/>
            </w:tcBorders>
          </w:tcPr>
          <w:p w14:paraId="63393206" w14:textId="71B69E2F" w:rsidR="006F1566" w:rsidRPr="00E74730" w:rsidRDefault="006F1566" w:rsidP="00E74730">
            <w:pPr>
              <w:snapToGrid w:val="0"/>
              <w:spacing w:line="360" w:lineRule="auto"/>
              <w:jc w:val="both"/>
              <w:rPr>
                <w:rStyle w:val="result"/>
                <w:rFonts w:ascii="Book Antiqua" w:hAnsi="Book Antiqua"/>
                <w:bCs/>
                <w:color w:val="auto"/>
              </w:rPr>
            </w:pPr>
            <w:r w:rsidRPr="00E74730">
              <w:rPr>
                <w:rStyle w:val="result"/>
                <w:rFonts w:ascii="Book Antiqua" w:hAnsi="Book Antiqua"/>
                <w:bCs/>
                <w:color w:val="auto"/>
              </w:rPr>
              <w:t>0.003</w:t>
            </w:r>
          </w:p>
        </w:tc>
      </w:tr>
      <w:tr w:rsidR="006F1566" w:rsidRPr="00E74730" w14:paraId="496C7A41" w14:textId="77777777" w:rsidTr="0034070B">
        <w:trPr>
          <w:trHeight w:val="790"/>
        </w:trPr>
        <w:tc>
          <w:tcPr>
            <w:tcW w:w="3455" w:type="dxa"/>
            <w:tcBorders>
              <w:top w:val="nil"/>
            </w:tcBorders>
            <w:shd w:val="clear" w:color="auto" w:fill="auto"/>
          </w:tcPr>
          <w:p w14:paraId="18F11E87" w14:textId="62945766" w:rsidR="006F1566" w:rsidRPr="00E74730" w:rsidRDefault="006F1566" w:rsidP="00E74730">
            <w:pPr>
              <w:snapToGrid w:val="0"/>
              <w:spacing w:line="360" w:lineRule="auto"/>
              <w:ind w:firstLineChars="100" w:firstLine="240"/>
              <w:jc w:val="both"/>
              <w:rPr>
                <w:rFonts w:ascii="Book Antiqua" w:hAnsi="Book Antiqua"/>
                <w:bCs/>
              </w:rPr>
            </w:pPr>
            <w:r w:rsidRPr="00E74730">
              <w:rPr>
                <w:rFonts w:ascii="Book Antiqua" w:hAnsi="Book Antiqua"/>
                <w:bCs/>
              </w:rPr>
              <w:t>Duodenal ulcer</w:t>
            </w:r>
          </w:p>
        </w:tc>
        <w:tc>
          <w:tcPr>
            <w:tcW w:w="2137" w:type="dxa"/>
            <w:tcBorders>
              <w:top w:val="nil"/>
            </w:tcBorders>
            <w:shd w:val="clear" w:color="auto" w:fill="auto"/>
          </w:tcPr>
          <w:p w14:paraId="752CD18E" w14:textId="4034EE91" w:rsidR="006F1566" w:rsidRPr="00E74730" w:rsidRDefault="006F1566" w:rsidP="00E74730">
            <w:pPr>
              <w:snapToGrid w:val="0"/>
              <w:spacing w:line="360" w:lineRule="auto"/>
              <w:jc w:val="both"/>
              <w:rPr>
                <w:rFonts w:ascii="Book Antiqua" w:hAnsi="Book Antiqua"/>
                <w:bCs/>
              </w:rPr>
            </w:pPr>
            <w:r w:rsidRPr="00E74730">
              <w:rPr>
                <w:rFonts w:ascii="Book Antiqua" w:hAnsi="Book Antiqua"/>
                <w:bCs/>
              </w:rPr>
              <w:t>6 (28.57)</w:t>
            </w:r>
          </w:p>
        </w:tc>
        <w:tc>
          <w:tcPr>
            <w:tcW w:w="2084" w:type="dxa"/>
            <w:tcBorders>
              <w:top w:val="nil"/>
            </w:tcBorders>
          </w:tcPr>
          <w:p w14:paraId="53703919" w14:textId="7E694694" w:rsidR="006F1566" w:rsidRPr="00E74730" w:rsidRDefault="006F1566" w:rsidP="00E74730">
            <w:pPr>
              <w:snapToGrid w:val="0"/>
              <w:spacing w:line="360" w:lineRule="auto"/>
              <w:jc w:val="both"/>
              <w:rPr>
                <w:rFonts w:ascii="Book Antiqua" w:hAnsi="Book Antiqua"/>
                <w:bCs/>
              </w:rPr>
            </w:pPr>
            <w:r w:rsidRPr="00E74730">
              <w:rPr>
                <w:rFonts w:ascii="Book Antiqua" w:hAnsi="Book Antiqua"/>
                <w:bCs/>
              </w:rPr>
              <w:t>19 (19.79)</w:t>
            </w:r>
          </w:p>
        </w:tc>
        <w:tc>
          <w:tcPr>
            <w:tcW w:w="1684" w:type="dxa"/>
            <w:tcBorders>
              <w:top w:val="nil"/>
            </w:tcBorders>
          </w:tcPr>
          <w:p w14:paraId="134B4396" w14:textId="3582B06A" w:rsidR="006F1566" w:rsidRPr="00E74730" w:rsidRDefault="006F1566" w:rsidP="00E74730">
            <w:pPr>
              <w:snapToGrid w:val="0"/>
              <w:spacing w:line="360" w:lineRule="auto"/>
              <w:jc w:val="both"/>
              <w:rPr>
                <w:rStyle w:val="result"/>
                <w:rFonts w:ascii="Book Antiqua" w:hAnsi="Book Antiqua"/>
                <w:bCs/>
                <w:color w:val="auto"/>
              </w:rPr>
            </w:pPr>
            <w:r w:rsidRPr="00E74730">
              <w:rPr>
                <w:rStyle w:val="result"/>
                <w:rFonts w:ascii="Book Antiqua" w:hAnsi="Book Antiqua"/>
                <w:bCs/>
                <w:color w:val="auto"/>
              </w:rPr>
              <w:t>0.39</w:t>
            </w:r>
          </w:p>
        </w:tc>
      </w:tr>
    </w:tbl>
    <w:p w14:paraId="461DD636" w14:textId="6DF09673" w:rsidR="00F64FCD" w:rsidRPr="00E74730" w:rsidRDefault="00137290" w:rsidP="00E74730">
      <w:pPr>
        <w:snapToGrid w:val="0"/>
        <w:spacing w:line="360" w:lineRule="auto"/>
        <w:jc w:val="both"/>
        <w:rPr>
          <w:rFonts w:ascii="Book Antiqua" w:hAnsi="Book Antiqua"/>
        </w:rPr>
      </w:pPr>
      <w:r w:rsidRPr="00E74730">
        <w:rPr>
          <w:rFonts w:ascii="Book Antiqua" w:hAnsi="Book Antiqua"/>
        </w:rPr>
        <w:t>CBD: Common bile duct;</w:t>
      </w:r>
      <w:r>
        <w:rPr>
          <w:rFonts w:ascii="Book Antiqua" w:hAnsi="Book Antiqua"/>
        </w:rPr>
        <w:t xml:space="preserve"> </w:t>
      </w:r>
      <w:r w:rsidR="004E536D" w:rsidRPr="00E74730">
        <w:rPr>
          <w:rFonts w:ascii="Book Antiqua" w:hAnsi="Book Antiqua"/>
        </w:rPr>
        <w:t xml:space="preserve">ERCP: Endoscopic retrograde cholangiopancreatography; </w:t>
      </w:r>
      <w:r w:rsidRPr="00E74730">
        <w:rPr>
          <w:rFonts w:ascii="Book Antiqua" w:hAnsi="Book Antiqua"/>
        </w:rPr>
        <w:t>GB: Gall bladder</w:t>
      </w:r>
      <w:r>
        <w:rPr>
          <w:rFonts w:ascii="Book Antiqua" w:hAnsi="Book Antiqua"/>
        </w:rPr>
        <w:t>;</w:t>
      </w:r>
      <w:r w:rsidRPr="00E74730">
        <w:rPr>
          <w:rFonts w:ascii="Book Antiqua" w:hAnsi="Book Antiqua"/>
        </w:rPr>
        <w:t xml:space="preserve"> </w:t>
      </w:r>
      <w:r w:rsidR="004E536D" w:rsidRPr="00E74730">
        <w:rPr>
          <w:rFonts w:ascii="Book Antiqua" w:hAnsi="Book Antiqua"/>
        </w:rPr>
        <w:t>MS: Mirizzi syndrome.</w:t>
      </w:r>
    </w:p>
    <w:p w14:paraId="01AFB90D" w14:textId="77777777" w:rsidR="00F64FCD" w:rsidRPr="00E74730" w:rsidRDefault="004E536D" w:rsidP="00E74730">
      <w:pPr>
        <w:snapToGrid w:val="0"/>
        <w:spacing w:line="360" w:lineRule="auto"/>
        <w:jc w:val="both"/>
        <w:rPr>
          <w:rFonts w:ascii="Book Antiqua" w:hAnsi="Book Antiqua"/>
          <w:b/>
        </w:rPr>
      </w:pPr>
      <w:r w:rsidRPr="00E74730">
        <w:rPr>
          <w:rFonts w:ascii="Book Antiqua" w:eastAsia="MinionPro-Regular" w:hAnsi="Book Antiqua"/>
        </w:rPr>
        <w:br w:type="page"/>
      </w:r>
      <w:r w:rsidRPr="00E74730">
        <w:rPr>
          <w:rFonts w:ascii="Book Antiqua" w:hAnsi="Book Antiqua"/>
          <w:b/>
        </w:rPr>
        <w:t>Table 3 Predictors of cholecystocholedochal fistulas in patients with Mirizzi syndrome</w:t>
      </w:r>
    </w:p>
    <w:tbl>
      <w:tblPr>
        <w:tblStyle w:val="a4"/>
        <w:tblW w:w="5016"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4"/>
        <w:gridCol w:w="972"/>
        <w:gridCol w:w="897"/>
        <w:gridCol w:w="1464"/>
        <w:gridCol w:w="1318"/>
        <w:gridCol w:w="930"/>
        <w:gridCol w:w="1272"/>
      </w:tblGrid>
      <w:tr w:rsidR="00E74730" w:rsidRPr="00E74730" w14:paraId="6554F77B" w14:textId="77777777" w:rsidTr="002F1605">
        <w:trPr>
          <w:trHeight w:val="285"/>
        </w:trPr>
        <w:tc>
          <w:tcPr>
            <w:tcW w:w="1433" w:type="pct"/>
            <w:tcBorders>
              <w:bottom w:val="single" w:sz="4" w:space="0" w:color="auto"/>
            </w:tcBorders>
          </w:tcPr>
          <w:p w14:paraId="4D5ADC9F" w14:textId="77777777" w:rsidR="00F64FCD" w:rsidRPr="00E74730" w:rsidRDefault="00F64FCD" w:rsidP="00E74730">
            <w:pPr>
              <w:snapToGrid w:val="0"/>
              <w:spacing w:line="360" w:lineRule="auto"/>
              <w:jc w:val="both"/>
              <w:rPr>
                <w:rFonts w:ascii="Book Antiqua" w:hAnsi="Book Antiqua"/>
                <w:b/>
                <w:bCs/>
              </w:rPr>
            </w:pPr>
          </w:p>
        </w:tc>
        <w:tc>
          <w:tcPr>
            <w:tcW w:w="506" w:type="pct"/>
            <w:tcBorders>
              <w:bottom w:val="single" w:sz="4" w:space="0" w:color="auto"/>
            </w:tcBorders>
          </w:tcPr>
          <w:p w14:paraId="31CEA2BF" w14:textId="77777777" w:rsidR="00F64FCD" w:rsidRPr="00E74730" w:rsidRDefault="004E536D" w:rsidP="00E74730">
            <w:pPr>
              <w:snapToGrid w:val="0"/>
              <w:spacing w:line="360" w:lineRule="auto"/>
              <w:jc w:val="both"/>
              <w:rPr>
                <w:rFonts w:ascii="Book Antiqua" w:hAnsi="Book Antiqua"/>
                <w:b/>
                <w:bCs/>
              </w:rPr>
            </w:pPr>
            <w:r w:rsidRPr="00E74730">
              <w:rPr>
                <w:rFonts w:ascii="Book Antiqua" w:hAnsi="Book Antiqua"/>
                <w:b/>
                <w:bCs/>
              </w:rPr>
              <w:t>Univariate OR</w:t>
            </w:r>
          </w:p>
        </w:tc>
        <w:tc>
          <w:tcPr>
            <w:tcW w:w="467" w:type="pct"/>
            <w:tcBorders>
              <w:bottom w:val="single" w:sz="4" w:space="0" w:color="auto"/>
            </w:tcBorders>
          </w:tcPr>
          <w:p w14:paraId="5F4641D7" w14:textId="77777777" w:rsidR="00F64FCD" w:rsidRPr="00E74730" w:rsidRDefault="004E536D" w:rsidP="00E74730">
            <w:pPr>
              <w:snapToGrid w:val="0"/>
              <w:spacing w:line="360" w:lineRule="auto"/>
              <w:jc w:val="both"/>
              <w:rPr>
                <w:rFonts w:ascii="Book Antiqua" w:hAnsi="Book Antiqua"/>
                <w:b/>
                <w:bCs/>
              </w:rPr>
            </w:pPr>
            <w:r w:rsidRPr="00E74730">
              <w:rPr>
                <w:rFonts w:ascii="Book Antiqua" w:hAnsi="Book Antiqua"/>
                <w:b/>
                <w:bCs/>
                <w:i/>
              </w:rPr>
              <w:t>P</w:t>
            </w:r>
            <w:r w:rsidR="00B305A8" w:rsidRPr="00E74730">
              <w:rPr>
                <w:rFonts w:ascii="Book Antiqua" w:hAnsi="Book Antiqua"/>
                <w:b/>
                <w:bCs/>
              </w:rPr>
              <w:t xml:space="preserve"> </w:t>
            </w:r>
            <w:r w:rsidRPr="00E74730">
              <w:rPr>
                <w:rFonts w:ascii="Book Antiqua" w:hAnsi="Book Antiqua"/>
                <w:b/>
                <w:bCs/>
              </w:rPr>
              <w:t>value</w:t>
            </w:r>
          </w:p>
        </w:tc>
        <w:tc>
          <w:tcPr>
            <w:tcW w:w="762" w:type="pct"/>
            <w:tcBorders>
              <w:bottom w:val="single" w:sz="4" w:space="0" w:color="auto"/>
            </w:tcBorders>
          </w:tcPr>
          <w:p w14:paraId="2558C7BF" w14:textId="73CFF85D" w:rsidR="00F64FCD" w:rsidRPr="00E74730" w:rsidRDefault="004E536D" w:rsidP="00E74730">
            <w:pPr>
              <w:snapToGrid w:val="0"/>
              <w:spacing w:line="360" w:lineRule="auto"/>
              <w:jc w:val="both"/>
              <w:rPr>
                <w:rFonts w:ascii="Book Antiqua" w:hAnsi="Book Antiqua"/>
                <w:b/>
                <w:bCs/>
              </w:rPr>
            </w:pPr>
            <w:r w:rsidRPr="00E74730">
              <w:rPr>
                <w:rFonts w:ascii="Book Antiqua" w:hAnsi="Book Antiqua"/>
                <w:b/>
                <w:bCs/>
              </w:rPr>
              <w:t>95%CI for OR</w:t>
            </w:r>
          </w:p>
        </w:tc>
        <w:tc>
          <w:tcPr>
            <w:tcW w:w="686" w:type="pct"/>
            <w:tcBorders>
              <w:bottom w:val="single" w:sz="4" w:space="0" w:color="auto"/>
            </w:tcBorders>
          </w:tcPr>
          <w:p w14:paraId="59F3C0C7" w14:textId="77777777" w:rsidR="00F64FCD" w:rsidRPr="00E74730" w:rsidRDefault="004E536D" w:rsidP="00E74730">
            <w:pPr>
              <w:snapToGrid w:val="0"/>
              <w:spacing w:line="360" w:lineRule="auto"/>
              <w:jc w:val="both"/>
              <w:rPr>
                <w:rFonts w:ascii="Book Antiqua" w:hAnsi="Book Antiqua"/>
                <w:b/>
                <w:bCs/>
              </w:rPr>
            </w:pPr>
            <w:r w:rsidRPr="00E74730">
              <w:rPr>
                <w:rFonts w:ascii="Book Antiqua" w:hAnsi="Book Antiqua"/>
                <w:b/>
                <w:bCs/>
              </w:rPr>
              <w:t>Multivariate OR</w:t>
            </w:r>
          </w:p>
        </w:tc>
        <w:tc>
          <w:tcPr>
            <w:tcW w:w="484" w:type="pct"/>
            <w:tcBorders>
              <w:bottom w:val="single" w:sz="4" w:space="0" w:color="auto"/>
            </w:tcBorders>
          </w:tcPr>
          <w:p w14:paraId="77377CB0" w14:textId="77777777" w:rsidR="00F64FCD" w:rsidRPr="00E74730" w:rsidRDefault="004E536D" w:rsidP="00E74730">
            <w:pPr>
              <w:snapToGrid w:val="0"/>
              <w:spacing w:line="360" w:lineRule="auto"/>
              <w:jc w:val="both"/>
              <w:rPr>
                <w:rFonts w:ascii="Book Antiqua" w:hAnsi="Book Antiqua"/>
                <w:b/>
                <w:bCs/>
              </w:rPr>
            </w:pPr>
            <w:r w:rsidRPr="00E74730">
              <w:rPr>
                <w:rFonts w:ascii="Book Antiqua" w:hAnsi="Book Antiqua"/>
                <w:b/>
                <w:bCs/>
                <w:i/>
              </w:rPr>
              <w:t>P</w:t>
            </w:r>
            <w:r w:rsidR="00861B9B" w:rsidRPr="00E74730">
              <w:rPr>
                <w:rFonts w:ascii="Book Antiqua" w:hAnsi="Book Antiqua"/>
                <w:b/>
                <w:bCs/>
              </w:rPr>
              <w:t xml:space="preserve"> </w:t>
            </w:r>
            <w:r w:rsidRPr="00E74730">
              <w:rPr>
                <w:rFonts w:ascii="Book Antiqua" w:hAnsi="Book Antiqua"/>
                <w:b/>
                <w:bCs/>
              </w:rPr>
              <w:t>value</w:t>
            </w:r>
          </w:p>
        </w:tc>
        <w:tc>
          <w:tcPr>
            <w:tcW w:w="662" w:type="pct"/>
            <w:tcBorders>
              <w:bottom w:val="single" w:sz="4" w:space="0" w:color="auto"/>
            </w:tcBorders>
          </w:tcPr>
          <w:p w14:paraId="26B76972" w14:textId="0780D09E" w:rsidR="00F64FCD" w:rsidRPr="00E74730" w:rsidRDefault="004E536D" w:rsidP="00E74730">
            <w:pPr>
              <w:snapToGrid w:val="0"/>
              <w:spacing w:line="360" w:lineRule="auto"/>
              <w:jc w:val="both"/>
              <w:rPr>
                <w:rFonts w:ascii="Book Antiqua" w:hAnsi="Book Antiqua"/>
                <w:b/>
                <w:bCs/>
              </w:rPr>
            </w:pPr>
            <w:r w:rsidRPr="00E74730">
              <w:rPr>
                <w:rFonts w:ascii="Book Antiqua" w:hAnsi="Book Antiqua"/>
                <w:b/>
                <w:bCs/>
              </w:rPr>
              <w:t>95%CI for OR</w:t>
            </w:r>
          </w:p>
        </w:tc>
      </w:tr>
      <w:tr w:rsidR="00E74730" w:rsidRPr="00E74730" w14:paraId="4FE3A6F0" w14:textId="77777777" w:rsidTr="002F1605">
        <w:trPr>
          <w:trHeight w:val="397"/>
        </w:trPr>
        <w:tc>
          <w:tcPr>
            <w:tcW w:w="1433" w:type="pct"/>
            <w:tcBorders>
              <w:top w:val="single" w:sz="4" w:space="0" w:color="auto"/>
            </w:tcBorders>
          </w:tcPr>
          <w:p w14:paraId="07A704F3" w14:textId="77777777" w:rsidR="00F64FCD" w:rsidRPr="00E74730" w:rsidRDefault="004E536D" w:rsidP="00E74730">
            <w:pPr>
              <w:snapToGrid w:val="0"/>
              <w:spacing w:line="360" w:lineRule="auto"/>
              <w:jc w:val="both"/>
              <w:rPr>
                <w:rFonts w:ascii="Book Antiqua" w:hAnsi="Book Antiqua"/>
              </w:rPr>
            </w:pPr>
            <w:r w:rsidRPr="00E74730">
              <w:rPr>
                <w:rFonts w:ascii="Book Antiqua" w:hAnsi="Book Antiqua"/>
              </w:rPr>
              <w:t>Variate</w:t>
            </w:r>
          </w:p>
        </w:tc>
        <w:tc>
          <w:tcPr>
            <w:tcW w:w="506" w:type="pct"/>
            <w:tcBorders>
              <w:top w:val="single" w:sz="4" w:space="0" w:color="auto"/>
            </w:tcBorders>
          </w:tcPr>
          <w:p w14:paraId="2D759AE5" w14:textId="77777777" w:rsidR="00F64FCD" w:rsidRPr="00E74730" w:rsidRDefault="00F64FCD" w:rsidP="00E74730">
            <w:pPr>
              <w:snapToGrid w:val="0"/>
              <w:spacing w:line="360" w:lineRule="auto"/>
              <w:jc w:val="both"/>
              <w:rPr>
                <w:rFonts w:ascii="Book Antiqua" w:hAnsi="Book Antiqua"/>
              </w:rPr>
            </w:pPr>
          </w:p>
        </w:tc>
        <w:tc>
          <w:tcPr>
            <w:tcW w:w="467" w:type="pct"/>
            <w:tcBorders>
              <w:top w:val="single" w:sz="4" w:space="0" w:color="auto"/>
            </w:tcBorders>
          </w:tcPr>
          <w:p w14:paraId="13C41B03" w14:textId="77777777" w:rsidR="00F64FCD" w:rsidRPr="00E74730" w:rsidRDefault="00F64FCD" w:rsidP="00E74730">
            <w:pPr>
              <w:snapToGrid w:val="0"/>
              <w:spacing w:line="360" w:lineRule="auto"/>
              <w:jc w:val="both"/>
              <w:rPr>
                <w:rFonts w:ascii="Book Antiqua" w:hAnsi="Book Antiqua"/>
                <w:i/>
              </w:rPr>
            </w:pPr>
          </w:p>
        </w:tc>
        <w:tc>
          <w:tcPr>
            <w:tcW w:w="762" w:type="pct"/>
            <w:tcBorders>
              <w:top w:val="single" w:sz="4" w:space="0" w:color="auto"/>
            </w:tcBorders>
          </w:tcPr>
          <w:p w14:paraId="654CF111" w14:textId="77777777" w:rsidR="00F64FCD" w:rsidRPr="00E74730" w:rsidRDefault="00F64FCD" w:rsidP="00E74730">
            <w:pPr>
              <w:snapToGrid w:val="0"/>
              <w:spacing w:line="360" w:lineRule="auto"/>
              <w:jc w:val="both"/>
              <w:rPr>
                <w:rFonts w:ascii="Book Antiqua" w:hAnsi="Book Antiqua"/>
              </w:rPr>
            </w:pPr>
          </w:p>
        </w:tc>
        <w:tc>
          <w:tcPr>
            <w:tcW w:w="686" w:type="pct"/>
            <w:tcBorders>
              <w:top w:val="single" w:sz="4" w:space="0" w:color="auto"/>
            </w:tcBorders>
          </w:tcPr>
          <w:p w14:paraId="53C9151B" w14:textId="77777777" w:rsidR="00F64FCD" w:rsidRPr="00E74730" w:rsidRDefault="00F64FCD" w:rsidP="00E74730">
            <w:pPr>
              <w:snapToGrid w:val="0"/>
              <w:spacing w:line="360" w:lineRule="auto"/>
              <w:jc w:val="both"/>
              <w:rPr>
                <w:rFonts w:ascii="Book Antiqua" w:hAnsi="Book Antiqua"/>
              </w:rPr>
            </w:pPr>
          </w:p>
        </w:tc>
        <w:tc>
          <w:tcPr>
            <w:tcW w:w="484" w:type="pct"/>
            <w:tcBorders>
              <w:top w:val="single" w:sz="4" w:space="0" w:color="auto"/>
            </w:tcBorders>
          </w:tcPr>
          <w:p w14:paraId="643B9748" w14:textId="77777777" w:rsidR="00F64FCD" w:rsidRPr="00E74730" w:rsidRDefault="00F64FCD" w:rsidP="00E74730">
            <w:pPr>
              <w:snapToGrid w:val="0"/>
              <w:spacing w:line="360" w:lineRule="auto"/>
              <w:jc w:val="both"/>
              <w:rPr>
                <w:rFonts w:ascii="Book Antiqua" w:hAnsi="Book Antiqua"/>
                <w:i/>
              </w:rPr>
            </w:pPr>
          </w:p>
        </w:tc>
        <w:tc>
          <w:tcPr>
            <w:tcW w:w="662" w:type="pct"/>
            <w:tcBorders>
              <w:top w:val="single" w:sz="4" w:space="0" w:color="auto"/>
            </w:tcBorders>
          </w:tcPr>
          <w:p w14:paraId="5D278344" w14:textId="77777777" w:rsidR="00F64FCD" w:rsidRPr="00E74730" w:rsidRDefault="00F64FCD" w:rsidP="00E74730">
            <w:pPr>
              <w:snapToGrid w:val="0"/>
              <w:spacing w:line="360" w:lineRule="auto"/>
              <w:jc w:val="both"/>
              <w:rPr>
                <w:rFonts w:ascii="Book Antiqua" w:hAnsi="Book Antiqua"/>
              </w:rPr>
            </w:pPr>
          </w:p>
        </w:tc>
      </w:tr>
      <w:tr w:rsidR="00E74730" w:rsidRPr="00E74730" w14:paraId="5D5A8931" w14:textId="77777777" w:rsidTr="002F1605">
        <w:trPr>
          <w:trHeight w:val="377"/>
        </w:trPr>
        <w:tc>
          <w:tcPr>
            <w:tcW w:w="1433" w:type="pct"/>
          </w:tcPr>
          <w:p w14:paraId="6B8819DB" w14:textId="77777777" w:rsidR="00F64FCD" w:rsidRPr="00E74730" w:rsidRDefault="004E536D" w:rsidP="00E74730">
            <w:pPr>
              <w:snapToGrid w:val="0"/>
              <w:spacing w:line="360" w:lineRule="auto"/>
              <w:jc w:val="both"/>
              <w:rPr>
                <w:rFonts w:ascii="Book Antiqua" w:hAnsi="Book Antiqua"/>
              </w:rPr>
            </w:pPr>
            <w:r w:rsidRPr="00E74730">
              <w:rPr>
                <w:rFonts w:ascii="Book Antiqua" w:hAnsi="Book Antiqua"/>
              </w:rPr>
              <w:t>Stricture length &gt; 2 cm</w:t>
            </w:r>
          </w:p>
        </w:tc>
        <w:tc>
          <w:tcPr>
            <w:tcW w:w="506" w:type="pct"/>
          </w:tcPr>
          <w:p w14:paraId="5F54CA23"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0.14</w:t>
            </w:r>
          </w:p>
        </w:tc>
        <w:tc>
          <w:tcPr>
            <w:tcW w:w="467" w:type="pct"/>
          </w:tcPr>
          <w:p w14:paraId="52DB89FD"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0.01</w:t>
            </w:r>
          </w:p>
        </w:tc>
        <w:tc>
          <w:tcPr>
            <w:tcW w:w="762" w:type="pct"/>
          </w:tcPr>
          <w:p w14:paraId="4B49909E"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0.03</w:t>
            </w:r>
            <w:r w:rsidR="002F1605" w:rsidRPr="00E74730">
              <w:rPr>
                <w:rStyle w:val="result"/>
                <w:rFonts w:ascii="Book Antiqua" w:hAnsi="Book Antiqua"/>
                <w:color w:val="auto"/>
              </w:rPr>
              <w:t>-</w:t>
            </w:r>
            <w:r w:rsidRPr="00E74730">
              <w:rPr>
                <w:rStyle w:val="result"/>
                <w:rFonts w:ascii="Book Antiqua" w:hAnsi="Book Antiqua"/>
                <w:color w:val="auto"/>
              </w:rPr>
              <w:t>0.64</w:t>
            </w:r>
          </w:p>
        </w:tc>
        <w:tc>
          <w:tcPr>
            <w:tcW w:w="686" w:type="pct"/>
          </w:tcPr>
          <w:p w14:paraId="603DD1D7"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0.12</w:t>
            </w:r>
          </w:p>
        </w:tc>
        <w:tc>
          <w:tcPr>
            <w:tcW w:w="484" w:type="pct"/>
          </w:tcPr>
          <w:p w14:paraId="3EA81A25"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0.008</w:t>
            </w:r>
          </w:p>
        </w:tc>
        <w:tc>
          <w:tcPr>
            <w:tcW w:w="662" w:type="pct"/>
          </w:tcPr>
          <w:p w14:paraId="51FFCCA4" w14:textId="77777777" w:rsidR="00F64FCD" w:rsidRPr="00E74730" w:rsidRDefault="002F1605" w:rsidP="00E74730">
            <w:pPr>
              <w:snapToGrid w:val="0"/>
              <w:spacing w:line="360" w:lineRule="auto"/>
              <w:jc w:val="both"/>
              <w:rPr>
                <w:rFonts w:ascii="Book Antiqua" w:hAnsi="Book Antiqua"/>
              </w:rPr>
            </w:pPr>
            <w:r w:rsidRPr="00E74730">
              <w:rPr>
                <w:rStyle w:val="result"/>
                <w:rFonts w:ascii="Book Antiqua" w:hAnsi="Book Antiqua"/>
                <w:color w:val="auto"/>
              </w:rPr>
              <w:t>0.03-</w:t>
            </w:r>
            <w:r w:rsidR="004E536D" w:rsidRPr="00E74730">
              <w:rPr>
                <w:rStyle w:val="result"/>
                <w:rFonts w:ascii="Book Antiqua" w:hAnsi="Book Antiqua"/>
                <w:color w:val="auto"/>
              </w:rPr>
              <w:t>0.58</w:t>
            </w:r>
          </w:p>
        </w:tc>
      </w:tr>
      <w:tr w:rsidR="00E74730" w:rsidRPr="00E74730" w14:paraId="0AD64D24" w14:textId="77777777" w:rsidTr="002F1605">
        <w:trPr>
          <w:trHeight w:val="377"/>
        </w:trPr>
        <w:tc>
          <w:tcPr>
            <w:tcW w:w="1433" w:type="pct"/>
          </w:tcPr>
          <w:p w14:paraId="754DFFEE" w14:textId="77777777" w:rsidR="00F64FCD" w:rsidRPr="00E74730" w:rsidRDefault="004E536D" w:rsidP="00E74730">
            <w:pPr>
              <w:snapToGrid w:val="0"/>
              <w:spacing w:line="360" w:lineRule="auto"/>
              <w:jc w:val="both"/>
              <w:rPr>
                <w:rFonts w:ascii="Book Antiqua" w:hAnsi="Book Antiqua"/>
              </w:rPr>
            </w:pPr>
            <w:r w:rsidRPr="00E74730">
              <w:rPr>
                <w:rFonts w:ascii="Book Antiqua" w:hAnsi="Book Antiqua"/>
              </w:rPr>
              <w:t>CBD stones retrieved</w:t>
            </w:r>
          </w:p>
        </w:tc>
        <w:tc>
          <w:tcPr>
            <w:tcW w:w="506" w:type="pct"/>
          </w:tcPr>
          <w:p w14:paraId="4C603337"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0.26</w:t>
            </w:r>
          </w:p>
        </w:tc>
        <w:tc>
          <w:tcPr>
            <w:tcW w:w="467" w:type="pct"/>
          </w:tcPr>
          <w:p w14:paraId="2199923C"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0.08</w:t>
            </w:r>
          </w:p>
        </w:tc>
        <w:tc>
          <w:tcPr>
            <w:tcW w:w="762" w:type="pct"/>
          </w:tcPr>
          <w:p w14:paraId="1B8BC5B1"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0.06</w:t>
            </w:r>
            <w:r w:rsidR="002F1605" w:rsidRPr="00E74730">
              <w:rPr>
                <w:rStyle w:val="result"/>
                <w:rFonts w:ascii="Book Antiqua" w:hAnsi="Book Antiqua"/>
                <w:color w:val="auto"/>
              </w:rPr>
              <w:t>-</w:t>
            </w:r>
            <w:r w:rsidRPr="00E74730">
              <w:rPr>
                <w:rStyle w:val="result"/>
                <w:rFonts w:ascii="Book Antiqua" w:hAnsi="Book Antiqua"/>
                <w:color w:val="auto"/>
              </w:rPr>
              <w:t>1.17</w:t>
            </w:r>
          </w:p>
        </w:tc>
        <w:tc>
          <w:tcPr>
            <w:tcW w:w="686" w:type="pct"/>
          </w:tcPr>
          <w:p w14:paraId="5C2BCC20" w14:textId="77777777" w:rsidR="00F64FCD" w:rsidRPr="00E74730" w:rsidRDefault="00F64FCD" w:rsidP="00E74730">
            <w:pPr>
              <w:snapToGrid w:val="0"/>
              <w:spacing w:line="360" w:lineRule="auto"/>
              <w:jc w:val="both"/>
              <w:rPr>
                <w:rFonts w:ascii="Book Antiqua" w:hAnsi="Book Antiqua"/>
              </w:rPr>
            </w:pPr>
          </w:p>
        </w:tc>
        <w:tc>
          <w:tcPr>
            <w:tcW w:w="484" w:type="pct"/>
          </w:tcPr>
          <w:p w14:paraId="1742C3A4" w14:textId="77777777" w:rsidR="00F64FCD" w:rsidRPr="00E74730" w:rsidRDefault="00F64FCD" w:rsidP="00E74730">
            <w:pPr>
              <w:snapToGrid w:val="0"/>
              <w:spacing w:line="360" w:lineRule="auto"/>
              <w:jc w:val="both"/>
              <w:rPr>
                <w:rFonts w:ascii="Book Antiqua" w:hAnsi="Book Antiqua"/>
              </w:rPr>
            </w:pPr>
          </w:p>
        </w:tc>
        <w:tc>
          <w:tcPr>
            <w:tcW w:w="662" w:type="pct"/>
          </w:tcPr>
          <w:p w14:paraId="77582026" w14:textId="77777777" w:rsidR="00F64FCD" w:rsidRPr="00E74730" w:rsidRDefault="00F64FCD" w:rsidP="00E74730">
            <w:pPr>
              <w:snapToGrid w:val="0"/>
              <w:spacing w:line="360" w:lineRule="auto"/>
              <w:jc w:val="both"/>
              <w:rPr>
                <w:rFonts w:ascii="Book Antiqua" w:hAnsi="Book Antiqua"/>
              </w:rPr>
            </w:pPr>
          </w:p>
        </w:tc>
      </w:tr>
      <w:tr w:rsidR="00E74730" w:rsidRPr="00E74730" w14:paraId="29877290" w14:textId="77777777" w:rsidTr="002F1605">
        <w:trPr>
          <w:trHeight w:val="377"/>
        </w:trPr>
        <w:tc>
          <w:tcPr>
            <w:tcW w:w="1433" w:type="pct"/>
          </w:tcPr>
          <w:p w14:paraId="5A5A10F4" w14:textId="77777777" w:rsidR="00F64FCD" w:rsidRPr="00E74730" w:rsidRDefault="004E536D" w:rsidP="00E74730">
            <w:pPr>
              <w:snapToGrid w:val="0"/>
              <w:spacing w:line="360" w:lineRule="auto"/>
              <w:jc w:val="both"/>
              <w:rPr>
                <w:rStyle w:val="result"/>
                <w:rFonts w:ascii="Book Antiqua" w:hAnsi="Book Antiqua"/>
                <w:color w:val="auto"/>
              </w:rPr>
            </w:pPr>
            <w:r w:rsidRPr="00E74730">
              <w:rPr>
                <w:rFonts w:ascii="Book Antiqua" w:hAnsi="Book Antiqua"/>
              </w:rPr>
              <w:t>Pus in the CBD</w:t>
            </w:r>
          </w:p>
        </w:tc>
        <w:tc>
          <w:tcPr>
            <w:tcW w:w="506" w:type="pct"/>
          </w:tcPr>
          <w:p w14:paraId="4C49474B"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4.91</w:t>
            </w:r>
          </w:p>
        </w:tc>
        <w:tc>
          <w:tcPr>
            <w:tcW w:w="467" w:type="pct"/>
          </w:tcPr>
          <w:p w14:paraId="3240DC3E"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0.002</w:t>
            </w:r>
          </w:p>
        </w:tc>
        <w:tc>
          <w:tcPr>
            <w:tcW w:w="762" w:type="pct"/>
          </w:tcPr>
          <w:p w14:paraId="7D4E01BF"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1.77</w:t>
            </w:r>
            <w:r w:rsidR="002F1605" w:rsidRPr="00E74730">
              <w:rPr>
                <w:rStyle w:val="result"/>
                <w:rFonts w:ascii="Book Antiqua" w:hAnsi="Book Antiqua"/>
                <w:color w:val="auto"/>
              </w:rPr>
              <w:t>-</w:t>
            </w:r>
            <w:r w:rsidRPr="00E74730">
              <w:rPr>
                <w:rStyle w:val="result"/>
                <w:rFonts w:ascii="Book Antiqua" w:hAnsi="Book Antiqua"/>
                <w:color w:val="auto"/>
              </w:rPr>
              <w:t>13.59</w:t>
            </w:r>
          </w:p>
        </w:tc>
        <w:tc>
          <w:tcPr>
            <w:tcW w:w="686" w:type="pct"/>
          </w:tcPr>
          <w:p w14:paraId="34A60AAD"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5.82</w:t>
            </w:r>
          </w:p>
        </w:tc>
        <w:tc>
          <w:tcPr>
            <w:tcW w:w="484" w:type="pct"/>
          </w:tcPr>
          <w:p w14:paraId="60F4664A"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0.002</w:t>
            </w:r>
          </w:p>
        </w:tc>
        <w:tc>
          <w:tcPr>
            <w:tcW w:w="662" w:type="pct"/>
          </w:tcPr>
          <w:p w14:paraId="1B04FDC0"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1.93</w:t>
            </w:r>
            <w:r w:rsidR="002F1605" w:rsidRPr="00E74730">
              <w:rPr>
                <w:rStyle w:val="result"/>
                <w:rFonts w:ascii="Book Antiqua" w:hAnsi="Book Antiqua"/>
                <w:color w:val="auto"/>
              </w:rPr>
              <w:t>-</w:t>
            </w:r>
            <w:r w:rsidRPr="00E74730">
              <w:rPr>
                <w:rStyle w:val="result"/>
                <w:rFonts w:ascii="Book Antiqua" w:hAnsi="Book Antiqua"/>
                <w:color w:val="auto"/>
              </w:rPr>
              <w:t>17.58</w:t>
            </w:r>
          </w:p>
        </w:tc>
      </w:tr>
      <w:tr w:rsidR="00E74730" w:rsidRPr="00E74730" w14:paraId="32562AD4" w14:textId="77777777" w:rsidTr="002F1605">
        <w:trPr>
          <w:trHeight w:val="377"/>
        </w:trPr>
        <w:tc>
          <w:tcPr>
            <w:tcW w:w="1433" w:type="pct"/>
          </w:tcPr>
          <w:p w14:paraId="4C42C08C" w14:textId="77777777" w:rsidR="00F64FCD" w:rsidRPr="00E74730" w:rsidRDefault="004E536D" w:rsidP="00E74730">
            <w:pPr>
              <w:snapToGrid w:val="0"/>
              <w:spacing w:line="360" w:lineRule="auto"/>
              <w:jc w:val="both"/>
              <w:rPr>
                <w:rFonts w:ascii="Book Antiqua" w:hAnsi="Book Antiqua"/>
              </w:rPr>
            </w:pPr>
            <w:r w:rsidRPr="00E74730">
              <w:rPr>
                <w:rFonts w:ascii="Book Antiqua" w:hAnsi="Book Antiqua"/>
              </w:rPr>
              <w:t>Duodenal ulcer</w:t>
            </w:r>
          </w:p>
        </w:tc>
        <w:tc>
          <w:tcPr>
            <w:tcW w:w="506" w:type="pct"/>
          </w:tcPr>
          <w:p w14:paraId="37E1AA94"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1.62</w:t>
            </w:r>
          </w:p>
        </w:tc>
        <w:tc>
          <w:tcPr>
            <w:tcW w:w="467" w:type="pct"/>
          </w:tcPr>
          <w:p w14:paraId="6759C2EF"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0.38</w:t>
            </w:r>
          </w:p>
        </w:tc>
        <w:tc>
          <w:tcPr>
            <w:tcW w:w="762" w:type="pct"/>
          </w:tcPr>
          <w:p w14:paraId="79983C7D" w14:textId="77777777" w:rsidR="00F64FCD" w:rsidRPr="00E74730" w:rsidRDefault="004E536D" w:rsidP="00E74730">
            <w:pPr>
              <w:snapToGrid w:val="0"/>
              <w:spacing w:line="360" w:lineRule="auto"/>
              <w:jc w:val="both"/>
              <w:rPr>
                <w:rFonts w:ascii="Book Antiqua" w:hAnsi="Book Antiqua"/>
              </w:rPr>
            </w:pPr>
            <w:r w:rsidRPr="00E74730">
              <w:rPr>
                <w:rStyle w:val="result"/>
                <w:rFonts w:ascii="Book Antiqua" w:hAnsi="Book Antiqua"/>
                <w:color w:val="auto"/>
              </w:rPr>
              <w:t>0.56</w:t>
            </w:r>
            <w:r w:rsidR="002F1605" w:rsidRPr="00E74730">
              <w:rPr>
                <w:rStyle w:val="result"/>
                <w:rFonts w:ascii="Book Antiqua" w:hAnsi="Book Antiqua"/>
                <w:color w:val="auto"/>
              </w:rPr>
              <w:t>-</w:t>
            </w:r>
            <w:r w:rsidRPr="00E74730">
              <w:rPr>
                <w:rStyle w:val="result"/>
                <w:rFonts w:ascii="Book Antiqua" w:hAnsi="Book Antiqua"/>
                <w:color w:val="auto"/>
              </w:rPr>
              <w:t>4.73</w:t>
            </w:r>
          </w:p>
        </w:tc>
        <w:tc>
          <w:tcPr>
            <w:tcW w:w="686" w:type="pct"/>
          </w:tcPr>
          <w:p w14:paraId="6055764D" w14:textId="77777777" w:rsidR="00F64FCD" w:rsidRPr="00E74730" w:rsidRDefault="00F64FCD" w:rsidP="00E74730">
            <w:pPr>
              <w:snapToGrid w:val="0"/>
              <w:spacing w:line="360" w:lineRule="auto"/>
              <w:jc w:val="both"/>
              <w:rPr>
                <w:rFonts w:ascii="Book Antiqua" w:hAnsi="Book Antiqua"/>
              </w:rPr>
            </w:pPr>
          </w:p>
        </w:tc>
        <w:tc>
          <w:tcPr>
            <w:tcW w:w="484" w:type="pct"/>
          </w:tcPr>
          <w:p w14:paraId="49A86195" w14:textId="77777777" w:rsidR="00F64FCD" w:rsidRPr="00E74730" w:rsidRDefault="00F64FCD" w:rsidP="00E74730">
            <w:pPr>
              <w:snapToGrid w:val="0"/>
              <w:spacing w:line="360" w:lineRule="auto"/>
              <w:jc w:val="both"/>
              <w:rPr>
                <w:rFonts w:ascii="Book Antiqua" w:hAnsi="Book Antiqua"/>
              </w:rPr>
            </w:pPr>
          </w:p>
        </w:tc>
        <w:tc>
          <w:tcPr>
            <w:tcW w:w="662" w:type="pct"/>
          </w:tcPr>
          <w:p w14:paraId="5BB46366" w14:textId="77777777" w:rsidR="00F64FCD" w:rsidRPr="00E74730" w:rsidRDefault="00F64FCD" w:rsidP="00E74730">
            <w:pPr>
              <w:snapToGrid w:val="0"/>
              <w:spacing w:line="360" w:lineRule="auto"/>
              <w:jc w:val="both"/>
              <w:rPr>
                <w:rFonts w:ascii="Book Antiqua" w:hAnsi="Book Antiqua"/>
              </w:rPr>
            </w:pPr>
          </w:p>
        </w:tc>
      </w:tr>
    </w:tbl>
    <w:p w14:paraId="2EB5DAA3" w14:textId="4B06F5C7" w:rsidR="00F64FCD" w:rsidRPr="00E74730" w:rsidRDefault="0075341F" w:rsidP="00E74730">
      <w:pPr>
        <w:snapToGrid w:val="0"/>
        <w:spacing w:line="360" w:lineRule="auto"/>
        <w:jc w:val="both"/>
        <w:rPr>
          <w:rFonts w:ascii="Book Antiqua" w:eastAsia="Book Antiqua" w:hAnsi="Book Antiqua" w:cs="Book Antiqua"/>
        </w:rPr>
      </w:pPr>
      <w:r w:rsidRPr="00E74730">
        <w:rPr>
          <w:rFonts w:ascii="Book Antiqua" w:hAnsi="Book Antiqua"/>
        </w:rPr>
        <w:t>CBD: Common bile duct</w:t>
      </w:r>
      <w:r>
        <w:rPr>
          <w:rFonts w:ascii="Book Antiqua" w:hAnsi="Book Antiqua"/>
        </w:rPr>
        <w:t>;</w:t>
      </w:r>
      <w:r w:rsidRPr="00E74730" w:rsidDel="0075341F">
        <w:rPr>
          <w:rFonts w:ascii="Book Antiqua" w:hAnsi="Book Antiqua"/>
        </w:rPr>
        <w:t xml:space="preserve"> </w:t>
      </w:r>
      <w:r w:rsidR="004E536D" w:rsidRPr="00E74730">
        <w:rPr>
          <w:rFonts w:ascii="Book Antiqua" w:hAnsi="Book Antiqua"/>
        </w:rPr>
        <w:t>CI: Confidence interval;</w:t>
      </w:r>
      <w:r w:rsidRPr="0075341F">
        <w:rPr>
          <w:rFonts w:ascii="Book Antiqua" w:hAnsi="Book Antiqua"/>
        </w:rPr>
        <w:t xml:space="preserve"> </w:t>
      </w:r>
      <w:r w:rsidRPr="00E74730">
        <w:rPr>
          <w:rFonts w:ascii="Book Antiqua" w:hAnsi="Book Antiqua"/>
        </w:rPr>
        <w:t>OR: Odds ratio</w:t>
      </w:r>
      <w:r>
        <w:rPr>
          <w:rFonts w:ascii="Book Antiqua" w:hAnsi="Book Antiqua"/>
        </w:rPr>
        <w:t>.</w:t>
      </w:r>
    </w:p>
    <w:sectPr w:rsidR="00F64FCD" w:rsidRPr="00E747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BDB54" w14:textId="77777777" w:rsidR="007A5D9A" w:rsidRDefault="007A5D9A" w:rsidP="009A475C">
      <w:r>
        <w:separator/>
      </w:r>
    </w:p>
  </w:endnote>
  <w:endnote w:type="continuationSeparator" w:id="0">
    <w:p w14:paraId="6B9F18C3" w14:textId="77777777" w:rsidR="007A5D9A" w:rsidRDefault="007A5D9A" w:rsidP="009A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MinionPro-Regular">
    <w:altName w:val="MS Gothic"/>
    <w:panose1 w:val="02040503050306020203"/>
    <w:charset w:val="88"/>
    <w:family w:val="auto"/>
    <w:notTrueType/>
    <w:pitch w:val="default"/>
    <w:sig w:usb0="00000001"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NewGalliard-Roman">
    <w:altName w:val="Microsoft JhengHei"/>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848600353"/>
      <w:docPartObj>
        <w:docPartGallery w:val="Page Numbers (Bottom of Page)"/>
        <w:docPartUnique/>
      </w:docPartObj>
    </w:sdtPr>
    <w:sdtEndPr>
      <w:rPr>
        <w:noProof/>
      </w:rPr>
    </w:sdtEndPr>
    <w:sdtContent>
      <w:p w14:paraId="6F1DFCFA" w14:textId="12988379" w:rsidR="00F30BAA" w:rsidRPr="003B506F" w:rsidRDefault="00F30BAA">
        <w:pPr>
          <w:pStyle w:val="a6"/>
          <w:jc w:val="right"/>
          <w:rPr>
            <w:rFonts w:ascii="Book Antiqua" w:hAnsi="Book Antiqua"/>
            <w:sz w:val="24"/>
            <w:szCs w:val="24"/>
          </w:rPr>
        </w:pPr>
        <w:r w:rsidRPr="003B506F">
          <w:rPr>
            <w:rFonts w:ascii="Book Antiqua" w:hAnsi="Book Antiqua"/>
            <w:sz w:val="24"/>
            <w:szCs w:val="24"/>
          </w:rPr>
          <w:fldChar w:fldCharType="begin"/>
        </w:r>
        <w:r w:rsidRPr="003B506F">
          <w:rPr>
            <w:rFonts w:ascii="Book Antiqua" w:hAnsi="Book Antiqua"/>
            <w:sz w:val="24"/>
            <w:szCs w:val="24"/>
          </w:rPr>
          <w:instrText xml:space="preserve"> PAGE   \* MERGEFORMAT </w:instrText>
        </w:r>
        <w:r w:rsidRPr="003B506F">
          <w:rPr>
            <w:rFonts w:ascii="Book Antiqua" w:hAnsi="Book Antiqua"/>
            <w:sz w:val="24"/>
            <w:szCs w:val="24"/>
          </w:rPr>
          <w:fldChar w:fldCharType="separate"/>
        </w:r>
        <w:r w:rsidR="007A5D9A">
          <w:rPr>
            <w:rFonts w:ascii="Book Antiqua" w:hAnsi="Book Antiqua"/>
            <w:noProof/>
            <w:sz w:val="24"/>
            <w:szCs w:val="24"/>
          </w:rPr>
          <w:t>1</w:t>
        </w:r>
        <w:r w:rsidRPr="003B506F">
          <w:rPr>
            <w:rFonts w:ascii="Book Antiqua" w:hAnsi="Book Antiqua"/>
            <w:noProof/>
            <w:sz w:val="24"/>
            <w:szCs w:val="24"/>
          </w:rPr>
          <w:fldChar w:fldCharType="end"/>
        </w:r>
        <w:r w:rsidR="00137290">
          <w:rPr>
            <w:rFonts w:ascii="Book Antiqua" w:hAnsi="Book Antiqua"/>
            <w:noProof/>
            <w:sz w:val="24"/>
            <w:szCs w:val="24"/>
          </w:rPr>
          <w:t xml:space="preserve"> </w:t>
        </w:r>
        <w:r w:rsidRPr="003B506F">
          <w:rPr>
            <w:rFonts w:ascii="Book Antiqua" w:hAnsi="Book Antiqua"/>
            <w:noProof/>
            <w:sz w:val="24"/>
            <w:szCs w:val="24"/>
          </w:rPr>
          <w:t>/</w:t>
        </w:r>
        <w:r w:rsidR="00137290">
          <w:rPr>
            <w:rFonts w:ascii="Book Antiqua" w:hAnsi="Book Antiqua"/>
            <w:noProof/>
            <w:sz w:val="24"/>
            <w:szCs w:val="24"/>
          </w:rPr>
          <w:t xml:space="preserve"> </w:t>
        </w:r>
        <w:r w:rsidRPr="003B506F">
          <w:rPr>
            <w:rFonts w:ascii="Book Antiqua" w:hAnsi="Book Antiqua"/>
            <w:noProof/>
            <w:sz w:val="24"/>
            <w:szCs w:val="24"/>
          </w:rPr>
          <w:t>25</w:t>
        </w:r>
      </w:p>
    </w:sdtContent>
  </w:sdt>
  <w:p w14:paraId="093E979A" w14:textId="77777777" w:rsidR="00F55FEC" w:rsidRDefault="00F55F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D8163" w14:textId="77777777" w:rsidR="007A5D9A" w:rsidRDefault="007A5D9A" w:rsidP="009A475C">
      <w:r>
        <w:separator/>
      </w:r>
    </w:p>
  </w:footnote>
  <w:footnote w:type="continuationSeparator" w:id="0">
    <w:p w14:paraId="5C293FB8" w14:textId="77777777" w:rsidR="007A5D9A" w:rsidRDefault="007A5D9A" w:rsidP="009A4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578"/>
    <w:rsid w:val="00046CB4"/>
    <w:rsid w:val="00067632"/>
    <w:rsid w:val="000C3DDD"/>
    <w:rsid w:val="000F0BB9"/>
    <w:rsid w:val="00110B52"/>
    <w:rsid w:val="00137290"/>
    <w:rsid w:val="00153384"/>
    <w:rsid w:val="00176070"/>
    <w:rsid w:val="00186E24"/>
    <w:rsid w:val="001A11E9"/>
    <w:rsid w:val="001C1930"/>
    <w:rsid w:val="00201244"/>
    <w:rsid w:val="00226137"/>
    <w:rsid w:val="00256F17"/>
    <w:rsid w:val="00271FDB"/>
    <w:rsid w:val="002771CD"/>
    <w:rsid w:val="00284869"/>
    <w:rsid w:val="002A0A39"/>
    <w:rsid w:val="002A3E2F"/>
    <w:rsid w:val="002C5C3B"/>
    <w:rsid w:val="002F1605"/>
    <w:rsid w:val="00314D47"/>
    <w:rsid w:val="00317551"/>
    <w:rsid w:val="0034070B"/>
    <w:rsid w:val="003471F8"/>
    <w:rsid w:val="003776C3"/>
    <w:rsid w:val="0038623F"/>
    <w:rsid w:val="003A731A"/>
    <w:rsid w:val="003B506F"/>
    <w:rsid w:val="0040631B"/>
    <w:rsid w:val="00410BB7"/>
    <w:rsid w:val="004222BB"/>
    <w:rsid w:val="00451A7C"/>
    <w:rsid w:val="004B77EF"/>
    <w:rsid w:val="004E536D"/>
    <w:rsid w:val="004F33D7"/>
    <w:rsid w:val="00503AB1"/>
    <w:rsid w:val="00526CB7"/>
    <w:rsid w:val="00546E70"/>
    <w:rsid w:val="00552220"/>
    <w:rsid w:val="00565B8A"/>
    <w:rsid w:val="005678EE"/>
    <w:rsid w:val="0058386C"/>
    <w:rsid w:val="005A4BBD"/>
    <w:rsid w:val="00600494"/>
    <w:rsid w:val="00655A8C"/>
    <w:rsid w:val="006825CD"/>
    <w:rsid w:val="00690729"/>
    <w:rsid w:val="006B569D"/>
    <w:rsid w:val="006F1566"/>
    <w:rsid w:val="0075341F"/>
    <w:rsid w:val="00775355"/>
    <w:rsid w:val="007772FD"/>
    <w:rsid w:val="007825AD"/>
    <w:rsid w:val="0079031C"/>
    <w:rsid w:val="007A2437"/>
    <w:rsid w:val="007A48A0"/>
    <w:rsid w:val="007A5D9A"/>
    <w:rsid w:val="007C20D9"/>
    <w:rsid w:val="007C2985"/>
    <w:rsid w:val="007D48EB"/>
    <w:rsid w:val="007E39E8"/>
    <w:rsid w:val="007F3E82"/>
    <w:rsid w:val="00843810"/>
    <w:rsid w:val="00861B9B"/>
    <w:rsid w:val="00885919"/>
    <w:rsid w:val="008931C6"/>
    <w:rsid w:val="00893588"/>
    <w:rsid w:val="00896453"/>
    <w:rsid w:val="008C7701"/>
    <w:rsid w:val="008E140A"/>
    <w:rsid w:val="00904B1D"/>
    <w:rsid w:val="0091392E"/>
    <w:rsid w:val="009226A9"/>
    <w:rsid w:val="00926510"/>
    <w:rsid w:val="0096227B"/>
    <w:rsid w:val="00975DC2"/>
    <w:rsid w:val="00984333"/>
    <w:rsid w:val="009A1A6A"/>
    <w:rsid w:val="009A475C"/>
    <w:rsid w:val="00A01923"/>
    <w:rsid w:val="00A11BB9"/>
    <w:rsid w:val="00A14FA0"/>
    <w:rsid w:val="00A32582"/>
    <w:rsid w:val="00A51B90"/>
    <w:rsid w:val="00A647C3"/>
    <w:rsid w:val="00A77B3E"/>
    <w:rsid w:val="00A95C47"/>
    <w:rsid w:val="00AB52C7"/>
    <w:rsid w:val="00AC393B"/>
    <w:rsid w:val="00AD6672"/>
    <w:rsid w:val="00AE0AF6"/>
    <w:rsid w:val="00AE4B47"/>
    <w:rsid w:val="00AE66D0"/>
    <w:rsid w:val="00AF04E6"/>
    <w:rsid w:val="00B11FF7"/>
    <w:rsid w:val="00B17ADF"/>
    <w:rsid w:val="00B2267A"/>
    <w:rsid w:val="00B2445D"/>
    <w:rsid w:val="00B305A8"/>
    <w:rsid w:val="00B81F24"/>
    <w:rsid w:val="00BF5FA8"/>
    <w:rsid w:val="00C0052D"/>
    <w:rsid w:val="00C26DA5"/>
    <w:rsid w:val="00C47E91"/>
    <w:rsid w:val="00C82D4A"/>
    <w:rsid w:val="00CA2A55"/>
    <w:rsid w:val="00CC38A8"/>
    <w:rsid w:val="00CE5C78"/>
    <w:rsid w:val="00D035BD"/>
    <w:rsid w:val="00D07923"/>
    <w:rsid w:val="00D10A5F"/>
    <w:rsid w:val="00D220C6"/>
    <w:rsid w:val="00D274BC"/>
    <w:rsid w:val="00D8197C"/>
    <w:rsid w:val="00D842D6"/>
    <w:rsid w:val="00D94254"/>
    <w:rsid w:val="00DA50C1"/>
    <w:rsid w:val="00DF0C80"/>
    <w:rsid w:val="00E13A89"/>
    <w:rsid w:val="00E21C1C"/>
    <w:rsid w:val="00E410AA"/>
    <w:rsid w:val="00E53A6F"/>
    <w:rsid w:val="00E74730"/>
    <w:rsid w:val="00E81611"/>
    <w:rsid w:val="00E95683"/>
    <w:rsid w:val="00EA0D18"/>
    <w:rsid w:val="00F171B6"/>
    <w:rsid w:val="00F2261B"/>
    <w:rsid w:val="00F30BAA"/>
    <w:rsid w:val="00F5060C"/>
    <w:rsid w:val="00F51C44"/>
    <w:rsid w:val="00F5456B"/>
    <w:rsid w:val="00F55FEC"/>
    <w:rsid w:val="00F64FCD"/>
    <w:rsid w:val="00F83757"/>
    <w:rsid w:val="00FC1A75"/>
    <w:rsid w:val="00FE7E24"/>
    <w:rsid w:val="025E2314"/>
    <w:rsid w:val="29D623C9"/>
    <w:rsid w:val="370C596E"/>
    <w:rsid w:val="45797ACF"/>
    <w:rsid w:val="46490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1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qFormat/>
    <w:pPr>
      <w:tabs>
        <w:tab w:val="center" w:pos="4153"/>
        <w:tab w:val="right" w:pos="8306"/>
      </w:tabs>
      <w:snapToGrid w:val="0"/>
    </w:pPr>
    <w:rPr>
      <w:sz w:val="20"/>
      <w:szCs w:val="20"/>
    </w:rPr>
  </w:style>
  <w:style w:type="table" w:styleId="a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Pr>
      <w:color w:val="0000FF"/>
      <w:u w:val="single"/>
    </w:rPr>
  </w:style>
  <w:style w:type="character" w:customStyle="1" w:styleId="result">
    <w:name w:val="result"/>
    <w:basedOn w:val="a0"/>
    <w:qFormat/>
    <w:rPr>
      <w:color w:val="000080"/>
    </w:rPr>
  </w:style>
  <w:style w:type="paragraph" w:styleId="a6">
    <w:name w:val="footer"/>
    <w:basedOn w:val="a"/>
    <w:link w:val="Char"/>
    <w:uiPriority w:val="99"/>
    <w:rsid w:val="009A475C"/>
    <w:pPr>
      <w:tabs>
        <w:tab w:val="center" w:pos="4153"/>
        <w:tab w:val="right" w:pos="8306"/>
      </w:tabs>
      <w:snapToGrid w:val="0"/>
    </w:pPr>
    <w:rPr>
      <w:sz w:val="18"/>
      <w:szCs w:val="18"/>
    </w:rPr>
  </w:style>
  <w:style w:type="character" w:customStyle="1" w:styleId="Char">
    <w:name w:val="页脚 Char"/>
    <w:basedOn w:val="a0"/>
    <w:link w:val="a6"/>
    <w:uiPriority w:val="99"/>
    <w:rsid w:val="009A475C"/>
    <w:rPr>
      <w:rFonts w:ascii="Times New Roman" w:eastAsia="Times New Roman" w:hAnsi="Times New Roman" w:cs="Times New Roman"/>
      <w:sz w:val="18"/>
      <w:szCs w:val="18"/>
      <w:lang w:eastAsia="en-US"/>
    </w:rPr>
  </w:style>
  <w:style w:type="paragraph" w:styleId="a7">
    <w:name w:val="Balloon Text"/>
    <w:basedOn w:val="a"/>
    <w:link w:val="Char0"/>
    <w:semiHidden/>
    <w:unhideWhenUsed/>
    <w:rsid w:val="00F30BAA"/>
    <w:rPr>
      <w:rFonts w:ascii="Segoe UI" w:hAnsi="Segoe UI" w:cs="Segoe UI"/>
      <w:sz w:val="18"/>
      <w:szCs w:val="18"/>
    </w:rPr>
  </w:style>
  <w:style w:type="character" w:customStyle="1" w:styleId="Char0">
    <w:name w:val="批注框文本 Char"/>
    <w:basedOn w:val="a0"/>
    <w:link w:val="a7"/>
    <w:semiHidden/>
    <w:rsid w:val="00F30BAA"/>
    <w:rPr>
      <w:rFonts w:ascii="Segoe UI" w:eastAsia="Times New Roman" w:hAnsi="Segoe UI" w:cs="Segoe UI"/>
      <w:sz w:val="18"/>
      <w:szCs w:val="18"/>
      <w:lang w:eastAsia="en-US"/>
    </w:rPr>
  </w:style>
  <w:style w:type="paragraph" w:styleId="a8">
    <w:name w:val="Revision"/>
    <w:hidden/>
    <w:uiPriority w:val="99"/>
    <w:semiHidden/>
    <w:rsid w:val="00F30BAA"/>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qFormat/>
    <w:pPr>
      <w:tabs>
        <w:tab w:val="center" w:pos="4153"/>
        <w:tab w:val="right" w:pos="8306"/>
      </w:tabs>
      <w:snapToGrid w:val="0"/>
    </w:pPr>
    <w:rPr>
      <w:sz w:val="20"/>
      <w:szCs w:val="20"/>
    </w:rPr>
  </w:style>
  <w:style w:type="table" w:styleId="a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Pr>
      <w:color w:val="0000FF"/>
      <w:u w:val="single"/>
    </w:rPr>
  </w:style>
  <w:style w:type="character" w:customStyle="1" w:styleId="result">
    <w:name w:val="result"/>
    <w:basedOn w:val="a0"/>
    <w:qFormat/>
    <w:rPr>
      <w:color w:val="000080"/>
    </w:rPr>
  </w:style>
  <w:style w:type="paragraph" w:styleId="a6">
    <w:name w:val="footer"/>
    <w:basedOn w:val="a"/>
    <w:link w:val="Char"/>
    <w:uiPriority w:val="99"/>
    <w:rsid w:val="009A475C"/>
    <w:pPr>
      <w:tabs>
        <w:tab w:val="center" w:pos="4153"/>
        <w:tab w:val="right" w:pos="8306"/>
      </w:tabs>
      <w:snapToGrid w:val="0"/>
    </w:pPr>
    <w:rPr>
      <w:sz w:val="18"/>
      <w:szCs w:val="18"/>
    </w:rPr>
  </w:style>
  <w:style w:type="character" w:customStyle="1" w:styleId="Char">
    <w:name w:val="页脚 Char"/>
    <w:basedOn w:val="a0"/>
    <w:link w:val="a6"/>
    <w:uiPriority w:val="99"/>
    <w:rsid w:val="009A475C"/>
    <w:rPr>
      <w:rFonts w:ascii="Times New Roman" w:eastAsia="Times New Roman" w:hAnsi="Times New Roman" w:cs="Times New Roman"/>
      <w:sz w:val="18"/>
      <w:szCs w:val="18"/>
      <w:lang w:eastAsia="en-US"/>
    </w:rPr>
  </w:style>
  <w:style w:type="paragraph" w:styleId="a7">
    <w:name w:val="Balloon Text"/>
    <w:basedOn w:val="a"/>
    <w:link w:val="Char0"/>
    <w:semiHidden/>
    <w:unhideWhenUsed/>
    <w:rsid w:val="00F30BAA"/>
    <w:rPr>
      <w:rFonts w:ascii="Segoe UI" w:hAnsi="Segoe UI" w:cs="Segoe UI"/>
      <w:sz w:val="18"/>
      <w:szCs w:val="18"/>
    </w:rPr>
  </w:style>
  <w:style w:type="character" w:customStyle="1" w:styleId="Char0">
    <w:name w:val="批注框文本 Char"/>
    <w:basedOn w:val="a0"/>
    <w:link w:val="a7"/>
    <w:semiHidden/>
    <w:rsid w:val="00F30BAA"/>
    <w:rPr>
      <w:rFonts w:ascii="Segoe UI" w:eastAsia="Times New Roman" w:hAnsi="Segoe UI" w:cs="Segoe UI"/>
      <w:sz w:val="18"/>
      <w:szCs w:val="18"/>
      <w:lang w:eastAsia="en-US"/>
    </w:rPr>
  </w:style>
  <w:style w:type="paragraph" w:styleId="a8">
    <w:name w:val="Revision"/>
    <w:hidden/>
    <w:uiPriority w:val="99"/>
    <w:semiHidden/>
    <w:rsid w:val="00F30BAA"/>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25</Pages>
  <Words>5230</Words>
  <Characters>29814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32</cp:revision>
  <dcterms:created xsi:type="dcterms:W3CDTF">2020-10-02T14:46:00Z</dcterms:created>
  <dcterms:modified xsi:type="dcterms:W3CDTF">2020-10-27T06:27:00Z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