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5DCAC"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Name of Journal: </w:t>
      </w:r>
      <w:r w:rsidRPr="002434A9">
        <w:rPr>
          <w:rFonts w:ascii="Book Antiqua" w:eastAsia="Book Antiqua" w:hAnsi="Book Antiqua" w:cs="Book Antiqua"/>
          <w:i/>
        </w:rPr>
        <w:t>World Journal of Clinical Cases</w:t>
      </w:r>
    </w:p>
    <w:p w14:paraId="231FB948"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Manuscript NO: </w:t>
      </w:r>
      <w:r w:rsidRPr="002434A9">
        <w:rPr>
          <w:rFonts w:ascii="Book Antiqua" w:eastAsia="Book Antiqua" w:hAnsi="Book Antiqua" w:cs="Book Antiqua"/>
        </w:rPr>
        <w:t>56855</w:t>
      </w:r>
    </w:p>
    <w:p w14:paraId="1313D04F"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Manuscript Type: </w:t>
      </w:r>
      <w:r w:rsidRPr="002434A9">
        <w:rPr>
          <w:rFonts w:ascii="Book Antiqua" w:eastAsia="Book Antiqua" w:hAnsi="Book Antiqua" w:cs="Book Antiqua"/>
        </w:rPr>
        <w:t>ORIGINAL ARTICLE</w:t>
      </w:r>
    </w:p>
    <w:p w14:paraId="7A2B0F4F" w14:textId="77777777" w:rsidR="00A77B3E" w:rsidRPr="00825E3C" w:rsidRDefault="00A77B3E" w:rsidP="002434A9">
      <w:pPr>
        <w:snapToGrid w:val="0"/>
        <w:spacing w:line="360" w:lineRule="auto"/>
        <w:jc w:val="both"/>
      </w:pPr>
    </w:p>
    <w:p w14:paraId="60F734C5"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Retrospective Cohort Study</w:t>
      </w:r>
    </w:p>
    <w:p w14:paraId="06B05923"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Remission of hepatotoxicity in chronic pulmonary aspergillosis patients after lowering trough concentration of voriconazole</w:t>
      </w:r>
    </w:p>
    <w:p w14:paraId="365858F3" w14:textId="77777777" w:rsidR="00A77B3E" w:rsidRPr="00825E3C" w:rsidRDefault="00A77B3E" w:rsidP="002434A9">
      <w:pPr>
        <w:snapToGrid w:val="0"/>
        <w:spacing w:line="360" w:lineRule="auto"/>
        <w:jc w:val="both"/>
      </w:pPr>
    </w:p>
    <w:p w14:paraId="765935D2" w14:textId="6CA18273" w:rsidR="00A77B3E" w:rsidRPr="00825E3C" w:rsidRDefault="00A16191" w:rsidP="002434A9">
      <w:pPr>
        <w:snapToGrid w:val="0"/>
        <w:spacing w:line="360" w:lineRule="auto"/>
        <w:jc w:val="both"/>
      </w:pPr>
      <w:r w:rsidRPr="002434A9">
        <w:rPr>
          <w:rFonts w:ascii="Book Antiqua" w:eastAsia="Book Antiqua" w:hAnsi="Book Antiqua" w:cs="Book Antiqua"/>
        </w:rPr>
        <w:t xml:space="preserve">Teng GJ </w:t>
      </w:r>
      <w:r w:rsidRPr="002434A9">
        <w:rPr>
          <w:rFonts w:ascii="Book Antiqua" w:eastAsia="Book Antiqua" w:hAnsi="Book Antiqua" w:cs="Book Antiqua"/>
          <w:i/>
          <w:iCs/>
        </w:rPr>
        <w:t>et al</w:t>
      </w:r>
      <w:r w:rsidRPr="002434A9">
        <w:rPr>
          <w:rFonts w:ascii="Book Antiqua" w:eastAsia="Book Antiqua" w:hAnsi="Book Antiqua" w:cs="Book Antiqua"/>
        </w:rPr>
        <w:t xml:space="preserve">. </w:t>
      </w:r>
      <w:r w:rsidR="00F015E4" w:rsidRPr="002434A9">
        <w:rPr>
          <w:rFonts w:ascii="Book Antiqua" w:eastAsia="Book Antiqua" w:hAnsi="Book Antiqua" w:cs="Book Antiqua"/>
        </w:rPr>
        <w:t>Hepatotoxicity and concentration of voriconazole</w:t>
      </w:r>
    </w:p>
    <w:p w14:paraId="5772A76F" w14:textId="77777777" w:rsidR="00A77B3E" w:rsidRPr="00825E3C" w:rsidRDefault="00A77B3E" w:rsidP="002434A9">
      <w:pPr>
        <w:snapToGrid w:val="0"/>
        <w:spacing w:line="360" w:lineRule="auto"/>
        <w:jc w:val="both"/>
      </w:pPr>
    </w:p>
    <w:p w14:paraId="648E27C3" w14:textId="77777777" w:rsidR="00A77B3E" w:rsidRPr="00825E3C" w:rsidRDefault="00A16191" w:rsidP="002434A9">
      <w:pPr>
        <w:snapToGrid w:val="0"/>
        <w:spacing w:line="360" w:lineRule="auto"/>
        <w:jc w:val="both"/>
      </w:pPr>
      <w:r w:rsidRPr="002434A9">
        <w:rPr>
          <w:rFonts w:ascii="Book Antiqua" w:eastAsia="Book Antiqua" w:hAnsi="Book Antiqua" w:cs="Book Antiqua"/>
        </w:rPr>
        <w:t>Guo-Jie Teng, Xiang-Rong Bai, Lin Zhang, Hong-Jun Liu, Xiu-Hong Nie</w:t>
      </w:r>
    </w:p>
    <w:p w14:paraId="3C9846E5" w14:textId="77777777" w:rsidR="00A77B3E" w:rsidRPr="00825E3C" w:rsidRDefault="00A77B3E" w:rsidP="002434A9">
      <w:pPr>
        <w:snapToGrid w:val="0"/>
        <w:spacing w:line="360" w:lineRule="auto"/>
        <w:jc w:val="both"/>
      </w:pPr>
    </w:p>
    <w:p w14:paraId="38E49DFA"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Guo-Jie Teng, Lin Zhang, Xiu-Hong Nie, </w:t>
      </w:r>
      <w:r w:rsidRPr="002434A9">
        <w:rPr>
          <w:rFonts w:ascii="Book Antiqua" w:eastAsia="Book Antiqua" w:hAnsi="Book Antiqua" w:cs="Book Antiqua"/>
        </w:rPr>
        <w:t>Department of Pulmonary and Critical Care Medicine, Xuanwu Hospital Capital Medical University, Beijing 100053, China</w:t>
      </w:r>
    </w:p>
    <w:p w14:paraId="358D510B" w14:textId="77777777" w:rsidR="00A77B3E" w:rsidRPr="00825E3C" w:rsidRDefault="00A77B3E" w:rsidP="002434A9">
      <w:pPr>
        <w:snapToGrid w:val="0"/>
        <w:spacing w:line="360" w:lineRule="auto"/>
        <w:jc w:val="both"/>
      </w:pPr>
    </w:p>
    <w:p w14:paraId="096AE8F1"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Xiang-Rong Bai, </w:t>
      </w:r>
      <w:r w:rsidRPr="002434A9">
        <w:rPr>
          <w:rFonts w:ascii="Book Antiqua" w:eastAsia="Book Antiqua" w:hAnsi="Book Antiqua" w:cs="Book Antiqua"/>
        </w:rPr>
        <w:t>Pharmacy Department, Xuanwu Hospital Capital Medical University, Beijing 100053, China</w:t>
      </w:r>
    </w:p>
    <w:p w14:paraId="65772623" w14:textId="77777777" w:rsidR="00A77B3E" w:rsidRPr="00825E3C" w:rsidRDefault="00A77B3E" w:rsidP="002434A9">
      <w:pPr>
        <w:snapToGrid w:val="0"/>
        <w:spacing w:line="360" w:lineRule="auto"/>
        <w:jc w:val="both"/>
      </w:pPr>
    </w:p>
    <w:p w14:paraId="26FEFC96"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Hong-Jun Liu, </w:t>
      </w:r>
      <w:r w:rsidRPr="002434A9">
        <w:rPr>
          <w:rFonts w:ascii="Book Antiqua" w:eastAsia="Book Antiqua" w:hAnsi="Book Antiqua" w:cs="Book Antiqua"/>
        </w:rPr>
        <w:t>Department of Evidence-based Medicine, Xuanwu Hospital Capital Medical University, Beijing, China, Beijing 100053, China</w:t>
      </w:r>
    </w:p>
    <w:p w14:paraId="1F2CC13D" w14:textId="77777777" w:rsidR="00A77B3E" w:rsidRPr="00825E3C" w:rsidRDefault="00A77B3E" w:rsidP="002434A9">
      <w:pPr>
        <w:snapToGrid w:val="0"/>
        <w:spacing w:line="360" w:lineRule="auto"/>
        <w:jc w:val="both"/>
      </w:pPr>
    </w:p>
    <w:p w14:paraId="12FE0439" w14:textId="2AB9F556"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Author contributions: </w:t>
      </w:r>
      <w:r w:rsidRPr="002434A9">
        <w:rPr>
          <w:rFonts w:ascii="Book Antiqua" w:eastAsia="Book Antiqua" w:hAnsi="Book Antiqua" w:cs="Book Antiqua"/>
        </w:rPr>
        <w:t>Teng GJ and Bai XR performed the diagnostic investigations and treatments; Teng GJ and Zhang L acquired the data and contributed to manuscript drafting; Teng GJ and Liu HJ w</w:t>
      </w:r>
      <w:r w:rsidR="00D937F1" w:rsidRPr="002434A9">
        <w:rPr>
          <w:rFonts w:ascii="Book Antiqua" w:eastAsia="Book Antiqua" w:hAnsi="Book Antiqua" w:cs="Book Antiqua"/>
        </w:rPr>
        <w:t>ere</w:t>
      </w:r>
      <w:r w:rsidRPr="002434A9">
        <w:rPr>
          <w:rFonts w:ascii="Book Antiqua" w:eastAsia="Book Antiqua" w:hAnsi="Book Antiqua" w:cs="Book Antiqua"/>
        </w:rPr>
        <w:t xml:space="preserve"> responsible for the statistics; Nie XH was responsible for </w:t>
      </w:r>
      <w:r w:rsidR="00D937F1" w:rsidRPr="002434A9">
        <w:rPr>
          <w:rFonts w:ascii="Book Antiqua" w:eastAsia="Book Antiqua" w:hAnsi="Book Antiqua" w:cs="Book Antiqua"/>
        </w:rPr>
        <w:t xml:space="preserve">revising </w:t>
      </w:r>
      <w:r w:rsidRPr="002434A9">
        <w:rPr>
          <w:rFonts w:ascii="Book Antiqua" w:eastAsia="Book Antiqua" w:hAnsi="Book Antiqua" w:cs="Book Antiqua"/>
        </w:rPr>
        <w:t xml:space="preserve">the manuscript for important intellectual content; </w:t>
      </w:r>
      <w:r w:rsidR="00D937F1" w:rsidRPr="002434A9">
        <w:rPr>
          <w:rFonts w:ascii="Book Antiqua" w:eastAsia="Book Antiqua" w:hAnsi="Book Antiqua" w:cs="Book Antiqua"/>
        </w:rPr>
        <w:t>A</w:t>
      </w:r>
      <w:r w:rsidRPr="002434A9">
        <w:rPr>
          <w:rFonts w:ascii="Book Antiqua" w:eastAsia="Book Antiqua" w:hAnsi="Book Antiqua" w:cs="Book Antiqua"/>
        </w:rPr>
        <w:t>ll authors issued final approval for the version to be submitted.</w:t>
      </w:r>
    </w:p>
    <w:p w14:paraId="35F4C7FD" w14:textId="77777777" w:rsidR="00A77B3E" w:rsidRPr="00825E3C" w:rsidRDefault="00A77B3E" w:rsidP="002434A9">
      <w:pPr>
        <w:snapToGrid w:val="0"/>
        <w:spacing w:line="360" w:lineRule="auto"/>
        <w:jc w:val="both"/>
      </w:pPr>
    </w:p>
    <w:p w14:paraId="0AA9011E"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Corresponding author: Xiu-Hong Nie, PhD, Chief Doctor, </w:t>
      </w:r>
      <w:r w:rsidRPr="002434A9">
        <w:rPr>
          <w:rFonts w:ascii="Book Antiqua" w:eastAsia="Book Antiqua" w:hAnsi="Book Antiqua" w:cs="Book Antiqua"/>
        </w:rPr>
        <w:t>Department of Pulmonary and Critical Care Medicine, Xuanwu Hospital Capital Medical University, No. 45 Changchun Street, Xicheng District, Beijing 100053, China. xiuhongnie@126.com</w:t>
      </w:r>
    </w:p>
    <w:p w14:paraId="109C84F6" w14:textId="77777777" w:rsidR="00A77B3E" w:rsidRPr="00825E3C" w:rsidRDefault="00A77B3E" w:rsidP="002434A9">
      <w:pPr>
        <w:snapToGrid w:val="0"/>
        <w:spacing w:line="360" w:lineRule="auto"/>
        <w:jc w:val="both"/>
      </w:pPr>
    </w:p>
    <w:p w14:paraId="5FA59986"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Received: </w:t>
      </w:r>
      <w:r w:rsidRPr="002434A9">
        <w:rPr>
          <w:rFonts w:ascii="Book Antiqua" w:eastAsia="Book Antiqua" w:hAnsi="Book Antiqua" w:cs="Book Antiqua"/>
        </w:rPr>
        <w:t>May 17, 2020</w:t>
      </w:r>
    </w:p>
    <w:p w14:paraId="6EFF8072"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Revised: </w:t>
      </w:r>
      <w:r w:rsidRPr="002434A9">
        <w:rPr>
          <w:rFonts w:ascii="Book Antiqua" w:eastAsia="Book Antiqua" w:hAnsi="Book Antiqua" w:cs="Book Antiqua"/>
        </w:rPr>
        <w:t>July 29, 2020</w:t>
      </w:r>
    </w:p>
    <w:p w14:paraId="5AEF7C4A" w14:textId="383AA075" w:rsidR="00A77B3E" w:rsidRPr="002434A9" w:rsidRDefault="00A16191" w:rsidP="002434A9">
      <w:pPr>
        <w:snapToGrid w:val="0"/>
        <w:spacing w:line="360" w:lineRule="auto"/>
        <w:jc w:val="both"/>
        <w:rPr>
          <w:rFonts w:ascii="Book Antiqua" w:hAnsi="Book Antiqua" w:cs="Arial"/>
          <w:shd w:val="clear" w:color="auto" w:fill="FFFFFF"/>
        </w:rPr>
      </w:pPr>
      <w:r w:rsidRPr="002434A9">
        <w:rPr>
          <w:rFonts w:ascii="Book Antiqua" w:eastAsia="Book Antiqua" w:hAnsi="Book Antiqua" w:cs="Book Antiqua"/>
          <w:b/>
          <w:bCs/>
        </w:rPr>
        <w:t xml:space="preserve">Accepted: </w:t>
      </w:r>
      <w:r w:rsidR="0085642F" w:rsidRPr="002434A9">
        <w:rPr>
          <w:rFonts w:ascii="Book Antiqua" w:hAnsi="Book Antiqua" w:cs="Arial"/>
          <w:shd w:val="clear" w:color="auto" w:fill="FFFFFF"/>
        </w:rPr>
        <w:t>September 1, 2020</w:t>
      </w:r>
    </w:p>
    <w:p w14:paraId="30800BDC" w14:textId="25623115"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Published online: </w:t>
      </w:r>
      <w:r w:rsidR="00046D4A" w:rsidRPr="004F5AA1">
        <w:rPr>
          <w:rFonts w:ascii="Book Antiqua" w:eastAsia="Book Antiqua" w:hAnsi="Book Antiqua" w:cs="Book Antiqua"/>
          <w:bCs/>
          <w:color w:val="000000"/>
        </w:rPr>
        <w:t>October</w:t>
      </w:r>
      <w:r w:rsidR="00046D4A" w:rsidRPr="004F5AA1">
        <w:rPr>
          <w:rFonts w:ascii="Book Antiqua" w:hAnsi="Book Antiqua" w:cs="Book Antiqua" w:hint="eastAsia"/>
          <w:bCs/>
          <w:color w:val="000000"/>
          <w:lang w:eastAsia="zh-CN"/>
        </w:rPr>
        <w:t xml:space="preserve"> 26, 2020</w:t>
      </w:r>
    </w:p>
    <w:p w14:paraId="3B53BCC1" w14:textId="77777777" w:rsidR="003F618A" w:rsidRDefault="003F618A" w:rsidP="002434A9">
      <w:pPr>
        <w:snapToGrid w:val="0"/>
        <w:spacing w:line="360" w:lineRule="auto"/>
        <w:jc w:val="both"/>
        <w:sectPr w:rsidR="003F618A">
          <w:footerReference w:type="default" r:id="rId7"/>
          <w:pgSz w:w="12240" w:h="15840"/>
          <w:pgMar w:top="1440" w:right="1440" w:bottom="1440" w:left="1440" w:header="720" w:footer="720" w:gutter="0"/>
          <w:cols w:space="720"/>
          <w:docGrid w:linePitch="360"/>
        </w:sectPr>
      </w:pPr>
    </w:p>
    <w:p w14:paraId="167D1D0B"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Abstract</w:t>
      </w:r>
    </w:p>
    <w:p w14:paraId="58CFFC2C" w14:textId="77777777" w:rsidR="00A77B3E" w:rsidRPr="00825E3C" w:rsidRDefault="00A16191" w:rsidP="002434A9">
      <w:pPr>
        <w:snapToGrid w:val="0"/>
        <w:spacing w:line="360" w:lineRule="auto"/>
        <w:jc w:val="both"/>
      </w:pPr>
      <w:r w:rsidRPr="002434A9">
        <w:rPr>
          <w:rFonts w:ascii="Book Antiqua" w:eastAsia="Book Antiqua" w:hAnsi="Book Antiqua" w:cs="Book Antiqua"/>
        </w:rPr>
        <w:t>BACKGROUND</w:t>
      </w:r>
    </w:p>
    <w:p w14:paraId="3E0A0145" w14:textId="64463539" w:rsidR="00A77B3E" w:rsidRPr="00825E3C" w:rsidRDefault="00A16191" w:rsidP="002434A9">
      <w:pPr>
        <w:snapToGrid w:val="0"/>
        <w:spacing w:line="360" w:lineRule="auto"/>
        <w:jc w:val="both"/>
      </w:pPr>
      <w:r w:rsidRPr="002434A9">
        <w:rPr>
          <w:rFonts w:ascii="Book Antiqua" w:eastAsia="Book Antiqua" w:hAnsi="Book Antiqua" w:cs="Book Antiqua"/>
        </w:rPr>
        <w:t>Chronic pulmonary aspergillosis</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(CPA) is a rare syndrome </w:t>
      </w:r>
      <w:r w:rsidR="00D9289F" w:rsidRPr="002434A9">
        <w:rPr>
          <w:rFonts w:ascii="Book Antiqua" w:eastAsia="Book Antiqua" w:hAnsi="Book Antiqua" w:cs="Book Antiqua"/>
        </w:rPr>
        <w:t xml:space="preserve">that </w:t>
      </w:r>
      <w:r w:rsidRPr="002434A9">
        <w:rPr>
          <w:rFonts w:ascii="Book Antiqua" w:eastAsia="Book Antiqua" w:hAnsi="Book Antiqua" w:cs="Book Antiqua"/>
        </w:rPr>
        <w:t>is often accompanied by gradual lung tissue destruction. Voriconazole is usually employed as the first-line agent for CPA treatment. However, some patients can develop hepatotoxicity and often were forced to stop voriconazole treatment.</w:t>
      </w:r>
    </w:p>
    <w:p w14:paraId="20DF9361" w14:textId="77777777" w:rsidR="00A77B3E" w:rsidRPr="00825E3C" w:rsidRDefault="00A77B3E" w:rsidP="002434A9">
      <w:pPr>
        <w:snapToGrid w:val="0"/>
        <w:spacing w:line="360" w:lineRule="auto"/>
        <w:jc w:val="both"/>
      </w:pPr>
    </w:p>
    <w:p w14:paraId="3C25A583" w14:textId="77777777" w:rsidR="00A77B3E" w:rsidRPr="00825E3C" w:rsidRDefault="00A16191" w:rsidP="002434A9">
      <w:pPr>
        <w:snapToGrid w:val="0"/>
        <w:spacing w:line="360" w:lineRule="auto"/>
        <w:jc w:val="both"/>
      </w:pPr>
      <w:r w:rsidRPr="002434A9">
        <w:rPr>
          <w:rFonts w:ascii="Book Antiqua" w:eastAsia="Book Antiqua" w:hAnsi="Book Antiqua" w:cs="Book Antiqua"/>
        </w:rPr>
        <w:t>AIM</w:t>
      </w:r>
    </w:p>
    <w:p w14:paraId="0B4B720D"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To record the improving trend of liver function and the therapeutic effects in patients after lowering the trough concentration of voriconazole. </w:t>
      </w:r>
    </w:p>
    <w:p w14:paraId="68631FEE" w14:textId="77777777" w:rsidR="00A77B3E" w:rsidRPr="00825E3C" w:rsidRDefault="00A77B3E" w:rsidP="002434A9">
      <w:pPr>
        <w:snapToGrid w:val="0"/>
        <w:spacing w:line="360" w:lineRule="auto"/>
        <w:jc w:val="both"/>
      </w:pPr>
    </w:p>
    <w:p w14:paraId="3DCCEB0B" w14:textId="77777777" w:rsidR="00A77B3E" w:rsidRPr="00825E3C" w:rsidRDefault="00A16191" w:rsidP="002434A9">
      <w:pPr>
        <w:snapToGrid w:val="0"/>
        <w:spacing w:line="360" w:lineRule="auto"/>
        <w:jc w:val="both"/>
      </w:pPr>
      <w:r w:rsidRPr="002434A9">
        <w:rPr>
          <w:rFonts w:ascii="Book Antiqua" w:eastAsia="Book Antiqua" w:hAnsi="Book Antiqua" w:cs="Book Antiqua"/>
        </w:rPr>
        <w:t>METHODS</w:t>
      </w:r>
    </w:p>
    <w:p w14:paraId="7961C8F4" w14:textId="64F69FD6" w:rsidR="00A77B3E" w:rsidRPr="00825E3C" w:rsidRDefault="00A16191" w:rsidP="002434A9">
      <w:pPr>
        <w:snapToGrid w:val="0"/>
        <w:spacing w:line="360" w:lineRule="auto"/>
        <w:jc w:val="both"/>
      </w:pPr>
      <w:r w:rsidRPr="002434A9">
        <w:rPr>
          <w:rFonts w:ascii="Book Antiqua" w:eastAsia="Book Antiqua" w:hAnsi="Book Antiqua" w:cs="Book Antiqua"/>
        </w:rPr>
        <w:t>This study retrospectively analyzed 12 adult CPA patients who developed hepatotoxicity during the voriconazole treatment. In these patients, the oral dose was reduced to 3/4 or 1/2 of the standard dose (4</w:t>
      </w:r>
      <w:r w:rsidR="00163F6D" w:rsidRPr="002434A9">
        <w:rPr>
          <w:rFonts w:ascii="Book Antiqua" w:eastAsia="Book Antiqua" w:hAnsi="Book Antiqua" w:cs="Book Antiqua"/>
        </w:rPr>
        <w:t xml:space="preserve"> </w:t>
      </w:r>
      <w:r w:rsidRPr="002434A9">
        <w:rPr>
          <w:rFonts w:ascii="Book Antiqua" w:eastAsia="Book Antiqua" w:hAnsi="Book Antiqua" w:cs="Book Antiqua"/>
        </w:rPr>
        <w:t xml:space="preserve">mg/kg, twice daily), and the lower limit of voriconazole trough concentration was maintained more than 0.5 µg/mL. The trend of remission of liver toxicity after drug reduction in 12 patients was recorded. During the same period, 25 patients who received standard doses served as the control group. Data from the two groups were collected and analyzed for different parameters such as demographic characteristics, underlying pulmonary disorders, laboratory tests, </w:t>
      </w:r>
      <w:r w:rsidR="00D9289F" w:rsidRPr="002434A9">
        <w:rPr>
          <w:rFonts w:ascii="Book Antiqua" w:eastAsia="Book Antiqua" w:hAnsi="Book Antiqua" w:cs="Book Antiqua"/>
        </w:rPr>
        <w:t xml:space="preserve">and </w:t>
      </w:r>
      <w:r w:rsidRPr="002434A9">
        <w:rPr>
          <w:rFonts w:ascii="Book Antiqua" w:eastAsia="Book Antiqua" w:hAnsi="Book Antiqua" w:cs="Book Antiqua"/>
        </w:rPr>
        <w:t>therapeutic effect. The differences between the two groups were statistically compared.</w:t>
      </w:r>
    </w:p>
    <w:p w14:paraId="37672F2E" w14:textId="77777777" w:rsidR="00A77B3E" w:rsidRPr="00825E3C" w:rsidRDefault="00A77B3E" w:rsidP="002434A9">
      <w:pPr>
        <w:snapToGrid w:val="0"/>
        <w:spacing w:line="360" w:lineRule="auto"/>
        <w:jc w:val="both"/>
      </w:pPr>
    </w:p>
    <w:p w14:paraId="0C89B8FA" w14:textId="77777777" w:rsidR="00A77B3E" w:rsidRPr="00825E3C" w:rsidRDefault="00A16191" w:rsidP="002434A9">
      <w:pPr>
        <w:snapToGrid w:val="0"/>
        <w:spacing w:line="360" w:lineRule="auto"/>
        <w:jc w:val="both"/>
      </w:pPr>
      <w:r w:rsidRPr="002434A9">
        <w:rPr>
          <w:rFonts w:ascii="Book Antiqua" w:eastAsia="Book Antiqua" w:hAnsi="Book Antiqua" w:cs="Book Antiqua"/>
        </w:rPr>
        <w:t>RESULTS</w:t>
      </w:r>
    </w:p>
    <w:p w14:paraId="1A8A0A51" w14:textId="1304359E" w:rsidR="00A77B3E" w:rsidRPr="00825E3C" w:rsidRDefault="00A16191" w:rsidP="002434A9">
      <w:pPr>
        <w:snapToGrid w:val="0"/>
        <w:spacing w:line="360" w:lineRule="auto"/>
        <w:jc w:val="both"/>
      </w:pPr>
      <w:r w:rsidRPr="002434A9">
        <w:rPr>
          <w:rFonts w:ascii="Book Antiqua" w:eastAsia="Book Antiqua" w:hAnsi="Book Antiqua" w:cs="Book Antiqua"/>
        </w:rPr>
        <w:t>Hepatotoxicity occurred in 12 patients within 28</w:t>
      </w:r>
      <w:r w:rsidR="00163F6D" w:rsidRPr="002434A9">
        <w:rPr>
          <w:rFonts w:ascii="Book Antiqua" w:eastAsia="Book Antiqua" w:hAnsi="Book Antiqua" w:cs="Book Antiqua"/>
        </w:rPr>
        <w:t>-</w:t>
      </w:r>
      <w:r w:rsidRPr="002434A9">
        <w:rPr>
          <w:rFonts w:ascii="Book Antiqua" w:eastAsia="Book Antiqua" w:hAnsi="Book Antiqua" w:cs="Book Antiqua"/>
        </w:rPr>
        <w:t>65 d after oral voriconazole treatment. Hepatotoxicity was mainly manifested by the significantly increased level of gamma-glutamyltransferase and a slight increase of alanine aminotransferase and aspartate aminotransferase. The oral dose of voriconazole was reduced to approximately 3</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D9289F" w:rsidRPr="002434A9">
        <w:rPr>
          <w:rFonts w:ascii="Book Antiqua" w:eastAsia="Book Antiqua" w:hAnsi="Book Antiqua" w:cs="Book Antiqua"/>
        </w:rPr>
        <w:t xml:space="preserve">seven </w:t>
      </w:r>
      <w:r w:rsidRPr="002434A9">
        <w:rPr>
          <w:rFonts w:ascii="Book Antiqua" w:eastAsia="Book Antiqua" w:hAnsi="Book Antiqua" w:cs="Book Antiqua"/>
        </w:rPr>
        <w:t>patients and approximately 2</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D9289F" w:rsidRPr="002434A9">
        <w:rPr>
          <w:rFonts w:ascii="Book Antiqua" w:eastAsia="Book Antiqua" w:hAnsi="Book Antiqua" w:cs="Book Antiqua"/>
        </w:rPr>
        <w:t>five</w:t>
      </w:r>
      <w:r w:rsidRPr="002434A9">
        <w:rPr>
          <w:rFonts w:ascii="Book Antiqua" w:eastAsia="Book Antiqua" w:hAnsi="Book Antiqua" w:cs="Book Antiqua"/>
        </w:rPr>
        <w:t xml:space="preserve"> patients. The average trough concentrations for the 12 patients before and after voriconazole oral dose reduction were 3.17 ±</w:t>
      </w:r>
      <w:r w:rsidR="005B1CA8" w:rsidRPr="002434A9">
        <w:rPr>
          <w:rFonts w:ascii="Book Antiqua" w:eastAsia="Book Antiqua" w:hAnsi="Book Antiqua" w:cs="Book Antiqua"/>
        </w:rPr>
        <w:t xml:space="preserve"> </w:t>
      </w:r>
      <w:r w:rsidRPr="002434A9">
        <w:rPr>
          <w:rFonts w:ascii="Book Antiqua" w:eastAsia="Book Antiqua" w:hAnsi="Book Antiqua" w:cs="Book Antiqua"/>
        </w:rPr>
        <w:t>1.47 µg/m</w:t>
      </w:r>
      <w:r w:rsidR="00F84E56" w:rsidRPr="002434A9">
        <w:rPr>
          <w:rFonts w:ascii="Book Antiqua" w:eastAsia="Book Antiqua" w:hAnsi="Book Antiqua" w:cs="Book Antiqua"/>
        </w:rPr>
        <w:t>L</w:t>
      </w:r>
      <w:r w:rsidRPr="002434A9">
        <w:rPr>
          <w:rFonts w:ascii="Book Antiqua" w:eastAsia="Book Antiqua" w:hAnsi="Book Antiqua" w:cs="Book Antiqua"/>
        </w:rPr>
        <w:t xml:space="preserve"> (1.5-6.0 µg/mL) and 1.70 ±</w:t>
      </w:r>
      <w:r w:rsidR="005B1CA8" w:rsidRPr="002434A9">
        <w:rPr>
          <w:rFonts w:ascii="Book Antiqua" w:eastAsia="Book Antiqua" w:hAnsi="Book Antiqua" w:cs="Book Antiqua"/>
        </w:rPr>
        <w:t xml:space="preserve"> </w:t>
      </w:r>
      <w:r w:rsidRPr="002434A9">
        <w:rPr>
          <w:rFonts w:ascii="Book Antiqua" w:eastAsia="Book Antiqua" w:hAnsi="Book Antiqua" w:cs="Book Antiqua"/>
        </w:rPr>
        <w:t>0.78 µg/m</w:t>
      </w:r>
      <w:r w:rsidR="00F84E56" w:rsidRPr="002434A9">
        <w:rPr>
          <w:rFonts w:ascii="Book Antiqua" w:eastAsia="Book Antiqua" w:hAnsi="Book Antiqua" w:cs="Book Antiqua"/>
        </w:rPr>
        <w:t>L</w:t>
      </w:r>
      <w:r w:rsidRPr="002434A9">
        <w:rPr>
          <w:rFonts w:ascii="Book Antiqua" w:eastAsia="Book Antiqua" w:hAnsi="Book Antiqua" w:cs="Book Antiqua"/>
        </w:rPr>
        <w:t xml:space="preserve"> (0.6-3.3 µg/mL), respectively (</w:t>
      </w:r>
      <w:r w:rsidR="005B1CA8" w:rsidRPr="002434A9">
        <w:rPr>
          <w:rFonts w:ascii="Book Antiqua" w:eastAsia="Book Antiqua" w:hAnsi="Book Antiqua" w:cs="Book Antiqua"/>
          <w:i/>
          <w:iCs/>
        </w:rPr>
        <w:t>P</w:t>
      </w:r>
      <w:r w:rsidR="009C212B" w:rsidRPr="002434A9">
        <w:rPr>
          <w:rFonts w:ascii="Book Antiqua" w:eastAsia="Book Antiqua" w:hAnsi="Book Antiqua" w:cs="Book Antiqua"/>
        </w:rPr>
        <w:t xml:space="preserve"> </w:t>
      </w:r>
      <w:r w:rsidRPr="002434A9">
        <w:rPr>
          <w:rFonts w:ascii="Book Antiqua" w:eastAsia="Book Antiqua" w:hAnsi="Book Antiqua" w:cs="Book Antiqua"/>
        </w:rPr>
        <w:t xml:space="preserve">= 0.02). After lowering the trough concentrations, the hepatotoxicity was alleviated in all the patients. However, </w:t>
      </w:r>
      <w:r w:rsidR="00163F6D" w:rsidRPr="002434A9">
        <w:rPr>
          <w:rFonts w:ascii="Book Antiqua" w:eastAsia="Book Antiqua" w:hAnsi="Book Antiqua" w:cs="Book Antiqua"/>
        </w:rPr>
        <w:t>gamma-glutamyltransferase</w:t>
      </w:r>
      <w:r w:rsidRPr="002434A9">
        <w:rPr>
          <w:rFonts w:ascii="Book Antiqua" w:eastAsia="Book Antiqua" w:hAnsi="Book Antiqua" w:cs="Book Antiqua"/>
        </w:rPr>
        <w:t xml:space="preserve"> levels declined slowly. After 4 mo of treatment, 7 of the 12 patients </w:t>
      </w:r>
      <w:r w:rsidR="00D9289F" w:rsidRPr="002434A9">
        <w:rPr>
          <w:rFonts w:ascii="Book Antiqua" w:eastAsia="Book Antiqua" w:hAnsi="Book Antiqua" w:cs="Book Antiqua"/>
        </w:rPr>
        <w:t xml:space="preserve">were </w:t>
      </w:r>
      <w:r w:rsidRPr="002434A9">
        <w:rPr>
          <w:rFonts w:ascii="Book Antiqua" w:eastAsia="Book Antiqua" w:hAnsi="Book Antiqua" w:cs="Book Antiqua"/>
        </w:rPr>
        <w:t>successful</w:t>
      </w:r>
      <w:r w:rsidR="00D9289F" w:rsidRPr="002434A9">
        <w:rPr>
          <w:rFonts w:ascii="Book Antiqua" w:eastAsia="Book Antiqua" w:hAnsi="Book Antiqua" w:cs="Book Antiqua"/>
        </w:rPr>
        <w:t>ly</w:t>
      </w:r>
      <w:r w:rsidRPr="002434A9">
        <w:rPr>
          <w:rFonts w:ascii="Book Antiqua" w:eastAsia="Book Antiqua" w:hAnsi="Book Antiqua" w:cs="Book Antiqua"/>
        </w:rPr>
        <w:t xml:space="preserve"> treat</w:t>
      </w:r>
      <w:r w:rsidR="00D9289F" w:rsidRPr="002434A9">
        <w:rPr>
          <w:rFonts w:ascii="Book Antiqua" w:eastAsia="Book Antiqua" w:hAnsi="Book Antiqua" w:cs="Book Antiqua"/>
        </w:rPr>
        <w:t>ed</w:t>
      </w:r>
      <w:r w:rsidRPr="002434A9">
        <w:rPr>
          <w:rFonts w:ascii="Book Antiqua" w:eastAsia="Book Antiqua" w:hAnsi="Book Antiqua" w:cs="Book Antiqua"/>
        </w:rPr>
        <w:t xml:space="preserve"> in the low trough concentrations group (41.7%). Similarly, 8 of the 25 patients in the standard treatment dose group (32.0%) were effectively treated. There was no statistical difference between the groups (</w:t>
      </w:r>
      <w:r w:rsidR="005B1CA8" w:rsidRPr="002434A9">
        <w:rPr>
          <w:rFonts w:ascii="Book Antiqua" w:eastAsia="Book Antiqua" w:hAnsi="Book Antiqua" w:cs="Book Antiqua"/>
          <w:i/>
          <w:iCs/>
        </w:rPr>
        <w:t>P</w:t>
      </w:r>
      <w:r w:rsidR="009C212B" w:rsidRPr="002434A9">
        <w:rPr>
          <w:rFonts w:ascii="Book Antiqua" w:eastAsia="Book Antiqua" w:hAnsi="Book Antiqua" w:cs="Book Antiqua"/>
        </w:rPr>
        <w:t xml:space="preserve"> </w:t>
      </w:r>
      <w:r w:rsidRPr="002434A9">
        <w:rPr>
          <w:rFonts w:ascii="Book Antiqua" w:eastAsia="Book Antiqua" w:hAnsi="Book Antiqua" w:cs="Book Antiqua"/>
        </w:rPr>
        <w:t>= 0.72).</w:t>
      </w:r>
    </w:p>
    <w:p w14:paraId="3CBA8172" w14:textId="77777777" w:rsidR="00A77B3E" w:rsidRPr="00825E3C" w:rsidRDefault="00A77B3E" w:rsidP="002434A9">
      <w:pPr>
        <w:snapToGrid w:val="0"/>
        <w:spacing w:line="360" w:lineRule="auto"/>
        <w:jc w:val="both"/>
      </w:pPr>
    </w:p>
    <w:p w14:paraId="5A04B8D8" w14:textId="77777777" w:rsidR="00A77B3E" w:rsidRPr="00825E3C" w:rsidRDefault="00A16191" w:rsidP="002434A9">
      <w:pPr>
        <w:snapToGrid w:val="0"/>
        <w:spacing w:line="360" w:lineRule="auto"/>
        <w:jc w:val="both"/>
      </w:pPr>
      <w:r w:rsidRPr="002434A9">
        <w:rPr>
          <w:rFonts w:ascii="Book Antiqua" w:eastAsia="Book Antiqua" w:hAnsi="Book Antiqua" w:cs="Book Antiqua"/>
        </w:rPr>
        <w:t>CONCLUSION</w:t>
      </w:r>
    </w:p>
    <w:p w14:paraId="02342CC9" w14:textId="238999A2" w:rsidR="00A77B3E" w:rsidRPr="00825E3C" w:rsidRDefault="00A16191" w:rsidP="002434A9">
      <w:pPr>
        <w:snapToGrid w:val="0"/>
        <w:spacing w:line="360" w:lineRule="auto"/>
        <w:jc w:val="both"/>
      </w:pPr>
      <w:r w:rsidRPr="002434A9">
        <w:rPr>
          <w:rFonts w:ascii="Book Antiqua" w:eastAsia="Book Antiqua" w:hAnsi="Book Antiqua" w:cs="Book Antiqua"/>
        </w:rPr>
        <w:t>Reducing the lower limit of the voriconazole trough concentration to 0.5</w:t>
      </w:r>
      <w:r w:rsidR="005B1CA8" w:rsidRPr="002434A9">
        <w:rPr>
          <w:rFonts w:ascii="Book Antiqua" w:eastAsia="Book Antiqua" w:hAnsi="Book Antiqua" w:cs="Book Antiqua"/>
        </w:rPr>
        <w:t xml:space="preserve"> </w:t>
      </w:r>
      <w:r w:rsidRPr="002434A9">
        <w:rPr>
          <w:rFonts w:ascii="Book Antiqua" w:eastAsia="Book Antiqua" w:hAnsi="Book Antiqua" w:cs="Book Antiqua"/>
        </w:rPr>
        <w:t>µg/mL can alleviate the hepatotoxicity and maintained certain clinical efficacy in CPA patients</w:t>
      </w:r>
      <w:r w:rsidR="00D9289F" w:rsidRPr="002434A9">
        <w:rPr>
          <w:rFonts w:ascii="Book Antiqua" w:eastAsia="Book Antiqua" w:hAnsi="Book Antiqua" w:cs="Book Antiqua"/>
        </w:rPr>
        <w:t>;</w:t>
      </w:r>
      <w:r w:rsidRPr="002434A9">
        <w:rPr>
          <w:rFonts w:ascii="Book Antiqua" w:eastAsia="Book Antiqua" w:hAnsi="Book Antiqua" w:cs="Book Antiqua"/>
        </w:rPr>
        <w:t xml:space="preserve"> however, patients should be closely monitored. </w:t>
      </w:r>
    </w:p>
    <w:p w14:paraId="26A6C73B" w14:textId="77777777" w:rsidR="00A77B3E" w:rsidRPr="00825E3C" w:rsidRDefault="00A77B3E" w:rsidP="002434A9">
      <w:pPr>
        <w:snapToGrid w:val="0"/>
        <w:spacing w:line="360" w:lineRule="auto"/>
        <w:jc w:val="both"/>
      </w:pPr>
    </w:p>
    <w:p w14:paraId="6735DC5A"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Key words: </w:t>
      </w:r>
      <w:r w:rsidRPr="002434A9">
        <w:rPr>
          <w:rFonts w:ascii="Book Antiqua" w:eastAsia="Book Antiqua" w:hAnsi="Book Antiqua" w:cs="Book Antiqua"/>
        </w:rPr>
        <w:t>Voriconazole; Hepatotoxicity; Chronic pulmonary aspergillosis; CYP2C19 genotypes; Reduction; Trough concentration</w:t>
      </w:r>
    </w:p>
    <w:p w14:paraId="18536933" w14:textId="77777777" w:rsidR="00A77B3E" w:rsidRPr="00825E3C" w:rsidRDefault="00A77B3E" w:rsidP="002434A9">
      <w:pPr>
        <w:snapToGrid w:val="0"/>
        <w:spacing w:line="360" w:lineRule="auto"/>
        <w:jc w:val="both"/>
      </w:pPr>
    </w:p>
    <w:p w14:paraId="6087B4C6" w14:textId="77777777" w:rsidR="008C1E79" w:rsidRDefault="008C1E79" w:rsidP="002434A9">
      <w:pPr>
        <w:snapToGrid w:val="0"/>
        <w:spacing w:line="360" w:lineRule="auto"/>
        <w:jc w:val="both"/>
        <w:rPr>
          <w:rFonts w:ascii="Book Antiqua" w:hAnsi="Book Antiqua" w:hint="eastAsia"/>
          <w:lang w:eastAsia="zh-CN"/>
        </w:rPr>
      </w:pPr>
      <w:r w:rsidRPr="008C1E79">
        <w:rPr>
          <w:rFonts w:ascii="Book Antiqua" w:hAnsi="Book Antiqua" w:cs="Book Antiqua" w:hint="eastAsia"/>
          <w:b/>
          <w:lang w:eastAsia="zh-CN"/>
        </w:rPr>
        <w:t xml:space="preserve">Citation: </w:t>
      </w:r>
      <w:r w:rsidR="00A16191" w:rsidRPr="002434A9">
        <w:rPr>
          <w:rFonts w:ascii="Book Antiqua" w:eastAsia="Book Antiqua" w:hAnsi="Book Antiqua" w:cs="Book Antiqua"/>
        </w:rPr>
        <w:t xml:space="preserve">Teng GJ, Bai XR, Zhang L, Liu HJ, Nie XH. Remission of hepatotoxicity in chronic pulmonary aspergillosis patients after lowering trough concentration of voriconazole. </w:t>
      </w:r>
      <w:r w:rsidR="00A16191" w:rsidRPr="002434A9">
        <w:rPr>
          <w:rFonts w:ascii="Book Antiqua" w:eastAsia="Book Antiqua" w:hAnsi="Book Antiqua" w:cs="Book Antiqua"/>
          <w:i/>
          <w:iCs/>
        </w:rPr>
        <w:t>World J Clin Cases</w:t>
      </w:r>
      <w:r w:rsidR="00A16191" w:rsidRPr="002434A9">
        <w:rPr>
          <w:rFonts w:ascii="Book Antiqua" w:eastAsia="Book Antiqua" w:hAnsi="Book Antiqua" w:cs="Book Antiqua"/>
        </w:rPr>
        <w:t xml:space="preserve"> </w:t>
      </w:r>
      <w:bookmarkStart w:id="0" w:name="OLE_LINK35"/>
      <w:r w:rsidR="00B65D59" w:rsidRPr="00EE6A3B">
        <w:rPr>
          <w:rFonts w:ascii="Book Antiqua" w:hAnsi="Book Antiqua"/>
        </w:rPr>
        <w:t>2020; 8(</w:t>
      </w:r>
      <w:r w:rsidR="00B65D59">
        <w:rPr>
          <w:rFonts w:ascii="Book Antiqua" w:hAnsi="Book Antiqua" w:hint="eastAsia"/>
          <w:lang w:eastAsia="zh-CN"/>
        </w:rPr>
        <w:t>20</w:t>
      </w:r>
      <w:r w:rsidR="00B65D59" w:rsidRPr="00EE6A3B">
        <w:rPr>
          <w:rFonts w:ascii="Book Antiqua" w:hAnsi="Book Antiqua"/>
        </w:rPr>
        <w:t xml:space="preserve">): </w:t>
      </w:r>
      <w:r w:rsidR="00402A02" w:rsidRPr="00402A02">
        <w:rPr>
          <w:rFonts w:ascii="Book Antiqua" w:hAnsi="Book Antiqua"/>
        </w:rPr>
        <w:t>4700-</w:t>
      </w:r>
      <w:bookmarkStart w:id="1" w:name="_GoBack"/>
      <w:r w:rsidR="00402A02" w:rsidRPr="00402A02">
        <w:rPr>
          <w:rFonts w:ascii="Book Antiqua" w:hAnsi="Book Antiqua"/>
        </w:rPr>
        <w:t>4707</w:t>
      </w:r>
      <w:bookmarkEnd w:id="0"/>
      <w:bookmarkEnd w:id="1"/>
      <w:r w:rsidR="00B65D59" w:rsidRPr="00EE6A3B">
        <w:rPr>
          <w:rFonts w:ascii="Book Antiqua" w:hAnsi="Book Antiqua"/>
        </w:rPr>
        <w:t xml:space="preserve">  </w:t>
      </w:r>
    </w:p>
    <w:p w14:paraId="1088C218" w14:textId="77777777" w:rsidR="008C1E79" w:rsidRDefault="00B65D59" w:rsidP="002434A9">
      <w:pPr>
        <w:snapToGrid w:val="0"/>
        <w:spacing w:line="360" w:lineRule="auto"/>
        <w:jc w:val="both"/>
        <w:rPr>
          <w:rFonts w:ascii="Book Antiqua" w:hAnsi="Book Antiqua" w:hint="eastAsia"/>
          <w:lang w:eastAsia="zh-CN"/>
        </w:rPr>
      </w:pPr>
      <w:r w:rsidRPr="008C1E79">
        <w:rPr>
          <w:rFonts w:ascii="Book Antiqua" w:hAnsi="Book Antiqua"/>
          <w:b/>
        </w:rPr>
        <w:t>URL:</w:t>
      </w:r>
      <w:r w:rsidRPr="00EE6A3B">
        <w:rPr>
          <w:rFonts w:ascii="Book Antiqua" w:hAnsi="Book Antiqua"/>
        </w:rPr>
        <w:t xml:space="preserve"> https://www.wjgnet.com/2307-8960/full/v8/i</w:t>
      </w:r>
      <w:r>
        <w:rPr>
          <w:rFonts w:ascii="Book Antiqua" w:hAnsi="Book Antiqua" w:hint="eastAsia"/>
          <w:lang w:eastAsia="zh-CN"/>
        </w:rPr>
        <w:t>20</w:t>
      </w:r>
      <w:r w:rsidRPr="00EE6A3B">
        <w:rPr>
          <w:rFonts w:ascii="Book Antiqua" w:hAnsi="Book Antiqua"/>
        </w:rPr>
        <w:t>/</w:t>
      </w:r>
      <w:r w:rsidR="00402A02">
        <w:rPr>
          <w:rFonts w:ascii="Book Antiqua" w:hAnsi="Book Antiqua" w:hint="eastAsia"/>
          <w:lang w:eastAsia="zh-CN"/>
        </w:rPr>
        <w:t>4700</w:t>
      </w:r>
      <w:r w:rsidRPr="00EE6A3B">
        <w:rPr>
          <w:rFonts w:ascii="Book Antiqua" w:hAnsi="Book Antiqua"/>
        </w:rPr>
        <w:t xml:space="preserve">.htm  </w:t>
      </w:r>
    </w:p>
    <w:p w14:paraId="52F790B5" w14:textId="698ABD80" w:rsidR="00A77B3E" w:rsidRPr="00825E3C" w:rsidRDefault="00B65D59" w:rsidP="002434A9">
      <w:pPr>
        <w:snapToGrid w:val="0"/>
        <w:spacing w:line="360" w:lineRule="auto"/>
        <w:jc w:val="both"/>
      </w:pPr>
      <w:r w:rsidRPr="008C1E79">
        <w:rPr>
          <w:rFonts w:ascii="Book Antiqua" w:hAnsi="Book Antiqua"/>
          <w:b/>
        </w:rPr>
        <w:t xml:space="preserve">DOI: </w:t>
      </w:r>
      <w:r w:rsidRPr="00EE6A3B">
        <w:rPr>
          <w:rFonts w:ascii="Book Antiqua" w:hAnsi="Book Antiqua"/>
        </w:rPr>
        <w:t>https://dx.doi.org/10.12998/wjcc.v8.i</w:t>
      </w:r>
      <w:r>
        <w:rPr>
          <w:rFonts w:ascii="Book Antiqua" w:hAnsi="Book Antiqua" w:hint="eastAsia"/>
          <w:lang w:eastAsia="zh-CN"/>
        </w:rPr>
        <w:t>20</w:t>
      </w:r>
      <w:r w:rsidRPr="00EE6A3B">
        <w:rPr>
          <w:rFonts w:ascii="Book Antiqua" w:hAnsi="Book Antiqua"/>
        </w:rPr>
        <w:t>.</w:t>
      </w:r>
      <w:r w:rsidR="00402A02">
        <w:rPr>
          <w:rFonts w:ascii="Book Antiqua" w:hAnsi="Book Antiqua" w:hint="eastAsia"/>
          <w:lang w:eastAsia="zh-CN"/>
        </w:rPr>
        <w:t>47</w:t>
      </w:r>
      <w:r w:rsidRPr="00EE6A3B">
        <w:rPr>
          <w:rFonts w:ascii="Book Antiqua" w:hAnsi="Book Antiqua"/>
        </w:rPr>
        <w:t>00</w:t>
      </w:r>
    </w:p>
    <w:p w14:paraId="7E775F05" w14:textId="77777777" w:rsidR="00A77B3E" w:rsidRPr="00825E3C" w:rsidRDefault="00A77B3E" w:rsidP="002434A9">
      <w:pPr>
        <w:snapToGrid w:val="0"/>
        <w:spacing w:line="360" w:lineRule="auto"/>
        <w:jc w:val="both"/>
      </w:pPr>
    </w:p>
    <w:p w14:paraId="448538E7" w14:textId="0F3CFB91"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Core tip: </w:t>
      </w:r>
      <w:r w:rsidRPr="002434A9">
        <w:rPr>
          <w:rFonts w:ascii="Book Antiqua" w:eastAsia="Book Antiqua" w:hAnsi="Book Antiqua" w:cs="Book Antiqua"/>
        </w:rPr>
        <w:t xml:space="preserve">In this retrospective study, we evaluated 12 adult </w:t>
      </w:r>
      <w:r w:rsidR="005B1CA8" w:rsidRPr="002434A9">
        <w:rPr>
          <w:rFonts w:ascii="Book Antiqua" w:eastAsia="Book Antiqua" w:hAnsi="Book Antiqua" w:cs="Book Antiqua"/>
        </w:rPr>
        <w:t>chronic pulmonary aspergillosis</w:t>
      </w:r>
      <w:r w:rsidRPr="002434A9">
        <w:rPr>
          <w:rFonts w:ascii="Book Antiqua" w:eastAsia="Book Antiqua" w:hAnsi="Book Antiqua" w:cs="Book Antiqua"/>
        </w:rPr>
        <w:t xml:space="preserve"> patients who developed hepatotoxicity during voriconazole treatment. The hepatotoxicity mainly manifested </w:t>
      </w:r>
      <w:r w:rsidR="004766E7" w:rsidRPr="002434A9">
        <w:rPr>
          <w:rFonts w:ascii="Book Antiqua" w:eastAsia="Book Antiqua" w:hAnsi="Book Antiqua" w:cs="Book Antiqua"/>
        </w:rPr>
        <w:t xml:space="preserve">as </w:t>
      </w:r>
      <w:r w:rsidRPr="002434A9">
        <w:rPr>
          <w:rFonts w:ascii="Book Antiqua" w:eastAsia="Book Antiqua" w:hAnsi="Book Antiqua" w:cs="Book Antiqua"/>
        </w:rPr>
        <w:t xml:space="preserve">a significant increase in the level of </w:t>
      </w:r>
      <w:r w:rsidR="005B1CA8" w:rsidRPr="002434A9">
        <w:rPr>
          <w:rFonts w:ascii="Book Antiqua" w:eastAsia="Book Antiqua" w:hAnsi="Book Antiqua" w:cs="Book Antiqua"/>
        </w:rPr>
        <w:t>gamma-glutamyltransferase</w:t>
      </w:r>
      <w:r w:rsidRPr="002434A9">
        <w:rPr>
          <w:rFonts w:ascii="Book Antiqua" w:eastAsia="Book Antiqua" w:hAnsi="Book Antiqua" w:cs="Book Antiqua"/>
        </w:rPr>
        <w:t xml:space="preserve">. In some patients, </w:t>
      </w:r>
      <w:r w:rsidR="005B1CA8" w:rsidRPr="002434A9">
        <w:rPr>
          <w:rFonts w:ascii="Book Antiqua" w:eastAsia="Book Antiqua" w:hAnsi="Book Antiqua" w:cs="Book Antiqua"/>
        </w:rPr>
        <w:t>gamma-glutamyltransferase</w:t>
      </w:r>
      <w:r w:rsidRPr="002434A9">
        <w:rPr>
          <w:rFonts w:ascii="Book Antiqua" w:eastAsia="Book Antiqua" w:hAnsi="Book Antiqua" w:cs="Book Antiqua"/>
        </w:rPr>
        <w:t xml:space="preserve"> can reach up to 6-20 times the upper limit. Overall findings recommend that reducing the lower limit of the voriconazole trough concentration</w:t>
      </w:r>
      <w:r w:rsidRPr="002434A9">
        <w:rPr>
          <w:rFonts w:ascii="Book Antiqua" w:eastAsia="Book Antiqua" w:hAnsi="Book Antiqua" w:cs="Book Antiqua"/>
          <w:shd w:val="clear" w:color="auto" w:fill="F7F8FA"/>
        </w:rPr>
        <w:t> </w:t>
      </w:r>
      <w:r w:rsidRPr="002434A9">
        <w:rPr>
          <w:rFonts w:ascii="Book Antiqua" w:eastAsia="Book Antiqua" w:hAnsi="Book Antiqua" w:cs="Book Antiqua"/>
        </w:rPr>
        <w:t>to 0.5</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µg/mL can alleviate the hepatotoxicity of </w:t>
      </w:r>
      <w:r w:rsidR="005B1CA8" w:rsidRPr="002434A9">
        <w:rPr>
          <w:rFonts w:ascii="Book Antiqua" w:eastAsia="Book Antiqua" w:hAnsi="Book Antiqua" w:cs="Book Antiqua"/>
        </w:rPr>
        <w:t>chronic pulmonary aspergillosis</w:t>
      </w:r>
      <w:r w:rsidRPr="002434A9">
        <w:rPr>
          <w:rFonts w:ascii="Book Antiqua" w:eastAsia="Book Antiqua" w:hAnsi="Book Antiqua" w:cs="Book Antiqua"/>
        </w:rPr>
        <w:t xml:space="preserve"> patients and maintain the clinical efficacy.</w:t>
      </w:r>
    </w:p>
    <w:p w14:paraId="778A058F" w14:textId="0F15D3C5" w:rsidR="00A77B3E" w:rsidRPr="00825E3C" w:rsidRDefault="00586366" w:rsidP="002434A9">
      <w:pPr>
        <w:snapToGrid w:val="0"/>
        <w:spacing w:line="360" w:lineRule="auto"/>
        <w:jc w:val="both"/>
      </w:pPr>
      <w:r w:rsidRPr="00825E3C">
        <w:br w:type="page"/>
      </w:r>
      <w:r w:rsidR="00A16191" w:rsidRPr="002434A9">
        <w:rPr>
          <w:rFonts w:ascii="Book Antiqua" w:eastAsia="Book Antiqua" w:hAnsi="Book Antiqua" w:cs="Book Antiqua"/>
          <w:b/>
          <w:caps/>
          <w:u w:val="single"/>
        </w:rPr>
        <w:t>INTRODUCTION</w:t>
      </w:r>
    </w:p>
    <w:p w14:paraId="05042754" w14:textId="44BDBDF6" w:rsidR="00A77B3E" w:rsidRPr="00825E3C" w:rsidRDefault="005B1CA8" w:rsidP="002434A9">
      <w:pPr>
        <w:snapToGrid w:val="0"/>
        <w:spacing w:line="360" w:lineRule="auto"/>
        <w:jc w:val="both"/>
      </w:pPr>
      <w:r w:rsidRPr="002434A9">
        <w:rPr>
          <w:rFonts w:ascii="Book Antiqua" w:eastAsia="Book Antiqua" w:hAnsi="Book Antiqua" w:cs="Book Antiqua"/>
        </w:rPr>
        <w:t>Chronic pulmonary aspergillosis (</w:t>
      </w:r>
      <w:r w:rsidR="00A16191" w:rsidRPr="002434A9">
        <w:rPr>
          <w:rFonts w:ascii="Book Antiqua" w:eastAsia="Book Antiqua" w:hAnsi="Book Antiqua" w:cs="Book Antiqua"/>
        </w:rPr>
        <w:t>CPA</w:t>
      </w:r>
      <w:r w:rsidRPr="002434A9">
        <w:rPr>
          <w:rFonts w:ascii="Book Antiqua" w:eastAsia="Book Antiqua" w:hAnsi="Book Antiqua" w:cs="Book Antiqua"/>
        </w:rPr>
        <w:t>)</w:t>
      </w:r>
      <w:r w:rsidR="00A16191" w:rsidRPr="002434A9">
        <w:rPr>
          <w:rFonts w:ascii="Book Antiqua" w:eastAsia="Book Antiqua" w:hAnsi="Book Antiqua" w:cs="Book Antiqua"/>
        </w:rPr>
        <w:t xml:space="preserve"> is a rare syndrome </w:t>
      </w:r>
      <w:r w:rsidR="00C64C1D" w:rsidRPr="002434A9">
        <w:rPr>
          <w:rFonts w:ascii="Book Antiqua" w:eastAsia="Book Antiqua" w:hAnsi="Book Antiqua" w:cs="Book Antiqua"/>
        </w:rPr>
        <w:t xml:space="preserve">that </w:t>
      </w:r>
      <w:r w:rsidR="00A16191" w:rsidRPr="002434A9">
        <w:rPr>
          <w:rFonts w:ascii="Book Antiqua" w:eastAsia="Book Antiqua" w:hAnsi="Book Antiqua" w:cs="Book Antiqua"/>
        </w:rPr>
        <w:t>is usually accompanied by mild dysfunction of the immune system followed by gradual lung tissue destruction</w:t>
      </w:r>
      <w:r w:rsidRPr="002434A9">
        <w:rPr>
          <w:rFonts w:ascii="Book Antiqua" w:eastAsia="Book Antiqua" w:hAnsi="Book Antiqua" w:cs="Book Antiqua"/>
          <w:vertAlign w:val="superscript"/>
        </w:rPr>
        <w:t>[1]</w:t>
      </w:r>
      <w:r w:rsidR="00A16191" w:rsidRPr="002434A9">
        <w:rPr>
          <w:rFonts w:ascii="Book Antiqua" w:eastAsia="Book Antiqua" w:hAnsi="Book Antiqua" w:cs="Book Antiqua"/>
        </w:rPr>
        <w:t>. Patients with CPA often present with pulmonary symptoms such as a persistent and/or productive cough, breathlessness, hemoptysis, weight loss</w:t>
      </w:r>
      <w:r w:rsidR="00C64C1D" w:rsidRPr="002434A9">
        <w:rPr>
          <w:rFonts w:ascii="Book Antiqua" w:eastAsia="Book Antiqua" w:hAnsi="Book Antiqua" w:cs="Book Antiqua"/>
        </w:rPr>
        <w:t>,</w:t>
      </w:r>
      <w:r w:rsidR="00A16191" w:rsidRPr="002434A9">
        <w:rPr>
          <w:rFonts w:ascii="Book Antiqua" w:eastAsia="Book Antiqua" w:hAnsi="Book Antiqua" w:cs="Book Antiqua"/>
        </w:rPr>
        <w:t xml:space="preserve"> and fatigue</w:t>
      </w:r>
      <w:r w:rsidRPr="002434A9">
        <w:rPr>
          <w:rFonts w:ascii="Book Antiqua" w:eastAsia="Book Antiqua" w:hAnsi="Book Antiqua" w:cs="Book Antiqua"/>
          <w:vertAlign w:val="superscript"/>
        </w:rPr>
        <w:t>[2]</w:t>
      </w:r>
      <w:r w:rsidR="00A16191" w:rsidRPr="002434A9">
        <w:rPr>
          <w:rFonts w:ascii="Book Antiqua" w:eastAsia="Book Antiqua" w:hAnsi="Book Antiqua" w:cs="Book Antiqua"/>
        </w:rPr>
        <w:t xml:space="preserve">. These patients require long-term antifungal therapy to improve the symptoms and prevent the development of pulmonary fibrosis. Due to the chronicity of the disease, oral antifungal therapy is </w:t>
      </w:r>
      <w:r w:rsidR="00C64C1D" w:rsidRPr="002434A9">
        <w:rPr>
          <w:rFonts w:ascii="Book Antiqua" w:eastAsia="Book Antiqua" w:hAnsi="Book Antiqua" w:cs="Book Antiqua"/>
        </w:rPr>
        <w:t xml:space="preserve">often </w:t>
      </w:r>
      <w:r w:rsidR="00A16191" w:rsidRPr="002434A9">
        <w:rPr>
          <w:rFonts w:ascii="Book Antiqua" w:eastAsia="Book Antiqua" w:hAnsi="Book Antiqua" w:cs="Book Antiqua"/>
        </w:rPr>
        <w:t>preferred.</w:t>
      </w:r>
    </w:p>
    <w:p w14:paraId="35A29DEA" w14:textId="52676954" w:rsidR="002B1E2A"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Voriconazole is a broad-spectrum triazole antifungal agent</w:t>
      </w:r>
      <w:r w:rsidR="00C64C1D" w:rsidRPr="002434A9">
        <w:rPr>
          <w:rFonts w:ascii="Book Antiqua" w:eastAsia="Book Antiqua" w:hAnsi="Book Antiqua" w:cs="Book Antiqua"/>
        </w:rPr>
        <w:t>, which</w:t>
      </w:r>
      <w:r w:rsidRPr="002434A9">
        <w:rPr>
          <w:rFonts w:ascii="Book Antiqua" w:eastAsia="Book Antiqua" w:hAnsi="Book Antiqua" w:cs="Book Antiqua"/>
        </w:rPr>
        <w:t xml:space="preserve"> can be quickly absorbed after oral administration. The oral bioavailability of the drug can reach up to 90</w:t>
      </w:r>
      <w:r w:rsidR="00017B77" w:rsidRPr="002434A9">
        <w:rPr>
          <w:rFonts w:ascii="Book Antiqua" w:eastAsia="Book Antiqua" w:hAnsi="Book Antiqua" w:cs="Book Antiqua"/>
        </w:rPr>
        <w:t>%</w:t>
      </w:r>
      <w:r w:rsidRPr="002434A9">
        <w:rPr>
          <w:rFonts w:ascii="Book Antiqua" w:eastAsia="Book Antiqua" w:hAnsi="Book Antiqua" w:cs="Book Antiqua"/>
        </w:rPr>
        <w:t>-96% along with good permeability to the tissues and body fluids. In our hospital, voriconazole is often used as the first-line agent for CPA treatment. However, some patients have complained of adverse drug reactions during the treatment process</w:t>
      </w:r>
      <w:r w:rsidR="00C64C1D" w:rsidRPr="002434A9">
        <w:rPr>
          <w:rFonts w:ascii="Book Antiqua" w:eastAsia="Book Antiqua" w:hAnsi="Book Antiqua" w:cs="Book Antiqua"/>
        </w:rPr>
        <w:t>,</w:t>
      </w:r>
      <w:r w:rsidRPr="002434A9">
        <w:rPr>
          <w:rFonts w:ascii="Book Antiqua" w:eastAsia="Book Antiqua" w:hAnsi="Book Antiqua" w:cs="Book Antiqua"/>
        </w:rPr>
        <w:t xml:space="preserve"> which eventually le</w:t>
      </w:r>
      <w:r w:rsidR="00C64C1D" w:rsidRPr="002434A9">
        <w:rPr>
          <w:rFonts w:ascii="Book Antiqua" w:eastAsia="Book Antiqua" w:hAnsi="Book Antiqua" w:cs="Book Antiqua"/>
        </w:rPr>
        <w:t>a</w:t>
      </w:r>
      <w:r w:rsidRPr="002434A9">
        <w:rPr>
          <w:rFonts w:ascii="Book Antiqua" w:eastAsia="Book Antiqua" w:hAnsi="Book Antiqua" w:cs="Book Antiqua"/>
        </w:rPr>
        <w:t>d</w:t>
      </w:r>
      <w:r w:rsidR="00C64C1D" w:rsidRPr="002434A9">
        <w:rPr>
          <w:rFonts w:ascii="Book Antiqua" w:eastAsia="Book Antiqua" w:hAnsi="Book Antiqua" w:cs="Book Antiqua"/>
        </w:rPr>
        <w:t>s</w:t>
      </w:r>
      <w:r w:rsidRPr="002434A9">
        <w:rPr>
          <w:rFonts w:ascii="Book Antiqua" w:eastAsia="Book Antiqua" w:hAnsi="Book Antiqua" w:cs="Book Antiqua"/>
        </w:rPr>
        <w:t xml:space="preserve"> to discontinuation of the therapy. </w:t>
      </w:r>
      <w:r w:rsidR="00C64C1D" w:rsidRPr="002434A9">
        <w:rPr>
          <w:rFonts w:ascii="Book Antiqua" w:eastAsia="Book Antiqua" w:hAnsi="Book Antiqua" w:cs="Book Antiqua"/>
        </w:rPr>
        <w:t>C</w:t>
      </w:r>
      <w:r w:rsidRPr="002434A9">
        <w:rPr>
          <w:rFonts w:ascii="Book Antiqua" w:eastAsia="Book Antiqua" w:hAnsi="Book Antiqua" w:cs="Book Antiqua"/>
        </w:rPr>
        <w:t>ommon adverse reaction</w:t>
      </w:r>
      <w:r w:rsidR="00C64C1D" w:rsidRPr="002434A9">
        <w:rPr>
          <w:rFonts w:ascii="Book Antiqua" w:eastAsia="Book Antiqua" w:hAnsi="Book Antiqua" w:cs="Book Antiqua"/>
        </w:rPr>
        <w:t>s</w:t>
      </w:r>
      <w:r w:rsidRPr="002434A9">
        <w:rPr>
          <w:rFonts w:ascii="Book Antiqua" w:eastAsia="Book Antiqua" w:hAnsi="Book Antiqua" w:cs="Book Antiqua"/>
        </w:rPr>
        <w:t xml:space="preserve"> include hepatotoxicity, neurotoxicity, skin rash, and visual disturbances. Among these</w:t>
      </w:r>
      <w:r w:rsidR="00C64C1D" w:rsidRPr="002434A9">
        <w:rPr>
          <w:rFonts w:ascii="Book Antiqua" w:eastAsia="Book Antiqua" w:hAnsi="Book Antiqua" w:cs="Book Antiqua"/>
        </w:rPr>
        <w:t>,</w:t>
      </w:r>
      <w:r w:rsidRPr="002434A9">
        <w:rPr>
          <w:rFonts w:ascii="Book Antiqua" w:eastAsia="Book Antiqua" w:hAnsi="Book Antiqua" w:cs="Book Antiqua"/>
        </w:rPr>
        <w:t xml:space="preserve"> hepatotoxicity is the most common adverse reaction. The adverse reactions of voriconazole are largely influenced by its concentration in the blood, especially the trough concentration. Reducing the trough concentration of voriconazole can reduce adverse drug reactions so that patients can eventually tolerate long-term treatment.</w:t>
      </w:r>
    </w:p>
    <w:p w14:paraId="4E6E4422" w14:textId="509370CF" w:rsidR="00A77B3E" w:rsidRPr="002434A9" w:rsidRDefault="00A16191" w:rsidP="002434A9">
      <w:pPr>
        <w:snapToGrid w:val="0"/>
        <w:spacing w:line="360" w:lineRule="auto"/>
        <w:ind w:firstLineChars="100" w:firstLine="240"/>
        <w:jc w:val="both"/>
        <w:rPr>
          <w:rFonts w:eastAsia="Times New Roman"/>
        </w:rPr>
      </w:pPr>
      <w:r w:rsidRPr="002434A9">
        <w:rPr>
          <w:rFonts w:ascii="Book Antiqua" w:eastAsia="Book Antiqua" w:hAnsi="Book Antiqua" w:cs="Book Antiqua"/>
        </w:rPr>
        <w:t xml:space="preserve">The </w:t>
      </w:r>
      <w:r w:rsidR="002B1E2A" w:rsidRPr="00825E3C">
        <w:rPr>
          <w:rFonts w:ascii="Book Antiqua" w:eastAsia="Times New Roman" w:hAnsi="Book Antiqua"/>
        </w:rPr>
        <w:t>c</w:t>
      </w:r>
      <w:r w:rsidR="002B1E2A" w:rsidRPr="002434A9">
        <w:rPr>
          <w:rFonts w:ascii="Book Antiqua" w:eastAsia="Times New Roman" w:hAnsi="Book Antiqua"/>
        </w:rPr>
        <w:t>ytochrome P450 2C19</w:t>
      </w:r>
      <w:r w:rsidR="002B1E2A" w:rsidRPr="00825E3C">
        <w:rPr>
          <w:rFonts w:eastAsia="Times New Roman"/>
        </w:rPr>
        <w:t xml:space="preserve"> (</w:t>
      </w:r>
      <w:r w:rsidRPr="002434A9">
        <w:rPr>
          <w:rFonts w:ascii="Book Antiqua" w:eastAsia="Book Antiqua" w:hAnsi="Book Antiqua" w:cs="Book Antiqua"/>
        </w:rPr>
        <w:t>CYP2C19</w:t>
      </w:r>
      <w:r w:rsidR="002B1E2A" w:rsidRPr="002434A9">
        <w:rPr>
          <w:rFonts w:ascii="Book Antiqua" w:eastAsia="Book Antiqua" w:hAnsi="Book Antiqua" w:cs="Book Antiqua"/>
        </w:rPr>
        <w:t>)</w:t>
      </w:r>
      <w:r w:rsidRPr="002434A9">
        <w:rPr>
          <w:rFonts w:ascii="Book Antiqua" w:eastAsia="Book Antiqua" w:hAnsi="Book Antiqua" w:cs="Book Antiqua"/>
        </w:rPr>
        <w:t xml:space="preserve"> polymorphism also influences the trough concentration of voriconazole and is a significant factor contributing to the highly variable pharmacokinetics of voriconazole</w:t>
      </w:r>
      <w:r w:rsidR="00017B77" w:rsidRPr="002434A9">
        <w:rPr>
          <w:rFonts w:ascii="Book Antiqua" w:eastAsia="Book Antiqua" w:hAnsi="Book Antiqua" w:cs="Book Antiqua"/>
          <w:vertAlign w:val="superscript"/>
        </w:rPr>
        <w:t>[3-6]</w:t>
      </w:r>
      <w:r w:rsidRPr="002434A9">
        <w:rPr>
          <w:rFonts w:ascii="Book Antiqua" w:eastAsia="Book Antiqua" w:hAnsi="Book Antiqua" w:cs="Book Antiqua"/>
        </w:rPr>
        <w:t xml:space="preserve">. The values for plasma concentration of the CYP2C19 poor metabolizer (PM) </w:t>
      </w:r>
      <w:r w:rsidR="002B1E2A" w:rsidRPr="002434A9">
        <w:rPr>
          <w:rFonts w:ascii="Book Antiqua" w:eastAsia="Book Antiqua" w:hAnsi="Book Antiqua" w:cs="Book Antiqua"/>
        </w:rPr>
        <w:t>are</w:t>
      </w:r>
      <w:r w:rsidRPr="002434A9">
        <w:rPr>
          <w:rFonts w:ascii="Book Antiqua" w:eastAsia="Book Antiqua" w:hAnsi="Book Antiqua" w:cs="Book Antiqua"/>
        </w:rPr>
        <w:t xml:space="preserve"> reported</w:t>
      </w:r>
      <w:r w:rsidR="002B1E2A" w:rsidRPr="002434A9">
        <w:rPr>
          <w:rFonts w:ascii="Book Antiqua" w:eastAsia="Book Antiqua" w:hAnsi="Book Antiqua" w:cs="Book Antiqua"/>
        </w:rPr>
        <w:t>ly</w:t>
      </w:r>
      <w:r w:rsidRPr="002434A9">
        <w:rPr>
          <w:rFonts w:ascii="Book Antiqua" w:eastAsia="Book Antiqua" w:hAnsi="Book Antiqua" w:cs="Book Antiqua"/>
        </w:rPr>
        <w:t xml:space="preserve"> approximately 3 times higher than the extensive metabolizer</w:t>
      </w:r>
      <w:r w:rsidR="00017B77" w:rsidRPr="002434A9">
        <w:rPr>
          <w:rFonts w:ascii="Book Antiqua" w:eastAsia="Book Antiqua" w:hAnsi="Book Antiqua" w:cs="Book Antiqua"/>
          <w:vertAlign w:val="superscript"/>
        </w:rPr>
        <w:t>[7]</w:t>
      </w:r>
      <w:r w:rsidRPr="002434A9">
        <w:rPr>
          <w:rFonts w:ascii="Book Antiqua" w:eastAsia="Book Antiqua" w:hAnsi="Book Antiqua" w:cs="Book Antiqua"/>
        </w:rPr>
        <w:t xml:space="preserve">. However, there is a lack of clinically relevant studies on the relationship between CYP2C19 gene status and administration regimen. </w:t>
      </w:r>
    </w:p>
    <w:p w14:paraId="7738B8C5" w14:textId="77777777"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 xml:space="preserve">Considering the effect of the trough concentration and CYP2C19 genetic status on the adverse drug reactions, in this study, we retrospectively analyzed 12 patients who developed hepatotoxicity during voriconazole treatment. The trough concentration was reduced by minimizing the oral voriconazole dosage. Changes in the liver function and overall treatment efficacy were recorded. </w:t>
      </w:r>
    </w:p>
    <w:p w14:paraId="0BC6CB62"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MATERIALS AND METHODS</w:t>
      </w:r>
    </w:p>
    <w:p w14:paraId="64753495"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Study design and data collection</w:t>
      </w:r>
    </w:p>
    <w:p w14:paraId="7F6F2AFE" w14:textId="0427071A" w:rsidR="00A77B3E" w:rsidRPr="00825E3C" w:rsidRDefault="00A16191" w:rsidP="002434A9">
      <w:pPr>
        <w:snapToGrid w:val="0"/>
        <w:spacing w:line="360" w:lineRule="auto"/>
        <w:jc w:val="both"/>
      </w:pPr>
      <w:r w:rsidRPr="002434A9">
        <w:rPr>
          <w:rFonts w:ascii="Book Antiqua" w:eastAsia="Book Antiqua" w:hAnsi="Book Antiqua" w:cs="Book Antiqua"/>
        </w:rPr>
        <w:t xml:space="preserve">This retrospective study included adult CPA patients admitted to Xuanwu Hospital Capital Medical University between January 2013 </w:t>
      </w:r>
      <w:r w:rsidR="00181764" w:rsidRPr="002434A9">
        <w:rPr>
          <w:rFonts w:ascii="Book Antiqua" w:eastAsia="Book Antiqua" w:hAnsi="Book Antiqua" w:cs="Book Antiqua"/>
        </w:rPr>
        <w:t>and</w:t>
      </w:r>
      <w:r w:rsidRPr="002434A9">
        <w:rPr>
          <w:rFonts w:ascii="Book Antiqua" w:eastAsia="Book Antiqua" w:hAnsi="Book Antiqua" w:cs="Book Antiqua"/>
        </w:rPr>
        <w:t xml:space="preserve"> January 2019. The patients</w:t>
      </w:r>
      <w:r w:rsidR="00181764" w:rsidRPr="002434A9">
        <w:rPr>
          <w:rFonts w:ascii="Book Antiqua" w:eastAsia="Book Antiqua" w:hAnsi="Book Antiqua" w:cs="Book Antiqua"/>
        </w:rPr>
        <w:t>’</w:t>
      </w:r>
      <w:r w:rsidRPr="002434A9">
        <w:rPr>
          <w:rFonts w:ascii="Book Antiqua" w:eastAsia="Book Antiqua" w:hAnsi="Book Antiqua" w:cs="Book Antiqua"/>
        </w:rPr>
        <w:t xml:space="preserve"> selection criteria were</w:t>
      </w:r>
      <w:r w:rsidR="00181764" w:rsidRPr="002434A9">
        <w:rPr>
          <w:rFonts w:ascii="Book Antiqua" w:eastAsia="Book Antiqua" w:hAnsi="Book Antiqua" w:cs="Book Antiqua"/>
        </w:rPr>
        <w:t>:</w:t>
      </w:r>
      <w:r w:rsidRPr="002434A9">
        <w:rPr>
          <w:rFonts w:ascii="Book Antiqua" w:eastAsia="Book Antiqua" w:hAnsi="Book Antiqua" w:cs="Book Antiqua"/>
        </w:rPr>
        <w:t xml:space="preserve"> (1) positive diagnosis with CPA as per the definitions of the European society for clinical microbiology and infectious diseases and the European respiratory society</w:t>
      </w:r>
      <w:r w:rsidR="00017B77" w:rsidRPr="002434A9">
        <w:rPr>
          <w:rFonts w:ascii="Book Antiqua" w:eastAsia="Book Antiqua" w:hAnsi="Book Antiqua" w:cs="Book Antiqua"/>
          <w:vertAlign w:val="superscript"/>
        </w:rPr>
        <w:t>[8]</w:t>
      </w:r>
      <w:r w:rsidR="00017B77" w:rsidRPr="002434A9">
        <w:rPr>
          <w:rFonts w:ascii="Book Antiqua" w:eastAsia="Book Antiqua" w:hAnsi="Book Antiqua" w:cs="Book Antiqua"/>
        </w:rPr>
        <w:t>;</w:t>
      </w:r>
      <w:r w:rsidRPr="002434A9">
        <w:rPr>
          <w:rFonts w:ascii="Book Antiqua" w:eastAsia="Book Antiqua" w:hAnsi="Book Antiqua" w:cs="Book Antiqua"/>
        </w:rPr>
        <w:t xml:space="preserve"> (2) </w:t>
      </w:r>
      <w:r w:rsidR="00017B77" w:rsidRPr="002434A9">
        <w:rPr>
          <w:rFonts w:ascii="Book Antiqua" w:eastAsia="Book Antiqua" w:hAnsi="Book Antiqua" w:cs="Book Antiqua"/>
        </w:rPr>
        <w:t xml:space="preserve">patients </w:t>
      </w:r>
      <w:r w:rsidR="00181764" w:rsidRPr="002434A9">
        <w:rPr>
          <w:rFonts w:ascii="Book Antiqua" w:eastAsia="Book Antiqua" w:hAnsi="Book Antiqua" w:cs="Book Antiqua"/>
        </w:rPr>
        <w:t xml:space="preserve">who </w:t>
      </w:r>
      <w:r w:rsidRPr="002434A9">
        <w:rPr>
          <w:rFonts w:ascii="Book Antiqua" w:eastAsia="Book Antiqua" w:hAnsi="Book Antiqua" w:cs="Book Antiqua"/>
        </w:rPr>
        <w:t xml:space="preserve">experienced hepatotoxicity during oral voriconazole treatment, </w:t>
      </w:r>
      <w:r w:rsidR="00181764" w:rsidRPr="002434A9">
        <w:rPr>
          <w:rFonts w:ascii="Book Antiqua" w:eastAsia="Book Antiqua" w:hAnsi="Book Antiqua" w:cs="Book Antiqua"/>
        </w:rPr>
        <w:t>leading to a reduced</w:t>
      </w:r>
      <w:r w:rsidRPr="002434A9">
        <w:rPr>
          <w:rFonts w:ascii="Book Antiqua" w:eastAsia="Book Antiqua" w:hAnsi="Book Antiqua" w:cs="Book Antiqua"/>
        </w:rPr>
        <w:t xml:space="preserve"> oral dose of voriconazole</w:t>
      </w:r>
      <w:r w:rsidR="00017B77" w:rsidRPr="002434A9">
        <w:rPr>
          <w:rFonts w:ascii="Book Antiqua" w:eastAsia="Book Antiqua" w:hAnsi="Book Antiqua" w:cs="Book Antiqua"/>
        </w:rPr>
        <w:t xml:space="preserve">; and </w:t>
      </w:r>
      <w:r w:rsidRPr="002434A9">
        <w:rPr>
          <w:rFonts w:ascii="Book Antiqua" w:eastAsia="Book Antiqua" w:hAnsi="Book Antiqua" w:cs="Book Antiqua"/>
        </w:rPr>
        <w:t xml:space="preserve">(3) </w:t>
      </w:r>
      <w:r w:rsidR="00181764" w:rsidRPr="002434A9">
        <w:rPr>
          <w:rFonts w:ascii="Book Antiqua" w:eastAsia="Book Antiqua" w:hAnsi="Book Antiqua" w:cs="Book Antiqua"/>
        </w:rPr>
        <w:t xml:space="preserve">patients who continued treatment for more than 4 mo </w:t>
      </w:r>
      <w:r w:rsidR="00017B77" w:rsidRPr="002434A9">
        <w:rPr>
          <w:rFonts w:ascii="Book Antiqua" w:eastAsia="Book Antiqua" w:hAnsi="Book Antiqua" w:cs="Book Antiqua"/>
        </w:rPr>
        <w:t xml:space="preserve">after </w:t>
      </w:r>
      <w:r w:rsidR="00181764" w:rsidRPr="002434A9">
        <w:rPr>
          <w:rFonts w:ascii="Book Antiqua" w:eastAsia="Book Antiqua" w:hAnsi="Book Antiqua" w:cs="Book Antiqua"/>
        </w:rPr>
        <w:t xml:space="preserve">the drug dose was </w:t>
      </w:r>
      <w:r w:rsidRPr="002434A9">
        <w:rPr>
          <w:rFonts w:ascii="Book Antiqua" w:eastAsia="Book Antiqua" w:hAnsi="Book Antiqua" w:cs="Book Antiqua"/>
        </w:rPr>
        <w:t>reduc</w:t>
      </w:r>
      <w:r w:rsidR="00181764" w:rsidRPr="002434A9">
        <w:rPr>
          <w:rFonts w:ascii="Book Antiqua" w:eastAsia="Book Antiqua" w:hAnsi="Book Antiqua" w:cs="Book Antiqua"/>
        </w:rPr>
        <w:t>ed</w:t>
      </w:r>
      <w:r w:rsidRPr="002434A9">
        <w:rPr>
          <w:rFonts w:ascii="Book Antiqua" w:eastAsia="Book Antiqua" w:hAnsi="Book Antiqua" w:cs="Book Antiqua"/>
        </w:rPr>
        <w:t xml:space="preserve">. </w:t>
      </w:r>
    </w:p>
    <w:p w14:paraId="0433E814" w14:textId="0B755E63"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The trough concentration of voriconazole was monitored. In accordance with the requirements of the Chinese Pharmacological Society's voriconazole medication guidelines</w:t>
      </w:r>
      <w:r w:rsidR="00017B77" w:rsidRPr="002434A9">
        <w:rPr>
          <w:rFonts w:ascii="Book Antiqua" w:eastAsia="Book Antiqua" w:hAnsi="Book Antiqua" w:cs="Book Antiqua"/>
          <w:vertAlign w:val="superscript"/>
        </w:rPr>
        <w:t>[9]</w:t>
      </w:r>
      <w:r w:rsidRPr="002434A9">
        <w:rPr>
          <w:rFonts w:ascii="Book Antiqua" w:eastAsia="Book Antiqua" w:hAnsi="Book Antiqua" w:cs="Book Antiqua"/>
        </w:rPr>
        <w:t>, the patient maintained a plasma trough concentration greater than 0.5 µg/mL after reducing the dose.</w:t>
      </w:r>
      <w:r w:rsidR="00181764" w:rsidRPr="002434A9">
        <w:rPr>
          <w:rFonts w:ascii="Book Antiqua" w:eastAsia="Book Antiqua" w:hAnsi="Book Antiqua" w:cs="Book Antiqua"/>
        </w:rPr>
        <w:t xml:space="preserve"> </w:t>
      </w:r>
      <w:r w:rsidRPr="002434A9">
        <w:rPr>
          <w:rFonts w:ascii="Book Antiqua" w:eastAsia="Book Antiqua" w:hAnsi="Book Antiqua" w:cs="Book Antiqua"/>
        </w:rPr>
        <w:t xml:space="preserve">During this period, a total of 21 CAP patients received voriconazole reduction therapy in our hospital. </w:t>
      </w:r>
      <w:r w:rsidR="00181764" w:rsidRPr="002434A9">
        <w:rPr>
          <w:rFonts w:ascii="Book Antiqua" w:eastAsia="Book Antiqua" w:hAnsi="Book Antiqua" w:cs="Book Antiqua"/>
        </w:rPr>
        <w:t xml:space="preserve">The adverse reactions </w:t>
      </w:r>
      <w:r w:rsidRPr="002434A9">
        <w:rPr>
          <w:rFonts w:ascii="Book Antiqua" w:eastAsia="Book Antiqua" w:hAnsi="Book Antiqua" w:cs="Book Antiqua"/>
        </w:rPr>
        <w:t>mainly included hepatotoxicity in 16 patients, visual impairment in 2 patients, hallucination in 2 patients, and erythematous photosensitive rash in 1 patient. Of the 16 patients with hepatotoxicity, 3 patients with CYP2C19*1/*1 genotype showed a significant decrease in trough concentrations after the dose reduction, ranging from 0.23</w:t>
      </w:r>
      <w:r w:rsidR="00181764" w:rsidRPr="002434A9">
        <w:rPr>
          <w:rFonts w:ascii="Book Antiqua" w:eastAsia="Book Antiqua" w:hAnsi="Book Antiqua" w:cs="Book Antiqua"/>
        </w:rPr>
        <w:t xml:space="preserve"> to </w:t>
      </w:r>
      <w:r w:rsidRPr="002434A9">
        <w:rPr>
          <w:rFonts w:ascii="Book Antiqua" w:eastAsia="Book Antiqua" w:hAnsi="Book Antiqua" w:cs="Book Antiqua"/>
        </w:rPr>
        <w:t xml:space="preserve">0.48 </w:t>
      </w:r>
      <w:r w:rsidR="00845B30" w:rsidRPr="002434A9">
        <w:rPr>
          <w:rFonts w:ascii="Book Antiqua" w:eastAsia="Book Antiqua" w:hAnsi="Book Antiqua" w:cs="Book Antiqua"/>
        </w:rPr>
        <w:t>µ</w:t>
      </w:r>
      <w:r w:rsidRPr="002434A9">
        <w:rPr>
          <w:rFonts w:ascii="Book Antiqua" w:eastAsia="Book Antiqua" w:hAnsi="Book Antiqua" w:cs="Book Antiqua"/>
        </w:rPr>
        <w:t xml:space="preserve">g/mL. All </w:t>
      </w:r>
      <w:r w:rsidR="00181764" w:rsidRPr="002434A9">
        <w:rPr>
          <w:rFonts w:ascii="Book Antiqua" w:eastAsia="Book Antiqua" w:hAnsi="Book Antiqua" w:cs="Book Antiqua"/>
        </w:rPr>
        <w:t>three</w:t>
      </w:r>
      <w:r w:rsidRPr="002434A9">
        <w:rPr>
          <w:rFonts w:ascii="Book Antiqua" w:eastAsia="Book Antiqua" w:hAnsi="Book Antiqua" w:cs="Book Antiqua"/>
        </w:rPr>
        <w:t xml:space="preserve"> patients were treated with other antifungal drugs instead of voriconazole. One patient with CYP2C19*1/*3 genotype could not be followed up after 1 mo of treatment. As mentioned, these patients were not included in this study. Finally, 12 patients with hepatotoxicity were included in this retrospective study. </w:t>
      </w:r>
    </w:p>
    <w:p w14:paraId="565AF92B" w14:textId="40021E80"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During the same period, 25 patients with standard oral voriconazole dose (about 4</w:t>
      </w:r>
      <w:r w:rsidR="002656F9" w:rsidRPr="002434A9">
        <w:rPr>
          <w:rFonts w:ascii="Book Antiqua" w:eastAsia="Book Antiqua" w:hAnsi="Book Antiqua" w:cs="Book Antiqua"/>
        </w:rPr>
        <w:t xml:space="preserve"> </w:t>
      </w:r>
      <w:r w:rsidRPr="002434A9">
        <w:rPr>
          <w:rFonts w:ascii="Book Antiqua" w:eastAsia="Book Antiqua" w:hAnsi="Book Antiqua" w:cs="Book Antiqua"/>
        </w:rPr>
        <w:t xml:space="preserve">mg/kg, twice daily) and no adverse reactions served as the control group. </w:t>
      </w:r>
    </w:p>
    <w:p w14:paraId="7B15BF68" w14:textId="1D45CDB5" w:rsidR="00A77B3E" w:rsidRPr="002434A9" w:rsidRDefault="00A16191" w:rsidP="002434A9">
      <w:pPr>
        <w:snapToGrid w:val="0"/>
        <w:spacing w:line="360" w:lineRule="auto"/>
        <w:ind w:firstLineChars="100" w:firstLine="240"/>
        <w:jc w:val="both"/>
        <w:rPr>
          <w:rFonts w:ascii="Book Antiqua" w:eastAsia="Book Antiqua" w:hAnsi="Book Antiqua" w:cs="Book Antiqua"/>
        </w:rPr>
      </w:pPr>
      <w:r w:rsidRPr="002434A9">
        <w:rPr>
          <w:rFonts w:ascii="Book Antiqua" w:eastAsia="Book Antiqua" w:hAnsi="Book Antiqua" w:cs="Book Antiqua"/>
        </w:rPr>
        <w:t>Demographic characteristics, underlying lung disease, CYP2C19 genotype, cereal concentration, and chest CT changes were collected on these 37 patients. The difference in treatment effect between the two groups was compared.</w:t>
      </w:r>
    </w:p>
    <w:p w14:paraId="19F15F0A" w14:textId="77777777" w:rsidR="002656F9" w:rsidRPr="00825E3C" w:rsidRDefault="002656F9" w:rsidP="002434A9">
      <w:pPr>
        <w:snapToGrid w:val="0"/>
        <w:spacing w:line="360" w:lineRule="auto"/>
        <w:jc w:val="both"/>
      </w:pPr>
    </w:p>
    <w:p w14:paraId="0C5D025A"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Therapeutic effect evaluation</w:t>
      </w:r>
    </w:p>
    <w:p w14:paraId="672FFD0D" w14:textId="30B2A627" w:rsidR="00A77B3E" w:rsidRPr="00825E3C" w:rsidRDefault="00A16191" w:rsidP="002434A9">
      <w:pPr>
        <w:snapToGrid w:val="0"/>
        <w:spacing w:line="360" w:lineRule="auto"/>
        <w:jc w:val="both"/>
      </w:pPr>
      <w:r w:rsidRPr="002434A9">
        <w:rPr>
          <w:rFonts w:ascii="Book Antiqua" w:eastAsia="Book Antiqua" w:hAnsi="Book Antiqua" w:cs="Book Antiqua"/>
        </w:rPr>
        <w:t xml:space="preserve">Treatment response was categorized as effective, stable, or failure. The response was considered effective if there was an improvement of CPA-related symptoms, laboratory tests, and pulmonary </w:t>
      </w:r>
      <w:r w:rsidR="002656F9" w:rsidRPr="002434A9">
        <w:rPr>
          <w:rFonts w:ascii="Book Antiqua" w:eastAsia="Book Antiqua" w:hAnsi="Book Antiqua" w:cs="Book Antiqua"/>
        </w:rPr>
        <w:t>computed tomography (</w:t>
      </w:r>
      <w:r w:rsidRPr="002434A9">
        <w:rPr>
          <w:rFonts w:ascii="Book Antiqua" w:eastAsia="Book Antiqua" w:hAnsi="Book Antiqua" w:cs="Book Antiqua"/>
        </w:rPr>
        <w:t>CT</w:t>
      </w:r>
      <w:r w:rsidR="002656F9" w:rsidRPr="002434A9">
        <w:rPr>
          <w:rFonts w:ascii="Book Antiqua" w:eastAsia="Book Antiqua" w:hAnsi="Book Antiqua" w:cs="Book Antiqua"/>
        </w:rPr>
        <w:t>)</w:t>
      </w:r>
      <w:r w:rsidRPr="002434A9">
        <w:rPr>
          <w:rFonts w:ascii="Book Antiqua" w:eastAsia="Book Antiqua" w:hAnsi="Book Antiqua" w:cs="Book Antiqua"/>
        </w:rPr>
        <w:t xml:space="preserve">. </w:t>
      </w:r>
      <w:r w:rsidR="00181764" w:rsidRPr="002434A9">
        <w:rPr>
          <w:rFonts w:ascii="Book Antiqua" w:eastAsia="Book Antiqua" w:hAnsi="Book Antiqua" w:cs="Book Antiqua"/>
        </w:rPr>
        <w:t>P</w:t>
      </w:r>
      <w:r w:rsidRPr="002434A9">
        <w:rPr>
          <w:rFonts w:ascii="Book Antiqua" w:eastAsia="Book Antiqua" w:hAnsi="Book Antiqua" w:cs="Book Antiqua"/>
        </w:rPr>
        <w:t>atients with improved CPA-related symptoms or laboratory tests, but without any significant changes in the CT scans constituted the stable group. Patients with aggravating CT scans were part of the treatment failure group.</w:t>
      </w:r>
    </w:p>
    <w:p w14:paraId="370BCB11" w14:textId="77777777" w:rsidR="00A77B3E" w:rsidRPr="00825E3C" w:rsidRDefault="00A77B3E" w:rsidP="002434A9">
      <w:pPr>
        <w:snapToGrid w:val="0"/>
        <w:spacing w:line="360" w:lineRule="auto"/>
        <w:jc w:val="both"/>
      </w:pPr>
    </w:p>
    <w:p w14:paraId="5A7A21DE"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Statistical analyses</w:t>
      </w:r>
    </w:p>
    <w:p w14:paraId="1A72218F" w14:textId="2DDA6F28" w:rsidR="00A77B3E" w:rsidRPr="00825E3C" w:rsidRDefault="00A16191" w:rsidP="002434A9">
      <w:pPr>
        <w:snapToGrid w:val="0"/>
        <w:spacing w:line="360" w:lineRule="auto"/>
        <w:jc w:val="both"/>
      </w:pPr>
      <w:r w:rsidRPr="002434A9">
        <w:rPr>
          <w:rFonts w:ascii="Book Antiqua" w:eastAsia="Book Antiqua" w:hAnsi="Book Antiqua" w:cs="Book Antiqua"/>
        </w:rPr>
        <w:t xml:space="preserve">SPSS19.0 statistical software was used for all statistical analyses. Categorical data were presented as frequencies and percentages. The continuous data </w:t>
      </w:r>
      <w:r w:rsidR="00C40B81" w:rsidRPr="002434A9">
        <w:rPr>
          <w:rFonts w:ascii="Book Antiqua" w:eastAsia="Book Antiqua" w:hAnsi="Book Antiqua" w:cs="Book Antiqua"/>
        </w:rPr>
        <w:t xml:space="preserve">are </w:t>
      </w:r>
      <w:r w:rsidRPr="002434A9">
        <w:rPr>
          <w:rFonts w:ascii="Book Antiqua" w:eastAsia="Book Antiqua" w:hAnsi="Book Antiqua" w:cs="Book Antiqua"/>
        </w:rPr>
        <w:t>presented as mean and standard deviation or as median and ranges. Chi-square or Fisher</w:t>
      </w:r>
      <w:r w:rsidR="00C40B81" w:rsidRPr="002434A9">
        <w:rPr>
          <w:rFonts w:ascii="Book Antiqua" w:eastAsia="Book Antiqua" w:hAnsi="Book Antiqua" w:cs="Book Antiqua"/>
        </w:rPr>
        <w:t>’</w:t>
      </w:r>
      <w:r w:rsidRPr="002434A9">
        <w:rPr>
          <w:rFonts w:ascii="Book Antiqua" w:eastAsia="Book Antiqua" w:hAnsi="Book Antiqua" w:cs="Book Antiqua"/>
        </w:rPr>
        <w:t>s exact tests were used to compare the categorical variables. For normally distributed continuous variables</w:t>
      </w:r>
      <w:r w:rsidR="00C40B81" w:rsidRPr="002434A9">
        <w:rPr>
          <w:rFonts w:ascii="Book Antiqua" w:eastAsia="Book Antiqua" w:hAnsi="Book Antiqua" w:cs="Book Antiqua"/>
        </w:rPr>
        <w:t>, the</w:t>
      </w:r>
      <w:r w:rsidRPr="002434A9">
        <w:rPr>
          <w:rFonts w:ascii="Book Antiqua" w:eastAsia="Book Antiqua" w:hAnsi="Book Antiqua" w:cs="Book Antiqua"/>
        </w:rPr>
        <w:t xml:space="preserve"> independent sample</w:t>
      </w:r>
      <w:r w:rsidR="00C40B81" w:rsidRPr="002434A9">
        <w:rPr>
          <w:rFonts w:ascii="Book Antiqua" w:eastAsia="Book Antiqua" w:hAnsi="Book Antiqua" w:cs="Book Antiqua"/>
        </w:rPr>
        <w:t>s</w:t>
      </w:r>
      <w:r w:rsidRPr="002434A9">
        <w:rPr>
          <w:rFonts w:ascii="Book Antiqua" w:eastAsia="Book Antiqua" w:hAnsi="Book Antiqua" w:cs="Book Antiqua"/>
        </w:rPr>
        <w:t xml:space="preserve"> </w:t>
      </w:r>
      <w:r w:rsidRPr="002434A9">
        <w:rPr>
          <w:rFonts w:ascii="Book Antiqua" w:eastAsia="Book Antiqua" w:hAnsi="Book Antiqua" w:cs="Book Antiqua"/>
          <w:i/>
          <w:iCs/>
        </w:rPr>
        <w:t>t</w:t>
      </w:r>
      <w:r w:rsidRPr="002434A9">
        <w:rPr>
          <w:rFonts w:ascii="Book Antiqua" w:eastAsia="Book Antiqua" w:hAnsi="Book Antiqua" w:cs="Book Antiqua"/>
        </w:rPr>
        <w:t>-test was used. For non</w:t>
      </w:r>
      <w:r w:rsidR="002656F9" w:rsidRPr="002434A9">
        <w:rPr>
          <w:rFonts w:ascii="Book Antiqua" w:eastAsia="Book Antiqua" w:hAnsi="Book Antiqua" w:cs="Book Antiqua"/>
        </w:rPr>
        <w:t>-</w:t>
      </w:r>
      <w:r w:rsidRPr="002434A9">
        <w:rPr>
          <w:rFonts w:ascii="Book Antiqua" w:eastAsia="Book Antiqua" w:hAnsi="Book Antiqua" w:cs="Book Antiqua"/>
        </w:rPr>
        <w:t xml:space="preserve">normally distributed variables </w:t>
      </w:r>
      <w:r w:rsidR="00C40B81" w:rsidRPr="002434A9">
        <w:rPr>
          <w:rFonts w:ascii="Book Antiqua" w:eastAsia="Book Antiqua" w:hAnsi="Book Antiqua" w:cs="Book Antiqua"/>
        </w:rPr>
        <w:t xml:space="preserve">the </w:t>
      </w:r>
      <w:r w:rsidRPr="002434A9">
        <w:rPr>
          <w:rFonts w:ascii="Book Antiqua" w:eastAsia="Book Antiqua" w:hAnsi="Book Antiqua" w:cs="Book Antiqua"/>
        </w:rPr>
        <w:t>Mann</w:t>
      </w:r>
      <w:r w:rsidR="002656F9" w:rsidRPr="002434A9">
        <w:rPr>
          <w:rFonts w:ascii="Book Antiqua" w:eastAsia="Book Antiqua" w:hAnsi="Book Antiqua" w:cs="Book Antiqua"/>
        </w:rPr>
        <w:t>-</w:t>
      </w:r>
      <w:r w:rsidRPr="002434A9">
        <w:rPr>
          <w:rFonts w:ascii="Book Antiqua" w:eastAsia="Book Antiqua" w:hAnsi="Book Antiqua" w:cs="Book Antiqua"/>
        </w:rPr>
        <w:t xml:space="preserve">Whitney </w:t>
      </w:r>
      <w:r w:rsidR="002656F9" w:rsidRPr="002434A9">
        <w:rPr>
          <w:rFonts w:ascii="Book Antiqua" w:eastAsia="Book Antiqua" w:hAnsi="Book Antiqua" w:cs="Book Antiqua"/>
        </w:rPr>
        <w:t xml:space="preserve">U </w:t>
      </w:r>
      <w:r w:rsidRPr="002434A9">
        <w:rPr>
          <w:rFonts w:ascii="Book Antiqua" w:eastAsia="Book Antiqua" w:hAnsi="Book Antiqua" w:cs="Book Antiqua"/>
        </w:rPr>
        <w:t xml:space="preserve">test was applied. Statistical significance was </w:t>
      </w:r>
      <w:r w:rsidR="00C40B81" w:rsidRPr="002434A9">
        <w:rPr>
          <w:rFonts w:ascii="Book Antiqua" w:eastAsia="Book Antiqua" w:hAnsi="Book Antiqua" w:cs="Book Antiqua"/>
        </w:rPr>
        <w:t xml:space="preserve">set </w:t>
      </w:r>
      <w:r w:rsidRPr="002434A9">
        <w:rPr>
          <w:rFonts w:ascii="Book Antiqua" w:eastAsia="Book Antiqua" w:hAnsi="Book Antiqua" w:cs="Book Antiqua"/>
        </w:rPr>
        <w:t xml:space="preserve">at 5% for all the analyses. </w:t>
      </w:r>
    </w:p>
    <w:p w14:paraId="277E319C" w14:textId="77777777" w:rsidR="00A77B3E" w:rsidRPr="00825E3C" w:rsidRDefault="00A77B3E" w:rsidP="002434A9">
      <w:pPr>
        <w:snapToGrid w:val="0"/>
        <w:spacing w:line="360" w:lineRule="auto"/>
        <w:jc w:val="both"/>
      </w:pPr>
    </w:p>
    <w:p w14:paraId="2F41EC2A"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RESULTS</w:t>
      </w:r>
    </w:p>
    <w:p w14:paraId="0F0DCD78"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 xml:space="preserve">Improvement of hepatotoxicity after lowering trough concentrations of voriconazole </w:t>
      </w:r>
    </w:p>
    <w:p w14:paraId="1F902FA4" w14:textId="4F83AF32" w:rsidR="00A77B3E" w:rsidRPr="00825E3C" w:rsidRDefault="00A16191" w:rsidP="002434A9">
      <w:pPr>
        <w:snapToGrid w:val="0"/>
        <w:spacing w:line="360" w:lineRule="auto"/>
        <w:jc w:val="both"/>
      </w:pPr>
      <w:r w:rsidRPr="002434A9">
        <w:rPr>
          <w:rFonts w:ascii="Book Antiqua" w:eastAsia="Book Antiqua" w:hAnsi="Book Antiqua" w:cs="Book Antiqua"/>
        </w:rPr>
        <w:t>Before oral voriconazole treatment of CPA, 12 patients had normal liver function and no history of hepatitis. The patients were treated with a reduced dose due to hepatotoxicity within 28 to 65 d after oral administration of voriconazole (4 mg/kg). Gamma-glutamyltransferase (γ-GGT) levels were significantly elevated in all 12 patients, ranging from 213</w:t>
      </w:r>
      <w:r w:rsidR="00C40B81" w:rsidRPr="002434A9">
        <w:rPr>
          <w:rFonts w:ascii="Book Antiqua" w:eastAsia="Book Antiqua" w:hAnsi="Book Antiqua" w:cs="Book Antiqua"/>
        </w:rPr>
        <w:t xml:space="preserve"> to </w:t>
      </w:r>
      <w:r w:rsidRPr="002434A9">
        <w:rPr>
          <w:rFonts w:ascii="Book Antiqua" w:eastAsia="Book Antiqua" w:hAnsi="Book Antiqua" w:cs="Book Antiqua"/>
        </w:rPr>
        <w:t>996 U/L</w:t>
      </w:r>
      <w:r w:rsidR="002656F9" w:rsidRPr="002434A9">
        <w:rPr>
          <w:rFonts w:ascii="Book Antiqua" w:eastAsia="Book Antiqua" w:hAnsi="Book Antiqua" w:cs="Book Antiqua"/>
        </w:rPr>
        <w:t xml:space="preserve"> </w:t>
      </w:r>
      <w:r w:rsidRPr="002434A9">
        <w:rPr>
          <w:rFonts w:ascii="Book Antiqua" w:eastAsia="Book Antiqua" w:hAnsi="Book Antiqua" w:cs="Book Antiqua"/>
        </w:rPr>
        <w:t>(normal range: 7-50 U/L). Four patients had alanine aminotransferase (normal range: 5-40 U/L)</w:t>
      </w:r>
      <w:r w:rsidR="00D05FC2" w:rsidRPr="002434A9">
        <w:rPr>
          <w:rFonts w:ascii="Book Antiqua" w:eastAsia="Book Antiqua" w:hAnsi="Book Antiqua" w:cs="Book Antiqua"/>
        </w:rPr>
        <w:t xml:space="preserve"> </w:t>
      </w:r>
      <w:r w:rsidRPr="002434A9">
        <w:rPr>
          <w:rFonts w:ascii="Book Antiqua" w:eastAsia="Book Antiqua" w:hAnsi="Book Antiqua" w:cs="Book Antiqua"/>
        </w:rPr>
        <w:t>or aspartate aminotransferase (normal range: 8-40 U/L) more than 3 times the upper limit. The increase in alkaline phosphatase was not significant in 12 patients, with a maximum of only 153 U/L</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(normal range: 40-150 U/L). No patient had elevated bilirubin. </w:t>
      </w:r>
    </w:p>
    <w:p w14:paraId="79805F25" w14:textId="16E28863"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The oral dose of voriconazole was reduced to approximately 3</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C40B81" w:rsidRPr="002434A9">
        <w:rPr>
          <w:rFonts w:ascii="Book Antiqua" w:eastAsia="Book Antiqua" w:hAnsi="Book Antiqua" w:cs="Book Antiqua"/>
        </w:rPr>
        <w:t>seven</w:t>
      </w:r>
      <w:r w:rsidRPr="002434A9">
        <w:rPr>
          <w:rFonts w:ascii="Book Antiqua" w:eastAsia="Book Antiqua" w:hAnsi="Book Antiqua" w:cs="Book Antiqua"/>
        </w:rPr>
        <w:t xml:space="preserve"> patients and approximately 2</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C40B81" w:rsidRPr="002434A9">
        <w:rPr>
          <w:rFonts w:ascii="Book Antiqua" w:eastAsia="Book Antiqua" w:hAnsi="Book Antiqua" w:cs="Book Antiqua"/>
        </w:rPr>
        <w:t>five</w:t>
      </w:r>
      <w:r w:rsidRPr="002434A9">
        <w:rPr>
          <w:rFonts w:ascii="Book Antiqua" w:eastAsia="Book Antiqua" w:hAnsi="Book Antiqua" w:cs="Book Antiqua"/>
        </w:rPr>
        <w:t xml:space="preserve"> patients. The average trough concentrations for the 12 patients before and after voriconazole oral dose reduction were 3.17 ±</w:t>
      </w:r>
      <w:r w:rsidR="00D05FC2" w:rsidRPr="002434A9">
        <w:rPr>
          <w:rFonts w:ascii="Book Antiqua" w:eastAsia="Book Antiqua" w:hAnsi="Book Antiqua" w:cs="Book Antiqua"/>
        </w:rPr>
        <w:t xml:space="preserve"> </w:t>
      </w:r>
      <w:r w:rsidRPr="002434A9">
        <w:rPr>
          <w:rFonts w:ascii="Book Antiqua" w:eastAsia="Book Antiqua" w:hAnsi="Book Antiqua" w:cs="Book Antiqua"/>
        </w:rPr>
        <w:t>1.47 µg/m</w:t>
      </w:r>
      <w:r w:rsidR="00E55F31" w:rsidRPr="002434A9">
        <w:rPr>
          <w:rFonts w:ascii="Book Antiqua" w:eastAsia="Book Antiqua" w:hAnsi="Book Antiqua" w:cs="Book Antiqua"/>
        </w:rPr>
        <w:t>L</w:t>
      </w:r>
      <w:r w:rsidRPr="002434A9">
        <w:rPr>
          <w:rFonts w:ascii="Book Antiqua" w:eastAsia="Book Antiqua" w:hAnsi="Book Antiqua" w:cs="Book Antiqua"/>
        </w:rPr>
        <w:t xml:space="preserve"> (1.5-6.0 µg/mL) and 1.70 ± 0.78 µg/m</w:t>
      </w:r>
      <w:r w:rsidR="00E55F31" w:rsidRPr="002434A9">
        <w:rPr>
          <w:rFonts w:ascii="Book Antiqua" w:eastAsia="Book Antiqua" w:hAnsi="Book Antiqua" w:cs="Book Antiqua"/>
        </w:rPr>
        <w:t>L</w:t>
      </w:r>
      <w:r w:rsidRPr="002434A9">
        <w:rPr>
          <w:rFonts w:ascii="Book Antiqua" w:eastAsia="Book Antiqua" w:hAnsi="Book Antiqua" w:cs="Book Antiqua"/>
        </w:rPr>
        <w:t xml:space="preserve"> (0.6-3.3 µg/mL), respectively (</w:t>
      </w:r>
      <w:r w:rsidR="00D05FC2" w:rsidRPr="002434A9">
        <w:rPr>
          <w:rFonts w:ascii="Book Antiqua" w:eastAsia="Book Antiqua" w:hAnsi="Book Antiqua" w:cs="Book Antiqua"/>
          <w:i/>
          <w:iCs/>
        </w:rPr>
        <w:t>P</w:t>
      </w:r>
      <w:r w:rsidR="00153A0A" w:rsidRPr="002434A9">
        <w:rPr>
          <w:rFonts w:ascii="Book Antiqua" w:eastAsia="Book Antiqua" w:hAnsi="Book Antiqua" w:cs="Book Antiqua"/>
        </w:rPr>
        <w:t xml:space="preserve"> </w:t>
      </w:r>
      <w:r w:rsidRPr="002434A9">
        <w:rPr>
          <w:rFonts w:ascii="Book Antiqua" w:eastAsia="Book Antiqua" w:hAnsi="Book Antiqua" w:cs="Book Antiqua"/>
        </w:rPr>
        <w:t xml:space="preserve">= 0.02). After lowering the trough concentrations, the abnormal liver function of all </w:t>
      </w:r>
      <w:r w:rsidR="00C40B81" w:rsidRPr="002434A9">
        <w:rPr>
          <w:rFonts w:ascii="Book Antiqua" w:eastAsia="Book Antiqua" w:hAnsi="Book Antiqua" w:cs="Book Antiqua"/>
        </w:rPr>
        <w:t xml:space="preserve">12 </w:t>
      </w:r>
      <w:r w:rsidRPr="002434A9">
        <w:rPr>
          <w:rFonts w:ascii="Book Antiqua" w:eastAsia="Book Antiqua" w:hAnsi="Book Antiqua" w:cs="Book Antiqua"/>
        </w:rPr>
        <w:t xml:space="preserve">patients was improved. </w:t>
      </w:r>
      <w:r w:rsidR="00D05FC2" w:rsidRPr="002434A9">
        <w:rPr>
          <w:rFonts w:ascii="Book Antiqua" w:eastAsia="Book Antiqua" w:hAnsi="Book Antiqua" w:cs="Book Antiqua"/>
        </w:rPr>
        <w:t>Alanine aminotransferase</w:t>
      </w:r>
      <w:r w:rsidRPr="002434A9">
        <w:rPr>
          <w:rFonts w:ascii="Book Antiqua" w:eastAsia="Book Antiqua" w:hAnsi="Book Antiqua" w:cs="Book Antiqua"/>
        </w:rPr>
        <w:t xml:space="preserve"> and </w:t>
      </w:r>
      <w:r w:rsidR="00D05FC2" w:rsidRPr="002434A9">
        <w:rPr>
          <w:rFonts w:ascii="Book Antiqua" w:eastAsia="Book Antiqua" w:hAnsi="Book Antiqua" w:cs="Book Antiqua"/>
        </w:rPr>
        <w:t>aspartate aminotransferase</w:t>
      </w:r>
      <w:r w:rsidRPr="002434A9">
        <w:rPr>
          <w:rFonts w:ascii="Book Antiqua" w:eastAsia="Book Antiqua" w:hAnsi="Book Antiqua" w:cs="Book Antiqua"/>
        </w:rPr>
        <w:t xml:space="preserve"> significantly</w:t>
      </w:r>
      <w:r w:rsidR="00C40B81" w:rsidRPr="002434A9">
        <w:rPr>
          <w:rFonts w:ascii="Book Antiqua" w:eastAsia="Book Antiqua" w:hAnsi="Book Antiqua" w:cs="Book Antiqua"/>
        </w:rPr>
        <w:t xml:space="preserve"> improved</w:t>
      </w:r>
      <w:r w:rsidRPr="002434A9">
        <w:rPr>
          <w:rFonts w:ascii="Book Antiqua" w:eastAsia="Book Antiqua" w:hAnsi="Book Antiqua" w:cs="Book Antiqua"/>
        </w:rPr>
        <w:t xml:space="preserve"> and returned to normal levels within 1 mo. However, γ-GGT levels declined slowly. After 1 mo of drug reduction, γ-GGT levels dropped by 42.4</w:t>
      </w:r>
      <w:r w:rsidR="00D05FC2" w:rsidRPr="002434A9">
        <w:rPr>
          <w:rFonts w:ascii="Book Antiqua" w:eastAsia="Book Antiqua" w:hAnsi="Book Antiqua" w:cs="Book Antiqua"/>
        </w:rPr>
        <w:t>%</w:t>
      </w:r>
      <w:r w:rsidRPr="002434A9">
        <w:rPr>
          <w:rFonts w:ascii="Book Antiqua" w:eastAsia="Book Antiqua" w:hAnsi="Book Antiqua" w:cs="Book Antiqua"/>
        </w:rPr>
        <w:t>-75.4%, ranging from 106</w:t>
      </w:r>
      <w:r w:rsidR="00C40B81" w:rsidRPr="002434A9">
        <w:rPr>
          <w:rFonts w:ascii="Book Antiqua" w:eastAsia="Book Antiqua" w:hAnsi="Book Antiqua" w:cs="Book Antiqua"/>
        </w:rPr>
        <w:t xml:space="preserve"> to </w:t>
      </w:r>
      <w:r w:rsidRPr="002434A9">
        <w:rPr>
          <w:rFonts w:ascii="Book Antiqua" w:eastAsia="Book Antiqua" w:hAnsi="Book Antiqua" w:cs="Book Antiqua"/>
        </w:rPr>
        <w:t xml:space="preserve">384 U/L. After 4 mo, only </w:t>
      </w:r>
      <w:r w:rsidR="00C40B81" w:rsidRPr="002434A9">
        <w:rPr>
          <w:rFonts w:ascii="Book Antiqua" w:eastAsia="Book Antiqua" w:hAnsi="Book Antiqua" w:cs="Book Antiqua"/>
        </w:rPr>
        <w:t>three</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patients had γ-GGT levels returned to normal levels, </w:t>
      </w:r>
      <w:r w:rsidR="00C40B81" w:rsidRPr="002434A9">
        <w:rPr>
          <w:rFonts w:ascii="Book Antiqua" w:eastAsia="Book Antiqua" w:hAnsi="Book Antiqua" w:cs="Book Antiqua"/>
        </w:rPr>
        <w:t xml:space="preserve">and </w:t>
      </w:r>
      <w:r w:rsidRPr="002434A9">
        <w:rPr>
          <w:rFonts w:ascii="Book Antiqua" w:eastAsia="Book Antiqua" w:hAnsi="Book Antiqua" w:cs="Book Antiqua"/>
        </w:rPr>
        <w:t xml:space="preserve">there were still </w:t>
      </w:r>
      <w:r w:rsidR="00C40B81" w:rsidRPr="002434A9">
        <w:rPr>
          <w:rFonts w:ascii="Book Antiqua" w:eastAsia="Book Antiqua" w:hAnsi="Book Antiqua" w:cs="Book Antiqua"/>
        </w:rPr>
        <w:t>five</w:t>
      </w:r>
      <w:r w:rsidRPr="002434A9">
        <w:rPr>
          <w:rFonts w:ascii="Book Antiqua" w:eastAsia="Book Antiqua" w:hAnsi="Book Antiqua" w:cs="Book Antiqua"/>
        </w:rPr>
        <w:t xml:space="preserve"> patients whose GGT level was 2 times higher than the upper limit (Figure 1). </w:t>
      </w:r>
    </w:p>
    <w:p w14:paraId="4CCF13F7" w14:textId="7115CDC7" w:rsidR="00A77B3E" w:rsidRPr="002434A9" w:rsidRDefault="00A16191" w:rsidP="002434A9">
      <w:pPr>
        <w:snapToGrid w:val="0"/>
        <w:spacing w:line="360" w:lineRule="auto"/>
        <w:ind w:firstLineChars="100" w:firstLine="240"/>
        <w:jc w:val="both"/>
        <w:rPr>
          <w:rFonts w:ascii="Book Antiqua" w:eastAsia="Book Antiqua" w:hAnsi="Book Antiqua" w:cs="Book Antiqua"/>
        </w:rPr>
      </w:pPr>
      <w:r w:rsidRPr="002434A9">
        <w:rPr>
          <w:rFonts w:ascii="Book Antiqua" w:eastAsia="Book Antiqua" w:hAnsi="Book Antiqua" w:cs="Book Antiqua"/>
        </w:rPr>
        <w:t>The CYP2C19 genotype</w:t>
      </w:r>
      <w:r w:rsidR="00C40B81" w:rsidRPr="002434A9">
        <w:rPr>
          <w:rFonts w:ascii="Book Antiqua" w:eastAsia="Book Antiqua" w:hAnsi="Book Antiqua" w:cs="Book Antiqua"/>
        </w:rPr>
        <w:t>s</w:t>
      </w:r>
      <w:r w:rsidRPr="002434A9">
        <w:rPr>
          <w:rFonts w:ascii="Book Antiqua" w:eastAsia="Book Antiqua" w:hAnsi="Book Antiqua" w:cs="Book Antiqua"/>
        </w:rPr>
        <w:t xml:space="preserve"> in 12 patients were CYP2C19*1/*2 </w:t>
      </w:r>
      <w:r w:rsidR="00D05FC2" w:rsidRPr="002434A9">
        <w:rPr>
          <w:rFonts w:ascii="Book Antiqua" w:eastAsia="Book Antiqua" w:hAnsi="Book Antiqua" w:cs="Book Antiqua"/>
        </w:rPr>
        <w:t>(</w:t>
      </w:r>
      <w:r w:rsidRPr="002434A9">
        <w:rPr>
          <w:rFonts w:ascii="Book Antiqua" w:eastAsia="Book Antiqua" w:hAnsi="Book Antiqua" w:cs="Book Antiqua"/>
          <w:i/>
          <w:iCs/>
        </w:rPr>
        <w:t>n</w:t>
      </w:r>
      <w:r w:rsidRPr="002434A9">
        <w:rPr>
          <w:rFonts w:ascii="Book Antiqua" w:eastAsia="Book Antiqua" w:hAnsi="Book Antiqua" w:cs="Book Antiqua"/>
        </w:rPr>
        <w:t xml:space="preserve"> = 4), CYP2C19*1/*3 </w:t>
      </w:r>
      <w:r w:rsidR="00D05FC2" w:rsidRPr="002434A9">
        <w:rPr>
          <w:rFonts w:ascii="Book Antiqua" w:eastAsia="Book Antiqua" w:hAnsi="Book Antiqua" w:cs="Book Antiqua"/>
        </w:rPr>
        <w:t>(</w:t>
      </w:r>
      <w:r w:rsidRPr="002434A9">
        <w:rPr>
          <w:rFonts w:ascii="Book Antiqua" w:eastAsia="Book Antiqua" w:hAnsi="Book Antiqua" w:cs="Book Antiqua"/>
          <w:i/>
          <w:iCs/>
        </w:rPr>
        <w:t>n</w:t>
      </w:r>
      <w:r w:rsidRPr="002434A9">
        <w:rPr>
          <w:rFonts w:ascii="Book Antiqua" w:eastAsia="Book Antiqua" w:hAnsi="Book Antiqua" w:cs="Book Antiqua"/>
        </w:rPr>
        <w:t xml:space="preserve"> = 5), and CYP2C19*2/*2 </w:t>
      </w:r>
      <w:r w:rsidR="00D05FC2" w:rsidRPr="002434A9">
        <w:rPr>
          <w:rFonts w:ascii="Book Antiqua" w:eastAsia="Book Antiqua" w:hAnsi="Book Antiqua" w:cs="Book Antiqua"/>
        </w:rPr>
        <w:t>(</w:t>
      </w:r>
      <w:r w:rsidRPr="002434A9">
        <w:rPr>
          <w:rFonts w:ascii="Book Antiqua" w:eastAsia="Book Antiqua" w:hAnsi="Book Antiqua" w:cs="Book Antiqua"/>
          <w:i/>
          <w:iCs/>
        </w:rPr>
        <w:t>n</w:t>
      </w:r>
      <w:r w:rsidRPr="002434A9">
        <w:rPr>
          <w:rFonts w:ascii="Book Antiqua" w:eastAsia="Book Antiqua" w:hAnsi="Book Antiqua" w:cs="Book Antiqua"/>
        </w:rPr>
        <w:t xml:space="preserve"> = 3)</w:t>
      </w:r>
      <w:r w:rsidR="00D05FC2" w:rsidRPr="002434A9">
        <w:rPr>
          <w:rFonts w:ascii="Book Antiqua" w:eastAsia="Book Antiqua" w:hAnsi="Book Antiqua" w:cs="Book Antiqua"/>
        </w:rPr>
        <w:t>.</w:t>
      </w:r>
    </w:p>
    <w:p w14:paraId="55A2F102" w14:textId="77777777" w:rsidR="00D05FC2" w:rsidRPr="00825E3C" w:rsidRDefault="00D05FC2" w:rsidP="002434A9">
      <w:pPr>
        <w:snapToGrid w:val="0"/>
        <w:spacing w:line="360" w:lineRule="auto"/>
        <w:jc w:val="both"/>
      </w:pPr>
    </w:p>
    <w:p w14:paraId="3F3DB895"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shd w:val="clear" w:color="auto" w:fill="FFFFFF"/>
        </w:rPr>
        <w:t>Comparison of treatment effects between two groups</w:t>
      </w:r>
    </w:p>
    <w:p w14:paraId="3DDEFB67" w14:textId="5433D3E5" w:rsidR="00A77B3E" w:rsidRPr="00825E3C" w:rsidRDefault="00A16191" w:rsidP="002434A9">
      <w:pPr>
        <w:snapToGrid w:val="0"/>
        <w:spacing w:line="360" w:lineRule="auto"/>
        <w:jc w:val="both"/>
      </w:pPr>
      <w:r w:rsidRPr="002434A9">
        <w:rPr>
          <w:rFonts w:ascii="Book Antiqua" w:eastAsia="Book Antiqua" w:hAnsi="Book Antiqua" w:cs="Book Antiqua"/>
          <w:shd w:val="clear" w:color="auto" w:fill="FFFFFF"/>
        </w:rPr>
        <w:t>Among the total 37 patients, voriconazole was indicated as the first-line treatment for CPA in 30 patients (81.1%) and second-line treatment in 7 patients (18.9%)</w:t>
      </w:r>
      <w:r w:rsidR="00C40B81" w:rsidRPr="002434A9">
        <w:rPr>
          <w:rFonts w:ascii="Book Antiqua" w:eastAsia="Book Antiqua" w:hAnsi="Book Antiqua" w:cs="Book Antiqua"/>
          <w:shd w:val="clear" w:color="auto" w:fill="FFFFFF"/>
        </w:rPr>
        <w:t>. T</w:t>
      </w:r>
      <w:r w:rsidRPr="002434A9">
        <w:rPr>
          <w:rFonts w:ascii="Book Antiqua" w:eastAsia="Book Antiqua" w:hAnsi="Book Antiqua" w:cs="Book Antiqua"/>
          <w:shd w:val="clear" w:color="auto" w:fill="FFFFFF"/>
        </w:rPr>
        <w:t>hese second-line treatment patients had previously received itraconazole therapy with a mean treatment time of 42.5 d. The mean voriconazole trough concentration of 12 patients in the reduced</w:t>
      </w:r>
      <w:r w:rsidR="00C40B81"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dose group and 25 patients in the standard</w:t>
      </w:r>
      <w:r w:rsidR="00C40B81"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dose group were 1.70 ± 0.78 µg/m</w:t>
      </w:r>
      <w:r w:rsidR="00E55F31" w:rsidRPr="002434A9">
        <w:rPr>
          <w:rFonts w:ascii="Book Antiqua" w:eastAsia="Book Antiqua" w:hAnsi="Book Antiqua" w:cs="Book Antiqua"/>
          <w:shd w:val="clear" w:color="auto" w:fill="FFFFFF"/>
        </w:rPr>
        <w:t>L</w:t>
      </w:r>
      <w:r w:rsidRPr="002434A9">
        <w:rPr>
          <w:rFonts w:ascii="Book Antiqua" w:eastAsia="Book Antiqua" w:hAnsi="Book Antiqua" w:cs="Book Antiqua"/>
          <w:shd w:val="clear" w:color="auto" w:fill="FFFFFF"/>
        </w:rPr>
        <w:t xml:space="preserve"> (0.6-3.3 µg/m</w:t>
      </w:r>
      <w:r w:rsidR="00E55F31" w:rsidRPr="002434A9">
        <w:rPr>
          <w:rFonts w:ascii="Book Antiqua" w:eastAsia="Book Antiqua" w:hAnsi="Book Antiqua" w:cs="Book Antiqua"/>
          <w:shd w:val="clear" w:color="auto" w:fill="FFFFFF"/>
        </w:rPr>
        <w:t>L</w:t>
      </w:r>
      <w:r w:rsidRPr="002434A9">
        <w:rPr>
          <w:rFonts w:ascii="Book Antiqua" w:eastAsia="Book Antiqua" w:hAnsi="Book Antiqua" w:cs="Book Antiqua"/>
          <w:shd w:val="clear" w:color="auto" w:fill="FFFFFF"/>
        </w:rPr>
        <w:t>) and 2.22 ± 0.94 µg/m</w:t>
      </w:r>
      <w:r w:rsidR="00E55F31" w:rsidRPr="002434A9">
        <w:rPr>
          <w:rFonts w:ascii="Book Antiqua" w:eastAsia="Book Antiqua" w:hAnsi="Book Antiqua" w:cs="Book Antiqua"/>
          <w:shd w:val="clear" w:color="auto" w:fill="FFFFFF"/>
        </w:rPr>
        <w:t>L</w:t>
      </w:r>
      <w:r w:rsidRPr="002434A9">
        <w:rPr>
          <w:rFonts w:ascii="Book Antiqua" w:eastAsia="Book Antiqua" w:hAnsi="Book Antiqua" w:cs="Book Antiqua"/>
          <w:shd w:val="clear" w:color="auto" w:fill="FFFFFF"/>
        </w:rPr>
        <w:t xml:space="preserve"> (0.8-4.1 µg/mL), respectively. There was no significant difference in blood drug concentration between the two groups (</w:t>
      </w:r>
      <w:r w:rsidR="00D05FC2" w:rsidRPr="002434A9">
        <w:rPr>
          <w:rFonts w:ascii="Book Antiqua" w:eastAsia="Book Antiqua" w:hAnsi="Book Antiqua" w:cs="Book Antiqua"/>
          <w:i/>
          <w:iCs/>
          <w:shd w:val="clear" w:color="auto" w:fill="FFFFFF"/>
        </w:rPr>
        <w:t>P</w:t>
      </w:r>
      <w:r w:rsidR="00153A0A"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w:t>
      </w:r>
      <w:r w:rsidR="00D05FC2"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0.10). A comparison of different parameters between the two groups is shown in Table 1.</w:t>
      </w:r>
    </w:p>
    <w:p w14:paraId="2E5F7F00" w14:textId="4812EE31"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shd w:val="clear" w:color="auto" w:fill="FFFFFF"/>
        </w:rPr>
        <w:t>After the 4 mo treatment, in the reduced dose group, 5 of the 12 patients (41.7%) were clinically effective. In the standard</w:t>
      </w:r>
      <w:r w:rsidR="00CA7EFF"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dose group, 8 of the 25 patients (32%)</w:t>
      </w:r>
      <w:r w:rsidR="00D05FC2"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were clinically effective after 4 mo. There was no statistically significant difference between the two groups (</w:t>
      </w:r>
      <w:r w:rsidR="00D05FC2" w:rsidRPr="002434A9">
        <w:rPr>
          <w:rFonts w:ascii="Book Antiqua" w:eastAsia="Book Antiqua" w:hAnsi="Book Antiqua" w:cs="Book Antiqua"/>
          <w:i/>
          <w:iCs/>
          <w:shd w:val="clear" w:color="auto" w:fill="FFFFFF"/>
        </w:rPr>
        <w:t>P</w:t>
      </w:r>
      <w:r w:rsidR="00153A0A"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 xml:space="preserve">= 0.72). </w:t>
      </w:r>
    </w:p>
    <w:p w14:paraId="20980203" w14:textId="77777777" w:rsidR="00A77B3E" w:rsidRPr="00825E3C" w:rsidRDefault="00A77B3E" w:rsidP="002434A9">
      <w:pPr>
        <w:snapToGrid w:val="0"/>
        <w:spacing w:line="360" w:lineRule="auto"/>
        <w:jc w:val="both"/>
      </w:pPr>
    </w:p>
    <w:p w14:paraId="0291ECDC"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DISCUSSION</w:t>
      </w:r>
    </w:p>
    <w:p w14:paraId="33385724" w14:textId="19489AD4" w:rsidR="00A77B3E" w:rsidRPr="00825E3C" w:rsidRDefault="00A16191" w:rsidP="002434A9">
      <w:pPr>
        <w:snapToGrid w:val="0"/>
        <w:spacing w:line="360" w:lineRule="auto"/>
        <w:jc w:val="both"/>
      </w:pPr>
      <w:r w:rsidRPr="002434A9">
        <w:rPr>
          <w:rFonts w:ascii="Book Antiqua" w:eastAsia="Book Antiqua" w:hAnsi="Book Antiqua" w:cs="Book Antiqua"/>
        </w:rPr>
        <w:t xml:space="preserve">The treatment guidelines for CPA recommends switching to other antifungal agents such as posaconazole or itraconazole in </w:t>
      </w:r>
      <w:r w:rsidR="00CA7EFF" w:rsidRPr="002434A9">
        <w:rPr>
          <w:rFonts w:ascii="Book Antiqua" w:eastAsia="Book Antiqua" w:hAnsi="Book Antiqua" w:cs="Book Antiqua"/>
        </w:rPr>
        <w:t xml:space="preserve">the </w:t>
      </w:r>
      <w:r w:rsidRPr="002434A9">
        <w:rPr>
          <w:rFonts w:ascii="Book Antiqua" w:eastAsia="Book Antiqua" w:hAnsi="Book Antiqua" w:cs="Book Antiqua"/>
        </w:rPr>
        <w:t>event of adverse drug reactions due to oral voriconazole</w:t>
      </w:r>
      <w:r w:rsidR="00D05FC2" w:rsidRPr="002434A9">
        <w:rPr>
          <w:rFonts w:ascii="Book Antiqua" w:eastAsia="Book Antiqua" w:hAnsi="Book Antiqua" w:cs="Book Antiqua"/>
          <w:vertAlign w:val="superscript"/>
        </w:rPr>
        <w:t>[10]</w:t>
      </w:r>
      <w:r w:rsidRPr="002434A9">
        <w:rPr>
          <w:rFonts w:ascii="Book Antiqua" w:eastAsia="Book Antiqua" w:hAnsi="Book Antiqua" w:cs="Book Antiqua"/>
        </w:rPr>
        <w:t>. The adverse reaction rate of itraconazole is higher (40</w:t>
      </w:r>
      <w:r w:rsidR="00153A0A" w:rsidRPr="002434A9">
        <w:rPr>
          <w:rFonts w:ascii="Book Antiqua" w:eastAsia="Book Antiqua" w:hAnsi="Book Antiqua" w:cs="Book Antiqua"/>
        </w:rPr>
        <w:t>%-</w:t>
      </w:r>
      <w:r w:rsidRPr="002434A9">
        <w:rPr>
          <w:rFonts w:ascii="Book Antiqua" w:eastAsia="Book Antiqua" w:hAnsi="Book Antiqua" w:cs="Book Antiqua"/>
        </w:rPr>
        <w:t>50% of patients) and the symptoms include gastrointestinal upset, hair loss, peripheral neuropathy, hypertension</w:t>
      </w:r>
      <w:r w:rsidR="00CA7EFF" w:rsidRPr="002434A9">
        <w:rPr>
          <w:rFonts w:ascii="Book Antiqua" w:eastAsia="Book Antiqua" w:hAnsi="Book Antiqua" w:cs="Book Antiqua"/>
        </w:rPr>
        <w:t>,</w:t>
      </w:r>
      <w:r w:rsidRPr="002434A9">
        <w:rPr>
          <w:rFonts w:ascii="Book Antiqua" w:eastAsia="Book Antiqua" w:hAnsi="Book Antiqua" w:cs="Book Antiqua"/>
        </w:rPr>
        <w:t xml:space="preserve"> and ankle edema</w:t>
      </w:r>
      <w:r w:rsidR="00D05FC2" w:rsidRPr="002434A9">
        <w:rPr>
          <w:rFonts w:ascii="Book Antiqua" w:eastAsia="Book Antiqua" w:hAnsi="Book Antiqua" w:cs="Book Antiqua"/>
          <w:vertAlign w:val="superscript"/>
        </w:rPr>
        <w:t>[</w:t>
      </w:r>
      <w:r w:rsidRPr="002434A9">
        <w:rPr>
          <w:rFonts w:ascii="Book Antiqua" w:eastAsia="Book Antiqua" w:hAnsi="Book Antiqua" w:cs="Book Antiqua"/>
          <w:vertAlign w:val="superscript"/>
        </w:rPr>
        <w:t>11</w:t>
      </w:r>
      <w:r w:rsidR="00D05FC2" w:rsidRPr="002434A9">
        <w:rPr>
          <w:rFonts w:ascii="Book Antiqua" w:eastAsia="Book Antiqua" w:hAnsi="Book Antiqua" w:cs="Book Antiqua"/>
          <w:vertAlign w:val="superscript"/>
        </w:rPr>
        <w:t>]</w:t>
      </w:r>
      <w:r w:rsidRPr="002434A9">
        <w:rPr>
          <w:rFonts w:ascii="Book Antiqua" w:eastAsia="Book Antiqua" w:hAnsi="Book Antiqua" w:cs="Book Antiqua"/>
        </w:rPr>
        <w:t xml:space="preserve">. Also, due to the high price of posaconazole, it is difficult for many patients to afford it for a long time. Before giving up voriconazole treatment completely, we tried to adjust the trough concentrations of voriconazole to reduce the adverse drug reactions, so that patients can tolerate long-term drug treatment. </w:t>
      </w:r>
    </w:p>
    <w:p w14:paraId="1373C1CC" w14:textId="1168865E"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Recently, several independent studies have found that trough concentration is closely related to the adverse events such as hepatotoxicity, visual disturbances, and hallucinations</w:t>
      </w:r>
      <w:r w:rsidR="00D05FC2" w:rsidRPr="002434A9">
        <w:rPr>
          <w:rFonts w:ascii="Book Antiqua" w:eastAsia="Book Antiqua" w:hAnsi="Book Antiqua" w:cs="Book Antiqua"/>
          <w:vertAlign w:val="superscript"/>
        </w:rPr>
        <w:t>[6,12-15]</w:t>
      </w:r>
      <w:r w:rsidRPr="002434A9">
        <w:rPr>
          <w:rFonts w:ascii="Book Antiqua" w:eastAsia="Book Antiqua" w:hAnsi="Book Antiqua" w:cs="Book Antiqua"/>
        </w:rPr>
        <w:t>. A reduction in the voriconazole dose can lower its trough concentration and reduce or eliminate the adverse drug reactions</w:t>
      </w:r>
      <w:r w:rsidR="00D05FC2" w:rsidRPr="002434A9">
        <w:rPr>
          <w:rFonts w:ascii="Book Antiqua" w:eastAsia="Book Antiqua" w:hAnsi="Book Antiqua" w:cs="Book Antiqua"/>
          <w:vertAlign w:val="superscript"/>
        </w:rPr>
        <w:t>[16]</w:t>
      </w:r>
      <w:r w:rsidRPr="002434A9">
        <w:rPr>
          <w:rFonts w:ascii="Book Antiqua" w:eastAsia="Book Antiqua" w:hAnsi="Book Antiqua" w:cs="Book Antiqua"/>
        </w:rPr>
        <w:t>. Japanese scholars have reported that patients with hepatotoxicity ha</w:t>
      </w:r>
      <w:r w:rsidR="00CA7EFF" w:rsidRPr="002434A9">
        <w:rPr>
          <w:rFonts w:ascii="Book Antiqua" w:eastAsia="Book Antiqua" w:hAnsi="Book Antiqua" w:cs="Book Antiqua"/>
        </w:rPr>
        <w:t>ve</w:t>
      </w:r>
      <w:r w:rsidRPr="002434A9">
        <w:rPr>
          <w:rFonts w:ascii="Book Antiqua" w:eastAsia="Book Antiqua" w:hAnsi="Book Antiqua" w:cs="Book Antiqua"/>
        </w:rPr>
        <w:t xml:space="preserve"> improved liver function after reducing the trough concentrations of voriconazole</w:t>
      </w:r>
      <w:r w:rsidR="00D05FC2" w:rsidRPr="002434A9">
        <w:rPr>
          <w:rFonts w:ascii="Book Antiqua" w:eastAsia="Book Antiqua" w:hAnsi="Book Antiqua" w:cs="Book Antiqua"/>
          <w:vertAlign w:val="superscript"/>
        </w:rPr>
        <w:t>[17]</w:t>
      </w:r>
      <w:r w:rsidRPr="002434A9">
        <w:rPr>
          <w:rFonts w:ascii="Book Antiqua" w:eastAsia="Book Antiqua" w:hAnsi="Book Antiqua" w:cs="Book Antiqua"/>
        </w:rPr>
        <w:t xml:space="preserve">. Our findings further corroborate these observations. All 12 patients had different levels of improvement in liver function after reducing the concentration of voriconazole. </w:t>
      </w:r>
    </w:p>
    <w:p w14:paraId="5ADE5EB0" w14:textId="4E755836"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 xml:space="preserve">In 12 patients, the hepatotoxicity of voriconazole mainly manifested </w:t>
      </w:r>
      <w:r w:rsidR="00CA7EFF" w:rsidRPr="002434A9">
        <w:rPr>
          <w:rFonts w:ascii="Book Antiqua" w:eastAsia="Book Antiqua" w:hAnsi="Book Antiqua" w:cs="Book Antiqua"/>
        </w:rPr>
        <w:t xml:space="preserve">as </w:t>
      </w:r>
      <w:r w:rsidRPr="002434A9">
        <w:rPr>
          <w:rFonts w:ascii="Book Antiqua" w:eastAsia="Book Antiqua" w:hAnsi="Book Antiqua" w:cs="Book Antiqua"/>
        </w:rPr>
        <w:t>a significant increase in γ-GGT, higher than 200 U/L in all patients. γ-GGT is an enzyme that is present in hepatocytes and biliary epithelial cells</w:t>
      </w:r>
      <w:r w:rsidR="00D05FC2" w:rsidRPr="002434A9">
        <w:rPr>
          <w:rFonts w:ascii="Book Antiqua" w:eastAsia="Book Antiqua" w:hAnsi="Book Antiqua" w:cs="Book Antiqua"/>
          <w:vertAlign w:val="superscript"/>
        </w:rPr>
        <w:t>[18]</w:t>
      </w:r>
      <w:r w:rsidRPr="002434A9">
        <w:rPr>
          <w:rFonts w:ascii="Book Antiqua" w:eastAsia="Book Antiqua" w:hAnsi="Book Antiqua" w:cs="Book Antiqua"/>
        </w:rPr>
        <w:t>. In certain diseases, γ-GGT serum levels can be</w:t>
      </w:r>
      <w:r w:rsidR="00D05FC2" w:rsidRPr="002434A9">
        <w:rPr>
          <w:rFonts w:ascii="Book Antiqua" w:eastAsia="Book Antiqua" w:hAnsi="Book Antiqua" w:cs="Book Antiqua"/>
        </w:rPr>
        <w:t xml:space="preserve"> </w:t>
      </w:r>
      <w:r w:rsidRPr="002434A9">
        <w:rPr>
          <w:rFonts w:ascii="Book Antiqua" w:eastAsia="Book Antiqua" w:hAnsi="Book Antiqua" w:cs="Book Antiqua"/>
        </w:rPr>
        <w:t>&gt; 10 times the reference value. The guidelines of the Chinese pharmacology society recommend that voriconazole be withdrawn when the patient γ-GGT level is 5 times above the upper limit</w:t>
      </w:r>
      <w:r w:rsidR="00D05FC2" w:rsidRPr="002434A9">
        <w:rPr>
          <w:rFonts w:ascii="Book Antiqua" w:eastAsia="Book Antiqua" w:hAnsi="Book Antiqua" w:cs="Book Antiqua"/>
          <w:vertAlign w:val="superscript"/>
        </w:rPr>
        <w:t>[9]</w:t>
      </w:r>
      <w:r w:rsidRPr="002434A9">
        <w:rPr>
          <w:rFonts w:ascii="Book Antiqua" w:eastAsia="Book Antiqua" w:hAnsi="Book Antiqua" w:cs="Book Antiqua"/>
        </w:rPr>
        <w:t xml:space="preserve">. However, in this study, γ-GGT levels were 6-20 times higher than the upper limit in </w:t>
      </w:r>
      <w:r w:rsidR="00CA7EFF" w:rsidRPr="002434A9">
        <w:rPr>
          <w:rFonts w:ascii="Book Antiqua" w:eastAsia="Book Antiqua" w:hAnsi="Book Antiqua" w:cs="Book Antiqua"/>
        </w:rPr>
        <w:t>eight</w:t>
      </w:r>
      <w:r w:rsidRPr="002434A9">
        <w:rPr>
          <w:rFonts w:ascii="Book Antiqua" w:eastAsia="Book Antiqua" w:hAnsi="Book Antiqua" w:cs="Book Antiqua"/>
        </w:rPr>
        <w:t xml:space="preserve"> patients. After reducing the lower limit of trough concentration to 0.5 µg/mL, all patients could tolerate long-term treatment, </w:t>
      </w:r>
      <w:r w:rsidR="00CA7EFF" w:rsidRPr="002434A9">
        <w:rPr>
          <w:rFonts w:ascii="Book Antiqua" w:eastAsia="Book Antiqua" w:hAnsi="Book Antiqua" w:cs="Book Antiqua"/>
        </w:rPr>
        <w:t xml:space="preserve">and </w:t>
      </w:r>
      <w:r w:rsidRPr="002434A9">
        <w:rPr>
          <w:rFonts w:ascii="Book Antiqua" w:eastAsia="Book Antiqua" w:hAnsi="Book Antiqua" w:cs="Book Antiqua"/>
        </w:rPr>
        <w:t>no further deterioration of liver function was observed. This result suggests</w:t>
      </w:r>
      <w:r w:rsidR="00CA7EFF" w:rsidRPr="002434A9">
        <w:rPr>
          <w:rFonts w:ascii="Book Antiqua" w:eastAsia="Book Antiqua" w:hAnsi="Book Antiqua" w:cs="Book Antiqua"/>
        </w:rPr>
        <w:t xml:space="preserve"> that</w:t>
      </w:r>
      <w:r w:rsidRPr="002434A9">
        <w:rPr>
          <w:rFonts w:ascii="Book Antiqua" w:eastAsia="Book Antiqua" w:hAnsi="Book Antiqua" w:cs="Book Antiqua"/>
        </w:rPr>
        <w:t xml:space="preserve"> patients without underlying liver disease can tolerate the significant increase in γ-GGT. Voriconazole reduction treatment could be tried instead of withdrawal.</w:t>
      </w:r>
    </w:p>
    <w:p w14:paraId="1FE36CE4" w14:textId="71C23D5D"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The optimal trough concentration of voriconazole in patients with CPA is currently uncertain. Many studies have used a voriconazole trough plasma concentration &gt; 1 µg/mL as the lower cut-off in patients with invasive pulmonary aspergillosis</w:t>
      </w:r>
      <w:r w:rsidR="00D05FC2" w:rsidRPr="002434A9">
        <w:rPr>
          <w:rFonts w:ascii="Book Antiqua" w:eastAsia="Book Antiqua" w:hAnsi="Book Antiqua" w:cs="Book Antiqua"/>
          <w:vertAlign w:val="superscript"/>
        </w:rPr>
        <w:t>[10,19]</w:t>
      </w:r>
      <w:r w:rsidRPr="002434A9">
        <w:rPr>
          <w:rFonts w:ascii="Book Antiqua" w:eastAsia="Book Antiqua" w:hAnsi="Book Antiqua" w:cs="Book Antiqua"/>
        </w:rPr>
        <w:t xml:space="preserve">. However, it may not be the best choice for CPA patients. Based on various </w:t>
      </w:r>
      <w:r w:rsidRPr="002434A9">
        <w:rPr>
          <w:rFonts w:ascii="Book Antiqua" w:eastAsia="Book Antiqua" w:hAnsi="Book Antiqua" w:cs="Book Antiqua"/>
          <w:i/>
          <w:iCs/>
        </w:rPr>
        <w:t>in vitro</w:t>
      </w:r>
      <w:r w:rsidRPr="002434A9">
        <w:rPr>
          <w:rFonts w:ascii="Book Antiqua" w:eastAsia="Book Antiqua" w:hAnsi="Book Antiqua" w:cs="Book Antiqua"/>
        </w:rPr>
        <w:t xml:space="preserve"> studies, voriconazole </w:t>
      </w:r>
      <w:r w:rsidR="000B6FDB" w:rsidRPr="002434A9">
        <w:rPr>
          <w:rFonts w:ascii="Book Antiqua" w:eastAsia="Book Antiqua" w:hAnsi="Book Antiqua" w:cs="Book Antiqua"/>
        </w:rPr>
        <w:t>minimum inhibitory concentration</w:t>
      </w:r>
      <w:r w:rsidRPr="002434A9">
        <w:rPr>
          <w:rFonts w:ascii="Book Antiqua" w:eastAsia="Book Antiqua" w:hAnsi="Book Antiqua" w:cs="Book Antiqua"/>
        </w:rPr>
        <w:t>s are reported</w:t>
      </w:r>
      <w:r w:rsidR="00C82EBE" w:rsidRPr="002434A9">
        <w:rPr>
          <w:rFonts w:ascii="Book Antiqua" w:eastAsia="Book Antiqua" w:hAnsi="Book Antiqua" w:cs="Book Antiqua"/>
        </w:rPr>
        <w:t>ly</w:t>
      </w:r>
      <w:r w:rsidRPr="002434A9">
        <w:rPr>
          <w:rFonts w:ascii="Book Antiqua" w:eastAsia="Book Antiqua" w:hAnsi="Book Antiqua" w:cs="Book Antiqua"/>
        </w:rPr>
        <w:t xml:space="preserve"> between 0.5 and 1 µg/mL for most of the Aspergillus species</w:t>
      </w:r>
      <w:r w:rsidR="00D05FC2" w:rsidRPr="002434A9">
        <w:rPr>
          <w:rFonts w:ascii="Book Antiqua" w:eastAsia="Book Antiqua" w:hAnsi="Book Antiqua" w:cs="Book Antiqua"/>
          <w:vertAlign w:val="superscript"/>
        </w:rPr>
        <w:t>[20]</w:t>
      </w:r>
      <w:r w:rsidRPr="002434A9">
        <w:rPr>
          <w:rFonts w:ascii="Book Antiqua" w:eastAsia="Book Antiqua" w:hAnsi="Book Antiqua" w:cs="Book Antiqua"/>
        </w:rPr>
        <w:t>. A meta-analysis involving 21 studies (including 1158 patients) demonstrated that the trough concentration of voriconazole should be maintained above 0.5 µg/mL</w:t>
      </w:r>
      <w:r w:rsidR="008B5DA4" w:rsidRPr="002434A9">
        <w:rPr>
          <w:rFonts w:ascii="Book Antiqua" w:eastAsia="Book Antiqua" w:hAnsi="Book Antiqua" w:cs="Book Antiqua"/>
          <w:vertAlign w:val="superscript"/>
        </w:rPr>
        <w:t>[21]</w:t>
      </w:r>
      <w:r w:rsidRPr="002434A9">
        <w:rPr>
          <w:rFonts w:ascii="Book Antiqua" w:eastAsia="Book Antiqua" w:hAnsi="Book Antiqua" w:cs="Book Antiqua"/>
        </w:rPr>
        <w:t>. In 2018, a practice guideline of the Chinese Pharmacological Society recommend 0.5 µg/mL as the lower limit of the voriconazole trough concentration</w:t>
      </w:r>
      <w:r w:rsidR="008B5DA4" w:rsidRPr="002434A9">
        <w:rPr>
          <w:rFonts w:ascii="Book Antiqua" w:eastAsia="Book Antiqua" w:hAnsi="Book Antiqua" w:cs="Book Antiqua"/>
          <w:vertAlign w:val="superscript"/>
        </w:rPr>
        <w:t>[9]</w:t>
      </w:r>
      <w:r w:rsidRPr="002434A9">
        <w:rPr>
          <w:rFonts w:ascii="Book Antiqua" w:eastAsia="Book Antiqua" w:hAnsi="Book Antiqua" w:cs="Book Antiqua"/>
        </w:rPr>
        <w:t>. Our retrospective study confirms that the trough concentration of voriconazole above 0.5 µg/mL could maintain good therapeutic effects. For patients with CPA who require long-term oral voriconazole therapy, maintaining a relatively safe lower trough concentration of 0.5 μg/mL may be a better option.</w:t>
      </w:r>
    </w:p>
    <w:p w14:paraId="72D53054" w14:textId="670DB709" w:rsidR="00A77B3E" w:rsidRPr="002434A9" w:rsidRDefault="00A16191" w:rsidP="002434A9">
      <w:pPr>
        <w:snapToGrid w:val="0"/>
        <w:spacing w:line="360" w:lineRule="auto"/>
        <w:ind w:firstLineChars="100" w:firstLine="240"/>
        <w:jc w:val="both"/>
        <w:rPr>
          <w:rFonts w:ascii="Book Antiqua" w:eastAsia="Book Antiqua" w:hAnsi="Book Antiqua" w:cs="Book Antiqua"/>
        </w:rPr>
      </w:pPr>
      <w:r w:rsidRPr="002434A9">
        <w:rPr>
          <w:rFonts w:ascii="Book Antiqua" w:eastAsia="Book Antiqua" w:hAnsi="Book Antiqua" w:cs="Book Antiqua"/>
        </w:rPr>
        <w:t xml:space="preserve">The CYP2C19 polymorphism influences the concentration of voriconazole. With respect to CYP2C19 </w:t>
      </w:r>
      <w:r w:rsidR="00017B77" w:rsidRPr="002434A9">
        <w:rPr>
          <w:rFonts w:ascii="Book Antiqua" w:eastAsia="Book Antiqua" w:hAnsi="Book Antiqua" w:cs="Book Antiqua"/>
        </w:rPr>
        <w:t>extensive metabolizer</w:t>
      </w:r>
      <w:r w:rsidRPr="002434A9">
        <w:rPr>
          <w:rFonts w:ascii="Book Antiqua" w:eastAsia="Book Antiqua" w:hAnsi="Book Antiqua" w:cs="Book Antiqua"/>
        </w:rPr>
        <w:t>, PM has a higher trough concentration of voriconazole. It is proposed in the Clinical Pharmacogenetics Implementation Consortium guidelines that patients with CYP2C19 PM, voriconazole should be administered at a preferably lower than standard dosage with careful therapeutic drug monitoring</w:t>
      </w:r>
      <w:r w:rsidR="008B5DA4" w:rsidRPr="002434A9">
        <w:rPr>
          <w:rFonts w:ascii="Book Antiqua" w:eastAsia="Book Antiqua" w:hAnsi="Book Antiqua" w:cs="Book Antiqua"/>
          <w:vertAlign w:val="superscript"/>
        </w:rPr>
        <w:t>[22]</w:t>
      </w:r>
      <w:r w:rsidRPr="002434A9">
        <w:rPr>
          <w:rFonts w:ascii="Book Antiqua" w:eastAsia="Book Antiqua" w:hAnsi="Book Antiqua" w:cs="Book Antiqua"/>
        </w:rPr>
        <w:t>. CYP2C19 PM prevalence is 14.7% in China, which is much higher than</w:t>
      </w:r>
      <w:r w:rsidR="00BA7EE0" w:rsidRPr="002434A9">
        <w:rPr>
          <w:rFonts w:ascii="Book Antiqua" w:eastAsia="Book Antiqua" w:hAnsi="Book Antiqua" w:cs="Book Antiqua"/>
        </w:rPr>
        <w:t xml:space="preserve"> that in</w:t>
      </w:r>
      <w:r w:rsidRPr="002434A9">
        <w:rPr>
          <w:rFonts w:ascii="Book Antiqua" w:eastAsia="Book Antiqua" w:hAnsi="Book Antiqua" w:cs="Book Antiqua"/>
        </w:rPr>
        <w:t xml:space="preserve"> Europ</w:t>
      </w:r>
      <w:r w:rsidR="00BA7EE0" w:rsidRPr="002434A9">
        <w:rPr>
          <w:rFonts w:ascii="Book Antiqua" w:eastAsia="Book Antiqua" w:hAnsi="Book Antiqua" w:cs="Book Antiqua"/>
        </w:rPr>
        <w:t>ean</w:t>
      </w:r>
      <w:r w:rsidRPr="002434A9">
        <w:rPr>
          <w:rFonts w:ascii="Book Antiqua" w:eastAsia="Book Antiqua" w:hAnsi="Book Antiqua" w:cs="Book Antiqua"/>
        </w:rPr>
        <w:t xml:space="preserve"> Caucasians and Africa (2.1% and 3.7%, respectively)</w:t>
      </w:r>
      <w:r w:rsidR="008B5DA4" w:rsidRPr="002434A9">
        <w:rPr>
          <w:rFonts w:ascii="Book Antiqua" w:eastAsia="Book Antiqua" w:hAnsi="Book Antiqua" w:cs="Book Antiqua"/>
          <w:vertAlign w:val="superscript"/>
        </w:rPr>
        <w:t>[9]</w:t>
      </w:r>
      <w:r w:rsidRPr="002434A9">
        <w:rPr>
          <w:rFonts w:ascii="Book Antiqua" w:eastAsia="Book Antiqua" w:hAnsi="Book Antiqua" w:cs="Book Antiqua"/>
        </w:rPr>
        <w:t xml:space="preserve">. For Chinese patients, adjusting the dose of voriconazole according to the CYP2C19 genotype may be more necessary. In our study, </w:t>
      </w:r>
      <w:r w:rsidR="00BA7EE0" w:rsidRPr="002434A9">
        <w:rPr>
          <w:rFonts w:ascii="Book Antiqua" w:eastAsia="Book Antiqua" w:hAnsi="Book Antiqua" w:cs="Book Antiqua"/>
        </w:rPr>
        <w:t xml:space="preserve">three </w:t>
      </w:r>
      <w:r w:rsidRPr="002434A9">
        <w:rPr>
          <w:rFonts w:ascii="Book Antiqua" w:eastAsia="Book Antiqua" w:hAnsi="Book Antiqua" w:cs="Book Antiqua"/>
        </w:rPr>
        <w:t>patients with CYP2C19 PM</w:t>
      </w:r>
      <w:r w:rsidR="008B5DA4" w:rsidRPr="002434A9">
        <w:rPr>
          <w:rFonts w:ascii="Book Antiqua" w:eastAsia="Book Antiqua" w:hAnsi="Book Antiqua" w:cs="Book Antiqua"/>
        </w:rPr>
        <w:t xml:space="preserve"> </w:t>
      </w:r>
      <w:r w:rsidRPr="002434A9">
        <w:rPr>
          <w:rFonts w:ascii="Book Antiqua" w:eastAsia="Book Antiqua" w:hAnsi="Book Antiqua" w:cs="Book Antiqua"/>
        </w:rPr>
        <w:t>(CYP2C19*2/*2)</w:t>
      </w:r>
      <w:r w:rsidR="00BA7EE0" w:rsidRPr="002434A9">
        <w:rPr>
          <w:rFonts w:ascii="Book Antiqua" w:eastAsia="Book Antiqua" w:hAnsi="Book Antiqua" w:cs="Book Antiqua"/>
        </w:rPr>
        <w:t xml:space="preserve"> had the </w:t>
      </w:r>
      <w:r w:rsidRPr="002434A9">
        <w:rPr>
          <w:rFonts w:ascii="Book Antiqua" w:eastAsia="Book Antiqua" w:hAnsi="Book Antiqua" w:cs="Book Antiqua"/>
        </w:rPr>
        <w:t>voriconazole dose reduced to 2</w:t>
      </w:r>
      <w:r w:rsidR="008B5DA4" w:rsidRPr="002434A9">
        <w:rPr>
          <w:rFonts w:ascii="Book Antiqua" w:eastAsia="Book Antiqua" w:hAnsi="Book Antiqua" w:cs="Book Antiqua"/>
        </w:rPr>
        <w:t xml:space="preserve"> </w:t>
      </w:r>
      <w:r w:rsidRPr="002434A9">
        <w:rPr>
          <w:rFonts w:ascii="Book Antiqua" w:eastAsia="Book Antiqua" w:hAnsi="Book Antiqua" w:cs="Book Antiqua"/>
        </w:rPr>
        <w:t xml:space="preserve">mg/kg twice daily, but the trough concentration remained 1.4-3.9 µg/mL. The results suggest that patients with CYP2C19 genotype PM could try 1/2 of the standard dose of voriconazole for treatment. However, the clinical status of all patients treated with a low trough concentration of voriconazole should be closely monitored, if the disease worsens or resistance is suspected, other antifungal agents should be considered in time. </w:t>
      </w:r>
    </w:p>
    <w:p w14:paraId="63EA863C" w14:textId="372C936C" w:rsidR="00BF12E8" w:rsidRPr="002434A9" w:rsidRDefault="00BF12E8" w:rsidP="002434A9">
      <w:pPr>
        <w:snapToGrid w:val="0"/>
        <w:spacing w:line="360" w:lineRule="auto"/>
        <w:ind w:firstLineChars="100" w:firstLine="240"/>
        <w:jc w:val="both"/>
        <w:rPr>
          <w:rFonts w:ascii="Book Antiqua" w:eastAsia="Book Antiqua" w:hAnsi="Book Antiqua" w:cs="Book Antiqua"/>
        </w:rPr>
      </w:pPr>
    </w:p>
    <w:p w14:paraId="44207817" w14:textId="700EF21D" w:rsidR="00BF12E8" w:rsidRPr="002434A9" w:rsidRDefault="00BF12E8" w:rsidP="002434A9">
      <w:pPr>
        <w:snapToGrid w:val="0"/>
        <w:spacing w:line="360" w:lineRule="auto"/>
        <w:jc w:val="both"/>
        <w:rPr>
          <w:rFonts w:ascii="Book Antiqua" w:eastAsia="Book Antiqua" w:hAnsi="Book Antiqua" w:cs="Book Antiqua"/>
          <w:b/>
          <w:caps/>
          <w:u w:val="single"/>
        </w:rPr>
      </w:pPr>
      <w:r w:rsidRPr="002434A9">
        <w:rPr>
          <w:rFonts w:ascii="Book Antiqua" w:eastAsia="Book Antiqua" w:hAnsi="Book Antiqua" w:cs="Book Antiqua"/>
          <w:b/>
          <w:caps/>
          <w:u w:val="single"/>
        </w:rPr>
        <w:t>CONCLUSION</w:t>
      </w:r>
    </w:p>
    <w:p w14:paraId="57269F7A" w14:textId="38DBECDB" w:rsidR="00586366" w:rsidRPr="00825E3C" w:rsidRDefault="00F22014" w:rsidP="002434A9">
      <w:pPr>
        <w:snapToGrid w:val="0"/>
        <w:spacing w:line="360" w:lineRule="auto"/>
        <w:jc w:val="both"/>
        <w:rPr>
          <w:rFonts w:ascii="Book Antiqua" w:hAnsi="Book Antiqua"/>
        </w:rPr>
      </w:pPr>
      <w:r w:rsidRPr="00825E3C">
        <w:rPr>
          <w:rFonts w:ascii="Book Antiqua" w:hAnsi="Book Antiqua"/>
        </w:rPr>
        <w:t>In conclusion, reducing the lower limit of the voriconazole trough concentration to 0.5 µg/mL can alleviate the hepatotoxicity and maintained certain clinical efficacy in CPA patients. The CYP2C19 polymorphism influences the trough concentration of voriconazole, patients with CYP2C19 genotype PM could try 1/2 of the standard dose of voriconazole for treatment. However, patients should be closely monitored.</w:t>
      </w:r>
    </w:p>
    <w:p w14:paraId="681A6659" w14:textId="77777777" w:rsidR="00BF12E8" w:rsidRPr="00825E3C" w:rsidRDefault="00BF12E8" w:rsidP="002434A9">
      <w:pPr>
        <w:snapToGrid w:val="0"/>
        <w:spacing w:line="360" w:lineRule="auto"/>
        <w:jc w:val="both"/>
      </w:pPr>
    </w:p>
    <w:p w14:paraId="6EB1D799"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ARTICLE HIGHLIGHTS</w:t>
      </w:r>
    </w:p>
    <w:p w14:paraId="37A8F78D"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background</w:t>
      </w:r>
    </w:p>
    <w:p w14:paraId="682DB682" w14:textId="7F86EE90" w:rsidR="00A77B3E" w:rsidRPr="00825E3C" w:rsidRDefault="00A16191" w:rsidP="002434A9">
      <w:pPr>
        <w:snapToGrid w:val="0"/>
        <w:spacing w:line="360" w:lineRule="auto"/>
        <w:jc w:val="both"/>
      </w:pPr>
      <w:r w:rsidRPr="002434A9">
        <w:rPr>
          <w:rFonts w:ascii="Book Antiqua" w:eastAsia="Book Antiqua" w:hAnsi="Book Antiqua" w:cs="Book Antiqua"/>
        </w:rPr>
        <w:t xml:space="preserve">Voriconazole is often used as the first-line agent for </w:t>
      </w:r>
      <w:r w:rsidR="004B5DF7" w:rsidRPr="002434A9">
        <w:rPr>
          <w:rFonts w:ascii="Book Antiqua" w:eastAsia="Book Antiqua" w:hAnsi="Book Antiqua" w:cs="Book Antiqua"/>
        </w:rPr>
        <w:t>chronic pulmonary aspergillosis (</w:t>
      </w:r>
      <w:r w:rsidRPr="002434A9">
        <w:rPr>
          <w:rFonts w:ascii="Book Antiqua" w:eastAsia="Book Antiqua" w:hAnsi="Book Antiqua" w:cs="Book Antiqua"/>
        </w:rPr>
        <w:t>CPA</w:t>
      </w:r>
      <w:r w:rsidR="004B5DF7" w:rsidRPr="002434A9">
        <w:rPr>
          <w:rFonts w:ascii="Book Antiqua" w:eastAsia="Book Antiqua" w:hAnsi="Book Antiqua" w:cs="Book Antiqua"/>
        </w:rPr>
        <w:t>)</w:t>
      </w:r>
      <w:r w:rsidRPr="002434A9">
        <w:rPr>
          <w:rFonts w:ascii="Book Antiqua" w:eastAsia="Book Antiqua" w:hAnsi="Book Antiqua" w:cs="Book Antiqua"/>
        </w:rPr>
        <w:t xml:space="preserve"> treatment. However, </w:t>
      </w:r>
      <w:r w:rsidR="00D369BB" w:rsidRPr="002434A9">
        <w:rPr>
          <w:rFonts w:ascii="Book Antiqua" w:eastAsia="Book Antiqua" w:hAnsi="Book Antiqua" w:cs="Book Antiqua"/>
        </w:rPr>
        <w:t>s</w:t>
      </w:r>
      <w:r w:rsidRPr="002434A9">
        <w:rPr>
          <w:rFonts w:ascii="Book Antiqua" w:eastAsia="Book Antiqua" w:hAnsi="Book Antiqua" w:cs="Book Antiqua"/>
        </w:rPr>
        <w:t xml:space="preserve">ome patients develop hepatotoxicity that eventually leads to discontinuation of treatment. </w:t>
      </w:r>
    </w:p>
    <w:p w14:paraId="3CBF94B5" w14:textId="77777777" w:rsidR="00A77B3E" w:rsidRPr="00825E3C" w:rsidRDefault="00A77B3E" w:rsidP="002434A9">
      <w:pPr>
        <w:snapToGrid w:val="0"/>
        <w:spacing w:line="360" w:lineRule="auto"/>
        <w:jc w:val="both"/>
      </w:pPr>
    </w:p>
    <w:p w14:paraId="1CB8CAC8"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motivation</w:t>
      </w:r>
    </w:p>
    <w:p w14:paraId="78482B20"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The optimal trough concentration of voriconazole in patients with CPA is currently uncertain. </w:t>
      </w:r>
    </w:p>
    <w:p w14:paraId="03AB6DFA" w14:textId="77777777" w:rsidR="00A77B3E" w:rsidRPr="00825E3C" w:rsidRDefault="00A77B3E" w:rsidP="002434A9">
      <w:pPr>
        <w:snapToGrid w:val="0"/>
        <w:spacing w:line="360" w:lineRule="auto"/>
        <w:jc w:val="both"/>
      </w:pPr>
    </w:p>
    <w:p w14:paraId="62A6D354"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objectives</w:t>
      </w:r>
    </w:p>
    <w:p w14:paraId="3506309B" w14:textId="30C0A5D6" w:rsidR="00A77B3E" w:rsidRPr="00825E3C" w:rsidRDefault="00A16191" w:rsidP="002434A9">
      <w:pPr>
        <w:snapToGrid w:val="0"/>
        <w:spacing w:line="360" w:lineRule="auto"/>
        <w:jc w:val="both"/>
      </w:pPr>
      <w:r w:rsidRPr="002434A9">
        <w:rPr>
          <w:rFonts w:ascii="Book Antiqua" w:eastAsia="Book Antiqua" w:hAnsi="Book Antiqua" w:cs="Book Antiqua"/>
        </w:rPr>
        <w:t xml:space="preserve">After reducing the </w:t>
      </w:r>
      <w:r w:rsidR="00BA7EE0" w:rsidRPr="002434A9">
        <w:rPr>
          <w:rFonts w:ascii="Book Antiqua" w:eastAsia="Book Antiqua" w:hAnsi="Book Antiqua" w:cs="Book Antiqua"/>
        </w:rPr>
        <w:t>l</w:t>
      </w:r>
      <w:r w:rsidRPr="002434A9">
        <w:rPr>
          <w:rFonts w:ascii="Book Antiqua" w:eastAsia="Book Antiqua" w:hAnsi="Book Antiqua" w:cs="Book Antiqua"/>
        </w:rPr>
        <w:t xml:space="preserve">ower limit of trough concentration to 0.5 µg/mL, the improvement trend of liver function and therapeutic effect </w:t>
      </w:r>
      <w:r w:rsidR="00BA7EE0" w:rsidRPr="002434A9">
        <w:rPr>
          <w:rFonts w:ascii="Book Antiqua" w:eastAsia="Book Antiqua" w:hAnsi="Book Antiqua" w:cs="Book Antiqua"/>
        </w:rPr>
        <w:t xml:space="preserve">on </w:t>
      </w:r>
      <w:r w:rsidRPr="002434A9">
        <w:rPr>
          <w:rFonts w:ascii="Book Antiqua" w:eastAsia="Book Antiqua" w:hAnsi="Book Antiqua" w:cs="Book Antiqua"/>
        </w:rPr>
        <w:t>the patients</w:t>
      </w:r>
      <w:r w:rsidR="00BA7EE0" w:rsidRPr="002434A9">
        <w:rPr>
          <w:rFonts w:ascii="Book Antiqua" w:eastAsia="Book Antiqua" w:hAnsi="Book Antiqua" w:cs="Book Antiqua"/>
        </w:rPr>
        <w:t xml:space="preserve"> were recorded</w:t>
      </w:r>
      <w:r w:rsidRPr="002434A9">
        <w:rPr>
          <w:rFonts w:ascii="Book Antiqua" w:eastAsia="Book Antiqua" w:hAnsi="Book Antiqua" w:cs="Book Antiqua"/>
        </w:rPr>
        <w:t xml:space="preserve">. </w:t>
      </w:r>
    </w:p>
    <w:p w14:paraId="49838426" w14:textId="77777777" w:rsidR="00A77B3E" w:rsidRPr="00825E3C" w:rsidRDefault="00A77B3E" w:rsidP="002434A9">
      <w:pPr>
        <w:snapToGrid w:val="0"/>
        <w:spacing w:line="360" w:lineRule="auto"/>
        <w:jc w:val="both"/>
      </w:pPr>
    </w:p>
    <w:p w14:paraId="5571777A"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methods</w:t>
      </w:r>
    </w:p>
    <w:p w14:paraId="7D015CB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This study retrospectively analyzed 12 adult CPA patients who developed hepatotoxicity during voriconazole treatment between January 2013 to January 2019. In these patients, the oral dose was reduced and the lower limit of voriconazole trough concentration was maintained at more than 0.5 µg/mL. Data were collected and analyzed for parameters. </w:t>
      </w:r>
    </w:p>
    <w:p w14:paraId="384E8058" w14:textId="77777777" w:rsidR="00A77B3E" w:rsidRPr="00825E3C" w:rsidRDefault="00A77B3E" w:rsidP="002434A9">
      <w:pPr>
        <w:snapToGrid w:val="0"/>
        <w:spacing w:line="360" w:lineRule="auto"/>
        <w:jc w:val="both"/>
      </w:pPr>
    </w:p>
    <w:p w14:paraId="369E7BB9"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results</w:t>
      </w:r>
    </w:p>
    <w:p w14:paraId="78FD342E" w14:textId="19AEFC2C" w:rsidR="00A77B3E" w:rsidRPr="00825E3C" w:rsidRDefault="00A16191" w:rsidP="002434A9">
      <w:pPr>
        <w:snapToGrid w:val="0"/>
        <w:spacing w:line="360" w:lineRule="auto"/>
        <w:jc w:val="both"/>
      </w:pPr>
      <w:r w:rsidRPr="002434A9">
        <w:rPr>
          <w:rFonts w:ascii="Book Antiqua" w:eastAsia="Book Antiqua" w:hAnsi="Book Antiqua" w:cs="Book Antiqua"/>
        </w:rPr>
        <w:t xml:space="preserve">Hepatotoxicity was mainly manifested </w:t>
      </w:r>
      <w:r w:rsidR="00BA7EE0" w:rsidRPr="002434A9">
        <w:rPr>
          <w:rFonts w:ascii="Book Antiqua" w:eastAsia="Book Antiqua" w:hAnsi="Book Antiqua" w:cs="Book Antiqua"/>
        </w:rPr>
        <w:t>as</w:t>
      </w:r>
      <w:r w:rsidRPr="002434A9">
        <w:rPr>
          <w:rFonts w:ascii="Book Antiqua" w:eastAsia="Book Antiqua" w:hAnsi="Book Antiqua" w:cs="Book Antiqua"/>
        </w:rPr>
        <w:t xml:space="preserve"> significantly increased level of gamma-glutamyltransferase in 12 patients. After lowering the trough concentrations, the hepatotoxicity was alleviated in all patients. However, </w:t>
      </w:r>
      <w:r w:rsidR="00D369BB" w:rsidRPr="002434A9">
        <w:rPr>
          <w:rFonts w:ascii="Book Antiqua" w:eastAsia="Book Antiqua" w:hAnsi="Book Antiqua" w:cs="Book Antiqua"/>
        </w:rPr>
        <w:t>gamma-glutamyltransferase</w:t>
      </w:r>
      <w:r w:rsidRPr="002434A9">
        <w:rPr>
          <w:rFonts w:ascii="Book Antiqua" w:eastAsia="Book Antiqua" w:hAnsi="Book Antiqua" w:cs="Book Antiqua"/>
        </w:rPr>
        <w:t xml:space="preserve"> levels declined slowly. After reducing the </w:t>
      </w:r>
      <w:r w:rsidR="00BA7EE0" w:rsidRPr="002434A9">
        <w:rPr>
          <w:rFonts w:ascii="Book Antiqua" w:eastAsia="Book Antiqua" w:hAnsi="Book Antiqua" w:cs="Book Antiqua"/>
        </w:rPr>
        <w:t>l</w:t>
      </w:r>
      <w:r w:rsidRPr="002434A9">
        <w:rPr>
          <w:rFonts w:ascii="Book Antiqua" w:eastAsia="Book Antiqua" w:hAnsi="Book Antiqua" w:cs="Book Antiqua"/>
        </w:rPr>
        <w:t xml:space="preserve">ower limit of trough concentration to 0.5 µg/mL, </w:t>
      </w:r>
      <w:r w:rsidR="00BA7EE0" w:rsidRPr="002434A9">
        <w:rPr>
          <w:rFonts w:ascii="Book Antiqua" w:eastAsia="Book Antiqua" w:hAnsi="Book Antiqua" w:cs="Book Antiqua"/>
        </w:rPr>
        <w:t>a certain clinical effects was</w:t>
      </w:r>
      <w:r w:rsidRPr="002434A9">
        <w:rPr>
          <w:rFonts w:ascii="Book Antiqua" w:eastAsia="Book Antiqua" w:hAnsi="Book Antiqua" w:cs="Book Antiqua"/>
        </w:rPr>
        <w:t xml:space="preserve"> still maintain</w:t>
      </w:r>
      <w:r w:rsidR="00BA7EE0" w:rsidRPr="002434A9">
        <w:rPr>
          <w:rFonts w:ascii="Book Antiqua" w:eastAsia="Book Antiqua" w:hAnsi="Book Antiqua" w:cs="Book Antiqua"/>
        </w:rPr>
        <w:t>ed</w:t>
      </w:r>
      <w:r w:rsidRPr="002434A9">
        <w:rPr>
          <w:rFonts w:ascii="Book Antiqua" w:eastAsia="Book Antiqua" w:hAnsi="Book Antiqua" w:cs="Book Antiqua"/>
        </w:rPr>
        <w:t>.</w:t>
      </w:r>
    </w:p>
    <w:p w14:paraId="24C7CFF5" w14:textId="77777777" w:rsidR="00A77B3E" w:rsidRPr="00825E3C" w:rsidRDefault="00A77B3E" w:rsidP="002434A9">
      <w:pPr>
        <w:snapToGrid w:val="0"/>
        <w:spacing w:line="360" w:lineRule="auto"/>
        <w:jc w:val="both"/>
      </w:pPr>
    </w:p>
    <w:p w14:paraId="2081BE9A"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conclusions</w:t>
      </w:r>
    </w:p>
    <w:p w14:paraId="2C79D032" w14:textId="63A5A450" w:rsidR="00A77B3E" w:rsidRPr="00825E3C" w:rsidRDefault="00A16191" w:rsidP="002434A9">
      <w:pPr>
        <w:snapToGrid w:val="0"/>
        <w:spacing w:line="360" w:lineRule="auto"/>
        <w:jc w:val="both"/>
      </w:pPr>
      <w:r w:rsidRPr="002434A9">
        <w:rPr>
          <w:rFonts w:ascii="Book Antiqua" w:eastAsia="Book Antiqua" w:hAnsi="Book Antiqua" w:cs="Book Antiqua"/>
        </w:rPr>
        <w:t>Reducing the lower limit of the voriconazole trough concentration to 0.5 µg/mL can help alleviat</w:t>
      </w:r>
      <w:r w:rsidR="00634629" w:rsidRPr="002434A9">
        <w:rPr>
          <w:rFonts w:ascii="Book Antiqua" w:eastAsia="Book Antiqua" w:hAnsi="Book Antiqua" w:cs="Book Antiqua"/>
        </w:rPr>
        <w:t>e</w:t>
      </w:r>
      <w:r w:rsidRPr="002434A9">
        <w:rPr>
          <w:rFonts w:ascii="Book Antiqua" w:eastAsia="Book Antiqua" w:hAnsi="Book Antiqua" w:cs="Book Antiqua"/>
        </w:rPr>
        <w:t xml:space="preserve"> hepatotoxicity and maintain a certain clinical efficacy in CPA patients</w:t>
      </w:r>
      <w:r w:rsidR="00634629" w:rsidRPr="002434A9">
        <w:rPr>
          <w:rFonts w:ascii="Book Antiqua" w:eastAsia="Book Antiqua" w:hAnsi="Book Antiqua" w:cs="Book Antiqua"/>
        </w:rPr>
        <w:t>;</w:t>
      </w:r>
      <w:r w:rsidRPr="002434A9">
        <w:rPr>
          <w:rFonts w:ascii="Book Antiqua" w:eastAsia="Book Antiqua" w:hAnsi="Book Antiqua" w:cs="Book Antiqua"/>
        </w:rPr>
        <w:t xml:space="preserve"> however, patients should be closely monitored.</w:t>
      </w:r>
    </w:p>
    <w:p w14:paraId="5834D51F" w14:textId="77777777" w:rsidR="00A77B3E" w:rsidRPr="00825E3C" w:rsidRDefault="00A77B3E" w:rsidP="002434A9">
      <w:pPr>
        <w:snapToGrid w:val="0"/>
        <w:spacing w:line="360" w:lineRule="auto"/>
        <w:jc w:val="both"/>
      </w:pPr>
    </w:p>
    <w:p w14:paraId="7DE0E09F"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perspectives</w:t>
      </w:r>
    </w:p>
    <w:p w14:paraId="3716363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This single-center retrospective study had a small sample size. Hence, additional multi-center prospective randomized study studies should be conducted to reveal the optimal trough concentration of voriconazole in CPA patients. </w:t>
      </w:r>
    </w:p>
    <w:p w14:paraId="6A2A9898" w14:textId="77777777" w:rsidR="00A77B3E" w:rsidRPr="00825E3C" w:rsidRDefault="00A77B3E" w:rsidP="002434A9">
      <w:pPr>
        <w:snapToGrid w:val="0"/>
        <w:spacing w:line="360" w:lineRule="auto"/>
        <w:jc w:val="both"/>
      </w:pPr>
    </w:p>
    <w:p w14:paraId="7F2CFD65"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REFERENCES</w:t>
      </w:r>
    </w:p>
    <w:p w14:paraId="7C02076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 </w:t>
      </w:r>
      <w:r w:rsidRPr="002434A9">
        <w:rPr>
          <w:rFonts w:ascii="Book Antiqua" w:eastAsia="Book Antiqua" w:hAnsi="Book Antiqua" w:cs="Book Antiqua"/>
          <w:b/>
          <w:bCs/>
        </w:rPr>
        <w:t>Segal BH</w:t>
      </w:r>
      <w:r w:rsidRPr="002434A9">
        <w:rPr>
          <w:rFonts w:ascii="Book Antiqua" w:eastAsia="Book Antiqua" w:hAnsi="Book Antiqua" w:cs="Book Antiqua"/>
        </w:rPr>
        <w:t xml:space="preserve">. Aspergillosis. </w:t>
      </w:r>
      <w:r w:rsidRPr="002434A9">
        <w:rPr>
          <w:rFonts w:ascii="Book Antiqua" w:eastAsia="Book Antiqua" w:hAnsi="Book Antiqua" w:cs="Book Antiqua"/>
          <w:i/>
          <w:iCs/>
        </w:rPr>
        <w:t>N Engl J Med</w:t>
      </w:r>
      <w:r w:rsidRPr="002434A9">
        <w:rPr>
          <w:rFonts w:ascii="Book Antiqua" w:eastAsia="Book Antiqua" w:hAnsi="Book Antiqua" w:cs="Book Antiqua"/>
        </w:rPr>
        <w:t xml:space="preserve"> 2009; </w:t>
      </w:r>
      <w:r w:rsidRPr="002434A9">
        <w:rPr>
          <w:rFonts w:ascii="Book Antiqua" w:eastAsia="Book Antiqua" w:hAnsi="Book Antiqua" w:cs="Book Antiqua"/>
          <w:b/>
          <w:bCs/>
        </w:rPr>
        <w:t>360</w:t>
      </w:r>
      <w:r w:rsidRPr="002434A9">
        <w:rPr>
          <w:rFonts w:ascii="Book Antiqua" w:eastAsia="Book Antiqua" w:hAnsi="Book Antiqua" w:cs="Book Antiqua"/>
        </w:rPr>
        <w:t>: 1870-1884 [PMID: 19403905 DOI: 10.1056/NEJMra0808853]</w:t>
      </w:r>
    </w:p>
    <w:p w14:paraId="74E2A9B2"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 </w:t>
      </w:r>
      <w:r w:rsidRPr="002434A9">
        <w:rPr>
          <w:rFonts w:ascii="Book Antiqua" w:eastAsia="Book Antiqua" w:hAnsi="Book Antiqua" w:cs="Book Antiqua"/>
          <w:b/>
          <w:bCs/>
        </w:rPr>
        <w:t>Denning DW</w:t>
      </w:r>
      <w:r w:rsidRPr="002434A9">
        <w:rPr>
          <w:rFonts w:ascii="Book Antiqua" w:eastAsia="Book Antiqua" w:hAnsi="Book Antiqua" w:cs="Book Antiqua"/>
        </w:rPr>
        <w:t xml:space="preserve">, Riniotis K, Dobrashian R, Sambatakou H. Chronic cavitary and fibrosing pulmonary and pleural aspergillosis: case series, proposed nomenclature change, and review. </w:t>
      </w:r>
      <w:r w:rsidRPr="002434A9">
        <w:rPr>
          <w:rFonts w:ascii="Book Antiqua" w:eastAsia="Book Antiqua" w:hAnsi="Book Antiqua" w:cs="Book Antiqua"/>
          <w:i/>
          <w:iCs/>
        </w:rPr>
        <w:t>Clin Infect Dis</w:t>
      </w:r>
      <w:r w:rsidRPr="002434A9">
        <w:rPr>
          <w:rFonts w:ascii="Book Antiqua" w:eastAsia="Book Antiqua" w:hAnsi="Book Antiqua" w:cs="Book Antiqua"/>
        </w:rPr>
        <w:t xml:space="preserve"> 2003; </w:t>
      </w:r>
      <w:r w:rsidRPr="002434A9">
        <w:rPr>
          <w:rFonts w:ascii="Book Antiqua" w:eastAsia="Book Antiqua" w:hAnsi="Book Antiqua" w:cs="Book Antiqua"/>
          <w:b/>
          <w:bCs/>
        </w:rPr>
        <w:t>37 Suppl 3</w:t>
      </w:r>
      <w:r w:rsidRPr="002434A9">
        <w:rPr>
          <w:rFonts w:ascii="Book Antiqua" w:eastAsia="Book Antiqua" w:hAnsi="Book Antiqua" w:cs="Book Antiqua"/>
        </w:rPr>
        <w:t>: S265-S280 [PMID: 12975754 DOI: 10.1086/376526]</w:t>
      </w:r>
    </w:p>
    <w:p w14:paraId="3695032E"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3 </w:t>
      </w:r>
      <w:r w:rsidRPr="002434A9">
        <w:rPr>
          <w:rFonts w:ascii="Book Antiqua" w:eastAsia="Book Antiqua" w:hAnsi="Book Antiqua" w:cs="Book Antiqua"/>
          <w:b/>
          <w:bCs/>
        </w:rPr>
        <w:t>Theuretzbacher U</w:t>
      </w:r>
      <w:r w:rsidRPr="002434A9">
        <w:rPr>
          <w:rFonts w:ascii="Book Antiqua" w:eastAsia="Book Antiqua" w:hAnsi="Book Antiqua" w:cs="Book Antiqua"/>
        </w:rPr>
        <w:t xml:space="preserve">, Ihle F, Derendorf H. Pharmacokinetic/pharmacodynamic profile of voriconazole. </w:t>
      </w:r>
      <w:r w:rsidRPr="002434A9">
        <w:rPr>
          <w:rFonts w:ascii="Book Antiqua" w:eastAsia="Book Antiqua" w:hAnsi="Book Antiqua" w:cs="Book Antiqua"/>
          <w:i/>
          <w:iCs/>
        </w:rPr>
        <w:t>Clin Pharmacokinet</w:t>
      </w:r>
      <w:r w:rsidRPr="002434A9">
        <w:rPr>
          <w:rFonts w:ascii="Book Antiqua" w:eastAsia="Book Antiqua" w:hAnsi="Book Antiqua" w:cs="Book Antiqua"/>
        </w:rPr>
        <w:t xml:space="preserve"> 2006; </w:t>
      </w:r>
      <w:r w:rsidRPr="002434A9">
        <w:rPr>
          <w:rFonts w:ascii="Book Antiqua" w:eastAsia="Book Antiqua" w:hAnsi="Book Antiqua" w:cs="Book Antiqua"/>
          <w:b/>
          <w:bCs/>
        </w:rPr>
        <w:t>45</w:t>
      </w:r>
      <w:r w:rsidRPr="002434A9">
        <w:rPr>
          <w:rFonts w:ascii="Book Antiqua" w:eastAsia="Book Antiqua" w:hAnsi="Book Antiqua" w:cs="Book Antiqua"/>
        </w:rPr>
        <w:t>: 649-663 [PMID: 16802848 DOI: 10.2165/00003088-200645070-00002]</w:t>
      </w:r>
    </w:p>
    <w:p w14:paraId="0DA7DCBF"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4 </w:t>
      </w:r>
      <w:r w:rsidRPr="002434A9">
        <w:rPr>
          <w:rFonts w:ascii="Book Antiqua" w:eastAsia="Book Antiqua" w:hAnsi="Book Antiqua" w:cs="Book Antiqua"/>
          <w:b/>
          <w:bCs/>
        </w:rPr>
        <w:t>Weiss J</w:t>
      </w:r>
      <w:r w:rsidRPr="002434A9">
        <w:rPr>
          <w:rFonts w:ascii="Book Antiqua" w:eastAsia="Book Antiqua" w:hAnsi="Book Antiqua" w:cs="Book Antiqua"/>
        </w:rPr>
        <w:t xml:space="preserve">, Ten Hoevel MM, Burhenne J, Walter-Sack I, Hoffmann MM, Rengelshausen J, Haefeli WE, Mikus G. CYP2C19 genotype is a major factor contributing to the highly variable pharmacokinetics of voriconazole. </w:t>
      </w:r>
      <w:r w:rsidRPr="002434A9">
        <w:rPr>
          <w:rFonts w:ascii="Book Antiqua" w:eastAsia="Book Antiqua" w:hAnsi="Book Antiqua" w:cs="Book Antiqua"/>
          <w:i/>
          <w:iCs/>
        </w:rPr>
        <w:t>J Clin Pharmacol</w:t>
      </w:r>
      <w:r w:rsidRPr="002434A9">
        <w:rPr>
          <w:rFonts w:ascii="Book Antiqua" w:eastAsia="Book Antiqua" w:hAnsi="Book Antiqua" w:cs="Book Antiqua"/>
        </w:rPr>
        <w:t xml:space="preserve"> 2009; </w:t>
      </w:r>
      <w:r w:rsidRPr="002434A9">
        <w:rPr>
          <w:rFonts w:ascii="Book Antiqua" w:eastAsia="Book Antiqua" w:hAnsi="Book Antiqua" w:cs="Book Antiqua"/>
          <w:b/>
          <w:bCs/>
        </w:rPr>
        <w:t>49</w:t>
      </w:r>
      <w:r w:rsidRPr="002434A9">
        <w:rPr>
          <w:rFonts w:ascii="Book Antiqua" w:eastAsia="Book Antiqua" w:hAnsi="Book Antiqua" w:cs="Book Antiqua"/>
        </w:rPr>
        <w:t>: 196-204 [PMID: 19033450 DOI: 10.1177/0091270008327537]</w:t>
      </w:r>
    </w:p>
    <w:p w14:paraId="7BCC477A"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5 </w:t>
      </w:r>
      <w:r w:rsidRPr="002434A9">
        <w:rPr>
          <w:rFonts w:ascii="Book Antiqua" w:eastAsia="Book Antiqua" w:hAnsi="Book Antiqua" w:cs="Book Antiqua"/>
          <w:b/>
          <w:bCs/>
        </w:rPr>
        <w:t>Berge M</w:t>
      </w:r>
      <w:r w:rsidRPr="002434A9">
        <w:rPr>
          <w:rFonts w:ascii="Book Antiqua" w:eastAsia="Book Antiqua" w:hAnsi="Book Antiqua" w:cs="Book Antiqua"/>
        </w:rPr>
        <w:t xml:space="preserve">, Guillemain R, Trégouet DA, Amrein C, Boussaud V, Chevalier P, Lillo-Lelouet A, Le Beller C, Laurent-Puig P, Beaune PH, Billaud EM, Loriot MA. Effect of cytochrome P450 2C19 genotype on voriconazole exposure in cystic fibrosis lung transplant patients. </w:t>
      </w:r>
      <w:r w:rsidRPr="002434A9">
        <w:rPr>
          <w:rFonts w:ascii="Book Antiqua" w:eastAsia="Book Antiqua" w:hAnsi="Book Antiqua" w:cs="Book Antiqua"/>
          <w:i/>
          <w:iCs/>
        </w:rPr>
        <w:t>Eur J Clin Pharmacol</w:t>
      </w:r>
      <w:r w:rsidRPr="002434A9">
        <w:rPr>
          <w:rFonts w:ascii="Book Antiqua" w:eastAsia="Book Antiqua" w:hAnsi="Book Antiqua" w:cs="Book Antiqua"/>
        </w:rPr>
        <w:t xml:space="preserve"> 2011; </w:t>
      </w:r>
      <w:r w:rsidRPr="002434A9">
        <w:rPr>
          <w:rFonts w:ascii="Book Antiqua" w:eastAsia="Book Antiqua" w:hAnsi="Book Antiqua" w:cs="Book Antiqua"/>
          <w:b/>
          <w:bCs/>
        </w:rPr>
        <w:t>67</w:t>
      </w:r>
      <w:r w:rsidRPr="002434A9">
        <w:rPr>
          <w:rFonts w:ascii="Book Antiqua" w:eastAsia="Book Antiqua" w:hAnsi="Book Antiqua" w:cs="Book Antiqua"/>
        </w:rPr>
        <w:t>: 253-260 [PMID: 21038076 DOI: 10.1007/s00228-010-0914-2]</w:t>
      </w:r>
    </w:p>
    <w:p w14:paraId="66DF071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6 </w:t>
      </w:r>
      <w:r w:rsidRPr="002434A9">
        <w:rPr>
          <w:rFonts w:ascii="Book Antiqua" w:eastAsia="Book Antiqua" w:hAnsi="Book Antiqua" w:cs="Book Antiqua"/>
          <w:b/>
          <w:bCs/>
        </w:rPr>
        <w:t>Kim SH</w:t>
      </w:r>
      <w:r w:rsidRPr="002434A9">
        <w:rPr>
          <w:rFonts w:ascii="Book Antiqua" w:eastAsia="Book Antiqua" w:hAnsi="Book Antiqua" w:cs="Book Antiqua"/>
        </w:rPr>
        <w:t xml:space="preserve">, Yim DS, Choi SM, Kwon JC, Han S, Lee DG, Park C, Kwon EY, Park SH, Choi JH, Yoo JH. Voriconazole-related severe adverse events: clinical application of therapeutic drug monitoring in Korean patients. </w:t>
      </w:r>
      <w:r w:rsidRPr="002434A9">
        <w:rPr>
          <w:rFonts w:ascii="Book Antiqua" w:eastAsia="Book Antiqua" w:hAnsi="Book Antiqua" w:cs="Book Antiqua"/>
          <w:i/>
          <w:iCs/>
        </w:rPr>
        <w:t>Int J Infect Dis</w:t>
      </w:r>
      <w:r w:rsidRPr="002434A9">
        <w:rPr>
          <w:rFonts w:ascii="Book Antiqua" w:eastAsia="Book Antiqua" w:hAnsi="Book Antiqua" w:cs="Book Antiqua"/>
        </w:rPr>
        <w:t xml:space="preserve"> 2011; </w:t>
      </w:r>
      <w:r w:rsidRPr="002434A9">
        <w:rPr>
          <w:rFonts w:ascii="Book Antiqua" w:eastAsia="Book Antiqua" w:hAnsi="Book Antiqua" w:cs="Book Antiqua"/>
          <w:b/>
          <w:bCs/>
        </w:rPr>
        <w:t>15</w:t>
      </w:r>
      <w:r w:rsidRPr="002434A9">
        <w:rPr>
          <w:rFonts w:ascii="Book Antiqua" w:eastAsia="Book Antiqua" w:hAnsi="Book Antiqua" w:cs="Book Antiqua"/>
        </w:rPr>
        <w:t>: e753-e758 [PMID: 21831685 DOI: 10.1016/j.ijid.2011.06.004]</w:t>
      </w:r>
    </w:p>
    <w:p w14:paraId="151FA2E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7 </w:t>
      </w:r>
      <w:r w:rsidRPr="002434A9">
        <w:rPr>
          <w:rFonts w:ascii="Book Antiqua" w:eastAsia="Book Antiqua" w:hAnsi="Book Antiqua" w:cs="Book Antiqua"/>
          <w:b/>
          <w:bCs/>
        </w:rPr>
        <w:t>Ikeda Y</w:t>
      </w:r>
      <w:r w:rsidRPr="002434A9">
        <w:rPr>
          <w:rFonts w:ascii="Book Antiqua" w:eastAsia="Book Antiqua" w:hAnsi="Book Antiqua" w:cs="Book Antiqua"/>
        </w:rPr>
        <w:t xml:space="preserve">, Umemura K, Kondo K, Sekiguchi K, Miyoshi S, Nakashima M. Pharmacokinetics of voriconazole and cytochrome P450 2C19 genetic status. </w:t>
      </w:r>
      <w:r w:rsidRPr="002434A9">
        <w:rPr>
          <w:rFonts w:ascii="Book Antiqua" w:eastAsia="Book Antiqua" w:hAnsi="Book Antiqua" w:cs="Book Antiqua"/>
          <w:i/>
          <w:iCs/>
        </w:rPr>
        <w:t>Clin Pharmacol Ther</w:t>
      </w:r>
      <w:r w:rsidRPr="002434A9">
        <w:rPr>
          <w:rFonts w:ascii="Book Antiqua" w:eastAsia="Book Antiqua" w:hAnsi="Book Antiqua" w:cs="Book Antiqua"/>
        </w:rPr>
        <w:t xml:space="preserve"> 2004; </w:t>
      </w:r>
      <w:r w:rsidRPr="002434A9">
        <w:rPr>
          <w:rFonts w:ascii="Book Antiqua" w:eastAsia="Book Antiqua" w:hAnsi="Book Antiqua" w:cs="Book Antiqua"/>
          <w:b/>
          <w:bCs/>
        </w:rPr>
        <w:t>75</w:t>
      </w:r>
      <w:r w:rsidRPr="002434A9">
        <w:rPr>
          <w:rFonts w:ascii="Book Antiqua" w:eastAsia="Book Antiqua" w:hAnsi="Book Antiqua" w:cs="Book Antiqua"/>
        </w:rPr>
        <w:t>: 587-588 [PMID: 15179414 DOI: 10.1016/j.clpt.2004.02.002]</w:t>
      </w:r>
    </w:p>
    <w:p w14:paraId="79B9051A"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8 </w:t>
      </w:r>
      <w:r w:rsidRPr="002434A9">
        <w:rPr>
          <w:rFonts w:ascii="Book Antiqua" w:eastAsia="Book Antiqua" w:hAnsi="Book Antiqua" w:cs="Book Antiqua"/>
          <w:b/>
          <w:bCs/>
        </w:rPr>
        <w:t>Denning DW</w:t>
      </w:r>
      <w:r w:rsidRPr="002434A9">
        <w:rPr>
          <w:rFonts w:ascii="Book Antiqua" w:eastAsia="Book Antiqua" w:hAnsi="Book Antiqua" w:cs="Book Antiqua"/>
        </w:rPr>
        <w:t xml:space="preserve">, Cadranel J, Beigelman-Aubry C, Ader F, Chakrabarti A, Blot S, Ullmann AJ, Dimopoulos G, Lange C; European Society for Clinical Microbiology and Infectious Diseases and European Respiratory Society. Chronic pulmonary aspergillosis: rationale and clinical guidelines for diagnosis and management. </w:t>
      </w:r>
      <w:r w:rsidRPr="002434A9">
        <w:rPr>
          <w:rFonts w:ascii="Book Antiqua" w:eastAsia="Book Antiqua" w:hAnsi="Book Antiqua" w:cs="Book Antiqua"/>
          <w:i/>
          <w:iCs/>
        </w:rPr>
        <w:t>Eur Respir J</w:t>
      </w:r>
      <w:r w:rsidRPr="002434A9">
        <w:rPr>
          <w:rFonts w:ascii="Book Antiqua" w:eastAsia="Book Antiqua" w:hAnsi="Book Antiqua" w:cs="Book Antiqua"/>
        </w:rPr>
        <w:t xml:space="preserve"> 2016; </w:t>
      </w:r>
      <w:r w:rsidRPr="002434A9">
        <w:rPr>
          <w:rFonts w:ascii="Book Antiqua" w:eastAsia="Book Antiqua" w:hAnsi="Book Antiqua" w:cs="Book Antiqua"/>
          <w:b/>
          <w:bCs/>
        </w:rPr>
        <w:t>47</w:t>
      </w:r>
      <w:r w:rsidRPr="002434A9">
        <w:rPr>
          <w:rFonts w:ascii="Book Antiqua" w:eastAsia="Book Antiqua" w:hAnsi="Book Antiqua" w:cs="Book Antiqua"/>
        </w:rPr>
        <w:t>: 45-68 [PMID: 26699723 DOI: 10.1183/13993003.00583-2015]</w:t>
      </w:r>
    </w:p>
    <w:p w14:paraId="4A05B573"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9 </w:t>
      </w:r>
      <w:r w:rsidRPr="002434A9">
        <w:rPr>
          <w:rFonts w:ascii="Book Antiqua" w:eastAsia="Book Antiqua" w:hAnsi="Book Antiqua" w:cs="Book Antiqua"/>
          <w:b/>
          <w:bCs/>
        </w:rPr>
        <w:t>Chen K</w:t>
      </w:r>
      <w:r w:rsidRPr="002434A9">
        <w:rPr>
          <w:rFonts w:ascii="Book Antiqua" w:eastAsia="Book Antiqua" w:hAnsi="Book Antiqua" w:cs="Book Antiqua"/>
        </w:rPr>
        <w:t xml:space="preserve">, Zhang X, Ke X, Du G, Yang K, Zhai S. Individualized Medication of Voriconazole: A Practice Guideline of the Division of Therapeutic Drug Monitoring, Chinese Pharmacological Society. </w:t>
      </w:r>
      <w:r w:rsidRPr="002434A9">
        <w:rPr>
          <w:rFonts w:ascii="Book Antiqua" w:eastAsia="Book Antiqua" w:hAnsi="Book Antiqua" w:cs="Book Antiqua"/>
          <w:i/>
          <w:iCs/>
        </w:rPr>
        <w:t>Ther Drug Monit</w:t>
      </w:r>
      <w:r w:rsidRPr="002434A9">
        <w:rPr>
          <w:rFonts w:ascii="Book Antiqua" w:eastAsia="Book Antiqua" w:hAnsi="Book Antiqua" w:cs="Book Antiqua"/>
        </w:rPr>
        <w:t xml:space="preserve"> 2018; </w:t>
      </w:r>
      <w:r w:rsidRPr="002434A9">
        <w:rPr>
          <w:rFonts w:ascii="Book Antiqua" w:eastAsia="Book Antiqua" w:hAnsi="Book Antiqua" w:cs="Book Antiqua"/>
          <w:b/>
          <w:bCs/>
        </w:rPr>
        <w:t>40</w:t>
      </w:r>
      <w:r w:rsidRPr="002434A9">
        <w:rPr>
          <w:rFonts w:ascii="Book Antiqua" w:eastAsia="Book Antiqua" w:hAnsi="Book Antiqua" w:cs="Book Antiqua"/>
        </w:rPr>
        <w:t>: 663-674 [PMID: 30192314 DOI: 10.1097/FTD.0000000000000561]</w:t>
      </w:r>
    </w:p>
    <w:p w14:paraId="580ED21F"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10 </w:t>
      </w:r>
      <w:r w:rsidRPr="002434A9">
        <w:rPr>
          <w:rFonts w:ascii="Book Antiqua" w:eastAsia="Book Antiqua" w:hAnsi="Book Antiqua" w:cs="Book Antiqua"/>
          <w:b/>
          <w:bCs/>
        </w:rPr>
        <w:t>Alastruey-Izquierdo A</w:t>
      </w:r>
      <w:r w:rsidRPr="002434A9">
        <w:rPr>
          <w:rFonts w:ascii="Book Antiqua" w:eastAsia="Book Antiqua" w:hAnsi="Book Antiqua" w:cs="Book Antiqua"/>
        </w:rPr>
        <w:t xml:space="preserve">, Cadranel J, Flick H, Godet C, Hennequin C, Hoenigl M, Kosmidis C, Lange C, Munteanu O, Page I, Salzer HJF; on behalf of CPAnet. Treatment of Chronic Pulmonary Aspergillosis: Current Standards and Future Perspectives. </w:t>
      </w:r>
      <w:r w:rsidRPr="002434A9">
        <w:rPr>
          <w:rFonts w:ascii="Book Antiqua" w:eastAsia="Book Antiqua" w:hAnsi="Book Antiqua" w:cs="Book Antiqua"/>
          <w:i/>
          <w:iCs/>
        </w:rPr>
        <w:t>Respiration</w:t>
      </w:r>
      <w:r w:rsidRPr="002434A9">
        <w:rPr>
          <w:rFonts w:ascii="Book Antiqua" w:eastAsia="Book Antiqua" w:hAnsi="Book Antiqua" w:cs="Book Antiqua"/>
        </w:rPr>
        <w:t xml:space="preserve"> 2018; </w:t>
      </w:r>
      <w:r w:rsidRPr="002434A9">
        <w:rPr>
          <w:rFonts w:ascii="Book Antiqua" w:eastAsia="Book Antiqua" w:hAnsi="Book Antiqua" w:cs="Book Antiqua"/>
          <w:b/>
          <w:bCs/>
        </w:rPr>
        <w:t>96</w:t>
      </w:r>
      <w:r w:rsidRPr="002434A9">
        <w:rPr>
          <w:rFonts w:ascii="Book Antiqua" w:eastAsia="Book Antiqua" w:hAnsi="Book Antiqua" w:cs="Book Antiqua"/>
        </w:rPr>
        <w:t>: 159-170 [PMID: 29982245 DOI: 10.1159/000489474]</w:t>
      </w:r>
    </w:p>
    <w:p w14:paraId="4B9FC4D4"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11 </w:t>
      </w:r>
      <w:r w:rsidRPr="002434A9">
        <w:rPr>
          <w:rFonts w:ascii="Book Antiqua" w:eastAsia="Book Antiqua" w:hAnsi="Book Antiqua" w:cs="Book Antiqua"/>
          <w:b/>
          <w:bCs/>
        </w:rPr>
        <w:t>Maghrabi F</w:t>
      </w:r>
      <w:r w:rsidRPr="002434A9">
        <w:rPr>
          <w:rFonts w:ascii="Book Antiqua" w:eastAsia="Book Antiqua" w:hAnsi="Book Antiqua" w:cs="Book Antiqua"/>
        </w:rPr>
        <w:t xml:space="preserve">, Denning DW. The Management of Chronic Pulmonary Aspergillosis: The UK National Aspergillosis Centre Approach. </w:t>
      </w:r>
      <w:r w:rsidRPr="002434A9">
        <w:rPr>
          <w:rFonts w:ascii="Book Antiqua" w:eastAsia="Book Antiqua" w:hAnsi="Book Antiqua" w:cs="Book Antiqua"/>
          <w:i/>
          <w:iCs/>
        </w:rPr>
        <w:t>Curr Fungal Infect Rep</w:t>
      </w:r>
      <w:r w:rsidRPr="002434A9">
        <w:rPr>
          <w:rFonts w:ascii="Book Antiqua" w:eastAsia="Book Antiqua" w:hAnsi="Book Antiqua" w:cs="Book Antiqua"/>
        </w:rPr>
        <w:t xml:space="preserve"> 2017; </w:t>
      </w:r>
      <w:r w:rsidRPr="002434A9">
        <w:rPr>
          <w:rFonts w:ascii="Book Antiqua" w:eastAsia="Book Antiqua" w:hAnsi="Book Antiqua" w:cs="Book Antiqua"/>
          <w:b/>
          <w:bCs/>
        </w:rPr>
        <w:t>11</w:t>
      </w:r>
      <w:r w:rsidRPr="002434A9">
        <w:rPr>
          <w:rFonts w:ascii="Book Antiqua" w:eastAsia="Book Antiqua" w:hAnsi="Book Antiqua" w:cs="Book Antiqua"/>
        </w:rPr>
        <w:t>: 242-251 [PMID: 29213345 DOI: 10.1007/s12281-017-0304-7]</w:t>
      </w:r>
    </w:p>
    <w:p w14:paraId="4B4EE37D"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12 </w:t>
      </w:r>
      <w:r w:rsidRPr="002434A9">
        <w:rPr>
          <w:rFonts w:ascii="Book Antiqua" w:eastAsia="Book Antiqua" w:hAnsi="Book Antiqua" w:cs="Book Antiqua"/>
          <w:b/>
          <w:bCs/>
        </w:rPr>
        <w:t>Pascual A</w:t>
      </w:r>
      <w:r w:rsidRPr="002434A9">
        <w:rPr>
          <w:rFonts w:ascii="Book Antiqua" w:eastAsia="Book Antiqua" w:hAnsi="Book Antiqua" w:cs="Book Antiqua"/>
        </w:rPr>
        <w:t xml:space="preserve">, Calandra T, Bolay S, Buclin T, Bille J, Marchetti O. Voriconazole therapeutic drug monitoring in patients with invasive mycoses improves efficacy and safety outcomes. </w:t>
      </w:r>
      <w:r w:rsidRPr="002434A9">
        <w:rPr>
          <w:rFonts w:ascii="Book Antiqua" w:eastAsia="Book Antiqua" w:hAnsi="Book Antiqua" w:cs="Book Antiqua"/>
          <w:i/>
          <w:iCs/>
        </w:rPr>
        <w:t>Clin Infect Dis</w:t>
      </w:r>
      <w:r w:rsidRPr="002434A9">
        <w:rPr>
          <w:rFonts w:ascii="Book Antiqua" w:eastAsia="Book Antiqua" w:hAnsi="Book Antiqua" w:cs="Book Antiqua"/>
        </w:rPr>
        <w:t xml:space="preserve"> 2008; </w:t>
      </w:r>
      <w:r w:rsidRPr="002434A9">
        <w:rPr>
          <w:rFonts w:ascii="Book Antiqua" w:eastAsia="Book Antiqua" w:hAnsi="Book Antiqua" w:cs="Book Antiqua"/>
          <w:b/>
          <w:bCs/>
        </w:rPr>
        <w:t>46</w:t>
      </w:r>
      <w:r w:rsidRPr="002434A9">
        <w:rPr>
          <w:rFonts w:ascii="Book Antiqua" w:eastAsia="Book Antiqua" w:hAnsi="Book Antiqua" w:cs="Book Antiqua"/>
        </w:rPr>
        <w:t>: 201-211 [PMID: 18171251 DOI: 10.1086/524669]</w:t>
      </w:r>
    </w:p>
    <w:p w14:paraId="2C7A108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13 </w:t>
      </w:r>
      <w:r w:rsidRPr="002434A9">
        <w:rPr>
          <w:rFonts w:ascii="Book Antiqua" w:eastAsia="Book Antiqua" w:hAnsi="Book Antiqua" w:cs="Book Antiqua"/>
          <w:b/>
          <w:bCs/>
        </w:rPr>
        <w:t>Matsumoto K</w:t>
      </w:r>
      <w:r w:rsidRPr="002434A9">
        <w:rPr>
          <w:rFonts w:ascii="Book Antiqua" w:eastAsia="Book Antiqua" w:hAnsi="Book Antiqua" w:cs="Book Antiqua"/>
        </w:rPr>
        <w:t xml:space="preserve">, Ikawa K, Abematsu K, Fukunaga N, Nishida K, Fukamizu T, Shimodozono Y, Morikawa N, Takeda Y, Yamada K. Correlation between voriconazole trough plasma concentration and hepatotoxicity in patients with different CYP2C19 genotypes. </w:t>
      </w:r>
      <w:r w:rsidRPr="002434A9">
        <w:rPr>
          <w:rFonts w:ascii="Book Antiqua" w:eastAsia="Book Antiqua" w:hAnsi="Book Antiqua" w:cs="Book Antiqua"/>
          <w:i/>
          <w:iCs/>
        </w:rPr>
        <w:t>Int J Antimicrob Agents</w:t>
      </w:r>
      <w:r w:rsidRPr="002434A9">
        <w:rPr>
          <w:rFonts w:ascii="Book Antiqua" w:eastAsia="Book Antiqua" w:hAnsi="Book Antiqua" w:cs="Book Antiqua"/>
        </w:rPr>
        <w:t xml:space="preserve"> 2009; </w:t>
      </w:r>
      <w:r w:rsidRPr="002434A9">
        <w:rPr>
          <w:rFonts w:ascii="Book Antiqua" w:eastAsia="Book Antiqua" w:hAnsi="Book Antiqua" w:cs="Book Antiqua"/>
          <w:b/>
          <w:bCs/>
        </w:rPr>
        <w:t>34</w:t>
      </w:r>
      <w:r w:rsidRPr="002434A9">
        <w:rPr>
          <w:rFonts w:ascii="Book Antiqua" w:eastAsia="Book Antiqua" w:hAnsi="Book Antiqua" w:cs="Book Antiqua"/>
        </w:rPr>
        <w:t>: 91-94 [PMID: 19261446 DOI: 10.1016/j.ijantimicag.2009.01.008]</w:t>
      </w:r>
    </w:p>
    <w:p w14:paraId="61D89D8C"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14 </w:t>
      </w:r>
      <w:r w:rsidRPr="002434A9">
        <w:rPr>
          <w:rFonts w:ascii="Book Antiqua" w:eastAsia="Book Antiqua" w:hAnsi="Book Antiqua" w:cs="Book Antiqua"/>
          <w:b/>
          <w:bCs/>
        </w:rPr>
        <w:t>Hamada Y</w:t>
      </w:r>
      <w:r w:rsidRPr="002434A9">
        <w:rPr>
          <w:rFonts w:ascii="Book Antiqua" w:eastAsia="Book Antiqua" w:hAnsi="Book Antiqua" w:cs="Book Antiqua"/>
        </w:rPr>
        <w:t xml:space="preserve">, Seto Y, Yago K, Kuroyama M. Investigation and threshold of optimum blood concentration of voriconazole: a descriptive statistical meta-analysis. </w:t>
      </w:r>
      <w:r w:rsidRPr="002434A9">
        <w:rPr>
          <w:rFonts w:ascii="Book Antiqua" w:eastAsia="Book Antiqua" w:hAnsi="Book Antiqua" w:cs="Book Antiqua"/>
          <w:i/>
          <w:iCs/>
        </w:rPr>
        <w:t>J Infect Chemother</w:t>
      </w:r>
      <w:r w:rsidRPr="002434A9">
        <w:rPr>
          <w:rFonts w:ascii="Book Antiqua" w:eastAsia="Book Antiqua" w:hAnsi="Book Antiqua" w:cs="Book Antiqua"/>
        </w:rPr>
        <w:t xml:space="preserve"> 2012; </w:t>
      </w:r>
      <w:r w:rsidRPr="002434A9">
        <w:rPr>
          <w:rFonts w:ascii="Book Antiqua" w:eastAsia="Book Antiqua" w:hAnsi="Book Antiqua" w:cs="Book Antiqua"/>
          <w:b/>
          <w:bCs/>
        </w:rPr>
        <w:t>18</w:t>
      </w:r>
      <w:r w:rsidRPr="002434A9">
        <w:rPr>
          <w:rFonts w:ascii="Book Antiqua" w:eastAsia="Book Antiqua" w:hAnsi="Book Antiqua" w:cs="Book Antiqua"/>
        </w:rPr>
        <w:t>: 501-507 [PMID: 22231601 DOI: 10.1007/s10156-011-0363-6]</w:t>
      </w:r>
    </w:p>
    <w:p w14:paraId="4E20FEE4" w14:textId="408D6226" w:rsidR="00A77B3E" w:rsidRPr="00825E3C" w:rsidRDefault="00A16191" w:rsidP="002434A9">
      <w:pPr>
        <w:snapToGrid w:val="0"/>
        <w:spacing w:line="360" w:lineRule="auto"/>
        <w:jc w:val="both"/>
      </w:pPr>
      <w:r w:rsidRPr="002434A9">
        <w:rPr>
          <w:rFonts w:ascii="Book Antiqua" w:eastAsia="Book Antiqua" w:hAnsi="Book Antiqua" w:cs="Book Antiqua"/>
        </w:rPr>
        <w:t xml:space="preserve">15 </w:t>
      </w:r>
      <w:r w:rsidR="00B06BE2" w:rsidRPr="002434A9">
        <w:rPr>
          <w:rFonts w:ascii="Book Antiqua" w:eastAsia="Book Antiqua" w:hAnsi="Book Antiqua" w:cs="Book Antiqua"/>
          <w:b/>
          <w:bCs/>
        </w:rPr>
        <w:t>Mihăilă</w:t>
      </w:r>
      <w:r w:rsidRPr="002434A9">
        <w:rPr>
          <w:rFonts w:ascii="Book Antiqua" w:eastAsia="Book Antiqua" w:hAnsi="Book Antiqua" w:cs="Book Antiqua"/>
          <w:b/>
          <w:bCs/>
        </w:rPr>
        <w:t xml:space="preserve"> RG</w:t>
      </w:r>
      <w:r w:rsidRPr="002434A9">
        <w:rPr>
          <w:rFonts w:ascii="Book Antiqua" w:eastAsia="Book Antiqua" w:hAnsi="Book Antiqua" w:cs="Book Antiqua"/>
        </w:rPr>
        <w:t xml:space="preserve">. Voriconazole and the liver. </w:t>
      </w:r>
      <w:r w:rsidRPr="002434A9">
        <w:rPr>
          <w:rFonts w:ascii="Book Antiqua" w:eastAsia="Book Antiqua" w:hAnsi="Book Antiqua" w:cs="Book Antiqua"/>
          <w:i/>
          <w:iCs/>
        </w:rPr>
        <w:t>World J Hepatol</w:t>
      </w:r>
      <w:r w:rsidRPr="002434A9">
        <w:rPr>
          <w:rFonts w:ascii="Book Antiqua" w:eastAsia="Book Antiqua" w:hAnsi="Book Antiqua" w:cs="Book Antiqua"/>
        </w:rPr>
        <w:t xml:space="preserve"> 2015; </w:t>
      </w:r>
      <w:r w:rsidRPr="002434A9">
        <w:rPr>
          <w:rFonts w:ascii="Book Antiqua" w:eastAsia="Book Antiqua" w:hAnsi="Book Antiqua" w:cs="Book Antiqua"/>
          <w:b/>
          <w:bCs/>
        </w:rPr>
        <w:t>7</w:t>
      </w:r>
      <w:r w:rsidRPr="002434A9">
        <w:rPr>
          <w:rFonts w:ascii="Book Antiqua" w:eastAsia="Book Antiqua" w:hAnsi="Book Antiqua" w:cs="Book Antiqua"/>
        </w:rPr>
        <w:t>: 1828-1833 [PMID: 26207164 DOI: 10.4254/wjh.v7.i14.1828]</w:t>
      </w:r>
    </w:p>
    <w:p w14:paraId="62DF5468"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16 </w:t>
      </w:r>
      <w:r w:rsidRPr="002434A9">
        <w:rPr>
          <w:rFonts w:ascii="Book Antiqua" w:eastAsia="Book Antiqua" w:hAnsi="Book Antiqua" w:cs="Book Antiqua"/>
          <w:b/>
          <w:bCs/>
        </w:rPr>
        <w:t>Park WB</w:t>
      </w:r>
      <w:r w:rsidRPr="002434A9">
        <w:rPr>
          <w:rFonts w:ascii="Book Antiqua" w:eastAsia="Book Antiqua" w:hAnsi="Book Antiqua" w:cs="Book Antiqua"/>
        </w:rPr>
        <w:t xml:space="preserve">, Kim NH, Kim KH, Lee SH, Nam WS, Yoon SH, Song KH, Choe PG, Kim NJ, Jang IJ, Oh MD, Yu KS. The effect of therapeutic drug monitoring on safety and efficacy of voriconazole in invasive fungal infections: a randomized controlled trial. </w:t>
      </w:r>
      <w:r w:rsidRPr="002434A9">
        <w:rPr>
          <w:rFonts w:ascii="Book Antiqua" w:eastAsia="Book Antiqua" w:hAnsi="Book Antiqua" w:cs="Book Antiqua"/>
          <w:i/>
          <w:iCs/>
        </w:rPr>
        <w:t>Clin Infect Dis</w:t>
      </w:r>
      <w:r w:rsidRPr="002434A9">
        <w:rPr>
          <w:rFonts w:ascii="Book Antiqua" w:eastAsia="Book Antiqua" w:hAnsi="Book Antiqua" w:cs="Book Antiqua"/>
        </w:rPr>
        <w:t xml:space="preserve"> 2012; </w:t>
      </w:r>
      <w:r w:rsidRPr="002434A9">
        <w:rPr>
          <w:rFonts w:ascii="Book Antiqua" w:eastAsia="Book Antiqua" w:hAnsi="Book Antiqua" w:cs="Book Antiqua"/>
          <w:b/>
          <w:bCs/>
        </w:rPr>
        <w:t>55</w:t>
      </w:r>
      <w:r w:rsidRPr="002434A9">
        <w:rPr>
          <w:rFonts w:ascii="Book Antiqua" w:eastAsia="Book Antiqua" w:hAnsi="Book Antiqua" w:cs="Book Antiqua"/>
        </w:rPr>
        <w:t>: 1080-1087 [PMID: 22761409 DOI: 10.1093/cid/cis599]</w:t>
      </w:r>
    </w:p>
    <w:p w14:paraId="2CB602FB" w14:textId="0AFB28DF" w:rsidR="00A77B3E" w:rsidRPr="00825E3C" w:rsidRDefault="00A16191" w:rsidP="002434A9">
      <w:pPr>
        <w:snapToGrid w:val="0"/>
        <w:spacing w:line="360" w:lineRule="auto"/>
        <w:jc w:val="both"/>
      </w:pPr>
      <w:r w:rsidRPr="002434A9">
        <w:rPr>
          <w:rFonts w:ascii="Book Antiqua" w:eastAsia="Book Antiqua" w:hAnsi="Book Antiqua" w:cs="Book Antiqua"/>
        </w:rPr>
        <w:t xml:space="preserve">17 </w:t>
      </w:r>
      <w:r w:rsidRPr="002434A9">
        <w:rPr>
          <w:rFonts w:ascii="Book Antiqua" w:eastAsia="Book Antiqua" w:hAnsi="Book Antiqua" w:cs="Book Antiqua"/>
          <w:b/>
          <w:bCs/>
        </w:rPr>
        <w:t>Matsumoto K</w:t>
      </w:r>
      <w:r w:rsidRPr="002434A9">
        <w:rPr>
          <w:rFonts w:ascii="Book Antiqua" w:eastAsia="Book Antiqua" w:hAnsi="Book Antiqua" w:cs="Book Antiqua"/>
        </w:rPr>
        <w:t xml:space="preserve">, Abematsu K, Shigemi A, Kanazawa N, Watanabe E, Yokoyama Y, Ikawa K, Morikawa N, Takeda Y. Therapeutic drug monitoring of voriconazole in Japanese patients: analysis based on clinical practice data. </w:t>
      </w:r>
      <w:r w:rsidRPr="002434A9">
        <w:rPr>
          <w:rFonts w:ascii="Book Antiqua" w:eastAsia="Book Antiqua" w:hAnsi="Book Antiqua" w:cs="Book Antiqua"/>
          <w:i/>
          <w:iCs/>
        </w:rPr>
        <w:t>J Chemother</w:t>
      </w:r>
      <w:r w:rsidRPr="002434A9">
        <w:rPr>
          <w:rFonts w:ascii="Book Antiqua" w:eastAsia="Book Antiqua" w:hAnsi="Book Antiqua" w:cs="Book Antiqua"/>
        </w:rPr>
        <w:t xml:space="preserve"> 2016; </w:t>
      </w:r>
      <w:r w:rsidRPr="002434A9">
        <w:rPr>
          <w:rFonts w:ascii="Book Antiqua" w:eastAsia="Book Antiqua" w:hAnsi="Book Antiqua" w:cs="Book Antiqua"/>
          <w:b/>
          <w:bCs/>
        </w:rPr>
        <w:t>28</w:t>
      </w:r>
      <w:r w:rsidRPr="002434A9">
        <w:rPr>
          <w:rFonts w:ascii="Book Antiqua" w:eastAsia="Book Antiqua" w:hAnsi="Book Antiqua" w:cs="Book Antiqua"/>
        </w:rPr>
        <w:t xml:space="preserve">: 198-202 [PMID: 26187373 DOI: </w:t>
      </w:r>
      <w:r w:rsidR="00B06BE2" w:rsidRPr="002434A9">
        <w:rPr>
          <w:rFonts w:ascii="Book Antiqua" w:eastAsia="Book Antiqua" w:hAnsi="Book Antiqua" w:cs="Book Antiqua"/>
        </w:rPr>
        <w:t>10.1179/1973947815Y.0000000057</w:t>
      </w:r>
      <w:r w:rsidRPr="002434A9">
        <w:rPr>
          <w:rFonts w:ascii="Book Antiqua" w:eastAsia="Book Antiqua" w:hAnsi="Book Antiqua" w:cs="Book Antiqua"/>
        </w:rPr>
        <w:t>]</w:t>
      </w:r>
    </w:p>
    <w:p w14:paraId="5D9D31EC"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18 </w:t>
      </w:r>
      <w:r w:rsidRPr="002434A9">
        <w:rPr>
          <w:rFonts w:ascii="Book Antiqua" w:eastAsia="Book Antiqua" w:hAnsi="Book Antiqua" w:cs="Book Antiqua"/>
          <w:b/>
          <w:bCs/>
        </w:rPr>
        <w:t>Giannini EG</w:t>
      </w:r>
      <w:r w:rsidRPr="002434A9">
        <w:rPr>
          <w:rFonts w:ascii="Book Antiqua" w:eastAsia="Book Antiqua" w:hAnsi="Book Antiqua" w:cs="Book Antiqua"/>
        </w:rPr>
        <w:t xml:space="preserve">, Testa R, Savarino V. Liver enzyme alteration: a guide for clinicians. </w:t>
      </w:r>
      <w:r w:rsidRPr="002434A9">
        <w:rPr>
          <w:rFonts w:ascii="Book Antiqua" w:eastAsia="Book Antiqua" w:hAnsi="Book Antiqua" w:cs="Book Antiqua"/>
          <w:i/>
          <w:iCs/>
        </w:rPr>
        <w:t>CMAJ</w:t>
      </w:r>
      <w:r w:rsidRPr="002434A9">
        <w:rPr>
          <w:rFonts w:ascii="Book Antiqua" w:eastAsia="Book Antiqua" w:hAnsi="Book Antiqua" w:cs="Book Antiqua"/>
        </w:rPr>
        <w:t xml:space="preserve"> 2005; </w:t>
      </w:r>
      <w:r w:rsidRPr="002434A9">
        <w:rPr>
          <w:rFonts w:ascii="Book Antiqua" w:eastAsia="Book Antiqua" w:hAnsi="Book Antiqua" w:cs="Book Antiqua"/>
          <w:b/>
          <w:bCs/>
        </w:rPr>
        <w:t>172</w:t>
      </w:r>
      <w:r w:rsidRPr="002434A9">
        <w:rPr>
          <w:rFonts w:ascii="Book Antiqua" w:eastAsia="Book Antiqua" w:hAnsi="Book Antiqua" w:cs="Book Antiqua"/>
        </w:rPr>
        <w:t>: 367-379 [PMID: 15684121 DOI: 10.1503/cmaj.1040752]</w:t>
      </w:r>
    </w:p>
    <w:p w14:paraId="7291034C"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19 </w:t>
      </w:r>
      <w:r w:rsidRPr="002434A9">
        <w:rPr>
          <w:rFonts w:ascii="Book Antiqua" w:eastAsia="Book Antiqua" w:hAnsi="Book Antiqua" w:cs="Book Antiqua"/>
          <w:b/>
          <w:bCs/>
        </w:rPr>
        <w:t>Ashbee HR</w:t>
      </w:r>
      <w:r w:rsidRPr="002434A9">
        <w:rPr>
          <w:rFonts w:ascii="Book Antiqua" w:eastAsia="Book Antiqua" w:hAnsi="Book Antiqua" w:cs="Book Antiqua"/>
        </w:rPr>
        <w:t xml:space="preserve">, Barnes RA, Johnson EM, Richardson MD, Gorton R, Hope WW. Therapeutic drug monitoring (TDM) of antifungal agents: guidelines from the British Society for Medical Mycology. </w:t>
      </w:r>
      <w:r w:rsidRPr="002434A9">
        <w:rPr>
          <w:rFonts w:ascii="Book Antiqua" w:eastAsia="Book Antiqua" w:hAnsi="Book Antiqua" w:cs="Book Antiqua"/>
          <w:i/>
          <w:iCs/>
        </w:rPr>
        <w:t>J Antimicrob Chemother</w:t>
      </w:r>
      <w:r w:rsidRPr="002434A9">
        <w:rPr>
          <w:rFonts w:ascii="Book Antiqua" w:eastAsia="Book Antiqua" w:hAnsi="Book Antiqua" w:cs="Book Antiqua"/>
        </w:rPr>
        <w:t xml:space="preserve"> 2014; </w:t>
      </w:r>
      <w:r w:rsidRPr="002434A9">
        <w:rPr>
          <w:rFonts w:ascii="Book Antiqua" w:eastAsia="Book Antiqua" w:hAnsi="Book Antiqua" w:cs="Book Antiqua"/>
          <w:b/>
          <w:bCs/>
        </w:rPr>
        <w:t>69</w:t>
      </w:r>
      <w:r w:rsidRPr="002434A9">
        <w:rPr>
          <w:rFonts w:ascii="Book Antiqua" w:eastAsia="Book Antiqua" w:hAnsi="Book Antiqua" w:cs="Book Antiqua"/>
        </w:rPr>
        <w:t>: 1162-1176 [PMID: 24379304 DOI: 10.1093/jac/dkt508]</w:t>
      </w:r>
    </w:p>
    <w:p w14:paraId="40386F4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20 </w:t>
      </w:r>
      <w:r w:rsidRPr="002434A9">
        <w:rPr>
          <w:rFonts w:ascii="Book Antiqua" w:eastAsia="Book Antiqua" w:hAnsi="Book Antiqua" w:cs="Book Antiqua"/>
          <w:b/>
          <w:bCs/>
        </w:rPr>
        <w:t>Moriyama B</w:t>
      </w:r>
      <w:r w:rsidRPr="002434A9">
        <w:rPr>
          <w:rFonts w:ascii="Book Antiqua" w:eastAsia="Book Antiqua" w:hAnsi="Book Antiqua" w:cs="Book Antiqua"/>
        </w:rPr>
        <w:t xml:space="preserve">, Kadri S, Henning SA, Danner RL, Walsh TJ, Penzak SR. Therapeutic Drug Monitoring and Genotypic Screening in the Clinical Use of Voriconazole. </w:t>
      </w:r>
      <w:r w:rsidRPr="002434A9">
        <w:rPr>
          <w:rFonts w:ascii="Book Antiqua" w:eastAsia="Book Antiqua" w:hAnsi="Book Antiqua" w:cs="Book Antiqua"/>
          <w:i/>
          <w:iCs/>
        </w:rPr>
        <w:t>Curr Fungal Infect Rep</w:t>
      </w:r>
      <w:r w:rsidRPr="002434A9">
        <w:rPr>
          <w:rFonts w:ascii="Book Antiqua" w:eastAsia="Book Antiqua" w:hAnsi="Book Antiqua" w:cs="Book Antiqua"/>
        </w:rPr>
        <w:t xml:space="preserve"> 2015; </w:t>
      </w:r>
      <w:r w:rsidRPr="002434A9">
        <w:rPr>
          <w:rFonts w:ascii="Book Antiqua" w:eastAsia="Book Antiqua" w:hAnsi="Book Antiqua" w:cs="Book Antiqua"/>
          <w:b/>
          <w:bCs/>
        </w:rPr>
        <w:t>9</w:t>
      </w:r>
      <w:r w:rsidRPr="002434A9">
        <w:rPr>
          <w:rFonts w:ascii="Book Antiqua" w:eastAsia="Book Antiqua" w:hAnsi="Book Antiqua" w:cs="Book Antiqua"/>
        </w:rPr>
        <w:t>: 74-87 [PMID: 26918067 DOI: 10.1007/s12281-015-0219-0]</w:t>
      </w:r>
    </w:p>
    <w:p w14:paraId="5011A33A"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21 </w:t>
      </w:r>
      <w:r w:rsidRPr="002434A9">
        <w:rPr>
          <w:rFonts w:ascii="Book Antiqua" w:eastAsia="Book Antiqua" w:hAnsi="Book Antiqua" w:cs="Book Antiqua"/>
          <w:b/>
          <w:bCs/>
        </w:rPr>
        <w:t>Jin H</w:t>
      </w:r>
      <w:r w:rsidRPr="002434A9">
        <w:rPr>
          <w:rFonts w:ascii="Book Antiqua" w:eastAsia="Book Antiqua" w:hAnsi="Book Antiqua" w:cs="Book Antiqua"/>
        </w:rPr>
        <w:t xml:space="preserve">, Wang T, Falcione BA, Olsen KM, Chen K, Tang H, Hui J, Zhai S. Trough concentration of voriconazole and its relationship with efficacy and safety: a systematic review and meta-analysis. </w:t>
      </w:r>
      <w:r w:rsidRPr="002434A9">
        <w:rPr>
          <w:rFonts w:ascii="Book Antiqua" w:eastAsia="Book Antiqua" w:hAnsi="Book Antiqua" w:cs="Book Antiqua"/>
          <w:i/>
          <w:iCs/>
        </w:rPr>
        <w:t>J Antimicrob Chemother</w:t>
      </w:r>
      <w:r w:rsidRPr="002434A9">
        <w:rPr>
          <w:rFonts w:ascii="Book Antiqua" w:eastAsia="Book Antiqua" w:hAnsi="Book Antiqua" w:cs="Book Antiqua"/>
        </w:rPr>
        <w:t xml:space="preserve"> 2016; </w:t>
      </w:r>
      <w:r w:rsidRPr="002434A9">
        <w:rPr>
          <w:rFonts w:ascii="Book Antiqua" w:eastAsia="Book Antiqua" w:hAnsi="Book Antiqua" w:cs="Book Antiqua"/>
          <w:b/>
          <w:bCs/>
        </w:rPr>
        <w:t>71</w:t>
      </w:r>
      <w:r w:rsidRPr="002434A9">
        <w:rPr>
          <w:rFonts w:ascii="Book Antiqua" w:eastAsia="Book Antiqua" w:hAnsi="Book Antiqua" w:cs="Book Antiqua"/>
        </w:rPr>
        <w:t>: 1772-1785 [PMID: 26968880 DOI: 10.1093/jac/dkw045]</w:t>
      </w:r>
    </w:p>
    <w:p w14:paraId="4FAFB6E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22 </w:t>
      </w:r>
      <w:r w:rsidRPr="002434A9">
        <w:rPr>
          <w:rFonts w:ascii="Book Antiqua" w:eastAsia="Book Antiqua" w:hAnsi="Book Antiqua" w:cs="Book Antiqua"/>
          <w:b/>
          <w:bCs/>
        </w:rPr>
        <w:t>Moriyama B</w:t>
      </w:r>
      <w:r w:rsidRPr="002434A9">
        <w:rPr>
          <w:rFonts w:ascii="Book Antiqua" w:eastAsia="Book Antiqua" w:hAnsi="Book Antiqua" w:cs="Book Antiqua"/>
        </w:rPr>
        <w:t xml:space="preserve">, Obeng AO, Barbarino J, Penzak SR, Henning SA, Scott SA, Agúndez J, Wingard JR, McLeod HL, Klein TE, Cross SJ, Caudle KE, Walsh TJ. Clinical Pharmacogenetics Implementation Consortium (CPIC) Guidelines for CYP2C19 and Voriconazole Therapy. </w:t>
      </w:r>
      <w:r w:rsidRPr="002434A9">
        <w:rPr>
          <w:rFonts w:ascii="Book Antiqua" w:eastAsia="Book Antiqua" w:hAnsi="Book Antiqua" w:cs="Book Antiqua"/>
          <w:i/>
          <w:iCs/>
        </w:rPr>
        <w:t>Clin Pharmacol Ther</w:t>
      </w:r>
      <w:r w:rsidRPr="002434A9">
        <w:rPr>
          <w:rFonts w:ascii="Book Antiqua" w:eastAsia="Book Antiqua" w:hAnsi="Book Antiqua" w:cs="Book Antiqua"/>
        </w:rPr>
        <w:t xml:space="preserve"> 2017; </w:t>
      </w:r>
      <w:r w:rsidRPr="002434A9">
        <w:rPr>
          <w:rFonts w:ascii="Book Antiqua" w:eastAsia="Book Antiqua" w:hAnsi="Book Antiqua" w:cs="Book Antiqua"/>
          <w:b/>
          <w:bCs/>
        </w:rPr>
        <w:t>102</w:t>
      </w:r>
      <w:r w:rsidRPr="002434A9">
        <w:rPr>
          <w:rFonts w:ascii="Book Antiqua" w:eastAsia="Book Antiqua" w:hAnsi="Book Antiqua" w:cs="Book Antiqua"/>
        </w:rPr>
        <w:t>: 45-51 [PMID: 27981572 DOI: 10.1002/cpt.583]</w:t>
      </w:r>
    </w:p>
    <w:p w14:paraId="23084C54" w14:textId="77777777" w:rsidR="003F618A" w:rsidRDefault="003F618A" w:rsidP="002434A9">
      <w:pPr>
        <w:snapToGrid w:val="0"/>
        <w:spacing w:line="360" w:lineRule="auto"/>
        <w:jc w:val="both"/>
        <w:sectPr w:rsidR="003F618A">
          <w:pgSz w:w="12240" w:h="15840"/>
          <w:pgMar w:top="1440" w:right="1440" w:bottom="1440" w:left="1440" w:header="720" w:footer="720" w:gutter="0"/>
          <w:cols w:space="720"/>
          <w:docGrid w:linePitch="360"/>
        </w:sectPr>
      </w:pPr>
    </w:p>
    <w:p w14:paraId="106503E4"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Footnotes</w:t>
      </w:r>
    </w:p>
    <w:p w14:paraId="0E52FF59"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Institutional review board statement: </w:t>
      </w:r>
      <w:r w:rsidRPr="002434A9">
        <w:rPr>
          <w:rFonts w:ascii="Book Antiqua" w:eastAsia="Book Antiqua" w:hAnsi="Book Antiqua" w:cs="Book Antiqua"/>
        </w:rPr>
        <w:t>The study was approved by the Institutional Review Board of Xuanwu Hospital, Capital Medical University, Beijing, No. 2019-118.</w:t>
      </w:r>
    </w:p>
    <w:p w14:paraId="211AB1AE" w14:textId="77777777" w:rsidR="00A77B3E" w:rsidRPr="00825E3C" w:rsidRDefault="00A77B3E" w:rsidP="002434A9">
      <w:pPr>
        <w:snapToGrid w:val="0"/>
        <w:spacing w:line="360" w:lineRule="auto"/>
        <w:jc w:val="both"/>
      </w:pPr>
    </w:p>
    <w:p w14:paraId="181F2A78" w14:textId="605B970D"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Informed consent statement: </w:t>
      </w:r>
      <w:r w:rsidRPr="002434A9">
        <w:rPr>
          <w:rFonts w:ascii="Book Antiqua" w:eastAsia="Book Antiqua" w:hAnsi="Book Antiqua" w:cs="Book Antiqua"/>
        </w:rPr>
        <w:t>All study participants provided informed written consent about personal and medical data collection prior to study enrolment.</w:t>
      </w:r>
    </w:p>
    <w:p w14:paraId="7EACF14A" w14:textId="77777777" w:rsidR="00A77B3E" w:rsidRPr="00825E3C" w:rsidRDefault="00A77B3E" w:rsidP="002434A9">
      <w:pPr>
        <w:snapToGrid w:val="0"/>
        <w:spacing w:line="360" w:lineRule="auto"/>
        <w:jc w:val="both"/>
      </w:pPr>
    </w:p>
    <w:p w14:paraId="4BB1B0D3"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Conflict-of-interest statement: </w:t>
      </w:r>
      <w:r w:rsidRPr="002434A9">
        <w:rPr>
          <w:rFonts w:ascii="Book Antiqua" w:eastAsia="Book Antiqua" w:hAnsi="Book Antiqua" w:cs="Book Antiqua"/>
        </w:rPr>
        <w:t>The authors declare that there is no conflict of interest regarding the publication of this manuscript.</w:t>
      </w:r>
    </w:p>
    <w:p w14:paraId="7AD95BC0" w14:textId="77777777" w:rsidR="00A77B3E" w:rsidRPr="00825E3C" w:rsidRDefault="00A77B3E" w:rsidP="002434A9">
      <w:pPr>
        <w:snapToGrid w:val="0"/>
        <w:spacing w:line="360" w:lineRule="auto"/>
        <w:jc w:val="both"/>
      </w:pPr>
    </w:p>
    <w:p w14:paraId="7FA1D16D"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Data sharing statement: </w:t>
      </w:r>
      <w:r w:rsidRPr="002434A9">
        <w:rPr>
          <w:rFonts w:ascii="Book Antiqua" w:eastAsia="Book Antiqua" w:hAnsi="Book Antiqua" w:cs="Book Antiqua"/>
        </w:rPr>
        <w:t>The original anonymous dataset used and/or analyzed during the current study are available from the corresponding author on reasonable request.</w:t>
      </w:r>
    </w:p>
    <w:p w14:paraId="7DEC4C63" w14:textId="77777777" w:rsidR="00A77B3E" w:rsidRPr="00825E3C" w:rsidRDefault="00A77B3E" w:rsidP="002434A9">
      <w:pPr>
        <w:snapToGrid w:val="0"/>
        <w:spacing w:line="360" w:lineRule="auto"/>
        <w:jc w:val="both"/>
      </w:pPr>
    </w:p>
    <w:p w14:paraId="1CD12AC9" w14:textId="3665E7DD"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STROBE statement: </w:t>
      </w:r>
      <w:r w:rsidRPr="002434A9">
        <w:rPr>
          <w:rFonts w:ascii="Book Antiqua" w:eastAsia="Book Antiqua" w:hAnsi="Book Antiqua" w:cs="Book Antiqua"/>
        </w:rPr>
        <w:t>The authors have read the STROBE Statement</w:t>
      </w:r>
      <w:r w:rsidR="00E55F31" w:rsidRPr="002434A9">
        <w:rPr>
          <w:rFonts w:ascii="Book Antiqua" w:eastAsia="Book Antiqua" w:hAnsi="Book Antiqua" w:cs="Book Antiqua"/>
        </w:rPr>
        <w:t>-</w:t>
      </w:r>
      <w:r w:rsidRPr="002434A9">
        <w:rPr>
          <w:rFonts w:ascii="Book Antiqua" w:eastAsia="Book Antiqua" w:hAnsi="Book Antiqua" w:cs="Book Antiqua"/>
        </w:rPr>
        <w:t>checklist of items, and the manuscript was prepared and revised according to the STROBE Statement</w:t>
      </w:r>
      <w:r w:rsidR="00E55F31" w:rsidRPr="002434A9">
        <w:rPr>
          <w:rFonts w:ascii="Book Antiqua" w:eastAsia="Book Antiqua" w:hAnsi="Book Antiqua" w:cs="Book Antiqua"/>
        </w:rPr>
        <w:t>-</w:t>
      </w:r>
      <w:r w:rsidRPr="002434A9">
        <w:rPr>
          <w:rFonts w:ascii="Book Antiqua" w:eastAsia="Book Antiqua" w:hAnsi="Book Antiqua" w:cs="Book Antiqua"/>
        </w:rPr>
        <w:t>checklist of items.</w:t>
      </w:r>
    </w:p>
    <w:p w14:paraId="11CF5E48" w14:textId="77777777" w:rsidR="00A77B3E" w:rsidRPr="00825E3C" w:rsidRDefault="00A77B3E" w:rsidP="002434A9">
      <w:pPr>
        <w:snapToGrid w:val="0"/>
        <w:spacing w:line="360" w:lineRule="auto"/>
        <w:jc w:val="both"/>
      </w:pPr>
    </w:p>
    <w:p w14:paraId="5B609C83"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Open-Access: </w:t>
      </w:r>
      <w:r w:rsidRPr="002434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613BD0" w14:textId="77777777" w:rsidR="00A77B3E" w:rsidRPr="00825E3C" w:rsidRDefault="00A77B3E" w:rsidP="002434A9">
      <w:pPr>
        <w:snapToGrid w:val="0"/>
        <w:spacing w:line="360" w:lineRule="auto"/>
        <w:jc w:val="both"/>
      </w:pPr>
    </w:p>
    <w:p w14:paraId="41405575" w14:textId="34BEB5B9" w:rsidR="00A77B3E" w:rsidRPr="00825E3C" w:rsidRDefault="00A16191" w:rsidP="002434A9">
      <w:pPr>
        <w:snapToGrid w:val="0"/>
        <w:spacing w:line="360" w:lineRule="auto"/>
        <w:jc w:val="both"/>
      </w:pPr>
      <w:r w:rsidRPr="002434A9">
        <w:rPr>
          <w:rFonts w:ascii="Book Antiqua" w:eastAsia="Book Antiqua" w:hAnsi="Book Antiqua" w:cs="Book Antiqua"/>
          <w:b/>
        </w:rPr>
        <w:t xml:space="preserve">Manuscript source: </w:t>
      </w:r>
      <w:r w:rsidRPr="002434A9">
        <w:rPr>
          <w:rFonts w:ascii="Book Antiqua" w:eastAsia="Book Antiqua" w:hAnsi="Book Antiqua" w:cs="Book Antiqua"/>
        </w:rPr>
        <w:t xml:space="preserve">Unsolicited </w:t>
      </w:r>
      <w:r w:rsidR="00021E24" w:rsidRPr="002434A9">
        <w:rPr>
          <w:rFonts w:ascii="Book Antiqua" w:eastAsia="Book Antiqua" w:hAnsi="Book Antiqua" w:cs="Book Antiqua"/>
        </w:rPr>
        <w:t>manuscript</w:t>
      </w:r>
    </w:p>
    <w:p w14:paraId="5C1B3A80" w14:textId="77777777" w:rsidR="00A77B3E" w:rsidRPr="00825E3C" w:rsidRDefault="00A77B3E" w:rsidP="002434A9">
      <w:pPr>
        <w:snapToGrid w:val="0"/>
        <w:spacing w:line="360" w:lineRule="auto"/>
        <w:jc w:val="both"/>
      </w:pPr>
    </w:p>
    <w:p w14:paraId="1BA027E7"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Peer-review started: </w:t>
      </w:r>
      <w:r w:rsidRPr="002434A9">
        <w:rPr>
          <w:rFonts w:ascii="Book Antiqua" w:eastAsia="Book Antiqua" w:hAnsi="Book Antiqua" w:cs="Book Antiqua"/>
        </w:rPr>
        <w:t>May 17, 2020</w:t>
      </w:r>
    </w:p>
    <w:p w14:paraId="6A2795DE"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First decision: </w:t>
      </w:r>
      <w:r w:rsidRPr="002434A9">
        <w:rPr>
          <w:rFonts w:ascii="Book Antiqua" w:eastAsia="Book Antiqua" w:hAnsi="Book Antiqua" w:cs="Book Antiqua"/>
        </w:rPr>
        <w:t>July 25, 2020</w:t>
      </w:r>
    </w:p>
    <w:p w14:paraId="0BAD5465" w14:textId="0D71FEB0" w:rsidR="00A77B3E" w:rsidRPr="00825E3C" w:rsidRDefault="00A16191" w:rsidP="002434A9">
      <w:pPr>
        <w:snapToGrid w:val="0"/>
        <w:spacing w:line="360" w:lineRule="auto"/>
        <w:jc w:val="both"/>
      </w:pPr>
      <w:r w:rsidRPr="002434A9">
        <w:rPr>
          <w:rFonts w:ascii="Book Antiqua" w:eastAsia="Book Antiqua" w:hAnsi="Book Antiqua" w:cs="Book Antiqua"/>
          <w:b/>
        </w:rPr>
        <w:t xml:space="preserve">Article in press: </w:t>
      </w:r>
      <w:r w:rsidR="00116EAD" w:rsidRPr="002434A9">
        <w:rPr>
          <w:rFonts w:ascii="Book Antiqua" w:hAnsi="Book Antiqua" w:cs="Arial"/>
          <w:shd w:val="clear" w:color="auto" w:fill="FFFFFF"/>
        </w:rPr>
        <w:t>September 1, 2020</w:t>
      </w:r>
    </w:p>
    <w:p w14:paraId="138B6C01" w14:textId="77777777" w:rsidR="00A77B3E" w:rsidRPr="00825E3C" w:rsidRDefault="00A77B3E" w:rsidP="002434A9">
      <w:pPr>
        <w:snapToGrid w:val="0"/>
        <w:spacing w:line="360" w:lineRule="auto"/>
        <w:jc w:val="both"/>
      </w:pPr>
    </w:p>
    <w:p w14:paraId="66BB1683" w14:textId="134E588B" w:rsidR="00A77B3E" w:rsidRPr="00825E3C" w:rsidRDefault="00A16191" w:rsidP="002434A9">
      <w:pPr>
        <w:snapToGrid w:val="0"/>
        <w:spacing w:line="360" w:lineRule="auto"/>
        <w:jc w:val="both"/>
      </w:pPr>
      <w:r w:rsidRPr="002434A9">
        <w:rPr>
          <w:rFonts w:ascii="Book Antiqua" w:eastAsia="Book Antiqua" w:hAnsi="Book Antiqua" w:cs="Book Antiqua"/>
          <w:b/>
        </w:rPr>
        <w:t xml:space="preserve">Specialty type: </w:t>
      </w:r>
      <w:r w:rsidR="00021E24" w:rsidRPr="00825E3C">
        <w:rPr>
          <w:rFonts w:ascii="Book Antiqua" w:eastAsia="微软雅黑" w:hAnsi="Book Antiqua" w:cs="宋体"/>
        </w:rPr>
        <w:t>Medicine, research and experimental</w:t>
      </w:r>
    </w:p>
    <w:p w14:paraId="325B899D"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Country/Territory of origin: </w:t>
      </w:r>
      <w:r w:rsidRPr="002434A9">
        <w:rPr>
          <w:rFonts w:ascii="Book Antiqua" w:eastAsia="Book Antiqua" w:hAnsi="Book Antiqua" w:cs="Book Antiqua"/>
        </w:rPr>
        <w:t>China</w:t>
      </w:r>
    </w:p>
    <w:p w14:paraId="7CBB26B2"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Peer-review report’s scientific quality classification</w:t>
      </w:r>
    </w:p>
    <w:p w14:paraId="32C872A0"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A (Excellent): 0</w:t>
      </w:r>
    </w:p>
    <w:p w14:paraId="4EE2369F"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B (Very good): 0</w:t>
      </w:r>
    </w:p>
    <w:p w14:paraId="57564B13" w14:textId="2EE6AC31" w:rsidR="00A77B3E" w:rsidRPr="00825E3C" w:rsidRDefault="00A16191" w:rsidP="002434A9">
      <w:pPr>
        <w:snapToGrid w:val="0"/>
        <w:spacing w:line="360" w:lineRule="auto"/>
        <w:jc w:val="both"/>
      </w:pPr>
      <w:r w:rsidRPr="002434A9">
        <w:rPr>
          <w:rFonts w:ascii="Book Antiqua" w:eastAsia="Book Antiqua" w:hAnsi="Book Antiqua" w:cs="Book Antiqua"/>
        </w:rPr>
        <w:t>Grade C (Good): C</w:t>
      </w:r>
      <w:r w:rsidR="0056179B" w:rsidRPr="002434A9">
        <w:rPr>
          <w:rFonts w:ascii="Book Antiqua" w:eastAsia="Book Antiqua" w:hAnsi="Book Antiqua" w:cs="Book Antiqua"/>
        </w:rPr>
        <w:t>, C</w:t>
      </w:r>
    </w:p>
    <w:p w14:paraId="248B0586"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D (Fair): 0</w:t>
      </w:r>
    </w:p>
    <w:p w14:paraId="045FB58F"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E (Poor): 0</w:t>
      </w:r>
    </w:p>
    <w:p w14:paraId="66C4D430" w14:textId="77777777" w:rsidR="00A77B3E" w:rsidRPr="00825E3C" w:rsidRDefault="00A77B3E" w:rsidP="002434A9">
      <w:pPr>
        <w:snapToGrid w:val="0"/>
        <w:spacing w:line="360" w:lineRule="auto"/>
        <w:jc w:val="both"/>
      </w:pPr>
    </w:p>
    <w:p w14:paraId="74B7C453" w14:textId="7BD5A7DC" w:rsidR="00BE61FF" w:rsidRPr="00BE61FF" w:rsidRDefault="00A16191" w:rsidP="002434A9">
      <w:pPr>
        <w:snapToGrid w:val="0"/>
        <w:spacing w:line="360" w:lineRule="auto"/>
        <w:jc w:val="both"/>
        <w:rPr>
          <w:rFonts w:ascii="Book Antiqua" w:hAnsi="Book Antiqua" w:cs="Book Antiqua"/>
          <w:b/>
          <w:lang w:eastAsia="zh-CN"/>
        </w:rPr>
      </w:pPr>
      <w:r w:rsidRPr="002434A9">
        <w:rPr>
          <w:rFonts w:ascii="Book Antiqua" w:eastAsia="Book Antiqua" w:hAnsi="Book Antiqua" w:cs="Book Antiqua"/>
          <w:b/>
        </w:rPr>
        <w:t xml:space="preserve">P-Reviewer: </w:t>
      </w:r>
      <w:r w:rsidRPr="002434A9">
        <w:rPr>
          <w:rFonts w:ascii="Book Antiqua" w:eastAsia="Book Antiqua" w:hAnsi="Book Antiqua" w:cs="Book Antiqua"/>
        </w:rPr>
        <w:t>Anand A</w:t>
      </w:r>
      <w:r w:rsidRPr="002434A9">
        <w:rPr>
          <w:rFonts w:ascii="Book Antiqua" w:eastAsia="Book Antiqua" w:hAnsi="Book Antiqua" w:cs="Book Antiqua"/>
          <w:b/>
        </w:rPr>
        <w:t xml:space="preserve"> S-Editor: </w:t>
      </w:r>
      <w:r w:rsidRPr="002434A9">
        <w:rPr>
          <w:rFonts w:ascii="Book Antiqua" w:eastAsia="Book Antiqua" w:hAnsi="Book Antiqua" w:cs="Book Antiqua"/>
        </w:rPr>
        <w:t>Yan JP</w:t>
      </w:r>
      <w:r w:rsidRPr="002434A9">
        <w:rPr>
          <w:rFonts w:ascii="Book Antiqua" w:eastAsia="Book Antiqua" w:hAnsi="Book Antiqua" w:cs="Book Antiqua"/>
          <w:b/>
        </w:rPr>
        <w:t xml:space="preserve"> L-Editor: </w:t>
      </w:r>
      <w:r w:rsidR="00C05343" w:rsidRPr="002434A9">
        <w:rPr>
          <w:rFonts w:ascii="Book Antiqua" w:eastAsia="Book Antiqua" w:hAnsi="Book Antiqua" w:cs="Book Antiqua"/>
          <w:bCs/>
        </w:rPr>
        <w:t>Filipodia</w:t>
      </w:r>
      <w:r w:rsidRPr="002434A9">
        <w:rPr>
          <w:rFonts w:ascii="Book Antiqua" w:eastAsia="Book Antiqua" w:hAnsi="Book Antiqua" w:cs="Book Antiqua"/>
          <w:b/>
        </w:rPr>
        <w:t xml:space="preserve"> P-Editor:</w:t>
      </w:r>
      <w:r w:rsidR="00BE61FF">
        <w:rPr>
          <w:rFonts w:ascii="Book Antiqua" w:hAnsi="Book Antiqua" w:cs="Book Antiqua" w:hint="eastAsia"/>
          <w:b/>
          <w:lang w:eastAsia="zh-CN"/>
        </w:rPr>
        <w:t xml:space="preserve"> </w:t>
      </w:r>
      <w:r w:rsidR="00BE61FF" w:rsidRPr="00BE61FF">
        <w:rPr>
          <w:rFonts w:ascii="Book Antiqua" w:hAnsi="Book Antiqua" w:cs="Book Antiqua" w:hint="eastAsia"/>
          <w:lang w:eastAsia="zh-CN"/>
        </w:rPr>
        <w:t>Liu JH</w:t>
      </w:r>
    </w:p>
    <w:p w14:paraId="280D19D8" w14:textId="48F38F13" w:rsidR="00A77B3E" w:rsidRPr="00BE61FF" w:rsidRDefault="00A16191" w:rsidP="002434A9">
      <w:pPr>
        <w:snapToGrid w:val="0"/>
        <w:spacing w:line="360" w:lineRule="auto"/>
        <w:jc w:val="both"/>
        <w:rPr>
          <w:lang w:eastAsia="zh-CN"/>
        </w:rPr>
        <w:sectPr w:rsidR="00A77B3E" w:rsidRPr="00BE61FF">
          <w:pgSz w:w="12240" w:h="15840"/>
          <w:pgMar w:top="1440" w:right="1440" w:bottom="1440" w:left="1440" w:header="720" w:footer="720" w:gutter="0"/>
          <w:cols w:space="720"/>
          <w:docGrid w:linePitch="360"/>
        </w:sectPr>
      </w:pPr>
      <w:r w:rsidRPr="002434A9">
        <w:rPr>
          <w:rFonts w:ascii="Book Antiqua" w:eastAsia="Book Antiqua" w:hAnsi="Book Antiqua" w:cs="Book Antiqua"/>
          <w:b/>
        </w:rPr>
        <w:t xml:space="preserve"> </w:t>
      </w:r>
    </w:p>
    <w:p w14:paraId="19A5363C" w14:textId="4B79F747" w:rsidR="00A77B3E" w:rsidRPr="002434A9" w:rsidRDefault="00A16191" w:rsidP="002434A9">
      <w:pPr>
        <w:snapToGrid w:val="0"/>
        <w:spacing w:line="360" w:lineRule="auto"/>
        <w:jc w:val="both"/>
        <w:rPr>
          <w:rFonts w:ascii="Book Antiqua" w:eastAsia="Book Antiqua" w:hAnsi="Book Antiqua" w:cs="Book Antiqua"/>
          <w:b/>
        </w:rPr>
      </w:pPr>
      <w:r w:rsidRPr="002434A9">
        <w:rPr>
          <w:rFonts w:ascii="Book Antiqua" w:eastAsia="Book Antiqua" w:hAnsi="Book Antiqua" w:cs="Book Antiqua"/>
          <w:b/>
        </w:rPr>
        <w:t>Figure Legends</w:t>
      </w:r>
    </w:p>
    <w:p w14:paraId="3523B8DC" w14:textId="0A6BB743" w:rsidR="00A16191" w:rsidRPr="00825E3C" w:rsidRDefault="008E44BC" w:rsidP="002434A9">
      <w:pPr>
        <w:snapToGrid w:val="0"/>
        <w:spacing w:line="360" w:lineRule="auto"/>
        <w:jc w:val="both"/>
      </w:pPr>
      <w:r w:rsidRPr="002434A9">
        <w:rPr>
          <w:noProof/>
          <w:lang w:eastAsia="zh-CN"/>
        </w:rPr>
        <w:drawing>
          <wp:inline distT="0" distB="0" distL="0" distR="0" wp14:anchorId="61623957" wp14:editId="6ABAA5CF">
            <wp:extent cx="5943600" cy="3189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9605"/>
                    </a:xfrm>
                    <a:prstGeom prst="rect">
                      <a:avLst/>
                    </a:prstGeom>
                  </pic:spPr>
                </pic:pic>
              </a:graphicData>
            </a:graphic>
          </wp:inline>
        </w:drawing>
      </w:r>
    </w:p>
    <w:p w14:paraId="6F19F7C3" w14:textId="649D7205" w:rsidR="00F66E9E" w:rsidRPr="002434A9" w:rsidRDefault="00A16191" w:rsidP="002434A9">
      <w:pPr>
        <w:snapToGrid w:val="0"/>
        <w:spacing w:line="360" w:lineRule="auto"/>
        <w:jc w:val="both"/>
        <w:rPr>
          <w:rFonts w:ascii="Book Antiqua" w:eastAsia="Book Antiqua" w:hAnsi="Book Antiqua" w:cs="Book Antiqua"/>
        </w:rPr>
      </w:pPr>
      <w:r w:rsidRPr="002434A9">
        <w:rPr>
          <w:rFonts w:ascii="Book Antiqua" w:eastAsia="Book Antiqua" w:hAnsi="Book Antiqua" w:cs="Book Antiqua"/>
          <w:b/>
          <w:bCs/>
        </w:rPr>
        <w:t xml:space="preserve">Figure 1 Changes in hepatic function tests before and after voriconazole dose reduction. </w:t>
      </w:r>
      <w:r w:rsidRPr="002434A9">
        <w:rPr>
          <w:rFonts w:ascii="Book Antiqua" w:eastAsia="Book Antiqua" w:hAnsi="Book Antiqua" w:cs="Book Antiqua"/>
        </w:rPr>
        <w:t xml:space="preserve">Four different time points were selected: before voriconazole treatment, before voriconazole dose reduction, 1 mo after voriconazole dose reduction, </w:t>
      </w:r>
      <w:r w:rsidR="00634629" w:rsidRPr="002434A9">
        <w:rPr>
          <w:rFonts w:ascii="Book Antiqua" w:eastAsia="Book Antiqua" w:hAnsi="Book Antiqua" w:cs="Book Antiqua"/>
        </w:rPr>
        <w:t xml:space="preserve">and </w:t>
      </w:r>
      <w:r w:rsidRPr="002434A9">
        <w:rPr>
          <w:rFonts w:ascii="Book Antiqua" w:eastAsia="Book Antiqua" w:hAnsi="Book Antiqua" w:cs="Book Antiqua"/>
        </w:rPr>
        <w:t xml:space="preserve">4 mo after voriconazole dose reduction. Box plots were created to illustrate changes in </w:t>
      </w:r>
      <w:r w:rsidR="00E37D10" w:rsidRPr="002434A9">
        <w:rPr>
          <w:rFonts w:ascii="Book Antiqua" w:eastAsia="Book Antiqua" w:hAnsi="Book Antiqua" w:cs="Book Antiqua"/>
        </w:rPr>
        <w:t>alanine aminotransferase</w:t>
      </w:r>
      <w:r w:rsidRPr="002434A9">
        <w:rPr>
          <w:rFonts w:ascii="Book Antiqua" w:eastAsia="Book Antiqua" w:hAnsi="Book Antiqua" w:cs="Book Antiqua"/>
        </w:rPr>
        <w:t xml:space="preserve">, </w:t>
      </w:r>
      <w:r w:rsidR="00E37D10" w:rsidRPr="002434A9">
        <w:rPr>
          <w:rFonts w:ascii="Book Antiqua" w:eastAsia="Book Antiqua" w:hAnsi="Book Antiqua" w:cs="Book Antiqua"/>
        </w:rPr>
        <w:t>aspartate aminotransferase</w:t>
      </w:r>
      <w:r w:rsidRPr="002434A9">
        <w:rPr>
          <w:rFonts w:ascii="Book Antiqua" w:eastAsia="Book Antiqua" w:hAnsi="Book Antiqua" w:cs="Book Antiqua"/>
        </w:rPr>
        <w:t xml:space="preserve">, gamma-glutamyltransferase, and alkaline phosphatase at </w:t>
      </w:r>
      <w:r w:rsidR="00634629" w:rsidRPr="002434A9">
        <w:rPr>
          <w:rFonts w:ascii="Book Antiqua" w:eastAsia="Book Antiqua" w:hAnsi="Book Antiqua" w:cs="Book Antiqua"/>
        </w:rPr>
        <w:t>four</w:t>
      </w:r>
      <w:r w:rsidRPr="002434A9">
        <w:rPr>
          <w:rFonts w:ascii="Book Antiqua" w:eastAsia="Book Antiqua" w:hAnsi="Book Antiqua" w:cs="Book Antiqua"/>
        </w:rPr>
        <w:t xml:space="preserve"> different time points in 12 patients with liver toxicity. Shaded regions represent the interquartile range. Capped whiskers represent the upper and lower adjacent values. Outliers are excluded.</w:t>
      </w:r>
      <w:r w:rsidR="004D1FC8" w:rsidRPr="002434A9">
        <w:rPr>
          <w:rFonts w:ascii="Book Antiqua" w:eastAsia="Book Antiqua" w:hAnsi="Book Antiqua" w:cs="Book Antiqua"/>
        </w:rPr>
        <w:t xml:space="preserve"> </w:t>
      </w:r>
      <w:r w:rsidRPr="002434A9">
        <w:rPr>
          <w:rFonts w:ascii="Book Antiqua" w:eastAsia="Book Antiqua" w:hAnsi="Book Antiqua" w:cs="Book Antiqua"/>
        </w:rPr>
        <w:t>γ-GGT: Gamma-glutamyltransferase (normal range: 7-50 U/L); ALT: Alanine aminotransferase (normal range: 5-40 U/L); AST: Aspartate aminotransferase (normal range: 8-40 U/L); ALP: Alkaline phosphatase (normal range: 40-150 U/L).</w:t>
      </w:r>
    </w:p>
    <w:p w14:paraId="768511A2" w14:textId="6A026584" w:rsidR="00F66E9E" w:rsidRPr="002434A9" w:rsidRDefault="00F66E9E" w:rsidP="002434A9">
      <w:pPr>
        <w:snapToGrid w:val="0"/>
        <w:spacing w:line="360" w:lineRule="auto"/>
        <w:jc w:val="both"/>
        <w:rPr>
          <w:rFonts w:ascii="Book Antiqua" w:eastAsia="Book Antiqua" w:hAnsi="Book Antiqua" w:cs="Book Antiqua"/>
          <w:b/>
          <w:bCs/>
        </w:rPr>
      </w:pPr>
      <w:r w:rsidRPr="002434A9">
        <w:rPr>
          <w:rFonts w:ascii="Book Antiqua" w:eastAsia="Book Antiqua" w:hAnsi="Book Antiqua" w:cs="Book Antiqua"/>
        </w:rPr>
        <w:br w:type="page"/>
      </w:r>
      <w:r w:rsidRPr="002434A9">
        <w:rPr>
          <w:rFonts w:ascii="Book Antiqua" w:eastAsia="Book Antiqua" w:hAnsi="Book Antiqua" w:cs="Book Antiqua"/>
          <w:b/>
          <w:bCs/>
        </w:rPr>
        <w:t>Table 1 Demographic characteristics and efficacy in both groups of patients</w:t>
      </w:r>
    </w:p>
    <w:tbl>
      <w:tblPr>
        <w:tblStyle w:val="a6"/>
        <w:tblW w:w="48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126"/>
        <w:gridCol w:w="1989"/>
        <w:gridCol w:w="986"/>
      </w:tblGrid>
      <w:tr w:rsidR="00825E3C" w:rsidRPr="00825E3C" w14:paraId="61EE7E6B" w14:textId="77777777" w:rsidTr="00935BF4">
        <w:trPr>
          <w:trHeight w:val="625"/>
        </w:trPr>
        <w:tc>
          <w:tcPr>
            <w:tcW w:w="2263" w:type="pct"/>
            <w:tcBorders>
              <w:top w:val="single" w:sz="4" w:space="0" w:color="auto"/>
              <w:bottom w:val="single" w:sz="4" w:space="0" w:color="auto"/>
            </w:tcBorders>
          </w:tcPr>
          <w:p w14:paraId="4F458ED8" w14:textId="77777777" w:rsidR="00F66E9E" w:rsidRPr="00825E3C" w:rsidRDefault="00F66E9E" w:rsidP="002434A9">
            <w:pPr>
              <w:snapToGrid w:val="0"/>
              <w:spacing w:line="360" w:lineRule="auto"/>
              <w:ind w:firstLineChars="200" w:firstLine="482"/>
              <w:jc w:val="both"/>
              <w:rPr>
                <w:rFonts w:ascii="Book Antiqua" w:hAnsi="Book Antiqua" w:cs="Times New Roman"/>
                <w:b/>
                <w:bCs/>
                <w:shd w:val="clear" w:color="auto" w:fill="FFFFFF"/>
              </w:rPr>
            </w:pPr>
            <w:r w:rsidRPr="00825E3C">
              <w:rPr>
                <w:rFonts w:ascii="Book Antiqua" w:hAnsi="Book Antiqua" w:cs="Times New Roman"/>
                <w:b/>
                <w:bCs/>
                <w:shd w:val="clear" w:color="auto" w:fill="FFFFFF"/>
              </w:rPr>
              <w:t>Characteristics</w:t>
            </w:r>
          </w:p>
        </w:tc>
        <w:tc>
          <w:tcPr>
            <w:tcW w:w="1140" w:type="pct"/>
            <w:tcBorders>
              <w:top w:val="single" w:sz="4" w:space="0" w:color="auto"/>
              <w:bottom w:val="single" w:sz="4" w:space="0" w:color="auto"/>
            </w:tcBorders>
          </w:tcPr>
          <w:p w14:paraId="385454E0" w14:textId="3ED452DC" w:rsidR="00F66E9E" w:rsidRPr="00825E3C" w:rsidRDefault="00F66E9E" w:rsidP="002434A9">
            <w:pPr>
              <w:snapToGrid w:val="0"/>
              <w:spacing w:line="360" w:lineRule="auto"/>
              <w:jc w:val="both"/>
              <w:rPr>
                <w:rFonts w:ascii="Book Antiqua" w:hAnsi="Book Antiqua" w:cs="Times New Roman"/>
                <w:b/>
                <w:bCs/>
                <w:shd w:val="clear" w:color="auto" w:fill="FFFFFF"/>
              </w:rPr>
            </w:pPr>
            <w:r w:rsidRPr="00825E3C">
              <w:rPr>
                <w:rFonts w:ascii="Book Antiqua" w:hAnsi="Book Antiqua"/>
                <w:b/>
                <w:bCs/>
                <w:shd w:val="clear" w:color="auto" w:fill="FFFFFF"/>
              </w:rPr>
              <w:t>Reduced-dose group</w:t>
            </w:r>
            <w:r w:rsidR="00825E3C">
              <w:rPr>
                <w:rFonts w:ascii="Book Antiqua" w:hAnsi="Book Antiqua" w:cs="Times New Roman"/>
                <w:b/>
                <w:bCs/>
                <w:shd w:val="clear" w:color="auto" w:fill="FFFFFF"/>
              </w:rPr>
              <w:t>,</w:t>
            </w:r>
            <w:r w:rsidRPr="00825E3C">
              <w:rPr>
                <w:rFonts w:ascii="Book Antiqua" w:hAnsi="Book Antiqua" w:cs="Times New Roman"/>
                <w:b/>
                <w:bCs/>
                <w:shd w:val="clear" w:color="auto" w:fill="FFFFFF"/>
              </w:rPr>
              <w:t xml:space="preserve"> </w:t>
            </w:r>
            <w:r w:rsidRPr="00825E3C">
              <w:rPr>
                <w:rFonts w:ascii="Book Antiqua" w:hAnsi="Book Antiqua" w:cs="Times New Roman"/>
                <w:b/>
                <w:bCs/>
                <w:i/>
                <w:iCs/>
                <w:shd w:val="clear" w:color="auto" w:fill="FFFFFF"/>
              </w:rPr>
              <w:t>n</w:t>
            </w:r>
            <w:r w:rsidRPr="00825E3C">
              <w:rPr>
                <w:rFonts w:ascii="Book Antiqua" w:hAnsi="Book Antiqua" w:cs="Times New Roman"/>
                <w:b/>
                <w:bCs/>
                <w:shd w:val="clear" w:color="auto" w:fill="FFFFFF"/>
              </w:rPr>
              <w:t xml:space="preserve"> = 12</w:t>
            </w:r>
          </w:p>
        </w:tc>
        <w:tc>
          <w:tcPr>
            <w:tcW w:w="1067" w:type="pct"/>
            <w:tcBorders>
              <w:top w:val="single" w:sz="4" w:space="0" w:color="auto"/>
              <w:bottom w:val="single" w:sz="4" w:space="0" w:color="auto"/>
            </w:tcBorders>
          </w:tcPr>
          <w:p w14:paraId="053677DE" w14:textId="08EB7259" w:rsidR="00F66E9E" w:rsidRPr="00825E3C" w:rsidRDefault="00F66E9E" w:rsidP="002434A9">
            <w:pPr>
              <w:snapToGrid w:val="0"/>
              <w:spacing w:line="360" w:lineRule="auto"/>
              <w:jc w:val="both"/>
              <w:rPr>
                <w:rFonts w:ascii="Book Antiqua" w:hAnsi="Book Antiqua" w:cs="Times New Roman"/>
                <w:b/>
                <w:bCs/>
                <w:shd w:val="clear" w:color="auto" w:fill="FFFFFF"/>
              </w:rPr>
            </w:pPr>
            <w:r w:rsidRPr="00825E3C">
              <w:rPr>
                <w:rFonts w:ascii="Book Antiqua" w:hAnsi="Book Antiqua"/>
                <w:b/>
                <w:bCs/>
                <w:shd w:val="clear" w:color="auto" w:fill="FFFFFF"/>
              </w:rPr>
              <w:t>Standard</w:t>
            </w:r>
            <w:r w:rsidR="00B16B09" w:rsidRPr="00825E3C">
              <w:rPr>
                <w:rFonts w:ascii="Book Antiqua" w:hAnsi="Book Antiqua"/>
                <w:b/>
                <w:bCs/>
                <w:shd w:val="clear" w:color="auto" w:fill="FFFFFF"/>
              </w:rPr>
              <w:t>-</w:t>
            </w:r>
            <w:r w:rsidRPr="00825E3C">
              <w:rPr>
                <w:rFonts w:ascii="Book Antiqua" w:hAnsi="Book Antiqua"/>
                <w:b/>
                <w:bCs/>
                <w:shd w:val="clear" w:color="auto" w:fill="FFFFFF"/>
              </w:rPr>
              <w:t>doses group</w:t>
            </w:r>
            <w:r w:rsidR="00825E3C">
              <w:rPr>
                <w:rFonts w:ascii="Book Antiqua" w:hAnsi="Book Antiqua" w:cs="Times New Roman"/>
                <w:b/>
                <w:bCs/>
                <w:shd w:val="clear" w:color="auto" w:fill="FFFFFF"/>
              </w:rPr>
              <w:t>,</w:t>
            </w:r>
            <w:r w:rsidRPr="00825E3C">
              <w:rPr>
                <w:rFonts w:ascii="Book Antiqua" w:hAnsi="Book Antiqua" w:cs="Times New Roman"/>
                <w:b/>
                <w:bCs/>
                <w:shd w:val="clear" w:color="auto" w:fill="FFFFFF"/>
              </w:rPr>
              <w:t xml:space="preserve"> </w:t>
            </w:r>
            <w:r w:rsidRPr="00825E3C">
              <w:rPr>
                <w:rFonts w:ascii="Book Antiqua" w:hAnsi="Book Antiqua" w:cs="Times New Roman"/>
                <w:b/>
                <w:bCs/>
                <w:i/>
                <w:iCs/>
                <w:shd w:val="clear" w:color="auto" w:fill="FFFFFF"/>
              </w:rPr>
              <w:t>n</w:t>
            </w:r>
            <w:r w:rsidRPr="00825E3C">
              <w:rPr>
                <w:rFonts w:ascii="Book Antiqua" w:hAnsi="Book Antiqua" w:cs="Times New Roman"/>
                <w:b/>
                <w:bCs/>
                <w:shd w:val="clear" w:color="auto" w:fill="FFFFFF"/>
              </w:rPr>
              <w:t xml:space="preserve"> =</w:t>
            </w:r>
            <w:r w:rsidR="00AA40F0" w:rsidRPr="00825E3C">
              <w:rPr>
                <w:rFonts w:ascii="Book Antiqua" w:hAnsi="Book Antiqua" w:cs="Times New Roman"/>
                <w:b/>
                <w:bCs/>
                <w:shd w:val="clear" w:color="auto" w:fill="FFFFFF"/>
              </w:rPr>
              <w:t xml:space="preserve"> </w:t>
            </w:r>
            <w:r w:rsidRPr="00825E3C">
              <w:rPr>
                <w:rFonts w:ascii="Book Antiqua" w:hAnsi="Book Antiqua" w:cs="Times New Roman"/>
                <w:b/>
                <w:bCs/>
                <w:shd w:val="clear" w:color="auto" w:fill="FFFFFF"/>
              </w:rPr>
              <w:t>25</w:t>
            </w:r>
          </w:p>
        </w:tc>
        <w:tc>
          <w:tcPr>
            <w:tcW w:w="529" w:type="pct"/>
            <w:tcBorders>
              <w:top w:val="single" w:sz="4" w:space="0" w:color="auto"/>
              <w:bottom w:val="single" w:sz="4" w:space="0" w:color="auto"/>
            </w:tcBorders>
          </w:tcPr>
          <w:p w14:paraId="15A123FE" w14:textId="52661A8C" w:rsidR="00F66E9E" w:rsidRPr="00825E3C" w:rsidRDefault="00F66E9E" w:rsidP="002434A9">
            <w:pPr>
              <w:snapToGrid w:val="0"/>
              <w:spacing w:line="360" w:lineRule="auto"/>
              <w:jc w:val="both"/>
              <w:rPr>
                <w:rFonts w:ascii="Book Antiqua" w:hAnsi="Book Antiqua" w:cs="Times New Roman"/>
                <w:b/>
                <w:bCs/>
                <w:shd w:val="clear" w:color="auto" w:fill="FFFFFF"/>
              </w:rPr>
            </w:pPr>
            <w:r w:rsidRPr="00825E3C">
              <w:rPr>
                <w:rFonts w:ascii="Book Antiqua" w:hAnsi="Book Antiqua"/>
                <w:b/>
                <w:bCs/>
                <w:i/>
                <w:iCs/>
                <w:shd w:val="clear" w:color="auto" w:fill="FFFFFF"/>
              </w:rPr>
              <w:t>P</w:t>
            </w:r>
            <w:r w:rsidR="00034D07" w:rsidRPr="00825E3C">
              <w:rPr>
                <w:rFonts w:ascii="Book Antiqua" w:hAnsi="Book Antiqua"/>
                <w:b/>
                <w:bCs/>
                <w:shd w:val="clear" w:color="auto" w:fill="FFFFFF"/>
              </w:rPr>
              <w:t xml:space="preserve"> </w:t>
            </w:r>
            <w:r w:rsidRPr="00825E3C">
              <w:rPr>
                <w:rFonts w:ascii="Book Antiqua" w:hAnsi="Book Antiqua"/>
                <w:b/>
                <w:bCs/>
                <w:shd w:val="clear" w:color="auto" w:fill="FFFFFF"/>
              </w:rPr>
              <w:t>value</w:t>
            </w:r>
          </w:p>
        </w:tc>
      </w:tr>
      <w:tr w:rsidR="00825E3C" w:rsidRPr="00825E3C" w14:paraId="335B672C" w14:textId="77777777" w:rsidTr="00935BF4">
        <w:tc>
          <w:tcPr>
            <w:tcW w:w="2263" w:type="pct"/>
            <w:tcBorders>
              <w:top w:val="single" w:sz="4" w:space="0" w:color="auto"/>
            </w:tcBorders>
          </w:tcPr>
          <w:p w14:paraId="1574C31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Demographics</w:t>
            </w:r>
          </w:p>
        </w:tc>
        <w:tc>
          <w:tcPr>
            <w:tcW w:w="1140" w:type="pct"/>
            <w:tcBorders>
              <w:top w:val="single" w:sz="4" w:space="0" w:color="auto"/>
            </w:tcBorders>
          </w:tcPr>
          <w:p w14:paraId="3B6CF24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Borders>
              <w:top w:val="single" w:sz="4" w:space="0" w:color="auto"/>
            </w:tcBorders>
          </w:tcPr>
          <w:p w14:paraId="5D96FB49"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Borders>
              <w:top w:val="single" w:sz="4" w:space="0" w:color="auto"/>
            </w:tcBorders>
          </w:tcPr>
          <w:p w14:paraId="0432FE88"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08CBECE4" w14:textId="77777777" w:rsidTr="00935BF4">
        <w:tc>
          <w:tcPr>
            <w:tcW w:w="2263" w:type="pct"/>
          </w:tcPr>
          <w:p w14:paraId="5491CC90" w14:textId="58B53AD4"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Age</w:t>
            </w:r>
            <w:r w:rsidR="00825E3C">
              <w:rPr>
                <w:rFonts w:ascii="Book Antiqua" w:hAnsi="Book Antiqua" w:cs="Times New Roman"/>
                <w:shd w:val="clear" w:color="auto" w:fill="FFFFFF"/>
              </w:rPr>
              <w:t>,</w:t>
            </w:r>
            <w:r w:rsidRPr="00825E3C">
              <w:rPr>
                <w:rFonts w:ascii="Book Antiqua" w:hAnsi="Book Antiqua"/>
                <w:shd w:val="clear" w:color="auto" w:fill="FFFFFF"/>
              </w:rPr>
              <w:t xml:space="preserve"> median range</w:t>
            </w:r>
          </w:p>
        </w:tc>
        <w:tc>
          <w:tcPr>
            <w:tcW w:w="1140" w:type="pct"/>
          </w:tcPr>
          <w:p w14:paraId="78619863" w14:textId="5B80DA3C"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70.0 ± 15.8</w:t>
            </w:r>
          </w:p>
        </w:tc>
        <w:tc>
          <w:tcPr>
            <w:tcW w:w="1067" w:type="pct"/>
          </w:tcPr>
          <w:p w14:paraId="531FF344" w14:textId="4F4F418F"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62.8 ± 9.6</w:t>
            </w:r>
          </w:p>
        </w:tc>
        <w:tc>
          <w:tcPr>
            <w:tcW w:w="529" w:type="pct"/>
          </w:tcPr>
          <w:p w14:paraId="0BC467B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0.17</w:t>
            </w:r>
          </w:p>
        </w:tc>
      </w:tr>
      <w:tr w:rsidR="00825E3C" w:rsidRPr="00825E3C" w14:paraId="4577FC69" w14:textId="77777777" w:rsidTr="00935BF4">
        <w:tc>
          <w:tcPr>
            <w:tcW w:w="2263" w:type="pct"/>
          </w:tcPr>
          <w:p w14:paraId="124BA1A6" w14:textId="4C66BD91"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Male/</w:t>
            </w:r>
            <w:r w:rsidR="00935BF4" w:rsidRPr="00825E3C">
              <w:rPr>
                <w:rFonts w:ascii="Book Antiqua" w:hAnsi="Book Antiqua"/>
                <w:shd w:val="clear" w:color="auto" w:fill="FFFFFF"/>
              </w:rPr>
              <w:t>f</w:t>
            </w:r>
            <w:r w:rsidRPr="00825E3C">
              <w:rPr>
                <w:rFonts w:ascii="Book Antiqua" w:hAnsi="Book Antiqua"/>
                <w:shd w:val="clear" w:color="auto" w:fill="FFFFFF"/>
              </w:rPr>
              <w:t>emale</w:t>
            </w:r>
          </w:p>
        </w:tc>
        <w:tc>
          <w:tcPr>
            <w:tcW w:w="1140" w:type="pct"/>
          </w:tcPr>
          <w:p w14:paraId="7A852755"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8/4</w:t>
            </w:r>
          </w:p>
        </w:tc>
        <w:tc>
          <w:tcPr>
            <w:tcW w:w="1067" w:type="pct"/>
          </w:tcPr>
          <w:p w14:paraId="6142D36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17/8</w:t>
            </w:r>
          </w:p>
        </w:tc>
        <w:tc>
          <w:tcPr>
            <w:tcW w:w="529" w:type="pct"/>
          </w:tcPr>
          <w:p w14:paraId="5BB4E311"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6FBA0381" w14:textId="77777777" w:rsidTr="00935BF4">
        <w:tc>
          <w:tcPr>
            <w:tcW w:w="2263" w:type="pct"/>
          </w:tcPr>
          <w:p w14:paraId="271B1DF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Underlying diseases leading to CPA</w:t>
            </w:r>
          </w:p>
        </w:tc>
        <w:tc>
          <w:tcPr>
            <w:tcW w:w="1140" w:type="pct"/>
          </w:tcPr>
          <w:p w14:paraId="5658593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1662F1A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6CDCDA92"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6AEF929F" w14:textId="77777777" w:rsidTr="00935BF4">
        <w:tc>
          <w:tcPr>
            <w:tcW w:w="2263" w:type="pct"/>
          </w:tcPr>
          <w:p w14:paraId="4E255E6E" w14:textId="77777777" w:rsidR="00F66E9E" w:rsidRPr="00825E3C" w:rsidRDefault="00F66E9E" w:rsidP="002434A9">
            <w:pPr>
              <w:snapToGrid w:val="0"/>
              <w:spacing w:line="360" w:lineRule="auto"/>
              <w:ind w:firstLineChars="100" w:firstLine="240"/>
              <w:jc w:val="both"/>
              <w:rPr>
                <w:rFonts w:ascii="Book Antiqua" w:hAnsi="Book Antiqua" w:cs="Times New Roman"/>
                <w:shd w:val="clear" w:color="auto" w:fill="FFFFFF"/>
              </w:rPr>
            </w:pPr>
            <w:r w:rsidRPr="00825E3C">
              <w:rPr>
                <w:rFonts w:ascii="Book Antiqua" w:hAnsi="Book Antiqua"/>
                <w:shd w:val="clear" w:color="auto" w:fill="FFFFFF"/>
              </w:rPr>
              <w:t>Chronic obstructive pulmonary diseases</w:t>
            </w:r>
          </w:p>
        </w:tc>
        <w:tc>
          <w:tcPr>
            <w:tcW w:w="1140" w:type="pct"/>
          </w:tcPr>
          <w:p w14:paraId="0AA4717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3</w:t>
            </w:r>
          </w:p>
        </w:tc>
        <w:tc>
          <w:tcPr>
            <w:tcW w:w="1067" w:type="pct"/>
          </w:tcPr>
          <w:p w14:paraId="61A18AFD"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9</w:t>
            </w:r>
          </w:p>
        </w:tc>
        <w:tc>
          <w:tcPr>
            <w:tcW w:w="529" w:type="pct"/>
          </w:tcPr>
          <w:p w14:paraId="0D5E04EC"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0.71</w:t>
            </w:r>
          </w:p>
        </w:tc>
      </w:tr>
      <w:tr w:rsidR="00825E3C" w:rsidRPr="00825E3C" w14:paraId="266F0874" w14:textId="77777777" w:rsidTr="00935BF4">
        <w:tc>
          <w:tcPr>
            <w:tcW w:w="2263" w:type="pct"/>
          </w:tcPr>
          <w:p w14:paraId="03D8C325"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Tuberculosis sequelae</w:t>
            </w:r>
          </w:p>
        </w:tc>
        <w:tc>
          <w:tcPr>
            <w:tcW w:w="1140" w:type="pct"/>
          </w:tcPr>
          <w:p w14:paraId="2DC30CC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4</w:t>
            </w:r>
          </w:p>
        </w:tc>
        <w:tc>
          <w:tcPr>
            <w:tcW w:w="1067" w:type="pct"/>
          </w:tcPr>
          <w:p w14:paraId="2ECDF9D2"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w:t>
            </w:r>
          </w:p>
        </w:tc>
        <w:tc>
          <w:tcPr>
            <w:tcW w:w="529" w:type="pct"/>
          </w:tcPr>
          <w:p w14:paraId="2EF5CAB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0.03</w:t>
            </w:r>
          </w:p>
        </w:tc>
      </w:tr>
      <w:tr w:rsidR="00825E3C" w:rsidRPr="00825E3C" w14:paraId="47A751E2" w14:textId="77777777" w:rsidTr="00935BF4">
        <w:tc>
          <w:tcPr>
            <w:tcW w:w="2263" w:type="pct"/>
          </w:tcPr>
          <w:p w14:paraId="0CA41D8A"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Bronchiectasis</w:t>
            </w:r>
          </w:p>
        </w:tc>
        <w:tc>
          <w:tcPr>
            <w:tcW w:w="1140" w:type="pct"/>
          </w:tcPr>
          <w:p w14:paraId="0F0DF0FB"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4</w:t>
            </w:r>
          </w:p>
        </w:tc>
        <w:tc>
          <w:tcPr>
            <w:tcW w:w="1067" w:type="pct"/>
          </w:tcPr>
          <w:p w14:paraId="24E2895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8</w:t>
            </w:r>
          </w:p>
        </w:tc>
        <w:tc>
          <w:tcPr>
            <w:tcW w:w="529" w:type="pct"/>
          </w:tcPr>
          <w:p w14:paraId="21BC1611"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1D19A73E" w14:textId="77777777" w:rsidTr="00935BF4">
        <w:tc>
          <w:tcPr>
            <w:tcW w:w="2263" w:type="pct"/>
          </w:tcPr>
          <w:p w14:paraId="78FD1E6B"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Lung cancer survivor</w:t>
            </w:r>
          </w:p>
        </w:tc>
        <w:tc>
          <w:tcPr>
            <w:tcW w:w="1140" w:type="pct"/>
          </w:tcPr>
          <w:p w14:paraId="2184EE7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w:t>
            </w:r>
          </w:p>
        </w:tc>
        <w:tc>
          <w:tcPr>
            <w:tcW w:w="1067" w:type="pct"/>
          </w:tcPr>
          <w:p w14:paraId="03BD7EB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w:t>
            </w:r>
          </w:p>
        </w:tc>
        <w:tc>
          <w:tcPr>
            <w:tcW w:w="529" w:type="pct"/>
          </w:tcPr>
          <w:p w14:paraId="17B1DA8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0D670FCF" w14:textId="77777777" w:rsidTr="00935BF4">
        <w:tc>
          <w:tcPr>
            <w:tcW w:w="2263" w:type="pct"/>
          </w:tcPr>
          <w:p w14:paraId="7C31B775"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Interstitial lung disease</w:t>
            </w:r>
          </w:p>
        </w:tc>
        <w:tc>
          <w:tcPr>
            <w:tcW w:w="1140" w:type="pct"/>
          </w:tcPr>
          <w:p w14:paraId="1A57FDB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w:t>
            </w:r>
          </w:p>
        </w:tc>
        <w:tc>
          <w:tcPr>
            <w:tcW w:w="1067" w:type="pct"/>
          </w:tcPr>
          <w:p w14:paraId="3CAD12D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3</w:t>
            </w:r>
          </w:p>
        </w:tc>
        <w:tc>
          <w:tcPr>
            <w:tcW w:w="529" w:type="pct"/>
          </w:tcPr>
          <w:p w14:paraId="56B8DF9B"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0.83</w:t>
            </w:r>
          </w:p>
        </w:tc>
      </w:tr>
      <w:tr w:rsidR="00825E3C" w:rsidRPr="00825E3C" w14:paraId="257AAE5B" w14:textId="77777777" w:rsidTr="00935BF4">
        <w:tc>
          <w:tcPr>
            <w:tcW w:w="2263" w:type="pct"/>
          </w:tcPr>
          <w:p w14:paraId="45D62B27" w14:textId="3B9ECEE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Steroid therapy</w:t>
            </w:r>
          </w:p>
        </w:tc>
        <w:tc>
          <w:tcPr>
            <w:tcW w:w="1140" w:type="pct"/>
          </w:tcPr>
          <w:p w14:paraId="44423E6D"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3C61AB79"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09FC0C90"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7A599C99" w14:textId="77777777" w:rsidTr="00935BF4">
        <w:tc>
          <w:tcPr>
            <w:tcW w:w="2263" w:type="pct"/>
          </w:tcPr>
          <w:p w14:paraId="6E7F9BD1"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Inhaled glucocorticoid</w:t>
            </w:r>
          </w:p>
        </w:tc>
        <w:tc>
          <w:tcPr>
            <w:tcW w:w="1140" w:type="pct"/>
          </w:tcPr>
          <w:p w14:paraId="30899B0F"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6</w:t>
            </w:r>
          </w:p>
        </w:tc>
        <w:tc>
          <w:tcPr>
            <w:tcW w:w="1067" w:type="pct"/>
          </w:tcPr>
          <w:p w14:paraId="2A0E6B4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13</w:t>
            </w:r>
          </w:p>
        </w:tc>
        <w:tc>
          <w:tcPr>
            <w:tcW w:w="529" w:type="pct"/>
          </w:tcPr>
          <w:p w14:paraId="0636AB63"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0.91</w:t>
            </w:r>
          </w:p>
        </w:tc>
      </w:tr>
      <w:tr w:rsidR="00825E3C" w:rsidRPr="00825E3C" w14:paraId="78C09666" w14:textId="77777777" w:rsidTr="00935BF4">
        <w:tc>
          <w:tcPr>
            <w:tcW w:w="2263" w:type="pct"/>
          </w:tcPr>
          <w:p w14:paraId="5AD99D28"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Oral glucocorticoid</w:t>
            </w:r>
          </w:p>
        </w:tc>
        <w:tc>
          <w:tcPr>
            <w:tcW w:w="1140" w:type="pct"/>
          </w:tcPr>
          <w:p w14:paraId="696EDFDF"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7</w:t>
            </w:r>
          </w:p>
        </w:tc>
        <w:tc>
          <w:tcPr>
            <w:tcW w:w="1067" w:type="pct"/>
          </w:tcPr>
          <w:p w14:paraId="5D8F4DC5"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16</w:t>
            </w:r>
          </w:p>
        </w:tc>
        <w:tc>
          <w:tcPr>
            <w:tcW w:w="529" w:type="pct"/>
          </w:tcPr>
          <w:p w14:paraId="5DA75DA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4200056B" w14:textId="77777777" w:rsidTr="00935BF4">
        <w:tc>
          <w:tcPr>
            <w:tcW w:w="2263" w:type="pct"/>
          </w:tcPr>
          <w:p w14:paraId="0F56B2E1"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Additional predisposing factors</w:t>
            </w:r>
          </w:p>
        </w:tc>
        <w:tc>
          <w:tcPr>
            <w:tcW w:w="1140" w:type="pct"/>
          </w:tcPr>
          <w:p w14:paraId="0C1923E7"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3B83174E"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2F21E2A1"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63F67463" w14:textId="77777777" w:rsidTr="00935BF4">
        <w:tc>
          <w:tcPr>
            <w:tcW w:w="2263" w:type="pct"/>
          </w:tcPr>
          <w:p w14:paraId="15DCA5ED"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Diabetes</w:t>
            </w:r>
          </w:p>
        </w:tc>
        <w:tc>
          <w:tcPr>
            <w:tcW w:w="1140" w:type="pct"/>
          </w:tcPr>
          <w:p w14:paraId="4CD6369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w:t>
            </w:r>
          </w:p>
        </w:tc>
        <w:tc>
          <w:tcPr>
            <w:tcW w:w="1067" w:type="pct"/>
          </w:tcPr>
          <w:p w14:paraId="50F8E8E4"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3</w:t>
            </w:r>
          </w:p>
        </w:tc>
        <w:tc>
          <w:tcPr>
            <w:tcW w:w="529" w:type="pct"/>
          </w:tcPr>
          <w:p w14:paraId="780B48D8"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2F47408C" w14:textId="77777777" w:rsidTr="00935BF4">
        <w:tc>
          <w:tcPr>
            <w:tcW w:w="2263" w:type="pct"/>
          </w:tcPr>
          <w:p w14:paraId="00DBE5CA"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Smoking</w:t>
            </w:r>
          </w:p>
        </w:tc>
        <w:tc>
          <w:tcPr>
            <w:tcW w:w="1140" w:type="pct"/>
          </w:tcPr>
          <w:p w14:paraId="0F0B387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7</w:t>
            </w:r>
          </w:p>
        </w:tc>
        <w:tc>
          <w:tcPr>
            <w:tcW w:w="1067" w:type="pct"/>
          </w:tcPr>
          <w:p w14:paraId="3C82356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15</w:t>
            </w:r>
          </w:p>
        </w:tc>
        <w:tc>
          <w:tcPr>
            <w:tcW w:w="529" w:type="pct"/>
          </w:tcPr>
          <w:p w14:paraId="6A468AC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3861B87D" w14:textId="77777777" w:rsidTr="00935BF4">
        <w:tc>
          <w:tcPr>
            <w:tcW w:w="2263" w:type="pct"/>
          </w:tcPr>
          <w:p w14:paraId="5B841A8B" w14:textId="44AFF5FB"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Laboratory test</w:t>
            </w:r>
            <w:r w:rsidRPr="00825E3C">
              <w:rPr>
                <w:rFonts w:ascii="Book Antiqua" w:hAnsi="Book Antiqua" w:cs="Times New Roman"/>
                <w:shd w:val="clear" w:color="auto" w:fill="FFFFFF"/>
              </w:rPr>
              <w:t xml:space="preserve"> after treatment</w:t>
            </w:r>
          </w:p>
        </w:tc>
        <w:tc>
          <w:tcPr>
            <w:tcW w:w="1140" w:type="pct"/>
          </w:tcPr>
          <w:p w14:paraId="75FB1E9C"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3DD237E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44B6EAFD"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76E4C550" w14:textId="77777777" w:rsidTr="00935BF4">
        <w:tc>
          <w:tcPr>
            <w:tcW w:w="2263" w:type="pct"/>
          </w:tcPr>
          <w:p w14:paraId="17EF5F51"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CRP</w:t>
            </w:r>
          </w:p>
        </w:tc>
        <w:tc>
          <w:tcPr>
            <w:tcW w:w="1140" w:type="pct"/>
          </w:tcPr>
          <w:p w14:paraId="552859FA" w14:textId="130B19D2"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5.1 ± 3.7</w:t>
            </w:r>
          </w:p>
        </w:tc>
        <w:tc>
          <w:tcPr>
            <w:tcW w:w="1067" w:type="pct"/>
          </w:tcPr>
          <w:p w14:paraId="0810A477" w14:textId="536A8065"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6.6 ± 5.1</w:t>
            </w:r>
          </w:p>
        </w:tc>
        <w:tc>
          <w:tcPr>
            <w:tcW w:w="529" w:type="pct"/>
          </w:tcPr>
          <w:p w14:paraId="01821824"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0.38</w:t>
            </w:r>
          </w:p>
        </w:tc>
      </w:tr>
      <w:tr w:rsidR="00825E3C" w:rsidRPr="00825E3C" w14:paraId="56DA5BB9" w14:textId="77777777" w:rsidTr="00935BF4">
        <w:tc>
          <w:tcPr>
            <w:tcW w:w="2263" w:type="pct"/>
          </w:tcPr>
          <w:p w14:paraId="41727CA8"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ESR</w:t>
            </w:r>
          </w:p>
        </w:tc>
        <w:tc>
          <w:tcPr>
            <w:tcW w:w="1140" w:type="pct"/>
          </w:tcPr>
          <w:p w14:paraId="6025224E" w14:textId="3A200719"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24.3 ± 25.6</w:t>
            </w:r>
          </w:p>
        </w:tc>
        <w:tc>
          <w:tcPr>
            <w:tcW w:w="1067" w:type="pct"/>
          </w:tcPr>
          <w:p w14:paraId="0BA1EC0C" w14:textId="66127DAF"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15.9 ± 15.0</w:t>
            </w:r>
          </w:p>
        </w:tc>
        <w:tc>
          <w:tcPr>
            <w:tcW w:w="529" w:type="pct"/>
          </w:tcPr>
          <w:p w14:paraId="5DE9367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0.31</w:t>
            </w:r>
          </w:p>
        </w:tc>
      </w:tr>
      <w:tr w:rsidR="00825E3C" w:rsidRPr="00825E3C" w14:paraId="588FB506" w14:textId="77777777" w:rsidTr="00935BF4">
        <w:tc>
          <w:tcPr>
            <w:tcW w:w="2263" w:type="pct"/>
            <w:tcBorders>
              <w:bottom w:val="nil"/>
            </w:tcBorders>
          </w:tcPr>
          <w:p w14:paraId="11FDBDC6"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Total immunoglobulin E</w:t>
            </w:r>
          </w:p>
        </w:tc>
        <w:tc>
          <w:tcPr>
            <w:tcW w:w="1140" w:type="pct"/>
            <w:tcBorders>
              <w:bottom w:val="nil"/>
            </w:tcBorders>
          </w:tcPr>
          <w:p w14:paraId="4E66082E" w14:textId="54D0AA74"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206.8 ± 269.9</w:t>
            </w:r>
          </w:p>
        </w:tc>
        <w:tc>
          <w:tcPr>
            <w:tcW w:w="1067" w:type="pct"/>
            <w:tcBorders>
              <w:bottom w:val="nil"/>
            </w:tcBorders>
          </w:tcPr>
          <w:p w14:paraId="3B54AFD7" w14:textId="6CF6DB79"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279.7 ± 191.7</w:t>
            </w:r>
          </w:p>
        </w:tc>
        <w:tc>
          <w:tcPr>
            <w:tcW w:w="529" w:type="pct"/>
            <w:tcBorders>
              <w:bottom w:val="nil"/>
            </w:tcBorders>
          </w:tcPr>
          <w:p w14:paraId="3AEAB0DC"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0.35</w:t>
            </w:r>
          </w:p>
        </w:tc>
      </w:tr>
      <w:tr w:rsidR="00825E3C" w:rsidRPr="00825E3C" w14:paraId="0E5F1C71" w14:textId="77777777" w:rsidTr="00935BF4">
        <w:tc>
          <w:tcPr>
            <w:tcW w:w="2263" w:type="pct"/>
            <w:tcBorders>
              <w:top w:val="nil"/>
              <w:bottom w:val="nil"/>
            </w:tcBorders>
          </w:tcPr>
          <w:p w14:paraId="1C207D80"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Trough plasma concentration</w:t>
            </w:r>
          </w:p>
        </w:tc>
        <w:tc>
          <w:tcPr>
            <w:tcW w:w="1140" w:type="pct"/>
            <w:tcBorders>
              <w:top w:val="nil"/>
              <w:bottom w:val="nil"/>
            </w:tcBorders>
          </w:tcPr>
          <w:p w14:paraId="257B5492" w14:textId="32FF07B6"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1.70 ± 0.78 µg/m</w:t>
            </w:r>
            <w:r w:rsidR="00AA40F0" w:rsidRPr="00825E3C">
              <w:rPr>
                <w:rFonts w:ascii="Book Antiqua" w:hAnsi="Book Antiqua"/>
                <w:shd w:val="clear" w:color="auto" w:fill="FFFFFF"/>
              </w:rPr>
              <w:t>L</w:t>
            </w:r>
            <w:r w:rsidRPr="00825E3C">
              <w:rPr>
                <w:rFonts w:ascii="Book Antiqua" w:hAnsi="Book Antiqua"/>
                <w:shd w:val="clear" w:color="auto" w:fill="FFFFFF"/>
              </w:rPr>
              <w:t xml:space="preserve"> (0.6</w:t>
            </w:r>
            <w:r w:rsidR="00AA40F0" w:rsidRPr="00825E3C">
              <w:rPr>
                <w:rFonts w:ascii="Book Antiqua" w:hAnsi="Book Antiqua"/>
                <w:shd w:val="clear" w:color="auto" w:fill="FFFFFF"/>
              </w:rPr>
              <w:t>-</w:t>
            </w:r>
            <w:r w:rsidRPr="00825E3C">
              <w:rPr>
                <w:rFonts w:ascii="Book Antiqua" w:hAnsi="Book Antiqua"/>
                <w:shd w:val="clear" w:color="auto" w:fill="FFFFFF"/>
              </w:rPr>
              <w:t>3.3 µg/m</w:t>
            </w:r>
            <w:r w:rsidR="00AA40F0" w:rsidRPr="00825E3C">
              <w:rPr>
                <w:rFonts w:ascii="Book Antiqua" w:hAnsi="Book Antiqua"/>
                <w:shd w:val="clear" w:color="auto" w:fill="FFFFFF"/>
              </w:rPr>
              <w:t>L</w:t>
            </w:r>
            <w:r w:rsidRPr="00825E3C">
              <w:rPr>
                <w:rFonts w:ascii="Book Antiqua" w:hAnsi="Book Antiqua"/>
                <w:shd w:val="clear" w:color="auto" w:fill="FFFFFF"/>
              </w:rPr>
              <w:t xml:space="preserve">) </w:t>
            </w:r>
          </w:p>
        </w:tc>
        <w:tc>
          <w:tcPr>
            <w:tcW w:w="1067" w:type="pct"/>
            <w:tcBorders>
              <w:top w:val="nil"/>
              <w:bottom w:val="nil"/>
            </w:tcBorders>
          </w:tcPr>
          <w:p w14:paraId="076819F1" w14:textId="74A47A44"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2.22 ± 0.94 µg/m</w:t>
            </w:r>
            <w:r w:rsidR="00AA40F0" w:rsidRPr="00825E3C">
              <w:rPr>
                <w:rFonts w:ascii="Book Antiqua" w:hAnsi="Book Antiqua"/>
                <w:shd w:val="clear" w:color="auto" w:fill="FFFFFF"/>
              </w:rPr>
              <w:t>L</w:t>
            </w:r>
            <w:r w:rsidRPr="00825E3C">
              <w:rPr>
                <w:rFonts w:ascii="Book Antiqua" w:hAnsi="Book Antiqua"/>
                <w:shd w:val="clear" w:color="auto" w:fill="FFFFFF"/>
              </w:rPr>
              <w:t xml:space="preserve"> (0.8</w:t>
            </w:r>
            <w:r w:rsidR="00AA40F0" w:rsidRPr="00825E3C">
              <w:rPr>
                <w:rFonts w:ascii="Book Antiqua" w:hAnsi="Book Antiqua"/>
                <w:shd w:val="clear" w:color="auto" w:fill="FFFFFF"/>
              </w:rPr>
              <w:t>-</w:t>
            </w:r>
            <w:r w:rsidRPr="00825E3C">
              <w:rPr>
                <w:rFonts w:ascii="Book Antiqua" w:hAnsi="Book Antiqua"/>
                <w:shd w:val="clear" w:color="auto" w:fill="FFFFFF"/>
              </w:rPr>
              <w:t>4.1 µg/m</w:t>
            </w:r>
            <w:r w:rsidR="00AA40F0" w:rsidRPr="00825E3C">
              <w:rPr>
                <w:rFonts w:ascii="Book Antiqua" w:hAnsi="Book Antiqua"/>
                <w:shd w:val="clear" w:color="auto" w:fill="FFFFFF"/>
              </w:rPr>
              <w:t>L</w:t>
            </w:r>
            <w:r w:rsidRPr="00825E3C">
              <w:rPr>
                <w:rFonts w:ascii="Book Antiqua" w:hAnsi="Book Antiqua"/>
                <w:shd w:val="clear" w:color="auto" w:fill="FFFFFF"/>
              </w:rPr>
              <w:t>)</w:t>
            </w:r>
          </w:p>
        </w:tc>
        <w:tc>
          <w:tcPr>
            <w:tcW w:w="529" w:type="pct"/>
            <w:tcBorders>
              <w:top w:val="nil"/>
              <w:bottom w:val="nil"/>
            </w:tcBorders>
          </w:tcPr>
          <w:p w14:paraId="3FB7EF2B"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0.10</w:t>
            </w:r>
          </w:p>
        </w:tc>
      </w:tr>
      <w:tr w:rsidR="00825E3C" w:rsidRPr="00825E3C" w14:paraId="69C1958D" w14:textId="77777777" w:rsidTr="00935BF4">
        <w:tc>
          <w:tcPr>
            <w:tcW w:w="2263" w:type="pct"/>
            <w:tcBorders>
              <w:top w:val="nil"/>
            </w:tcBorders>
          </w:tcPr>
          <w:p w14:paraId="71D2CA07" w14:textId="18DC2976"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Therapeutic effect after 4 mo</w:t>
            </w:r>
          </w:p>
        </w:tc>
        <w:tc>
          <w:tcPr>
            <w:tcW w:w="1140" w:type="pct"/>
            <w:tcBorders>
              <w:top w:val="nil"/>
            </w:tcBorders>
          </w:tcPr>
          <w:p w14:paraId="3E9D6A7A"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Borders>
              <w:top w:val="nil"/>
            </w:tcBorders>
          </w:tcPr>
          <w:p w14:paraId="380A8E95"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Borders>
              <w:top w:val="nil"/>
            </w:tcBorders>
          </w:tcPr>
          <w:p w14:paraId="080CAFD1"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6F55C1EA" w14:textId="77777777" w:rsidTr="00935BF4">
        <w:tc>
          <w:tcPr>
            <w:tcW w:w="2263" w:type="pct"/>
          </w:tcPr>
          <w:p w14:paraId="42933E01"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Effective</w:t>
            </w:r>
          </w:p>
        </w:tc>
        <w:tc>
          <w:tcPr>
            <w:tcW w:w="1140" w:type="pct"/>
          </w:tcPr>
          <w:p w14:paraId="25BE88E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w:t>
            </w:r>
          </w:p>
        </w:tc>
        <w:tc>
          <w:tcPr>
            <w:tcW w:w="1067" w:type="pct"/>
          </w:tcPr>
          <w:p w14:paraId="1996C5E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8</w:t>
            </w:r>
          </w:p>
        </w:tc>
        <w:tc>
          <w:tcPr>
            <w:tcW w:w="529" w:type="pct"/>
          </w:tcPr>
          <w:p w14:paraId="483333C4"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0.72</w:t>
            </w:r>
          </w:p>
        </w:tc>
      </w:tr>
      <w:tr w:rsidR="00825E3C" w:rsidRPr="00825E3C" w14:paraId="5089AC0D" w14:textId="77777777" w:rsidTr="00935BF4">
        <w:tc>
          <w:tcPr>
            <w:tcW w:w="2263" w:type="pct"/>
          </w:tcPr>
          <w:p w14:paraId="47FD146F" w14:textId="3E8EF9A4"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Stable + failure</w:t>
            </w:r>
          </w:p>
        </w:tc>
        <w:tc>
          <w:tcPr>
            <w:tcW w:w="1140" w:type="pct"/>
          </w:tcPr>
          <w:p w14:paraId="5305CBDA" w14:textId="78CED67B"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 + 2</w:t>
            </w:r>
          </w:p>
        </w:tc>
        <w:tc>
          <w:tcPr>
            <w:tcW w:w="1067" w:type="pct"/>
          </w:tcPr>
          <w:p w14:paraId="206A48C2" w14:textId="56048CCC"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14 + 3</w:t>
            </w:r>
          </w:p>
        </w:tc>
        <w:tc>
          <w:tcPr>
            <w:tcW w:w="529" w:type="pct"/>
          </w:tcPr>
          <w:p w14:paraId="2875F6CC"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bl>
    <w:p w14:paraId="2A023B0C" w14:textId="462B406F" w:rsidR="00F66E9E" w:rsidRPr="00825E3C" w:rsidRDefault="00F66E9E" w:rsidP="002434A9">
      <w:pPr>
        <w:snapToGrid w:val="0"/>
        <w:spacing w:line="360" w:lineRule="auto"/>
        <w:jc w:val="both"/>
      </w:pPr>
      <w:r w:rsidRPr="00825E3C">
        <w:rPr>
          <w:rFonts w:ascii="Book Antiqua" w:hAnsi="Book Antiqua"/>
          <w:shd w:val="clear" w:color="auto" w:fill="FFFFFF"/>
        </w:rPr>
        <w:t xml:space="preserve">CPA: </w:t>
      </w:r>
      <w:r w:rsidRPr="002434A9">
        <w:rPr>
          <w:rFonts w:ascii="Book Antiqua" w:eastAsia="Book Antiqua" w:hAnsi="Book Antiqua" w:cs="Book Antiqua"/>
        </w:rPr>
        <w:t xml:space="preserve">Chronic pulmonary aspergillosis; </w:t>
      </w:r>
      <w:r w:rsidRPr="00825E3C">
        <w:rPr>
          <w:rFonts w:ascii="Book Antiqua" w:hAnsi="Book Antiqua"/>
          <w:shd w:val="clear" w:color="auto" w:fill="FFFFFF"/>
        </w:rPr>
        <w:t>CRP: C-reaction</w:t>
      </w:r>
      <w:r w:rsidR="00384669" w:rsidRPr="00825E3C">
        <w:rPr>
          <w:rFonts w:ascii="Book Antiqua" w:hAnsi="Book Antiqua"/>
          <w:shd w:val="clear" w:color="auto" w:fill="FFFFFF"/>
        </w:rPr>
        <w:t xml:space="preserve"> </w:t>
      </w:r>
      <w:r w:rsidRPr="00825E3C">
        <w:rPr>
          <w:rFonts w:ascii="Book Antiqua" w:hAnsi="Book Antiqua"/>
          <w:shd w:val="clear" w:color="auto" w:fill="FFFFFF"/>
        </w:rPr>
        <w:t>protein</w:t>
      </w:r>
      <w:r w:rsidR="00384669" w:rsidRPr="00825E3C">
        <w:rPr>
          <w:rFonts w:ascii="Book Antiqua" w:hAnsi="Book Antiqua"/>
          <w:shd w:val="clear" w:color="auto" w:fill="FFFFFF"/>
        </w:rPr>
        <w:t>; ESR: Erythrocyte sedimentation rate.</w:t>
      </w:r>
    </w:p>
    <w:sectPr w:rsidR="00F66E9E" w:rsidRPr="00825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44A2D" w14:textId="77777777" w:rsidR="00A63CF9" w:rsidRDefault="00A63CF9" w:rsidP="00F66E9E">
      <w:r>
        <w:separator/>
      </w:r>
    </w:p>
  </w:endnote>
  <w:endnote w:type="continuationSeparator" w:id="0">
    <w:p w14:paraId="594181C9" w14:textId="77777777" w:rsidR="00A63CF9" w:rsidRDefault="00A63CF9" w:rsidP="00F6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74412"/>
      <w:docPartObj>
        <w:docPartGallery w:val="Page Numbers (Bottom of Page)"/>
        <w:docPartUnique/>
      </w:docPartObj>
    </w:sdtPr>
    <w:sdtEndPr>
      <w:rPr>
        <w:rFonts w:ascii="Book Antiqua" w:hAnsi="Book Antiqua"/>
        <w:sz w:val="20"/>
        <w:szCs w:val="20"/>
      </w:rPr>
    </w:sdtEndPr>
    <w:sdtContent>
      <w:sdt>
        <w:sdtPr>
          <w:id w:val="-1705238520"/>
          <w:docPartObj>
            <w:docPartGallery w:val="Page Numbers (Top of Page)"/>
            <w:docPartUnique/>
          </w:docPartObj>
        </w:sdtPr>
        <w:sdtEndPr>
          <w:rPr>
            <w:rFonts w:ascii="Book Antiqua" w:hAnsi="Book Antiqua"/>
            <w:sz w:val="20"/>
            <w:szCs w:val="20"/>
          </w:rPr>
        </w:sdtEndPr>
        <w:sdtContent>
          <w:p w14:paraId="63B8A575" w14:textId="3290D096" w:rsidR="001F650B" w:rsidRPr="002434A9" w:rsidRDefault="001F650B" w:rsidP="001F650B">
            <w:pPr>
              <w:pStyle w:val="a5"/>
              <w:jc w:val="right"/>
              <w:rPr>
                <w:rFonts w:ascii="Book Antiqua" w:hAnsi="Book Antiqua"/>
                <w:sz w:val="20"/>
                <w:szCs w:val="20"/>
              </w:rPr>
            </w:pPr>
            <w:r w:rsidRPr="001F650B">
              <w:rPr>
                <w:rFonts w:ascii="Book Antiqua" w:hAnsi="Book Antiqua"/>
                <w:sz w:val="24"/>
                <w:szCs w:val="24"/>
                <w:lang w:val="zh-CN" w:eastAsia="zh-CN"/>
              </w:rPr>
              <w:t xml:space="preserve"> </w:t>
            </w:r>
            <w:r w:rsidRPr="00825E3C">
              <w:rPr>
                <w:rFonts w:ascii="Book Antiqua" w:hAnsi="Book Antiqua"/>
                <w:sz w:val="24"/>
                <w:szCs w:val="24"/>
              </w:rPr>
              <w:fldChar w:fldCharType="begin"/>
            </w:r>
            <w:r w:rsidRPr="00825E3C">
              <w:rPr>
                <w:rFonts w:ascii="Book Antiqua" w:hAnsi="Book Antiqua"/>
                <w:sz w:val="24"/>
                <w:szCs w:val="24"/>
              </w:rPr>
              <w:instrText>PAGE</w:instrText>
            </w:r>
            <w:r w:rsidRPr="00825E3C">
              <w:rPr>
                <w:rFonts w:ascii="Book Antiqua" w:hAnsi="Book Antiqua"/>
                <w:sz w:val="24"/>
                <w:szCs w:val="24"/>
              </w:rPr>
              <w:fldChar w:fldCharType="separate"/>
            </w:r>
            <w:r w:rsidR="00A63CF9">
              <w:rPr>
                <w:rFonts w:ascii="Book Antiqua" w:hAnsi="Book Antiqua"/>
                <w:noProof/>
                <w:sz w:val="24"/>
                <w:szCs w:val="24"/>
              </w:rPr>
              <w:t>1</w:t>
            </w:r>
            <w:r w:rsidRPr="00825E3C">
              <w:rPr>
                <w:rFonts w:ascii="Book Antiqua" w:hAnsi="Book Antiqua"/>
                <w:sz w:val="24"/>
                <w:szCs w:val="24"/>
              </w:rPr>
              <w:fldChar w:fldCharType="end"/>
            </w:r>
            <w:r w:rsidRPr="00825E3C">
              <w:rPr>
                <w:rFonts w:ascii="Book Antiqua" w:hAnsi="Book Antiqua"/>
                <w:sz w:val="24"/>
                <w:szCs w:val="24"/>
                <w:lang w:val="zh-CN" w:eastAsia="zh-CN"/>
              </w:rPr>
              <w:t xml:space="preserve"> / </w:t>
            </w:r>
            <w:r w:rsidRPr="00825E3C">
              <w:rPr>
                <w:rFonts w:ascii="Book Antiqua" w:hAnsi="Book Antiqua"/>
                <w:sz w:val="24"/>
                <w:szCs w:val="24"/>
              </w:rPr>
              <w:fldChar w:fldCharType="begin"/>
            </w:r>
            <w:r w:rsidRPr="00825E3C">
              <w:rPr>
                <w:rFonts w:ascii="Book Antiqua" w:hAnsi="Book Antiqua"/>
                <w:sz w:val="24"/>
                <w:szCs w:val="24"/>
              </w:rPr>
              <w:instrText>NUMPAGES</w:instrText>
            </w:r>
            <w:r w:rsidRPr="00825E3C">
              <w:rPr>
                <w:rFonts w:ascii="Book Antiqua" w:hAnsi="Book Antiqua"/>
                <w:sz w:val="24"/>
                <w:szCs w:val="24"/>
              </w:rPr>
              <w:fldChar w:fldCharType="separate"/>
            </w:r>
            <w:r w:rsidR="00A63CF9">
              <w:rPr>
                <w:rFonts w:ascii="Book Antiqua" w:hAnsi="Book Antiqua"/>
                <w:noProof/>
                <w:sz w:val="24"/>
                <w:szCs w:val="24"/>
              </w:rPr>
              <w:t>1</w:t>
            </w:r>
            <w:r w:rsidRPr="00825E3C">
              <w:rPr>
                <w:rFonts w:ascii="Book Antiqua" w:hAnsi="Book Antiqua"/>
                <w:sz w:val="24"/>
                <w:szCs w:val="24"/>
              </w:rPr>
              <w:fldChar w:fldCharType="end"/>
            </w:r>
          </w:p>
        </w:sdtContent>
      </w:sdt>
    </w:sdtContent>
  </w:sdt>
  <w:p w14:paraId="3A76543A" w14:textId="77777777" w:rsidR="001F650B" w:rsidRDefault="001F65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67F9" w14:textId="77777777" w:rsidR="00A63CF9" w:rsidRDefault="00A63CF9" w:rsidP="00F66E9E">
      <w:r>
        <w:separator/>
      </w:r>
    </w:p>
  </w:footnote>
  <w:footnote w:type="continuationSeparator" w:id="0">
    <w:p w14:paraId="5750FF43" w14:textId="77777777" w:rsidR="00A63CF9" w:rsidRDefault="00A63CF9" w:rsidP="00F6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B77"/>
    <w:rsid w:val="00021E24"/>
    <w:rsid w:val="00024DAE"/>
    <w:rsid w:val="00034D07"/>
    <w:rsid w:val="00046D4A"/>
    <w:rsid w:val="000B0D5E"/>
    <w:rsid w:val="000B6FDB"/>
    <w:rsid w:val="000E2E1C"/>
    <w:rsid w:val="00114F35"/>
    <w:rsid w:val="00116EAD"/>
    <w:rsid w:val="00135B66"/>
    <w:rsid w:val="00153A0A"/>
    <w:rsid w:val="00163F6D"/>
    <w:rsid w:val="0016628B"/>
    <w:rsid w:val="00181764"/>
    <w:rsid w:val="001E2E2F"/>
    <w:rsid w:val="001E5C9F"/>
    <w:rsid w:val="001F650B"/>
    <w:rsid w:val="00220BFC"/>
    <w:rsid w:val="002434A9"/>
    <w:rsid w:val="00257245"/>
    <w:rsid w:val="00263691"/>
    <w:rsid w:val="002656F9"/>
    <w:rsid w:val="0027552A"/>
    <w:rsid w:val="002B1E2A"/>
    <w:rsid w:val="00323967"/>
    <w:rsid w:val="00384669"/>
    <w:rsid w:val="003F618A"/>
    <w:rsid w:val="00402A02"/>
    <w:rsid w:val="004179D6"/>
    <w:rsid w:val="004766E7"/>
    <w:rsid w:val="00486D01"/>
    <w:rsid w:val="00495974"/>
    <w:rsid w:val="004B5DF7"/>
    <w:rsid w:val="004C3FB5"/>
    <w:rsid w:val="004D1FC8"/>
    <w:rsid w:val="0056179B"/>
    <w:rsid w:val="00575114"/>
    <w:rsid w:val="00586366"/>
    <w:rsid w:val="005B1CA8"/>
    <w:rsid w:val="00634629"/>
    <w:rsid w:val="00752AA0"/>
    <w:rsid w:val="007E0EF0"/>
    <w:rsid w:val="00825E3C"/>
    <w:rsid w:val="00845B30"/>
    <w:rsid w:val="0085642F"/>
    <w:rsid w:val="008B5DA4"/>
    <w:rsid w:val="008C1E79"/>
    <w:rsid w:val="008C2C1A"/>
    <w:rsid w:val="008D60AC"/>
    <w:rsid w:val="008E44BC"/>
    <w:rsid w:val="00904761"/>
    <w:rsid w:val="00911E75"/>
    <w:rsid w:val="00935BF4"/>
    <w:rsid w:val="00942D73"/>
    <w:rsid w:val="009936CC"/>
    <w:rsid w:val="009C212B"/>
    <w:rsid w:val="009E34B7"/>
    <w:rsid w:val="009E4352"/>
    <w:rsid w:val="00A00088"/>
    <w:rsid w:val="00A16191"/>
    <w:rsid w:val="00A63CF9"/>
    <w:rsid w:val="00A77B3E"/>
    <w:rsid w:val="00AA40F0"/>
    <w:rsid w:val="00B06BE2"/>
    <w:rsid w:val="00B16B09"/>
    <w:rsid w:val="00B65D59"/>
    <w:rsid w:val="00BA7EE0"/>
    <w:rsid w:val="00BE61FF"/>
    <w:rsid w:val="00BF12E8"/>
    <w:rsid w:val="00C05343"/>
    <w:rsid w:val="00C13EE4"/>
    <w:rsid w:val="00C40B81"/>
    <w:rsid w:val="00C64C1D"/>
    <w:rsid w:val="00C82EBE"/>
    <w:rsid w:val="00CA2A55"/>
    <w:rsid w:val="00CA7EFF"/>
    <w:rsid w:val="00CC0DCA"/>
    <w:rsid w:val="00D04888"/>
    <w:rsid w:val="00D05FC2"/>
    <w:rsid w:val="00D369BB"/>
    <w:rsid w:val="00D730C3"/>
    <w:rsid w:val="00D9289F"/>
    <w:rsid w:val="00D937F1"/>
    <w:rsid w:val="00E37D10"/>
    <w:rsid w:val="00E55F31"/>
    <w:rsid w:val="00F015E4"/>
    <w:rsid w:val="00F22014"/>
    <w:rsid w:val="00F263C6"/>
    <w:rsid w:val="00F546CD"/>
    <w:rsid w:val="00F64463"/>
    <w:rsid w:val="00F66E9E"/>
    <w:rsid w:val="00F8497A"/>
    <w:rsid w:val="00F8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Balloon Text"/>
    <w:basedOn w:val="a"/>
    <w:link w:val="Char"/>
    <w:rsid w:val="005B1CA8"/>
    <w:rPr>
      <w:sz w:val="18"/>
      <w:szCs w:val="18"/>
    </w:rPr>
  </w:style>
  <w:style w:type="character" w:customStyle="1" w:styleId="Char">
    <w:name w:val="批注框文本 Char"/>
    <w:basedOn w:val="a0"/>
    <w:link w:val="a3"/>
    <w:rsid w:val="005B1CA8"/>
    <w:rPr>
      <w:sz w:val="18"/>
      <w:szCs w:val="18"/>
    </w:rPr>
  </w:style>
  <w:style w:type="paragraph" w:styleId="a4">
    <w:name w:val="header"/>
    <w:basedOn w:val="a"/>
    <w:link w:val="Char0"/>
    <w:unhideWhenUsed/>
    <w:rsid w:val="00F66E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6E9E"/>
    <w:rPr>
      <w:sz w:val="18"/>
      <w:szCs w:val="18"/>
    </w:rPr>
  </w:style>
  <w:style w:type="paragraph" w:styleId="a5">
    <w:name w:val="footer"/>
    <w:basedOn w:val="a"/>
    <w:link w:val="Char1"/>
    <w:uiPriority w:val="99"/>
    <w:unhideWhenUsed/>
    <w:rsid w:val="00F66E9E"/>
    <w:pPr>
      <w:tabs>
        <w:tab w:val="center" w:pos="4153"/>
        <w:tab w:val="right" w:pos="8306"/>
      </w:tabs>
      <w:snapToGrid w:val="0"/>
    </w:pPr>
    <w:rPr>
      <w:sz w:val="18"/>
      <w:szCs w:val="18"/>
    </w:rPr>
  </w:style>
  <w:style w:type="character" w:customStyle="1" w:styleId="Char1">
    <w:name w:val="页脚 Char"/>
    <w:basedOn w:val="a0"/>
    <w:link w:val="a5"/>
    <w:uiPriority w:val="99"/>
    <w:rsid w:val="00F66E9E"/>
    <w:rPr>
      <w:sz w:val="18"/>
      <w:szCs w:val="18"/>
    </w:rPr>
  </w:style>
  <w:style w:type="table" w:styleId="a6">
    <w:name w:val="Table Grid"/>
    <w:basedOn w:val="a1"/>
    <w:uiPriority w:val="39"/>
    <w:rsid w:val="00F66E9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55F31"/>
    <w:rPr>
      <w:sz w:val="21"/>
      <w:szCs w:val="21"/>
    </w:rPr>
  </w:style>
  <w:style w:type="paragraph" w:styleId="a8">
    <w:name w:val="annotation text"/>
    <w:basedOn w:val="a"/>
    <w:link w:val="Char2"/>
    <w:semiHidden/>
    <w:unhideWhenUsed/>
    <w:rsid w:val="00E55F31"/>
  </w:style>
  <w:style w:type="character" w:customStyle="1" w:styleId="Char2">
    <w:name w:val="批注文字 Char"/>
    <w:basedOn w:val="a0"/>
    <w:link w:val="a8"/>
    <w:semiHidden/>
    <w:rsid w:val="00E55F31"/>
    <w:rPr>
      <w:sz w:val="24"/>
      <w:szCs w:val="24"/>
    </w:rPr>
  </w:style>
  <w:style w:type="paragraph" w:styleId="a9">
    <w:name w:val="annotation subject"/>
    <w:basedOn w:val="a8"/>
    <w:next w:val="a8"/>
    <w:link w:val="Char3"/>
    <w:semiHidden/>
    <w:unhideWhenUsed/>
    <w:rsid w:val="00E55F31"/>
    <w:rPr>
      <w:b/>
      <w:bCs/>
    </w:rPr>
  </w:style>
  <w:style w:type="character" w:customStyle="1" w:styleId="Char3">
    <w:name w:val="批注主题 Char"/>
    <w:basedOn w:val="Char2"/>
    <w:link w:val="a9"/>
    <w:semiHidden/>
    <w:rsid w:val="00E55F3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Balloon Text"/>
    <w:basedOn w:val="a"/>
    <w:link w:val="Char"/>
    <w:rsid w:val="005B1CA8"/>
    <w:rPr>
      <w:sz w:val="18"/>
      <w:szCs w:val="18"/>
    </w:rPr>
  </w:style>
  <w:style w:type="character" w:customStyle="1" w:styleId="Char">
    <w:name w:val="批注框文本 Char"/>
    <w:basedOn w:val="a0"/>
    <w:link w:val="a3"/>
    <w:rsid w:val="005B1CA8"/>
    <w:rPr>
      <w:sz w:val="18"/>
      <w:szCs w:val="18"/>
    </w:rPr>
  </w:style>
  <w:style w:type="paragraph" w:styleId="a4">
    <w:name w:val="header"/>
    <w:basedOn w:val="a"/>
    <w:link w:val="Char0"/>
    <w:unhideWhenUsed/>
    <w:rsid w:val="00F66E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6E9E"/>
    <w:rPr>
      <w:sz w:val="18"/>
      <w:szCs w:val="18"/>
    </w:rPr>
  </w:style>
  <w:style w:type="paragraph" w:styleId="a5">
    <w:name w:val="footer"/>
    <w:basedOn w:val="a"/>
    <w:link w:val="Char1"/>
    <w:uiPriority w:val="99"/>
    <w:unhideWhenUsed/>
    <w:rsid w:val="00F66E9E"/>
    <w:pPr>
      <w:tabs>
        <w:tab w:val="center" w:pos="4153"/>
        <w:tab w:val="right" w:pos="8306"/>
      </w:tabs>
      <w:snapToGrid w:val="0"/>
    </w:pPr>
    <w:rPr>
      <w:sz w:val="18"/>
      <w:szCs w:val="18"/>
    </w:rPr>
  </w:style>
  <w:style w:type="character" w:customStyle="1" w:styleId="Char1">
    <w:name w:val="页脚 Char"/>
    <w:basedOn w:val="a0"/>
    <w:link w:val="a5"/>
    <w:uiPriority w:val="99"/>
    <w:rsid w:val="00F66E9E"/>
    <w:rPr>
      <w:sz w:val="18"/>
      <w:szCs w:val="18"/>
    </w:rPr>
  </w:style>
  <w:style w:type="table" w:styleId="a6">
    <w:name w:val="Table Grid"/>
    <w:basedOn w:val="a1"/>
    <w:uiPriority w:val="39"/>
    <w:rsid w:val="00F66E9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55F31"/>
    <w:rPr>
      <w:sz w:val="21"/>
      <w:szCs w:val="21"/>
    </w:rPr>
  </w:style>
  <w:style w:type="paragraph" w:styleId="a8">
    <w:name w:val="annotation text"/>
    <w:basedOn w:val="a"/>
    <w:link w:val="Char2"/>
    <w:semiHidden/>
    <w:unhideWhenUsed/>
    <w:rsid w:val="00E55F31"/>
  </w:style>
  <w:style w:type="character" w:customStyle="1" w:styleId="Char2">
    <w:name w:val="批注文字 Char"/>
    <w:basedOn w:val="a0"/>
    <w:link w:val="a8"/>
    <w:semiHidden/>
    <w:rsid w:val="00E55F31"/>
    <w:rPr>
      <w:sz w:val="24"/>
      <w:szCs w:val="24"/>
    </w:rPr>
  </w:style>
  <w:style w:type="paragraph" w:styleId="a9">
    <w:name w:val="annotation subject"/>
    <w:basedOn w:val="a8"/>
    <w:next w:val="a8"/>
    <w:link w:val="Char3"/>
    <w:semiHidden/>
    <w:unhideWhenUsed/>
    <w:rsid w:val="00E55F31"/>
    <w:rPr>
      <w:b/>
      <w:bCs/>
    </w:rPr>
  </w:style>
  <w:style w:type="character" w:customStyle="1" w:styleId="Char3">
    <w:name w:val="批注主题 Char"/>
    <w:basedOn w:val="Char2"/>
    <w:link w:val="a9"/>
    <w:semiHidden/>
    <w:rsid w:val="00E55F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7646">
      <w:bodyDiv w:val="1"/>
      <w:marLeft w:val="0"/>
      <w:marRight w:val="0"/>
      <w:marTop w:val="0"/>
      <w:marBottom w:val="0"/>
      <w:divBdr>
        <w:top w:val="none" w:sz="0" w:space="0" w:color="auto"/>
        <w:left w:val="none" w:sz="0" w:space="0" w:color="auto"/>
        <w:bottom w:val="none" w:sz="0" w:space="0" w:color="auto"/>
        <w:right w:val="none" w:sz="0" w:space="0" w:color="auto"/>
      </w:divBdr>
    </w:div>
    <w:div w:id="95879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滕国杰</dc:creator>
  <cp:lastModifiedBy>liujihong2008@qq.con</cp:lastModifiedBy>
  <cp:revision>28</cp:revision>
  <dcterms:created xsi:type="dcterms:W3CDTF">2020-09-01T05:51:00Z</dcterms:created>
  <dcterms:modified xsi:type="dcterms:W3CDTF">2020-10-22T06:24:00Z</dcterms:modified>
</cp:coreProperties>
</file>