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7D066" w14:textId="77777777" w:rsidR="00A77B3E" w:rsidRDefault="00AB37F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492B943" w14:textId="77777777" w:rsidR="00A77B3E" w:rsidRDefault="00AB37F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56881</w:t>
      </w:r>
    </w:p>
    <w:p w14:paraId="1BDA2D56" w14:textId="77777777" w:rsidR="00A77B3E" w:rsidRDefault="00AB37F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1C0A0899" w14:textId="77777777" w:rsidR="00A77B3E" w:rsidRDefault="00A77B3E">
      <w:pPr>
        <w:spacing w:line="360" w:lineRule="auto"/>
        <w:jc w:val="both"/>
      </w:pPr>
    </w:p>
    <w:p w14:paraId="47F88C94" w14:textId="77777777" w:rsidR="00A77B3E" w:rsidRDefault="00AB37F6">
      <w:pPr>
        <w:spacing w:line="360" w:lineRule="auto"/>
        <w:jc w:val="both"/>
      </w:pPr>
      <w:r>
        <w:rPr>
          <w:rFonts w:ascii="Book Antiqua" w:eastAsia="Book Antiqua" w:hAnsi="Book Antiqua" w:cs="Book Antiqua"/>
          <w:b/>
          <w:i/>
          <w:color w:val="000000"/>
        </w:rPr>
        <w:t>Retrospective Cohort Study</w:t>
      </w:r>
    </w:p>
    <w:p w14:paraId="2535F00B" w14:textId="77777777" w:rsidR="00A77B3E" w:rsidRDefault="00AB37F6">
      <w:pPr>
        <w:spacing w:line="360" w:lineRule="auto"/>
        <w:jc w:val="both"/>
      </w:pPr>
      <w:r>
        <w:rPr>
          <w:rFonts w:ascii="Book Antiqua" w:eastAsia="Book Antiqua" w:hAnsi="Book Antiqua" w:cs="Book Antiqua"/>
          <w:b/>
          <w:bCs/>
          <w:color w:val="000000"/>
        </w:rPr>
        <w:t>Periodontitis combined with smoking increases risk of the ulcerative colitis: A national cohort study</w:t>
      </w:r>
    </w:p>
    <w:p w14:paraId="2146AD84" w14:textId="77777777" w:rsidR="00A77B3E" w:rsidRDefault="00A77B3E">
      <w:pPr>
        <w:spacing w:line="360" w:lineRule="auto"/>
        <w:jc w:val="both"/>
      </w:pPr>
    </w:p>
    <w:p w14:paraId="2F7B5A6D" w14:textId="77777777" w:rsidR="00A77B3E" w:rsidRDefault="00AB37F6">
      <w:pPr>
        <w:spacing w:line="360" w:lineRule="auto"/>
        <w:jc w:val="both"/>
      </w:pPr>
      <w:r>
        <w:rPr>
          <w:rFonts w:ascii="Book Antiqua" w:eastAsia="Book Antiqua" w:hAnsi="Book Antiqua" w:cs="Book Antiqua"/>
          <w:color w:val="000000"/>
        </w:rPr>
        <w:t xml:space="preserve">Kang EA </w:t>
      </w:r>
      <w:r>
        <w:rPr>
          <w:rFonts w:ascii="Book Antiqua" w:eastAsia="Book Antiqua" w:hAnsi="Book Antiqua" w:cs="Book Antiqua"/>
          <w:i/>
          <w:iCs/>
          <w:color w:val="000000"/>
        </w:rPr>
        <w:t>et al.</w:t>
      </w:r>
      <w:r>
        <w:rPr>
          <w:rFonts w:ascii="Book Antiqua" w:eastAsia="Book Antiqua" w:hAnsi="Book Antiqua" w:cs="Book Antiqua"/>
          <w:color w:val="000000"/>
        </w:rPr>
        <w:t xml:space="preserve"> Impact of periodontitis and smoking on UC</w:t>
      </w:r>
    </w:p>
    <w:p w14:paraId="2A48C74A" w14:textId="77777777" w:rsidR="00A77B3E" w:rsidRDefault="00A77B3E">
      <w:pPr>
        <w:spacing w:line="360" w:lineRule="auto"/>
        <w:jc w:val="both"/>
      </w:pPr>
    </w:p>
    <w:p w14:paraId="4512247E" w14:textId="77777777" w:rsidR="00A77B3E" w:rsidRDefault="00AB37F6">
      <w:pPr>
        <w:spacing w:line="360" w:lineRule="auto"/>
        <w:jc w:val="both"/>
      </w:pP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Ae Kang, </w:t>
      </w:r>
      <w:proofErr w:type="spellStart"/>
      <w:r>
        <w:rPr>
          <w:rFonts w:ascii="Book Antiqua" w:eastAsia="Book Antiqua" w:hAnsi="Book Antiqua" w:cs="Book Antiqua"/>
          <w:color w:val="000000"/>
        </w:rPr>
        <w:t>Jaeyoung</w:t>
      </w:r>
      <w:proofErr w:type="spellEnd"/>
      <w:r>
        <w:rPr>
          <w:rFonts w:ascii="Book Antiqua" w:eastAsia="Book Antiqua" w:hAnsi="Book Antiqua" w:cs="Book Antiqua"/>
          <w:color w:val="000000"/>
        </w:rPr>
        <w:t xml:space="preserve"> Chun, </w:t>
      </w:r>
      <w:proofErr w:type="spellStart"/>
      <w:r>
        <w:rPr>
          <w:rFonts w:ascii="Book Antiqua" w:eastAsia="Book Antiqua" w:hAnsi="Book Antiqua" w:cs="Book Antiqua"/>
          <w:color w:val="000000"/>
        </w:rPr>
        <w:t>Jee</w:t>
      </w:r>
      <w:proofErr w:type="spellEnd"/>
      <w:r>
        <w:rPr>
          <w:rFonts w:ascii="Book Antiqua" w:eastAsia="Book Antiqua" w:hAnsi="Book Antiqua" w:cs="Book Antiqua"/>
          <w:color w:val="000000"/>
        </w:rPr>
        <w:t xml:space="preserve"> Hyun Kim, </w:t>
      </w:r>
      <w:proofErr w:type="spellStart"/>
      <w:r>
        <w:rPr>
          <w:rFonts w:ascii="Book Antiqua" w:eastAsia="Book Antiqua" w:hAnsi="Book Antiqua" w:cs="Book Antiqua"/>
          <w:color w:val="000000"/>
        </w:rPr>
        <w:t>Kyungdo</w:t>
      </w:r>
      <w:proofErr w:type="spellEnd"/>
      <w:r>
        <w:rPr>
          <w:rFonts w:ascii="Book Antiqua" w:eastAsia="Book Antiqua" w:hAnsi="Book Antiqua" w:cs="Book Antiqua"/>
          <w:color w:val="000000"/>
        </w:rPr>
        <w:t xml:space="preserve"> Han, </w:t>
      </w:r>
      <w:proofErr w:type="spellStart"/>
      <w:r>
        <w:rPr>
          <w:rFonts w:ascii="Book Antiqua" w:eastAsia="Book Antiqua" w:hAnsi="Book Antiqua" w:cs="Book Antiqua"/>
          <w:color w:val="000000"/>
        </w:rPr>
        <w:t>Hosim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Seona</w:t>
      </w:r>
      <w:proofErr w:type="spellEnd"/>
      <w:r>
        <w:rPr>
          <w:rFonts w:ascii="Book Antiqua" w:eastAsia="Book Antiqua" w:hAnsi="Book Antiqua" w:cs="Book Antiqua"/>
          <w:color w:val="000000"/>
        </w:rPr>
        <w:t xml:space="preserve"> Park, </w:t>
      </w:r>
      <w:proofErr w:type="spellStart"/>
      <w:r>
        <w:rPr>
          <w:rFonts w:ascii="Book Antiqua" w:eastAsia="Book Antiqua" w:hAnsi="Book Antiqua" w:cs="Book Antiqua"/>
          <w:color w:val="000000"/>
        </w:rPr>
        <w:t>Seung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Wook</w:t>
      </w:r>
      <w:proofErr w:type="spellEnd"/>
      <w:r>
        <w:rPr>
          <w:rFonts w:ascii="Book Antiqua" w:eastAsia="Book Antiqua" w:hAnsi="Book Antiqua" w:cs="Book Antiqua"/>
          <w:color w:val="000000"/>
        </w:rPr>
        <w:t xml:space="preserve"> Hong, Jung Min Moon, </w:t>
      </w:r>
      <w:proofErr w:type="spellStart"/>
      <w:r>
        <w:rPr>
          <w:rFonts w:ascii="Book Antiqua" w:eastAsia="Book Antiqua" w:hAnsi="Book Antiqua" w:cs="Book Antiqua"/>
          <w:color w:val="000000"/>
        </w:rPr>
        <w:t>Jooyoung</w:t>
      </w:r>
      <w:proofErr w:type="spellEnd"/>
      <w:r>
        <w:rPr>
          <w:rFonts w:ascii="Book Antiqua" w:eastAsia="Book Antiqua" w:hAnsi="Book Antiqua" w:cs="Book Antiqua"/>
          <w:color w:val="000000"/>
        </w:rPr>
        <w:t xml:space="preserve"> Lee, Hyun Jung Lee, Jun-</w:t>
      </w:r>
      <w:proofErr w:type="spellStart"/>
      <w:r>
        <w:rPr>
          <w:rFonts w:ascii="Book Antiqua" w:eastAsia="Book Antiqua" w:hAnsi="Book Antiqua" w:cs="Book Antiqua"/>
          <w:color w:val="000000"/>
        </w:rPr>
        <w:t>Beom</w:t>
      </w:r>
      <w:proofErr w:type="spellEnd"/>
      <w:r>
        <w:rPr>
          <w:rFonts w:ascii="Book Antiqua" w:eastAsia="Book Antiqua" w:hAnsi="Book Antiqua" w:cs="Book Antiqua"/>
          <w:color w:val="000000"/>
        </w:rPr>
        <w:t xml:space="preserve"> Park, Jong </w:t>
      </w:r>
      <w:proofErr w:type="spellStart"/>
      <w:r>
        <w:rPr>
          <w:rFonts w:ascii="Book Antiqua" w:eastAsia="Book Antiqua" w:hAnsi="Book Antiqua" w:cs="Book Antiqua"/>
          <w:color w:val="000000"/>
        </w:rPr>
        <w:t>Pil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Joo</w:t>
      </w:r>
      <w:proofErr w:type="spellEnd"/>
      <w:r>
        <w:rPr>
          <w:rFonts w:ascii="Book Antiqua" w:eastAsia="Book Antiqua" w:hAnsi="Book Antiqua" w:cs="Book Antiqua"/>
          <w:color w:val="000000"/>
        </w:rPr>
        <w:t xml:space="preserve"> Sung Kim</w:t>
      </w:r>
    </w:p>
    <w:p w14:paraId="640EE1F8" w14:textId="77777777" w:rsidR="00A77B3E" w:rsidRDefault="00A77B3E">
      <w:pPr>
        <w:spacing w:line="360" w:lineRule="auto"/>
        <w:jc w:val="both"/>
      </w:pPr>
    </w:p>
    <w:p w14:paraId="29FFCC06" w14:textId="77777777" w:rsidR="00A77B3E" w:rsidRDefault="00AB37F6">
      <w:pPr>
        <w:spacing w:line="360" w:lineRule="auto"/>
        <w:jc w:val="both"/>
      </w:pP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 Ae Kang, </w:t>
      </w:r>
      <w:r>
        <w:rPr>
          <w:rFonts w:ascii="Book Antiqua" w:eastAsia="Book Antiqua" w:hAnsi="Book Antiqua" w:cs="Book Antiqua"/>
          <w:color w:val="000000"/>
        </w:rPr>
        <w:t>Department of Internal Medicine and Institute of Gastroenterology, Yonsei University College of Medicine, Seoul 03722, South Korea</w:t>
      </w:r>
    </w:p>
    <w:p w14:paraId="5542CF5B" w14:textId="77777777" w:rsidR="00A77B3E" w:rsidRDefault="00A77B3E">
      <w:pPr>
        <w:spacing w:line="360" w:lineRule="auto"/>
        <w:jc w:val="both"/>
      </w:pPr>
    </w:p>
    <w:p w14:paraId="7F19B357" w14:textId="77777777" w:rsidR="00A77B3E" w:rsidRDefault="00AB37F6">
      <w:pPr>
        <w:spacing w:line="360" w:lineRule="auto"/>
        <w:jc w:val="both"/>
      </w:pPr>
      <w:proofErr w:type="spellStart"/>
      <w:r>
        <w:rPr>
          <w:rFonts w:ascii="Book Antiqua" w:eastAsia="Book Antiqua" w:hAnsi="Book Antiqua" w:cs="Book Antiqua"/>
          <w:b/>
          <w:bCs/>
          <w:color w:val="000000"/>
        </w:rPr>
        <w:t>Jaeyoung</w:t>
      </w:r>
      <w:proofErr w:type="spellEnd"/>
      <w:r>
        <w:rPr>
          <w:rFonts w:ascii="Book Antiqua" w:eastAsia="Book Antiqua" w:hAnsi="Book Antiqua" w:cs="Book Antiqua"/>
          <w:b/>
          <w:bCs/>
          <w:color w:val="000000"/>
        </w:rPr>
        <w:t xml:space="preserve"> Chun, </w:t>
      </w:r>
      <w:r>
        <w:rPr>
          <w:rFonts w:ascii="Book Antiqua" w:eastAsia="Book Antiqua" w:hAnsi="Book Antiqua" w:cs="Book Antiqua"/>
          <w:color w:val="000000"/>
        </w:rPr>
        <w:t>Department of Internal Medicine, Gangnam Severance Hospital, Yonsei University College of Medicine, Seoul 06229, South Korea</w:t>
      </w:r>
    </w:p>
    <w:p w14:paraId="18021648" w14:textId="77777777" w:rsidR="00A77B3E" w:rsidRDefault="00A77B3E">
      <w:pPr>
        <w:spacing w:line="360" w:lineRule="auto"/>
        <w:jc w:val="both"/>
      </w:pPr>
    </w:p>
    <w:p w14:paraId="231D7D6F" w14:textId="77777777" w:rsidR="00A77B3E" w:rsidRDefault="00AB37F6">
      <w:pPr>
        <w:spacing w:line="360" w:lineRule="auto"/>
        <w:jc w:val="both"/>
      </w:pPr>
      <w:proofErr w:type="spellStart"/>
      <w:r>
        <w:rPr>
          <w:rFonts w:ascii="Book Antiqua" w:eastAsia="Book Antiqua" w:hAnsi="Book Antiqua" w:cs="Book Antiqua"/>
          <w:b/>
          <w:bCs/>
          <w:color w:val="000000"/>
        </w:rPr>
        <w:t>Jee</w:t>
      </w:r>
      <w:proofErr w:type="spellEnd"/>
      <w:r>
        <w:rPr>
          <w:rFonts w:ascii="Book Antiqua" w:eastAsia="Book Antiqua" w:hAnsi="Book Antiqua" w:cs="Book Antiqua"/>
          <w:b/>
          <w:bCs/>
          <w:color w:val="000000"/>
        </w:rPr>
        <w:t xml:space="preserve"> Hyun Kim, </w:t>
      </w:r>
      <w:r>
        <w:rPr>
          <w:rFonts w:ascii="Book Antiqua" w:eastAsia="Book Antiqua" w:hAnsi="Book Antiqua" w:cs="Book Antiqua"/>
          <w:color w:val="000000"/>
        </w:rPr>
        <w:t xml:space="preserve">Department of Internal Medicine, </w:t>
      </w:r>
      <w:proofErr w:type="spellStart"/>
      <w:r>
        <w:rPr>
          <w:rFonts w:ascii="Book Antiqua" w:eastAsia="Book Antiqua" w:hAnsi="Book Antiqua" w:cs="Book Antiqua"/>
          <w:color w:val="000000"/>
        </w:rPr>
        <w:t>Bundang</w:t>
      </w:r>
      <w:proofErr w:type="spellEnd"/>
      <w:r>
        <w:rPr>
          <w:rFonts w:ascii="Book Antiqua" w:eastAsia="Book Antiqua" w:hAnsi="Book Antiqua" w:cs="Book Antiqua"/>
          <w:color w:val="000000"/>
        </w:rPr>
        <w:t xml:space="preserve"> CHA Medical Center, CHA University School of Medicine, Seoul 13496, South Korea</w:t>
      </w:r>
    </w:p>
    <w:p w14:paraId="3D61C46C" w14:textId="77777777" w:rsidR="00A77B3E" w:rsidRDefault="00A77B3E">
      <w:pPr>
        <w:spacing w:line="360" w:lineRule="auto"/>
        <w:jc w:val="both"/>
      </w:pPr>
    </w:p>
    <w:p w14:paraId="6AB92671" w14:textId="77777777" w:rsidR="00A77B3E" w:rsidRDefault="00AB37F6">
      <w:pPr>
        <w:spacing w:line="360" w:lineRule="auto"/>
        <w:jc w:val="both"/>
      </w:pPr>
      <w:proofErr w:type="spellStart"/>
      <w:r>
        <w:rPr>
          <w:rFonts w:ascii="Book Antiqua" w:eastAsia="Book Antiqua" w:hAnsi="Book Antiqua" w:cs="Book Antiqua"/>
          <w:b/>
          <w:bCs/>
          <w:color w:val="000000"/>
        </w:rPr>
        <w:t>Kyungdo</w:t>
      </w:r>
      <w:proofErr w:type="spellEnd"/>
      <w:r>
        <w:rPr>
          <w:rFonts w:ascii="Book Antiqua" w:eastAsia="Book Antiqua" w:hAnsi="Book Antiqua" w:cs="Book Antiqua"/>
          <w:b/>
          <w:bCs/>
          <w:color w:val="000000"/>
        </w:rPr>
        <w:t xml:space="preserve"> Han, </w:t>
      </w:r>
      <w:r>
        <w:rPr>
          <w:rFonts w:ascii="Book Antiqua" w:eastAsia="Book Antiqua" w:hAnsi="Book Antiqua" w:cs="Book Antiqua"/>
          <w:color w:val="000000"/>
        </w:rPr>
        <w:t xml:space="preserve">Department of Statistics and Actuarial Science, </w:t>
      </w:r>
      <w:proofErr w:type="spellStart"/>
      <w:r>
        <w:rPr>
          <w:rFonts w:ascii="Book Antiqua" w:eastAsia="Book Antiqua" w:hAnsi="Book Antiqua" w:cs="Book Antiqua"/>
          <w:color w:val="000000"/>
        </w:rPr>
        <w:t>Soongsil</w:t>
      </w:r>
      <w:proofErr w:type="spellEnd"/>
      <w:r>
        <w:rPr>
          <w:rFonts w:ascii="Book Antiqua" w:eastAsia="Book Antiqua" w:hAnsi="Book Antiqua" w:cs="Book Antiqua"/>
          <w:color w:val="000000"/>
        </w:rPr>
        <w:t xml:space="preserve"> University, Seoul 06978, South Korea</w:t>
      </w:r>
    </w:p>
    <w:p w14:paraId="5C04BAA1" w14:textId="77777777" w:rsidR="00A77B3E" w:rsidRDefault="00A77B3E">
      <w:pPr>
        <w:spacing w:line="360" w:lineRule="auto"/>
        <w:jc w:val="both"/>
      </w:pPr>
    </w:p>
    <w:p w14:paraId="3C789CD0" w14:textId="77777777" w:rsidR="00A77B3E" w:rsidRDefault="00AB37F6">
      <w:pPr>
        <w:spacing w:line="360" w:lineRule="auto"/>
        <w:jc w:val="both"/>
      </w:pPr>
      <w:proofErr w:type="spellStart"/>
      <w:r>
        <w:rPr>
          <w:rFonts w:ascii="Book Antiqua" w:eastAsia="Book Antiqua" w:hAnsi="Book Antiqua" w:cs="Book Antiqua"/>
          <w:b/>
          <w:bCs/>
          <w:color w:val="000000"/>
        </w:rPr>
        <w:t>Hosim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Soh</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Seona</w:t>
      </w:r>
      <w:proofErr w:type="spellEnd"/>
      <w:r>
        <w:rPr>
          <w:rFonts w:ascii="Book Antiqua" w:eastAsia="Book Antiqua" w:hAnsi="Book Antiqua" w:cs="Book Antiqua"/>
          <w:b/>
          <w:bCs/>
          <w:color w:val="000000"/>
        </w:rPr>
        <w:t xml:space="preserve"> Park, </w:t>
      </w:r>
      <w:proofErr w:type="spellStart"/>
      <w:r>
        <w:rPr>
          <w:rFonts w:ascii="Book Antiqua" w:eastAsia="Book Antiqua" w:hAnsi="Book Antiqua" w:cs="Book Antiqua"/>
          <w:b/>
          <w:bCs/>
          <w:color w:val="000000"/>
        </w:rPr>
        <w:t>Seung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Wook</w:t>
      </w:r>
      <w:proofErr w:type="spellEnd"/>
      <w:r>
        <w:rPr>
          <w:rFonts w:ascii="Book Antiqua" w:eastAsia="Book Antiqua" w:hAnsi="Book Antiqua" w:cs="Book Antiqua"/>
          <w:b/>
          <w:bCs/>
          <w:color w:val="000000"/>
        </w:rPr>
        <w:t xml:space="preserve"> Hong, Jung Min Moon, </w:t>
      </w:r>
      <w:proofErr w:type="spellStart"/>
      <w:r>
        <w:rPr>
          <w:rFonts w:ascii="Book Antiqua" w:eastAsia="Book Antiqua" w:hAnsi="Book Antiqua" w:cs="Book Antiqua"/>
          <w:b/>
          <w:bCs/>
          <w:color w:val="000000"/>
        </w:rPr>
        <w:t>Jooyoung</w:t>
      </w:r>
      <w:proofErr w:type="spellEnd"/>
      <w:r>
        <w:rPr>
          <w:rFonts w:ascii="Book Antiqua" w:eastAsia="Book Antiqua" w:hAnsi="Book Antiqua" w:cs="Book Antiqua"/>
          <w:b/>
          <w:bCs/>
          <w:color w:val="000000"/>
        </w:rPr>
        <w:t xml:space="preserve"> Lee, Hyun Jung Lee, Jong </w:t>
      </w:r>
      <w:proofErr w:type="spellStart"/>
      <w:r>
        <w:rPr>
          <w:rFonts w:ascii="Book Antiqua" w:eastAsia="Book Antiqua" w:hAnsi="Book Antiqua" w:cs="Book Antiqua"/>
          <w:b/>
          <w:bCs/>
          <w:color w:val="000000"/>
        </w:rPr>
        <w:t>Pil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Joo</w:t>
      </w:r>
      <w:proofErr w:type="spellEnd"/>
      <w:r>
        <w:rPr>
          <w:rFonts w:ascii="Book Antiqua" w:eastAsia="Book Antiqua" w:hAnsi="Book Antiqua" w:cs="Book Antiqua"/>
          <w:b/>
          <w:bCs/>
          <w:color w:val="000000"/>
        </w:rPr>
        <w:t xml:space="preserve"> Sung Kim, </w:t>
      </w:r>
      <w:r>
        <w:rPr>
          <w:rFonts w:ascii="Book Antiqua" w:eastAsia="Book Antiqua" w:hAnsi="Book Antiqua" w:cs="Book Antiqua"/>
          <w:color w:val="000000"/>
        </w:rPr>
        <w:t>Department of Internal Medicine and Liver Research Institute, Seoul National University College of Medicine, Seoul 03080, South Korea</w:t>
      </w:r>
    </w:p>
    <w:p w14:paraId="7A24A7BC" w14:textId="77777777" w:rsidR="00A77B3E" w:rsidRDefault="00A77B3E">
      <w:pPr>
        <w:spacing w:line="360" w:lineRule="auto"/>
        <w:jc w:val="both"/>
      </w:pPr>
    </w:p>
    <w:p w14:paraId="6B43BEC5" w14:textId="77777777" w:rsidR="00A77B3E" w:rsidRDefault="00AB37F6">
      <w:pPr>
        <w:spacing w:line="360" w:lineRule="auto"/>
        <w:jc w:val="both"/>
      </w:pPr>
      <w:r>
        <w:rPr>
          <w:rFonts w:ascii="Book Antiqua" w:eastAsia="Book Antiqua" w:hAnsi="Book Antiqua" w:cs="Book Antiqua"/>
          <w:b/>
          <w:bCs/>
          <w:color w:val="000000"/>
        </w:rPr>
        <w:t>Jun-</w:t>
      </w:r>
      <w:proofErr w:type="spellStart"/>
      <w:r>
        <w:rPr>
          <w:rFonts w:ascii="Book Antiqua" w:eastAsia="Book Antiqua" w:hAnsi="Book Antiqua" w:cs="Book Antiqua"/>
          <w:b/>
          <w:bCs/>
          <w:color w:val="000000"/>
        </w:rPr>
        <w:t>Beom</w:t>
      </w:r>
      <w:proofErr w:type="spellEnd"/>
      <w:r>
        <w:rPr>
          <w:rFonts w:ascii="Book Antiqua" w:eastAsia="Book Antiqua" w:hAnsi="Book Antiqua" w:cs="Book Antiqua"/>
          <w:b/>
          <w:bCs/>
          <w:color w:val="000000"/>
        </w:rPr>
        <w:t xml:space="preserve"> Park, </w:t>
      </w:r>
      <w:r>
        <w:rPr>
          <w:rFonts w:ascii="Book Antiqua" w:eastAsia="Book Antiqua" w:hAnsi="Book Antiqua" w:cs="Book Antiqua"/>
          <w:color w:val="000000"/>
        </w:rPr>
        <w:t>Department of Periodontics, the Catholic University of Korea College of Medicine, Seoul 06591, South Korea</w:t>
      </w:r>
    </w:p>
    <w:p w14:paraId="20FA85ED" w14:textId="77777777" w:rsidR="00A77B3E" w:rsidRDefault="00A77B3E">
      <w:pPr>
        <w:spacing w:line="360" w:lineRule="auto"/>
        <w:jc w:val="both"/>
      </w:pPr>
    </w:p>
    <w:p w14:paraId="45F0A067" w14:textId="03BADBFE" w:rsidR="00A77B3E" w:rsidRDefault="00AB37F6">
      <w:pPr>
        <w:spacing w:line="360" w:lineRule="auto"/>
        <w:jc w:val="both"/>
      </w:pPr>
      <w:r>
        <w:rPr>
          <w:rFonts w:ascii="Book Antiqua" w:eastAsia="Book Antiqua" w:hAnsi="Book Antiqua" w:cs="Book Antiqua"/>
          <w:b/>
          <w:bCs/>
          <w:color w:val="000000"/>
          <w:szCs w:val="20"/>
        </w:rPr>
        <w:t xml:space="preserve">Author contributions: </w:t>
      </w:r>
      <w:r>
        <w:rPr>
          <w:rFonts w:ascii="Book Antiqua" w:eastAsia="Book Antiqua" w:hAnsi="Book Antiqua" w:cs="Book Antiqua"/>
          <w:color w:val="000000"/>
        </w:rPr>
        <w:t>Kang EA, Chun J, Kim JH and Han K completed the conception and design of the study; Kim JH, Han K, Soh H, Park S, Hong SW, Moon JM and Lee J completed the acquisition, analysis and interpretation of data; Kang EA</w:t>
      </w:r>
      <w:r w:rsidR="00C3112A">
        <w:rPr>
          <w:rFonts w:ascii="Book Antiqua" w:eastAsia="Book Antiqua" w:hAnsi="Book Antiqua" w:cs="Book Antiqua"/>
          <w:color w:val="000000"/>
        </w:rPr>
        <w:t xml:space="preserve"> and </w:t>
      </w:r>
      <w:r>
        <w:rPr>
          <w:rFonts w:ascii="Book Antiqua" w:eastAsia="Book Antiqua" w:hAnsi="Book Antiqua" w:cs="Book Antiqua"/>
          <w:color w:val="000000"/>
        </w:rPr>
        <w:t xml:space="preserve">Chun J drafted and revised the article; Kang EA, Chun J, Lee HJ, Park JB,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and Kim JS completed the final approval of the article submitted.</w:t>
      </w:r>
    </w:p>
    <w:p w14:paraId="3B4657F3" w14:textId="77777777" w:rsidR="00A77B3E" w:rsidRDefault="00A77B3E">
      <w:pPr>
        <w:spacing w:line="360" w:lineRule="auto"/>
        <w:jc w:val="both"/>
      </w:pPr>
    </w:p>
    <w:p w14:paraId="14A8D887" w14:textId="77777777" w:rsidR="00A77B3E" w:rsidRDefault="00AB37F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Jaeyoung</w:t>
      </w:r>
      <w:proofErr w:type="spellEnd"/>
      <w:r>
        <w:rPr>
          <w:rFonts w:ascii="Book Antiqua" w:eastAsia="Book Antiqua" w:hAnsi="Book Antiqua" w:cs="Book Antiqua"/>
          <w:b/>
          <w:bCs/>
          <w:color w:val="000000"/>
        </w:rPr>
        <w:t xml:space="preserve"> Chun, MD, Assistant Professor, </w:t>
      </w:r>
      <w:r>
        <w:rPr>
          <w:rFonts w:ascii="Book Antiqua" w:eastAsia="Book Antiqua" w:hAnsi="Book Antiqua" w:cs="Book Antiqua"/>
          <w:color w:val="000000"/>
        </w:rPr>
        <w:t xml:space="preserve">Department of Internal Medicine, Gangnam Severance Hospital, Yonsei University College of Medicine, </w:t>
      </w:r>
      <w:proofErr w:type="spellStart"/>
      <w:r>
        <w:rPr>
          <w:rFonts w:ascii="Book Antiqua" w:eastAsia="Book Antiqua" w:hAnsi="Book Antiqua" w:cs="Book Antiqua"/>
          <w:color w:val="000000"/>
        </w:rPr>
        <w:t>Yeonju-ro</w:t>
      </w:r>
      <w:proofErr w:type="spellEnd"/>
      <w:r>
        <w:rPr>
          <w:rFonts w:ascii="Book Antiqua" w:eastAsia="Book Antiqua" w:hAnsi="Book Antiqua" w:cs="Book Antiqua"/>
          <w:color w:val="000000"/>
        </w:rPr>
        <w:t xml:space="preserve"> 63-gil, Gangnam-</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Seoul 06229, South Korea. chunjmd@yuhs.ac</w:t>
      </w:r>
    </w:p>
    <w:p w14:paraId="2C875EF4" w14:textId="77777777" w:rsidR="00A77B3E" w:rsidRDefault="00A77B3E">
      <w:pPr>
        <w:spacing w:line="360" w:lineRule="auto"/>
        <w:jc w:val="both"/>
      </w:pPr>
    </w:p>
    <w:p w14:paraId="60527B0C" w14:textId="77777777" w:rsidR="00A77B3E" w:rsidRDefault="00AB37F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18, 2020</w:t>
      </w:r>
    </w:p>
    <w:p w14:paraId="57477557" w14:textId="77777777" w:rsidR="00A77B3E" w:rsidRDefault="00AB37F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7, 2020</w:t>
      </w:r>
    </w:p>
    <w:p w14:paraId="6B6D7FB7" w14:textId="1C109847" w:rsidR="00A77B3E" w:rsidRDefault="00AB37F6">
      <w:pPr>
        <w:spacing w:line="360" w:lineRule="auto"/>
        <w:jc w:val="both"/>
      </w:pPr>
      <w:r>
        <w:rPr>
          <w:rFonts w:ascii="Book Antiqua" w:eastAsia="Book Antiqua" w:hAnsi="Book Antiqua" w:cs="Book Antiqua"/>
          <w:b/>
          <w:bCs/>
          <w:color w:val="000000"/>
        </w:rPr>
        <w:t xml:space="preserve">Accepted: </w:t>
      </w:r>
      <w:r w:rsidR="006473C5" w:rsidRPr="006473C5">
        <w:rPr>
          <w:rFonts w:ascii="Book Antiqua" w:eastAsia="Book Antiqua" w:hAnsi="Book Antiqua" w:cs="Book Antiqua"/>
          <w:color w:val="000000"/>
        </w:rPr>
        <w:t>September 16, 2020</w:t>
      </w:r>
    </w:p>
    <w:p w14:paraId="62C98C02" w14:textId="6C697F00" w:rsidR="00A77B3E" w:rsidRPr="00DE7D3B" w:rsidRDefault="00AB37F6">
      <w:pPr>
        <w:spacing w:line="360" w:lineRule="auto"/>
        <w:jc w:val="both"/>
        <w:rPr>
          <w:lang w:eastAsia="zh-CN"/>
        </w:rPr>
      </w:pPr>
      <w:r>
        <w:rPr>
          <w:rFonts w:ascii="Book Antiqua" w:eastAsia="Book Antiqua" w:hAnsi="Book Antiqua" w:cs="Book Antiqua"/>
          <w:b/>
          <w:bCs/>
          <w:color w:val="000000"/>
        </w:rPr>
        <w:t xml:space="preserve">Published online: </w:t>
      </w:r>
      <w:r w:rsidR="00DE7D3B" w:rsidRPr="00DE7D3B">
        <w:rPr>
          <w:rFonts w:ascii="Book Antiqua" w:hAnsi="Book Antiqua" w:cs="Book Antiqua" w:hint="eastAsia"/>
          <w:bCs/>
          <w:color w:val="000000"/>
          <w:lang w:eastAsia="zh-CN"/>
        </w:rPr>
        <w:t>October 7, 2020</w:t>
      </w:r>
    </w:p>
    <w:p w14:paraId="690D24B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38470B60" w14:textId="77777777" w:rsidR="00A77B3E" w:rsidRDefault="00AB37F6">
      <w:pPr>
        <w:spacing w:line="360" w:lineRule="auto"/>
        <w:jc w:val="both"/>
      </w:pPr>
      <w:r>
        <w:rPr>
          <w:rFonts w:ascii="Book Antiqua" w:eastAsia="Book Antiqua" w:hAnsi="Book Antiqua" w:cs="Book Antiqua"/>
          <w:b/>
          <w:color w:val="000000"/>
        </w:rPr>
        <w:lastRenderedPageBreak/>
        <w:t>Abstract</w:t>
      </w:r>
    </w:p>
    <w:p w14:paraId="188C3BDE" w14:textId="77777777" w:rsidR="00A77B3E" w:rsidRDefault="00AB37F6">
      <w:pPr>
        <w:spacing w:line="360" w:lineRule="auto"/>
        <w:jc w:val="both"/>
      </w:pPr>
      <w:r>
        <w:rPr>
          <w:rFonts w:ascii="Book Antiqua" w:eastAsia="Book Antiqua" w:hAnsi="Book Antiqua" w:cs="Book Antiqua"/>
          <w:color w:val="000000"/>
        </w:rPr>
        <w:t>BACKGROUND</w:t>
      </w:r>
    </w:p>
    <w:p w14:paraId="56E16CE5" w14:textId="77777777" w:rsidR="00A77B3E" w:rsidRDefault="00AB37F6">
      <w:pPr>
        <w:spacing w:line="360" w:lineRule="auto"/>
        <w:jc w:val="both"/>
      </w:pPr>
      <w:r>
        <w:rPr>
          <w:rFonts w:ascii="Book Antiqua" w:eastAsia="Book Antiqua" w:hAnsi="Book Antiqua" w:cs="Book Antiqua"/>
          <w:color w:val="000000"/>
        </w:rPr>
        <w:t>Periodontitis is a chronic inflammation of periodontal tissues. The effect of periodontitis on the development of inflammatory bowel disease (IBD) remains unclear.</w:t>
      </w:r>
    </w:p>
    <w:p w14:paraId="211B5E57" w14:textId="77777777" w:rsidR="00A77B3E" w:rsidRDefault="00A77B3E">
      <w:pPr>
        <w:spacing w:line="360" w:lineRule="auto"/>
        <w:jc w:val="both"/>
      </w:pPr>
    </w:p>
    <w:p w14:paraId="31FEFE95" w14:textId="77777777" w:rsidR="00A77B3E" w:rsidRDefault="00AB37F6">
      <w:pPr>
        <w:spacing w:line="360" w:lineRule="auto"/>
        <w:jc w:val="both"/>
      </w:pPr>
      <w:r>
        <w:rPr>
          <w:rFonts w:ascii="Book Antiqua" w:eastAsia="Book Antiqua" w:hAnsi="Book Antiqua" w:cs="Book Antiqua"/>
          <w:color w:val="000000"/>
        </w:rPr>
        <w:t>AIM</w:t>
      </w:r>
    </w:p>
    <w:p w14:paraId="1E795ED7" w14:textId="32965F1D" w:rsidR="00A77B3E" w:rsidRDefault="00C3112A">
      <w:pPr>
        <w:spacing w:line="360" w:lineRule="auto"/>
        <w:jc w:val="both"/>
      </w:pPr>
      <w:r>
        <w:rPr>
          <w:rFonts w:ascii="Book Antiqua" w:eastAsia="Book Antiqua" w:hAnsi="Book Antiqua" w:cs="Book Antiqua"/>
          <w:color w:val="000000"/>
        </w:rPr>
        <w:t xml:space="preserve">To </w:t>
      </w:r>
      <w:r w:rsidR="00AB37F6">
        <w:rPr>
          <w:rFonts w:ascii="Book Antiqua" w:eastAsia="Book Antiqua" w:hAnsi="Book Antiqua" w:cs="Book Antiqua"/>
          <w:color w:val="000000"/>
        </w:rPr>
        <w:t xml:space="preserve">assessed the risk of IBD among patients with periodontitis, and the risk factors for IBD related to periodontitis. </w:t>
      </w:r>
    </w:p>
    <w:p w14:paraId="3138273D" w14:textId="77777777" w:rsidR="00A77B3E" w:rsidRDefault="00A77B3E">
      <w:pPr>
        <w:spacing w:line="360" w:lineRule="auto"/>
        <w:jc w:val="both"/>
      </w:pPr>
    </w:p>
    <w:p w14:paraId="52460D6D" w14:textId="77777777" w:rsidR="00A77B3E" w:rsidRDefault="00AB37F6">
      <w:pPr>
        <w:spacing w:line="360" w:lineRule="auto"/>
        <w:jc w:val="both"/>
      </w:pPr>
      <w:r>
        <w:rPr>
          <w:rFonts w:ascii="Book Antiqua" w:eastAsia="Book Antiqua" w:hAnsi="Book Antiqua" w:cs="Book Antiqua"/>
          <w:color w:val="000000"/>
        </w:rPr>
        <w:t>METHODS</w:t>
      </w:r>
    </w:p>
    <w:p w14:paraId="647DE643" w14:textId="4DCBAC15" w:rsidR="00A77B3E" w:rsidRDefault="00AB37F6">
      <w:pPr>
        <w:spacing w:line="360" w:lineRule="auto"/>
        <w:jc w:val="both"/>
      </w:pPr>
      <w:r>
        <w:rPr>
          <w:rFonts w:ascii="Book Antiqua" w:eastAsia="Book Antiqua" w:hAnsi="Book Antiqua" w:cs="Book Antiqua"/>
          <w:color w:val="000000"/>
        </w:rPr>
        <w:t xml:space="preserve">A nationwide population-based cohort study was performed using claims data from the Korean National Healthcare Insurance Service. In total, 9950548 individuals aged ≥ 20 years who underwent national health screening in 2009 were included. Newly diagnosed IBD </w:t>
      </w:r>
      <w:r w:rsidR="00C3112A">
        <w:rPr>
          <w:rFonts w:ascii="Book Antiqua" w:eastAsia="Book Antiqua" w:hAnsi="Book Antiqua" w:cs="Book Antiqua"/>
          <w:color w:val="000000"/>
        </w:rPr>
        <w:t>[</w:t>
      </w:r>
      <w:r>
        <w:rPr>
          <w:rFonts w:ascii="Book Antiqua" w:eastAsia="Book Antiqua" w:hAnsi="Book Antiqua" w:cs="Book Antiqua"/>
          <w:color w:val="000000"/>
        </w:rPr>
        <w:t xml:space="preserve">Crohn’s disease </w:t>
      </w:r>
      <w:r w:rsidR="00C3112A">
        <w:rPr>
          <w:rFonts w:ascii="Book Antiqua" w:eastAsia="Book Antiqua" w:hAnsi="Book Antiqua" w:cs="Book Antiqua"/>
          <w:color w:val="000000"/>
        </w:rPr>
        <w:t>(</w:t>
      </w:r>
      <w:r>
        <w:rPr>
          <w:rFonts w:ascii="Book Antiqua" w:eastAsia="Book Antiqua" w:hAnsi="Book Antiqua" w:cs="Book Antiqua"/>
          <w:color w:val="000000"/>
        </w:rPr>
        <w:t>CD</w:t>
      </w:r>
      <w:r w:rsidR="00C3112A">
        <w:rPr>
          <w:rFonts w:ascii="Book Antiqua" w:eastAsia="Book Antiqua" w:hAnsi="Book Antiqua" w:cs="Book Antiqua"/>
          <w:color w:val="000000"/>
        </w:rPr>
        <w:t>)</w:t>
      </w:r>
      <w:r>
        <w:rPr>
          <w:rFonts w:ascii="Book Antiqua" w:eastAsia="Book Antiqua" w:hAnsi="Book Antiqua" w:cs="Book Antiqua"/>
          <w:color w:val="000000"/>
        </w:rPr>
        <w:t xml:space="preserve">, ulcerative colitis </w:t>
      </w:r>
      <w:r w:rsidR="00C3112A">
        <w:rPr>
          <w:rFonts w:ascii="Book Antiqua" w:eastAsia="Book Antiqua" w:hAnsi="Book Antiqua" w:cs="Book Antiqua"/>
          <w:color w:val="000000"/>
        </w:rPr>
        <w:t>(</w:t>
      </w:r>
      <w:r>
        <w:rPr>
          <w:rFonts w:ascii="Book Antiqua" w:eastAsia="Book Antiqua" w:hAnsi="Book Antiqua" w:cs="Book Antiqua"/>
          <w:color w:val="000000"/>
        </w:rPr>
        <w:t>UC</w:t>
      </w:r>
      <w:r w:rsidR="00C3112A">
        <w:rPr>
          <w:rFonts w:ascii="Book Antiqua" w:eastAsia="Book Antiqua" w:hAnsi="Book Antiqua" w:cs="Book Antiqua"/>
          <w:color w:val="000000"/>
        </w:rPr>
        <w:t>)]</w:t>
      </w:r>
      <w:r>
        <w:rPr>
          <w:rFonts w:ascii="Book Antiqua" w:eastAsia="Book Antiqua" w:hAnsi="Book Antiqua" w:cs="Book Antiqua"/>
          <w:color w:val="000000"/>
        </w:rPr>
        <w:t xml:space="preserve"> using the International Classification of Disease 10</w:t>
      </w:r>
      <w:r w:rsidRPr="007026E8">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and rare intractable disease codes, was compared between the periodontitis and non-periodontitis groups until 2017.</w:t>
      </w:r>
    </w:p>
    <w:p w14:paraId="4CF7861C" w14:textId="77777777" w:rsidR="00A77B3E" w:rsidRDefault="00A77B3E">
      <w:pPr>
        <w:spacing w:line="360" w:lineRule="auto"/>
        <w:jc w:val="both"/>
      </w:pPr>
    </w:p>
    <w:p w14:paraId="4EE0BDFB" w14:textId="77777777" w:rsidR="00A77B3E" w:rsidRDefault="00AB37F6">
      <w:pPr>
        <w:spacing w:line="360" w:lineRule="auto"/>
        <w:jc w:val="both"/>
      </w:pPr>
      <w:r>
        <w:rPr>
          <w:rFonts w:ascii="Book Antiqua" w:eastAsia="Book Antiqua" w:hAnsi="Book Antiqua" w:cs="Book Antiqua"/>
          <w:color w:val="000000"/>
        </w:rPr>
        <w:t>RESULTS</w:t>
      </w:r>
    </w:p>
    <w:p w14:paraId="1EE52FE9" w14:textId="60D63BBE" w:rsidR="00A77B3E" w:rsidRDefault="00AB37F6">
      <w:pPr>
        <w:spacing w:line="360" w:lineRule="auto"/>
        <w:jc w:val="both"/>
      </w:pPr>
      <w:r>
        <w:rPr>
          <w:rFonts w:ascii="Book Antiqua" w:eastAsia="Book Antiqua" w:hAnsi="Book Antiqua" w:cs="Book Antiqua"/>
          <w:color w:val="000000"/>
        </w:rPr>
        <w:t xml:space="preserve">A total of 1092825 individuals (11.0%) had periodontitis. Periodontitis was significantly associated with older age, male gender, higher body mass index, quitting smoking, not drinking alcohol, and regular exercise. </w:t>
      </w:r>
      <w:r w:rsidRPr="00C3112A">
        <w:rPr>
          <w:rFonts w:ascii="Book Antiqua" w:eastAsia="Book Antiqua" w:hAnsi="Book Antiqua" w:cs="Book Antiqua"/>
          <w:color w:val="000000"/>
        </w:rPr>
        <w:t>The mean age was 51.4 ± 12.9 years in the periodontitis group and 46.6 ± 14.2 years in the non-periodontitis group (</w:t>
      </w:r>
      <w:r w:rsidRPr="00C3112A">
        <w:rPr>
          <w:rFonts w:ascii="Book Antiqua" w:eastAsia="Book Antiqua" w:hAnsi="Book Antiqua" w:cs="Book Antiqua"/>
          <w:i/>
          <w:iCs/>
          <w:color w:val="000000"/>
        </w:rPr>
        <w:t>P</w:t>
      </w:r>
      <w:r w:rsidRPr="00C3112A">
        <w:rPr>
          <w:rFonts w:ascii="Book Antiqua" w:eastAsia="Book Antiqua" w:hAnsi="Book Antiqua" w:cs="Book Antiqua"/>
          <w:color w:val="000000"/>
        </w:rPr>
        <w:t xml:space="preserve"> &lt; 0.01), respectively. The mean body mass index was 23.9 ± 3.1 and 23.7 ± 3.2 in the periodontitis and non-periodontitis groups, respectively (</w:t>
      </w:r>
      <w:r w:rsidRPr="00C3112A">
        <w:rPr>
          <w:rFonts w:ascii="Book Antiqua" w:eastAsia="Book Antiqua" w:hAnsi="Book Antiqua" w:cs="Book Antiqua"/>
          <w:i/>
          <w:iCs/>
          <w:color w:val="000000"/>
        </w:rPr>
        <w:t>P</w:t>
      </w:r>
      <w:r w:rsidRPr="00C3112A">
        <w:rPr>
          <w:rFonts w:ascii="Book Antiqua" w:eastAsia="Book Antiqua" w:hAnsi="Book Antiqua" w:cs="Book Antiqua"/>
          <w:color w:val="000000"/>
        </w:rPr>
        <w:t xml:space="preserve"> &lt; 0.01). Men were 604307 (55.3%) and 4844383 (54.7%) in the periodontitis and non-periodontitis groups, respectively. </w:t>
      </w:r>
      <w:r>
        <w:rPr>
          <w:rFonts w:ascii="Book Antiqua" w:eastAsia="Book Antiqua" w:hAnsi="Book Antiqua" w:cs="Book Antiqua"/>
          <w:color w:val="000000"/>
        </w:rPr>
        <w:t xml:space="preserve">The mean follow-up duration was 7.26 years. Individuals with periodontitis had a significantly higher risk of UC than those without periodontitis </w:t>
      </w:r>
      <w:r w:rsidR="00C3112A">
        <w:rPr>
          <w:rFonts w:ascii="Book Antiqua" w:eastAsia="Book Antiqua" w:hAnsi="Book Antiqua" w:cs="Book Antiqua"/>
          <w:color w:val="000000"/>
        </w:rPr>
        <w:t>[</w:t>
      </w:r>
      <w:r>
        <w:rPr>
          <w:rFonts w:ascii="Book Antiqua" w:eastAsia="Book Antiqua" w:hAnsi="Book Antiqua" w:cs="Book Antiqua"/>
          <w:color w:val="000000"/>
        </w:rPr>
        <w:t>adjusted hazard ratio</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1.091; 95% confidence interval </w:t>
      </w:r>
      <w:r w:rsidR="00C3112A">
        <w:rPr>
          <w:rFonts w:ascii="Book Antiqua" w:eastAsia="Book Antiqua" w:hAnsi="Book Antiqua" w:cs="Book Antiqua"/>
          <w:color w:val="000000"/>
        </w:rPr>
        <w:t>(</w:t>
      </w:r>
      <w:r>
        <w:rPr>
          <w:rFonts w:ascii="Book Antiqua" w:eastAsia="Book Antiqua" w:hAnsi="Book Antiqua" w:cs="Book Antiqua"/>
          <w:color w:val="000000"/>
        </w:rPr>
        <w:t>CI</w:t>
      </w:r>
      <w:r w:rsidR="00C3112A">
        <w:rPr>
          <w:rFonts w:ascii="Book Antiqua" w:eastAsia="Book Antiqua" w:hAnsi="Book Antiqua" w:cs="Book Antiqua"/>
          <w:color w:val="000000"/>
        </w:rPr>
        <w:t>)</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1.008</w:t>
      </w:r>
      <w:r w:rsidR="003E06C6">
        <w:rPr>
          <w:rFonts w:ascii="Book Antiqua" w:eastAsia="Book Antiqua" w:hAnsi="Book Antiqua" w:cs="Book Antiqua"/>
          <w:color w:val="000000"/>
        </w:rPr>
        <w:t>-</w:t>
      </w:r>
      <w:r>
        <w:rPr>
          <w:rFonts w:ascii="Book Antiqua" w:eastAsia="Book Antiqua" w:hAnsi="Book Antiqua" w:cs="Book Antiqua"/>
          <w:color w:val="000000"/>
        </w:rPr>
        <w:t>1.182</w:t>
      </w:r>
      <w:r w:rsidR="00C3112A">
        <w:rPr>
          <w:rFonts w:ascii="Book Antiqua" w:eastAsia="Book Antiqua" w:hAnsi="Book Antiqua" w:cs="Book Antiqua"/>
          <w:color w:val="000000"/>
        </w:rPr>
        <w:t>]</w:t>
      </w:r>
      <w:r>
        <w:rPr>
          <w:rFonts w:ascii="Book Antiqua" w:eastAsia="Book Antiqua" w:hAnsi="Book Antiqua" w:cs="Book Antiqua"/>
          <w:color w:val="000000"/>
        </w:rPr>
        <w:t xml:space="preserve">, but not CD (adjusted </w:t>
      </w:r>
      <w:r w:rsidR="00C3112A">
        <w:rPr>
          <w:rFonts w:ascii="Book Antiqua" w:eastAsia="Book Antiqua" w:hAnsi="Book Antiqua" w:cs="Book Antiqua"/>
          <w:color w:val="000000"/>
        </w:rPr>
        <w:t>hazard ratio</w:t>
      </w:r>
      <w:r w:rsidR="0015121E">
        <w:rPr>
          <w:rFonts w:ascii="Book Antiqua" w:eastAsia="Book Antiqua" w:hAnsi="Book Antiqua" w:cs="Book Antiqua"/>
          <w:color w:val="000000"/>
        </w:rPr>
        <w:t>:</w:t>
      </w:r>
      <w:r>
        <w:rPr>
          <w:rFonts w:ascii="Book Antiqua" w:eastAsia="Book Antiqua" w:hAnsi="Book Antiqua" w:cs="Book Antiqua"/>
          <w:color w:val="000000"/>
        </w:rPr>
        <w:t xml:space="preserve"> 0.879; 95%</w:t>
      </w:r>
      <w:r w:rsidR="00CB1B67" w:rsidRPr="00CB1B67">
        <w:rPr>
          <w:rFonts w:ascii="Book Antiqua" w:eastAsia="Book Antiqua" w:hAnsi="Book Antiqua" w:cs="Book Antiqua"/>
          <w:color w:val="000000"/>
        </w:rPr>
        <w:t xml:space="preserve"> </w:t>
      </w:r>
      <w:r w:rsidR="00CB1B67">
        <w:rPr>
          <w:rFonts w:ascii="Book Antiqua" w:eastAsia="Book Antiqua" w:hAnsi="Book Antiqua" w:cs="Book Antiqua"/>
          <w:color w:val="000000"/>
        </w:rPr>
        <w:t>confidence interval</w:t>
      </w:r>
      <w:r w:rsidR="0015121E">
        <w:rPr>
          <w:rFonts w:ascii="Book Antiqua" w:eastAsia="Book Antiqua" w:hAnsi="Book Antiqua" w:cs="Book Antiqua"/>
          <w:color w:val="000000"/>
        </w:rPr>
        <w:t>:</w:t>
      </w:r>
      <w:r>
        <w:rPr>
          <w:rFonts w:ascii="Book Antiqua" w:eastAsia="Book Antiqua" w:hAnsi="Book Antiqua" w:cs="Book Antiqua"/>
          <w:color w:val="000000"/>
        </w:rPr>
        <w:t xml:space="preserve"> 0.731</w:t>
      </w:r>
      <w:r w:rsidR="003E06C6">
        <w:rPr>
          <w:rFonts w:ascii="Book Antiqua" w:eastAsia="Book Antiqua" w:hAnsi="Book Antiqua" w:cs="Book Antiqua"/>
          <w:color w:val="000000"/>
        </w:rPr>
        <w:t>-</w:t>
      </w:r>
      <w:r>
        <w:rPr>
          <w:rFonts w:ascii="Book Antiqua" w:eastAsia="Book Antiqua" w:hAnsi="Book Antiqua" w:cs="Book Antiqua"/>
          <w:color w:val="000000"/>
        </w:rPr>
        <w:t xml:space="preserve">1.057). The risks for UC </w:t>
      </w:r>
      <w:r>
        <w:rPr>
          <w:rFonts w:ascii="Book Antiqua" w:eastAsia="Book Antiqua" w:hAnsi="Book Antiqua" w:cs="Book Antiqua"/>
          <w:color w:val="000000"/>
        </w:rPr>
        <w:lastRenderedPageBreak/>
        <w:t>were significant in the subgroups of age ≥ 65 years, male gender, alcohol drinker, current smoker, and reduced physical activity. Current smokers aged ≥ 65 years with periodontitis were at a 1.9-fold increased risk of UC than non-smokers aged ≥ 65 years without periodontitis.</w:t>
      </w:r>
    </w:p>
    <w:p w14:paraId="596BBC6F" w14:textId="77777777" w:rsidR="00A77B3E" w:rsidRDefault="00A77B3E">
      <w:pPr>
        <w:spacing w:line="360" w:lineRule="auto"/>
        <w:jc w:val="both"/>
      </w:pPr>
    </w:p>
    <w:p w14:paraId="1528D069" w14:textId="77777777" w:rsidR="00A77B3E" w:rsidRDefault="00AB37F6">
      <w:pPr>
        <w:spacing w:line="360" w:lineRule="auto"/>
        <w:jc w:val="both"/>
      </w:pPr>
      <w:r>
        <w:rPr>
          <w:rFonts w:ascii="Book Antiqua" w:eastAsia="Book Antiqua" w:hAnsi="Book Antiqua" w:cs="Book Antiqua"/>
          <w:color w:val="000000"/>
        </w:rPr>
        <w:t>CONCLUSION</w:t>
      </w:r>
    </w:p>
    <w:p w14:paraId="59CFF6B4" w14:textId="77777777" w:rsidR="00A77B3E" w:rsidRDefault="00AB37F6">
      <w:pPr>
        <w:spacing w:line="360" w:lineRule="auto"/>
        <w:jc w:val="both"/>
      </w:pPr>
      <w:r>
        <w:rPr>
          <w:rFonts w:ascii="Book Antiqua" w:eastAsia="Book Antiqua" w:hAnsi="Book Antiqua" w:cs="Book Antiqua"/>
          <w:color w:val="000000"/>
        </w:rPr>
        <w:t>Periodontitis was significantly associated with the risk of developing UC, but not CD, particularly in current smokers aged ≥ 65 years.</w:t>
      </w:r>
    </w:p>
    <w:p w14:paraId="1A3837D3" w14:textId="77777777" w:rsidR="00A77B3E" w:rsidRDefault="00A77B3E">
      <w:pPr>
        <w:spacing w:line="360" w:lineRule="auto"/>
        <w:jc w:val="both"/>
      </w:pPr>
    </w:p>
    <w:p w14:paraId="79C26AB9" w14:textId="77777777" w:rsidR="00A77B3E" w:rsidRDefault="00AB37F6">
      <w:pPr>
        <w:spacing w:line="360" w:lineRule="auto"/>
        <w:jc w:val="both"/>
      </w:pPr>
      <w:r>
        <w:rPr>
          <w:rFonts w:ascii="Book Antiqua" w:eastAsia="Book Antiqua" w:hAnsi="Book Antiqua" w:cs="Book Antiqua"/>
          <w:b/>
          <w:bCs/>
          <w:color w:val="000000"/>
        </w:rPr>
        <w:t xml:space="preserve">Key </w:t>
      </w:r>
      <w:r w:rsidRPr="003E06C6">
        <w:rPr>
          <w:rFonts w:ascii="Book Antiqua" w:eastAsia="Book Antiqua" w:hAnsi="Book Antiqua" w:cs="Book Antiqua"/>
          <w:b/>
          <w:bCs/>
          <w:caps/>
          <w:color w:val="000000"/>
        </w:rPr>
        <w:t>w</w:t>
      </w:r>
      <w:r>
        <w:rPr>
          <w:rFonts w:ascii="Book Antiqua" w:eastAsia="Book Antiqua" w:hAnsi="Book Antiqua" w:cs="Book Antiqua"/>
          <w:b/>
          <w:bCs/>
          <w:color w:val="000000"/>
        </w:rPr>
        <w:t xml:space="preserve">ords: </w:t>
      </w:r>
      <w:r>
        <w:rPr>
          <w:rFonts w:ascii="Book Antiqua" w:eastAsia="Book Antiqua" w:hAnsi="Book Antiqua" w:cs="Book Antiqua"/>
          <w:color w:val="000000"/>
        </w:rPr>
        <w:t>Inflammatory bowel disease;</w:t>
      </w:r>
      <w:r>
        <w:rPr>
          <w:rFonts w:ascii="Book Antiqua" w:eastAsia="Book Antiqua" w:hAnsi="Book Antiqua" w:cs="Book Antiqua"/>
          <w:b/>
          <w:bCs/>
          <w:color w:val="000000"/>
        </w:rPr>
        <w:t xml:space="preserve"> </w:t>
      </w:r>
      <w:r>
        <w:rPr>
          <w:rFonts w:ascii="Book Antiqua" w:eastAsia="Book Antiqua" w:hAnsi="Book Antiqua" w:cs="Book Antiqua"/>
          <w:color w:val="000000"/>
        </w:rPr>
        <w:t>Periodontitis; Smoking; Ulcerative colitis; Crohn’s disease</w:t>
      </w:r>
    </w:p>
    <w:p w14:paraId="32852994" w14:textId="77777777" w:rsidR="00A77B3E" w:rsidRDefault="00A77B3E">
      <w:pPr>
        <w:spacing w:line="360" w:lineRule="auto"/>
        <w:jc w:val="both"/>
      </w:pPr>
    </w:p>
    <w:p w14:paraId="63631EAC" w14:textId="77777777" w:rsidR="00F610C3" w:rsidRDefault="00F610C3" w:rsidP="00F610C3">
      <w:pPr>
        <w:spacing w:line="360" w:lineRule="auto"/>
        <w:rPr>
          <w:rFonts w:ascii="Book Antiqua" w:hAnsi="Book Antiqua" w:cs="Book Antiqua" w:hint="eastAsia"/>
          <w:color w:val="000000"/>
          <w:lang w:eastAsia="zh-CN"/>
        </w:rPr>
      </w:pPr>
      <w:r w:rsidRPr="00F610C3">
        <w:rPr>
          <w:rFonts w:ascii="Book Antiqua" w:hAnsi="Book Antiqua" w:cs="Book Antiqua" w:hint="eastAsia"/>
          <w:b/>
          <w:color w:val="000000"/>
          <w:lang w:eastAsia="zh-CN"/>
        </w:rPr>
        <w:t xml:space="preserve">Citation: </w:t>
      </w:r>
      <w:r>
        <w:rPr>
          <w:rFonts w:ascii="Book Antiqua" w:eastAsia="Book Antiqua" w:hAnsi="Book Antiqua" w:cs="Book Antiqua"/>
          <w:color w:val="000000"/>
        </w:rPr>
        <w:t xml:space="preserve">Kang EA, Chun J, Kim JH, Han K, </w:t>
      </w:r>
      <w:proofErr w:type="spellStart"/>
      <w:r>
        <w:rPr>
          <w:rFonts w:ascii="Book Antiqua" w:eastAsia="Book Antiqua" w:hAnsi="Book Antiqua" w:cs="Book Antiqua"/>
          <w:color w:val="000000"/>
        </w:rPr>
        <w:t>Soh</w:t>
      </w:r>
      <w:proofErr w:type="spellEnd"/>
      <w:r>
        <w:rPr>
          <w:rFonts w:ascii="Book Antiqua" w:eastAsia="Book Antiqua" w:hAnsi="Book Antiqua" w:cs="Book Antiqua"/>
          <w:color w:val="000000"/>
        </w:rPr>
        <w:t xml:space="preserve"> H, Park S, Hong SW, Moon JM, Lee J, Lee HJ, Park JB,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Periodontitis combined with smoking increases risk of the ulcerative colitis: A national cohort study.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2020; </w:t>
      </w:r>
      <w:r w:rsidRPr="00F152EC">
        <w:rPr>
          <w:rFonts w:ascii="Book Antiqua" w:eastAsia="Book Antiqua" w:hAnsi="Book Antiqua" w:cs="Book Antiqua"/>
          <w:color w:val="000000"/>
        </w:rPr>
        <w:t>26(3</w:t>
      </w:r>
      <w:r>
        <w:rPr>
          <w:rFonts w:ascii="Book Antiqua" w:hAnsi="Book Antiqua" w:cs="Book Antiqua" w:hint="eastAsia"/>
          <w:color w:val="000000"/>
        </w:rPr>
        <w:t>7</w:t>
      </w:r>
      <w:r w:rsidRPr="00F152EC">
        <w:rPr>
          <w:rFonts w:ascii="Book Antiqua" w:eastAsia="Book Antiqua" w:hAnsi="Book Antiqua" w:cs="Book Antiqua"/>
          <w:color w:val="000000"/>
        </w:rPr>
        <w:t xml:space="preserve">): </w:t>
      </w:r>
      <w:r>
        <w:rPr>
          <w:rFonts w:ascii="Book Antiqua" w:hAnsi="Book Antiqua" w:cs="Book Antiqua" w:hint="eastAsia"/>
          <w:color w:val="000000"/>
        </w:rPr>
        <w:t>5661</w:t>
      </w:r>
      <w:r w:rsidRPr="00F152EC">
        <w:rPr>
          <w:rFonts w:ascii="Book Antiqua" w:eastAsia="Book Antiqua" w:hAnsi="Book Antiqua" w:cs="Book Antiqua"/>
          <w:color w:val="000000"/>
        </w:rPr>
        <w:t>-</w:t>
      </w:r>
      <w:r>
        <w:rPr>
          <w:rFonts w:ascii="Book Antiqua" w:hAnsi="Book Antiqua" w:cs="Book Antiqua" w:hint="eastAsia"/>
          <w:color w:val="000000"/>
        </w:rPr>
        <w:t>5672</w:t>
      </w:r>
      <w:r w:rsidRPr="00F152EC">
        <w:rPr>
          <w:rFonts w:ascii="Book Antiqua" w:eastAsia="Book Antiqua" w:hAnsi="Book Antiqua" w:cs="Book Antiqua"/>
          <w:color w:val="000000"/>
        </w:rPr>
        <w:t xml:space="preserve">  </w:t>
      </w:r>
    </w:p>
    <w:p w14:paraId="4FC242D1" w14:textId="77777777" w:rsidR="00F610C3" w:rsidRDefault="00F610C3" w:rsidP="00F610C3">
      <w:pPr>
        <w:spacing w:line="360" w:lineRule="auto"/>
        <w:rPr>
          <w:rFonts w:ascii="Book Antiqua" w:hAnsi="Book Antiqua" w:cs="Book Antiqua" w:hint="eastAsia"/>
          <w:color w:val="000000"/>
          <w:lang w:eastAsia="zh-CN"/>
        </w:rPr>
      </w:pPr>
      <w:r w:rsidRPr="00F610C3">
        <w:rPr>
          <w:rFonts w:ascii="Book Antiqua" w:eastAsia="Book Antiqua" w:hAnsi="Book Antiqua" w:cs="Book Antiqua"/>
          <w:b/>
          <w:color w:val="000000"/>
        </w:rPr>
        <w:t>URL:</w:t>
      </w:r>
      <w:r w:rsidRPr="00F152EC">
        <w:rPr>
          <w:rFonts w:ascii="Book Antiqua" w:eastAsia="Book Antiqua" w:hAnsi="Book Antiqua" w:cs="Book Antiqua"/>
          <w:color w:val="000000"/>
        </w:rPr>
        <w:t xml:space="preserve"> https://www.wjgnet.com/1007-9327/full/v26/i3</w:t>
      </w:r>
      <w:r>
        <w:rPr>
          <w:rFonts w:ascii="Book Antiqua" w:hAnsi="Book Antiqua" w:cs="Book Antiqua" w:hint="eastAsia"/>
          <w:color w:val="000000"/>
        </w:rPr>
        <w:t>7</w:t>
      </w:r>
      <w:r w:rsidRPr="00F152EC">
        <w:rPr>
          <w:rFonts w:ascii="Book Antiqua" w:eastAsia="Book Antiqua" w:hAnsi="Book Antiqua" w:cs="Book Antiqua"/>
          <w:color w:val="000000"/>
        </w:rPr>
        <w:t>/</w:t>
      </w:r>
      <w:r>
        <w:rPr>
          <w:rFonts w:ascii="Book Antiqua" w:hAnsi="Book Antiqua" w:cs="Book Antiqua" w:hint="eastAsia"/>
          <w:color w:val="000000"/>
        </w:rPr>
        <w:t>5661</w:t>
      </w:r>
      <w:r w:rsidRPr="00F152EC">
        <w:rPr>
          <w:rFonts w:ascii="Book Antiqua" w:eastAsia="Book Antiqua" w:hAnsi="Book Antiqua" w:cs="Book Antiqua"/>
          <w:color w:val="000000"/>
        </w:rPr>
        <w:t xml:space="preserve">.htm  </w:t>
      </w:r>
    </w:p>
    <w:p w14:paraId="420D26F3" w14:textId="6A8A3CFE" w:rsidR="00F610C3" w:rsidRPr="00E276A5" w:rsidRDefault="00F610C3" w:rsidP="00F610C3">
      <w:pPr>
        <w:spacing w:line="360" w:lineRule="auto"/>
        <w:rPr>
          <w:rFonts w:hint="eastAsia"/>
        </w:rPr>
      </w:pPr>
      <w:r w:rsidRPr="00F610C3">
        <w:rPr>
          <w:rFonts w:ascii="Book Antiqua" w:eastAsia="Book Antiqua" w:hAnsi="Book Antiqua" w:cs="Book Antiqua"/>
          <w:b/>
          <w:color w:val="000000"/>
        </w:rPr>
        <w:t>DOI:</w:t>
      </w:r>
      <w:r w:rsidRPr="00F152EC">
        <w:rPr>
          <w:rFonts w:ascii="Book Antiqua" w:eastAsia="Book Antiqua" w:hAnsi="Book Antiqua" w:cs="Book Antiqua"/>
          <w:color w:val="000000"/>
        </w:rPr>
        <w:t xml:space="preserve"> https://dx.doi.org/10.3748/wjg.v26.i3</w:t>
      </w:r>
      <w:r>
        <w:rPr>
          <w:rFonts w:ascii="Book Antiqua" w:hAnsi="Book Antiqua" w:cs="Book Antiqua" w:hint="eastAsia"/>
          <w:color w:val="000000"/>
        </w:rPr>
        <w:t>7</w:t>
      </w:r>
      <w:r w:rsidRPr="00F152EC">
        <w:rPr>
          <w:rFonts w:ascii="Book Antiqua" w:eastAsia="Book Antiqua" w:hAnsi="Book Antiqua" w:cs="Book Antiqua"/>
          <w:color w:val="000000"/>
        </w:rPr>
        <w:t>.</w:t>
      </w:r>
      <w:r>
        <w:rPr>
          <w:rFonts w:ascii="Book Antiqua" w:hAnsi="Book Antiqua" w:cs="Book Antiqua" w:hint="eastAsia"/>
          <w:color w:val="000000"/>
        </w:rPr>
        <w:t>5661</w:t>
      </w:r>
    </w:p>
    <w:p w14:paraId="38302535" w14:textId="77777777" w:rsidR="00A77B3E" w:rsidRDefault="00A77B3E">
      <w:pPr>
        <w:spacing w:line="360" w:lineRule="auto"/>
        <w:jc w:val="both"/>
      </w:pPr>
    </w:p>
    <w:p w14:paraId="2A104649" w14:textId="7E2D81E2" w:rsidR="00A77B3E" w:rsidRDefault="00AB37F6">
      <w:pPr>
        <w:spacing w:line="360" w:lineRule="auto"/>
        <w:jc w:val="both"/>
      </w:pPr>
      <w:r>
        <w:rPr>
          <w:rFonts w:ascii="Book Antiqua" w:eastAsia="Book Antiqua" w:hAnsi="Book Antiqua" w:cs="Book Antiqua"/>
          <w:b/>
          <w:bCs/>
          <w:color w:val="000000"/>
        </w:rPr>
        <w:t xml:space="preserve">Core </w:t>
      </w:r>
      <w:r w:rsidRPr="003E06C6">
        <w:rPr>
          <w:rFonts w:ascii="Book Antiqua" w:eastAsia="Book Antiqua" w:hAnsi="Book Antiqua" w:cs="Book Antiqua"/>
          <w:b/>
          <w:bCs/>
          <w:caps/>
          <w:color w:val="000000"/>
        </w:rPr>
        <w:t>t</w:t>
      </w:r>
      <w:r>
        <w:rPr>
          <w:rFonts w:ascii="Book Antiqua" w:eastAsia="Book Antiqua" w:hAnsi="Book Antiqua" w:cs="Book Antiqua"/>
          <w:b/>
          <w:bCs/>
          <w:color w:val="000000"/>
        </w:rPr>
        <w:t xml:space="preserve">ip: </w:t>
      </w:r>
      <w:r>
        <w:rPr>
          <w:rFonts w:ascii="Book Antiqua" w:eastAsia="Book Antiqua" w:hAnsi="Book Antiqua" w:cs="Book Antiqua"/>
          <w:color w:val="000000"/>
        </w:rPr>
        <w:t xml:space="preserve">We evaluate the impact of periodontitis on the development of ulcerative colitis (UC) using the nationwide population-based cohort data. </w:t>
      </w:r>
      <w:r w:rsidR="00CB1B67">
        <w:rPr>
          <w:rFonts w:ascii="Book Antiqua" w:eastAsia="Book Antiqua" w:hAnsi="Book Antiqua" w:cs="Book Antiqua"/>
          <w:color w:val="000000"/>
        </w:rPr>
        <w:t xml:space="preserve">In total, </w:t>
      </w:r>
      <w:r>
        <w:rPr>
          <w:rFonts w:ascii="Book Antiqua" w:eastAsia="Book Antiqua" w:hAnsi="Book Antiqua" w:cs="Book Antiqua"/>
          <w:color w:val="000000"/>
        </w:rPr>
        <w:t>9950548 individuals undergoing national health screenings in 2009 were included in this study and were followed for an average of 7.26 years. Patients with periodontitis had a higher risk of UC than those without periodontitis. Current smokers over 65 years with periodontitis were at a 1.9-fold increased risk of UC than non-smokers without periodontitis. Periodontitis was significantly associated with the risk of UC and cigarette smoking could superimpose the impact of periodontitis on UC, especially in elderly people.</w:t>
      </w:r>
    </w:p>
    <w:p w14:paraId="3C41B4D9" w14:textId="580A9CAB" w:rsidR="00A77B3E" w:rsidRDefault="00CB1B67">
      <w:pPr>
        <w:spacing w:line="360" w:lineRule="auto"/>
        <w:jc w:val="both"/>
      </w:pPr>
      <w:r>
        <w:br w:type="page"/>
      </w:r>
      <w:r w:rsidR="00AB37F6">
        <w:rPr>
          <w:rFonts w:ascii="Book Antiqua" w:eastAsia="Book Antiqua" w:hAnsi="Book Antiqua" w:cs="Book Antiqua"/>
          <w:b/>
          <w:caps/>
          <w:color w:val="000000"/>
          <w:u w:val="single"/>
        </w:rPr>
        <w:lastRenderedPageBreak/>
        <w:t>INTRODUCTION</w:t>
      </w:r>
    </w:p>
    <w:p w14:paraId="3FC3C3A5" w14:textId="774B6BA0" w:rsidR="00A77B3E" w:rsidRDefault="00AB37F6">
      <w:pPr>
        <w:spacing w:line="360" w:lineRule="auto"/>
        <w:jc w:val="both"/>
      </w:pPr>
      <w:r>
        <w:rPr>
          <w:rFonts w:ascii="Book Antiqua" w:eastAsia="Book Antiqua" w:hAnsi="Book Antiqua" w:cs="Book Antiqua"/>
          <w:color w:val="000000"/>
        </w:rPr>
        <w:t xml:space="preserve">Periodontitis is a chronic infectious and inflammatory disease of periodontal tissues caused by interactions between the microbiota in the root canals and the host immune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sidR="00CB1B67">
        <w:rPr>
          <w:rFonts w:ascii="Book Antiqua" w:eastAsia="Book Antiqua" w:hAnsi="Book Antiqua" w:cs="Book Antiqua"/>
          <w:color w:val="000000"/>
          <w:szCs w:val="30"/>
        </w:rPr>
        <w:t>.</w:t>
      </w:r>
      <w:r>
        <w:rPr>
          <w:rFonts w:ascii="Book Antiqua" w:eastAsia="Book Antiqua" w:hAnsi="Book Antiqua" w:cs="Book Antiqua"/>
          <w:color w:val="000000"/>
        </w:rPr>
        <w:t xml:space="preserve"> Periodontitis can be caused by a variety of etiologies, such as alveolar bone destruction, dental plaque bacteria, remnant food material, and an abnormal immune </w:t>
      </w:r>
      <w:proofErr w:type="gramStart"/>
      <w:r>
        <w:rPr>
          <w:rFonts w:ascii="Book Antiqua" w:eastAsia="Book Antiqua" w:hAnsi="Book Antiqua" w:cs="Book Antiqua"/>
          <w:color w:val="000000"/>
        </w:rPr>
        <w:t>response</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prevalence of periodontitis ranges from 20</w:t>
      </w:r>
      <w:r w:rsidR="00CB1B67">
        <w:rPr>
          <w:rFonts w:ascii="Book Antiqua" w:eastAsia="Book Antiqua" w:hAnsi="Book Antiqua" w:cs="Book Antiqua"/>
          <w:color w:val="000000"/>
        </w:rPr>
        <w:t>%</w:t>
      </w:r>
      <w:r>
        <w:rPr>
          <w:rFonts w:ascii="Book Antiqua" w:eastAsia="Book Antiqua" w:hAnsi="Book Antiqua" w:cs="Book Antiqua"/>
          <w:color w:val="000000"/>
        </w:rPr>
        <w:t xml:space="preserve"> to 50% globally and increases with </w:t>
      </w:r>
      <w:proofErr w:type="gramStart"/>
      <w:r>
        <w:rPr>
          <w:rFonts w:ascii="Book Antiqua" w:eastAsia="Book Antiqua" w:hAnsi="Book Antiqua" w:cs="Book Antiqua"/>
          <w:color w:val="000000"/>
        </w:rPr>
        <w:t>age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sidR="00CB1B67">
        <w:rPr>
          <w:rFonts w:ascii="Book Antiqua" w:eastAsia="Book Antiqua" w:hAnsi="Book Antiqua" w:cs="Book Antiqua"/>
          <w:color w:val="000000"/>
          <w:szCs w:val="30"/>
        </w:rPr>
        <w:t>.</w:t>
      </w:r>
      <w:r>
        <w:rPr>
          <w:rFonts w:ascii="Book Antiqua" w:eastAsia="Book Antiqua" w:hAnsi="Book Antiqua" w:cs="Book Antiqua"/>
          <w:color w:val="000000"/>
        </w:rPr>
        <w:t xml:space="preserve"> Risk factors for periodontitis, such as smoking and alcohol consumption, diabetes mellitus, obesity, and metabolic syndrome, have been reported in previous </w:t>
      </w:r>
      <w:proofErr w:type="gramStart"/>
      <w:r>
        <w:rPr>
          <w:rFonts w:ascii="Book Antiqua" w:eastAsia="Book Antiqua" w:hAnsi="Book Antiqua" w:cs="Book Antiqua"/>
          <w:color w:val="000000"/>
        </w:rPr>
        <w:t>studies</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Furthermore, periodontitis is closely linked to the pathogenesis of systemic </w:t>
      </w:r>
      <w:proofErr w:type="gramStart"/>
      <w:r>
        <w:rPr>
          <w:rFonts w:ascii="Book Antiqua" w:eastAsia="Book Antiqua" w:hAnsi="Book Antiqua" w:cs="Book Antiqua"/>
          <w:color w:val="000000"/>
        </w:rPr>
        <w:t>disease</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w:t>
      </w:r>
    </w:p>
    <w:p w14:paraId="54357079" w14:textId="2A7413A0" w:rsidR="00A77B3E" w:rsidRDefault="00AB37F6" w:rsidP="00CB1B67">
      <w:pPr>
        <w:spacing w:line="360" w:lineRule="auto"/>
        <w:ind w:firstLineChars="100" w:firstLine="240"/>
        <w:jc w:val="both"/>
      </w:pPr>
      <w:r>
        <w:rPr>
          <w:rFonts w:ascii="Book Antiqua" w:eastAsia="Book Antiqua" w:hAnsi="Book Antiqua" w:cs="Book Antiqua"/>
          <w:color w:val="000000"/>
        </w:rPr>
        <w:t xml:space="preserve">Inflammatory bowel diseases (IBD), including Crohn’s disease (CD) and ulcerative colitis (UC) are chronic relapsing inflammatory diseases of the gastrointestinal tract with many causes. Complex interactions among gut dysbiosis, changes in the host immune system, and genetic factors affect the development of IBD. </w:t>
      </w:r>
      <w:r w:rsidRPr="00CB1B67">
        <w:rPr>
          <w:rFonts w:ascii="Book Antiqua" w:eastAsia="Book Antiqua" w:hAnsi="Book Antiqua" w:cs="Book Antiqua"/>
          <w:color w:val="000000"/>
        </w:rPr>
        <w:t xml:space="preserve">In Asia, the prevalence of IBD is rapidly increasing, and its genetic predisposition and environmental impact is different from that of western </w:t>
      </w:r>
      <w:proofErr w:type="gramStart"/>
      <w:r w:rsidRPr="00CB1B67">
        <w:rPr>
          <w:rFonts w:ascii="Book Antiqua" w:eastAsia="Book Antiqua" w:hAnsi="Book Antiqua" w:cs="Book Antiqua"/>
          <w:color w:val="000000"/>
        </w:rPr>
        <w:t>countries</w:t>
      </w:r>
      <w:r w:rsidR="00CB1B67" w:rsidRPr="00CB1B67">
        <w:rPr>
          <w:rFonts w:ascii="Book Antiqua" w:eastAsia="Book Antiqua" w:hAnsi="Book Antiqua" w:cs="Book Antiqua"/>
          <w:color w:val="000000"/>
          <w:szCs w:val="30"/>
          <w:vertAlign w:val="superscript"/>
        </w:rPr>
        <w:t>[</w:t>
      </w:r>
      <w:proofErr w:type="gramEnd"/>
      <w:r w:rsidR="00CB1B67" w:rsidRPr="00CB1B67">
        <w:rPr>
          <w:rFonts w:ascii="Book Antiqua" w:eastAsia="Book Antiqua" w:hAnsi="Book Antiqua" w:cs="Book Antiqua"/>
          <w:color w:val="000000"/>
          <w:szCs w:val="30"/>
          <w:vertAlign w:val="superscript"/>
        </w:rPr>
        <w:t>9]</w:t>
      </w:r>
      <w:r w:rsidRPr="00CB1B67">
        <w:rPr>
          <w:rFonts w:ascii="Book Antiqua" w:eastAsia="Book Antiqua" w:hAnsi="Book Antiqua" w:cs="Book Antiqua"/>
          <w:color w:val="000000"/>
        </w:rPr>
        <w:t>.</w:t>
      </w:r>
      <w:r w:rsidRPr="00CB1B67">
        <w:rPr>
          <w:rFonts w:ascii="Book Antiqua" w:eastAsia="Book Antiqua" w:hAnsi="Book Antiqua" w:cs="Book Antiqua"/>
          <w:color w:val="000000"/>
          <w:szCs w:val="30"/>
          <w:vertAlign w:val="superscript"/>
        </w:rPr>
        <w:t xml:space="preserve"> </w:t>
      </w:r>
      <w:r w:rsidRPr="00CB1B67">
        <w:rPr>
          <w:rFonts w:ascii="Book Antiqua" w:eastAsia="Book Antiqua" w:hAnsi="Book Antiqua" w:cs="Book Antiqua"/>
          <w:color w:val="000000"/>
        </w:rPr>
        <w:t xml:space="preserve">Environmental factors such as smoking and alcohol consumption can be associated with the development of IBD. The effects of smoking on the pathogenesis of CD and UC are different. Smoking may have a minor role in the development of CD in Asia, unlike western </w:t>
      </w:r>
      <w:proofErr w:type="gramStart"/>
      <w:r w:rsidRPr="00CB1B67">
        <w:rPr>
          <w:rFonts w:ascii="Book Antiqua" w:eastAsia="Book Antiqua" w:hAnsi="Book Antiqua" w:cs="Book Antiqua"/>
          <w:color w:val="000000"/>
        </w:rPr>
        <w:t>populations</w:t>
      </w:r>
      <w:r w:rsidR="00CB1B67" w:rsidRPr="00CB1B67">
        <w:rPr>
          <w:rFonts w:ascii="Book Antiqua" w:eastAsia="Book Antiqua" w:hAnsi="Book Antiqua" w:cs="Book Antiqua"/>
          <w:color w:val="000000"/>
          <w:szCs w:val="30"/>
          <w:vertAlign w:val="superscript"/>
        </w:rPr>
        <w:t>[</w:t>
      </w:r>
      <w:proofErr w:type="gramEnd"/>
      <w:r w:rsidR="00CB1B67" w:rsidRPr="00CB1B67">
        <w:rPr>
          <w:rFonts w:ascii="Book Antiqua" w:eastAsia="Book Antiqua" w:hAnsi="Book Antiqua" w:cs="Book Antiqua"/>
          <w:color w:val="000000"/>
          <w:szCs w:val="30"/>
          <w:vertAlign w:val="superscript"/>
        </w:rPr>
        <w:t>10]</w:t>
      </w:r>
      <w:r w:rsidRPr="00CB1B67">
        <w:rPr>
          <w:rFonts w:ascii="Book Antiqua" w:eastAsia="Book Antiqua" w:hAnsi="Book Antiqua" w:cs="Book Antiqua"/>
          <w:color w:val="000000"/>
        </w:rPr>
        <w:t>. In contrast, former smokers have a significantly higher risk of developing UC than non-</w:t>
      </w:r>
      <w:proofErr w:type="gramStart"/>
      <w:r w:rsidRPr="00CB1B67">
        <w:rPr>
          <w:rFonts w:ascii="Book Antiqua" w:eastAsia="Book Antiqua" w:hAnsi="Book Antiqua" w:cs="Book Antiqua"/>
          <w:color w:val="000000"/>
        </w:rPr>
        <w:t>smokers</w:t>
      </w:r>
      <w:r w:rsidR="00CB1B67" w:rsidRPr="00CB1B67">
        <w:rPr>
          <w:rFonts w:ascii="Book Antiqua" w:eastAsia="Book Antiqua" w:hAnsi="Book Antiqua" w:cs="Book Antiqua"/>
          <w:color w:val="000000"/>
          <w:szCs w:val="30"/>
          <w:vertAlign w:val="superscript"/>
        </w:rPr>
        <w:t>[</w:t>
      </w:r>
      <w:proofErr w:type="gramEnd"/>
      <w:r w:rsidR="00CB1B67" w:rsidRPr="00CB1B67">
        <w:rPr>
          <w:rFonts w:ascii="Book Antiqua" w:eastAsia="Book Antiqua" w:hAnsi="Book Antiqua" w:cs="Book Antiqua"/>
          <w:color w:val="000000"/>
          <w:szCs w:val="30"/>
          <w:vertAlign w:val="superscript"/>
        </w:rPr>
        <w:t>11]</w:t>
      </w:r>
      <w:r w:rsidRPr="00CB1B67">
        <w:rPr>
          <w:rFonts w:ascii="Book Antiqua" w:eastAsia="Book Antiqua" w:hAnsi="Book Antiqua" w:cs="Book Antiqua"/>
          <w:color w:val="000000"/>
        </w:rPr>
        <w:t xml:space="preserve">. Alcohol consumption is related to exacerbation of symptoms in patients with </w:t>
      </w:r>
      <w:proofErr w:type="gramStart"/>
      <w:r w:rsidRPr="00CB1B67">
        <w:rPr>
          <w:rFonts w:ascii="Book Antiqua" w:eastAsia="Book Antiqua" w:hAnsi="Book Antiqua" w:cs="Book Antiqua"/>
          <w:color w:val="000000"/>
        </w:rPr>
        <w:t>IBD</w:t>
      </w:r>
      <w:r w:rsidR="00CB1B67" w:rsidRPr="00CB1B67">
        <w:rPr>
          <w:rFonts w:ascii="Book Antiqua" w:eastAsia="Book Antiqua" w:hAnsi="Book Antiqua" w:cs="Book Antiqua"/>
          <w:color w:val="000000"/>
          <w:szCs w:val="30"/>
          <w:vertAlign w:val="superscript"/>
        </w:rPr>
        <w:t>[</w:t>
      </w:r>
      <w:proofErr w:type="gramEnd"/>
      <w:r w:rsidR="00CB1B67" w:rsidRPr="00CB1B67">
        <w:rPr>
          <w:rFonts w:ascii="Book Antiqua" w:eastAsia="Book Antiqua" w:hAnsi="Book Antiqua" w:cs="Book Antiqua"/>
          <w:color w:val="000000"/>
          <w:szCs w:val="30"/>
          <w:vertAlign w:val="superscript"/>
        </w:rPr>
        <w:t>12]</w:t>
      </w:r>
      <w:r w:rsidRPr="00CB1B67">
        <w:rPr>
          <w:rFonts w:ascii="Book Antiqua" w:eastAsia="Book Antiqua" w:hAnsi="Book Antiqua" w:cs="Book Antiqua"/>
          <w:color w:val="000000"/>
        </w:rPr>
        <w:t>.</w:t>
      </w:r>
      <w:r>
        <w:rPr>
          <w:rFonts w:ascii="Book Antiqua" w:eastAsia="Book Antiqua" w:hAnsi="Book Antiqua" w:cs="Book Antiqua"/>
          <w:color w:val="000000"/>
        </w:rPr>
        <w:t xml:space="preserve"> </w:t>
      </w:r>
    </w:p>
    <w:p w14:paraId="2128C280" w14:textId="4214AC4A" w:rsidR="00A77B3E" w:rsidRDefault="00AB37F6" w:rsidP="00CB1B67">
      <w:pPr>
        <w:spacing w:line="360" w:lineRule="auto"/>
        <w:ind w:firstLineChars="100" w:firstLine="240"/>
        <w:jc w:val="both"/>
      </w:pPr>
      <w:r>
        <w:rPr>
          <w:rFonts w:ascii="Book Antiqua" w:eastAsia="Book Antiqua" w:hAnsi="Book Antiqua" w:cs="Book Antiqua"/>
          <w:color w:val="000000"/>
        </w:rPr>
        <w:t xml:space="preserve">The destruction of periodontal tissues might induce activation of a variety of cytokines related to the pathophysiology of </w:t>
      </w:r>
      <w:proofErr w:type="gramStart"/>
      <w:r>
        <w:rPr>
          <w:rFonts w:ascii="Book Antiqua" w:eastAsia="Book Antiqua" w:hAnsi="Book Antiqua" w:cs="Book Antiqua"/>
          <w:color w:val="000000"/>
        </w:rPr>
        <w:t>IBD</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In addition, changes in the gut microbiota and immunosuppressive agents used to treat IBD can deteriorate oral health </w:t>
      </w:r>
      <w:r w:rsidRPr="00CB1B67">
        <w:rPr>
          <w:rFonts w:ascii="Book Antiqua" w:eastAsia="Book Antiqua" w:hAnsi="Book Antiqua" w:cs="Book Antiqua"/>
          <w:i/>
          <w:iCs/>
          <w:color w:val="000000"/>
        </w:rPr>
        <w:t>via</w:t>
      </w:r>
      <w:r>
        <w:rPr>
          <w:rFonts w:ascii="Book Antiqua" w:eastAsia="Book Antiqua" w:hAnsi="Book Antiqua" w:cs="Book Antiqua"/>
          <w:color w:val="000000"/>
        </w:rPr>
        <w:t xml:space="preserve"> changes in the oral microbiota, resulting in an increased risk for </w:t>
      </w:r>
      <w:proofErr w:type="gramStart"/>
      <w:r>
        <w:rPr>
          <w:rFonts w:ascii="Book Antiqua" w:eastAsia="Book Antiqua" w:hAnsi="Book Antiqua" w:cs="Book Antiqua"/>
          <w:color w:val="000000"/>
        </w:rPr>
        <w:t>periodontitis</w:t>
      </w:r>
      <w:r w:rsidR="00CB1B67">
        <w:rPr>
          <w:rFonts w:ascii="Book Antiqua" w:eastAsia="Book Antiqua" w:hAnsi="Book Antiqua" w:cs="Book Antiqua"/>
          <w:color w:val="000000"/>
          <w:szCs w:val="30"/>
          <w:vertAlign w:val="superscript"/>
        </w:rPr>
        <w:t>[</w:t>
      </w:r>
      <w:proofErr w:type="gramEnd"/>
      <w:r w:rsidR="00CB1B67">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Periodontitis and IBD are characterized by chronic inflammation initiated in the </w:t>
      </w:r>
      <w:proofErr w:type="spellStart"/>
      <w:r>
        <w:rPr>
          <w:rFonts w:ascii="Book Antiqua" w:eastAsia="Book Antiqua" w:hAnsi="Book Antiqua" w:cs="Book Antiqua"/>
          <w:color w:val="000000"/>
        </w:rPr>
        <w:t>oro</w:t>
      </w:r>
      <w:proofErr w:type="spellEnd"/>
      <w:r>
        <w:rPr>
          <w:rFonts w:ascii="Book Antiqua" w:eastAsia="Book Antiqua" w:hAnsi="Book Antiqua" w:cs="Book Antiqua"/>
          <w:color w:val="000000"/>
        </w:rPr>
        <w:t xml:space="preserve">-intestinal tract, and share a number of similar pathophysiological features. However, the pathogenic relationship between periodontitis and IBD remains unclear. </w:t>
      </w:r>
      <w:r>
        <w:rPr>
          <w:rFonts w:ascii="Book Antiqua" w:eastAsia="Book Antiqua" w:hAnsi="Book Antiqua" w:cs="Book Antiqua"/>
          <w:color w:val="000000"/>
        </w:rPr>
        <w:lastRenderedPageBreak/>
        <w:t>Epidemiological studies regarding the effects of periodontitis based on age and environmental factors on the occurrence of IBD are lacking. The aims of the study were to assess the incidence and risk of IBD among patients with periodontitis and identify the risk factors for the occurrence of IBD related to periodontitis.</w:t>
      </w:r>
    </w:p>
    <w:p w14:paraId="33BA7B99" w14:textId="77777777" w:rsidR="00A77B3E" w:rsidRDefault="00A77B3E">
      <w:pPr>
        <w:spacing w:line="360" w:lineRule="auto"/>
        <w:jc w:val="both"/>
      </w:pPr>
    </w:p>
    <w:p w14:paraId="142460EB" w14:textId="77777777" w:rsidR="00A77B3E" w:rsidRDefault="00AB37F6">
      <w:pPr>
        <w:spacing w:line="360" w:lineRule="auto"/>
        <w:jc w:val="both"/>
      </w:pPr>
      <w:r>
        <w:rPr>
          <w:rFonts w:ascii="Book Antiqua" w:eastAsia="Book Antiqua" w:hAnsi="Book Antiqua" w:cs="Book Antiqua"/>
          <w:b/>
          <w:caps/>
          <w:color w:val="000000"/>
          <w:u w:val="single"/>
        </w:rPr>
        <w:t>MATERIALS AND METHODS</w:t>
      </w:r>
    </w:p>
    <w:p w14:paraId="52A6E406" w14:textId="77777777" w:rsidR="00A77B3E" w:rsidRPr="00CB1B67" w:rsidRDefault="00AB37F6">
      <w:pPr>
        <w:spacing w:line="360" w:lineRule="auto"/>
        <w:jc w:val="both"/>
        <w:rPr>
          <w:b/>
          <w:bCs/>
        </w:rPr>
      </w:pPr>
      <w:r w:rsidRPr="00CB1B67">
        <w:rPr>
          <w:rFonts w:ascii="Book Antiqua" w:eastAsia="Book Antiqua" w:hAnsi="Book Antiqua" w:cs="Book Antiqua"/>
          <w:b/>
          <w:bCs/>
          <w:i/>
          <w:iCs/>
          <w:color w:val="000000"/>
        </w:rPr>
        <w:t>Database</w:t>
      </w:r>
    </w:p>
    <w:p w14:paraId="67868D0C" w14:textId="77777777" w:rsidR="00A77B3E" w:rsidRDefault="00AB37F6">
      <w:pPr>
        <w:spacing w:line="360" w:lineRule="auto"/>
        <w:jc w:val="both"/>
      </w:pPr>
      <w:r>
        <w:rPr>
          <w:rFonts w:ascii="Book Antiqua" w:eastAsia="Book Antiqua" w:hAnsi="Book Antiqua" w:cs="Book Antiqua"/>
          <w:color w:val="000000"/>
        </w:rPr>
        <w:t xml:space="preserve">The National Health Insurance (NHI) service is a single, mandatory medical insurer providing a health insurance to approximately 51 million citizens in South Korea. The NHI database contains information on comorbidities, drug prescriptions, treatment, and demographic characteristics of Koreans due to the unique nature of the NHI service. The National Health Screening Program (NHSP) is conducted every 2 years for all qualified adults &gt; 20 years of age, and the information collected by the NHSP accumulates as a separate cohort. Clinical data at baseline and trends in changes in the data can be evaluated in the cohort. The Rare and Intractable Diseases (RID) system supports additional medical costs for patients with RIDs, such as IBD. We identified the RIDs with a special diagnostic code (V code). CD is a rare disease, and UC is regarded as an intractable disease in South Korea. </w:t>
      </w:r>
    </w:p>
    <w:p w14:paraId="2FDE0184" w14:textId="77777777" w:rsidR="00A77B3E" w:rsidRDefault="00A77B3E">
      <w:pPr>
        <w:spacing w:line="360" w:lineRule="auto"/>
        <w:jc w:val="both"/>
      </w:pPr>
    </w:p>
    <w:p w14:paraId="72ECFDF7" w14:textId="77777777" w:rsidR="00A77B3E" w:rsidRPr="00CB1B67" w:rsidRDefault="00AB37F6">
      <w:pPr>
        <w:spacing w:line="360" w:lineRule="auto"/>
        <w:jc w:val="both"/>
        <w:rPr>
          <w:b/>
          <w:bCs/>
        </w:rPr>
      </w:pPr>
      <w:r w:rsidRPr="00CB1B67">
        <w:rPr>
          <w:rFonts w:ascii="Book Antiqua" w:eastAsia="Book Antiqua" w:hAnsi="Book Antiqua" w:cs="Book Antiqua"/>
          <w:b/>
          <w:bCs/>
          <w:i/>
          <w:iCs/>
          <w:color w:val="000000"/>
        </w:rPr>
        <w:t>Study population</w:t>
      </w:r>
      <w:r w:rsidRPr="00CB1B67">
        <w:rPr>
          <w:rFonts w:ascii="Book Antiqua" w:eastAsia="Book Antiqua" w:hAnsi="Book Antiqua" w:cs="Book Antiqua"/>
          <w:b/>
          <w:bCs/>
          <w:color w:val="000000"/>
        </w:rPr>
        <w:t xml:space="preserve"> </w:t>
      </w:r>
    </w:p>
    <w:p w14:paraId="08D7E4D8" w14:textId="77777777" w:rsidR="00A77B3E" w:rsidRDefault="00AB37F6">
      <w:pPr>
        <w:spacing w:line="360" w:lineRule="auto"/>
        <w:jc w:val="both"/>
      </w:pPr>
      <w:r>
        <w:rPr>
          <w:rFonts w:ascii="Book Antiqua" w:eastAsia="Book Antiqua" w:hAnsi="Book Antiqua" w:cs="Book Antiqua"/>
          <w:color w:val="000000"/>
        </w:rPr>
        <w:t xml:space="preserve">This was a nationwide population-based retrospective cohort study using the NHI claims data from a population who underwent the NHSP in 2009 (index year). Patients were classified into the periodontitis group when the International Classification of Diseases (ICD)-10 code for periodontitis (K05.3) was identified at the index examination. The periodontitis group was divided into three stages according to the severity of periodontitis based on therapeutic procedures, including scaling, sub-gingival curettage, and surgery. Individuals without periodontitis were considered the non-periodontitis group. In both groups, patients who were diagnosed with IBD from 2004 to 2009 were excluded to rule out IBD cases not related to periodontitis (washout period). Newly </w:t>
      </w:r>
      <w:r>
        <w:rPr>
          <w:rFonts w:ascii="Book Antiqua" w:eastAsia="Book Antiqua" w:hAnsi="Book Antiqua" w:cs="Book Antiqua"/>
          <w:color w:val="000000"/>
        </w:rPr>
        <w:lastRenderedPageBreak/>
        <w:t>diagnosed IBD patients in the first year after the index year were also excluded (lag period). Patients who were newly diagnosed with periodontitis during the follow-up period in the non-periodontitis group were censored in this study.</w:t>
      </w:r>
    </w:p>
    <w:p w14:paraId="5D72EC89" w14:textId="77777777" w:rsidR="00A77B3E" w:rsidRDefault="00A77B3E">
      <w:pPr>
        <w:spacing w:line="360" w:lineRule="auto"/>
        <w:jc w:val="both"/>
      </w:pPr>
    </w:p>
    <w:p w14:paraId="1CE93B35" w14:textId="77777777" w:rsidR="00A77B3E" w:rsidRPr="00CB1B67" w:rsidRDefault="00AB37F6">
      <w:pPr>
        <w:spacing w:line="360" w:lineRule="auto"/>
        <w:jc w:val="both"/>
        <w:rPr>
          <w:b/>
          <w:bCs/>
        </w:rPr>
      </w:pPr>
      <w:r w:rsidRPr="00CB1B67">
        <w:rPr>
          <w:rFonts w:ascii="Book Antiqua" w:eastAsia="Book Antiqua" w:hAnsi="Book Antiqua" w:cs="Book Antiqua"/>
          <w:b/>
          <w:bCs/>
          <w:i/>
          <w:iCs/>
          <w:color w:val="000000"/>
        </w:rPr>
        <w:t>Definition and data acquisition</w:t>
      </w:r>
      <w:r w:rsidRPr="00CB1B67">
        <w:rPr>
          <w:rFonts w:ascii="Book Antiqua" w:eastAsia="Book Antiqua" w:hAnsi="Book Antiqua" w:cs="Book Antiqua"/>
          <w:b/>
          <w:bCs/>
          <w:color w:val="000000"/>
        </w:rPr>
        <w:t xml:space="preserve"> </w:t>
      </w:r>
    </w:p>
    <w:p w14:paraId="3A912843" w14:textId="14D29579" w:rsidR="00A77B3E" w:rsidRDefault="00AB37F6">
      <w:pPr>
        <w:spacing w:line="360" w:lineRule="auto"/>
        <w:jc w:val="both"/>
      </w:pPr>
      <w:r>
        <w:rPr>
          <w:rFonts w:ascii="Book Antiqua" w:eastAsia="Book Antiqua" w:hAnsi="Book Antiqua" w:cs="Book Antiqua"/>
          <w:color w:val="000000"/>
        </w:rPr>
        <w:t xml:space="preserve">Age, sex, body mass index (BMI), waist circumference, cigarette smoking, alcohol drinking, exercise, income, comorbidities, and laboratory findings were collected in the periodontitis and non-periodontitis groups. Smoking was classified as current smoker, ex-smoker, and nonsmoker based on a </w:t>
      </w:r>
      <w:proofErr w:type="gramStart"/>
      <w:r>
        <w:rPr>
          <w:rFonts w:ascii="Book Antiqua" w:eastAsia="Book Antiqua" w:hAnsi="Book Antiqua" w:cs="Book Antiqua"/>
          <w:color w:val="000000"/>
        </w:rPr>
        <w:t>questionnaire</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Current smokers were defined as those who had smoked more than five packs of cigarettes throughout their lives and continued cigarette smoking. Ex-smokers were defined as those who had smoked more than five packs of cigarettes but quit smoking at least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ago. Non-smokers were defined as those who had no experience with cigarette smoking or had smoked less than five packs throughout their lifetime. Alcohol drinking was categorized into non-drinker, mild, and excessive drinker. The excessive drinker was defined as consuming more than 30 g per day of </w:t>
      </w:r>
      <w:proofErr w:type="gramStart"/>
      <w:r>
        <w:rPr>
          <w:rFonts w:ascii="Book Antiqua" w:eastAsia="Book Antiqua" w:hAnsi="Book Antiqua" w:cs="Book Antiqua"/>
          <w:color w:val="000000"/>
        </w:rPr>
        <w:t>alcohol</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Exercise was considered ‘yes’ according to the questionnaire when the participant performed moderate-intensity exercise for 30 min or vigorous-intensity exercise for 20 min at least once per </w:t>
      </w:r>
      <w:proofErr w:type="gramStart"/>
      <w:r>
        <w:rPr>
          <w:rFonts w:ascii="Book Antiqua" w:eastAsia="Book Antiqua" w:hAnsi="Book Antiqua" w:cs="Book Antiqua"/>
          <w:color w:val="000000"/>
        </w:rPr>
        <w:t>week</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Obesity was defined as BMI &gt; 25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central obesity was defined as a waist circumference &gt; 90 cm in males and &gt; 85 cm in females. Hypertension was defined as blood pressure ≥ 140/90 mmHg, or ICD-10 code (I10-13, I15) and a prescription for anti-hypertensive </w:t>
      </w:r>
      <w:proofErr w:type="gramStart"/>
      <w:r>
        <w:rPr>
          <w:rFonts w:ascii="Book Antiqua" w:eastAsia="Book Antiqua" w:hAnsi="Book Antiqua" w:cs="Book Antiqua"/>
          <w:color w:val="000000"/>
        </w:rPr>
        <w:t>medication</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Diabetes was identified using an ICD-10 code (E11-14) and anti-diabetic medication or fasting glucose levels ≥ 126 g/</w:t>
      </w:r>
      <w:proofErr w:type="gramStart"/>
      <w:r>
        <w:rPr>
          <w:rFonts w:ascii="Book Antiqua" w:eastAsia="Book Antiqua" w:hAnsi="Book Antiqua" w:cs="Book Antiqua"/>
          <w:color w:val="000000"/>
        </w:rPr>
        <w:t>dL</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Dyslipidemia was defined using ICD-10 code (E78) and taking one of the lipid-lowering agents, or a total cholesterol level ≥ 240 mg/dL. Laboratory data, including serum glucose, total cholesterol, gamma </w:t>
      </w:r>
      <w:proofErr w:type="spellStart"/>
      <w:r>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triglyceride levels, were also collected.</w:t>
      </w:r>
    </w:p>
    <w:p w14:paraId="6DC25B2B" w14:textId="77777777" w:rsidR="00A77B3E" w:rsidRDefault="00A77B3E">
      <w:pPr>
        <w:spacing w:line="360" w:lineRule="auto"/>
        <w:jc w:val="both"/>
      </w:pPr>
    </w:p>
    <w:p w14:paraId="54306FBD" w14:textId="77777777" w:rsidR="00A77B3E" w:rsidRPr="0015121E" w:rsidRDefault="00AB37F6">
      <w:pPr>
        <w:spacing w:line="360" w:lineRule="auto"/>
        <w:jc w:val="both"/>
        <w:rPr>
          <w:b/>
          <w:bCs/>
        </w:rPr>
      </w:pPr>
      <w:r w:rsidRPr="0015121E">
        <w:rPr>
          <w:rFonts w:ascii="Book Antiqua" w:eastAsia="Book Antiqua" w:hAnsi="Book Antiqua" w:cs="Book Antiqua"/>
          <w:b/>
          <w:bCs/>
          <w:i/>
          <w:iCs/>
          <w:color w:val="000000"/>
        </w:rPr>
        <w:t>End points</w:t>
      </w:r>
    </w:p>
    <w:p w14:paraId="613B8DE2" w14:textId="1B2DD52E" w:rsidR="00A77B3E" w:rsidRDefault="00AB37F6">
      <w:pPr>
        <w:spacing w:line="360" w:lineRule="auto"/>
        <w:jc w:val="both"/>
      </w:pPr>
      <w:r>
        <w:rPr>
          <w:rFonts w:ascii="Book Antiqua" w:eastAsia="Book Antiqua" w:hAnsi="Book Antiqua" w:cs="Book Antiqua"/>
          <w:color w:val="000000"/>
        </w:rPr>
        <w:lastRenderedPageBreak/>
        <w:t xml:space="preserve">The study population was followed up from the index date to December 31, 2017. Newly diagnosed IBD was the study endpoint. IBDs, including CD and UC were identified with the ICD-10 code (K50 for CD and K51 for UC) and the V code for RIDs (V130 for CD and V131 for UC), as defined </w:t>
      </w:r>
      <w:proofErr w:type="gramStart"/>
      <w:r>
        <w:rPr>
          <w:rFonts w:ascii="Book Antiqua" w:eastAsia="Book Antiqua" w:hAnsi="Book Antiqua" w:cs="Book Antiqua"/>
          <w:color w:val="000000"/>
        </w:rPr>
        <w:t>previously</w:t>
      </w:r>
      <w:r w:rsidR="0015121E">
        <w:rPr>
          <w:rFonts w:ascii="Book Antiqua" w:eastAsia="Book Antiqua" w:hAnsi="Book Antiqua" w:cs="Book Antiqua"/>
          <w:color w:val="000000"/>
          <w:szCs w:val="30"/>
          <w:vertAlign w:val="superscript"/>
        </w:rPr>
        <w:t>[</w:t>
      </w:r>
      <w:proofErr w:type="gramEnd"/>
      <w:r w:rsidR="0015121E">
        <w:rPr>
          <w:rFonts w:ascii="Book Antiqua" w:eastAsia="Book Antiqua" w:hAnsi="Book Antiqua" w:cs="Book Antiqua"/>
          <w:color w:val="000000"/>
          <w:szCs w:val="30"/>
          <w:vertAlign w:val="superscript"/>
        </w:rPr>
        <w:t>11,16,18-25]</w:t>
      </w:r>
      <w:r>
        <w:rPr>
          <w:rFonts w:ascii="Book Antiqua" w:eastAsia="Book Antiqua" w:hAnsi="Book Antiqua" w:cs="Book Antiqua"/>
          <w:color w:val="000000"/>
        </w:rPr>
        <w:t>. The risk for IBD was compared between the periodontitis and non-periodontitis groups, according to age, sex, smoking, alcohol drinking, exercise, obesity, and central obesity. In addition, we investigated the specific risk groups for developing UC in a subgroup analysis. This study was approved by International Review Board of Seoul National University Hospital (H-1703-107-840) and the Korean NHI.</w:t>
      </w:r>
    </w:p>
    <w:p w14:paraId="44BF0A57" w14:textId="77777777" w:rsidR="00A77B3E" w:rsidRDefault="00A77B3E">
      <w:pPr>
        <w:spacing w:line="360" w:lineRule="auto"/>
        <w:jc w:val="both"/>
      </w:pPr>
    </w:p>
    <w:p w14:paraId="6FFC9361" w14:textId="77777777" w:rsidR="00A77B3E" w:rsidRPr="0015121E" w:rsidRDefault="00AB37F6">
      <w:pPr>
        <w:spacing w:line="360" w:lineRule="auto"/>
        <w:jc w:val="both"/>
        <w:rPr>
          <w:b/>
          <w:bCs/>
        </w:rPr>
      </w:pPr>
      <w:r w:rsidRPr="0015121E">
        <w:rPr>
          <w:rFonts w:ascii="Book Antiqua" w:eastAsia="Book Antiqua" w:hAnsi="Book Antiqua" w:cs="Book Antiqua"/>
          <w:b/>
          <w:bCs/>
          <w:i/>
          <w:iCs/>
          <w:color w:val="000000"/>
        </w:rPr>
        <w:t>Statistical analysis</w:t>
      </w:r>
    </w:p>
    <w:p w14:paraId="47AEE008" w14:textId="6DBD0F16" w:rsidR="00A77B3E" w:rsidRDefault="00AB37F6">
      <w:pPr>
        <w:spacing w:line="360" w:lineRule="auto"/>
        <w:jc w:val="both"/>
      </w:pPr>
      <w:r>
        <w:rPr>
          <w:rFonts w:ascii="Book Antiqua" w:eastAsia="Book Antiqua" w:hAnsi="Book Antiqua" w:cs="Book Antiqua"/>
          <w:color w:val="000000"/>
        </w:rPr>
        <w:t xml:space="preserve">Base characteristics of study population were analyzed by </w:t>
      </w:r>
      <w:r w:rsidRPr="0015121E">
        <w:rPr>
          <w:rFonts w:ascii="Book Antiqua" w:eastAsia="Book Antiqua" w:hAnsi="Book Antiqua" w:cs="Book Antiqua"/>
          <w:i/>
          <w:iCs/>
          <w:color w:val="000000"/>
        </w:rPr>
        <w:t>χ</w:t>
      </w:r>
      <w:r w:rsidRPr="0015121E">
        <w:rPr>
          <w:rFonts w:ascii="Book Antiqua" w:eastAsia="Book Antiqua" w:hAnsi="Book Antiqua" w:cs="Book Antiqua"/>
          <w:i/>
          <w:iCs/>
          <w:color w:val="000000"/>
          <w:szCs w:val="30"/>
          <w:vertAlign w:val="superscript"/>
        </w:rPr>
        <w:t>2</w:t>
      </w:r>
      <w:r>
        <w:rPr>
          <w:rFonts w:ascii="Book Antiqua" w:eastAsia="Book Antiqua" w:hAnsi="Book Antiqua" w:cs="Book Antiqua"/>
          <w:color w:val="000000"/>
        </w:rPr>
        <w:t xml:space="preserve"> test for categorical variables and Student’s</w:t>
      </w:r>
      <w:r>
        <w:rPr>
          <w:rFonts w:ascii="Book Antiqua" w:eastAsia="Book Antiqua" w:hAnsi="Book Antiqua" w:cs="Book Antiqua"/>
          <w:i/>
          <w:iCs/>
          <w:color w:val="000000"/>
        </w:rPr>
        <w:t xml:space="preserve"> t</w:t>
      </w:r>
      <w:r>
        <w:rPr>
          <w:rFonts w:ascii="Book Antiqua" w:eastAsia="Book Antiqua" w:hAnsi="Book Antiqua" w:cs="Book Antiqua"/>
          <w:color w:val="000000"/>
        </w:rPr>
        <w:t>-test for continuous variables. The incidence rate was represented by incident cases of IBD per 100000 person-year</w:t>
      </w:r>
      <w:r w:rsidR="0015121E">
        <w:rPr>
          <w:rFonts w:ascii="Book Antiqua" w:eastAsia="Book Antiqua" w:hAnsi="Book Antiqua" w:cs="Book Antiqua"/>
          <w:color w:val="000000"/>
        </w:rPr>
        <w:t>s</w:t>
      </w:r>
      <w:r>
        <w:rPr>
          <w:rFonts w:ascii="Book Antiqua" w:eastAsia="Book Antiqua" w:hAnsi="Book Antiqua" w:cs="Book Antiqua"/>
          <w:color w:val="000000"/>
        </w:rPr>
        <w:t xml:space="preserve">. Cumulative incidence probability of CD and UC was shown using Kaplan-Meyer methods and the log-rank test. Hazard ratio (HR) of CD and UC in the periodontitis and non-periodontitis groups was calculated using Cox-proportional hazard models adjusted by age, sex, smoking, alcohol drinking, exercise, BMI, and income. A </w:t>
      </w:r>
      <w:r w:rsidR="0015121E">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value less than 0.05 is considered significant. SAS version 9.3 (SAS Institute, Cary, NC, </w:t>
      </w:r>
      <w:r w:rsidR="0015121E">
        <w:rPr>
          <w:rFonts w:ascii="Book Antiqua" w:eastAsia="Book Antiqua" w:hAnsi="Book Antiqua" w:cs="Book Antiqua"/>
          <w:color w:val="000000"/>
        </w:rPr>
        <w:t>United States</w:t>
      </w:r>
      <w:r>
        <w:rPr>
          <w:rFonts w:ascii="Book Antiqua" w:eastAsia="Book Antiqua" w:hAnsi="Book Antiqua" w:cs="Book Antiqua"/>
          <w:color w:val="000000"/>
        </w:rPr>
        <w:t>) was used for statistical analyses.</w:t>
      </w:r>
    </w:p>
    <w:p w14:paraId="1AD56D0C" w14:textId="77777777" w:rsidR="00A77B3E" w:rsidRDefault="00A77B3E">
      <w:pPr>
        <w:spacing w:line="360" w:lineRule="auto"/>
        <w:jc w:val="both"/>
      </w:pPr>
    </w:p>
    <w:p w14:paraId="08C52C8C" w14:textId="77777777" w:rsidR="00A77B3E" w:rsidRDefault="00AB37F6">
      <w:pPr>
        <w:spacing w:line="360" w:lineRule="auto"/>
        <w:jc w:val="both"/>
      </w:pPr>
      <w:r>
        <w:rPr>
          <w:rFonts w:ascii="Book Antiqua" w:eastAsia="Book Antiqua" w:hAnsi="Book Antiqua" w:cs="Book Antiqua"/>
          <w:b/>
          <w:caps/>
          <w:color w:val="000000"/>
          <w:u w:val="single"/>
        </w:rPr>
        <w:t>RESULTS</w:t>
      </w:r>
    </w:p>
    <w:p w14:paraId="0F4A9968" w14:textId="77777777" w:rsidR="00A77B3E" w:rsidRPr="0015121E" w:rsidRDefault="00AB37F6">
      <w:pPr>
        <w:spacing w:line="360" w:lineRule="auto"/>
        <w:jc w:val="both"/>
        <w:rPr>
          <w:b/>
          <w:bCs/>
        </w:rPr>
      </w:pPr>
      <w:r w:rsidRPr="0015121E">
        <w:rPr>
          <w:rFonts w:ascii="Book Antiqua" w:eastAsia="Book Antiqua" w:hAnsi="Book Antiqua" w:cs="Book Antiqua"/>
          <w:b/>
          <w:bCs/>
          <w:i/>
          <w:iCs/>
          <w:color w:val="000000"/>
        </w:rPr>
        <w:t>Baseline characteristics of the study population</w:t>
      </w:r>
    </w:p>
    <w:p w14:paraId="3BEBD424" w14:textId="44E38B80" w:rsidR="00A77B3E" w:rsidRDefault="00AB37F6">
      <w:pPr>
        <w:spacing w:line="360" w:lineRule="auto"/>
        <w:jc w:val="both"/>
      </w:pPr>
      <w:r>
        <w:rPr>
          <w:rFonts w:ascii="Book Antiqua" w:eastAsia="Book Antiqua" w:hAnsi="Book Antiqua" w:cs="Book Antiqua"/>
          <w:color w:val="000000"/>
        </w:rPr>
        <w:t>A total of 9950548 participants were included in this study. Among them, 1092825 subjects (11.0%) had periodontitis. The demographic characteristics and baseline laboratory profile are shown in Table 1. Mean age was 51.4 ± 12.9 years in the periodontitis group and 46.6 ± 14.2 years in the non-periodontitis group, respectively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 xml:space="preserve">.0001). The periodontitis group was significantly older, had a higher proportion of males, and a higher BMI and waist circumference than those in the non-periodontitis </w:t>
      </w:r>
      <w:r>
        <w:rPr>
          <w:rFonts w:ascii="Book Antiqua" w:eastAsia="Book Antiqua" w:hAnsi="Book Antiqua" w:cs="Book Antiqua"/>
          <w:color w:val="000000"/>
        </w:rPr>
        <w:lastRenderedPageBreak/>
        <w:t>group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.0001 for each variable). Patients with periodontitis had significantly higher proportions of individuals quitting smoking, not drinking alcohol, but performing regular exercise, compared with the non-periodontitis group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.0001 for each variable). Comorbid hypertension and diabetes were significantly associated with periodontitis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 xml:space="preserve">.0001 for each variable). Serum glucose, total cholesterol, </w:t>
      </w:r>
      <w:r w:rsidR="0015121E">
        <w:rPr>
          <w:rFonts w:ascii="Book Antiqua" w:eastAsia="Book Antiqua" w:hAnsi="Book Antiqua" w:cs="Book Antiqua"/>
          <w:color w:val="000000"/>
        </w:rPr>
        <w:t xml:space="preserve">gamma </w:t>
      </w:r>
      <w:proofErr w:type="spellStart"/>
      <w:r w:rsidR="0015121E">
        <w:rPr>
          <w:rFonts w:ascii="Book Antiqua" w:eastAsia="Book Antiqua" w:hAnsi="Book Antiqua" w:cs="Book Antiqua"/>
          <w:color w:val="000000"/>
        </w:rPr>
        <w:t>glutamyltransferase</w:t>
      </w:r>
      <w:proofErr w:type="spellEnd"/>
      <w:r>
        <w:rPr>
          <w:rFonts w:ascii="Book Antiqua" w:eastAsia="Book Antiqua" w:hAnsi="Book Antiqua" w:cs="Book Antiqua"/>
          <w:color w:val="000000"/>
        </w:rPr>
        <w:t xml:space="preserve">, and </w:t>
      </w:r>
      <w:r w:rsidR="0015121E">
        <w:rPr>
          <w:rFonts w:ascii="Book Antiqua" w:eastAsia="Book Antiqua" w:hAnsi="Book Antiqua" w:cs="Book Antiqua"/>
          <w:color w:val="000000"/>
        </w:rPr>
        <w:t>triglyceride</w:t>
      </w:r>
      <w:r>
        <w:rPr>
          <w:rFonts w:ascii="Book Antiqua" w:eastAsia="Book Antiqua" w:hAnsi="Book Antiqua" w:cs="Book Antiqua"/>
          <w:color w:val="000000"/>
        </w:rPr>
        <w:t xml:space="preserve"> levels were significantly higher in the periodontitis group than the non-periodontitis group (</w:t>
      </w:r>
      <w:r w:rsidR="0015121E">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&lt; </w:t>
      </w:r>
      <w:r w:rsidR="0015121E">
        <w:rPr>
          <w:rFonts w:ascii="Book Antiqua" w:eastAsia="Book Antiqua" w:hAnsi="Book Antiqua" w:cs="Book Antiqua"/>
          <w:color w:val="000000"/>
        </w:rPr>
        <w:t>0</w:t>
      </w:r>
      <w:r>
        <w:rPr>
          <w:rFonts w:ascii="Book Antiqua" w:eastAsia="Book Antiqua" w:hAnsi="Book Antiqua" w:cs="Book Antiqua"/>
          <w:color w:val="000000"/>
        </w:rPr>
        <w:t xml:space="preserve">.0001 for each variable). </w:t>
      </w:r>
    </w:p>
    <w:p w14:paraId="61364D1B" w14:textId="77777777" w:rsidR="00A77B3E" w:rsidRDefault="00A77B3E">
      <w:pPr>
        <w:spacing w:line="360" w:lineRule="auto"/>
        <w:jc w:val="both"/>
      </w:pPr>
    </w:p>
    <w:p w14:paraId="7B38F174" w14:textId="686B92A7" w:rsidR="00A77B3E" w:rsidRPr="0015121E" w:rsidRDefault="00AB37F6">
      <w:pPr>
        <w:spacing w:line="360" w:lineRule="auto"/>
        <w:jc w:val="both"/>
        <w:rPr>
          <w:b/>
          <w:bCs/>
        </w:rPr>
      </w:pPr>
      <w:r w:rsidRPr="0015121E">
        <w:rPr>
          <w:rFonts w:ascii="Book Antiqua" w:eastAsia="Book Antiqua" w:hAnsi="Book Antiqua" w:cs="Book Antiqua"/>
          <w:b/>
          <w:bCs/>
          <w:i/>
          <w:iCs/>
          <w:color w:val="000000"/>
        </w:rPr>
        <w:t xml:space="preserve">Risk of developing </w:t>
      </w:r>
      <w:r w:rsidR="00C3112A" w:rsidRPr="0015121E">
        <w:rPr>
          <w:rFonts w:ascii="Book Antiqua" w:eastAsia="Book Antiqua" w:hAnsi="Book Antiqua" w:cs="Book Antiqua"/>
          <w:b/>
          <w:bCs/>
          <w:i/>
          <w:iCs/>
          <w:color w:val="000000"/>
        </w:rPr>
        <w:t>IBD</w:t>
      </w:r>
      <w:r w:rsidRPr="0015121E">
        <w:rPr>
          <w:rFonts w:ascii="Book Antiqua" w:eastAsia="Book Antiqua" w:hAnsi="Book Antiqua" w:cs="Book Antiqua"/>
          <w:b/>
          <w:bCs/>
          <w:i/>
          <w:iCs/>
          <w:color w:val="000000"/>
        </w:rPr>
        <w:t xml:space="preserve"> </w:t>
      </w:r>
    </w:p>
    <w:p w14:paraId="5293D784" w14:textId="01E5F2C1" w:rsidR="00A77B3E" w:rsidRDefault="00AB37F6">
      <w:pPr>
        <w:spacing w:line="360" w:lineRule="auto"/>
        <w:jc w:val="both"/>
      </w:pPr>
      <w:r>
        <w:rPr>
          <w:rFonts w:ascii="Book Antiqua" w:eastAsia="Book Antiqua" w:hAnsi="Book Antiqua" w:cs="Book Antiqua"/>
          <w:color w:val="000000"/>
        </w:rPr>
        <w:t xml:space="preserve">The mean follow-up duration was 7.26 ± 0.76 years. The </w:t>
      </w:r>
      <w:r w:rsidR="0015121E">
        <w:rPr>
          <w:rFonts w:ascii="Book Antiqua" w:eastAsia="Book Antiqua" w:hAnsi="Book Antiqua" w:cs="Book Antiqua"/>
          <w:color w:val="000000"/>
        </w:rPr>
        <w:t>incidence rate</w:t>
      </w:r>
      <w:r>
        <w:rPr>
          <w:rFonts w:ascii="Book Antiqua" w:eastAsia="Book Antiqua" w:hAnsi="Book Antiqua" w:cs="Book Antiqua"/>
          <w:color w:val="000000"/>
        </w:rPr>
        <w:t xml:space="preserve"> values of UC represented by newly diagnosed cases per 100000 person-years were 7.1 and 7.7 in the non-periodontitis and periodontitis groups, respectively (Table 2). The cumulative incidence of UC was significantly higher in the periodontitis group than in the non-periodontitis group (</w:t>
      </w:r>
      <w:r w:rsidR="0015121E">
        <w:rPr>
          <w:rFonts w:ascii="Book Antiqua" w:eastAsia="Book Antiqua" w:hAnsi="Book Antiqua" w:cs="Book Antiqua"/>
          <w:i/>
          <w:iCs/>
          <w:color w:val="000000"/>
        </w:rPr>
        <w:t>P</w:t>
      </w:r>
      <w:r>
        <w:rPr>
          <w:rFonts w:ascii="Book Antiqua" w:eastAsia="Book Antiqua" w:hAnsi="Book Antiqua" w:cs="Book Antiqua"/>
          <w:color w:val="000000"/>
        </w:rPr>
        <w:t xml:space="preserve"> &lt; </w:t>
      </w:r>
      <w:r w:rsidR="0015121E">
        <w:rPr>
          <w:rFonts w:ascii="Book Antiqua" w:eastAsia="Book Antiqua" w:hAnsi="Book Antiqua" w:cs="Book Antiqua"/>
          <w:color w:val="000000"/>
        </w:rPr>
        <w:t>0</w:t>
      </w:r>
      <w:r>
        <w:rPr>
          <w:rFonts w:ascii="Book Antiqua" w:eastAsia="Book Antiqua" w:hAnsi="Book Antiqua" w:cs="Book Antiqua"/>
          <w:color w:val="000000"/>
        </w:rPr>
        <w:t xml:space="preserve">.0001) (Figure 1). The HR of UC adjusted for age, sex, BMI, smoking, alcohol drinking, exercise, and income was 1.091 </w:t>
      </w:r>
      <w:r w:rsidR="0015121E">
        <w:rPr>
          <w:rFonts w:ascii="Book Antiqua" w:eastAsia="Book Antiqua" w:hAnsi="Book Antiqua" w:cs="Book Antiqua"/>
          <w:color w:val="000000"/>
        </w:rPr>
        <w:t>[</w:t>
      </w:r>
      <w:r>
        <w:rPr>
          <w:rFonts w:ascii="Book Antiqua" w:eastAsia="Book Antiqua" w:hAnsi="Book Antiqua" w:cs="Book Antiqua"/>
          <w:color w:val="000000"/>
        </w:rPr>
        <w:t xml:space="preserve">95% confidence interval </w:t>
      </w:r>
      <w:r w:rsidR="0015121E">
        <w:rPr>
          <w:rFonts w:ascii="Book Antiqua" w:eastAsia="Book Antiqua" w:hAnsi="Book Antiqua" w:cs="Book Antiqua"/>
          <w:color w:val="000000"/>
        </w:rPr>
        <w:t>(</w:t>
      </w:r>
      <w:r>
        <w:rPr>
          <w:rFonts w:ascii="Book Antiqua" w:eastAsia="Book Antiqua" w:hAnsi="Book Antiqua" w:cs="Book Antiqua"/>
          <w:color w:val="000000"/>
        </w:rPr>
        <w:t>CI</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1.008–1.182</w:t>
      </w:r>
      <w:r w:rsidR="0015121E">
        <w:rPr>
          <w:rFonts w:ascii="Book Antiqua" w:eastAsia="Book Antiqua" w:hAnsi="Book Antiqua" w:cs="Book Antiqua"/>
          <w:color w:val="000000"/>
        </w:rPr>
        <w:t>]</w:t>
      </w:r>
      <w:r>
        <w:rPr>
          <w:rFonts w:ascii="Book Antiqua" w:eastAsia="Book Antiqua" w:hAnsi="Book Antiqua" w:cs="Book Antiqua"/>
          <w:color w:val="000000"/>
        </w:rPr>
        <w:t xml:space="preserve"> in the periodontitis group. However, periodontitis did not increase the risk of CD compared with not having periodontitis (adjusted HR</w:t>
      </w:r>
      <w:r w:rsidR="0015121E">
        <w:rPr>
          <w:rFonts w:ascii="Book Antiqua" w:eastAsia="Book Antiqua" w:hAnsi="Book Antiqua" w:cs="Book Antiqua"/>
          <w:color w:val="000000"/>
        </w:rPr>
        <w:t>:</w:t>
      </w:r>
      <w:r>
        <w:rPr>
          <w:rFonts w:ascii="Book Antiqua" w:eastAsia="Book Antiqua" w:hAnsi="Book Antiqua" w:cs="Book Antiqua"/>
          <w:color w:val="000000"/>
        </w:rPr>
        <w:t xml:space="preserve"> 0.879; 95%CI</w:t>
      </w:r>
      <w:r w:rsidR="0015121E">
        <w:rPr>
          <w:rFonts w:ascii="Book Antiqua" w:eastAsia="Book Antiqua" w:hAnsi="Book Antiqua" w:cs="Book Antiqua"/>
          <w:color w:val="000000"/>
        </w:rPr>
        <w:t>:</w:t>
      </w:r>
      <w:r>
        <w:rPr>
          <w:rFonts w:ascii="Book Antiqua" w:eastAsia="Book Antiqua" w:hAnsi="Book Antiqua" w:cs="Book Antiqua"/>
          <w:color w:val="000000"/>
        </w:rPr>
        <w:t xml:space="preserve"> 0.731–1.057). The HRs of UC and CD in the periodontitis group did not differ significantly from those in the non-periodontitis group (data not shown). </w:t>
      </w:r>
    </w:p>
    <w:p w14:paraId="0CBFBDD8" w14:textId="77777777" w:rsidR="00A77B3E" w:rsidRDefault="00A77B3E">
      <w:pPr>
        <w:spacing w:line="360" w:lineRule="auto"/>
        <w:jc w:val="both"/>
      </w:pPr>
    </w:p>
    <w:p w14:paraId="32E2C79C" w14:textId="77777777" w:rsidR="00A77B3E" w:rsidRPr="0015121E" w:rsidRDefault="00AB37F6">
      <w:pPr>
        <w:spacing w:line="360" w:lineRule="auto"/>
        <w:jc w:val="both"/>
        <w:rPr>
          <w:b/>
          <w:bCs/>
        </w:rPr>
      </w:pPr>
      <w:r w:rsidRPr="0015121E">
        <w:rPr>
          <w:rFonts w:ascii="Book Antiqua" w:eastAsia="Book Antiqua" w:hAnsi="Book Antiqua" w:cs="Book Antiqua"/>
          <w:b/>
          <w:bCs/>
          <w:i/>
          <w:iCs/>
          <w:color w:val="000000"/>
        </w:rPr>
        <w:t>Subgroup analysis</w:t>
      </w:r>
      <w:r w:rsidRPr="0015121E">
        <w:rPr>
          <w:rFonts w:ascii="Book Antiqua" w:eastAsia="Book Antiqua" w:hAnsi="Book Antiqua" w:cs="Book Antiqua"/>
          <w:b/>
          <w:bCs/>
          <w:color w:val="000000"/>
        </w:rPr>
        <w:t xml:space="preserve"> </w:t>
      </w:r>
    </w:p>
    <w:p w14:paraId="411071BB" w14:textId="04031810" w:rsidR="00A77B3E" w:rsidRDefault="00AB37F6">
      <w:pPr>
        <w:spacing w:line="360" w:lineRule="auto"/>
        <w:jc w:val="both"/>
      </w:pPr>
      <w:r>
        <w:rPr>
          <w:rFonts w:ascii="Book Antiqua" w:eastAsia="Book Antiqua" w:hAnsi="Book Antiqua" w:cs="Book Antiqua"/>
          <w:color w:val="000000"/>
        </w:rPr>
        <w:t>A subgroup analysis of the comparative risk for developing UC and CD was performed based on age, sex, alcohol drinking, cigarette smoking, and exercise (Figure 2A and B). We compared the risk of developing UC between the periodontitis and non-periodontitis groups by dividing the two groups into three subgroups according to age: &lt; 40 years, 40</w:t>
      </w:r>
      <w:r w:rsidR="00C92025">
        <w:rPr>
          <w:rFonts w:ascii="Book Antiqua" w:eastAsia="Book Antiqua" w:hAnsi="Book Antiqua" w:cs="Book Antiqua"/>
          <w:color w:val="000000"/>
        </w:rPr>
        <w:t>-</w:t>
      </w:r>
      <w:r>
        <w:rPr>
          <w:rFonts w:ascii="Book Antiqua" w:eastAsia="Book Antiqua" w:hAnsi="Book Antiqua" w:cs="Book Antiqua"/>
          <w:color w:val="000000"/>
        </w:rPr>
        <w:t>64 years, and &gt; 65 years. The significant comparative risk of developing UC was found only in the subgroup &gt; 65 years (adjusted HR</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1.292; 95%CI</w:t>
      </w:r>
      <w:r w:rsidR="0015121E">
        <w:rPr>
          <w:rFonts w:ascii="Book Antiqua" w:eastAsia="Book Antiqua" w:hAnsi="Book Antiqua" w:cs="Book Antiqua"/>
          <w:color w:val="000000"/>
        </w:rPr>
        <w:t>:</w:t>
      </w:r>
      <w:r>
        <w:rPr>
          <w:rFonts w:ascii="Book Antiqua" w:eastAsia="Book Antiqua" w:hAnsi="Book Antiqua" w:cs="Book Antiqua"/>
          <w:color w:val="000000"/>
        </w:rPr>
        <w:t xml:space="preserve"> 1.033</w:t>
      </w:r>
      <w:r w:rsidR="00C92025">
        <w:rPr>
          <w:rFonts w:ascii="Book Antiqua" w:eastAsia="Book Antiqua" w:hAnsi="Book Antiqua" w:cs="Book Antiqua"/>
          <w:color w:val="000000"/>
        </w:rPr>
        <w:t>-</w:t>
      </w:r>
      <w:r>
        <w:rPr>
          <w:rFonts w:ascii="Book Antiqua" w:eastAsia="Book Antiqua" w:hAnsi="Book Antiqua" w:cs="Book Antiqua"/>
          <w:color w:val="000000"/>
        </w:rPr>
        <w:t>1.615). The risk of UC in male patients with periodontitis was significantly higher than those without periodontitis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1.117;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1.015–1.229), but not in females. </w:t>
      </w:r>
      <w:r>
        <w:rPr>
          <w:rFonts w:ascii="Book Antiqua" w:eastAsia="Book Antiqua" w:hAnsi="Book Antiqua" w:cs="Book Antiqua"/>
          <w:color w:val="000000"/>
        </w:rPr>
        <w:lastRenderedPageBreak/>
        <w:t>Significantly increased risks of developing UC were detected in the periodontitis group among the subgroups with excessive alcohol drinking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1.593;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1.221</w:t>
      </w:r>
      <w:r w:rsidR="00C92025">
        <w:rPr>
          <w:rFonts w:ascii="Book Antiqua" w:eastAsia="Book Antiqua" w:hAnsi="Book Antiqua" w:cs="Book Antiqua"/>
          <w:color w:val="000000"/>
        </w:rPr>
        <w:t>-</w:t>
      </w:r>
      <w:r>
        <w:rPr>
          <w:rFonts w:ascii="Book Antiqua" w:eastAsia="Book Antiqua" w:hAnsi="Book Antiqua" w:cs="Book Antiqua"/>
          <w:color w:val="000000"/>
        </w:rPr>
        <w:t>2.079), current smoking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1.255;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1.079</w:t>
      </w:r>
      <w:r w:rsidR="00C92025">
        <w:rPr>
          <w:rFonts w:ascii="Book Antiqua" w:eastAsia="Book Antiqua" w:hAnsi="Book Antiqua" w:cs="Book Antiqua"/>
          <w:color w:val="000000"/>
        </w:rPr>
        <w:t>-</w:t>
      </w:r>
      <w:r>
        <w:rPr>
          <w:rFonts w:ascii="Book Antiqua" w:eastAsia="Book Antiqua" w:hAnsi="Book Antiqua" w:cs="Book Antiqua"/>
          <w:color w:val="000000"/>
        </w:rPr>
        <w:t>1.461), and no regular exercise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1.205;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1.076</w:t>
      </w:r>
      <w:r w:rsidR="00C92025">
        <w:rPr>
          <w:rFonts w:ascii="Book Antiqua" w:eastAsia="Book Antiqua" w:hAnsi="Book Antiqua" w:cs="Book Antiqua"/>
          <w:color w:val="000000"/>
        </w:rPr>
        <w:t>-</w:t>
      </w:r>
      <w:r>
        <w:rPr>
          <w:rFonts w:ascii="Book Antiqua" w:eastAsia="Book Antiqua" w:hAnsi="Book Antiqua" w:cs="Book Antiqua"/>
          <w:color w:val="000000"/>
        </w:rPr>
        <w:t xml:space="preserve">1.349). Periodontitis did not significantly increase the risk of developing UC among the subpopulations with obesity and central obesity. </w:t>
      </w:r>
    </w:p>
    <w:p w14:paraId="2EE7E668" w14:textId="77777777" w:rsidR="00A77B3E" w:rsidRDefault="00A77B3E">
      <w:pPr>
        <w:spacing w:line="360" w:lineRule="auto"/>
        <w:jc w:val="both"/>
      </w:pPr>
    </w:p>
    <w:p w14:paraId="117EE499" w14:textId="6771D709" w:rsidR="00A77B3E" w:rsidRPr="003A0CD3" w:rsidRDefault="00AB37F6">
      <w:pPr>
        <w:spacing w:line="360" w:lineRule="auto"/>
        <w:jc w:val="both"/>
        <w:rPr>
          <w:b/>
          <w:bCs/>
        </w:rPr>
      </w:pPr>
      <w:r w:rsidRPr="003A0CD3">
        <w:rPr>
          <w:rFonts w:ascii="Book Antiqua" w:eastAsia="Book Antiqua" w:hAnsi="Book Antiqua" w:cs="Book Antiqua"/>
          <w:b/>
          <w:bCs/>
          <w:i/>
          <w:iCs/>
          <w:color w:val="000000"/>
        </w:rPr>
        <w:t xml:space="preserve">Risks of developing </w:t>
      </w:r>
      <w:r w:rsidR="003A0CD3" w:rsidRPr="003A0CD3">
        <w:rPr>
          <w:rFonts w:ascii="Book Antiqua" w:eastAsia="Book Antiqua" w:hAnsi="Book Antiqua" w:cs="Book Antiqua"/>
          <w:b/>
          <w:bCs/>
          <w:i/>
          <w:iCs/>
          <w:color w:val="000000"/>
        </w:rPr>
        <w:t>UC</w:t>
      </w:r>
      <w:r w:rsidRPr="003A0CD3">
        <w:rPr>
          <w:rFonts w:ascii="Book Antiqua" w:eastAsia="Book Antiqua" w:hAnsi="Book Antiqua" w:cs="Book Antiqua"/>
          <w:b/>
          <w:bCs/>
          <w:i/>
          <w:iCs/>
          <w:color w:val="000000"/>
        </w:rPr>
        <w:t xml:space="preserve"> according to cigarette smoking behavior </w:t>
      </w:r>
    </w:p>
    <w:p w14:paraId="4C1479A1" w14:textId="347C998E" w:rsidR="00A77B3E" w:rsidRDefault="00AB37F6">
      <w:pPr>
        <w:spacing w:line="360" w:lineRule="auto"/>
        <w:jc w:val="both"/>
      </w:pPr>
      <w:r>
        <w:rPr>
          <w:rFonts w:ascii="Book Antiqua" w:eastAsia="Book Antiqua" w:hAnsi="Book Antiqua" w:cs="Book Antiqua"/>
          <w:color w:val="000000"/>
        </w:rPr>
        <w:t>We investigated the risks of developing UC in the periodontitis and non-periodontitis groups, respectively, according to smoking behavior (Figure 3). Ex-smokers in both groups had the highest risks of developing UC compared to nonsmokers without periodontitis, but the difference in the adjusted HRs between the periodontitis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1.667;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1.425</w:t>
      </w:r>
      <w:r w:rsidR="00C92025">
        <w:rPr>
          <w:rFonts w:ascii="Book Antiqua" w:eastAsia="Book Antiqua" w:hAnsi="Book Antiqua" w:cs="Book Antiqua"/>
          <w:color w:val="000000"/>
        </w:rPr>
        <w:t>-</w:t>
      </w:r>
      <w:r>
        <w:rPr>
          <w:rFonts w:ascii="Book Antiqua" w:eastAsia="Book Antiqua" w:hAnsi="Book Antiqua" w:cs="Book Antiqua"/>
          <w:color w:val="000000"/>
        </w:rPr>
        <w:t>1.950) and non-periodontitis groups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1.740;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1.606</w:t>
      </w:r>
      <w:r w:rsidR="00C92025">
        <w:rPr>
          <w:rFonts w:ascii="Book Antiqua" w:eastAsia="Book Antiqua" w:hAnsi="Book Antiqua" w:cs="Book Antiqua"/>
          <w:color w:val="000000"/>
        </w:rPr>
        <w:t>-</w:t>
      </w:r>
      <w:r>
        <w:rPr>
          <w:rFonts w:ascii="Book Antiqua" w:eastAsia="Book Antiqua" w:hAnsi="Book Antiqua" w:cs="Book Antiqua"/>
          <w:color w:val="000000"/>
        </w:rPr>
        <w:t>1.884) among ex-smokers was not significant. However, current smokers in the periodontitis group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1.255;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1.078</w:t>
      </w:r>
      <w:r w:rsidR="00C92025">
        <w:rPr>
          <w:rFonts w:ascii="Book Antiqua" w:eastAsia="Book Antiqua" w:hAnsi="Book Antiqua" w:cs="Book Antiqua"/>
          <w:color w:val="000000"/>
        </w:rPr>
        <w:t>-</w:t>
      </w:r>
      <w:r>
        <w:rPr>
          <w:rFonts w:ascii="Book Antiqua" w:eastAsia="Book Antiqua" w:hAnsi="Book Antiqua" w:cs="Book Antiqua"/>
          <w:color w:val="000000"/>
        </w:rPr>
        <w:t>1.462) had a significantly higher risk of developing UC, but not those in the non-periodontitis group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0.946;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0.874–1.025) compared to nonsmokers without periodontitis. A significant difference in adjusted HRs was observed between the periodontitis and non-periodontitis groups among current smokers (Figure 3A). The significant risk of developing UC in current smokers with periodontitis (adjusted HR</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1.924; 95%CI</w:t>
      </w:r>
      <w:r w:rsidR="003A0CD3">
        <w:rPr>
          <w:rFonts w:ascii="Book Antiqua" w:eastAsia="Book Antiqua" w:hAnsi="Book Antiqua" w:cs="Book Antiqua"/>
          <w:color w:val="000000"/>
        </w:rPr>
        <w:t>:</w:t>
      </w:r>
      <w:r>
        <w:rPr>
          <w:rFonts w:ascii="Book Antiqua" w:eastAsia="Book Antiqua" w:hAnsi="Book Antiqua" w:cs="Book Antiqua"/>
          <w:color w:val="000000"/>
        </w:rPr>
        <w:t xml:space="preserve"> 1.197–3.092) was more pronounced in the elderly subgroup &gt; 65 years than in nonsmokers without periodontitis (Figure 3B and C).</w:t>
      </w:r>
    </w:p>
    <w:p w14:paraId="488AEA3B" w14:textId="77777777" w:rsidR="00A77B3E" w:rsidRDefault="00A77B3E">
      <w:pPr>
        <w:spacing w:line="360" w:lineRule="auto"/>
        <w:jc w:val="both"/>
      </w:pPr>
    </w:p>
    <w:p w14:paraId="1448C3FC" w14:textId="77777777" w:rsidR="00A77B3E" w:rsidRDefault="00AB37F6">
      <w:pPr>
        <w:spacing w:line="360" w:lineRule="auto"/>
        <w:jc w:val="both"/>
      </w:pPr>
      <w:r>
        <w:rPr>
          <w:rFonts w:ascii="Book Antiqua" w:eastAsia="Book Antiqua" w:hAnsi="Book Antiqua" w:cs="Book Antiqua"/>
          <w:b/>
          <w:caps/>
          <w:color w:val="000000"/>
          <w:u w:val="single"/>
        </w:rPr>
        <w:t>DISCUSSION</w:t>
      </w:r>
    </w:p>
    <w:p w14:paraId="46935943" w14:textId="77777777" w:rsidR="00A77B3E" w:rsidRDefault="00AB37F6">
      <w:pPr>
        <w:spacing w:line="360" w:lineRule="auto"/>
        <w:jc w:val="both"/>
      </w:pPr>
      <w:r>
        <w:rPr>
          <w:rFonts w:ascii="Book Antiqua" w:eastAsia="Book Antiqua" w:hAnsi="Book Antiqua" w:cs="Book Antiqua"/>
          <w:color w:val="000000"/>
        </w:rPr>
        <w:t xml:space="preserve">This population-based cohort study of approximately 10 million individuals reported that periodontitis significantly increased the risk of developing UC, but not CD, compared to those without periodontitis. The effect of periodontitis on the risk of developing UC was prominent, particularly among elderly male current smokers who drank alcohol and participated in reduced physical activity. In particular, current </w:t>
      </w:r>
      <w:r>
        <w:rPr>
          <w:rFonts w:ascii="Book Antiqua" w:eastAsia="Book Antiqua" w:hAnsi="Book Antiqua" w:cs="Book Antiqua"/>
          <w:color w:val="000000"/>
        </w:rPr>
        <w:lastRenderedPageBreak/>
        <w:t xml:space="preserve">smoking and the presence of periodontitis had a synergistic effect on the occurrence of UC in the elderly. To the best of our knowledge, this is the largest epidemiological study demonstrating the impact of periodontitis on the development of IBD based on demographic and environmental factors.  </w:t>
      </w:r>
    </w:p>
    <w:p w14:paraId="1DD43A74" w14:textId="00CD2C61" w:rsidR="00A77B3E" w:rsidRDefault="00AB37F6" w:rsidP="003A0CD3">
      <w:pPr>
        <w:spacing w:line="360" w:lineRule="auto"/>
        <w:ind w:firstLineChars="100" w:firstLine="240"/>
        <w:jc w:val="both"/>
      </w:pPr>
      <w:r>
        <w:rPr>
          <w:rFonts w:ascii="Book Antiqua" w:eastAsia="Book Antiqua" w:hAnsi="Book Antiqua" w:cs="Book Antiqua"/>
          <w:color w:val="000000"/>
        </w:rPr>
        <w:t xml:space="preserve">The risk for periodontitis among patients with IBD has been reported in recent </w:t>
      </w:r>
      <w:proofErr w:type="gramStart"/>
      <w:r>
        <w:rPr>
          <w:rFonts w:ascii="Book Antiqua" w:eastAsia="Book Antiqua" w:hAnsi="Book Antiqua" w:cs="Book Antiqua"/>
          <w:color w:val="000000"/>
        </w:rPr>
        <w:t>studies</w:t>
      </w:r>
      <w:r w:rsidR="003A0CD3">
        <w:rPr>
          <w:rFonts w:ascii="Book Antiqua" w:eastAsia="Book Antiqua" w:hAnsi="Book Antiqua" w:cs="Book Antiqua"/>
          <w:color w:val="000000"/>
          <w:szCs w:val="30"/>
          <w:vertAlign w:val="superscript"/>
        </w:rPr>
        <w:t>[</w:t>
      </w:r>
      <w:proofErr w:type="gramEnd"/>
      <w:r w:rsidR="003A0CD3">
        <w:rPr>
          <w:rFonts w:ascii="Book Antiqua" w:eastAsia="Book Antiqua" w:hAnsi="Book Antiqua" w:cs="Book Antiqua"/>
          <w:color w:val="000000"/>
          <w:szCs w:val="30"/>
          <w:vertAlign w:val="superscript"/>
        </w:rPr>
        <w:t>15,26-28]</w:t>
      </w:r>
      <w:r>
        <w:rPr>
          <w:rFonts w:ascii="Book Antiqua" w:eastAsia="Book Antiqua" w:hAnsi="Book Antiqua" w:cs="Book Antiqua"/>
          <w:color w:val="000000"/>
        </w:rPr>
        <w:t xml:space="preserve">. In a matched-cohort study demonstrating the prevalence and relative risk of periodontitis, patients with CD were at a 1.36-fold increased risk for periodontitis than </w:t>
      </w:r>
      <w:proofErr w:type="gramStart"/>
      <w:r>
        <w:rPr>
          <w:rFonts w:ascii="Book Antiqua" w:eastAsia="Book Antiqua" w:hAnsi="Book Antiqua" w:cs="Book Antiqua"/>
          <w:color w:val="000000"/>
        </w:rPr>
        <w:t>controls</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The relative risk of periodontitis is also significantly higher in patients with </w:t>
      </w:r>
      <w:proofErr w:type="gramStart"/>
      <w:r>
        <w:rPr>
          <w:rFonts w:ascii="Book Antiqua" w:eastAsia="Book Antiqua" w:hAnsi="Book Antiqua" w:cs="Book Antiqua"/>
          <w:color w:val="000000"/>
        </w:rPr>
        <w:t>UC</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especially in smokers</w:t>
      </w:r>
      <w:r w:rsidR="003C2643">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which suggests that periodontitis is an oral manifestation of IBD. Periodontitis may occur as a complication of IBD itself or as an adverse event related to IBD therapeutic agents. Changes in the host immune system in patients with a systemic disease may affect oral mucosal immunity. Subgingival microflora changes have been detected in patients with IBD and periodontitis</w:t>
      </w:r>
      <w:r w:rsidR="003C2643">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and dysregulation of the host immune system, such as in Th17 cells and the interleukin (IL)-23/IL-17 axis have been proposed to be involved in the pathophysiology of periodontitis related to IBD</w:t>
      </w:r>
      <w:r w:rsidR="003C2643">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w:t>
      </w:r>
    </w:p>
    <w:p w14:paraId="71D3492E" w14:textId="4B97EEE8"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In contrast, there is little evidence regarding the risk of developing IBD in patients with periodontitis. A Taiwanese cohort study reported a 1.56-fold significantly higher risk of UC, but not CD, in 27000 patients with periodontal diseases, including acute periodontitis, chronic periodontitis, and </w:t>
      </w:r>
      <w:proofErr w:type="gramStart"/>
      <w:r>
        <w:rPr>
          <w:rFonts w:ascii="Book Antiqua" w:eastAsia="Book Antiqua" w:hAnsi="Book Antiqua" w:cs="Book Antiqua"/>
          <w:color w:val="000000"/>
        </w:rPr>
        <w:t>gingivitis</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which is comparable with our results in a nationwide study of 1 million subjects with chronic periodontitis. Our study has the strength of demonstrating the impacts of chronic periodontitis, which may reflect the dynamics of chronic inflammatory conditions and lifestyle factors, such as cigarette smoking, on the pathogenesis of IBD. Taken together, the risk of developing UC increased significantly in patients with periodontitis</w:t>
      </w:r>
      <w:r w:rsidRPr="003C2643">
        <w:rPr>
          <w:rFonts w:ascii="Book Antiqua" w:eastAsia="Book Antiqua" w:hAnsi="Book Antiqua" w:cs="Book Antiqua"/>
          <w:color w:val="000000"/>
        </w:rPr>
        <w:t>, although the relatively low HR for UC in the periodontitis group needs to be evaluated by epidemiologic studies in other countries.</w:t>
      </w:r>
      <w:r>
        <w:rPr>
          <w:rFonts w:ascii="Book Antiqua" w:eastAsia="Book Antiqua" w:hAnsi="Book Antiqua" w:cs="Book Antiqua"/>
          <w:color w:val="000000"/>
        </w:rPr>
        <w:t xml:space="preserve">  </w:t>
      </w:r>
    </w:p>
    <w:p w14:paraId="51AB7022" w14:textId="3682F33A"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The effect of periodontitis on the pathogenesis of UC may be associated with dysbiosis in the oral and intestinal </w:t>
      </w:r>
      <w:proofErr w:type="gramStart"/>
      <w:r>
        <w:rPr>
          <w:rFonts w:ascii="Book Antiqua" w:eastAsia="Book Antiqua" w:hAnsi="Book Antiqua" w:cs="Book Antiqua"/>
          <w:color w:val="000000"/>
        </w:rPr>
        <w:t>microenvironments</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The role of the gut microbiota </w:t>
      </w:r>
      <w:r>
        <w:rPr>
          <w:rFonts w:ascii="Book Antiqua" w:eastAsia="Book Antiqua" w:hAnsi="Book Antiqua" w:cs="Book Antiqua"/>
          <w:color w:val="000000"/>
        </w:rPr>
        <w:lastRenderedPageBreak/>
        <w:t xml:space="preserve">is critical in the pathogenesis of IBD in terms of nutrition, host immune response, and </w:t>
      </w:r>
      <w:proofErr w:type="gramStart"/>
      <w:r>
        <w:rPr>
          <w:rFonts w:ascii="Book Antiqua" w:eastAsia="Book Antiqua" w:hAnsi="Book Antiqua" w:cs="Book Antiqua"/>
          <w:color w:val="000000"/>
        </w:rPr>
        <w:t>defense</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UC is associated with reduced microbial diversity and depletion of </w:t>
      </w:r>
      <w:r>
        <w:rPr>
          <w:rFonts w:ascii="Book Antiqua" w:eastAsia="Book Antiqua" w:hAnsi="Book Antiqua" w:cs="Book Antiqua"/>
          <w:i/>
          <w:iCs/>
          <w:color w:val="000000"/>
          <w:shd w:val="clear" w:color="auto" w:fill="FFFFFF"/>
        </w:rPr>
        <w:t xml:space="preserve">Bacteroidetes </w:t>
      </w:r>
      <w:r>
        <w:rPr>
          <w:rFonts w:ascii="Book Antiqua" w:eastAsia="Book Antiqua" w:hAnsi="Book Antiqua" w:cs="Book Antiqua"/>
          <w:color w:val="000000"/>
          <w:shd w:val="clear" w:color="auto" w:fill="FFFFFF"/>
        </w:rPr>
        <w:t xml:space="preserve">and </w:t>
      </w:r>
      <w:r>
        <w:rPr>
          <w:rFonts w:ascii="Book Antiqua" w:eastAsia="Book Antiqua" w:hAnsi="Book Antiqua" w:cs="Book Antiqua"/>
          <w:i/>
          <w:iCs/>
          <w:color w:val="000000"/>
          <w:shd w:val="clear" w:color="auto" w:fill="FFFFFF"/>
        </w:rPr>
        <w:t>Firmicutes </w:t>
      </w:r>
      <w:r>
        <w:rPr>
          <w:rFonts w:ascii="Book Antiqua" w:eastAsia="Book Antiqua" w:hAnsi="Book Antiqua" w:cs="Book Antiqua"/>
          <w:color w:val="000000"/>
        </w:rPr>
        <w:t xml:space="preserve">in the gastrointestinal tract. Gut dysbiosis in IBD, particularly UC, is associated with changes in the salivary </w:t>
      </w:r>
      <w:proofErr w:type="gramStart"/>
      <w:r>
        <w:rPr>
          <w:rFonts w:ascii="Book Antiqua" w:eastAsia="Book Antiqua" w:hAnsi="Book Antiqua" w:cs="Book Antiqua"/>
          <w:color w:val="000000"/>
        </w:rPr>
        <w:t>microbiome</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Therefore, oral hygiene and biofilms related to periodontitis might affect the initiation and perpetuation of inflammation </w:t>
      </w:r>
      <w:r w:rsidRPr="00CB1B67">
        <w:rPr>
          <w:rFonts w:ascii="Book Antiqua" w:eastAsia="Book Antiqua" w:hAnsi="Book Antiqua" w:cs="Book Antiqua"/>
          <w:i/>
          <w:iCs/>
          <w:color w:val="000000"/>
        </w:rPr>
        <w:t>via</w:t>
      </w:r>
      <w:r>
        <w:rPr>
          <w:rFonts w:ascii="Book Antiqua" w:eastAsia="Book Antiqua" w:hAnsi="Book Antiqua" w:cs="Book Antiqua"/>
          <w:color w:val="000000"/>
        </w:rPr>
        <w:t xml:space="preserve"> dysbiosis in the colon. In contrast, the dynamic interactions between the oral microenvironment and the development of intestinal inflammation in patients with CD are weak. In a recent population-based cohort study in Sweden, dental plaques were negatively associated with a 68% reduced risk of </w:t>
      </w:r>
      <w:proofErr w:type="gramStart"/>
      <w:r>
        <w:rPr>
          <w:rFonts w:ascii="Book Antiqua" w:eastAsia="Book Antiqua" w:hAnsi="Book Antiqua" w:cs="Book Antiqua"/>
          <w:color w:val="000000"/>
        </w:rPr>
        <w:t>CD</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 dynamic impacts of oral hygiene on dysbiosis and chronic inflammation in the gastrointestinal tract should be clarified in further research. </w:t>
      </w:r>
    </w:p>
    <w:p w14:paraId="38F99D19" w14:textId="1252CED8"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We determined that the risk groups for UC related to periodontitis were elderly, male, alcohol drinking, current smoking, and reduced physical activity. These demographic and lifestyle factors that can alter oral hygiene have crucial effects on the development of UC among patients with periodontitis. </w:t>
      </w:r>
      <w:r w:rsidRPr="003C2643">
        <w:rPr>
          <w:rFonts w:ascii="Book Antiqua" w:eastAsia="Book Antiqua" w:hAnsi="Book Antiqua" w:cs="Book Antiqua"/>
          <w:color w:val="000000"/>
        </w:rPr>
        <w:t xml:space="preserve">Cigarette smoking may have a protective effect on the development of UC, while quitting smoking increases the risk of developing </w:t>
      </w:r>
      <w:proofErr w:type="gramStart"/>
      <w:r w:rsidRPr="003C2643">
        <w:rPr>
          <w:rFonts w:ascii="Book Antiqua" w:eastAsia="Book Antiqua" w:hAnsi="Book Antiqua" w:cs="Book Antiqua"/>
          <w:color w:val="000000"/>
        </w:rPr>
        <w:t>UC</w:t>
      </w:r>
      <w:r w:rsidR="003C2643" w:rsidRPr="003C2643">
        <w:rPr>
          <w:rFonts w:ascii="Book Antiqua" w:eastAsia="Book Antiqua" w:hAnsi="Book Antiqua" w:cs="Book Antiqua"/>
          <w:color w:val="000000"/>
          <w:szCs w:val="30"/>
          <w:vertAlign w:val="superscript"/>
        </w:rPr>
        <w:t>[</w:t>
      </w:r>
      <w:proofErr w:type="gramEnd"/>
      <w:r w:rsidR="003C2643" w:rsidRPr="003C2643">
        <w:rPr>
          <w:rFonts w:ascii="Book Antiqua" w:eastAsia="Book Antiqua" w:hAnsi="Book Antiqua" w:cs="Book Antiqua"/>
          <w:color w:val="000000"/>
          <w:szCs w:val="30"/>
          <w:vertAlign w:val="superscript"/>
        </w:rPr>
        <w:t>39-42]</w:t>
      </w:r>
      <w:r w:rsidRPr="003C2643">
        <w:rPr>
          <w:rFonts w:ascii="Book Antiqua" w:eastAsia="Book Antiqua" w:hAnsi="Book Antiqua" w:cs="Book Antiqua"/>
          <w:color w:val="000000"/>
        </w:rPr>
        <w:t xml:space="preserve">. However, smoking and smoking cessation was not associated with disease course of </w:t>
      </w:r>
      <w:proofErr w:type="gramStart"/>
      <w:r w:rsidRPr="003C2643">
        <w:rPr>
          <w:rFonts w:ascii="Book Antiqua" w:eastAsia="Book Antiqua" w:hAnsi="Book Antiqua" w:cs="Book Antiqua"/>
          <w:color w:val="000000"/>
        </w:rPr>
        <w:t>UC</w:t>
      </w:r>
      <w:r w:rsidR="003C2643" w:rsidRPr="003C2643">
        <w:rPr>
          <w:rFonts w:ascii="Book Antiqua" w:eastAsia="Book Antiqua" w:hAnsi="Book Antiqua" w:cs="Book Antiqua"/>
          <w:color w:val="000000"/>
          <w:szCs w:val="30"/>
          <w:vertAlign w:val="superscript"/>
        </w:rPr>
        <w:t>[</w:t>
      </w:r>
      <w:proofErr w:type="gramEnd"/>
      <w:r w:rsidR="003C2643" w:rsidRPr="003C2643">
        <w:rPr>
          <w:rFonts w:ascii="Book Antiqua" w:eastAsia="Book Antiqua" w:hAnsi="Book Antiqua" w:cs="Book Antiqua"/>
          <w:color w:val="000000"/>
          <w:szCs w:val="30"/>
          <w:vertAlign w:val="superscript"/>
        </w:rPr>
        <w:t>42]</w:t>
      </w:r>
      <w:r w:rsidRPr="003C2643">
        <w:rPr>
          <w:rFonts w:ascii="Book Antiqua" w:eastAsia="Book Antiqua" w:hAnsi="Book Antiqua" w:cs="Book Antiqua"/>
          <w:color w:val="000000"/>
        </w:rPr>
        <w:t xml:space="preserve">. Recent studies have </w:t>
      </w:r>
      <w:r>
        <w:rPr>
          <w:rFonts w:ascii="Book Antiqua" w:eastAsia="Book Antiqua" w:hAnsi="Book Antiqua" w:cs="Book Antiqua"/>
          <w:color w:val="000000"/>
        </w:rPr>
        <w:t xml:space="preserve">demonstrated a dose-response relationship between quitting smoking and the risk of developing </w:t>
      </w:r>
      <w:proofErr w:type="gramStart"/>
      <w:r>
        <w:rPr>
          <w:rFonts w:ascii="Book Antiqua" w:eastAsia="Book Antiqua" w:hAnsi="Book Antiqua" w:cs="Book Antiqua"/>
          <w:color w:val="000000"/>
        </w:rPr>
        <w:t>UC</w:t>
      </w:r>
      <w:r w:rsidR="003C2643" w:rsidRPr="003C2643">
        <w:rPr>
          <w:rFonts w:ascii="Book Antiqua" w:eastAsia="Book Antiqua" w:hAnsi="Book Antiqua" w:cs="Book Antiqua"/>
          <w:color w:val="000000"/>
          <w:szCs w:val="30"/>
          <w:vertAlign w:val="superscript"/>
        </w:rPr>
        <w:t>[</w:t>
      </w:r>
      <w:proofErr w:type="gramEnd"/>
      <w:r w:rsidR="003C2643" w:rsidRPr="003C2643">
        <w:rPr>
          <w:rFonts w:ascii="Book Antiqua" w:eastAsia="Book Antiqua" w:hAnsi="Book Antiqua" w:cs="Book Antiqua"/>
          <w:color w:val="000000"/>
          <w:szCs w:val="30"/>
          <w:vertAlign w:val="superscript"/>
        </w:rPr>
        <w:t>11,43]</w:t>
      </w:r>
      <w:r>
        <w:rPr>
          <w:rFonts w:ascii="Book Antiqua" w:eastAsia="Book Antiqua" w:hAnsi="Book Antiqua" w:cs="Book Antiqua"/>
          <w:color w:val="000000"/>
        </w:rPr>
        <w:t>. In line with previous results, ex-smokers had the highest risk of developing UC, regardless of the presence of periodontitis</w:t>
      </w:r>
      <w:r w:rsidRPr="003C2643">
        <w:rPr>
          <w:rFonts w:ascii="Book Antiqua" w:eastAsia="Book Antiqua" w:hAnsi="Book Antiqua" w:cs="Book Antiqua"/>
          <w:color w:val="000000"/>
        </w:rPr>
        <w:t xml:space="preserve"> and age</w:t>
      </w:r>
      <w:r>
        <w:rPr>
          <w:rFonts w:ascii="Book Antiqua" w:eastAsia="Book Antiqua" w:hAnsi="Book Antiqua" w:cs="Book Antiqua"/>
          <w:color w:val="000000"/>
        </w:rPr>
        <w:t xml:space="preserve"> in this study.</w:t>
      </w:r>
      <w:r w:rsidRPr="003C2643">
        <w:rPr>
          <w:rFonts w:ascii="Book Antiqua" w:eastAsia="Book Antiqua" w:hAnsi="Book Antiqua" w:cs="Book Antiqua"/>
          <w:color w:val="000000"/>
        </w:rPr>
        <w:t xml:space="preserve"> In contrast, current smoking effect on the prevention of UC is still controversial depending on subgroups such as ethnicity and gender.</w:t>
      </w:r>
      <w:r>
        <w:rPr>
          <w:rFonts w:ascii="Book Antiqua" w:eastAsia="Book Antiqua" w:hAnsi="Book Antiqua" w:cs="Book Antiqua"/>
          <w:color w:val="000000"/>
        </w:rPr>
        <w:t xml:space="preserve"> Interestingly, the comparative risk of developing UC in the elderly tended to be more pronounced in current smokers than in ex-smokers, suggesting that the synergistic effects of periodontitis and cigarette smoking increase the risk of elderly onset UC. Cigarette smoking causes changes in both oral and intestinal microbial </w:t>
      </w:r>
      <w:proofErr w:type="gramStart"/>
      <w:r>
        <w:rPr>
          <w:rFonts w:ascii="Book Antiqua" w:eastAsia="Book Antiqua" w:hAnsi="Book Antiqua" w:cs="Book Antiqua"/>
          <w:color w:val="000000"/>
        </w:rPr>
        <w:t>composition</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 xml:space="preserve">, and may play a key role as an environmental cause of UC </w:t>
      </w:r>
      <w:r w:rsidRPr="00CB1B67">
        <w:rPr>
          <w:rFonts w:ascii="Book Antiqua" w:eastAsia="Book Antiqua" w:hAnsi="Book Antiqua" w:cs="Book Antiqua"/>
          <w:i/>
          <w:iCs/>
          <w:color w:val="000000"/>
        </w:rPr>
        <w:t>via</w:t>
      </w:r>
      <w:r>
        <w:rPr>
          <w:rFonts w:ascii="Book Antiqua" w:eastAsia="Book Antiqua" w:hAnsi="Book Antiqua" w:cs="Book Antiqua"/>
          <w:color w:val="000000"/>
        </w:rPr>
        <w:t xml:space="preserve"> oral and gut dysbiosis. Cigarette smoking affects microbial diversity and composition resulting in decreases in </w:t>
      </w:r>
      <w:r>
        <w:rPr>
          <w:rFonts w:ascii="Book Antiqua" w:eastAsia="Book Antiqua" w:hAnsi="Book Antiqua" w:cs="Book Antiqua"/>
          <w:i/>
          <w:iCs/>
          <w:color w:val="000000"/>
        </w:rPr>
        <w:t xml:space="preserve">Proteobacteria </w:t>
      </w:r>
      <w:r>
        <w:rPr>
          <w:rFonts w:ascii="Book Antiqua" w:eastAsia="Book Antiqua" w:hAnsi="Book Antiqua" w:cs="Book Antiqua"/>
          <w:color w:val="000000"/>
        </w:rPr>
        <w:t xml:space="preserve">and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increases in </w:t>
      </w:r>
      <w:proofErr w:type="gramStart"/>
      <w:r>
        <w:rPr>
          <w:rFonts w:ascii="Book Antiqua" w:eastAsia="Book Antiqua" w:hAnsi="Book Antiqua" w:cs="Book Antiqua"/>
          <w:i/>
          <w:iCs/>
          <w:color w:val="000000"/>
        </w:rPr>
        <w:t>Firmicutes</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46]</w:t>
      </w:r>
      <w:r>
        <w:rPr>
          <w:rFonts w:ascii="Book Antiqua" w:eastAsia="Book Antiqua" w:hAnsi="Book Antiqua" w:cs="Book Antiqua"/>
          <w:i/>
          <w:iCs/>
          <w:color w:val="000000"/>
        </w:rPr>
        <w:t>.</w:t>
      </w:r>
      <w:r>
        <w:rPr>
          <w:rFonts w:ascii="Book Antiqua" w:eastAsia="Book Antiqua" w:hAnsi="Book Antiqua" w:cs="Book Antiqua"/>
          <w:color w:val="000000"/>
        </w:rPr>
        <w:t xml:space="preserve"> A </w:t>
      </w:r>
      <w:r>
        <w:rPr>
          <w:rFonts w:ascii="Book Antiqua" w:eastAsia="Book Antiqua" w:hAnsi="Book Antiqua" w:cs="Book Antiqua"/>
          <w:i/>
          <w:iCs/>
          <w:color w:val="000000"/>
        </w:rPr>
        <w:t xml:space="preserve">Treponema </w:t>
      </w:r>
      <w:proofErr w:type="spellStart"/>
      <w:r>
        <w:rPr>
          <w:rFonts w:ascii="Book Antiqua" w:eastAsia="Book Antiqua" w:hAnsi="Book Antiqua" w:cs="Book Antiqua"/>
          <w:i/>
          <w:iCs/>
          <w:color w:val="000000"/>
        </w:rPr>
        <w:t>denticola</w:t>
      </w:r>
      <w:proofErr w:type="spellEnd"/>
      <w:r>
        <w:rPr>
          <w:rFonts w:ascii="Book Antiqua" w:eastAsia="Book Antiqua" w:hAnsi="Book Antiqua" w:cs="Book Antiqua"/>
          <w:i/>
          <w:iCs/>
          <w:color w:val="000000"/>
        </w:rPr>
        <w:t xml:space="preserve"> </w:t>
      </w:r>
      <w:r>
        <w:rPr>
          <w:rFonts w:ascii="Book Antiqua" w:eastAsia="Book Antiqua" w:hAnsi="Book Antiqua" w:cs="Book Antiqua"/>
          <w:color w:val="000000"/>
        </w:rPr>
        <w:lastRenderedPageBreak/>
        <w:t xml:space="preserve">infection is frequently detected in current smokers with periodontal </w:t>
      </w:r>
      <w:proofErr w:type="gramStart"/>
      <w:r>
        <w:rPr>
          <w:rFonts w:ascii="Book Antiqua" w:eastAsia="Book Antiqua" w:hAnsi="Book Antiqua" w:cs="Book Antiqua"/>
          <w:color w:val="000000"/>
        </w:rPr>
        <w:t>disease</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sidRPr="003C2643">
        <w:rPr>
          <w:rFonts w:ascii="Book Antiqua" w:eastAsia="Book Antiqua" w:hAnsi="Book Antiqua" w:cs="Book Antiqua"/>
          <w:color w:val="000000"/>
        </w:rPr>
        <w:t>Further research is needed to determine the combined effects of cigarette smoking and periodontitis on the pathogenesis of elderly onset UC, in terms of oral dysbiosis.</w:t>
      </w:r>
    </w:p>
    <w:p w14:paraId="5B0C8C44" w14:textId="6E6B7364"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The incidence of UC shows a bimodal distribution in the age at </w:t>
      </w:r>
      <w:proofErr w:type="gramStart"/>
      <w:r>
        <w:rPr>
          <w:rFonts w:ascii="Book Antiqua" w:eastAsia="Book Antiqua" w:hAnsi="Book Antiqua" w:cs="Book Antiqua"/>
          <w:color w:val="000000"/>
        </w:rPr>
        <w:t>onset</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48-51]</w:t>
      </w:r>
      <w:r>
        <w:rPr>
          <w:rFonts w:ascii="Book Antiqua" w:eastAsia="Book Antiqua" w:hAnsi="Book Antiqua" w:cs="Book Antiqua"/>
          <w:color w:val="000000"/>
        </w:rPr>
        <w:t>, and the second peak of incidence in the elderly is closely related to the environmental etiologies of UC. Surprisingly, the age-specific incidence of UC is in a steady state between the ages of the 20</w:t>
      </w:r>
      <w:r w:rsidR="003C2643">
        <w:rPr>
          <w:rFonts w:ascii="Book Antiqua" w:eastAsia="Book Antiqua" w:hAnsi="Book Antiqua" w:cs="Book Antiqua"/>
          <w:color w:val="000000"/>
        </w:rPr>
        <w:t xml:space="preserve"> </w:t>
      </w:r>
      <w:r>
        <w:rPr>
          <w:rFonts w:ascii="Book Antiqua" w:eastAsia="Book Antiqua" w:hAnsi="Book Antiqua" w:cs="Book Antiqua"/>
          <w:color w:val="000000"/>
        </w:rPr>
        <w:t>s to 60</w:t>
      </w:r>
      <w:r w:rsidR="003C2643">
        <w:rPr>
          <w:rFonts w:ascii="Book Antiqua" w:eastAsia="Book Antiqua" w:hAnsi="Book Antiqua" w:cs="Book Antiqua"/>
          <w:color w:val="000000"/>
        </w:rPr>
        <w:t xml:space="preserve"> </w:t>
      </w:r>
      <w:r>
        <w:rPr>
          <w:rFonts w:ascii="Book Antiqua" w:eastAsia="Book Antiqua" w:hAnsi="Book Antiqua" w:cs="Book Antiqua"/>
          <w:color w:val="000000"/>
        </w:rPr>
        <w:t>s with the highest rates for men in their 60</w:t>
      </w:r>
      <w:r w:rsidR="003C2643">
        <w:rPr>
          <w:rFonts w:ascii="Book Antiqua" w:eastAsia="Book Antiqua" w:hAnsi="Book Antiqua" w:cs="Book Antiqua"/>
          <w:color w:val="000000"/>
        </w:rPr>
        <w:t xml:space="preserve"> </w:t>
      </w:r>
      <w:r>
        <w:rPr>
          <w:rFonts w:ascii="Book Antiqua" w:eastAsia="Book Antiqua" w:hAnsi="Book Antiqua" w:cs="Book Antiqua"/>
          <w:color w:val="000000"/>
        </w:rPr>
        <w:t xml:space="preserve">s in a recent 30-year follow-up epidemiological study from South </w:t>
      </w:r>
      <w:proofErr w:type="gramStart"/>
      <w:r>
        <w:rPr>
          <w:rFonts w:ascii="Book Antiqua" w:eastAsia="Book Antiqua" w:hAnsi="Book Antiqua" w:cs="Book Antiqua"/>
          <w:color w:val="000000"/>
        </w:rPr>
        <w:t>Korea</w:t>
      </w:r>
      <w:r w:rsidR="003C2643">
        <w:rPr>
          <w:rFonts w:ascii="Book Antiqua" w:eastAsia="Book Antiqua" w:hAnsi="Book Antiqua" w:cs="Book Antiqua"/>
          <w:color w:val="000000"/>
          <w:szCs w:val="30"/>
          <w:vertAlign w:val="superscript"/>
        </w:rPr>
        <w:t>[</w:t>
      </w:r>
      <w:proofErr w:type="gramEnd"/>
      <w:r w:rsidR="003C2643">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xml:space="preserve">. The consistent evidence of ex-smokers related to the risk of UC development and the harmful synergistic effects of current cigarette smoking and periodontitis in the elderly provide an important clue to explain the role of environmental etiologies in the complex pathophysiology of elderly onset UC. </w:t>
      </w:r>
    </w:p>
    <w:p w14:paraId="0B6DF1C9" w14:textId="77777777" w:rsidR="00A77B3E" w:rsidRDefault="00AB37F6" w:rsidP="003C2643">
      <w:pPr>
        <w:spacing w:line="360" w:lineRule="auto"/>
        <w:ind w:firstLineChars="100" w:firstLine="240"/>
        <w:jc w:val="both"/>
      </w:pPr>
      <w:r>
        <w:rPr>
          <w:rFonts w:ascii="Book Antiqua" w:eastAsia="Book Antiqua" w:hAnsi="Book Antiqua" w:cs="Book Antiqua"/>
          <w:color w:val="000000"/>
        </w:rPr>
        <w:t xml:space="preserve">The present study had several limitations due to its retrospective design. First, the severity and disease extent of IBD could not be investigated. Second, the risk of developing IBD among patients with periodontitis was not adjusted by medication. Antibiotics are possible confounders in the relationship between periodontitis and IBD but are generally used within a short period in actual practice in this general population. It is assumed that the chaotic effects of antibiotics might be minimized considering the median follow-up period of more than 7 years. </w:t>
      </w:r>
      <w:r w:rsidRPr="003C2643">
        <w:rPr>
          <w:rFonts w:ascii="Book Antiqua" w:eastAsia="Book Antiqua" w:hAnsi="Book Antiqua" w:cs="Book Antiqua"/>
          <w:color w:val="000000"/>
        </w:rPr>
        <w:t xml:space="preserve">Use of corticosteroids and immunomodulatory agents could not be also identified due to the limitations of claims data. </w:t>
      </w:r>
      <w:r>
        <w:rPr>
          <w:rFonts w:ascii="Book Antiqua" w:eastAsia="Book Antiqua" w:hAnsi="Book Antiqua" w:cs="Book Antiqua"/>
          <w:color w:val="000000"/>
        </w:rPr>
        <w:t xml:space="preserve">Third, the operational definition for the severity of periodontitis was not validated, although there was no significant difference in the comparative risk of developing UC based on the severity of periodontitis. Further prospective research is required to assess how the severity of periodontitis and oral dysbiosis affect the risk of developing UC. </w:t>
      </w:r>
    </w:p>
    <w:p w14:paraId="13E160C6" w14:textId="77777777" w:rsidR="00A77B3E" w:rsidRDefault="00A77B3E">
      <w:pPr>
        <w:spacing w:line="360" w:lineRule="auto"/>
        <w:jc w:val="both"/>
      </w:pPr>
    </w:p>
    <w:p w14:paraId="484A3A9C" w14:textId="77777777" w:rsidR="00A77B3E" w:rsidRDefault="00AB37F6">
      <w:pPr>
        <w:spacing w:line="360" w:lineRule="auto"/>
        <w:jc w:val="both"/>
      </w:pPr>
      <w:r>
        <w:rPr>
          <w:rFonts w:ascii="Book Antiqua" w:eastAsia="Book Antiqua" w:hAnsi="Book Antiqua" w:cs="Book Antiqua"/>
          <w:b/>
          <w:caps/>
          <w:color w:val="000000"/>
          <w:u w:val="single"/>
        </w:rPr>
        <w:t>CONCLUSION</w:t>
      </w:r>
    </w:p>
    <w:p w14:paraId="62B752BA" w14:textId="77777777" w:rsidR="00A77B3E" w:rsidRDefault="00AB37F6">
      <w:pPr>
        <w:spacing w:line="360" w:lineRule="auto"/>
        <w:jc w:val="both"/>
      </w:pPr>
      <w:r>
        <w:rPr>
          <w:rFonts w:ascii="Book Antiqua" w:eastAsia="Book Antiqua" w:hAnsi="Book Antiqua" w:cs="Book Antiqua"/>
          <w:color w:val="000000"/>
        </w:rPr>
        <w:t xml:space="preserve">Periodontitis was significantly associated with the risk of developing UC, but not CD. Current smoking superimposed the impacts of periodontitis on the occurrence of </w:t>
      </w:r>
      <w:r>
        <w:rPr>
          <w:rFonts w:ascii="Book Antiqua" w:eastAsia="Book Antiqua" w:hAnsi="Book Antiqua" w:cs="Book Antiqua"/>
          <w:color w:val="000000"/>
        </w:rPr>
        <w:lastRenderedPageBreak/>
        <w:t>elderly onset UC. These findings suggest that adding cigarette smoking in the background of periodontitis are potential risk factors for elderly onset UC.</w:t>
      </w:r>
    </w:p>
    <w:p w14:paraId="2DEDA487" w14:textId="77777777" w:rsidR="00A77B3E" w:rsidRDefault="00A77B3E">
      <w:pPr>
        <w:spacing w:line="360" w:lineRule="auto"/>
        <w:jc w:val="both"/>
      </w:pPr>
    </w:p>
    <w:p w14:paraId="10CDABA8" w14:textId="77777777" w:rsidR="00A77B3E" w:rsidRDefault="00AB37F6">
      <w:pPr>
        <w:spacing w:line="360" w:lineRule="auto"/>
        <w:jc w:val="both"/>
      </w:pPr>
      <w:r>
        <w:rPr>
          <w:rFonts w:ascii="Book Antiqua" w:eastAsia="Book Antiqua" w:hAnsi="Book Antiqua" w:cs="Book Antiqua"/>
          <w:b/>
          <w:caps/>
          <w:color w:val="000000"/>
          <w:u w:val="single"/>
        </w:rPr>
        <w:t>ARTICLE HIGHLIGHTS</w:t>
      </w:r>
    </w:p>
    <w:p w14:paraId="3D3F12FD" w14:textId="77777777" w:rsidR="00A77B3E" w:rsidRDefault="00AB37F6">
      <w:pPr>
        <w:spacing w:line="360" w:lineRule="auto"/>
        <w:jc w:val="both"/>
      </w:pPr>
      <w:r>
        <w:rPr>
          <w:rFonts w:ascii="Book Antiqua" w:eastAsia="Book Antiqua" w:hAnsi="Book Antiqua" w:cs="Book Antiqua"/>
          <w:b/>
          <w:i/>
          <w:color w:val="000000"/>
        </w:rPr>
        <w:t>Research background</w:t>
      </w:r>
    </w:p>
    <w:p w14:paraId="37C84E46" w14:textId="77777777" w:rsidR="00A77B3E" w:rsidRPr="007026E8" w:rsidRDefault="00AB37F6">
      <w:pPr>
        <w:spacing w:line="360" w:lineRule="auto"/>
        <w:jc w:val="both"/>
      </w:pPr>
      <w:r w:rsidRPr="007026E8">
        <w:rPr>
          <w:rFonts w:ascii="Book Antiqua" w:eastAsia="Book Antiqua" w:hAnsi="Book Antiqua" w:cs="Book Antiqua"/>
          <w:color w:val="000000"/>
        </w:rPr>
        <w:t>Environmental factors in addition to genetic and immunological factors are known to influence on the development of inflammatory bowel disease (IBD) including Crohn’s disease (CD) and ulcerative colitis (UC). The effects of etiologies such as smoking, alcohol consumption, age and comorbidities on the occurrence of chronic intestinal inflammation may vary based on race and gender.</w:t>
      </w:r>
    </w:p>
    <w:p w14:paraId="1A6FAF85" w14:textId="77777777" w:rsidR="00A77B3E" w:rsidRDefault="00A77B3E">
      <w:pPr>
        <w:spacing w:line="360" w:lineRule="auto"/>
        <w:jc w:val="both"/>
      </w:pPr>
    </w:p>
    <w:p w14:paraId="49AD3DDC" w14:textId="77777777" w:rsidR="00A77B3E" w:rsidRDefault="00AB37F6">
      <w:pPr>
        <w:spacing w:line="360" w:lineRule="auto"/>
        <w:jc w:val="both"/>
      </w:pPr>
      <w:r>
        <w:rPr>
          <w:rFonts w:ascii="Book Antiqua" w:eastAsia="Book Antiqua" w:hAnsi="Book Antiqua" w:cs="Book Antiqua"/>
          <w:b/>
          <w:i/>
          <w:color w:val="000000"/>
        </w:rPr>
        <w:t>Research motivation</w:t>
      </w:r>
    </w:p>
    <w:p w14:paraId="162AF1C6" w14:textId="77777777" w:rsidR="00A77B3E" w:rsidRPr="007026E8" w:rsidRDefault="00AB37F6">
      <w:pPr>
        <w:spacing w:line="360" w:lineRule="auto"/>
        <w:jc w:val="both"/>
      </w:pPr>
      <w:r w:rsidRPr="007026E8">
        <w:rPr>
          <w:rFonts w:ascii="Book Antiqua" w:eastAsia="Book Antiqua" w:hAnsi="Book Antiqua" w:cs="Book Antiqua"/>
          <w:color w:val="000000"/>
        </w:rPr>
        <w:t xml:space="preserve">Gut dysbiosis is associated with IBD as a cause or result and is related to oral microflora. Oral disease can occur as an extra-intestinal manifestation of IBD. However, the risk of developing IBD in patients with periodontitis remains unclear. </w:t>
      </w:r>
    </w:p>
    <w:p w14:paraId="0889EC09" w14:textId="77777777" w:rsidR="00A77B3E" w:rsidRDefault="00A77B3E">
      <w:pPr>
        <w:spacing w:line="360" w:lineRule="auto"/>
        <w:jc w:val="both"/>
      </w:pPr>
    </w:p>
    <w:p w14:paraId="2E30C41A" w14:textId="77777777" w:rsidR="00A77B3E" w:rsidRDefault="00AB37F6">
      <w:pPr>
        <w:spacing w:line="360" w:lineRule="auto"/>
        <w:jc w:val="both"/>
      </w:pPr>
      <w:r>
        <w:rPr>
          <w:rFonts w:ascii="Book Antiqua" w:eastAsia="Book Antiqua" w:hAnsi="Book Antiqua" w:cs="Book Antiqua"/>
          <w:b/>
          <w:i/>
          <w:color w:val="000000"/>
        </w:rPr>
        <w:t>Research objectives</w:t>
      </w:r>
    </w:p>
    <w:p w14:paraId="1FDFE114" w14:textId="77777777" w:rsidR="00A77B3E" w:rsidRPr="007026E8" w:rsidRDefault="00AB37F6">
      <w:pPr>
        <w:spacing w:line="360" w:lineRule="auto"/>
        <w:jc w:val="both"/>
      </w:pPr>
      <w:r w:rsidRPr="007026E8">
        <w:rPr>
          <w:rFonts w:ascii="Book Antiqua" w:eastAsia="Book Antiqua" w:hAnsi="Book Antiqua" w:cs="Book Antiqua"/>
          <w:color w:val="000000"/>
        </w:rPr>
        <w:t>We aimed to evaluate the risk of developing IBD in patients with periodontitis and to determine the combined effect of risk factors on the development of IBD associated with periodontitis.</w:t>
      </w:r>
    </w:p>
    <w:p w14:paraId="6ACA889E" w14:textId="77777777" w:rsidR="00A77B3E" w:rsidRDefault="00A77B3E">
      <w:pPr>
        <w:spacing w:line="360" w:lineRule="auto"/>
        <w:jc w:val="both"/>
      </w:pPr>
    </w:p>
    <w:p w14:paraId="76E7F2C2" w14:textId="77777777" w:rsidR="00A77B3E" w:rsidRDefault="00AB37F6">
      <w:pPr>
        <w:spacing w:line="360" w:lineRule="auto"/>
        <w:jc w:val="both"/>
      </w:pPr>
      <w:r>
        <w:rPr>
          <w:rFonts w:ascii="Book Antiqua" w:eastAsia="Book Antiqua" w:hAnsi="Book Antiqua" w:cs="Book Antiqua"/>
          <w:b/>
          <w:i/>
          <w:color w:val="000000"/>
        </w:rPr>
        <w:t>Research methods</w:t>
      </w:r>
    </w:p>
    <w:p w14:paraId="3B58E2E7" w14:textId="2F341A21" w:rsidR="00A77B3E" w:rsidRPr="007026E8" w:rsidRDefault="00AB37F6">
      <w:pPr>
        <w:spacing w:line="360" w:lineRule="auto"/>
        <w:jc w:val="both"/>
      </w:pPr>
      <w:r w:rsidRPr="007026E8">
        <w:rPr>
          <w:rFonts w:ascii="Book Antiqua" w:eastAsia="Book Antiqua" w:hAnsi="Book Antiqua" w:cs="Book Antiqua"/>
          <w:color w:val="000000"/>
        </w:rPr>
        <w:t>Using database of the National Health Insurance and National Health Screening Program in South Korea in 2009, we compared people with and without periodontitis and evaluated newly diagnosed IBD in both group during follow-up period until 2017. All 9950548 people over the age of 20 who received a national health check in 2009 were included. Periodontitis was defined using the International Classification of Disease 10</w:t>
      </w:r>
      <w:r w:rsidRPr="007026E8">
        <w:rPr>
          <w:rFonts w:ascii="Book Antiqua" w:eastAsia="Book Antiqua" w:hAnsi="Book Antiqua" w:cs="Book Antiqua"/>
          <w:color w:val="000000"/>
          <w:szCs w:val="30"/>
          <w:vertAlign w:val="superscript"/>
        </w:rPr>
        <w:t>th</w:t>
      </w:r>
      <w:r w:rsidRPr="007026E8">
        <w:rPr>
          <w:rFonts w:ascii="Book Antiqua" w:eastAsia="Book Antiqua" w:hAnsi="Book Antiqua" w:cs="Book Antiqua"/>
          <w:color w:val="000000"/>
        </w:rPr>
        <w:t xml:space="preserve"> revision (ICD-10). CD and UC were defined using ICD-10 and rare intractable disease codes specific to South Korea. </w:t>
      </w:r>
    </w:p>
    <w:p w14:paraId="5C059D72" w14:textId="77777777" w:rsidR="00A77B3E" w:rsidRDefault="00A77B3E">
      <w:pPr>
        <w:spacing w:line="360" w:lineRule="auto"/>
        <w:jc w:val="both"/>
      </w:pPr>
    </w:p>
    <w:p w14:paraId="5E75FCF9" w14:textId="77777777" w:rsidR="00A77B3E" w:rsidRDefault="00AB37F6">
      <w:pPr>
        <w:spacing w:line="360" w:lineRule="auto"/>
        <w:jc w:val="both"/>
      </w:pPr>
      <w:r>
        <w:rPr>
          <w:rFonts w:ascii="Book Antiqua" w:eastAsia="Book Antiqua" w:hAnsi="Book Antiqua" w:cs="Book Antiqua"/>
          <w:b/>
          <w:i/>
          <w:color w:val="000000"/>
        </w:rPr>
        <w:t>Research results</w:t>
      </w:r>
    </w:p>
    <w:p w14:paraId="6F76BF23" w14:textId="034B4B90" w:rsidR="00A77B3E" w:rsidRPr="007026E8" w:rsidRDefault="00AB37F6">
      <w:pPr>
        <w:spacing w:line="360" w:lineRule="auto"/>
        <w:jc w:val="both"/>
      </w:pPr>
      <w:r w:rsidRPr="007026E8">
        <w:rPr>
          <w:rFonts w:ascii="Book Antiqua" w:eastAsia="Book Antiqua" w:hAnsi="Book Antiqua" w:cs="Book Antiqua"/>
          <w:color w:val="000000"/>
        </w:rPr>
        <w:t xml:space="preserve">Out of 9950548 individuals, a total of 1092825 subjects (11.0%) had periodontitis. The periodontitis group was older and had a higher male proportion. During the median follow-up period of 7.26 years, </w:t>
      </w:r>
      <w:r w:rsidR="007026E8" w:rsidRPr="007026E8">
        <w:rPr>
          <w:rFonts w:ascii="Book Antiqua" w:eastAsia="Book Antiqua" w:hAnsi="Book Antiqua" w:cs="Book Antiqua"/>
          <w:color w:val="000000"/>
        </w:rPr>
        <w:t>p</w:t>
      </w:r>
      <w:r w:rsidRPr="007026E8">
        <w:rPr>
          <w:rFonts w:ascii="Book Antiqua" w:eastAsia="Book Antiqua" w:hAnsi="Book Antiqua" w:cs="Book Antiqua"/>
          <w:color w:val="000000"/>
        </w:rPr>
        <w:t>eople with periodontitis had a significantly higher risk of developing UC than those without periodontitis. In a subgroup analysis, current smokers aged 65 and older with periodontitis had a 1.9-fold increase in UC risk than non-smokers aged 65 and older without periodontitis.</w:t>
      </w:r>
    </w:p>
    <w:p w14:paraId="398F8405" w14:textId="77777777" w:rsidR="00A77B3E" w:rsidRDefault="00A77B3E">
      <w:pPr>
        <w:spacing w:line="360" w:lineRule="auto"/>
        <w:jc w:val="both"/>
      </w:pPr>
    </w:p>
    <w:p w14:paraId="51C899A5" w14:textId="77777777" w:rsidR="00A77B3E" w:rsidRDefault="00AB37F6">
      <w:pPr>
        <w:spacing w:line="360" w:lineRule="auto"/>
        <w:jc w:val="both"/>
      </w:pPr>
      <w:r>
        <w:rPr>
          <w:rFonts w:ascii="Book Antiqua" w:eastAsia="Book Antiqua" w:hAnsi="Book Antiqua" w:cs="Book Antiqua"/>
          <w:b/>
          <w:i/>
          <w:color w:val="000000"/>
        </w:rPr>
        <w:t>Research conclusions</w:t>
      </w:r>
    </w:p>
    <w:p w14:paraId="17BB2304" w14:textId="77777777" w:rsidR="00A77B3E" w:rsidRPr="007026E8" w:rsidRDefault="00AB37F6">
      <w:pPr>
        <w:spacing w:line="360" w:lineRule="auto"/>
        <w:jc w:val="both"/>
      </w:pPr>
      <w:r w:rsidRPr="007026E8">
        <w:rPr>
          <w:rFonts w:ascii="Book Antiqua" w:eastAsia="Book Antiqua" w:hAnsi="Book Antiqua" w:cs="Book Antiqua"/>
          <w:color w:val="000000"/>
        </w:rPr>
        <w:t>Periodontitis is highly associated with the risk of developing UC, especially in current smokers over 65. It suggests that periodontitis and current smoking are a potential combined risk factor for the development of elderly-onset UC.</w:t>
      </w:r>
    </w:p>
    <w:p w14:paraId="013AFC4A" w14:textId="77777777" w:rsidR="00A77B3E" w:rsidRDefault="00A77B3E">
      <w:pPr>
        <w:spacing w:line="360" w:lineRule="auto"/>
        <w:jc w:val="both"/>
      </w:pPr>
    </w:p>
    <w:p w14:paraId="4EED6053" w14:textId="77777777" w:rsidR="00A77B3E" w:rsidRDefault="00AB37F6">
      <w:pPr>
        <w:spacing w:line="360" w:lineRule="auto"/>
        <w:jc w:val="both"/>
      </w:pPr>
      <w:r>
        <w:rPr>
          <w:rFonts w:ascii="Book Antiqua" w:eastAsia="Book Antiqua" w:hAnsi="Book Antiqua" w:cs="Book Antiqua"/>
          <w:b/>
          <w:i/>
          <w:color w:val="000000"/>
        </w:rPr>
        <w:t>Research perspectives</w:t>
      </w:r>
    </w:p>
    <w:p w14:paraId="039527E6" w14:textId="77777777" w:rsidR="00A77B3E" w:rsidRPr="007026E8" w:rsidRDefault="00AB37F6">
      <w:pPr>
        <w:spacing w:line="360" w:lineRule="auto"/>
        <w:jc w:val="both"/>
      </w:pPr>
      <w:r w:rsidRPr="007026E8">
        <w:rPr>
          <w:rFonts w:ascii="Book Antiqua" w:eastAsia="Book Antiqua" w:hAnsi="Book Antiqua" w:cs="Book Antiqua"/>
          <w:color w:val="000000"/>
        </w:rPr>
        <w:t>Based on the results of this study, we need future prospective studies to focus on the synergistic impacts of the environmental risk factors on elderly onset UC in terms of complex interaction of oral and intestinal microflora. Ultimately, it can lead to a better understanding of the pathogenesis of IBD.</w:t>
      </w:r>
    </w:p>
    <w:p w14:paraId="0C285609" w14:textId="77777777" w:rsidR="00A77B3E" w:rsidRDefault="00A77B3E">
      <w:pPr>
        <w:spacing w:line="360" w:lineRule="auto"/>
        <w:jc w:val="both"/>
      </w:pPr>
    </w:p>
    <w:p w14:paraId="02794295" w14:textId="77777777" w:rsidR="00A77B3E" w:rsidRDefault="00AB37F6">
      <w:pPr>
        <w:spacing w:line="360" w:lineRule="auto"/>
        <w:jc w:val="both"/>
      </w:pPr>
      <w:r>
        <w:rPr>
          <w:rFonts w:ascii="Book Antiqua" w:eastAsia="Book Antiqua" w:hAnsi="Book Antiqua" w:cs="Book Antiqua"/>
          <w:b/>
          <w:color w:val="000000"/>
        </w:rPr>
        <w:t>REFERENCES</w:t>
      </w:r>
    </w:p>
    <w:p w14:paraId="00FC0129" w14:textId="77777777" w:rsidR="00A77B3E" w:rsidRDefault="00AB37F6">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Slots J</w:t>
      </w:r>
      <w:r>
        <w:rPr>
          <w:rFonts w:ascii="Book Antiqua" w:eastAsia="Book Antiqua" w:hAnsi="Book Antiqua" w:cs="Book Antiqua"/>
          <w:color w:val="000000"/>
        </w:rPr>
        <w:t xml:space="preserve">. Periodontitis: facts, fallacies and the future.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2017; </w:t>
      </w:r>
      <w:r>
        <w:rPr>
          <w:rFonts w:ascii="Book Antiqua" w:eastAsia="Book Antiqua" w:hAnsi="Book Antiqua" w:cs="Book Antiqua"/>
          <w:b/>
          <w:bCs/>
          <w:color w:val="000000"/>
        </w:rPr>
        <w:t>75</w:t>
      </w:r>
      <w:r>
        <w:rPr>
          <w:rFonts w:ascii="Book Antiqua" w:eastAsia="Book Antiqua" w:hAnsi="Book Antiqua" w:cs="Book Antiqua"/>
          <w:color w:val="000000"/>
        </w:rPr>
        <w:t>: 7-23 [PMID: 28758294 DOI: 10.1111/prd.12221]</w:t>
      </w:r>
    </w:p>
    <w:p w14:paraId="5EC529C2" w14:textId="77777777" w:rsidR="00A77B3E" w:rsidRDefault="00AB37F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Meyle</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Chapple I. Molecular aspects of the pathogenesis of periodontitis.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2015; </w:t>
      </w:r>
      <w:r>
        <w:rPr>
          <w:rFonts w:ascii="Book Antiqua" w:eastAsia="Book Antiqua" w:hAnsi="Book Antiqua" w:cs="Book Antiqua"/>
          <w:b/>
          <w:bCs/>
          <w:color w:val="000000"/>
        </w:rPr>
        <w:t>69</w:t>
      </w:r>
      <w:r>
        <w:rPr>
          <w:rFonts w:ascii="Book Antiqua" w:eastAsia="Book Antiqua" w:hAnsi="Book Antiqua" w:cs="Book Antiqua"/>
          <w:color w:val="000000"/>
        </w:rPr>
        <w:t>: 7-17 [PMID: 26252398 DOI: 10.1111/prd.12104]</w:t>
      </w:r>
    </w:p>
    <w:p w14:paraId="4CDFDA3A" w14:textId="77777777" w:rsidR="00A77B3E" w:rsidRDefault="00AB37F6">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Eke PI</w:t>
      </w:r>
      <w:r>
        <w:rPr>
          <w:rFonts w:ascii="Book Antiqua" w:eastAsia="Book Antiqua" w:hAnsi="Book Antiqua" w:cs="Book Antiqua"/>
          <w:color w:val="000000"/>
        </w:rPr>
        <w:t xml:space="preserve">, Dye BA, Wei L, Slade GD, Thornton-Evans GO, </w:t>
      </w:r>
      <w:proofErr w:type="spellStart"/>
      <w:r>
        <w:rPr>
          <w:rFonts w:ascii="Book Antiqua" w:eastAsia="Book Antiqua" w:hAnsi="Book Antiqua" w:cs="Book Antiqua"/>
          <w:color w:val="000000"/>
        </w:rPr>
        <w:t>Borgnakke</w:t>
      </w:r>
      <w:proofErr w:type="spellEnd"/>
      <w:r>
        <w:rPr>
          <w:rFonts w:ascii="Book Antiqua" w:eastAsia="Book Antiqua" w:hAnsi="Book Antiqua" w:cs="Book Antiqua"/>
          <w:color w:val="000000"/>
        </w:rPr>
        <w:t xml:space="preserve"> WS, Taylor GW, Page RC, Beck JD, Genco RJ. Update on Prevalence of Periodontitis in Adults in the United States: NHANES 2009 to 2012.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86</w:t>
      </w:r>
      <w:r>
        <w:rPr>
          <w:rFonts w:ascii="Book Antiqua" w:eastAsia="Book Antiqua" w:hAnsi="Book Antiqua" w:cs="Book Antiqua"/>
          <w:color w:val="000000"/>
        </w:rPr>
        <w:t>: 611-622 [PMID: 25688694 DOI: 10.1902/jop.2015.140520]</w:t>
      </w:r>
    </w:p>
    <w:p w14:paraId="42C3B93D" w14:textId="77777777" w:rsidR="00A77B3E" w:rsidRDefault="00AB37F6">
      <w:pPr>
        <w:spacing w:line="360" w:lineRule="auto"/>
        <w:jc w:val="both"/>
      </w:pPr>
      <w:r>
        <w:rPr>
          <w:rFonts w:ascii="Book Antiqua" w:eastAsia="Book Antiqua" w:hAnsi="Book Antiqua" w:cs="Book Antiqua"/>
          <w:color w:val="000000"/>
        </w:rPr>
        <w:lastRenderedPageBreak/>
        <w:t xml:space="preserve">4 </w:t>
      </w:r>
      <w:r>
        <w:rPr>
          <w:rFonts w:ascii="Book Antiqua" w:eastAsia="Book Antiqua" w:hAnsi="Book Antiqua" w:cs="Book Antiqua"/>
          <w:b/>
          <w:bCs/>
          <w:color w:val="000000"/>
        </w:rPr>
        <w:t>Eke PI</w:t>
      </w:r>
      <w:r>
        <w:rPr>
          <w:rFonts w:ascii="Book Antiqua" w:eastAsia="Book Antiqua" w:hAnsi="Book Antiqua" w:cs="Book Antiqua"/>
          <w:color w:val="000000"/>
        </w:rPr>
        <w:t xml:space="preserve">, Wei L, </w:t>
      </w:r>
      <w:proofErr w:type="spellStart"/>
      <w:r>
        <w:rPr>
          <w:rFonts w:ascii="Book Antiqua" w:eastAsia="Book Antiqua" w:hAnsi="Book Antiqua" w:cs="Book Antiqua"/>
          <w:color w:val="000000"/>
        </w:rPr>
        <w:t>Borgnakke</w:t>
      </w:r>
      <w:proofErr w:type="spellEnd"/>
      <w:r>
        <w:rPr>
          <w:rFonts w:ascii="Book Antiqua" w:eastAsia="Book Antiqua" w:hAnsi="Book Antiqua" w:cs="Book Antiqua"/>
          <w:color w:val="000000"/>
        </w:rPr>
        <w:t xml:space="preserve"> WS, Thornton-Evans G, Zhang X, Lu H, McGuire LC, Genco RJ. Periodontitis prevalence in adults ≥ 65 years of age, in the USA.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2016; </w:t>
      </w:r>
      <w:r>
        <w:rPr>
          <w:rFonts w:ascii="Book Antiqua" w:eastAsia="Book Antiqua" w:hAnsi="Book Antiqua" w:cs="Book Antiqua"/>
          <w:b/>
          <w:bCs/>
          <w:color w:val="000000"/>
        </w:rPr>
        <w:t>72</w:t>
      </w:r>
      <w:r>
        <w:rPr>
          <w:rFonts w:ascii="Book Antiqua" w:eastAsia="Book Antiqua" w:hAnsi="Book Antiqua" w:cs="Book Antiqua"/>
          <w:color w:val="000000"/>
        </w:rPr>
        <w:t>: 76-95 [PMID: 27501492 DOI: 10.1111/prd.12145]</w:t>
      </w:r>
    </w:p>
    <w:p w14:paraId="69A62EA7" w14:textId="77777777" w:rsidR="00A77B3E" w:rsidRDefault="00AB37F6">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Albandar</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Epidemiology and risk factors of periodontal diseases. </w:t>
      </w:r>
      <w:r>
        <w:rPr>
          <w:rFonts w:ascii="Book Antiqua" w:eastAsia="Book Antiqua" w:hAnsi="Book Antiqua" w:cs="Book Antiqua"/>
          <w:i/>
          <w:iCs/>
          <w:color w:val="000000"/>
        </w:rPr>
        <w:t>Dent Clin North Am</w:t>
      </w:r>
      <w:r>
        <w:rPr>
          <w:rFonts w:ascii="Book Antiqua" w:eastAsia="Book Antiqua" w:hAnsi="Book Antiqua" w:cs="Book Antiqua"/>
          <w:color w:val="000000"/>
        </w:rPr>
        <w:t xml:space="preserve"> 2005; </w:t>
      </w:r>
      <w:r>
        <w:rPr>
          <w:rFonts w:ascii="Book Antiqua" w:eastAsia="Book Antiqua" w:hAnsi="Book Antiqua" w:cs="Book Antiqua"/>
          <w:b/>
          <w:bCs/>
          <w:color w:val="000000"/>
        </w:rPr>
        <w:t>49</w:t>
      </w:r>
      <w:r>
        <w:rPr>
          <w:rFonts w:ascii="Book Antiqua" w:eastAsia="Book Antiqua" w:hAnsi="Book Antiqua" w:cs="Book Antiqua"/>
          <w:color w:val="000000"/>
        </w:rPr>
        <w:t>: 517-532, v-vi [PMID: 15978239 DOI: 10.1016/j.cden.2005.03.003]</w:t>
      </w:r>
    </w:p>
    <w:p w14:paraId="2758A02D" w14:textId="77777777" w:rsidR="00A77B3E" w:rsidRDefault="00AB37F6">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Genco</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Borgnakke</w:t>
      </w:r>
      <w:proofErr w:type="spellEnd"/>
      <w:r>
        <w:rPr>
          <w:rFonts w:ascii="Book Antiqua" w:eastAsia="Book Antiqua" w:hAnsi="Book Antiqua" w:cs="Book Antiqua"/>
          <w:color w:val="000000"/>
        </w:rPr>
        <w:t xml:space="preserve"> WS. Risk factors for periodontal disease.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59-94 [PMID: 23574464 DOI: 10.1111/j.1600-0757.2012.00457.x]</w:t>
      </w:r>
    </w:p>
    <w:p w14:paraId="0E059A38" w14:textId="77777777" w:rsidR="00A77B3E" w:rsidRDefault="00AB37F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Michaud DS</w:t>
      </w:r>
      <w:r>
        <w:rPr>
          <w:rFonts w:ascii="Book Antiqua" w:eastAsia="Book Antiqua" w:hAnsi="Book Antiqua" w:cs="Book Antiqua"/>
          <w:color w:val="000000"/>
        </w:rPr>
        <w:t xml:space="preserve">, Fu Z, Shi J, Chung M. Periodontal Disease, Tooth Loss, and Cancer Risk. </w:t>
      </w:r>
      <w:r>
        <w:rPr>
          <w:rFonts w:ascii="Book Antiqua" w:eastAsia="Book Antiqua" w:hAnsi="Book Antiqua" w:cs="Book Antiqua"/>
          <w:i/>
          <w:iCs/>
          <w:color w:val="000000"/>
        </w:rPr>
        <w:t>Epidemiol Rev</w:t>
      </w:r>
      <w:r>
        <w:rPr>
          <w:rFonts w:ascii="Book Antiqua" w:eastAsia="Book Antiqua" w:hAnsi="Book Antiqua" w:cs="Book Antiqua"/>
          <w:color w:val="000000"/>
        </w:rPr>
        <w:t xml:space="preserve"> 2017; </w:t>
      </w:r>
      <w:r>
        <w:rPr>
          <w:rFonts w:ascii="Book Antiqua" w:eastAsia="Book Antiqua" w:hAnsi="Book Antiqua" w:cs="Book Antiqua"/>
          <w:b/>
          <w:bCs/>
          <w:color w:val="000000"/>
        </w:rPr>
        <w:t>39</w:t>
      </w:r>
      <w:r>
        <w:rPr>
          <w:rFonts w:ascii="Book Antiqua" w:eastAsia="Book Antiqua" w:hAnsi="Book Antiqua" w:cs="Book Antiqua"/>
          <w:color w:val="000000"/>
        </w:rPr>
        <w:t>: 49-58 [PMID: 28449041 DOI: 10.1093/</w:t>
      </w:r>
      <w:proofErr w:type="spellStart"/>
      <w:r>
        <w:rPr>
          <w:rFonts w:ascii="Book Antiqua" w:eastAsia="Book Antiqua" w:hAnsi="Book Antiqua" w:cs="Book Antiqua"/>
          <w:color w:val="000000"/>
        </w:rPr>
        <w:t>epirev</w:t>
      </w:r>
      <w:proofErr w:type="spellEnd"/>
      <w:r>
        <w:rPr>
          <w:rFonts w:ascii="Book Antiqua" w:eastAsia="Book Antiqua" w:hAnsi="Book Antiqua" w:cs="Book Antiqua"/>
          <w:color w:val="000000"/>
        </w:rPr>
        <w:t>/mxx006]</w:t>
      </w:r>
    </w:p>
    <w:p w14:paraId="07FA0ED8" w14:textId="77777777" w:rsidR="00A77B3E" w:rsidRDefault="00AB37F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Tong C</w:t>
      </w:r>
      <w:r>
        <w:rPr>
          <w:rFonts w:ascii="Book Antiqua" w:eastAsia="Book Antiqua" w:hAnsi="Book Antiqua" w:cs="Book Antiqua"/>
          <w:color w:val="000000"/>
        </w:rPr>
        <w:t xml:space="preserve">, Wang YH, Chang YC. Increased Risk of Carotid Atherosclerosis in Male Patients with Chronic Periodontitis: A Nationwide Population-Based Retrospective Cohort Study.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[PMID: 31344786 DOI: 10.3390/ijerph16152635]</w:t>
      </w:r>
    </w:p>
    <w:p w14:paraId="1F18264C" w14:textId="440AF7DC" w:rsidR="00A77B3E" w:rsidRDefault="00AB37F6">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Ng WK</w:t>
      </w:r>
      <w:r w:rsidRPr="00496077">
        <w:rPr>
          <w:rFonts w:ascii="Book Antiqua" w:eastAsia="Book Antiqua" w:hAnsi="Book Antiqua" w:cs="Book Antiqua"/>
          <w:color w:val="000000"/>
        </w:rPr>
        <w:t>,</w:t>
      </w:r>
      <w:r>
        <w:rPr>
          <w:rFonts w:ascii="Book Antiqua" w:eastAsia="Book Antiqua" w:hAnsi="Book Antiqua" w:cs="Book Antiqua"/>
          <w:color w:val="000000"/>
        </w:rPr>
        <w:t xml:space="preserve"> Wong SH, Ng SC. Changing epidemiological trends of inflammatory bowel disease in Asia. </w:t>
      </w:r>
      <w:proofErr w:type="spellStart"/>
      <w:r w:rsidR="00496077" w:rsidRPr="00496077">
        <w:rPr>
          <w:rFonts w:ascii="Book Antiqua" w:eastAsia="Book Antiqua" w:hAnsi="Book Antiqua" w:cs="Book Antiqua"/>
          <w:i/>
          <w:iCs/>
          <w:color w:val="000000"/>
        </w:rPr>
        <w:t>Intest</w:t>
      </w:r>
      <w:proofErr w:type="spellEnd"/>
      <w:r w:rsidR="00496077" w:rsidRPr="00496077">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2016; </w:t>
      </w:r>
      <w:r w:rsidRPr="00496077">
        <w:rPr>
          <w:rFonts w:ascii="Book Antiqua" w:eastAsia="Book Antiqua" w:hAnsi="Book Antiqua" w:cs="Book Antiqua"/>
          <w:b/>
          <w:bCs/>
          <w:color w:val="000000"/>
        </w:rPr>
        <w:t>14</w:t>
      </w:r>
      <w:r>
        <w:rPr>
          <w:rFonts w:ascii="Book Antiqua" w:eastAsia="Book Antiqua" w:hAnsi="Book Antiqua" w:cs="Book Antiqua"/>
          <w:color w:val="000000"/>
        </w:rPr>
        <w:t>: 111</w:t>
      </w:r>
      <w:r w:rsidR="00496077">
        <w:rPr>
          <w:rFonts w:ascii="Book Antiqua" w:eastAsia="Book Antiqua" w:hAnsi="Book Antiqua" w:cs="Book Antiqua"/>
          <w:color w:val="000000"/>
        </w:rPr>
        <w:t>-119 [</w:t>
      </w:r>
      <w:r w:rsidR="00496077" w:rsidRPr="00496077">
        <w:rPr>
          <w:rFonts w:ascii="Book Antiqua" w:eastAsia="Book Antiqua" w:hAnsi="Book Antiqua" w:cs="Book Antiqua"/>
          <w:color w:val="000000"/>
        </w:rPr>
        <w:t>PMID: 27175111</w:t>
      </w:r>
      <w:r w:rsidR="00496077">
        <w:rPr>
          <w:rFonts w:ascii="Book Antiqua" w:eastAsia="Book Antiqua" w:hAnsi="Book Antiqua" w:cs="Book Antiqua"/>
          <w:color w:val="000000"/>
        </w:rPr>
        <w:t xml:space="preserve"> </w:t>
      </w:r>
      <w:r w:rsidR="00496077" w:rsidRPr="00496077">
        <w:rPr>
          <w:rFonts w:ascii="Book Antiqua" w:eastAsia="Book Antiqua" w:hAnsi="Book Antiqua" w:cs="Book Antiqua"/>
          <w:color w:val="000000"/>
        </w:rPr>
        <w:t>DOI: 10.5217/ir.2016.14.2.111</w:t>
      </w:r>
      <w:r w:rsidR="00496077">
        <w:rPr>
          <w:rFonts w:ascii="Book Antiqua" w:eastAsia="Book Antiqua" w:hAnsi="Book Antiqua" w:cs="Book Antiqua"/>
          <w:color w:val="000000"/>
        </w:rPr>
        <w:t>]</w:t>
      </w:r>
    </w:p>
    <w:p w14:paraId="7C82036D" w14:textId="05982BC8" w:rsidR="00A77B3E" w:rsidRDefault="00AB37F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Park SC</w:t>
      </w:r>
      <w:r w:rsidRPr="00496077">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Role of </w:t>
      </w:r>
      <w:r w:rsidR="00496077">
        <w:rPr>
          <w:rFonts w:ascii="Book Antiqua" w:eastAsia="Book Antiqua" w:hAnsi="Book Antiqua" w:cs="Book Antiqua"/>
          <w:color w:val="000000"/>
        </w:rPr>
        <w:t>S</w:t>
      </w:r>
      <w:r>
        <w:rPr>
          <w:rFonts w:ascii="Book Antiqua" w:eastAsia="Book Antiqua" w:hAnsi="Book Antiqua" w:cs="Book Antiqua"/>
          <w:color w:val="000000"/>
        </w:rPr>
        <w:t xml:space="preserve">moking as a </w:t>
      </w:r>
      <w:r w:rsidR="00496077">
        <w:rPr>
          <w:rFonts w:ascii="Book Antiqua" w:eastAsia="Book Antiqua" w:hAnsi="Book Antiqua" w:cs="Book Antiqua"/>
          <w:color w:val="000000"/>
        </w:rPr>
        <w:t>R</w:t>
      </w:r>
      <w:r>
        <w:rPr>
          <w:rFonts w:ascii="Book Antiqua" w:eastAsia="Book Antiqua" w:hAnsi="Book Antiqua" w:cs="Book Antiqua"/>
          <w:color w:val="000000"/>
        </w:rPr>
        <w:t xml:space="preserve">isk </w:t>
      </w:r>
      <w:r w:rsidR="00496077">
        <w:rPr>
          <w:rFonts w:ascii="Book Antiqua" w:eastAsia="Book Antiqua" w:hAnsi="Book Antiqua" w:cs="Book Antiqua"/>
          <w:color w:val="000000"/>
        </w:rPr>
        <w:t>F</w:t>
      </w:r>
      <w:r>
        <w:rPr>
          <w:rFonts w:ascii="Book Antiqua" w:eastAsia="Book Antiqua" w:hAnsi="Book Antiqua" w:cs="Book Antiqua"/>
          <w:color w:val="000000"/>
        </w:rPr>
        <w:t xml:space="preserve">actor in </w:t>
      </w:r>
      <w:r w:rsidR="00496077">
        <w:rPr>
          <w:rFonts w:ascii="Book Antiqua" w:eastAsia="Book Antiqua" w:hAnsi="Book Antiqua" w:cs="Book Antiqua"/>
          <w:color w:val="000000"/>
        </w:rPr>
        <w:t>E</w:t>
      </w:r>
      <w:r>
        <w:rPr>
          <w:rFonts w:ascii="Book Antiqua" w:eastAsia="Book Antiqua" w:hAnsi="Book Antiqua" w:cs="Book Antiqua"/>
          <w:color w:val="000000"/>
        </w:rPr>
        <w:t xml:space="preserve">ast Asian </w:t>
      </w:r>
      <w:r w:rsidR="00496077">
        <w:rPr>
          <w:rFonts w:ascii="Book Antiqua" w:eastAsia="Book Antiqua" w:hAnsi="Book Antiqua" w:cs="Book Antiqua"/>
          <w:color w:val="000000"/>
        </w:rPr>
        <w:t>P</w:t>
      </w:r>
      <w:r>
        <w:rPr>
          <w:rFonts w:ascii="Book Antiqua" w:eastAsia="Book Antiqua" w:hAnsi="Book Antiqua" w:cs="Book Antiqua"/>
          <w:color w:val="000000"/>
        </w:rPr>
        <w:t xml:space="preserve">atients with Crohn's </w:t>
      </w:r>
      <w:r w:rsidR="00496077">
        <w:rPr>
          <w:rFonts w:ascii="Book Antiqua" w:eastAsia="Book Antiqua" w:hAnsi="Book Antiqua" w:cs="Book Antiqua"/>
          <w:color w:val="000000"/>
        </w:rPr>
        <w:t>D</w:t>
      </w:r>
      <w:r>
        <w:rPr>
          <w:rFonts w:ascii="Book Antiqua" w:eastAsia="Book Antiqua" w:hAnsi="Book Antiqua" w:cs="Book Antiqua"/>
          <w:color w:val="000000"/>
        </w:rPr>
        <w:t xml:space="preserve">isease. </w:t>
      </w:r>
      <w:r w:rsidR="00496077" w:rsidRPr="00496077">
        <w:rPr>
          <w:rFonts w:ascii="Book Antiqua" w:eastAsia="Book Antiqua" w:hAnsi="Book Antiqua" w:cs="Book Antiqua"/>
          <w:i/>
          <w:iCs/>
          <w:color w:val="000000"/>
        </w:rPr>
        <w:t>Gut Liver</w:t>
      </w:r>
      <w:r>
        <w:rPr>
          <w:rFonts w:ascii="Book Antiqua" w:eastAsia="Book Antiqua" w:hAnsi="Book Antiqua" w:cs="Book Antiqua"/>
          <w:color w:val="000000"/>
        </w:rPr>
        <w:t xml:space="preserve"> 2017; </w:t>
      </w:r>
      <w:r w:rsidRPr="00496077">
        <w:rPr>
          <w:rFonts w:ascii="Book Antiqua" w:eastAsia="Book Antiqua" w:hAnsi="Book Antiqua" w:cs="Book Antiqua"/>
          <w:b/>
          <w:bCs/>
          <w:color w:val="000000"/>
        </w:rPr>
        <w:t>11</w:t>
      </w:r>
      <w:r>
        <w:rPr>
          <w:rFonts w:ascii="Book Antiqua" w:eastAsia="Book Antiqua" w:hAnsi="Book Antiqua" w:cs="Book Antiqua"/>
          <w:color w:val="000000"/>
        </w:rPr>
        <w:t>: 7</w:t>
      </w:r>
      <w:r w:rsidR="00496077">
        <w:rPr>
          <w:rFonts w:ascii="Book Antiqua" w:eastAsia="Book Antiqua" w:hAnsi="Book Antiqua" w:cs="Book Antiqua"/>
          <w:color w:val="000000"/>
        </w:rPr>
        <w:t>-8 [</w:t>
      </w:r>
      <w:r w:rsidR="00496077" w:rsidRPr="00496077">
        <w:rPr>
          <w:rFonts w:ascii="Book Antiqua" w:eastAsia="Book Antiqua" w:hAnsi="Book Antiqua" w:cs="Book Antiqua"/>
          <w:color w:val="000000"/>
        </w:rPr>
        <w:t>PMID: 28053297</w:t>
      </w:r>
      <w:r w:rsidR="00496077">
        <w:rPr>
          <w:rFonts w:ascii="Book Antiqua" w:eastAsia="Book Antiqua" w:hAnsi="Book Antiqua" w:cs="Book Antiqua"/>
          <w:color w:val="000000"/>
        </w:rPr>
        <w:t xml:space="preserve"> </w:t>
      </w:r>
      <w:r w:rsidR="00496077" w:rsidRPr="00496077">
        <w:rPr>
          <w:rFonts w:ascii="Book Antiqua" w:eastAsia="Book Antiqua" w:hAnsi="Book Antiqua" w:cs="Book Antiqua"/>
          <w:color w:val="000000"/>
        </w:rPr>
        <w:t>DOI: 10.5009/gnl16534</w:t>
      </w:r>
      <w:r w:rsidR="00496077">
        <w:rPr>
          <w:rFonts w:ascii="Book Antiqua" w:eastAsia="Book Antiqua" w:hAnsi="Book Antiqua" w:cs="Book Antiqua"/>
          <w:color w:val="000000"/>
        </w:rPr>
        <w:t>]</w:t>
      </w:r>
    </w:p>
    <w:p w14:paraId="22CA7A4A" w14:textId="77777777" w:rsidR="00A77B3E" w:rsidRDefault="00AB37F6">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Chun J, Han KD, Soh H, Kang EA,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Dose-response relationship between cigarette smoking and risk of ulcerative colitis: a nationwide population-based study. </w:t>
      </w:r>
      <w:r>
        <w:rPr>
          <w:rFonts w:ascii="Book Antiqua" w:eastAsia="Book Antiqua" w:hAnsi="Book Antiqua" w:cs="Book Antiqua"/>
          <w:i/>
          <w:iCs/>
          <w:color w:val="000000"/>
        </w:rPr>
        <w:t>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54</w:t>
      </w:r>
      <w:r>
        <w:rPr>
          <w:rFonts w:ascii="Book Antiqua" w:eastAsia="Book Antiqua" w:hAnsi="Book Antiqua" w:cs="Book Antiqua"/>
          <w:color w:val="000000"/>
        </w:rPr>
        <w:t>: 881-890 [PMID: 31093771 DOI: 10.1007/s00535-019-01589-3]</w:t>
      </w:r>
    </w:p>
    <w:p w14:paraId="4CC22EF1" w14:textId="57095668" w:rsidR="00A77B3E" w:rsidRDefault="00AB37F6">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Khasawneh</w:t>
      </w:r>
      <w:proofErr w:type="spellEnd"/>
      <w:r>
        <w:rPr>
          <w:rFonts w:ascii="Book Antiqua" w:eastAsia="Book Antiqua" w:hAnsi="Book Antiqua" w:cs="Book Antiqua"/>
          <w:b/>
          <w:bCs/>
          <w:color w:val="000000"/>
        </w:rPr>
        <w:t xml:space="preserve"> M</w:t>
      </w:r>
      <w:r w:rsidRPr="00EB7624">
        <w:rPr>
          <w:rFonts w:ascii="Book Antiqua" w:eastAsia="Book Antiqua" w:hAnsi="Book Antiqua" w:cs="Book Antiqua"/>
          <w:color w:val="000000"/>
        </w:rPr>
        <w:t>,</w:t>
      </w:r>
      <w:r>
        <w:rPr>
          <w:rFonts w:ascii="Book Antiqua" w:eastAsia="Book Antiqua" w:hAnsi="Book Antiqua" w:cs="Book Antiqua"/>
          <w:color w:val="000000"/>
        </w:rPr>
        <w:t xml:space="preserve"> Spence AD, </w:t>
      </w:r>
      <w:proofErr w:type="spellStart"/>
      <w:r>
        <w:rPr>
          <w:rFonts w:ascii="Book Antiqua" w:eastAsia="Book Antiqua" w:hAnsi="Book Antiqua" w:cs="Book Antiqua"/>
          <w:color w:val="000000"/>
        </w:rPr>
        <w:t>Addley</w:t>
      </w:r>
      <w:proofErr w:type="spellEnd"/>
      <w:r>
        <w:rPr>
          <w:rFonts w:ascii="Book Antiqua" w:eastAsia="Book Antiqua" w:hAnsi="Book Antiqua" w:cs="Book Antiqua"/>
          <w:color w:val="000000"/>
        </w:rPr>
        <w:t xml:space="preserve"> J, Allen PB. The role of smoking and alcohol </w:t>
      </w:r>
      <w:proofErr w:type="spellStart"/>
      <w:r>
        <w:rPr>
          <w:rFonts w:ascii="Book Antiqua" w:eastAsia="Book Antiqua" w:hAnsi="Book Antiqua" w:cs="Book Antiqua"/>
          <w:color w:val="000000"/>
        </w:rPr>
        <w:t>behaviour</w:t>
      </w:r>
      <w:proofErr w:type="spellEnd"/>
      <w:r>
        <w:rPr>
          <w:rFonts w:ascii="Book Antiqua" w:eastAsia="Book Antiqua" w:hAnsi="Book Antiqua" w:cs="Book Antiqua"/>
          <w:color w:val="000000"/>
        </w:rPr>
        <w:t xml:space="preserve"> in the management of inflammatory bowel disease. </w:t>
      </w:r>
      <w:r w:rsidR="00EB7624" w:rsidRPr="00EB7624">
        <w:rPr>
          <w:rFonts w:ascii="Book Antiqua" w:eastAsia="Book Antiqua" w:hAnsi="Book Antiqua" w:cs="Book Antiqua"/>
          <w:i/>
          <w:iCs/>
          <w:color w:val="000000"/>
        </w:rPr>
        <w:t xml:space="preserve">Best </w:t>
      </w:r>
      <w:proofErr w:type="spellStart"/>
      <w:r w:rsidR="00EB7624" w:rsidRPr="00EB7624">
        <w:rPr>
          <w:rFonts w:ascii="Book Antiqua" w:eastAsia="Book Antiqua" w:hAnsi="Book Antiqua" w:cs="Book Antiqua"/>
          <w:i/>
          <w:iCs/>
          <w:color w:val="000000"/>
        </w:rPr>
        <w:t>Pract</w:t>
      </w:r>
      <w:proofErr w:type="spellEnd"/>
      <w:r w:rsidR="00EB7624" w:rsidRPr="00EB7624">
        <w:rPr>
          <w:rFonts w:ascii="Book Antiqua" w:eastAsia="Book Antiqua" w:hAnsi="Book Antiqua" w:cs="Book Antiqua"/>
          <w:i/>
          <w:iCs/>
          <w:color w:val="000000"/>
        </w:rPr>
        <w:t xml:space="preserve"> Res </w:t>
      </w:r>
      <w:proofErr w:type="spellStart"/>
      <w:r w:rsidR="00EB7624" w:rsidRPr="00EB7624">
        <w:rPr>
          <w:rFonts w:ascii="Book Antiqua" w:eastAsia="Book Antiqua" w:hAnsi="Book Antiqua" w:cs="Book Antiqua"/>
          <w:i/>
          <w:iCs/>
          <w:color w:val="000000"/>
        </w:rPr>
        <w:t>Clin</w:t>
      </w:r>
      <w:proofErr w:type="spellEnd"/>
      <w:r w:rsidR="00EB7624" w:rsidRPr="00EB7624">
        <w:rPr>
          <w:rFonts w:ascii="Book Antiqua" w:eastAsia="Book Antiqua" w:hAnsi="Book Antiqua" w:cs="Book Antiqua"/>
          <w:i/>
          <w:iCs/>
          <w:color w:val="000000"/>
        </w:rPr>
        <w:t xml:space="preserve"> </w:t>
      </w:r>
      <w:proofErr w:type="spellStart"/>
      <w:r w:rsidR="00EB7624" w:rsidRPr="00EB7624">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sidRPr="00EB7624">
        <w:rPr>
          <w:rFonts w:ascii="Book Antiqua" w:eastAsia="Book Antiqua" w:hAnsi="Book Antiqua" w:cs="Book Antiqua"/>
          <w:b/>
          <w:bCs/>
          <w:color w:val="000000"/>
        </w:rPr>
        <w:t>31</w:t>
      </w:r>
      <w:r>
        <w:rPr>
          <w:rFonts w:ascii="Book Antiqua" w:eastAsia="Book Antiqua" w:hAnsi="Book Antiqua" w:cs="Book Antiqua"/>
          <w:color w:val="000000"/>
        </w:rPr>
        <w:t>: 553-559</w:t>
      </w:r>
      <w:r w:rsidR="00EB7624">
        <w:rPr>
          <w:rFonts w:ascii="Book Antiqua" w:eastAsia="Book Antiqua" w:hAnsi="Book Antiqua" w:cs="Book Antiqua"/>
          <w:color w:val="000000"/>
        </w:rPr>
        <w:t xml:space="preserve"> [</w:t>
      </w:r>
      <w:r w:rsidR="00EB7624" w:rsidRPr="00EB7624">
        <w:rPr>
          <w:rFonts w:ascii="Book Antiqua" w:eastAsia="Book Antiqua" w:hAnsi="Book Antiqua" w:cs="Book Antiqua"/>
          <w:color w:val="000000"/>
        </w:rPr>
        <w:t>PMID: 29195675 DOI: 10.1016/j.bpg.2017.10.004</w:t>
      </w:r>
      <w:r w:rsidR="00EB7624">
        <w:rPr>
          <w:rFonts w:ascii="Book Antiqua" w:eastAsia="Book Antiqua" w:hAnsi="Book Antiqua" w:cs="Book Antiqua"/>
          <w:color w:val="000000"/>
        </w:rPr>
        <w:t>]</w:t>
      </w:r>
    </w:p>
    <w:p w14:paraId="508FA705" w14:textId="77777777" w:rsidR="00A77B3E" w:rsidRDefault="00AB37F6">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Figueredo CM</w:t>
      </w:r>
      <w:r>
        <w:rPr>
          <w:rFonts w:ascii="Book Antiqua" w:eastAsia="Book Antiqua" w:hAnsi="Book Antiqua" w:cs="Book Antiqua"/>
          <w:color w:val="000000"/>
        </w:rPr>
        <w:t xml:space="preserve">, Brito F, Barros FC, </w:t>
      </w:r>
      <w:proofErr w:type="spellStart"/>
      <w:r>
        <w:rPr>
          <w:rFonts w:ascii="Book Antiqua" w:eastAsia="Book Antiqua" w:hAnsi="Book Antiqua" w:cs="Book Antiqua"/>
          <w:color w:val="000000"/>
        </w:rPr>
        <w:t>Menegat</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Pedreira</w:t>
      </w:r>
      <w:proofErr w:type="spellEnd"/>
      <w:r>
        <w:rPr>
          <w:rFonts w:ascii="Book Antiqua" w:eastAsia="Book Antiqua" w:hAnsi="Book Antiqua" w:cs="Book Antiqua"/>
          <w:color w:val="000000"/>
        </w:rPr>
        <w:t xml:space="preserve"> RR, Fischer RG, Gustafsson A. Expression of cytokines in the gingival crevicular fluid and serum from patients with inflammatory bowel disease and untreated chronic periodontitis. </w:t>
      </w:r>
      <w:r>
        <w:rPr>
          <w:rFonts w:ascii="Book Antiqua" w:eastAsia="Book Antiqua" w:hAnsi="Book Antiqua" w:cs="Book Antiqua"/>
          <w:i/>
          <w:iCs/>
          <w:color w:val="000000"/>
        </w:rPr>
        <w:t>J Periodontal Res</w:t>
      </w:r>
      <w:r>
        <w:rPr>
          <w:rFonts w:ascii="Book Antiqua" w:eastAsia="Book Antiqua" w:hAnsi="Book Antiqua" w:cs="Book Antiqua"/>
          <w:color w:val="000000"/>
        </w:rPr>
        <w:t xml:space="preserve"> 2011; </w:t>
      </w:r>
      <w:r>
        <w:rPr>
          <w:rFonts w:ascii="Book Antiqua" w:eastAsia="Book Antiqua" w:hAnsi="Book Antiqua" w:cs="Book Antiqua"/>
          <w:b/>
          <w:bCs/>
          <w:color w:val="000000"/>
        </w:rPr>
        <w:t>46</w:t>
      </w:r>
      <w:r>
        <w:rPr>
          <w:rFonts w:ascii="Book Antiqua" w:eastAsia="Book Antiqua" w:hAnsi="Book Antiqua" w:cs="Book Antiqua"/>
          <w:color w:val="000000"/>
        </w:rPr>
        <w:t>: 141-146 [PMID: 20701671 DOI: 10.1111/j.1600-0765.2010.01303.x]</w:t>
      </w:r>
    </w:p>
    <w:p w14:paraId="320751FE" w14:textId="77777777" w:rsidR="00A77B3E" w:rsidRDefault="00AB37F6">
      <w:pPr>
        <w:spacing w:line="360" w:lineRule="auto"/>
        <w:jc w:val="both"/>
      </w:pPr>
      <w:r>
        <w:rPr>
          <w:rFonts w:ascii="Book Antiqua" w:eastAsia="Book Antiqua" w:hAnsi="Book Antiqua" w:cs="Book Antiqua"/>
          <w:color w:val="000000"/>
        </w:rPr>
        <w:lastRenderedPageBreak/>
        <w:t xml:space="preserve">14 </w:t>
      </w:r>
      <w:proofErr w:type="spellStart"/>
      <w:r>
        <w:rPr>
          <w:rFonts w:ascii="Book Antiqua" w:eastAsia="Book Antiqua" w:hAnsi="Book Antiqua" w:cs="Book Antiqua"/>
          <w:b/>
          <w:bCs/>
          <w:color w:val="000000"/>
        </w:rPr>
        <w:t>Vasovic</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Gajovic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Brajkovic</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Jovanovic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Zdravkovaic</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Kanjevac</w:t>
      </w:r>
      <w:proofErr w:type="spellEnd"/>
      <w:r>
        <w:rPr>
          <w:rFonts w:ascii="Book Antiqua" w:eastAsia="Book Antiqua" w:hAnsi="Book Antiqua" w:cs="Book Antiqua"/>
          <w:color w:val="000000"/>
        </w:rPr>
        <w:t xml:space="preserve"> T. The relationship between the immune system and oral manifestations of inflammatory bowel disease: a review. </w:t>
      </w:r>
      <w:r>
        <w:rPr>
          <w:rFonts w:ascii="Book Antiqua" w:eastAsia="Book Antiqua" w:hAnsi="Book Antiqua" w:cs="Book Antiqua"/>
          <w:i/>
          <w:iCs/>
          <w:color w:val="000000"/>
        </w:rPr>
        <w:t>Cent Eur J Immunol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41</w:t>
      </w:r>
      <w:r>
        <w:rPr>
          <w:rFonts w:ascii="Book Antiqua" w:eastAsia="Book Antiqua" w:hAnsi="Book Antiqua" w:cs="Book Antiqua"/>
          <w:color w:val="000000"/>
        </w:rPr>
        <w:t>: 302-310 [PMID: 27833449 DOI: 10.5114/ceji.2016.63131]</w:t>
      </w:r>
    </w:p>
    <w:p w14:paraId="5DE15BAE" w14:textId="77777777" w:rsidR="00A77B3E" w:rsidRDefault="00AB37F6">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Papageorgiou</w:t>
      </w:r>
      <w:proofErr w:type="spellEnd"/>
      <w:r>
        <w:rPr>
          <w:rFonts w:ascii="Book Antiqua" w:eastAsia="Book Antiqua" w:hAnsi="Book Antiqua" w:cs="Book Antiqua"/>
          <w:b/>
          <w:bCs/>
          <w:color w:val="000000"/>
        </w:rPr>
        <w:t xml:space="preserve"> SN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Hagner</w:t>
      </w:r>
      <w:proofErr w:type="spellEnd"/>
      <w:r>
        <w:rPr>
          <w:rFonts w:ascii="Book Antiqua" w:eastAsia="Book Antiqua" w:hAnsi="Book Antiqua" w:cs="Book Antiqua"/>
          <w:color w:val="000000"/>
        </w:rPr>
        <w:t xml:space="preserve"> M, Nogueira AV, Franke 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Deschner</w:t>
      </w:r>
      <w:proofErr w:type="spellEnd"/>
      <w:r>
        <w:rPr>
          <w:rFonts w:ascii="Book Antiqua" w:eastAsia="Book Antiqua" w:hAnsi="Book Antiqua" w:cs="Book Antiqua"/>
          <w:color w:val="000000"/>
        </w:rPr>
        <w:t xml:space="preserve"> J. Inflammatory bowel disease and oral health: systematic review and a meta-analysis.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44</w:t>
      </w:r>
      <w:r>
        <w:rPr>
          <w:rFonts w:ascii="Book Antiqua" w:eastAsia="Book Antiqua" w:hAnsi="Book Antiqua" w:cs="Book Antiqua"/>
          <w:color w:val="000000"/>
        </w:rPr>
        <w:t>: 382-393 [PMID: 28117909 DOI: 10.1111/jcpe.12698]</w:t>
      </w:r>
    </w:p>
    <w:p w14:paraId="29871D52" w14:textId="77777777" w:rsidR="00A77B3E" w:rsidRDefault="00AB37F6">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Kang EA</w:t>
      </w:r>
      <w:r>
        <w:rPr>
          <w:rFonts w:ascii="Book Antiqua" w:eastAsia="Book Antiqua" w:hAnsi="Book Antiqua" w:cs="Book Antiqua"/>
          <w:color w:val="000000"/>
        </w:rPr>
        <w:t xml:space="preserve">, Han K, Chun J, Soh H, Park S,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Risk of Diabetes in Inflammatory Bowel Disease Patients: A Nationwide Population-based Study in Korea.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30862129 DOI: 10.3390/jcm8030343]</w:t>
      </w:r>
    </w:p>
    <w:p w14:paraId="3F7C96F9" w14:textId="77777777" w:rsidR="00A77B3E" w:rsidRDefault="00AB37F6">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Task Force on Community Preventive Services.</w:t>
      </w:r>
      <w:r>
        <w:rPr>
          <w:rFonts w:ascii="Book Antiqua" w:eastAsia="Book Antiqua" w:hAnsi="Book Antiqua" w:cs="Book Antiqua"/>
          <w:color w:val="000000"/>
        </w:rPr>
        <w:t xml:space="preserve">. A recommendation to improve employee weight status through worksite health promotion programs targeting nutrition, physical activity, or both.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Prev</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37</w:t>
      </w:r>
      <w:r>
        <w:rPr>
          <w:rFonts w:ascii="Book Antiqua" w:eastAsia="Book Antiqua" w:hAnsi="Book Antiqua" w:cs="Book Antiqua"/>
          <w:color w:val="000000"/>
        </w:rPr>
        <w:t>: 358-359 [PMID: 19765508 DOI: 10.1016/j.amepre.2009.07.004]</w:t>
      </w:r>
    </w:p>
    <w:p w14:paraId="29B8B389" w14:textId="77777777" w:rsidR="00A77B3E" w:rsidRDefault="00AB37F6">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Park S</w:t>
      </w:r>
      <w:r>
        <w:rPr>
          <w:rFonts w:ascii="Book Antiqua" w:eastAsia="Book Antiqua" w:hAnsi="Book Antiqua" w:cs="Book Antiqua"/>
          <w:color w:val="000000"/>
        </w:rPr>
        <w:t xml:space="preserve">, Chun J, Han KD, Soh H, Choi K, Kim JH, Lee J, Lee C,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end-stage renal disease risk in patients with inflammatory bowel disease: A nationwide population-based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4798-4808 [PMID: 30479466 DOI: 10.3748/wjg.v24.i42.4798]</w:t>
      </w:r>
    </w:p>
    <w:p w14:paraId="2DCC69E2" w14:textId="77777777" w:rsidR="00A77B3E" w:rsidRDefault="00AB37F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Soh H</w:t>
      </w:r>
      <w:r>
        <w:rPr>
          <w:rFonts w:ascii="Book Antiqua" w:eastAsia="Book Antiqua" w:hAnsi="Book Antiqua" w:cs="Book Antiqua"/>
          <w:color w:val="000000"/>
        </w:rPr>
        <w:t xml:space="preserve">, Chun J, Han K, Park S, Choi G, Kim J, Lee 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Risk of Herpes Zoster in Young and Metabolically Healthy Patients with Inflammatory Bowel Disease: A Nationwide Population-Based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333-341 [PMID: 30602222 DOI: 10.5009/gnl18304]</w:t>
      </w:r>
    </w:p>
    <w:p w14:paraId="1606D826" w14:textId="77777777" w:rsidR="00A77B3E" w:rsidRDefault="00AB37F6">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Lee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Han K, Kim J, Lee HJ, Chun J, Kim JS. Changes in Direct Healthcare Costs before and after the Diagnosis of Inflammatory Bowel Disease: A Nationwide Population-Based Study. </w:t>
      </w:r>
      <w:r>
        <w:rPr>
          <w:rFonts w:ascii="Book Antiqua" w:eastAsia="Book Antiqua" w:hAnsi="Book Antiqua" w:cs="Book Antiqua"/>
          <w:i/>
          <w:iCs/>
          <w:color w:val="000000"/>
        </w:rPr>
        <w:t>Gut Liver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89-99 [PMID: 31158951 DOI: 10.5009/gnl19023]</w:t>
      </w:r>
    </w:p>
    <w:p w14:paraId="1F9EE380" w14:textId="77777777" w:rsidR="00A77B3E" w:rsidRDefault="00AB37F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Kim J</w:t>
      </w:r>
      <w:r>
        <w:rPr>
          <w:rFonts w:ascii="Book Antiqua" w:eastAsia="Book Antiqua" w:hAnsi="Book Antiqua" w:cs="Book Antiqua"/>
          <w:color w:val="000000"/>
        </w:rPr>
        <w:t xml:space="preserve">, Chun J, Lee C, Han K, Choi S, Lee J, Soh H, Choi K, Park S, Kang EA,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Increased risk of idiopathic pulmonary fibrosis in inflammatory bowel </w:t>
      </w:r>
      <w:r>
        <w:rPr>
          <w:rFonts w:ascii="Book Antiqua" w:eastAsia="Book Antiqua" w:hAnsi="Book Antiqua" w:cs="Book Antiqua"/>
          <w:color w:val="000000"/>
        </w:rPr>
        <w:lastRenderedPageBreak/>
        <w:t xml:space="preserve">disease: A nationwide study.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35</w:t>
      </w:r>
      <w:r>
        <w:rPr>
          <w:rFonts w:ascii="Book Antiqua" w:eastAsia="Book Antiqua" w:hAnsi="Book Antiqua" w:cs="Book Antiqua"/>
          <w:color w:val="000000"/>
        </w:rPr>
        <w:t>: 249-255 [PMID: 31420894 DOI: 10.1111/jgh.14838]</w:t>
      </w:r>
    </w:p>
    <w:p w14:paraId="2D8A7A18" w14:textId="77777777" w:rsidR="00A77B3E" w:rsidRDefault="00AB37F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Choi K</w:t>
      </w:r>
      <w:r>
        <w:rPr>
          <w:rFonts w:ascii="Book Antiqua" w:eastAsia="Book Antiqua" w:hAnsi="Book Antiqua" w:cs="Book Antiqua"/>
          <w:color w:val="000000"/>
        </w:rPr>
        <w:t xml:space="preserve">, Chun J, Han K, Park S, Soh H, Kim J, Lee J,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Risk of Anxiety and Depression in Patients with Inflammatory Bowel Disease: A Nationwide, Population-Based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31083476 DOI: 10.3390/jcm8050654]</w:t>
      </w:r>
    </w:p>
    <w:p w14:paraId="347AC755" w14:textId="77777777" w:rsidR="00A77B3E" w:rsidRDefault="00AB37F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Lee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Han K, Park S, Soh H, Choi K, Kim J, Chun J, Kim JS. Risk of inflammatory bowel disease in patients with chronic obstructive pulmonary disease: A nationwide, population-based study.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6354-6364 [PMID: 31754295 DOI: 10.3748/wjg.v25.i42.6354]</w:t>
      </w:r>
    </w:p>
    <w:p w14:paraId="653DCED6" w14:textId="77777777" w:rsidR="00A77B3E" w:rsidRDefault="00AB37F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Soh</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Han K, Park S, Hong SW, Moon JM, Kang EA, Chun J, Lee HJ, Kim JS. Crohn's disease and ulcerative colitis are associated with different lipid profile disorders: a nationwide population-based study. </w:t>
      </w:r>
      <w:r>
        <w:rPr>
          <w:rFonts w:ascii="Book Antiqua" w:eastAsia="Book Antiqua" w:hAnsi="Book Antiqua" w:cs="Book Antiqua"/>
          <w:i/>
          <w:iCs/>
          <w:color w:val="000000"/>
        </w:rPr>
        <w:t xml:space="preserve">Aliment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51</w:t>
      </w:r>
      <w:r>
        <w:rPr>
          <w:rFonts w:ascii="Book Antiqua" w:eastAsia="Book Antiqua" w:hAnsi="Book Antiqua" w:cs="Book Antiqua"/>
          <w:color w:val="000000"/>
        </w:rPr>
        <w:t>: 446-456 [PMID: 31691306 DOI: 10.1111/apt.15562]</w:t>
      </w:r>
    </w:p>
    <w:p w14:paraId="0F34C21C" w14:textId="77777777" w:rsidR="00A77B3E" w:rsidRDefault="00AB37F6">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Park S</w:t>
      </w:r>
      <w:r>
        <w:rPr>
          <w:rFonts w:ascii="Book Antiqua" w:eastAsia="Book Antiqua" w:hAnsi="Book Antiqua" w:cs="Book Antiqua"/>
          <w:color w:val="000000"/>
        </w:rPr>
        <w:t xml:space="preserve">, Kim J, Chun J, Han K, Soh H, Kang EA, Lee HJ,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Kim JS. Patients with Inflammatory Bowel Disease Are at an Increased Risk of Parkinson's Disease: A South Korean Nationwide Population-Based Study.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8</w:t>
      </w:r>
      <w:r>
        <w:rPr>
          <w:rFonts w:ascii="Book Antiqua" w:eastAsia="Book Antiqua" w:hAnsi="Book Antiqua" w:cs="Book Antiqua"/>
          <w:color w:val="000000"/>
        </w:rPr>
        <w:t>: [PMID: 31398905 DOI: 10.3390/jcm8081191]</w:t>
      </w:r>
    </w:p>
    <w:p w14:paraId="760761E4" w14:textId="77777777" w:rsidR="00A77B3E" w:rsidRDefault="00AB37F6">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Poyato</w:t>
      </w:r>
      <w:proofErr w:type="spellEnd"/>
      <w:r>
        <w:rPr>
          <w:rFonts w:ascii="Book Antiqua" w:eastAsia="Book Antiqua" w:hAnsi="Book Antiqua" w:cs="Book Antiqua"/>
          <w:b/>
          <w:bCs/>
          <w:color w:val="000000"/>
        </w:rPr>
        <w:t>-Borrego M</w:t>
      </w:r>
      <w:r>
        <w:rPr>
          <w:rFonts w:ascii="Book Antiqua" w:eastAsia="Book Antiqua" w:hAnsi="Book Antiqua" w:cs="Book Antiqua"/>
          <w:color w:val="000000"/>
        </w:rPr>
        <w:t>, Segura-</w:t>
      </w:r>
      <w:proofErr w:type="spellStart"/>
      <w:r>
        <w:rPr>
          <w:rFonts w:ascii="Book Antiqua" w:eastAsia="Book Antiqua" w:hAnsi="Book Antiqua" w:cs="Book Antiqua"/>
          <w:color w:val="000000"/>
        </w:rPr>
        <w:t>Sampedro</w:t>
      </w:r>
      <w:proofErr w:type="spellEnd"/>
      <w:r>
        <w:rPr>
          <w:rFonts w:ascii="Book Antiqua" w:eastAsia="Book Antiqua" w:hAnsi="Book Antiqua" w:cs="Book Antiqua"/>
          <w:color w:val="000000"/>
        </w:rPr>
        <w:t xml:space="preserve"> JJ, Martín-González J, Torres-Domínguez Y, Velasco-Ortega E, Segura-</w:t>
      </w:r>
      <w:proofErr w:type="spellStart"/>
      <w:r>
        <w:rPr>
          <w:rFonts w:ascii="Book Antiqua" w:eastAsia="Book Antiqua" w:hAnsi="Book Antiqua" w:cs="Book Antiqua"/>
          <w:color w:val="000000"/>
        </w:rPr>
        <w:t>Egea</w:t>
      </w:r>
      <w:proofErr w:type="spellEnd"/>
      <w:r>
        <w:rPr>
          <w:rFonts w:ascii="Book Antiqua" w:eastAsia="Book Antiqua" w:hAnsi="Book Antiqua" w:cs="Book Antiqua"/>
          <w:color w:val="000000"/>
        </w:rPr>
        <w:t xml:space="preserve"> JJ. High Prevalence of Apical Periodontitis in Patients With Inflammatory Bowel Disease: An Age- and Gender- matched Case-control Study. </w:t>
      </w:r>
      <w:proofErr w:type="spellStart"/>
      <w:r>
        <w:rPr>
          <w:rFonts w:ascii="Book Antiqua" w:eastAsia="Book Antiqua" w:hAnsi="Book Antiqua" w:cs="Book Antiqua"/>
          <w:i/>
          <w:iCs/>
          <w:color w:val="000000"/>
        </w:rPr>
        <w:t>Inflamm</w:t>
      </w:r>
      <w:proofErr w:type="spellEnd"/>
      <w:r>
        <w:rPr>
          <w:rFonts w:ascii="Book Antiqua" w:eastAsia="Book Antiqua" w:hAnsi="Book Antiqua" w:cs="Book Antiqua"/>
          <w:i/>
          <w:iCs/>
          <w:color w:val="000000"/>
        </w:rPr>
        <w:t xml:space="preserve"> Bowel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273-279 [PMID: 31247107 DOI: 10.1093/</w:t>
      </w:r>
      <w:proofErr w:type="spellStart"/>
      <w:r>
        <w:rPr>
          <w:rFonts w:ascii="Book Antiqua" w:eastAsia="Book Antiqua" w:hAnsi="Book Antiqua" w:cs="Book Antiqua"/>
          <w:color w:val="000000"/>
        </w:rPr>
        <w:t>ibd</w:t>
      </w:r>
      <w:proofErr w:type="spellEnd"/>
      <w:r>
        <w:rPr>
          <w:rFonts w:ascii="Book Antiqua" w:eastAsia="Book Antiqua" w:hAnsi="Book Antiqua" w:cs="Book Antiqua"/>
          <w:color w:val="000000"/>
        </w:rPr>
        <w:t>/izz128]</w:t>
      </w:r>
    </w:p>
    <w:p w14:paraId="1443711A" w14:textId="77777777" w:rsidR="00A77B3E" w:rsidRDefault="00AB37F6">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Lauritano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Boccalari</w:t>
      </w:r>
      <w:proofErr w:type="spellEnd"/>
      <w:r>
        <w:rPr>
          <w:rFonts w:ascii="Book Antiqua" w:eastAsia="Book Antiqua" w:hAnsi="Book Antiqua" w:cs="Book Antiqua"/>
          <w:color w:val="000000"/>
        </w:rPr>
        <w:t xml:space="preserve"> E, Di </w:t>
      </w:r>
      <w:proofErr w:type="spellStart"/>
      <w:r>
        <w:rPr>
          <w:rFonts w:ascii="Book Antiqua" w:eastAsia="Book Antiqua" w:hAnsi="Book Antiqua" w:cs="Book Antiqua"/>
          <w:color w:val="000000"/>
        </w:rPr>
        <w:t>Stasio</w:t>
      </w:r>
      <w:proofErr w:type="spellEnd"/>
      <w:r>
        <w:rPr>
          <w:rFonts w:ascii="Book Antiqua" w:eastAsia="Book Antiqua" w:hAnsi="Book Antiqua" w:cs="Book Antiqua"/>
          <w:color w:val="000000"/>
        </w:rPr>
        <w:t xml:space="preserve"> D, Della Vella F, </w:t>
      </w:r>
      <w:proofErr w:type="spellStart"/>
      <w:r>
        <w:rPr>
          <w:rFonts w:ascii="Book Antiqua" w:eastAsia="Book Antiqua" w:hAnsi="Book Antiqua" w:cs="Book Antiqua"/>
          <w:color w:val="000000"/>
        </w:rPr>
        <w:t>Carinci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Lucchese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Petruzzi</w:t>
      </w:r>
      <w:proofErr w:type="spellEnd"/>
      <w:r>
        <w:rPr>
          <w:rFonts w:ascii="Book Antiqua" w:eastAsia="Book Antiqua" w:hAnsi="Book Antiqua" w:cs="Book Antiqua"/>
          <w:color w:val="000000"/>
        </w:rPr>
        <w:t xml:space="preserve"> M. Prevalence of Oral Lesions and Correlation with Intestinal Symptoms of Inflammatory Bowel Disease: A Systematic Review. </w:t>
      </w:r>
      <w:r>
        <w:rPr>
          <w:rFonts w:ascii="Book Antiqua" w:eastAsia="Book Antiqua" w:hAnsi="Book Antiqua" w:cs="Book Antiqua"/>
          <w:i/>
          <w:iCs/>
          <w:color w:val="000000"/>
        </w:rPr>
        <w:t>Diagnostics (Basel)</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[PMID: 31311171 DOI: 10.3390/diagnostics9030077]</w:t>
      </w:r>
    </w:p>
    <w:p w14:paraId="7A569CED" w14:textId="77777777" w:rsidR="00A77B3E" w:rsidRDefault="00AB37F6">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Piras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Usai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Mezzena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Susnik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Ideo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Schirru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Cotti</w:t>
      </w:r>
      <w:proofErr w:type="spellEnd"/>
      <w:r>
        <w:rPr>
          <w:rFonts w:ascii="Book Antiqua" w:eastAsia="Book Antiqua" w:hAnsi="Book Antiqua" w:cs="Book Antiqua"/>
          <w:color w:val="000000"/>
        </w:rPr>
        <w:t xml:space="preserve"> E. Prevalence of Apical Periodontitis in Patients with Inflammatory Bowel Diseases: A Retrospective Clinical Study.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Endod</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43</w:t>
      </w:r>
      <w:r>
        <w:rPr>
          <w:rFonts w:ascii="Book Antiqua" w:eastAsia="Book Antiqua" w:hAnsi="Book Antiqua" w:cs="Book Antiqua"/>
          <w:color w:val="000000"/>
        </w:rPr>
        <w:t>: 389-394 [PMID: 28231978 DOI: 10.1016/j.joen.2016.11.004]</w:t>
      </w:r>
    </w:p>
    <w:p w14:paraId="67CF2FEC" w14:textId="77777777" w:rsidR="00A77B3E" w:rsidRDefault="00AB37F6">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Chi YC</w:t>
      </w:r>
      <w:r>
        <w:rPr>
          <w:rFonts w:ascii="Book Antiqua" w:eastAsia="Book Antiqua" w:hAnsi="Book Antiqua" w:cs="Book Antiqua"/>
          <w:color w:val="000000"/>
        </w:rPr>
        <w:t xml:space="preserve">, Chen JL, Wang LH, Chang K, Wu CL, Lin SY, Keller JJ, Bai CH. Increased risk of periodontitis among patients with Crohn's disease: a population-based matched-cohort study. </w:t>
      </w:r>
      <w:r>
        <w:rPr>
          <w:rFonts w:ascii="Book Antiqua" w:eastAsia="Book Antiqua" w:hAnsi="Book Antiqua" w:cs="Book Antiqua"/>
          <w:i/>
          <w:iCs/>
          <w:color w:val="000000"/>
        </w:rPr>
        <w:t>Int J Colorectal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33</w:t>
      </w:r>
      <w:r>
        <w:rPr>
          <w:rFonts w:ascii="Book Antiqua" w:eastAsia="Book Antiqua" w:hAnsi="Book Antiqua" w:cs="Book Antiqua"/>
          <w:color w:val="000000"/>
        </w:rPr>
        <w:t>: 1437-1444 [PMID: 30003361 DOI: 10.1007/s00384-018-3117-4]</w:t>
      </w:r>
    </w:p>
    <w:p w14:paraId="126E6C72" w14:textId="77777777" w:rsidR="00A77B3E" w:rsidRDefault="00AB37F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Tan CX</w:t>
      </w:r>
      <w:r>
        <w:rPr>
          <w:rFonts w:ascii="Book Antiqua" w:eastAsia="Book Antiqua" w:hAnsi="Book Antiqua" w:cs="Book Antiqua"/>
          <w:color w:val="000000"/>
        </w:rPr>
        <w:t xml:space="preserve">, Brand HS, de Boer NK, </w:t>
      </w:r>
      <w:proofErr w:type="spellStart"/>
      <w:r>
        <w:rPr>
          <w:rFonts w:ascii="Book Antiqua" w:eastAsia="Book Antiqua" w:hAnsi="Book Antiqua" w:cs="Book Antiqua"/>
          <w:color w:val="000000"/>
        </w:rPr>
        <w:t>Forouzanfar</w:t>
      </w:r>
      <w:proofErr w:type="spellEnd"/>
      <w:r>
        <w:rPr>
          <w:rFonts w:ascii="Book Antiqua" w:eastAsia="Book Antiqua" w:hAnsi="Book Antiqua" w:cs="Book Antiqua"/>
          <w:color w:val="000000"/>
        </w:rPr>
        <w:t xml:space="preserve"> T. Gastrointestinal diseases and their </w:t>
      </w:r>
      <w:proofErr w:type="spellStart"/>
      <w:r>
        <w:rPr>
          <w:rFonts w:ascii="Book Antiqua" w:eastAsia="Book Antiqua" w:hAnsi="Book Antiqua" w:cs="Book Antiqua"/>
          <w:color w:val="000000"/>
        </w:rPr>
        <w:t>oro</w:t>
      </w:r>
      <w:proofErr w:type="spellEnd"/>
      <w:r>
        <w:rPr>
          <w:rFonts w:ascii="Book Antiqua" w:eastAsia="Book Antiqua" w:hAnsi="Book Antiqua" w:cs="Book Antiqua"/>
          <w:color w:val="000000"/>
        </w:rPr>
        <w:t xml:space="preserve">-dental manifestations: Part 2: Ulcerative colitis. </w:t>
      </w:r>
      <w:r>
        <w:rPr>
          <w:rFonts w:ascii="Book Antiqua" w:eastAsia="Book Antiqua" w:hAnsi="Book Antiqua" w:cs="Book Antiqua"/>
          <w:i/>
          <w:iCs/>
          <w:color w:val="000000"/>
        </w:rPr>
        <w:t>Br Dent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222</w:t>
      </w:r>
      <w:r>
        <w:rPr>
          <w:rFonts w:ascii="Book Antiqua" w:eastAsia="Book Antiqua" w:hAnsi="Book Antiqua" w:cs="Book Antiqua"/>
          <w:color w:val="000000"/>
        </w:rPr>
        <w:t>: 53-57 [PMID: 28084352 DOI: 10.1038/sj.bdj.2017.37]</w:t>
      </w:r>
    </w:p>
    <w:p w14:paraId="3143009F" w14:textId="77777777" w:rsidR="00A77B3E" w:rsidRDefault="00AB37F6">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Brito F</w:t>
      </w:r>
      <w:r>
        <w:rPr>
          <w:rFonts w:ascii="Book Antiqua" w:eastAsia="Book Antiqua" w:hAnsi="Book Antiqua" w:cs="Book Antiqua"/>
          <w:color w:val="000000"/>
        </w:rPr>
        <w:t xml:space="preserve">, de Barros FC, </w:t>
      </w:r>
      <w:proofErr w:type="spellStart"/>
      <w:r>
        <w:rPr>
          <w:rFonts w:ascii="Book Antiqua" w:eastAsia="Book Antiqua" w:hAnsi="Book Antiqua" w:cs="Book Antiqua"/>
          <w:color w:val="000000"/>
        </w:rPr>
        <w:t>Zaltman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AT, Carneiro AJ, Fischer RG, Gustafsson A, Figueredo CM. Prevalence of periodontitis and DMFT index in patients with Crohn's disease and ulcerative colitis.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555-560 [PMID: 18400026 DOI: 10.1111/j.1600-051X.2008.01231.x]</w:t>
      </w:r>
    </w:p>
    <w:p w14:paraId="727B97DE" w14:textId="77777777" w:rsidR="00A77B3E" w:rsidRDefault="00AB37F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Brito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Zaltman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Carvalho</w:t>
      </w:r>
      <w:proofErr w:type="spellEnd"/>
      <w:r>
        <w:rPr>
          <w:rFonts w:ascii="Book Antiqua" w:eastAsia="Book Antiqua" w:hAnsi="Book Antiqua" w:cs="Book Antiqua"/>
          <w:color w:val="000000"/>
        </w:rPr>
        <w:t xml:space="preserve"> AT, Fischer RG, Persson R, Gustafsson A, Figueredo CM. Subgingival microflora in inflammatory bowel disease patients with untreated periodontitis. </w:t>
      </w:r>
      <w:r>
        <w:rPr>
          <w:rFonts w:ascii="Book Antiqua" w:eastAsia="Book Antiqua" w:hAnsi="Book Antiqua" w:cs="Book Antiqua"/>
          <w:i/>
          <w:iCs/>
          <w:color w:val="000000"/>
        </w:rPr>
        <w:t>Eur J Gastroenterol Hepatol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25</w:t>
      </w:r>
      <w:r>
        <w:rPr>
          <w:rFonts w:ascii="Book Antiqua" w:eastAsia="Book Antiqua" w:hAnsi="Book Antiqua" w:cs="Book Antiqua"/>
          <w:color w:val="000000"/>
        </w:rPr>
        <w:t>: 239-245 [PMID: 23060013 DOI: 10.1097/MEG.0b013e32835a2b70]</w:t>
      </w:r>
    </w:p>
    <w:p w14:paraId="0A7E2420" w14:textId="77777777" w:rsidR="00A77B3E" w:rsidRDefault="00AB37F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Bunte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Beikler</w:t>
      </w:r>
      <w:proofErr w:type="spellEnd"/>
      <w:r>
        <w:rPr>
          <w:rFonts w:ascii="Book Antiqua" w:eastAsia="Book Antiqua" w:hAnsi="Book Antiqua" w:cs="Book Antiqua"/>
          <w:color w:val="000000"/>
        </w:rPr>
        <w:t xml:space="preserve"> T. Th17 Cells and the IL-23/IL-17 Axis in the Pathogenesis of Periodontitis and Immune-Mediated Inflammatory Diseases.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[PMID: 31295952 DOI: 10.3390/ijms20143394]</w:t>
      </w:r>
    </w:p>
    <w:p w14:paraId="243C987F" w14:textId="77777777" w:rsidR="00A77B3E" w:rsidRDefault="00AB37F6">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Lin CY</w:t>
      </w:r>
      <w:r>
        <w:rPr>
          <w:rFonts w:ascii="Book Antiqua" w:eastAsia="Book Antiqua" w:hAnsi="Book Antiqua" w:cs="Book Antiqua"/>
          <w:color w:val="000000"/>
        </w:rPr>
        <w:t xml:space="preserve">, Tseng KS, Liu JM, Chuang HC, Lien CH, Chen YC, Lai CY, Yu CP, Hsu RJ. Increased Risk of Ulcerative Colitis in Patients with Periodontal Disease: A Nationwide Population-Based Cohort Study.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2018; </w:t>
      </w:r>
      <w:r>
        <w:rPr>
          <w:rFonts w:ascii="Book Antiqua" w:eastAsia="Book Antiqua" w:hAnsi="Book Antiqua" w:cs="Book Antiqua"/>
          <w:b/>
          <w:bCs/>
          <w:color w:val="000000"/>
        </w:rPr>
        <w:t>15</w:t>
      </w:r>
      <w:r>
        <w:rPr>
          <w:rFonts w:ascii="Book Antiqua" w:eastAsia="Book Antiqua" w:hAnsi="Book Antiqua" w:cs="Book Antiqua"/>
          <w:color w:val="000000"/>
        </w:rPr>
        <w:t>: [PMID: 30469385 DOI: 10.3390/ijerph15112602]</w:t>
      </w:r>
    </w:p>
    <w:p w14:paraId="43B314CE" w14:textId="77777777" w:rsidR="00A77B3E" w:rsidRDefault="00AB37F6">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Hajishengallis</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Periodontitis: from microbial immune subversion to systemic inflammation.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30-44 [PMID: 25534621 DOI: 10.1038/nri3785]</w:t>
      </w:r>
    </w:p>
    <w:p w14:paraId="4832066A" w14:textId="77777777" w:rsidR="00A77B3E" w:rsidRDefault="00AB37F6">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Nishida A</w:t>
      </w:r>
      <w:r>
        <w:rPr>
          <w:rFonts w:ascii="Book Antiqua" w:eastAsia="Book Antiqua" w:hAnsi="Book Antiqua" w:cs="Book Antiqua"/>
          <w:color w:val="000000"/>
        </w:rPr>
        <w:t xml:space="preserve">, Inoue R, </w:t>
      </w:r>
      <w:proofErr w:type="spellStart"/>
      <w:r>
        <w:rPr>
          <w:rFonts w:ascii="Book Antiqua" w:eastAsia="Book Antiqua" w:hAnsi="Book Antiqua" w:cs="Book Antiqua"/>
          <w:color w:val="000000"/>
        </w:rPr>
        <w:t>Inatomi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Bamba</w:t>
      </w:r>
      <w:proofErr w:type="spellEnd"/>
      <w:r>
        <w:rPr>
          <w:rFonts w:ascii="Book Antiqua" w:eastAsia="Book Antiqua" w:hAnsi="Book Antiqua" w:cs="Book Antiqua"/>
          <w:color w:val="000000"/>
        </w:rPr>
        <w:t xml:space="preserve"> S, Naito Y, </w:t>
      </w:r>
      <w:proofErr w:type="spellStart"/>
      <w:r>
        <w:rPr>
          <w:rFonts w:ascii="Book Antiqua" w:eastAsia="Book Antiqua" w:hAnsi="Book Antiqua" w:cs="Book Antiqua"/>
          <w:color w:val="000000"/>
        </w:rPr>
        <w:t>Andoh</w:t>
      </w:r>
      <w:proofErr w:type="spellEnd"/>
      <w:r>
        <w:rPr>
          <w:rFonts w:ascii="Book Antiqua" w:eastAsia="Book Antiqua" w:hAnsi="Book Antiqua" w:cs="Book Antiqua"/>
          <w:color w:val="000000"/>
        </w:rPr>
        <w:t xml:space="preserve"> A. Gut microbiota in the pathogenesis of inflammatory bowel disease. </w:t>
      </w:r>
      <w:r>
        <w:rPr>
          <w:rFonts w:ascii="Book Antiqua" w:eastAsia="Book Antiqua" w:hAnsi="Book Antiqua" w:cs="Book Antiqua"/>
          <w:i/>
          <w:iCs/>
          <w:color w:val="000000"/>
        </w:rPr>
        <w:t>Clin J Gastroenterol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11</w:t>
      </w:r>
      <w:r>
        <w:rPr>
          <w:rFonts w:ascii="Book Antiqua" w:eastAsia="Book Antiqua" w:hAnsi="Book Antiqua" w:cs="Book Antiqua"/>
          <w:color w:val="000000"/>
        </w:rPr>
        <w:t>: 1-10 [PMID: 29285689 DOI: 10.1007/s12328-017-0813-5]</w:t>
      </w:r>
    </w:p>
    <w:p w14:paraId="422CF9B5" w14:textId="77777777" w:rsidR="00A77B3E" w:rsidRDefault="00AB37F6">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Xun</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Zhang Q, Xu T, Chen N, Chen F. Dysbiosis and Ecotypes of the Salivary Microbiome Associated With Inflammatory Bowel Diseases and the Assistance in </w:t>
      </w:r>
      <w:r>
        <w:rPr>
          <w:rFonts w:ascii="Book Antiqua" w:eastAsia="Book Antiqua" w:hAnsi="Book Antiqua" w:cs="Book Antiqua"/>
          <w:color w:val="000000"/>
        </w:rPr>
        <w:lastRenderedPageBreak/>
        <w:t xml:space="preserve">Diagnosis of Diseases Using Oral Bacterial Profiles. </w:t>
      </w:r>
      <w:r>
        <w:rPr>
          <w:rFonts w:ascii="Book Antiqua" w:eastAsia="Book Antiqua" w:hAnsi="Book Antiqua" w:cs="Book Antiqua"/>
          <w:i/>
          <w:iCs/>
          <w:color w:val="000000"/>
        </w:rPr>
        <w:t>Front Microbiol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1136 [PMID: 29899737 DOI: 10.3389/fmicb.2018.01136]</w:t>
      </w:r>
    </w:p>
    <w:p w14:paraId="52746F7E" w14:textId="77777777" w:rsidR="00A77B3E" w:rsidRDefault="00AB37F6">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Yin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Ludvigsson</w:t>
      </w:r>
      <w:proofErr w:type="spellEnd"/>
      <w:r>
        <w:rPr>
          <w:rFonts w:ascii="Book Antiqua" w:eastAsia="Book Antiqua" w:hAnsi="Book Antiqua" w:cs="Book Antiqua"/>
          <w:color w:val="000000"/>
        </w:rPr>
        <w:t xml:space="preserve"> JF, Liu Z, </w:t>
      </w:r>
      <w:proofErr w:type="spellStart"/>
      <w:r>
        <w:rPr>
          <w:rFonts w:ascii="Book Antiqua" w:eastAsia="Book Antiqua" w:hAnsi="Book Antiqua" w:cs="Book Antiqua"/>
          <w:color w:val="000000"/>
        </w:rPr>
        <w:t>Roosaar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Axéll</w:t>
      </w:r>
      <w:proofErr w:type="spellEnd"/>
      <w:r>
        <w:rPr>
          <w:rFonts w:ascii="Book Antiqua" w:eastAsia="Book Antiqua" w:hAnsi="Book Antiqua" w:cs="Book Antiqua"/>
          <w:color w:val="000000"/>
        </w:rPr>
        <w:t xml:space="preserve"> T, Ye W. Inverse Association Between Poor Oral Health and Inflammatory Bowel Diseases.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525-531 [PMID: 27392757 DOI: 10.1016/j.cgh.2016.06.024]</w:t>
      </w:r>
    </w:p>
    <w:p w14:paraId="57E60D56" w14:textId="77777777" w:rsidR="00A77B3E" w:rsidRDefault="00AB37F6">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Beaugerie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Massot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Carbonnel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Gendre</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Cosnes</w:t>
      </w:r>
      <w:proofErr w:type="spellEnd"/>
      <w:r>
        <w:rPr>
          <w:rFonts w:ascii="Book Antiqua" w:eastAsia="Book Antiqua" w:hAnsi="Book Antiqua" w:cs="Book Antiqua"/>
          <w:color w:val="000000"/>
        </w:rPr>
        <w:t xml:space="preserve"> J. Impact of cessation of smoking on the course of ulcerative colitis.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2001; </w:t>
      </w:r>
      <w:r>
        <w:rPr>
          <w:rFonts w:ascii="Book Antiqua" w:eastAsia="Book Antiqua" w:hAnsi="Book Antiqua" w:cs="Book Antiqua"/>
          <w:b/>
          <w:bCs/>
          <w:color w:val="000000"/>
        </w:rPr>
        <w:t>96</w:t>
      </w:r>
      <w:r>
        <w:rPr>
          <w:rFonts w:ascii="Book Antiqua" w:eastAsia="Book Antiqua" w:hAnsi="Book Antiqua" w:cs="Book Antiqua"/>
          <w:color w:val="000000"/>
        </w:rPr>
        <w:t>: 2113-2116 [PMID: 11467641 DOI: 10.1111/j.1572-0241.2001.03944.x]</w:t>
      </w:r>
    </w:p>
    <w:p w14:paraId="2F9A90E8" w14:textId="77777777" w:rsidR="00A77B3E" w:rsidRDefault="00AB37F6">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Mahid</w:t>
      </w:r>
      <w:proofErr w:type="spellEnd"/>
      <w:r>
        <w:rPr>
          <w:rFonts w:ascii="Book Antiqua" w:eastAsia="Book Antiqua" w:hAnsi="Book Antiqua" w:cs="Book Antiqua"/>
          <w:b/>
          <w:bCs/>
          <w:color w:val="000000"/>
        </w:rPr>
        <w:t xml:space="preserve"> SS</w:t>
      </w:r>
      <w:r>
        <w:rPr>
          <w:rFonts w:ascii="Book Antiqua" w:eastAsia="Book Antiqua" w:hAnsi="Book Antiqua" w:cs="Book Antiqua"/>
          <w:color w:val="000000"/>
        </w:rPr>
        <w:t xml:space="preserve">, Minor KS, Soto RE, </w:t>
      </w:r>
      <w:proofErr w:type="spellStart"/>
      <w:r>
        <w:rPr>
          <w:rFonts w:ascii="Book Antiqua" w:eastAsia="Book Antiqua" w:hAnsi="Book Antiqua" w:cs="Book Antiqua"/>
          <w:color w:val="000000"/>
        </w:rPr>
        <w:t>Hornung</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Galandiuk</w:t>
      </w:r>
      <w:proofErr w:type="spellEnd"/>
      <w:r>
        <w:rPr>
          <w:rFonts w:ascii="Book Antiqua" w:eastAsia="Book Antiqua" w:hAnsi="Book Antiqua" w:cs="Book Antiqua"/>
          <w:color w:val="000000"/>
        </w:rPr>
        <w:t xml:space="preserve"> S. Smoking and inflammatory bowel disease: a meta-analysis.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2006; </w:t>
      </w:r>
      <w:r>
        <w:rPr>
          <w:rFonts w:ascii="Book Antiqua" w:eastAsia="Book Antiqua" w:hAnsi="Book Antiqua" w:cs="Book Antiqua"/>
          <w:b/>
          <w:bCs/>
          <w:color w:val="000000"/>
        </w:rPr>
        <w:t>81</w:t>
      </w:r>
      <w:r>
        <w:rPr>
          <w:rFonts w:ascii="Book Antiqua" w:eastAsia="Book Antiqua" w:hAnsi="Book Antiqua" w:cs="Book Antiqua"/>
          <w:color w:val="000000"/>
        </w:rPr>
        <w:t>: 1462-1471 [PMID: 17120402 DOI: 10.4065/81.11.1462]</w:t>
      </w:r>
    </w:p>
    <w:p w14:paraId="57B5E700" w14:textId="77777777" w:rsidR="00A77B3E" w:rsidRDefault="00AB37F6">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Höie</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Wolters F, Riis L, </w:t>
      </w:r>
      <w:proofErr w:type="spellStart"/>
      <w:r>
        <w:rPr>
          <w:rFonts w:ascii="Book Antiqua" w:eastAsia="Book Antiqua" w:hAnsi="Book Antiqua" w:cs="Book Antiqua"/>
          <w:color w:val="000000"/>
        </w:rPr>
        <w:t>Aamodt</w:t>
      </w:r>
      <w:proofErr w:type="spellEnd"/>
      <w:r>
        <w:rPr>
          <w:rFonts w:ascii="Book Antiqua" w:eastAsia="Book Antiqua" w:hAnsi="Book Antiqua" w:cs="Book Antiqua"/>
          <w:color w:val="000000"/>
        </w:rPr>
        <w:t xml:space="preserve"> G, Solberg C, </w:t>
      </w:r>
      <w:proofErr w:type="spellStart"/>
      <w:r>
        <w:rPr>
          <w:rFonts w:ascii="Book Antiqua" w:eastAsia="Book Antiqua" w:hAnsi="Book Antiqua" w:cs="Book Antiqua"/>
          <w:color w:val="000000"/>
        </w:rPr>
        <w:t>Bernklev</w:t>
      </w:r>
      <w:proofErr w:type="spellEnd"/>
      <w:r>
        <w:rPr>
          <w:rFonts w:ascii="Book Antiqua" w:eastAsia="Book Antiqua" w:hAnsi="Book Antiqua" w:cs="Book Antiqua"/>
          <w:color w:val="000000"/>
        </w:rPr>
        <w:t xml:space="preserve"> T, Odes S, Mouzas IA, Beltrami M, </w:t>
      </w:r>
      <w:proofErr w:type="spellStart"/>
      <w:r>
        <w:rPr>
          <w:rFonts w:ascii="Book Antiqua" w:eastAsia="Book Antiqua" w:hAnsi="Book Antiqua" w:cs="Book Antiqua"/>
          <w:color w:val="000000"/>
        </w:rPr>
        <w:t>Langholz</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Stockbrügger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Vatn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Moum</w:t>
      </w:r>
      <w:proofErr w:type="spellEnd"/>
      <w:r>
        <w:rPr>
          <w:rFonts w:ascii="Book Antiqua" w:eastAsia="Book Antiqua" w:hAnsi="Book Antiqua" w:cs="Book Antiqua"/>
          <w:color w:val="000000"/>
        </w:rPr>
        <w:t xml:space="preserve"> B; European Collaborative Study Group of Inflammatory Bowel Disease (EC-IBD). Ulcerative colitis: patient characteristics may predict 10-yr disease recurrence in a European-wide population-based cohort.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102</w:t>
      </w:r>
      <w:r>
        <w:rPr>
          <w:rFonts w:ascii="Book Antiqua" w:eastAsia="Book Antiqua" w:hAnsi="Book Antiqua" w:cs="Book Antiqua"/>
          <w:color w:val="000000"/>
        </w:rPr>
        <w:t>: 1692-1701 [PMID: 17555460 DOI: 10.1111/j.1572-0241.2007.01265.x]</w:t>
      </w:r>
    </w:p>
    <w:p w14:paraId="786BD937" w14:textId="5AC86372" w:rsidR="00A77B3E" w:rsidRDefault="00AB37F6">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Blackwell J</w:t>
      </w:r>
      <w:r w:rsidRPr="00EB7624">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Alexakis</w:t>
      </w:r>
      <w:proofErr w:type="spellEnd"/>
      <w:r>
        <w:rPr>
          <w:rFonts w:ascii="Book Antiqua" w:eastAsia="Book Antiqua" w:hAnsi="Book Antiqua" w:cs="Book Antiqua"/>
          <w:color w:val="000000"/>
        </w:rPr>
        <w:t xml:space="preserve"> C, Bottle A, Cecil E, Majeed A, Pollok RC. The impact of smoking and smoking cessation on disease outcomes in ulcerative colitis: a nationwide population</w:t>
      </w:r>
      <w:r w:rsidR="00EB7624">
        <w:rPr>
          <w:rFonts w:ascii="Book Antiqua" w:eastAsia="Book Antiqua" w:hAnsi="Book Antiqua" w:cs="Book Antiqua"/>
          <w:color w:val="000000"/>
        </w:rPr>
        <w:t>-</w:t>
      </w:r>
      <w:r>
        <w:rPr>
          <w:rFonts w:ascii="Book Antiqua" w:eastAsia="Book Antiqua" w:hAnsi="Book Antiqua" w:cs="Book Antiqua"/>
          <w:color w:val="000000"/>
        </w:rPr>
        <w:t xml:space="preserve">based study. </w:t>
      </w:r>
      <w:r w:rsidR="00EB7624" w:rsidRPr="00EB7624">
        <w:rPr>
          <w:rFonts w:ascii="Book Antiqua" w:eastAsia="Book Antiqua" w:hAnsi="Book Antiqua" w:cs="Book Antiqua"/>
          <w:i/>
          <w:iCs/>
          <w:color w:val="000000"/>
        </w:rPr>
        <w:t xml:space="preserve">Aliment </w:t>
      </w:r>
      <w:proofErr w:type="spellStart"/>
      <w:r w:rsidR="00EB7624" w:rsidRPr="00EB7624">
        <w:rPr>
          <w:rFonts w:ascii="Book Antiqua" w:eastAsia="Book Antiqua" w:hAnsi="Book Antiqua" w:cs="Book Antiqua"/>
          <w:i/>
          <w:iCs/>
          <w:color w:val="000000"/>
        </w:rPr>
        <w:t>Pharmacol</w:t>
      </w:r>
      <w:proofErr w:type="spellEnd"/>
      <w:r w:rsidR="00EB7624" w:rsidRPr="00EB7624">
        <w:rPr>
          <w:rFonts w:ascii="Book Antiqua" w:eastAsia="Book Antiqua" w:hAnsi="Book Antiqua" w:cs="Book Antiqua"/>
          <w:i/>
          <w:iCs/>
          <w:color w:val="000000"/>
        </w:rPr>
        <w:t xml:space="preserve"> </w:t>
      </w:r>
      <w:proofErr w:type="spellStart"/>
      <w:r w:rsidR="00EB7624" w:rsidRPr="00EB7624">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sidRPr="00EB7624">
        <w:rPr>
          <w:rFonts w:ascii="Book Antiqua" w:eastAsia="Book Antiqua" w:hAnsi="Book Antiqua" w:cs="Book Antiqua"/>
          <w:b/>
          <w:bCs/>
          <w:color w:val="000000"/>
        </w:rPr>
        <w:t>50</w:t>
      </w:r>
      <w:r>
        <w:rPr>
          <w:rFonts w:ascii="Book Antiqua" w:eastAsia="Book Antiqua" w:hAnsi="Book Antiqua" w:cs="Book Antiqua"/>
          <w:color w:val="000000"/>
        </w:rPr>
        <w:t>: 556-567</w:t>
      </w:r>
      <w:r w:rsidR="00EB7624">
        <w:rPr>
          <w:rFonts w:ascii="Book Antiqua" w:eastAsia="Book Antiqua" w:hAnsi="Book Antiqua" w:cs="Book Antiqua"/>
          <w:color w:val="000000"/>
        </w:rPr>
        <w:t xml:space="preserve"> [</w:t>
      </w:r>
      <w:r w:rsidR="00EB7624" w:rsidRPr="00EB7624">
        <w:rPr>
          <w:rFonts w:ascii="Book Antiqua" w:eastAsia="Book Antiqua" w:hAnsi="Book Antiqua" w:cs="Book Antiqua"/>
          <w:color w:val="000000"/>
        </w:rPr>
        <w:t>PMID: 31389044 DOI: 10.1111/apt.15390</w:t>
      </w:r>
      <w:r w:rsidR="00EB7624">
        <w:rPr>
          <w:rFonts w:ascii="Book Antiqua" w:eastAsia="Book Antiqua" w:hAnsi="Book Antiqua" w:cs="Book Antiqua"/>
          <w:color w:val="000000"/>
        </w:rPr>
        <w:t>]</w:t>
      </w:r>
    </w:p>
    <w:p w14:paraId="5C791A99" w14:textId="413666F5" w:rsidR="00A77B3E" w:rsidRDefault="00AB37F6">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Wang P</w:t>
      </w:r>
      <w:r w:rsidRPr="00EB7624">
        <w:rPr>
          <w:rFonts w:ascii="Book Antiqua" w:eastAsia="Book Antiqua" w:hAnsi="Book Antiqua" w:cs="Book Antiqua"/>
          <w:color w:val="000000"/>
        </w:rPr>
        <w:t>,</w:t>
      </w:r>
      <w:r>
        <w:rPr>
          <w:rFonts w:ascii="Book Antiqua" w:eastAsia="Book Antiqua" w:hAnsi="Book Antiqua" w:cs="Book Antiqua"/>
          <w:color w:val="000000"/>
        </w:rPr>
        <w:t xml:space="preserve"> Hu J, </w:t>
      </w:r>
      <w:proofErr w:type="spellStart"/>
      <w:r>
        <w:rPr>
          <w:rFonts w:ascii="Book Antiqua" w:eastAsia="Book Antiqua" w:hAnsi="Book Antiqua" w:cs="Book Antiqua"/>
          <w:color w:val="000000"/>
        </w:rPr>
        <w:t>Ghadermarzi</w:t>
      </w:r>
      <w:proofErr w:type="spellEnd"/>
      <w:r>
        <w:rPr>
          <w:rFonts w:ascii="Book Antiqua" w:eastAsia="Book Antiqua" w:hAnsi="Book Antiqua" w:cs="Book Antiqua"/>
          <w:color w:val="000000"/>
        </w:rPr>
        <w:t xml:space="preserve"> S, Raza A, O’Connell D, Xiao A, </w:t>
      </w:r>
      <w:proofErr w:type="spellStart"/>
      <w:r>
        <w:rPr>
          <w:rFonts w:ascii="Book Antiqua" w:eastAsia="Book Antiqua" w:hAnsi="Book Antiqua" w:cs="Book Antiqua"/>
          <w:color w:val="000000"/>
        </w:rPr>
        <w:t>Ayyaz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 M, Zhang Y, Parekh NK</w:t>
      </w:r>
      <w:r w:rsidR="00EB7624" w:rsidRPr="00EB7624">
        <w:rPr>
          <w:rFonts w:ascii="Book Antiqua" w:eastAsia="Book Antiqua" w:hAnsi="Book Antiqua" w:cs="Book Antiqua"/>
          <w:color w:val="000000"/>
        </w:rPr>
        <w:t xml:space="preserve">, </w:t>
      </w:r>
      <w:proofErr w:type="spellStart"/>
      <w:r w:rsidR="00EB7624" w:rsidRPr="00EB7624">
        <w:rPr>
          <w:rFonts w:ascii="Book Antiqua" w:eastAsia="Book Antiqua" w:hAnsi="Book Antiqua" w:cs="Book Antiqua"/>
          <w:color w:val="000000"/>
        </w:rPr>
        <w:t>Lazarev</w:t>
      </w:r>
      <w:proofErr w:type="spellEnd"/>
      <w:r w:rsidR="00EB7624" w:rsidRPr="00EB7624">
        <w:rPr>
          <w:rFonts w:ascii="Book Antiqua" w:eastAsia="Book Antiqua" w:hAnsi="Book Antiqua" w:cs="Book Antiqua"/>
          <w:color w:val="000000"/>
        </w:rPr>
        <w:t xml:space="preserve"> M, Parian A, Brant SR, </w:t>
      </w:r>
      <w:proofErr w:type="spellStart"/>
      <w:r w:rsidR="00EB7624" w:rsidRPr="00EB7624">
        <w:rPr>
          <w:rFonts w:ascii="Book Antiqua" w:eastAsia="Book Antiqua" w:hAnsi="Book Antiqua" w:cs="Book Antiqua"/>
          <w:color w:val="000000"/>
        </w:rPr>
        <w:t>Bedine</w:t>
      </w:r>
      <w:proofErr w:type="spellEnd"/>
      <w:r w:rsidR="00EB7624" w:rsidRPr="00EB7624">
        <w:rPr>
          <w:rFonts w:ascii="Book Antiqua" w:eastAsia="Book Antiqua" w:hAnsi="Book Antiqua" w:cs="Book Antiqua"/>
          <w:color w:val="000000"/>
        </w:rPr>
        <w:t xml:space="preserve"> M, </w:t>
      </w:r>
      <w:proofErr w:type="spellStart"/>
      <w:r w:rsidR="00EB7624" w:rsidRPr="00EB7624">
        <w:rPr>
          <w:rFonts w:ascii="Book Antiqua" w:eastAsia="Book Antiqua" w:hAnsi="Book Antiqua" w:cs="Book Antiqua"/>
          <w:color w:val="000000"/>
        </w:rPr>
        <w:t>Truta</w:t>
      </w:r>
      <w:proofErr w:type="spellEnd"/>
      <w:r w:rsidR="00EB7624" w:rsidRPr="00EB7624">
        <w:rPr>
          <w:rFonts w:ascii="Book Antiqua" w:eastAsia="Book Antiqua" w:hAnsi="Book Antiqua" w:cs="Book Antiqua"/>
          <w:color w:val="000000"/>
        </w:rPr>
        <w:t xml:space="preserve"> B, Hu P, Banerjee R, </w:t>
      </w:r>
      <w:proofErr w:type="spellStart"/>
      <w:r w:rsidR="00EB7624" w:rsidRPr="00EB7624">
        <w:rPr>
          <w:rFonts w:ascii="Book Antiqua" w:eastAsia="Book Antiqua" w:hAnsi="Book Antiqua" w:cs="Book Antiqua"/>
          <w:color w:val="000000"/>
        </w:rPr>
        <w:t>Hutfless</w:t>
      </w:r>
      <w:proofErr w:type="spellEnd"/>
      <w:r w:rsidR="00EB7624" w:rsidRPr="00EB7624">
        <w:rPr>
          <w:rFonts w:ascii="Book Antiqua" w:eastAsia="Book Antiqua" w:hAnsi="Book Antiqua" w:cs="Book Antiqua"/>
          <w:color w:val="000000"/>
        </w:rPr>
        <w:t xml:space="preserve"> SM.</w:t>
      </w:r>
      <w:r>
        <w:rPr>
          <w:rFonts w:ascii="Book Antiqua" w:eastAsia="Book Antiqua" w:hAnsi="Book Antiqua" w:cs="Book Antiqua"/>
          <w:color w:val="000000"/>
        </w:rPr>
        <w:t xml:space="preserve"> Smoking and</w:t>
      </w:r>
      <w:r w:rsidR="00EB7624">
        <w:rPr>
          <w:rFonts w:ascii="Book Antiqua" w:eastAsia="Book Antiqua" w:hAnsi="Book Antiqua" w:cs="Book Antiqua"/>
          <w:color w:val="000000"/>
        </w:rPr>
        <w:t xml:space="preserve"> Inflammatory Bowel Disease: A Compariso</w:t>
      </w:r>
      <w:r>
        <w:rPr>
          <w:rFonts w:ascii="Book Antiqua" w:eastAsia="Book Antiqua" w:hAnsi="Book Antiqua" w:cs="Book Antiqua"/>
          <w:color w:val="000000"/>
        </w:rPr>
        <w:t xml:space="preserve">n of China, India, and the USA. </w:t>
      </w:r>
      <w:r w:rsidR="00EB7624" w:rsidRPr="00EB7624">
        <w:rPr>
          <w:rFonts w:ascii="Book Antiqua" w:eastAsia="Book Antiqua" w:hAnsi="Book Antiqua" w:cs="Book Antiqua"/>
          <w:i/>
          <w:iCs/>
          <w:color w:val="000000"/>
        </w:rPr>
        <w:t>Dig Dis Sci</w:t>
      </w:r>
      <w:r>
        <w:rPr>
          <w:rFonts w:ascii="Book Antiqua" w:eastAsia="Book Antiqua" w:hAnsi="Book Antiqua" w:cs="Book Antiqua"/>
          <w:color w:val="000000"/>
        </w:rPr>
        <w:t xml:space="preserve"> 2018; </w:t>
      </w:r>
      <w:r w:rsidRPr="00EB7624">
        <w:rPr>
          <w:rFonts w:ascii="Book Antiqua" w:eastAsia="Book Antiqua" w:hAnsi="Book Antiqua" w:cs="Book Antiqua"/>
          <w:b/>
          <w:bCs/>
          <w:color w:val="000000"/>
        </w:rPr>
        <w:t>63</w:t>
      </w:r>
      <w:r>
        <w:rPr>
          <w:rFonts w:ascii="Book Antiqua" w:eastAsia="Book Antiqua" w:hAnsi="Book Antiqua" w:cs="Book Antiqua"/>
          <w:color w:val="000000"/>
        </w:rPr>
        <w:t>: 2703-2713</w:t>
      </w:r>
      <w:r w:rsidR="00EB7624">
        <w:rPr>
          <w:rFonts w:ascii="Book Antiqua" w:eastAsia="Book Antiqua" w:hAnsi="Book Antiqua" w:cs="Book Antiqua"/>
          <w:color w:val="000000"/>
        </w:rPr>
        <w:t xml:space="preserve"> [</w:t>
      </w:r>
      <w:r w:rsidR="00EB7624" w:rsidRPr="00EB7624">
        <w:rPr>
          <w:rFonts w:ascii="Book Antiqua" w:eastAsia="Book Antiqua" w:hAnsi="Book Antiqua" w:cs="Book Antiqua"/>
          <w:color w:val="000000"/>
        </w:rPr>
        <w:t>PMID: 29862485</w:t>
      </w:r>
      <w:r w:rsidR="00EB7624">
        <w:rPr>
          <w:rFonts w:ascii="Book Antiqua" w:eastAsia="Book Antiqua" w:hAnsi="Book Antiqua" w:cs="Book Antiqua"/>
          <w:color w:val="000000"/>
        </w:rPr>
        <w:t xml:space="preserve"> </w:t>
      </w:r>
      <w:r w:rsidR="00EB7624" w:rsidRPr="00EB7624">
        <w:rPr>
          <w:rFonts w:ascii="Book Antiqua" w:eastAsia="Book Antiqua" w:hAnsi="Book Antiqua" w:cs="Book Antiqua"/>
          <w:color w:val="000000"/>
        </w:rPr>
        <w:t>DOI: 10.1007/s10620-018-5142-0</w:t>
      </w:r>
      <w:r w:rsidR="00EB7624">
        <w:rPr>
          <w:rFonts w:ascii="Book Antiqua" w:eastAsia="Book Antiqua" w:hAnsi="Book Antiqua" w:cs="Book Antiqua"/>
          <w:color w:val="000000"/>
        </w:rPr>
        <w:t>]</w:t>
      </w:r>
    </w:p>
    <w:p w14:paraId="2CFE5718" w14:textId="77777777" w:rsidR="00A77B3E" w:rsidRDefault="00AB37F6">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Johannsen A</w:t>
      </w:r>
      <w:r>
        <w:rPr>
          <w:rFonts w:ascii="Book Antiqua" w:eastAsia="Book Antiqua" w:hAnsi="Book Antiqua" w:cs="Book Antiqua"/>
          <w:color w:val="000000"/>
        </w:rPr>
        <w:t xml:space="preserve">, Susin C, Gustafsson A. Smoking and inflammation: evidence for a synergistic role in chronic disease. </w:t>
      </w:r>
      <w:proofErr w:type="spellStart"/>
      <w:r>
        <w:rPr>
          <w:rFonts w:ascii="Book Antiqua" w:eastAsia="Book Antiqua" w:hAnsi="Book Antiqua" w:cs="Book Antiqua"/>
          <w:i/>
          <w:iCs/>
          <w:color w:val="000000"/>
        </w:rPr>
        <w:t>Periodontol</w:t>
      </w:r>
      <w:proofErr w:type="spellEnd"/>
      <w:r>
        <w:rPr>
          <w:rFonts w:ascii="Book Antiqua" w:eastAsia="Book Antiqua" w:hAnsi="Book Antiqua" w:cs="Book Antiqua"/>
          <w:i/>
          <w:iCs/>
          <w:color w:val="000000"/>
        </w:rPr>
        <w:t xml:space="preserve"> 2000</w:t>
      </w:r>
      <w:r>
        <w:rPr>
          <w:rFonts w:ascii="Book Antiqua" w:eastAsia="Book Antiqua" w:hAnsi="Book Antiqua" w:cs="Book Antiqua"/>
          <w:color w:val="000000"/>
        </w:rPr>
        <w:t xml:space="preserve"> 2014; </w:t>
      </w:r>
      <w:r>
        <w:rPr>
          <w:rFonts w:ascii="Book Antiqua" w:eastAsia="Book Antiqua" w:hAnsi="Book Antiqua" w:cs="Book Antiqua"/>
          <w:b/>
          <w:bCs/>
          <w:color w:val="000000"/>
        </w:rPr>
        <w:t>64</w:t>
      </w:r>
      <w:r>
        <w:rPr>
          <w:rFonts w:ascii="Book Antiqua" w:eastAsia="Book Antiqua" w:hAnsi="Book Antiqua" w:cs="Book Antiqua"/>
          <w:color w:val="000000"/>
        </w:rPr>
        <w:t>: 111-126 [PMID: 24320959 DOI: 10.1111/j.1600-0757.2012.00456.x]</w:t>
      </w:r>
    </w:p>
    <w:p w14:paraId="346002B2" w14:textId="77777777" w:rsidR="00A77B3E" w:rsidRDefault="00AB37F6">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Shi G. Smoking and microbiome in oral, airway, gut and some systemic diseases.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225 [PMID: 31307469 DOI: 10.1186/s12967-019-1971-7]</w:t>
      </w:r>
    </w:p>
    <w:p w14:paraId="62542B5F" w14:textId="77777777" w:rsidR="00A77B3E" w:rsidRDefault="00AB37F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Capurso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Lahner</w:t>
      </w:r>
      <w:proofErr w:type="spellEnd"/>
      <w:r>
        <w:rPr>
          <w:rFonts w:ascii="Book Antiqua" w:eastAsia="Book Antiqua" w:hAnsi="Book Antiqua" w:cs="Book Antiqua"/>
          <w:color w:val="000000"/>
        </w:rPr>
        <w:t xml:space="preserve"> E. The interaction between smoking, alcohol and the gut microbiome. </w:t>
      </w:r>
      <w:r>
        <w:rPr>
          <w:rFonts w:ascii="Book Antiqua" w:eastAsia="Book Antiqua" w:hAnsi="Book Antiqua" w:cs="Book Antiqua"/>
          <w:i/>
          <w:iCs/>
          <w:color w:val="000000"/>
        </w:rPr>
        <w:t xml:space="preserve">Best </w:t>
      </w:r>
      <w:proofErr w:type="spellStart"/>
      <w:r>
        <w:rPr>
          <w:rFonts w:ascii="Book Antiqua" w:eastAsia="Book Antiqua" w:hAnsi="Book Antiqua" w:cs="Book Antiqua"/>
          <w:i/>
          <w:iCs/>
          <w:color w:val="000000"/>
        </w:rPr>
        <w:t>Pract</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579-588 [PMID: 29195678 DOI: 10.1016/j.bpg.2017.10.006]</w:t>
      </w:r>
    </w:p>
    <w:p w14:paraId="5210CB01" w14:textId="3F451CD5" w:rsidR="00A77B3E" w:rsidRDefault="00AB37F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Kanmaz</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Lamont G, </w:t>
      </w:r>
      <w:proofErr w:type="spellStart"/>
      <w:r w:rsidR="00926D48" w:rsidRPr="00926D48">
        <w:rPr>
          <w:rFonts w:ascii="Book Antiqua" w:eastAsia="Book Antiqua" w:hAnsi="Book Antiqua" w:cs="Book Antiqua"/>
          <w:color w:val="000000"/>
        </w:rPr>
        <w:t>Danacı</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Gogeneni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Buduneli</w:t>
      </w:r>
      <w:proofErr w:type="spellEnd"/>
      <w:r>
        <w:rPr>
          <w:rFonts w:ascii="Book Antiqua" w:eastAsia="Book Antiqua" w:hAnsi="Book Antiqua" w:cs="Book Antiqua"/>
          <w:color w:val="000000"/>
        </w:rPr>
        <w:t xml:space="preserve"> N, Scott DA. Microbiological and biochemical findings in relation to clinical periodontal status in active smokers, non-smokers and passive smokers. </w:t>
      </w:r>
      <w:proofErr w:type="spellStart"/>
      <w:r>
        <w:rPr>
          <w:rFonts w:ascii="Book Antiqua" w:eastAsia="Book Antiqua" w:hAnsi="Book Antiqua" w:cs="Book Antiqua"/>
          <w:i/>
          <w:iCs/>
          <w:color w:val="000000"/>
        </w:rPr>
        <w:t>Tob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Induc</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20 [PMID: 31582931 DOI: 10.18332/</w:t>
      </w:r>
      <w:proofErr w:type="spellStart"/>
      <w:r>
        <w:rPr>
          <w:rFonts w:ascii="Book Antiqua" w:eastAsia="Book Antiqua" w:hAnsi="Book Antiqua" w:cs="Book Antiqua"/>
          <w:color w:val="000000"/>
        </w:rPr>
        <w:t>tid</w:t>
      </w:r>
      <w:proofErr w:type="spellEnd"/>
      <w:r>
        <w:rPr>
          <w:rFonts w:ascii="Book Antiqua" w:eastAsia="Book Antiqua" w:hAnsi="Book Antiqua" w:cs="Book Antiqua"/>
          <w:color w:val="000000"/>
        </w:rPr>
        <w:t>/104492]</w:t>
      </w:r>
    </w:p>
    <w:p w14:paraId="6948C9FD" w14:textId="77777777" w:rsidR="00A77B3E" w:rsidRDefault="00AB37F6">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Cosnes</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Gower-Rousseau C, </w:t>
      </w:r>
      <w:proofErr w:type="spellStart"/>
      <w:r>
        <w:rPr>
          <w:rFonts w:ascii="Book Antiqua" w:eastAsia="Book Antiqua" w:hAnsi="Book Antiqua" w:cs="Book Antiqua"/>
          <w:color w:val="000000"/>
        </w:rPr>
        <w:t>Seksik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Cortot</w:t>
      </w:r>
      <w:proofErr w:type="spellEnd"/>
      <w:r>
        <w:rPr>
          <w:rFonts w:ascii="Book Antiqua" w:eastAsia="Book Antiqua" w:hAnsi="Book Antiqua" w:cs="Book Antiqua"/>
          <w:color w:val="000000"/>
        </w:rPr>
        <w:t xml:space="preserve"> A. Epidemiology and natural history of inflammatory bowel diseases.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140</w:t>
      </w:r>
      <w:r>
        <w:rPr>
          <w:rFonts w:ascii="Book Antiqua" w:eastAsia="Book Antiqua" w:hAnsi="Book Antiqua" w:cs="Book Antiqua"/>
          <w:color w:val="000000"/>
        </w:rPr>
        <w:t>: 1785-1794 [PMID: 21530745 DOI: 10.1053/j.gastro.2011.01.055]</w:t>
      </w:r>
    </w:p>
    <w:p w14:paraId="2879ECF1" w14:textId="77777777" w:rsidR="00A77B3E" w:rsidRDefault="00AB37F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Thia</w:t>
      </w:r>
      <w:proofErr w:type="spellEnd"/>
      <w:r>
        <w:rPr>
          <w:rFonts w:ascii="Book Antiqua" w:eastAsia="Book Antiqua" w:hAnsi="Book Antiqua" w:cs="Book Antiqua"/>
          <w:b/>
          <w:bCs/>
          <w:color w:val="000000"/>
        </w:rPr>
        <w:t xml:space="preserve"> KT</w:t>
      </w:r>
      <w:r>
        <w:rPr>
          <w:rFonts w:ascii="Book Antiqua" w:eastAsia="Book Antiqua" w:hAnsi="Book Antiqua" w:cs="Book Antiqua"/>
          <w:color w:val="000000"/>
        </w:rPr>
        <w:t xml:space="preserve">, Loftus EV Jr, </w:t>
      </w:r>
      <w:proofErr w:type="spellStart"/>
      <w:r>
        <w:rPr>
          <w:rFonts w:ascii="Book Antiqua" w:eastAsia="Book Antiqua" w:hAnsi="Book Antiqua" w:cs="Book Antiqua"/>
          <w:color w:val="000000"/>
        </w:rPr>
        <w:t>Sandborn</w:t>
      </w:r>
      <w:proofErr w:type="spellEnd"/>
      <w:r>
        <w:rPr>
          <w:rFonts w:ascii="Book Antiqua" w:eastAsia="Book Antiqua" w:hAnsi="Book Antiqua" w:cs="Book Antiqua"/>
          <w:color w:val="000000"/>
        </w:rPr>
        <w:t xml:space="preserve"> WJ, Yang SK. An update on the epidemiology of inflammatory bowel disease in Asia.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3167-3182 [PMID: 19086963 DOI: 10.1111/j.1572-0241.2008.02158.x]</w:t>
      </w:r>
    </w:p>
    <w:p w14:paraId="6883A0F5" w14:textId="77777777" w:rsidR="00A77B3E" w:rsidRDefault="00AB37F6">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Park SH</w:t>
      </w:r>
      <w:r>
        <w:rPr>
          <w:rFonts w:ascii="Book Antiqua" w:eastAsia="Book Antiqua" w:hAnsi="Book Antiqua" w:cs="Book Antiqua"/>
          <w:color w:val="000000"/>
        </w:rPr>
        <w:t xml:space="preserve">, Kim YJ, Rhee KH, Kim YH, Hong SN, Kim KH,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SI, Cha JM, Park SY,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SK, Lee JH, Park H, Kim JS,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JP, Yoon H, Kim SH, Jang J, Kim JH, Suh SO, Kim YK, Ye BD, Yang SK; </w:t>
      </w:r>
      <w:proofErr w:type="spellStart"/>
      <w:r>
        <w:rPr>
          <w:rFonts w:ascii="Book Antiqua" w:eastAsia="Book Antiqua" w:hAnsi="Book Antiqua" w:cs="Book Antiqua"/>
          <w:color w:val="000000"/>
        </w:rPr>
        <w:t>Songpa-Kangdong</w:t>
      </w:r>
      <w:proofErr w:type="spellEnd"/>
      <w:r>
        <w:rPr>
          <w:rFonts w:ascii="Book Antiqua" w:eastAsia="Book Antiqua" w:hAnsi="Book Antiqua" w:cs="Book Antiqua"/>
          <w:color w:val="000000"/>
        </w:rPr>
        <w:t xml:space="preserve"> Inflammatory Bowel Disease [SK-IBD] Study Group. A 30-year Trend Analysis in the Epidemiology of Inflammatory Bowel Disease in the </w:t>
      </w:r>
      <w:proofErr w:type="spellStart"/>
      <w:r>
        <w:rPr>
          <w:rFonts w:ascii="Book Antiqua" w:eastAsia="Book Antiqua" w:hAnsi="Book Antiqua" w:cs="Book Antiqua"/>
          <w:color w:val="000000"/>
        </w:rPr>
        <w:t>Songpa-Kangdong</w:t>
      </w:r>
      <w:proofErr w:type="spellEnd"/>
      <w:r>
        <w:rPr>
          <w:rFonts w:ascii="Book Antiqua" w:eastAsia="Book Antiqua" w:hAnsi="Book Antiqua" w:cs="Book Antiqua"/>
          <w:color w:val="000000"/>
        </w:rPr>
        <w:t xml:space="preserve"> District of Seoul, Korea in 1986-2015.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Crohns</w:t>
      </w:r>
      <w:proofErr w:type="spellEnd"/>
      <w:r>
        <w:rPr>
          <w:rFonts w:ascii="Book Antiqua" w:eastAsia="Book Antiqua" w:hAnsi="Book Antiqua" w:cs="Book Antiqua"/>
          <w:i/>
          <w:iCs/>
          <w:color w:val="000000"/>
        </w:rPr>
        <w:t xml:space="preserve"> Colitis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1410-1417 [PMID: 30989166 DOI: 10.1093/</w:t>
      </w:r>
      <w:proofErr w:type="spellStart"/>
      <w:r>
        <w:rPr>
          <w:rFonts w:ascii="Book Antiqua" w:eastAsia="Book Antiqua" w:hAnsi="Book Antiqua" w:cs="Book Antiqua"/>
          <w:color w:val="000000"/>
        </w:rPr>
        <w:t>ecco-jcc</w:t>
      </w:r>
      <w:proofErr w:type="spellEnd"/>
      <w:r>
        <w:rPr>
          <w:rFonts w:ascii="Book Antiqua" w:eastAsia="Book Antiqua" w:hAnsi="Book Antiqua" w:cs="Book Antiqua"/>
          <w:color w:val="000000"/>
        </w:rPr>
        <w:t>/jjz081]</w:t>
      </w:r>
    </w:p>
    <w:p w14:paraId="1CC2B4D1" w14:textId="77777777" w:rsidR="00A77B3E" w:rsidRDefault="00AB37F6">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Takahashi H</w:t>
      </w:r>
      <w:r>
        <w:rPr>
          <w:rFonts w:ascii="Book Antiqua" w:eastAsia="Book Antiqua" w:hAnsi="Book Antiqua" w:cs="Book Antiqua"/>
          <w:color w:val="000000"/>
        </w:rPr>
        <w:t xml:space="preserve">, Matsui T, </w:t>
      </w:r>
      <w:proofErr w:type="spellStart"/>
      <w:r>
        <w:rPr>
          <w:rFonts w:ascii="Book Antiqua" w:eastAsia="Book Antiqua" w:hAnsi="Book Antiqua" w:cs="Book Antiqua"/>
          <w:color w:val="000000"/>
        </w:rPr>
        <w:t>Hisabe</w:t>
      </w:r>
      <w:proofErr w:type="spellEnd"/>
      <w:r>
        <w:rPr>
          <w:rFonts w:ascii="Book Antiqua" w:eastAsia="Book Antiqua" w:hAnsi="Book Antiqua" w:cs="Book Antiqua"/>
          <w:color w:val="000000"/>
        </w:rPr>
        <w:t xml:space="preserve"> T, Hirai F, Takatsu N, Tsurumi K, </w:t>
      </w:r>
      <w:proofErr w:type="spellStart"/>
      <w:r>
        <w:rPr>
          <w:rFonts w:ascii="Book Antiqua" w:eastAsia="Book Antiqua" w:hAnsi="Book Antiqua" w:cs="Book Antiqua"/>
          <w:color w:val="000000"/>
        </w:rPr>
        <w:t>Kanemitsu</w:t>
      </w:r>
      <w:proofErr w:type="spellEnd"/>
      <w:r>
        <w:rPr>
          <w:rFonts w:ascii="Book Antiqua" w:eastAsia="Book Antiqua" w:hAnsi="Book Antiqua" w:cs="Book Antiqua"/>
          <w:color w:val="000000"/>
        </w:rPr>
        <w:t xml:space="preserve"> T, Sato Y, </w:t>
      </w:r>
      <w:proofErr w:type="spellStart"/>
      <w:r>
        <w:rPr>
          <w:rFonts w:ascii="Book Antiqua" w:eastAsia="Book Antiqua" w:hAnsi="Book Antiqua" w:cs="Book Antiqua"/>
          <w:color w:val="000000"/>
        </w:rPr>
        <w:t>Kinjyo</w:t>
      </w:r>
      <w:proofErr w:type="spellEnd"/>
      <w:r>
        <w:rPr>
          <w:rFonts w:ascii="Book Antiqua" w:eastAsia="Book Antiqua" w:hAnsi="Book Antiqua" w:cs="Book Antiqua"/>
          <w:color w:val="000000"/>
        </w:rPr>
        <w:t xml:space="preserve"> K, Yano Y, </w:t>
      </w:r>
      <w:proofErr w:type="spellStart"/>
      <w:r>
        <w:rPr>
          <w:rFonts w:ascii="Book Antiqua" w:eastAsia="Book Antiqua" w:hAnsi="Book Antiqua" w:cs="Book Antiqua"/>
          <w:color w:val="000000"/>
        </w:rPr>
        <w:t>Takaki</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Nagahama</w:t>
      </w:r>
      <w:proofErr w:type="spellEnd"/>
      <w:r>
        <w:rPr>
          <w:rFonts w:ascii="Book Antiqua" w:eastAsia="Book Antiqua" w:hAnsi="Book Antiqua" w:cs="Book Antiqua"/>
          <w:color w:val="000000"/>
        </w:rPr>
        <w:t xml:space="preserve"> T, Yao K, </w:t>
      </w:r>
      <w:proofErr w:type="spellStart"/>
      <w:r>
        <w:rPr>
          <w:rFonts w:ascii="Book Antiqua" w:eastAsia="Book Antiqua" w:hAnsi="Book Antiqua" w:cs="Book Antiqua"/>
          <w:color w:val="000000"/>
        </w:rPr>
        <w:t>Washio</w:t>
      </w:r>
      <w:proofErr w:type="spellEnd"/>
      <w:r>
        <w:rPr>
          <w:rFonts w:ascii="Book Antiqua" w:eastAsia="Book Antiqua" w:hAnsi="Book Antiqua" w:cs="Book Antiqua"/>
          <w:color w:val="000000"/>
        </w:rPr>
        <w:t xml:space="preserve"> M. Second peak in the distribution of age at onset of ulcerative colitis in relation to smoking cessation.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29</w:t>
      </w:r>
      <w:r>
        <w:rPr>
          <w:rFonts w:ascii="Book Antiqua" w:eastAsia="Book Antiqua" w:hAnsi="Book Antiqua" w:cs="Book Antiqua"/>
          <w:color w:val="000000"/>
        </w:rPr>
        <w:t>: 1603-1608 [PMID: 24731020 DOI: 10.1111/jgh.12616]</w:t>
      </w:r>
    </w:p>
    <w:p w14:paraId="749F794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FCCAAD" w14:textId="77777777" w:rsidR="00A77B3E" w:rsidRDefault="00AB37F6">
      <w:pPr>
        <w:spacing w:line="360" w:lineRule="auto"/>
        <w:jc w:val="both"/>
      </w:pPr>
      <w:r>
        <w:rPr>
          <w:rFonts w:ascii="Book Antiqua" w:eastAsia="Book Antiqua" w:hAnsi="Book Antiqua" w:cs="Book Antiqua"/>
          <w:b/>
          <w:color w:val="000000"/>
        </w:rPr>
        <w:lastRenderedPageBreak/>
        <w:t>Footnotes</w:t>
      </w:r>
    </w:p>
    <w:p w14:paraId="10F80AB8" w14:textId="1DC979BD" w:rsidR="00A77B3E" w:rsidRDefault="00AB37F6">
      <w:pPr>
        <w:spacing w:line="360" w:lineRule="auto"/>
        <w:jc w:val="both"/>
      </w:pPr>
      <w:r>
        <w:rPr>
          <w:rFonts w:ascii="Book Antiqua" w:eastAsia="Book Antiqua" w:hAnsi="Book Antiqua" w:cs="Book Antiqua"/>
          <w:b/>
          <w:bCs/>
          <w:color w:val="000000"/>
        </w:rPr>
        <w:t xml:space="preserve">Institutional review board statement: </w:t>
      </w:r>
      <w:r w:rsidR="005B3345" w:rsidRPr="005B3345">
        <w:rPr>
          <w:rFonts w:ascii="Book Antiqua" w:eastAsia="Book Antiqua" w:hAnsi="Book Antiqua" w:cs="Book Antiqua"/>
          <w:color w:val="000000"/>
        </w:rPr>
        <w:t>T</w:t>
      </w:r>
      <w:r>
        <w:rPr>
          <w:rFonts w:ascii="Book Antiqua" w:eastAsia="Book Antiqua" w:hAnsi="Book Antiqua" w:cs="Book Antiqua"/>
          <w:color w:val="000000"/>
        </w:rPr>
        <w:t>he study was approved by the Institutional Review Board of the University of Seoul National University Hospital</w:t>
      </w:r>
      <w:r w:rsidR="005B3345">
        <w:rPr>
          <w:rFonts w:ascii="Book Antiqua" w:eastAsia="Book Antiqua" w:hAnsi="Book Antiqua" w:cs="Book Antiqua"/>
          <w:color w:val="000000"/>
        </w:rPr>
        <w:t>,</w:t>
      </w:r>
      <w:r>
        <w:rPr>
          <w:rFonts w:ascii="Book Antiqua" w:eastAsia="Book Antiqua" w:hAnsi="Book Antiqua" w:cs="Book Antiqua"/>
          <w:color w:val="000000"/>
        </w:rPr>
        <w:t xml:space="preserve"> </w:t>
      </w:r>
      <w:r w:rsidR="005B3345">
        <w:rPr>
          <w:rFonts w:ascii="Book Antiqua" w:eastAsia="Book Antiqua" w:hAnsi="Book Antiqua" w:cs="Book Antiqua"/>
          <w:color w:val="000000"/>
        </w:rPr>
        <w:t>No.</w:t>
      </w:r>
      <w:r>
        <w:rPr>
          <w:rFonts w:ascii="Book Antiqua" w:eastAsia="Book Antiqua" w:hAnsi="Book Antiqua" w:cs="Book Antiqua"/>
          <w:color w:val="000000"/>
        </w:rPr>
        <w:t xml:space="preserve"> H-1703-107-840.</w:t>
      </w:r>
    </w:p>
    <w:p w14:paraId="16BFED58" w14:textId="77777777" w:rsidR="00A77B3E" w:rsidRDefault="00A77B3E">
      <w:pPr>
        <w:spacing w:line="360" w:lineRule="auto"/>
        <w:jc w:val="both"/>
      </w:pPr>
    </w:p>
    <w:p w14:paraId="5C00FACB" w14:textId="77777777" w:rsidR="00A77B3E" w:rsidRDefault="00AB37F6">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subjects’ information in the database was de-identified before the investigator accessed the data, thus informed consent was waived.</w:t>
      </w:r>
    </w:p>
    <w:p w14:paraId="2CA235EF" w14:textId="77777777" w:rsidR="00A77B3E" w:rsidRDefault="00A77B3E">
      <w:pPr>
        <w:spacing w:line="360" w:lineRule="auto"/>
        <w:jc w:val="both"/>
      </w:pPr>
    </w:p>
    <w:p w14:paraId="65FBD2C9" w14:textId="77777777" w:rsidR="00A77B3E" w:rsidRDefault="00AB37F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conflicts of interest for this article.</w:t>
      </w:r>
    </w:p>
    <w:p w14:paraId="08D2555F" w14:textId="77777777" w:rsidR="00A77B3E" w:rsidRDefault="00A77B3E">
      <w:pPr>
        <w:spacing w:line="360" w:lineRule="auto"/>
        <w:jc w:val="both"/>
      </w:pPr>
    </w:p>
    <w:p w14:paraId="0821C3A7" w14:textId="77777777" w:rsidR="00A77B3E" w:rsidRDefault="00AB37F6">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125BA29B" w14:textId="77777777" w:rsidR="00A77B3E" w:rsidRDefault="00A77B3E">
      <w:pPr>
        <w:spacing w:line="360" w:lineRule="auto"/>
        <w:jc w:val="both"/>
      </w:pPr>
    </w:p>
    <w:p w14:paraId="6079CBFB" w14:textId="1DD2D234" w:rsidR="00A77B3E" w:rsidRDefault="00AB37F6">
      <w:pPr>
        <w:spacing w:line="360" w:lineRule="auto"/>
        <w:jc w:val="both"/>
      </w:pPr>
      <w:r>
        <w:rPr>
          <w:rFonts w:ascii="Book Antiqua" w:eastAsia="Book Antiqua" w:hAnsi="Book Antiqua" w:cs="Book Antiqua"/>
          <w:b/>
          <w:bCs/>
          <w:color w:val="000000"/>
        </w:rPr>
        <w:t xml:space="preserve">STROBE statement: </w:t>
      </w:r>
      <w:r>
        <w:rPr>
          <w:rFonts w:ascii="Book Antiqua" w:eastAsia="Book Antiqua" w:hAnsi="Book Antiqua" w:cs="Book Antiqua"/>
          <w:color w:val="000000"/>
          <w:shd w:val="clear" w:color="auto" w:fill="FFFFFF"/>
        </w:rPr>
        <w:t>The authors have read the STROBE Statement</w:t>
      </w:r>
      <w:r w:rsidR="005B33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 and the manuscript was prepared and revised according to the STROBE Statement</w:t>
      </w:r>
      <w:r w:rsidR="005B334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checklist of items.</w:t>
      </w:r>
    </w:p>
    <w:p w14:paraId="3B933473" w14:textId="77777777" w:rsidR="00A77B3E" w:rsidRDefault="00A77B3E">
      <w:pPr>
        <w:spacing w:line="360" w:lineRule="auto"/>
        <w:jc w:val="both"/>
      </w:pPr>
    </w:p>
    <w:p w14:paraId="194FF892" w14:textId="77777777" w:rsidR="00A77B3E" w:rsidRDefault="00AB37F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FFB5E2" w14:textId="77777777" w:rsidR="00A77B3E" w:rsidRDefault="00A77B3E">
      <w:pPr>
        <w:spacing w:line="360" w:lineRule="auto"/>
        <w:jc w:val="both"/>
      </w:pPr>
    </w:p>
    <w:p w14:paraId="0BF16576" w14:textId="18851366" w:rsidR="00A77B3E" w:rsidRDefault="00AB37F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840EB5">
        <w:rPr>
          <w:rFonts w:ascii="Book Antiqua" w:eastAsia="Book Antiqua" w:hAnsi="Book Antiqua" w:cs="Book Antiqua"/>
          <w:color w:val="000000"/>
        </w:rPr>
        <w:t>m</w:t>
      </w:r>
      <w:r>
        <w:rPr>
          <w:rFonts w:ascii="Book Antiqua" w:eastAsia="Book Antiqua" w:hAnsi="Book Antiqua" w:cs="Book Antiqua"/>
          <w:color w:val="000000"/>
        </w:rPr>
        <w:t>anuscript</w:t>
      </w:r>
    </w:p>
    <w:p w14:paraId="46CE28D9" w14:textId="77777777" w:rsidR="00A77B3E" w:rsidRDefault="00A77B3E">
      <w:pPr>
        <w:spacing w:line="360" w:lineRule="auto"/>
        <w:jc w:val="both"/>
      </w:pPr>
    </w:p>
    <w:p w14:paraId="6E01E386" w14:textId="77777777" w:rsidR="00A77B3E" w:rsidRDefault="00AB37F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18, 2020</w:t>
      </w:r>
    </w:p>
    <w:p w14:paraId="59826B96" w14:textId="77777777" w:rsidR="00A77B3E" w:rsidRDefault="00AB37F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2020</w:t>
      </w:r>
    </w:p>
    <w:p w14:paraId="7B664682" w14:textId="1F9ED10E" w:rsidR="00A77B3E" w:rsidRDefault="00AB37F6">
      <w:pPr>
        <w:spacing w:line="360" w:lineRule="auto"/>
        <w:jc w:val="both"/>
      </w:pPr>
      <w:r>
        <w:rPr>
          <w:rFonts w:ascii="Book Antiqua" w:eastAsia="Book Antiqua" w:hAnsi="Book Antiqua" w:cs="Book Antiqua"/>
          <w:b/>
          <w:color w:val="000000"/>
        </w:rPr>
        <w:lastRenderedPageBreak/>
        <w:t xml:space="preserve">Article in press: </w:t>
      </w:r>
      <w:r w:rsidR="00DE7D3B" w:rsidRPr="006473C5">
        <w:rPr>
          <w:rFonts w:ascii="Book Antiqua" w:eastAsia="Book Antiqua" w:hAnsi="Book Antiqua" w:cs="Book Antiqua"/>
          <w:color w:val="000000"/>
        </w:rPr>
        <w:t>September 16, 2020</w:t>
      </w:r>
    </w:p>
    <w:p w14:paraId="1DABF472" w14:textId="77777777" w:rsidR="00A77B3E" w:rsidRDefault="00A77B3E">
      <w:pPr>
        <w:spacing w:line="360" w:lineRule="auto"/>
        <w:jc w:val="both"/>
      </w:pPr>
    </w:p>
    <w:p w14:paraId="68CD7FC5" w14:textId="4925C4AE" w:rsidR="00A77B3E" w:rsidRDefault="00AB37F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840EB5">
        <w:rPr>
          <w:rFonts w:ascii="Book Antiqua" w:eastAsia="Book Antiqua" w:hAnsi="Book Antiqua" w:cs="Book Antiqua"/>
          <w:color w:val="000000"/>
        </w:rPr>
        <w:t>h</w:t>
      </w:r>
      <w:r>
        <w:rPr>
          <w:rFonts w:ascii="Book Antiqua" w:eastAsia="Book Antiqua" w:hAnsi="Book Antiqua" w:cs="Book Antiqua"/>
          <w:color w:val="000000"/>
        </w:rPr>
        <w:t>epatology</w:t>
      </w:r>
    </w:p>
    <w:p w14:paraId="2EAB97E9" w14:textId="77777777" w:rsidR="00A77B3E" w:rsidRDefault="00AB37F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07EF9C57" w14:textId="77777777" w:rsidR="00A77B3E" w:rsidRDefault="00AB37F6">
      <w:pPr>
        <w:spacing w:line="360" w:lineRule="auto"/>
        <w:jc w:val="both"/>
      </w:pPr>
      <w:r>
        <w:rPr>
          <w:rFonts w:ascii="Book Antiqua" w:eastAsia="Book Antiqua" w:hAnsi="Book Antiqua" w:cs="Book Antiqua"/>
          <w:b/>
          <w:color w:val="000000"/>
        </w:rPr>
        <w:t>Peer-review report’s scientific quality classification</w:t>
      </w:r>
    </w:p>
    <w:p w14:paraId="0E4D6F27" w14:textId="69569EE8" w:rsidR="00A77B3E" w:rsidRDefault="00AB37F6">
      <w:pPr>
        <w:spacing w:line="360" w:lineRule="auto"/>
        <w:jc w:val="both"/>
      </w:pPr>
      <w:r>
        <w:rPr>
          <w:rFonts w:ascii="Book Antiqua" w:eastAsia="Book Antiqua" w:hAnsi="Book Antiqua" w:cs="Book Antiqua"/>
          <w:color w:val="000000"/>
        </w:rPr>
        <w:t>Grade A (Excellent): A, A</w:t>
      </w:r>
      <w:r w:rsidR="00840EB5">
        <w:rPr>
          <w:rFonts w:ascii="Book Antiqua" w:eastAsia="Book Antiqua" w:hAnsi="Book Antiqua" w:cs="Book Antiqua"/>
          <w:color w:val="000000"/>
        </w:rPr>
        <w:t>, A</w:t>
      </w:r>
    </w:p>
    <w:p w14:paraId="4BADF1D3" w14:textId="77777777" w:rsidR="00A77B3E" w:rsidRDefault="00AB37F6">
      <w:pPr>
        <w:spacing w:line="360" w:lineRule="auto"/>
        <w:jc w:val="both"/>
      </w:pPr>
      <w:r>
        <w:rPr>
          <w:rFonts w:ascii="Book Antiqua" w:eastAsia="Book Antiqua" w:hAnsi="Book Antiqua" w:cs="Book Antiqua"/>
          <w:color w:val="000000"/>
        </w:rPr>
        <w:t>Grade B (Very good): 0</w:t>
      </w:r>
    </w:p>
    <w:p w14:paraId="6B231081" w14:textId="77777777" w:rsidR="00A77B3E" w:rsidRDefault="00AB37F6">
      <w:pPr>
        <w:spacing w:line="360" w:lineRule="auto"/>
        <w:jc w:val="both"/>
      </w:pPr>
      <w:r>
        <w:rPr>
          <w:rFonts w:ascii="Book Antiqua" w:eastAsia="Book Antiqua" w:hAnsi="Book Antiqua" w:cs="Book Antiqua"/>
          <w:color w:val="000000"/>
        </w:rPr>
        <w:t>Grade C (Good): 0</w:t>
      </w:r>
      <w:bookmarkStart w:id="0" w:name="_GoBack"/>
      <w:bookmarkEnd w:id="0"/>
    </w:p>
    <w:p w14:paraId="3B3D116F" w14:textId="77777777" w:rsidR="00A77B3E" w:rsidRDefault="00AB37F6">
      <w:pPr>
        <w:spacing w:line="360" w:lineRule="auto"/>
        <w:jc w:val="both"/>
      </w:pPr>
      <w:r>
        <w:rPr>
          <w:rFonts w:ascii="Book Antiqua" w:eastAsia="Book Antiqua" w:hAnsi="Book Antiqua" w:cs="Book Antiqua"/>
          <w:color w:val="000000"/>
        </w:rPr>
        <w:t>Grade D (Fair): 0</w:t>
      </w:r>
    </w:p>
    <w:p w14:paraId="30D2B0CF" w14:textId="77777777" w:rsidR="00A77B3E" w:rsidRDefault="00AB37F6">
      <w:pPr>
        <w:spacing w:line="360" w:lineRule="auto"/>
        <w:jc w:val="both"/>
      </w:pPr>
      <w:r>
        <w:rPr>
          <w:rFonts w:ascii="Book Antiqua" w:eastAsia="Book Antiqua" w:hAnsi="Book Antiqua" w:cs="Book Antiqua"/>
          <w:color w:val="000000"/>
        </w:rPr>
        <w:t>Grade E (Poor): 0</w:t>
      </w:r>
    </w:p>
    <w:p w14:paraId="1DD5B4BE" w14:textId="77777777" w:rsidR="00A77B3E" w:rsidRDefault="00A77B3E">
      <w:pPr>
        <w:spacing w:line="360" w:lineRule="auto"/>
        <w:jc w:val="both"/>
      </w:pPr>
    </w:p>
    <w:p w14:paraId="2A8391B3" w14:textId="33E05F4A" w:rsidR="00A77B3E" w:rsidRPr="00DE7D3B" w:rsidRDefault="00AB37F6" w:rsidP="00DE7D3B">
      <w:pPr>
        <w:spacing w:line="360" w:lineRule="auto"/>
        <w:rPr>
          <w:lang w:eastAsia="zh-CN"/>
        </w:rPr>
        <w:sectPr w:rsidR="00A77B3E" w:rsidRPr="00DE7D3B">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Ramakrishna B, Sales-Campos H</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 </w:t>
      </w:r>
      <w:r w:rsidR="00DE7D3B" w:rsidRPr="00DE7D3B">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DE7D3B" w:rsidRPr="00DE7D3B">
        <w:rPr>
          <w:rFonts w:ascii="Book Antiqua" w:hAnsi="Book Antiqua" w:cs="Book Antiqua" w:hint="eastAsia"/>
          <w:color w:val="000000"/>
          <w:lang w:eastAsia="zh-CN"/>
        </w:rPr>
        <w:t>Li JH</w:t>
      </w:r>
    </w:p>
    <w:p w14:paraId="14794E1B" w14:textId="76450708" w:rsidR="00A77B3E" w:rsidRDefault="00AB37F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12BB7AA" w14:textId="08BF786B" w:rsidR="00C5637D" w:rsidRDefault="00C5637D">
      <w:pPr>
        <w:spacing w:line="360" w:lineRule="auto"/>
        <w:jc w:val="both"/>
      </w:pPr>
      <w:r>
        <w:rPr>
          <w:noProof/>
          <w:lang w:eastAsia="zh-CN"/>
        </w:rPr>
        <w:drawing>
          <wp:inline distT="0" distB="0" distL="0" distR="0" wp14:anchorId="347B5E9D" wp14:editId="2EC5937B">
            <wp:extent cx="3378656" cy="37212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99648" cy="3744330"/>
                    </a:xfrm>
                    <a:prstGeom prst="rect">
                      <a:avLst/>
                    </a:prstGeom>
                  </pic:spPr>
                </pic:pic>
              </a:graphicData>
            </a:graphic>
          </wp:inline>
        </w:drawing>
      </w:r>
    </w:p>
    <w:p w14:paraId="0CB61FA1" w14:textId="1F8D2C59" w:rsidR="00C5637D" w:rsidRDefault="00AB37F6">
      <w:pPr>
        <w:spacing w:line="360" w:lineRule="auto"/>
        <w:jc w:val="both"/>
        <w:rPr>
          <w:rFonts w:ascii="Book Antiqua" w:eastAsia="Book Antiqua" w:hAnsi="Book Antiqua" w:cs="Book Antiqua"/>
          <w:b/>
          <w:bCs/>
          <w:color w:val="000000"/>
        </w:rPr>
      </w:pPr>
      <w:r w:rsidRPr="00C5637D">
        <w:rPr>
          <w:rFonts w:ascii="Book Antiqua" w:eastAsia="Book Antiqua" w:hAnsi="Book Antiqua" w:cs="Book Antiqua"/>
          <w:b/>
          <w:bCs/>
          <w:color w:val="000000"/>
        </w:rPr>
        <w:t>Figure 1 Cumulative incidence of ulcerative colitis in patients with and without periodontitis.</w:t>
      </w:r>
    </w:p>
    <w:p w14:paraId="121A8C83" w14:textId="35DEFEA3" w:rsidR="00A77B3E" w:rsidRDefault="00C5637D">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Pr>
          <w:noProof/>
          <w:lang w:eastAsia="zh-CN"/>
        </w:rPr>
        <w:lastRenderedPageBreak/>
        <w:drawing>
          <wp:inline distT="0" distB="0" distL="0" distR="0" wp14:anchorId="7694A66B" wp14:editId="62B4437D">
            <wp:extent cx="5107828" cy="281476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17915" cy="2820321"/>
                    </a:xfrm>
                    <a:prstGeom prst="rect">
                      <a:avLst/>
                    </a:prstGeom>
                  </pic:spPr>
                </pic:pic>
              </a:graphicData>
            </a:graphic>
          </wp:inline>
        </w:drawing>
      </w:r>
    </w:p>
    <w:p w14:paraId="46DB73CE" w14:textId="66D4584C" w:rsidR="00C5637D" w:rsidRPr="00C5637D" w:rsidRDefault="00C5637D">
      <w:pPr>
        <w:spacing w:line="360" w:lineRule="auto"/>
        <w:jc w:val="both"/>
        <w:rPr>
          <w:b/>
          <w:bCs/>
        </w:rPr>
      </w:pPr>
      <w:r>
        <w:rPr>
          <w:noProof/>
          <w:lang w:eastAsia="zh-CN"/>
        </w:rPr>
        <w:drawing>
          <wp:inline distT="0" distB="0" distL="0" distR="0" wp14:anchorId="7B4C4481" wp14:editId="57D4AD39">
            <wp:extent cx="5132193" cy="27432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156940" cy="2756427"/>
                    </a:xfrm>
                    <a:prstGeom prst="rect">
                      <a:avLst/>
                    </a:prstGeom>
                  </pic:spPr>
                </pic:pic>
              </a:graphicData>
            </a:graphic>
          </wp:inline>
        </w:drawing>
      </w:r>
    </w:p>
    <w:p w14:paraId="41E81158" w14:textId="2D720CDF" w:rsidR="009F33F4" w:rsidRDefault="00AB37F6">
      <w:pPr>
        <w:spacing w:line="360" w:lineRule="auto"/>
        <w:jc w:val="both"/>
        <w:rPr>
          <w:rFonts w:ascii="Book Antiqua" w:eastAsia="Book Antiqua" w:hAnsi="Book Antiqua" w:cs="Book Antiqua"/>
          <w:color w:val="000000"/>
        </w:rPr>
      </w:pPr>
      <w:r w:rsidRPr="00C5637D">
        <w:rPr>
          <w:rFonts w:ascii="Book Antiqua" w:eastAsia="Book Antiqua" w:hAnsi="Book Antiqua" w:cs="Book Antiqua"/>
          <w:b/>
          <w:bCs/>
          <w:color w:val="000000"/>
        </w:rPr>
        <w:t xml:space="preserve">Figure 2 Subgroup analysis of the comparative risk of ulcerative colitis and Crohn’s disease in patients with periodontitis compared with those without periodontitis. </w:t>
      </w:r>
      <w:r w:rsidR="00C5637D">
        <w:rPr>
          <w:rFonts w:ascii="Book Antiqua" w:eastAsia="Book Antiqua" w:hAnsi="Book Antiqua" w:cs="Book Antiqua"/>
          <w:color w:val="000000"/>
        </w:rPr>
        <w:t xml:space="preserve">Error bars represent 95% confidence intervals. A: Ulcerative colitis; B: Crohn’s disease. </w:t>
      </w:r>
      <w:bookmarkStart w:id="1" w:name="_Hlk50129870"/>
      <w:r>
        <w:rPr>
          <w:rFonts w:ascii="Book Antiqua" w:eastAsia="Book Antiqua" w:hAnsi="Book Antiqua" w:cs="Book Antiqua"/>
          <w:color w:val="000000"/>
        </w:rPr>
        <w:t>HR</w:t>
      </w:r>
      <w:r w:rsidR="009F33F4">
        <w:rPr>
          <w:rFonts w:ascii="宋体" w:eastAsia="宋体" w:hAnsi="宋体" w:cs="宋体" w:hint="eastAsia"/>
          <w:color w:val="000000"/>
          <w:lang w:eastAsia="zh-CN"/>
        </w:rPr>
        <w:t>:</w:t>
      </w:r>
      <w:r>
        <w:rPr>
          <w:rFonts w:ascii="Book Antiqua" w:eastAsia="Book Antiqua" w:hAnsi="Book Antiqua" w:cs="Book Antiqua"/>
          <w:color w:val="000000"/>
        </w:rPr>
        <w:t xml:space="preserve"> </w:t>
      </w:r>
      <w:r w:rsidR="009F33F4">
        <w:rPr>
          <w:rFonts w:ascii="Book Antiqua" w:eastAsia="Book Antiqua" w:hAnsi="Book Antiqua" w:cs="Book Antiqua"/>
          <w:color w:val="000000"/>
        </w:rPr>
        <w:t>H</w:t>
      </w:r>
      <w:r>
        <w:rPr>
          <w:rFonts w:ascii="Book Antiqua" w:eastAsia="Book Antiqua" w:hAnsi="Book Antiqua" w:cs="Book Antiqua"/>
          <w:color w:val="000000"/>
        </w:rPr>
        <w:t>azard ratio</w:t>
      </w:r>
      <w:r w:rsidR="00485E16">
        <w:rPr>
          <w:rFonts w:ascii="Book Antiqua" w:eastAsia="Book Antiqua" w:hAnsi="Book Antiqua" w:cs="Book Antiqua"/>
          <w:color w:val="000000"/>
        </w:rPr>
        <w:t>;</w:t>
      </w:r>
      <w:bookmarkEnd w:id="1"/>
      <w:r w:rsidR="00485E16">
        <w:rPr>
          <w:rFonts w:ascii="Book Antiqua" w:eastAsia="Book Antiqua" w:hAnsi="Book Antiqua" w:cs="Book Antiqua"/>
          <w:color w:val="000000"/>
        </w:rPr>
        <w:t xml:space="preserve"> CI: Confidence interval</w:t>
      </w:r>
      <w:r>
        <w:rPr>
          <w:rFonts w:ascii="Book Antiqua" w:eastAsia="Book Antiqua" w:hAnsi="Book Antiqua" w:cs="Book Antiqua"/>
          <w:color w:val="000000"/>
        </w:rPr>
        <w:t>.</w:t>
      </w:r>
    </w:p>
    <w:p w14:paraId="4CBDF22A" w14:textId="1384123F" w:rsidR="00A77B3E" w:rsidRDefault="009F33F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Pr>
          <w:noProof/>
          <w:lang w:eastAsia="zh-CN"/>
        </w:rPr>
        <w:lastRenderedPageBreak/>
        <w:drawing>
          <wp:inline distT="0" distB="0" distL="0" distR="0" wp14:anchorId="57E20916" wp14:editId="0D18C2AD">
            <wp:extent cx="3114570" cy="4436828"/>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43073" cy="4477431"/>
                    </a:xfrm>
                    <a:prstGeom prst="rect">
                      <a:avLst/>
                    </a:prstGeom>
                  </pic:spPr>
                </pic:pic>
              </a:graphicData>
            </a:graphic>
          </wp:inline>
        </w:drawing>
      </w:r>
    </w:p>
    <w:p w14:paraId="4CBCAB11" w14:textId="5D96A8B7" w:rsidR="009F33F4" w:rsidRDefault="009F33F4">
      <w:pPr>
        <w:spacing w:line="360" w:lineRule="auto"/>
        <w:jc w:val="both"/>
      </w:pPr>
      <w:r>
        <w:rPr>
          <w:noProof/>
          <w:lang w:eastAsia="zh-CN"/>
        </w:rPr>
        <w:drawing>
          <wp:inline distT="0" distB="0" distL="0" distR="0" wp14:anchorId="77D34B52" wp14:editId="30490FF2">
            <wp:extent cx="3040618" cy="254441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74030" cy="2572378"/>
                    </a:xfrm>
                    <a:prstGeom prst="rect">
                      <a:avLst/>
                    </a:prstGeom>
                  </pic:spPr>
                </pic:pic>
              </a:graphicData>
            </a:graphic>
          </wp:inline>
        </w:drawing>
      </w:r>
    </w:p>
    <w:p w14:paraId="7EEE3D19" w14:textId="054202FA" w:rsidR="00AB37F6" w:rsidRDefault="00AB37F6">
      <w:pPr>
        <w:spacing w:line="360" w:lineRule="auto"/>
        <w:jc w:val="both"/>
        <w:rPr>
          <w:rFonts w:ascii="Book Antiqua" w:eastAsia="Book Antiqua" w:hAnsi="Book Antiqua" w:cs="Book Antiqua"/>
          <w:color w:val="000000"/>
        </w:rPr>
      </w:pPr>
      <w:r w:rsidRPr="009F33F4">
        <w:rPr>
          <w:rFonts w:ascii="Book Antiqua" w:eastAsia="Book Antiqua" w:hAnsi="Book Antiqua" w:cs="Book Antiqua"/>
          <w:b/>
          <w:bCs/>
          <w:color w:val="000000"/>
        </w:rPr>
        <w:t>Figure 3 The risk for developing ulcerative colitis with age and cigarette smoking behavior in the periodontitis and non-periodontitis groups.</w:t>
      </w:r>
      <w:r>
        <w:rPr>
          <w:rFonts w:ascii="Book Antiqua" w:eastAsia="Book Antiqua" w:hAnsi="Book Antiqua" w:cs="Book Antiqua"/>
          <w:color w:val="000000"/>
        </w:rPr>
        <w:t xml:space="preserve"> </w:t>
      </w:r>
      <w:r w:rsidR="009F33F4">
        <w:rPr>
          <w:rFonts w:ascii="Book Antiqua" w:eastAsia="Book Antiqua" w:hAnsi="Book Antiqua" w:cs="Book Antiqua"/>
          <w:color w:val="000000"/>
        </w:rPr>
        <w:t xml:space="preserve">Error bars represent 95% confidence intervals. A: </w:t>
      </w:r>
      <w:r>
        <w:rPr>
          <w:rFonts w:ascii="Book Antiqua" w:eastAsia="Book Antiqua" w:hAnsi="Book Antiqua" w:cs="Book Antiqua"/>
          <w:color w:val="000000"/>
        </w:rPr>
        <w:t>All ages</w:t>
      </w:r>
      <w:r w:rsidR="009F33F4">
        <w:rPr>
          <w:rFonts w:ascii="Book Antiqua" w:eastAsia="Book Antiqua" w:hAnsi="Book Antiqua" w:cs="Book Antiqua"/>
          <w:color w:val="000000"/>
        </w:rPr>
        <w:t>; B:</w:t>
      </w:r>
      <w:r>
        <w:rPr>
          <w:rFonts w:ascii="Book Antiqua" w:eastAsia="Book Antiqua" w:hAnsi="Book Antiqua" w:cs="Book Antiqua"/>
          <w:color w:val="000000"/>
        </w:rPr>
        <w:t xml:space="preserve"> Age &lt; 65</w:t>
      </w:r>
      <w:r w:rsidR="009F33F4">
        <w:rPr>
          <w:rFonts w:ascii="Book Antiqua" w:eastAsia="Book Antiqua" w:hAnsi="Book Antiqua" w:cs="Book Antiqua"/>
          <w:color w:val="000000"/>
        </w:rPr>
        <w:t>;</w:t>
      </w:r>
      <w:r>
        <w:rPr>
          <w:rFonts w:ascii="Book Antiqua" w:eastAsia="Book Antiqua" w:hAnsi="Book Antiqua" w:cs="Book Antiqua"/>
          <w:color w:val="000000"/>
        </w:rPr>
        <w:t xml:space="preserve"> </w:t>
      </w:r>
      <w:r w:rsidR="009F33F4">
        <w:rPr>
          <w:rFonts w:ascii="Book Antiqua" w:eastAsia="Book Antiqua" w:hAnsi="Book Antiqua" w:cs="Book Antiqua"/>
          <w:color w:val="000000"/>
        </w:rPr>
        <w:t xml:space="preserve">C: </w:t>
      </w:r>
      <w:r>
        <w:rPr>
          <w:rFonts w:ascii="Book Antiqua" w:eastAsia="Book Antiqua" w:hAnsi="Book Antiqua" w:cs="Book Antiqua"/>
          <w:color w:val="000000"/>
        </w:rPr>
        <w:t>Age ≥ 65. HR</w:t>
      </w:r>
      <w:r w:rsidR="009F33F4">
        <w:rPr>
          <w:rFonts w:ascii="Book Antiqua" w:eastAsia="Book Antiqua" w:hAnsi="Book Antiqua" w:cs="Book Antiqua"/>
          <w:color w:val="000000"/>
        </w:rPr>
        <w:t>:</w:t>
      </w:r>
      <w:r>
        <w:rPr>
          <w:rFonts w:ascii="Book Antiqua" w:eastAsia="Book Antiqua" w:hAnsi="Book Antiqua" w:cs="Book Antiqua"/>
          <w:color w:val="000000"/>
        </w:rPr>
        <w:t xml:space="preserve"> </w:t>
      </w:r>
      <w:r w:rsidR="009F33F4">
        <w:rPr>
          <w:rFonts w:ascii="Book Antiqua" w:eastAsia="Book Antiqua" w:hAnsi="Book Antiqua" w:cs="Book Antiqua"/>
          <w:color w:val="000000"/>
        </w:rPr>
        <w:t>H</w:t>
      </w:r>
      <w:r>
        <w:rPr>
          <w:rFonts w:ascii="Book Antiqua" w:eastAsia="Book Antiqua" w:hAnsi="Book Antiqua" w:cs="Book Antiqua"/>
          <w:color w:val="000000"/>
        </w:rPr>
        <w:t>azard ratio.</w:t>
      </w:r>
    </w:p>
    <w:p w14:paraId="1CC16374" w14:textId="585E0A49" w:rsidR="00AB37F6" w:rsidRPr="006F3921" w:rsidRDefault="00AB37F6" w:rsidP="00AB37F6">
      <w:pPr>
        <w:spacing w:line="360" w:lineRule="auto"/>
        <w:rPr>
          <w:rFonts w:ascii="Book Antiqua" w:hAnsi="Book Antiqua"/>
          <w:b/>
        </w:rPr>
      </w:pPr>
      <w:r>
        <w:rPr>
          <w:rFonts w:ascii="Book Antiqua" w:eastAsia="Book Antiqua" w:hAnsi="Book Antiqua" w:cs="Book Antiqua"/>
          <w:color w:val="000000"/>
        </w:rPr>
        <w:br w:type="page"/>
      </w:r>
      <w:r w:rsidRPr="006F3921">
        <w:rPr>
          <w:rFonts w:ascii="Book Antiqua" w:hAnsi="Book Antiqua"/>
          <w:b/>
        </w:rPr>
        <w:lastRenderedPageBreak/>
        <w:t>Table 1 Baseline characteristics of the study population</w:t>
      </w:r>
    </w:p>
    <w:tbl>
      <w:tblPr>
        <w:tblW w:w="0" w:type="auto"/>
        <w:tblBorders>
          <w:top w:val="single" w:sz="12" w:space="0" w:color="auto"/>
          <w:bottom w:val="single" w:sz="12" w:space="0" w:color="auto"/>
        </w:tblBorders>
        <w:tblCellMar>
          <w:left w:w="99" w:type="dxa"/>
          <w:right w:w="99" w:type="dxa"/>
        </w:tblCellMar>
        <w:tblLook w:val="04A0" w:firstRow="1" w:lastRow="0" w:firstColumn="1" w:lastColumn="0" w:noHBand="0" w:noVBand="1"/>
      </w:tblPr>
      <w:tblGrid>
        <w:gridCol w:w="3261"/>
        <w:gridCol w:w="2268"/>
        <w:gridCol w:w="2268"/>
        <w:gridCol w:w="1177"/>
      </w:tblGrid>
      <w:tr w:rsidR="00AB37F6" w:rsidRPr="00AB37F6" w14:paraId="7AF8BCFA" w14:textId="77777777" w:rsidTr="004162BA">
        <w:trPr>
          <w:trHeight w:val="279"/>
        </w:trPr>
        <w:tc>
          <w:tcPr>
            <w:tcW w:w="3261" w:type="dxa"/>
            <w:tcBorders>
              <w:top w:val="single" w:sz="8" w:space="0" w:color="auto"/>
              <w:bottom w:val="single" w:sz="8" w:space="0" w:color="auto"/>
            </w:tcBorders>
            <w:shd w:val="clear" w:color="auto" w:fill="auto"/>
            <w:noWrap/>
          </w:tcPr>
          <w:p w14:paraId="7B657519" w14:textId="77777777" w:rsidR="00AB37F6" w:rsidRPr="00AB37F6" w:rsidRDefault="00AB37F6" w:rsidP="00AB37F6">
            <w:pPr>
              <w:adjustRightInd w:val="0"/>
              <w:snapToGrid w:val="0"/>
              <w:spacing w:line="360" w:lineRule="auto"/>
              <w:ind w:right="95"/>
              <w:jc w:val="both"/>
              <w:rPr>
                <w:rFonts w:ascii="Book Antiqua" w:eastAsia="Arial Unicode MS" w:hAnsi="Book Antiqua"/>
                <w:b/>
              </w:rPr>
            </w:pPr>
          </w:p>
        </w:tc>
        <w:tc>
          <w:tcPr>
            <w:tcW w:w="2268" w:type="dxa"/>
            <w:tcBorders>
              <w:top w:val="single" w:sz="8" w:space="0" w:color="auto"/>
              <w:bottom w:val="single" w:sz="8" w:space="0" w:color="auto"/>
            </w:tcBorders>
            <w:shd w:val="clear" w:color="auto" w:fill="auto"/>
          </w:tcPr>
          <w:p w14:paraId="7E4A2DD9" w14:textId="77777777" w:rsidR="00AB37F6" w:rsidRPr="00AB37F6" w:rsidRDefault="00AB37F6" w:rsidP="00AB37F6">
            <w:pPr>
              <w:adjustRightInd w:val="0"/>
              <w:snapToGrid w:val="0"/>
              <w:spacing w:line="360" w:lineRule="auto"/>
              <w:ind w:right="95"/>
              <w:jc w:val="both"/>
              <w:rPr>
                <w:rFonts w:ascii="Book Antiqua" w:eastAsia="Arial Unicode MS" w:hAnsi="Book Antiqua"/>
                <w:b/>
              </w:rPr>
            </w:pPr>
            <w:r w:rsidRPr="00AB37F6">
              <w:rPr>
                <w:rFonts w:ascii="Book Antiqua" w:eastAsia="Arial Unicode MS" w:hAnsi="Book Antiqua"/>
                <w:b/>
              </w:rPr>
              <w:t>Periodontitis</w:t>
            </w:r>
          </w:p>
        </w:tc>
        <w:tc>
          <w:tcPr>
            <w:tcW w:w="2268" w:type="dxa"/>
            <w:tcBorders>
              <w:top w:val="single" w:sz="8" w:space="0" w:color="auto"/>
              <w:bottom w:val="single" w:sz="8" w:space="0" w:color="auto"/>
            </w:tcBorders>
            <w:shd w:val="clear" w:color="auto" w:fill="auto"/>
          </w:tcPr>
          <w:p w14:paraId="7ECDE214" w14:textId="334CB695" w:rsidR="00AB37F6" w:rsidRPr="00AB37F6" w:rsidRDefault="00AB37F6" w:rsidP="00AB37F6">
            <w:pPr>
              <w:adjustRightInd w:val="0"/>
              <w:snapToGrid w:val="0"/>
              <w:spacing w:line="360" w:lineRule="auto"/>
              <w:ind w:right="95"/>
              <w:jc w:val="both"/>
              <w:rPr>
                <w:rFonts w:ascii="Book Antiqua" w:eastAsia="Arial Unicode MS" w:hAnsi="Book Antiqua"/>
                <w:b/>
              </w:rPr>
            </w:pPr>
            <w:r w:rsidRPr="00AB37F6">
              <w:rPr>
                <w:rFonts w:ascii="Book Antiqua" w:eastAsia="Arial Unicode MS" w:hAnsi="Book Antiqua"/>
                <w:b/>
              </w:rPr>
              <w:t>Non-</w:t>
            </w:r>
            <w:r>
              <w:rPr>
                <w:rFonts w:ascii="Book Antiqua" w:eastAsia="Arial Unicode MS" w:hAnsi="Book Antiqua"/>
                <w:b/>
              </w:rPr>
              <w:t>p</w:t>
            </w:r>
            <w:r w:rsidRPr="00AB37F6">
              <w:rPr>
                <w:rFonts w:ascii="Book Antiqua" w:eastAsia="Arial Unicode MS" w:hAnsi="Book Antiqua"/>
                <w:b/>
              </w:rPr>
              <w:t>eriodontitis</w:t>
            </w:r>
          </w:p>
        </w:tc>
        <w:tc>
          <w:tcPr>
            <w:tcW w:w="1177" w:type="dxa"/>
            <w:tcBorders>
              <w:top w:val="single" w:sz="8" w:space="0" w:color="auto"/>
              <w:bottom w:val="single" w:sz="8" w:space="0" w:color="auto"/>
            </w:tcBorders>
            <w:shd w:val="clear" w:color="auto" w:fill="auto"/>
          </w:tcPr>
          <w:p w14:paraId="3B670A09" w14:textId="5F778659" w:rsidR="00AB37F6" w:rsidRPr="00AB37F6" w:rsidRDefault="00AB37F6" w:rsidP="00AB37F6">
            <w:pPr>
              <w:adjustRightInd w:val="0"/>
              <w:snapToGrid w:val="0"/>
              <w:spacing w:line="360" w:lineRule="auto"/>
              <w:ind w:right="95"/>
              <w:jc w:val="both"/>
              <w:rPr>
                <w:rFonts w:ascii="Book Antiqua" w:eastAsia="Arial Unicode MS" w:hAnsi="Book Antiqua"/>
                <w:b/>
                <w:i/>
                <w:iCs/>
              </w:rPr>
            </w:pPr>
            <w:r w:rsidRPr="00AB37F6">
              <w:rPr>
                <w:rFonts w:ascii="Book Antiqua" w:eastAsia="Arial Unicode MS" w:hAnsi="Book Antiqua"/>
                <w:b/>
                <w:i/>
                <w:iCs/>
              </w:rPr>
              <w:t>P</w:t>
            </w:r>
            <w:r>
              <w:rPr>
                <w:rFonts w:ascii="Book Antiqua" w:eastAsia="Arial Unicode MS" w:hAnsi="Book Antiqua"/>
                <w:b/>
                <w:i/>
                <w:iCs/>
              </w:rPr>
              <w:t xml:space="preserve"> </w:t>
            </w:r>
            <w:r w:rsidRPr="00AB37F6">
              <w:rPr>
                <w:rFonts w:ascii="Book Antiqua" w:eastAsia="Arial Unicode MS" w:hAnsi="Book Antiqua"/>
                <w:b/>
              </w:rPr>
              <w:t>value</w:t>
            </w:r>
          </w:p>
        </w:tc>
      </w:tr>
      <w:tr w:rsidR="00AB37F6" w:rsidRPr="00AB37F6" w14:paraId="56A767DE" w14:textId="77777777" w:rsidTr="004162BA">
        <w:tc>
          <w:tcPr>
            <w:tcW w:w="3261" w:type="dxa"/>
            <w:tcBorders>
              <w:top w:val="single" w:sz="8" w:space="0" w:color="auto"/>
            </w:tcBorders>
            <w:shd w:val="clear" w:color="auto" w:fill="auto"/>
            <w:noWrap/>
          </w:tcPr>
          <w:p w14:paraId="3376CE7D" w14:textId="58D9C5E1" w:rsidR="00AB37F6" w:rsidRPr="00AB37F6" w:rsidRDefault="004162BA" w:rsidP="00AB37F6">
            <w:pPr>
              <w:adjustRightInd w:val="0"/>
              <w:snapToGrid w:val="0"/>
              <w:spacing w:line="360" w:lineRule="auto"/>
              <w:ind w:right="95"/>
              <w:jc w:val="both"/>
              <w:rPr>
                <w:rFonts w:ascii="Book Antiqua" w:eastAsia="Arial Unicode MS" w:hAnsi="Book Antiqua"/>
              </w:rPr>
            </w:pPr>
            <w:r>
              <w:rPr>
                <w:rFonts w:ascii="Book Antiqua" w:eastAsia="Arial Unicode MS" w:hAnsi="Book Antiqua"/>
              </w:rPr>
              <w:t>P</w:t>
            </w:r>
            <w:r w:rsidR="00AB37F6" w:rsidRPr="00AB37F6">
              <w:rPr>
                <w:rFonts w:ascii="Book Antiqua" w:eastAsia="Arial Unicode MS" w:hAnsi="Book Antiqua"/>
              </w:rPr>
              <w:t>atients</w:t>
            </w:r>
            <w:r>
              <w:rPr>
                <w:rFonts w:ascii="Book Antiqua" w:eastAsia="Arial Unicode MS" w:hAnsi="Book Antiqua"/>
              </w:rPr>
              <w:t xml:space="preserve">, </w:t>
            </w:r>
            <w:r w:rsidRPr="004162BA">
              <w:rPr>
                <w:rFonts w:ascii="Book Antiqua" w:eastAsia="Arial Unicode MS" w:hAnsi="Book Antiqua"/>
                <w:i/>
                <w:iCs/>
              </w:rPr>
              <w:t>n</w:t>
            </w:r>
          </w:p>
        </w:tc>
        <w:tc>
          <w:tcPr>
            <w:tcW w:w="2268" w:type="dxa"/>
            <w:tcBorders>
              <w:top w:val="single" w:sz="8" w:space="0" w:color="auto"/>
            </w:tcBorders>
            <w:shd w:val="clear" w:color="auto" w:fill="auto"/>
          </w:tcPr>
          <w:p w14:paraId="6FDC5B10" w14:textId="387C98D1"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1092825</w:t>
            </w:r>
          </w:p>
        </w:tc>
        <w:tc>
          <w:tcPr>
            <w:tcW w:w="2268" w:type="dxa"/>
            <w:tcBorders>
              <w:top w:val="single" w:sz="8" w:space="0" w:color="auto"/>
            </w:tcBorders>
            <w:shd w:val="clear" w:color="auto" w:fill="auto"/>
            <w:noWrap/>
          </w:tcPr>
          <w:p w14:paraId="739E63DA" w14:textId="4497FF6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8857723</w:t>
            </w:r>
          </w:p>
        </w:tc>
        <w:tc>
          <w:tcPr>
            <w:tcW w:w="1177" w:type="dxa"/>
            <w:tcBorders>
              <w:top w:val="single" w:sz="8" w:space="0" w:color="auto"/>
            </w:tcBorders>
            <w:shd w:val="clear" w:color="auto" w:fill="auto"/>
            <w:noWrap/>
          </w:tcPr>
          <w:p w14:paraId="1E69A9E5"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69DC8072" w14:textId="77777777" w:rsidTr="00AB37F6">
        <w:tc>
          <w:tcPr>
            <w:tcW w:w="3261" w:type="dxa"/>
            <w:shd w:val="clear" w:color="auto" w:fill="auto"/>
            <w:noWrap/>
            <w:hideMark/>
          </w:tcPr>
          <w:p w14:paraId="6F4899E5" w14:textId="4B23FCA0"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Age, </w:t>
            </w:r>
            <w:proofErr w:type="spellStart"/>
            <w:r w:rsidRPr="00AB37F6">
              <w:rPr>
                <w:rFonts w:ascii="Book Antiqua" w:eastAsia="Arial Unicode MS" w:hAnsi="Book Antiqua"/>
              </w:rPr>
              <w:t>y</w:t>
            </w:r>
            <w:r>
              <w:rPr>
                <w:rFonts w:ascii="Book Antiqua" w:eastAsia="Arial Unicode MS" w:hAnsi="Book Antiqua"/>
              </w:rPr>
              <w:t>r</w:t>
            </w:r>
            <w:proofErr w:type="spellEnd"/>
            <w:r w:rsidRPr="00AB37F6">
              <w:rPr>
                <w:rFonts w:ascii="Book Antiqua" w:hAnsi="Book Antiqua"/>
                <w:color w:val="1C1D1E"/>
                <w:shd w:val="clear" w:color="auto" w:fill="FFFFFF"/>
                <w:vertAlign w:val="superscript"/>
              </w:rPr>
              <w:t xml:space="preserve"> </w:t>
            </w:r>
            <w:r>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Pr="006F3921">
              <w:rPr>
                <w:rFonts w:ascii="Book Antiqua" w:eastAsia="Malgun Gothic" w:hAnsi="Book Antiqua"/>
              </w:rPr>
              <w:t xml:space="preserve">± </w:t>
            </w:r>
            <w:r>
              <w:rPr>
                <w:rFonts w:ascii="Book Antiqua" w:eastAsia="Malgun Gothic" w:hAnsi="Book Antiqua"/>
              </w:rPr>
              <w:t>SD)</w:t>
            </w:r>
          </w:p>
        </w:tc>
        <w:tc>
          <w:tcPr>
            <w:tcW w:w="2268" w:type="dxa"/>
            <w:shd w:val="clear" w:color="auto" w:fill="auto"/>
          </w:tcPr>
          <w:p w14:paraId="4F44D5C2"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51.4 ± 12.9</w:t>
            </w:r>
          </w:p>
        </w:tc>
        <w:tc>
          <w:tcPr>
            <w:tcW w:w="2268" w:type="dxa"/>
            <w:shd w:val="clear" w:color="auto" w:fill="auto"/>
            <w:noWrap/>
          </w:tcPr>
          <w:p w14:paraId="1EC95F27"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46.6 ± 14.2</w:t>
            </w:r>
          </w:p>
        </w:tc>
        <w:tc>
          <w:tcPr>
            <w:tcW w:w="1177" w:type="dxa"/>
            <w:shd w:val="clear" w:color="auto" w:fill="auto"/>
            <w:noWrap/>
          </w:tcPr>
          <w:p w14:paraId="2E540F52" w14:textId="0769E571"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Pr>
                <w:rFonts w:ascii="Book Antiqua" w:eastAsia="Arial Unicode MS" w:hAnsi="Book Antiqua"/>
              </w:rPr>
              <w:t>0</w:t>
            </w:r>
            <w:r w:rsidRPr="00AB37F6">
              <w:rPr>
                <w:rFonts w:ascii="Book Antiqua" w:eastAsia="Arial Unicode MS" w:hAnsi="Book Antiqua"/>
              </w:rPr>
              <w:t>.01</w:t>
            </w:r>
          </w:p>
        </w:tc>
      </w:tr>
      <w:tr w:rsidR="00AB37F6" w:rsidRPr="00AB37F6" w14:paraId="696247BF" w14:textId="77777777" w:rsidTr="00AB37F6">
        <w:tc>
          <w:tcPr>
            <w:tcW w:w="3261" w:type="dxa"/>
            <w:shd w:val="clear" w:color="auto" w:fill="auto"/>
            <w:noWrap/>
          </w:tcPr>
          <w:p w14:paraId="4B389671"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Age, 3 groups (%)</w:t>
            </w:r>
          </w:p>
        </w:tc>
        <w:tc>
          <w:tcPr>
            <w:tcW w:w="2268" w:type="dxa"/>
            <w:shd w:val="clear" w:color="auto" w:fill="auto"/>
          </w:tcPr>
          <w:p w14:paraId="54F03EA6"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1FA038BA"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60AD09EA" w14:textId="3C991922"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r w:rsidRPr="00AB37F6">
              <w:rPr>
                <w:rFonts w:ascii="Book Antiqua" w:eastAsia="Arial Unicode MS" w:hAnsi="Book Antiqua"/>
              </w:rPr>
              <w:t xml:space="preserve">&lt; </w:t>
            </w:r>
            <w:r w:rsidR="004162BA">
              <w:rPr>
                <w:rFonts w:ascii="Book Antiqua" w:eastAsia="Arial Unicode MS" w:hAnsi="Book Antiqua"/>
              </w:rPr>
              <w:t>0</w:t>
            </w:r>
            <w:r w:rsidRPr="00AB37F6">
              <w:rPr>
                <w:rFonts w:ascii="Book Antiqua" w:eastAsia="Arial Unicode MS" w:hAnsi="Book Antiqua"/>
              </w:rPr>
              <w:t>.01</w:t>
            </w:r>
          </w:p>
        </w:tc>
      </w:tr>
      <w:tr w:rsidR="00AB37F6" w:rsidRPr="00AB37F6" w14:paraId="5E53DBEC" w14:textId="77777777" w:rsidTr="00AB37F6">
        <w:tc>
          <w:tcPr>
            <w:tcW w:w="3261" w:type="dxa"/>
            <w:shd w:val="clear" w:color="auto" w:fill="auto"/>
            <w:noWrap/>
          </w:tcPr>
          <w:p w14:paraId="7A67603F" w14:textId="04BC0F19"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20</w:t>
            </w:r>
            <w:r w:rsidR="00E37D80">
              <w:rPr>
                <w:rFonts w:ascii="Book Antiqua" w:eastAsia="Arial Unicode MS" w:hAnsi="Book Antiqua"/>
              </w:rPr>
              <w:t>-</w:t>
            </w:r>
            <w:r w:rsidRPr="00AB37F6">
              <w:rPr>
                <w:rFonts w:ascii="Book Antiqua" w:eastAsia="Arial Unicode MS" w:hAnsi="Book Antiqua"/>
              </w:rPr>
              <w:t>39</w:t>
            </w:r>
          </w:p>
        </w:tc>
        <w:tc>
          <w:tcPr>
            <w:tcW w:w="2268" w:type="dxa"/>
            <w:shd w:val="clear" w:color="auto" w:fill="auto"/>
          </w:tcPr>
          <w:p w14:paraId="6AE4465F" w14:textId="114FE568"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188805 (17.2)</w:t>
            </w:r>
          </w:p>
        </w:tc>
        <w:tc>
          <w:tcPr>
            <w:tcW w:w="2268" w:type="dxa"/>
            <w:shd w:val="clear" w:color="auto" w:fill="auto"/>
            <w:noWrap/>
          </w:tcPr>
          <w:p w14:paraId="526CA385" w14:textId="1469B9E3"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2929998 (33.1)</w:t>
            </w:r>
          </w:p>
        </w:tc>
        <w:tc>
          <w:tcPr>
            <w:tcW w:w="1177" w:type="dxa"/>
            <w:shd w:val="clear" w:color="auto" w:fill="auto"/>
            <w:noWrap/>
          </w:tcPr>
          <w:p w14:paraId="2CCA0CA5"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253C8EF5" w14:textId="77777777" w:rsidTr="00AB37F6">
        <w:tc>
          <w:tcPr>
            <w:tcW w:w="3261" w:type="dxa"/>
            <w:shd w:val="clear" w:color="auto" w:fill="auto"/>
            <w:noWrap/>
          </w:tcPr>
          <w:p w14:paraId="5228DF99" w14:textId="238590CF"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40</w:t>
            </w:r>
            <w:r w:rsidR="00E37D80">
              <w:rPr>
                <w:rFonts w:ascii="Book Antiqua" w:eastAsia="Arial Unicode MS" w:hAnsi="Book Antiqua"/>
              </w:rPr>
              <w:t>-</w:t>
            </w:r>
            <w:r w:rsidRPr="00AB37F6">
              <w:rPr>
                <w:rFonts w:ascii="Book Antiqua" w:eastAsia="Arial Unicode MS" w:hAnsi="Book Antiqua"/>
              </w:rPr>
              <w:t>64</w:t>
            </w:r>
          </w:p>
        </w:tc>
        <w:tc>
          <w:tcPr>
            <w:tcW w:w="2268" w:type="dxa"/>
            <w:shd w:val="clear" w:color="auto" w:fill="auto"/>
          </w:tcPr>
          <w:p w14:paraId="0516DBE2" w14:textId="370CF21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719197 (65.8)</w:t>
            </w:r>
          </w:p>
        </w:tc>
        <w:tc>
          <w:tcPr>
            <w:tcW w:w="2268" w:type="dxa"/>
            <w:shd w:val="clear" w:color="auto" w:fill="auto"/>
            <w:noWrap/>
          </w:tcPr>
          <w:p w14:paraId="58FE24C6" w14:textId="4FB20D8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4810132 (54.3)</w:t>
            </w:r>
          </w:p>
        </w:tc>
        <w:tc>
          <w:tcPr>
            <w:tcW w:w="1177" w:type="dxa"/>
            <w:shd w:val="clear" w:color="auto" w:fill="auto"/>
            <w:noWrap/>
          </w:tcPr>
          <w:p w14:paraId="28D59832"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7C445950" w14:textId="77777777" w:rsidTr="00AB37F6">
        <w:tc>
          <w:tcPr>
            <w:tcW w:w="3261" w:type="dxa"/>
            <w:shd w:val="clear" w:color="auto" w:fill="auto"/>
            <w:noWrap/>
          </w:tcPr>
          <w:p w14:paraId="1F4509D9" w14:textId="33C6F255" w:rsidR="00AB37F6" w:rsidRPr="00AB37F6" w:rsidRDefault="00E13517" w:rsidP="00DE7D3B">
            <w:pPr>
              <w:adjustRightInd w:val="0"/>
              <w:snapToGrid w:val="0"/>
              <w:spacing w:line="360" w:lineRule="auto"/>
              <w:ind w:right="95" w:firstLineChars="100" w:firstLine="240"/>
              <w:jc w:val="both"/>
              <w:rPr>
                <w:rFonts w:ascii="Book Antiqua" w:eastAsia="Arial Unicode MS" w:hAnsi="Book Antiqua"/>
              </w:rPr>
            </w:pPr>
            <w:r>
              <w:rPr>
                <w:rFonts w:ascii="Book Antiqua" w:eastAsia="Arial Unicode MS" w:hAnsi="Book Antiqua"/>
              </w:rPr>
              <w:t xml:space="preserve">≥ </w:t>
            </w:r>
            <w:r w:rsidR="00AB37F6" w:rsidRPr="00AB37F6">
              <w:rPr>
                <w:rFonts w:ascii="Book Antiqua" w:eastAsia="Arial Unicode MS" w:hAnsi="Book Antiqua"/>
              </w:rPr>
              <w:t>65</w:t>
            </w:r>
          </w:p>
        </w:tc>
        <w:tc>
          <w:tcPr>
            <w:tcW w:w="2268" w:type="dxa"/>
            <w:shd w:val="clear" w:color="auto" w:fill="auto"/>
          </w:tcPr>
          <w:p w14:paraId="36979031" w14:textId="7CBEC24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184823 (16.9)</w:t>
            </w:r>
          </w:p>
        </w:tc>
        <w:tc>
          <w:tcPr>
            <w:tcW w:w="2268" w:type="dxa"/>
            <w:shd w:val="clear" w:color="auto" w:fill="auto"/>
            <w:noWrap/>
          </w:tcPr>
          <w:p w14:paraId="6F8370C7" w14:textId="12B254A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1117593 (12.6)</w:t>
            </w:r>
          </w:p>
        </w:tc>
        <w:tc>
          <w:tcPr>
            <w:tcW w:w="1177" w:type="dxa"/>
            <w:shd w:val="clear" w:color="auto" w:fill="auto"/>
            <w:noWrap/>
          </w:tcPr>
          <w:p w14:paraId="208A7F5A"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7A5AB310" w14:textId="77777777" w:rsidTr="00AB37F6">
        <w:tc>
          <w:tcPr>
            <w:tcW w:w="3261" w:type="dxa"/>
            <w:shd w:val="clear" w:color="auto" w:fill="auto"/>
            <w:noWrap/>
          </w:tcPr>
          <w:p w14:paraId="6523460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Male (%)</w:t>
            </w:r>
          </w:p>
        </w:tc>
        <w:tc>
          <w:tcPr>
            <w:tcW w:w="2268" w:type="dxa"/>
            <w:shd w:val="clear" w:color="auto" w:fill="auto"/>
          </w:tcPr>
          <w:p w14:paraId="15434175" w14:textId="714DC0C1"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604307 (55.3)</w:t>
            </w:r>
          </w:p>
        </w:tc>
        <w:tc>
          <w:tcPr>
            <w:tcW w:w="2268" w:type="dxa"/>
            <w:shd w:val="clear" w:color="auto" w:fill="auto"/>
            <w:noWrap/>
          </w:tcPr>
          <w:p w14:paraId="5032EC16" w14:textId="4BEE763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4844383 (54.7)</w:t>
            </w:r>
          </w:p>
        </w:tc>
        <w:tc>
          <w:tcPr>
            <w:tcW w:w="1177" w:type="dxa"/>
            <w:shd w:val="clear" w:color="auto" w:fill="auto"/>
            <w:noWrap/>
          </w:tcPr>
          <w:p w14:paraId="4C97E5E0" w14:textId="77777777" w:rsidR="00AB37F6" w:rsidRPr="00AB37F6" w:rsidRDefault="00AB37F6" w:rsidP="00AB37F6">
            <w:pPr>
              <w:adjustRightInd w:val="0"/>
              <w:snapToGrid w:val="0"/>
              <w:spacing w:line="360" w:lineRule="auto"/>
              <w:ind w:right="95"/>
              <w:jc w:val="both"/>
              <w:rPr>
                <w:rFonts w:ascii="Book Antiqua" w:eastAsia="Arial Unicode MS" w:hAnsi="Book Antiqua"/>
                <w:vertAlign w:val="superscript"/>
              </w:rPr>
            </w:pPr>
          </w:p>
        </w:tc>
      </w:tr>
      <w:tr w:rsidR="00AB37F6" w:rsidRPr="00AB37F6" w14:paraId="177AFE98" w14:textId="77777777" w:rsidTr="00AB37F6">
        <w:tc>
          <w:tcPr>
            <w:tcW w:w="3261" w:type="dxa"/>
            <w:shd w:val="clear" w:color="auto" w:fill="auto"/>
            <w:noWrap/>
          </w:tcPr>
          <w:p w14:paraId="04947436" w14:textId="5BBA984E"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BMI, kg/m</w:t>
            </w:r>
            <w:r w:rsidRPr="00AB37F6">
              <w:rPr>
                <w:rFonts w:ascii="Book Antiqua" w:eastAsia="Arial Unicode MS" w:hAnsi="Book Antiqua"/>
                <w:vertAlign w:val="superscript"/>
              </w:rPr>
              <w:t>2</w:t>
            </w:r>
            <w:r w:rsidRPr="00AB37F6">
              <w:rPr>
                <w:rFonts w:ascii="Book Antiqua" w:hAnsi="Book Antiqua"/>
                <w:color w:val="1C1D1E"/>
                <w:shd w:val="clear" w:color="auto" w:fill="FFFFFF"/>
                <w:vertAlign w:val="superscript"/>
              </w:rPr>
              <w:t xml:space="preserve">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shd w:val="clear" w:color="auto" w:fill="auto"/>
          </w:tcPr>
          <w:p w14:paraId="4E3AF7C9"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23.9 ± 3.1</w:t>
            </w:r>
          </w:p>
        </w:tc>
        <w:tc>
          <w:tcPr>
            <w:tcW w:w="2268" w:type="dxa"/>
            <w:shd w:val="clear" w:color="auto" w:fill="auto"/>
            <w:noWrap/>
          </w:tcPr>
          <w:p w14:paraId="4740AE6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23.7 ± 3.2</w:t>
            </w:r>
          </w:p>
        </w:tc>
        <w:tc>
          <w:tcPr>
            <w:tcW w:w="1177" w:type="dxa"/>
            <w:shd w:val="clear" w:color="auto" w:fill="auto"/>
            <w:noWrap/>
          </w:tcPr>
          <w:p w14:paraId="176EFA0A" w14:textId="1639EED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C4A62EF" w14:textId="77777777" w:rsidTr="00AB37F6">
        <w:tc>
          <w:tcPr>
            <w:tcW w:w="3261" w:type="dxa"/>
            <w:shd w:val="clear" w:color="auto" w:fill="auto"/>
            <w:noWrap/>
          </w:tcPr>
          <w:p w14:paraId="6485C018" w14:textId="2071DC7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Waist circumference, cm</w:t>
            </w:r>
            <w:r w:rsidRPr="00AB37F6">
              <w:rPr>
                <w:rFonts w:ascii="Book Antiqua" w:hAnsi="Book Antiqua"/>
                <w:color w:val="1C1D1E"/>
                <w:shd w:val="clear" w:color="auto" w:fill="FFFFFF"/>
                <w:vertAlign w:val="superscript"/>
              </w:rPr>
              <w:t xml:space="preserve">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shd w:val="clear" w:color="auto" w:fill="auto"/>
          </w:tcPr>
          <w:p w14:paraId="7A273F5E"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81.2 ± 8.8</w:t>
            </w:r>
          </w:p>
        </w:tc>
        <w:tc>
          <w:tcPr>
            <w:tcW w:w="2268" w:type="dxa"/>
            <w:shd w:val="clear" w:color="auto" w:fill="auto"/>
            <w:noWrap/>
          </w:tcPr>
          <w:p w14:paraId="4EB6F381"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80.1 ± 9.1</w:t>
            </w:r>
          </w:p>
        </w:tc>
        <w:tc>
          <w:tcPr>
            <w:tcW w:w="1177" w:type="dxa"/>
            <w:shd w:val="clear" w:color="auto" w:fill="auto"/>
            <w:noWrap/>
          </w:tcPr>
          <w:p w14:paraId="5BA88D87" w14:textId="478CF6F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AC63208" w14:textId="77777777" w:rsidTr="00AB37F6">
        <w:tc>
          <w:tcPr>
            <w:tcW w:w="3261" w:type="dxa"/>
            <w:shd w:val="clear" w:color="auto" w:fill="auto"/>
            <w:noWrap/>
          </w:tcPr>
          <w:p w14:paraId="7CC2646E"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Cigarette smoking (%)</w:t>
            </w:r>
          </w:p>
        </w:tc>
        <w:tc>
          <w:tcPr>
            <w:tcW w:w="2268" w:type="dxa"/>
            <w:shd w:val="clear" w:color="auto" w:fill="auto"/>
          </w:tcPr>
          <w:p w14:paraId="4893C8AC"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688639EF"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006982A9" w14:textId="46C6DB6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7F403D4B" w14:textId="77777777" w:rsidTr="00AB37F6">
        <w:tc>
          <w:tcPr>
            <w:tcW w:w="3261" w:type="dxa"/>
            <w:shd w:val="clear" w:color="auto" w:fill="auto"/>
            <w:noWrap/>
          </w:tcPr>
          <w:p w14:paraId="507A564A"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 xml:space="preserve">Nonsmoker  </w:t>
            </w:r>
          </w:p>
        </w:tc>
        <w:tc>
          <w:tcPr>
            <w:tcW w:w="2268" w:type="dxa"/>
            <w:shd w:val="clear" w:color="auto" w:fill="auto"/>
          </w:tcPr>
          <w:p w14:paraId="004D4701" w14:textId="1EBB11D0"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644790 (59.0)</w:t>
            </w:r>
          </w:p>
        </w:tc>
        <w:tc>
          <w:tcPr>
            <w:tcW w:w="2268" w:type="dxa"/>
            <w:shd w:val="clear" w:color="auto" w:fill="auto"/>
            <w:noWrap/>
          </w:tcPr>
          <w:p w14:paraId="2FA996FB" w14:textId="6C42E23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5276142 (59.6)</w:t>
            </w:r>
          </w:p>
        </w:tc>
        <w:tc>
          <w:tcPr>
            <w:tcW w:w="1177" w:type="dxa"/>
            <w:shd w:val="clear" w:color="auto" w:fill="auto"/>
            <w:noWrap/>
          </w:tcPr>
          <w:p w14:paraId="1811D5B5"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08E39383" w14:textId="77777777" w:rsidTr="00AB37F6">
        <w:tc>
          <w:tcPr>
            <w:tcW w:w="3261" w:type="dxa"/>
            <w:shd w:val="clear" w:color="auto" w:fill="auto"/>
            <w:noWrap/>
          </w:tcPr>
          <w:p w14:paraId="5E7C5D75"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Ex-smoker</w:t>
            </w:r>
          </w:p>
        </w:tc>
        <w:tc>
          <w:tcPr>
            <w:tcW w:w="2268" w:type="dxa"/>
            <w:shd w:val="clear" w:color="auto" w:fill="auto"/>
          </w:tcPr>
          <w:p w14:paraId="641A2B0B" w14:textId="5CEE2051"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188825 (17.3)</w:t>
            </w:r>
          </w:p>
        </w:tc>
        <w:tc>
          <w:tcPr>
            <w:tcW w:w="2268" w:type="dxa"/>
            <w:shd w:val="clear" w:color="auto" w:fill="auto"/>
            <w:noWrap/>
          </w:tcPr>
          <w:p w14:paraId="5AF22128" w14:textId="4D0B0E7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1238268 (14.0)</w:t>
            </w:r>
          </w:p>
        </w:tc>
        <w:tc>
          <w:tcPr>
            <w:tcW w:w="1177" w:type="dxa"/>
            <w:shd w:val="clear" w:color="auto" w:fill="auto"/>
            <w:noWrap/>
          </w:tcPr>
          <w:p w14:paraId="15EEE568"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4F398F86" w14:textId="77777777" w:rsidTr="00AB37F6">
        <w:tc>
          <w:tcPr>
            <w:tcW w:w="3261" w:type="dxa"/>
            <w:shd w:val="clear" w:color="auto" w:fill="auto"/>
            <w:noWrap/>
          </w:tcPr>
          <w:p w14:paraId="1D9EBC11"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Current smoker</w:t>
            </w:r>
          </w:p>
        </w:tc>
        <w:tc>
          <w:tcPr>
            <w:tcW w:w="2268" w:type="dxa"/>
            <w:shd w:val="clear" w:color="auto" w:fill="auto"/>
          </w:tcPr>
          <w:p w14:paraId="6DA1A9D8" w14:textId="3C374DE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259210 (23.7)</w:t>
            </w:r>
          </w:p>
        </w:tc>
        <w:tc>
          <w:tcPr>
            <w:tcW w:w="2268" w:type="dxa"/>
            <w:shd w:val="clear" w:color="auto" w:fill="auto"/>
            <w:noWrap/>
          </w:tcPr>
          <w:p w14:paraId="6DFDC338" w14:textId="0100DE5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2343313 (26.4)</w:t>
            </w:r>
          </w:p>
        </w:tc>
        <w:tc>
          <w:tcPr>
            <w:tcW w:w="1177" w:type="dxa"/>
            <w:shd w:val="clear" w:color="auto" w:fill="auto"/>
            <w:noWrap/>
          </w:tcPr>
          <w:p w14:paraId="3B373002"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0086ADEF" w14:textId="77777777" w:rsidTr="00AB37F6">
        <w:tc>
          <w:tcPr>
            <w:tcW w:w="3261" w:type="dxa"/>
            <w:shd w:val="clear" w:color="auto" w:fill="auto"/>
            <w:noWrap/>
          </w:tcPr>
          <w:p w14:paraId="6E43D680"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Drinking (%)</w:t>
            </w:r>
          </w:p>
        </w:tc>
        <w:tc>
          <w:tcPr>
            <w:tcW w:w="2268" w:type="dxa"/>
            <w:shd w:val="clear" w:color="auto" w:fill="auto"/>
          </w:tcPr>
          <w:p w14:paraId="3B88F000"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0F6C017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3D805D43" w14:textId="5C45A882"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08FF6ED" w14:textId="77777777" w:rsidTr="00AB37F6">
        <w:tc>
          <w:tcPr>
            <w:tcW w:w="3261" w:type="dxa"/>
            <w:shd w:val="clear" w:color="auto" w:fill="auto"/>
            <w:noWrap/>
          </w:tcPr>
          <w:p w14:paraId="49CB4E17"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Non</w:t>
            </w:r>
          </w:p>
        </w:tc>
        <w:tc>
          <w:tcPr>
            <w:tcW w:w="2268" w:type="dxa"/>
            <w:shd w:val="clear" w:color="auto" w:fill="auto"/>
          </w:tcPr>
          <w:p w14:paraId="177F9EE7" w14:textId="3CB82228"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597901 (54.7)</w:t>
            </w:r>
          </w:p>
        </w:tc>
        <w:tc>
          <w:tcPr>
            <w:tcW w:w="2268" w:type="dxa"/>
            <w:shd w:val="clear" w:color="auto" w:fill="auto"/>
            <w:noWrap/>
          </w:tcPr>
          <w:p w14:paraId="15FFBAFE" w14:textId="39B00CA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4528675 (51.1)</w:t>
            </w:r>
          </w:p>
        </w:tc>
        <w:tc>
          <w:tcPr>
            <w:tcW w:w="1177" w:type="dxa"/>
            <w:shd w:val="clear" w:color="auto" w:fill="auto"/>
            <w:noWrap/>
          </w:tcPr>
          <w:p w14:paraId="0EB56929"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03F2D001" w14:textId="77777777" w:rsidTr="00AB37F6">
        <w:tc>
          <w:tcPr>
            <w:tcW w:w="3261" w:type="dxa"/>
            <w:shd w:val="clear" w:color="auto" w:fill="auto"/>
            <w:noWrap/>
          </w:tcPr>
          <w:p w14:paraId="0E00C24F"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 xml:space="preserve">Mild </w:t>
            </w:r>
          </w:p>
        </w:tc>
        <w:tc>
          <w:tcPr>
            <w:tcW w:w="2268" w:type="dxa"/>
            <w:shd w:val="clear" w:color="auto" w:fill="auto"/>
          </w:tcPr>
          <w:p w14:paraId="4E2B0CDE" w14:textId="31E30CCF"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423429 (38.8)</w:t>
            </w:r>
          </w:p>
        </w:tc>
        <w:tc>
          <w:tcPr>
            <w:tcW w:w="2268" w:type="dxa"/>
            <w:shd w:val="clear" w:color="auto" w:fill="auto"/>
            <w:noWrap/>
          </w:tcPr>
          <w:p w14:paraId="64997504" w14:textId="6E6F315F"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3718,835 (42.0)</w:t>
            </w:r>
          </w:p>
        </w:tc>
        <w:tc>
          <w:tcPr>
            <w:tcW w:w="1177" w:type="dxa"/>
            <w:shd w:val="clear" w:color="auto" w:fill="auto"/>
            <w:noWrap/>
          </w:tcPr>
          <w:p w14:paraId="6E2B0885"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535B7D46" w14:textId="77777777" w:rsidTr="00AB37F6">
        <w:tc>
          <w:tcPr>
            <w:tcW w:w="3261" w:type="dxa"/>
            <w:shd w:val="clear" w:color="auto" w:fill="auto"/>
            <w:noWrap/>
          </w:tcPr>
          <w:p w14:paraId="1522693E"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 xml:space="preserve">Heavy </w:t>
            </w:r>
          </w:p>
        </w:tc>
        <w:tc>
          <w:tcPr>
            <w:tcW w:w="2268" w:type="dxa"/>
            <w:shd w:val="clear" w:color="auto" w:fill="auto"/>
          </w:tcPr>
          <w:p w14:paraId="642C2FCF" w14:textId="3AC5F0F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71495 (6.5)</w:t>
            </w:r>
          </w:p>
        </w:tc>
        <w:tc>
          <w:tcPr>
            <w:tcW w:w="2268" w:type="dxa"/>
            <w:shd w:val="clear" w:color="auto" w:fill="auto"/>
            <w:noWrap/>
          </w:tcPr>
          <w:p w14:paraId="0E33128F" w14:textId="56BAEDE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610213 (6.9)</w:t>
            </w:r>
          </w:p>
        </w:tc>
        <w:tc>
          <w:tcPr>
            <w:tcW w:w="1177" w:type="dxa"/>
            <w:shd w:val="clear" w:color="auto" w:fill="auto"/>
            <w:noWrap/>
          </w:tcPr>
          <w:p w14:paraId="585BC32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0AA8B0BF" w14:textId="77777777" w:rsidTr="00AB37F6">
        <w:tc>
          <w:tcPr>
            <w:tcW w:w="3261" w:type="dxa"/>
            <w:shd w:val="clear" w:color="auto" w:fill="auto"/>
            <w:noWrap/>
          </w:tcPr>
          <w:p w14:paraId="77E1BDCB" w14:textId="50CDFADE"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Exercise; </w:t>
            </w:r>
            <w:r w:rsidR="00100377">
              <w:rPr>
                <w:rFonts w:ascii="Book Antiqua" w:eastAsia="Arial Unicode MS" w:hAnsi="Book Antiqua"/>
              </w:rPr>
              <w:t>y</w:t>
            </w:r>
            <w:r w:rsidRPr="00AB37F6">
              <w:rPr>
                <w:rFonts w:ascii="Book Antiqua" w:eastAsia="Arial Unicode MS" w:hAnsi="Book Antiqua"/>
              </w:rPr>
              <w:t>es (%)</w:t>
            </w:r>
          </w:p>
        </w:tc>
        <w:tc>
          <w:tcPr>
            <w:tcW w:w="2268" w:type="dxa"/>
            <w:shd w:val="clear" w:color="auto" w:fill="auto"/>
          </w:tcPr>
          <w:p w14:paraId="2A3B0D02" w14:textId="091DFDAE"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572684 (52.4)</w:t>
            </w:r>
          </w:p>
        </w:tc>
        <w:tc>
          <w:tcPr>
            <w:tcW w:w="2268" w:type="dxa"/>
            <w:shd w:val="clear" w:color="auto" w:fill="auto"/>
            <w:noWrap/>
          </w:tcPr>
          <w:p w14:paraId="366ECDBC" w14:textId="478E74C6"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4544197 (51.3)</w:t>
            </w:r>
          </w:p>
        </w:tc>
        <w:tc>
          <w:tcPr>
            <w:tcW w:w="1177" w:type="dxa"/>
            <w:shd w:val="clear" w:color="auto" w:fill="auto"/>
            <w:noWrap/>
          </w:tcPr>
          <w:p w14:paraId="53D76E20" w14:textId="3F22B9B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40F37F9A" w14:textId="77777777" w:rsidTr="00AB37F6">
        <w:tc>
          <w:tcPr>
            <w:tcW w:w="3261" w:type="dxa"/>
            <w:shd w:val="clear" w:color="auto" w:fill="auto"/>
            <w:noWrap/>
          </w:tcPr>
          <w:p w14:paraId="0491512D" w14:textId="4D4454D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Income; </w:t>
            </w:r>
            <w:r w:rsidR="00100377">
              <w:rPr>
                <w:rFonts w:ascii="Book Antiqua" w:eastAsia="Arial Unicode MS" w:hAnsi="Book Antiqua"/>
              </w:rPr>
              <w:t>l</w:t>
            </w:r>
            <w:r w:rsidRPr="00AB37F6">
              <w:rPr>
                <w:rFonts w:ascii="Book Antiqua" w:eastAsia="Arial Unicode MS" w:hAnsi="Book Antiqua"/>
              </w:rPr>
              <w:t>ow</w:t>
            </w:r>
            <w:r w:rsidR="00100377">
              <w:rPr>
                <w:rFonts w:ascii="Book Antiqua" w:eastAsia="Arial Unicode MS" w:hAnsi="Book Antiqua"/>
              </w:rPr>
              <w:t xml:space="preserve"> (</w:t>
            </w:r>
            <w:r w:rsidR="00100377" w:rsidRPr="006F3921">
              <w:rPr>
                <w:rFonts w:ascii="Book Antiqua" w:hAnsi="Book Antiqua"/>
              </w:rPr>
              <w:t>less than 20% of total population</w:t>
            </w:r>
            <w:r w:rsidR="00100377">
              <w:rPr>
                <w:rFonts w:ascii="Book Antiqua" w:hAnsi="Book Antiqua"/>
              </w:rPr>
              <w:t>)</w:t>
            </w:r>
            <w:r w:rsidRPr="00AB37F6">
              <w:rPr>
                <w:rFonts w:ascii="Book Antiqua" w:eastAsia="Arial Unicode MS" w:hAnsi="Book Antiqua"/>
              </w:rPr>
              <w:t xml:space="preserve"> (%)</w:t>
            </w:r>
          </w:p>
        </w:tc>
        <w:tc>
          <w:tcPr>
            <w:tcW w:w="2268" w:type="dxa"/>
            <w:shd w:val="clear" w:color="auto" w:fill="auto"/>
          </w:tcPr>
          <w:p w14:paraId="55E3F141" w14:textId="0E5A2FA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274356 (25.1)</w:t>
            </w:r>
          </w:p>
        </w:tc>
        <w:tc>
          <w:tcPr>
            <w:tcW w:w="2268" w:type="dxa"/>
            <w:shd w:val="clear" w:color="auto" w:fill="auto"/>
            <w:noWrap/>
          </w:tcPr>
          <w:p w14:paraId="24AB3683" w14:textId="6B1B777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2347661 (26.5)</w:t>
            </w:r>
          </w:p>
        </w:tc>
        <w:tc>
          <w:tcPr>
            <w:tcW w:w="1177" w:type="dxa"/>
            <w:shd w:val="clear" w:color="auto" w:fill="auto"/>
            <w:noWrap/>
          </w:tcPr>
          <w:p w14:paraId="575708A5" w14:textId="17C28D63"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23FBC164" w14:textId="77777777" w:rsidTr="00AB37F6">
        <w:tc>
          <w:tcPr>
            <w:tcW w:w="3261" w:type="dxa"/>
            <w:shd w:val="clear" w:color="auto" w:fill="auto"/>
            <w:noWrap/>
            <w:hideMark/>
          </w:tcPr>
          <w:p w14:paraId="587312BB"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Underlying illness</w:t>
            </w:r>
          </w:p>
        </w:tc>
        <w:tc>
          <w:tcPr>
            <w:tcW w:w="2268" w:type="dxa"/>
            <w:shd w:val="clear" w:color="auto" w:fill="auto"/>
            <w:noWrap/>
          </w:tcPr>
          <w:p w14:paraId="51A27D54"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61AEE0D9"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0CF4BCCD" w14:textId="517834C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4FAA32E" w14:textId="77777777" w:rsidTr="00AB37F6">
        <w:tc>
          <w:tcPr>
            <w:tcW w:w="3261" w:type="dxa"/>
            <w:shd w:val="clear" w:color="auto" w:fill="auto"/>
            <w:noWrap/>
            <w:hideMark/>
          </w:tcPr>
          <w:p w14:paraId="0C36E6A8"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Hypertension (%)</w:t>
            </w:r>
          </w:p>
        </w:tc>
        <w:tc>
          <w:tcPr>
            <w:tcW w:w="2268" w:type="dxa"/>
            <w:shd w:val="clear" w:color="auto" w:fill="auto"/>
          </w:tcPr>
          <w:p w14:paraId="313B7FE4" w14:textId="087D803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338855 (31.0)</w:t>
            </w:r>
          </w:p>
        </w:tc>
        <w:tc>
          <w:tcPr>
            <w:tcW w:w="2268" w:type="dxa"/>
            <w:shd w:val="clear" w:color="auto" w:fill="auto"/>
            <w:noWrap/>
          </w:tcPr>
          <w:p w14:paraId="52A624E5" w14:textId="5EE86E6B"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2220906 (17.8)</w:t>
            </w:r>
          </w:p>
        </w:tc>
        <w:tc>
          <w:tcPr>
            <w:tcW w:w="1177" w:type="dxa"/>
            <w:shd w:val="clear" w:color="auto" w:fill="auto"/>
            <w:noWrap/>
          </w:tcPr>
          <w:p w14:paraId="4AE24194"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23980910" w14:textId="77777777" w:rsidTr="00100377">
        <w:tc>
          <w:tcPr>
            <w:tcW w:w="3261" w:type="dxa"/>
            <w:tcBorders>
              <w:bottom w:val="nil"/>
            </w:tcBorders>
            <w:shd w:val="clear" w:color="auto" w:fill="auto"/>
            <w:noWrap/>
          </w:tcPr>
          <w:p w14:paraId="7E53026F" w14:textId="3E9F6AD4"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Systolic BP, mmHg</w:t>
            </w:r>
            <w:r w:rsidRPr="00AB37F6">
              <w:rPr>
                <w:rFonts w:ascii="Book Antiqua" w:hAnsi="Book Antiqua"/>
                <w:color w:val="1C1D1E"/>
                <w:shd w:val="clear" w:color="auto" w:fill="FFFFFF"/>
                <w:vertAlign w:val="superscript"/>
              </w:rPr>
              <w:t xml:space="preserve">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tcBorders>
              <w:bottom w:val="nil"/>
            </w:tcBorders>
            <w:shd w:val="clear" w:color="auto" w:fill="auto"/>
          </w:tcPr>
          <w:p w14:paraId="51915DA6"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123.1 ± 15.0</w:t>
            </w:r>
          </w:p>
        </w:tc>
        <w:tc>
          <w:tcPr>
            <w:tcW w:w="2268" w:type="dxa"/>
            <w:tcBorders>
              <w:bottom w:val="nil"/>
            </w:tcBorders>
            <w:shd w:val="clear" w:color="auto" w:fill="auto"/>
            <w:noWrap/>
          </w:tcPr>
          <w:p w14:paraId="50C296E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122.3 ± 14.9</w:t>
            </w:r>
          </w:p>
        </w:tc>
        <w:tc>
          <w:tcPr>
            <w:tcW w:w="1177" w:type="dxa"/>
            <w:tcBorders>
              <w:bottom w:val="nil"/>
            </w:tcBorders>
            <w:shd w:val="clear" w:color="auto" w:fill="auto"/>
            <w:noWrap/>
          </w:tcPr>
          <w:p w14:paraId="5424D1F8"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6807AE23" w14:textId="77777777" w:rsidTr="00100377">
        <w:tc>
          <w:tcPr>
            <w:tcW w:w="3261" w:type="dxa"/>
            <w:tcBorders>
              <w:top w:val="nil"/>
              <w:bottom w:val="nil"/>
            </w:tcBorders>
            <w:shd w:val="clear" w:color="auto" w:fill="auto"/>
            <w:noWrap/>
          </w:tcPr>
          <w:p w14:paraId="1AA068DB" w14:textId="04D225A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lastRenderedPageBreak/>
              <w:t xml:space="preserve">Diastolic BP, mmHg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tcBorders>
              <w:top w:val="nil"/>
              <w:bottom w:val="nil"/>
            </w:tcBorders>
            <w:shd w:val="clear" w:color="auto" w:fill="auto"/>
          </w:tcPr>
          <w:p w14:paraId="16E35C5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76.6 ± 10.0</w:t>
            </w:r>
          </w:p>
        </w:tc>
        <w:tc>
          <w:tcPr>
            <w:tcW w:w="2268" w:type="dxa"/>
            <w:tcBorders>
              <w:top w:val="nil"/>
              <w:bottom w:val="nil"/>
            </w:tcBorders>
            <w:shd w:val="clear" w:color="auto" w:fill="auto"/>
            <w:noWrap/>
          </w:tcPr>
          <w:p w14:paraId="2B59898F"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76.3 ± 10.0</w:t>
            </w:r>
          </w:p>
        </w:tc>
        <w:tc>
          <w:tcPr>
            <w:tcW w:w="1177" w:type="dxa"/>
            <w:tcBorders>
              <w:top w:val="nil"/>
              <w:bottom w:val="nil"/>
            </w:tcBorders>
            <w:shd w:val="clear" w:color="auto" w:fill="auto"/>
            <w:noWrap/>
          </w:tcPr>
          <w:p w14:paraId="24FF0FA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6525EDD7" w14:textId="77777777" w:rsidTr="00100377">
        <w:tc>
          <w:tcPr>
            <w:tcW w:w="3261" w:type="dxa"/>
            <w:tcBorders>
              <w:top w:val="nil"/>
              <w:bottom w:val="nil"/>
            </w:tcBorders>
            <w:shd w:val="clear" w:color="auto" w:fill="auto"/>
            <w:noWrap/>
            <w:hideMark/>
          </w:tcPr>
          <w:p w14:paraId="09B07153"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Dyslipidemia (%)</w:t>
            </w:r>
          </w:p>
        </w:tc>
        <w:tc>
          <w:tcPr>
            <w:tcW w:w="2268" w:type="dxa"/>
            <w:tcBorders>
              <w:top w:val="nil"/>
              <w:bottom w:val="nil"/>
            </w:tcBorders>
            <w:shd w:val="clear" w:color="auto" w:fill="auto"/>
          </w:tcPr>
          <w:p w14:paraId="50F83340" w14:textId="7EE38F4D"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244342 (22.4)</w:t>
            </w:r>
          </w:p>
        </w:tc>
        <w:tc>
          <w:tcPr>
            <w:tcW w:w="2268" w:type="dxa"/>
            <w:tcBorders>
              <w:top w:val="nil"/>
              <w:bottom w:val="nil"/>
            </w:tcBorders>
            <w:shd w:val="clear" w:color="auto" w:fill="auto"/>
            <w:noWrap/>
          </w:tcPr>
          <w:p w14:paraId="5CD2FDA2" w14:textId="6A1C94A4"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1574251 (17.8)</w:t>
            </w:r>
          </w:p>
        </w:tc>
        <w:tc>
          <w:tcPr>
            <w:tcW w:w="1177" w:type="dxa"/>
            <w:tcBorders>
              <w:top w:val="nil"/>
              <w:bottom w:val="nil"/>
            </w:tcBorders>
            <w:shd w:val="clear" w:color="auto" w:fill="auto"/>
            <w:noWrap/>
          </w:tcPr>
          <w:p w14:paraId="25591276"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6D1EE65C" w14:textId="77777777" w:rsidTr="00100377">
        <w:tc>
          <w:tcPr>
            <w:tcW w:w="3261" w:type="dxa"/>
            <w:tcBorders>
              <w:top w:val="nil"/>
            </w:tcBorders>
            <w:shd w:val="clear" w:color="auto" w:fill="auto"/>
            <w:noWrap/>
          </w:tcPr>
          <w:p w14:paraId="7B223B0D" w14:textId="77777777"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Diabetes (%)</w:t>
            </w:r>
          </w:p>
        </w:tc>
        <w:tc>
          <w:tcPr>
            <w:tcW w:w="2268" w:type="dxa"/>
            <w:tcBorders>
              <w:top w:val="nil"/>
            </w:tcBorders>
            <w:shd w:val="clear" w:color="auto" w:fill="auto"/>
          </w:tcPr>
          <w:p w14:paraId="6B405BC7" w14:textId="657F4832"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131663 (12.1)</w:t>
            </w:r>
          </w:p>
        </w:tc>
        <w:tc>
          <w:tcPr>
            <w:tcW w:w="2268" w:type="dxa"/>
            <w:tcBorders>
              <w:top w:val="nil"/>
            </w:tcBorders>
            <w:shd w:val="clear" w:color="auto" w:fill="auto"/>
            <w:noWrap/>
          </w:tcPr>
          <w:p w14:paraId="1F0DDD74" w14:textId="5F01803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734481 (8.3)</w:t>
            </w:r>
          </w:p>
        </w:tc>
        <w:tc>
          <w:tcPr>
            <w:tcW w:w="1177" w:type="dxa"/>
            <w:tcBorders>
              <w:top w:val="nil"/>
            </w:tcBorders>
            <w:shd w:val="clear" w:color="auto" w:fill="auto"/>
            <w:noWrap/>
          </w:tcPr>
          <w:p w14:paraId="71F55DD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6E3C7455" w14:textId="77777777" w:rsidTr="00AB37F6">
        <w:tc>
          <w:tcPr>
            <w:tcW w:w="3261" w:type="dxa"/>
            <w:shd w:val="clear" w:color="auto" w:fill="auto"/>
            <w:noWrap/>
          </w:tcPr>
          <w:p w14:paraId="55785A05"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Initial laboratory findings</w:t>
            </w:r>
          </w:p>
        </w:tc>
        <w:tc>
          <w:tcPr>
            <w:tcW w:w="2268" w:type="dxa"/>
            <w:shd w:val="clear" w:color="auto" w:fill="auto"/>
          </w:tcPr>
          <w:p w14:paraId="052262BD"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2268" w:type="dxa"/>
            <w:shd w:val="clear" w:color="auto" w:fill="auto"/>
            <w:noWrap/>
          </w:tcPr>
          <w:p w14:paraId="133295E0"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c>
          <w:tcPr>
            <w:tcW w:w="1177" w:type="dxa"/>
            <w:shd w:val="clear" w:color="auto" w:fill="auto"/>
            <w:noWrap/>
          </w:tcPr>
          <w:p w14:paraId="16AC621B"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p>
        </w:tc>
      </w:tr>
      <w:tr w:rsidR="00AB37F6" w:rsidRPr="00AB37F6" w14:paraId="10F0A2C2" w14:textId="77777777" w:rsidTr="00AB37F6">
        <w:tc>
          <w:tcPr>
            <w:tcW w:w="3261" w:type="dxa"/>
            <w:shd w:val="clear" w:color="auto" w:fill="auto"/>
            <w:noWrap/>
          </w:tcPr>
          <w:p w14:paraId="2047C882" w14:textId="0CFB3AF5"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 xml:space="preserve">Glucose, mg/dL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shd w:val="clear" w:color="auto" w:fill="auto"/>
          </w:tcPr>
          <w:p w14:paraId="7CE3DECB"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99.6 ± 25.3</w:t>
            </w:r>
          </w:p>
        </w:tc>
        <w:tc>
          <w:tcPr>
            <w:tcW w:w="2268" w:type="dxa"/>
            <w:shd w:val="clear" w:color="auto" w:fill="auto"/>
            <w:noWrap/>
          </w:tcPr>
          <w:p w14:paraId="4CE6FB18"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96.8 ± 22.6</w:t>
            </w:r>
          </w:p>
        </w:tc>
        <w:tc>
          <w:tcPr>
            <w:tcW w:w="1177" w:type="dxa"/>
            <w:shd w:val="clear" w:color="auto" w:fill="auto"/>
            <w:noWrap/>
          </w:tcPr>
          <w:p w14:paraId="543BB08B" w14:textId="3EA889B2"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646B352E" w14:textId="77777777" w:rsidTr="00AB37F6">
        <w:tc>
          <w:tcPr>
            <w:tcW w:w="3261" w:type="dxa"/>
            <w:shd w:val="clear" w:color="auto" w:fill="auto"/>
            <w:noWrap/>
          </w:tcPr>
          <w:p w14:paraId="7AA0B348" w14:textId="1D1180D4"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Total cholesterol,</w:t>
            </w:r>
            <w:r w:rsidRPr="00AB37F6">
              <w:rPr>
                <w:rFonts w:ascii="Book Antiqua" w:hAnsi="Book Antiqua"/>
                <w:color w:val="1C1D1E"/>
                <w:shd w:val="clear" w:color="auto" w:fill="FFFFFF"/>
                <w:vertAlign w:val="superscript"/>
              </w:rPr>
              <w:t xml:space="preserve"> </w:t>
            </w:r>
            <w:r w:rsidRPr="00AB37F6">
              <w:rPr>
                <w:rFonts w:ascii="Book Antiqua" w:eastAsia="Arial Unicode MS" w:hAnsi="Book Antiqua"/>
              </w:rPr>
              <w:t>mg/dL</w:t>
            </w:r>
            <w:r w:rsidR="00100377">
              <w:rPr>
                <w:rFonts w:ascii="Book Antiqua" w:eastAsia="Arial Unicode MS" w:hAnsi="Book Antiqua"/>
              </w:rPr>
              <w:t xml:space="preserve"> </w:t>
            </w:r>
            <w:r w:rsidR="00100377">
              <w:rPr>
                <w:rFonts w:ascii="Book Antiqua" w:hAnsi="Book Antiqua"/>
                <w:color w:val="1C1D1E"/>
                <w:shd w:val="clear" w:color="auto" w:fill="FFFFFF"/>
              </w:rPr>
              <w:t>(mean</w:t>
            </w:r>
            <w:r w:rsidR="002B062C">
              <w:rPr>
                <w:rFonts w:ascii="Book Antiqua" w:hAnsi="Book Antiqua"/>
                <w:color w:val="1C1D1E"/>
                <w:shd w:val="clear" w:color="auto" w:fill="FFFFFF"/>
              </w:rPr>
              <w:t xml:space="preserve"> </w:t>
            </w:r>
            <w:r w:rsidR="00100377" w:rsidRPr="006F3921">
              <w:rPr>
                <w:rFonts w:ascii="Book Antiqua" w:eastAsia="Malgun Gothic" w:hAnsi="Book Antiqua"/>
              </w:rPr>
              <w:t xml:space="preserve">± </w:t>
            </w:r>
            <w:r w:rsidR="00100377">
              <w:rPr>
                <w:rFonts w:ascii="Book Antiqua" w:eastAsia="Malgun Gothic" w:hAnsi="Book Antiqua"/>
              </w:rPr>
              <w:t>SD)</w:t>
            </w:r>
          </w:p>
        </w:tc>
        <w:tc>
          <w:tcPr>
            <w:tcW w:w="2268" w:type="dxa"/>
            <w:shd w:val="clear" w:color="auto" w:fill="auto"/>
          </w:tcPr>
          <w:p w14:paraId="020AC3F3"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196.8 ± 37.0</w:t>
            </w:r>
          </w:p>
        </w:tc>
        <w:tc>
          <w:tcPr>
            <w:tcW w:w="2268" w:type="dxa"/>
            <w:shd w:val="clear" w:color="auto" w:fill="auto"/>
            <w:noWrap/>
          </w:tcPr>
          <w:p w14:paraId="720BFF3E"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191.7 ± 35.4</w:t>
            </w:r>
          </w:p>
        </w:tc>
        <w:tc>
          <w:tcPr>
            <w:tcW w:w="1177" w:type="dxa"/>
            <w:shd w:val="clear" w:color="auto" w:fill="auto"/>
            <w:noWrap/>
          </w:tcPr>
          <w:p w14:paraId="514BCFAE" w14:textId="62B7588A"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44D44A8C" w14:textId="77777777" w:rsidTr="00AB37F6">
        <w:tc>
          <w:tcPr>
            <w:tcW w:w="3261" w:type="dxa"/>
            <w:shd w:val="clear" w:color="auto" w:fill="auto"/>
            <w:noWrap/>
          </w:tcPr>
          <w:p w14:paraId="7FE3FFEC" w14:textId="15F979FE"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 xml:space="preserve">GGT, IU/L </w:t>
            </w:r>
            <w:r w:rsidR="00100377">
              <w:rPr>
                <w:rFonts w:ascii="Book Antiqua" w:eastAsia="Arial Unicode MS" w:hAnsi="Book Antiqua"/>
              </w:rPr>
              <w:t>(</w:t>
            </w:r>
            <w:r w:rsidR="00100377" w:rsidRPr="006F3921">
              <w:rPr>
                <w:rFonts w:ascii="Book Antiqua" w:eastAsia="Malgun Gothic" w:hAnsi="Book Antiqua"/>
              </w:rPr>
              <w:t>median</w:t>
            </w:r>
            <w:r w:rsidR="00100377">
              <w:rPr>
                <w:rFonts w:ascii="Book Antiqua" w:eastAsia="Malgun Gothic" w:hAnsi="Book Antiqua"/>
              </w:rPr>
              <w:t xml:space="preserve"> and </w:t>
            </w:r>
            <w:r w:rsidR="00100377" w:rsidRPr="006F3921">
              <w:rPr>
                <w:rFonts w:ascii="Book Antiqua" w:eastAsia="Malgun Gothic" w:hAnsi="Book Antiqua"/>
              </w:rPr>
              <w:t>95%</w:t>
            </w:r>
            <w:r w:rsidR="00100377">
              <w:rPr>
                <w:rFonts w:ascii="Book Antiqua" w:eastAsia="Malgun Gothic" w:hAnsi="Book Antiqua"/>
              </w:rPr>
              <w:t>CI)</w:t>
            </w:r>
          </w:p>
        </w:tc>
        <w:tc>
          <w:tcPr>
            <w:tcW w:w="2268" w:type="dxa"/>
            <w:shd w:val="clear" w:color="auto" w:fill="auto"/>
          </w:tcPr>
          <w:p w14:paraId="68DDF53F"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28.5 (28.4–28.6)</w:t>
            </w:r>
          </w:p>
        </w:tc>
        <w:tc>
          <w:tcPr>
            <w:tcW w:w="2268" w:type="dxa"/>
            <w:shd w:val="clear" w:color="auto" w:fill="auto"/>
            <w:noWrap/>
          </w:tcPr>
          <w:p w14:paraId="26165D1C"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27.4 (27.4–27.42)</w:t>
            </w:r>
          </w:p>
        </w:tc>
        <w:tc>
          <w:tcPr>
            <w:tcW w:w="1177" w:type="dxa"/>
            <w:shd w:val="clear" w:color="auto" w:fill="auto"/>
            <w:noWrap/>
          </w:tcPr>
          <w:p w14:paraId="42FED23D" w14:textId="53D94389"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r w:rsidR="00AB37F6" w:rsidRPr="00AB37F6" w14:paraId="085D3F92" w14:textId="77777777" w:rsidTr="00AB37F6">
        <w:tc>
          <w:tcPr>
            <w:tcW w:w="3261" w:type="dxa"/>
            <w:tcBorders>
              <w:bottom w:val="single" w:sz="8" w:space="0" w:color="auto"/>
            </w:tcBorders>
            <w:shd w:val="clear" w:color="auto" w:fill="auto"/>
            <w:noWrap/>
          </w:tcPr>
          <w:p w14:paraId="1F3CB547" w14:textId="4403762C" w:rsidR="00AB37F6" w:rsidRPr="00AB37F6" w:rsidRDefault="00AB37F6" w:rsidP="00DE7D3B">
            <w:pPr>
              <w:adjustRightInd w:val="0"/>
              <w:snapToGrid w:val="0"/>
              <w:spacing w:line="360" w:lineRule="auto"/>
              <w:ind w:right="95" w:firstLineChars="100" w:firstLine="240"/>
              <w:jc w:val="both"/>
              <w:rPr>
                <w:rFonts w:ascii="Book Antiqua" w:eastAsia="Arial Unicode MS" w:hAnsi="Book Antiqua"/>
              </w:rPr>
            </w:pPr>
            <w:r w:rsidRPr="00AB37F6">
              <w:rPr>
                <w:rFonts w:ascii="Book Antiqua" w:eastAsia="Arial Unicode MS" w:hAnsi="Book Antiqua"/>
              </w:rPr>
              <w:t>Triglycerides, mg/dL</w:t>
            </w:r>
            <w:r w:rsidR="00100377">
              <w:rPr>
                <w:rFonts w:ascii="Book Antiqua" w:eastAsia="Arial Unicode MS" w:hAnsi="Book Antiqua"/>
              </w:rPr>
              <w:t xml:space="preserve"> (</w:t>
            </w:r>
            <w:r w:rsidR="00100377" w:rsidRPr="006F3921">
              <w:rPr>
                <w:rFonts w:ascii="Book Antiqua" w:eastAsia="Malgun Gothic" w:hAnsi="Book Antiqua"/>
              </w:rPr>
              <w:t xml:space="preserve">median </w:t>
            </w:r>
            <w:r w:rsidR="00100377">
              <w:rPr>
                <w:rFonts w:ascii="Book Antiqua" w:eastAsia="Malgun Gothic" w:hAnsi="Book Antiqua"/>
              </w:rPr>
              <w:t xml:space="preserve">and </w:t>
            </w:r>
            <w:r w:rsidR="00100377" w:rsidRPr="006F3921">
              <w:rPr>
                <w:rFonts w:ascii="Book Antiqua" w:eastAsia="Malgun Gothic" w:hAnsi="Book Antiqua"/>
              </w:rPr>
              <w:t>95%</w:t>
            </w:r>
            <w:r w:rsidR="00100377">
              <w:rPr>
                <w:rFonts w:ascii="Book Antiqua" w:eastAsia="Malgun Gothic" w:hAnsi="Book Antiqua"/>
              </w:rPr>
              <w:t>CI</w:t>
            </w:r>
            <w:r w:rsidR="00100377" w:rsidRPr="006F3921">
              <w:rPr>
                <w:rFonts w:ascii="Book Antiqua" w:eastAsia="Malgun Gothic" w:hAnsi="Book Antiqua"/>
              </w:rPr>
              <w:t>)</w:t>
            </w:r>
          </w:p>
        </w:tc>
        <w:tc>
          <w:tcPr>
            <w:tcW w:w="2268" w:type="dxa"/>
            <w:tcBorders>
              <w:bottom w:val="single" w:sz="8" w:space="0" w:color="auto"/>
            </w:tcBorders>
            <w:shd w:val="clear" w:color="auto" w:fill="auto"/>
          </w:tcPr>
          <w:p w14:paraId="77032527"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117.9 (117.7–117.9)</w:t>
            </w:r>
          </w:p>
        </w:tc>
        <w:tc>
          <w:tcPr>
            <w:tcW w:w="2268" w:type="dxa"/>
            <w:tcBorders>
              <w:bottom w:val="single" w:sz="8" w:space="0" w:color="auto"/>
            </w:tcBorders>
            <w:shd w:val="clear" w:color="auto" w:fill="auto"/>
            <w:noWrap/>
          </w:tcPr>
          <w:p w14:paraId="4EB54A7E" w14:textId="77777777"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113.2 (113.1–113.2)</w:t>
            </w:r>
          </w:p>
        </w:tc>
        <w:tc>
          <w:tcPr>
            <w:tcW w:w="1177" w:type="dxa"/>
            <w:tcBorders>
              <w:bottom w:val="single" w:sz="8" w:space="0" w:color="auto"/>
            </w:tcBorders>
            <w:shd w:val="clear" w:color="auto" w:fill="auto"/>
            <w:noWrap/>
          </w:tcPr>
          <w:p w14:paraId="1BF7B165" w14:textId="5100C3FF" w:rsidR="00AB37F6" w:rsidRPr="00AB37F6" w:rsidRDefault="00AB37F6" w:rsidP="00AB37F6">
            <w:pPr>
              <w:adjustRightInd w:val="0"/>
              <w:snapToGrid w:val="0"/>
              <w:spacing w:line="360" w:lineRule="auto"/>
              <w:ind w:right="95"/>
              <w:jc w:val="both"/>
              <w:rPr>
                <w:rFonts w:ascii="Book Antiqua" w:eastAsia="Arial Unicode MS" w:hAnsi="Book Antiqua"/>
              </w:rPr>
            </w:pPr>
            <w:r w:rsidRPr="00AB37F6">
              <w:rPr>
                <w:rFonts w:ascii="Book Antiqua" w:eastAsia="Arial Unicode MS" w:hAnsi="Book Antiqua"/>
              </w:rPr>
              <w:t xml:space="preserve">&lt; </w:t>
            </w:r>
            <w:r w:rsidR="00100377">
              <w:rPr>
                <w:rFonts w:ascii="Book Antiqua" w:eastAsia="Arial Unicode MS" w:hAnsi="Book Antiqua"/>
              </w:rPr>
              <w:t>0</w:t>
            </w:r>
            <w:r w:rsidRPr="00AB37F6">
              <w:rPr>
                <w:rFonts w:ascii="Book Antiqua" w:eastAsia="Arial Unicode MS" w:hAnsi="Book Antiqua"/>
              </w:rPr>
              <w:t>.01</w:t>
            </w:r>
          </w:p>
        </w:tc>
      </w:tr>
    </w:tbl>
    <w:p w14:paraId="6A2A9721" w14:textId="77777777" w:rsidR="00CF13E1" w:rsidRDefault="004162BA" w:rsidP="00AB37F6">
      <w:pPr>
        <w:spacing w:line="360" w:lineRule="auto"/>
        <w:jc w:val="both"/>
        <w:rPr>
          <w:rFonts w:ascii="Book Antiqua" w:eastAsia="Malgun Gothic" w:hAnsi="Book Antiqua"/>
        </w:rPr>
      </w:pPr>
      <w:r>
        <w:rPr>
          <w:rFonts w:ascii="Book Antiqua" w:hAnsi="Book Antiqua"/>
        </w:rPr>
        <w:t xml:space="preserve">SD: </w:t>
      </w:r>
      <w:r>
        <w:rPr>
          <w:rFonts w:ascii="Book Antiqua" w:eastAsia="Malgun Gothic" w:hAnsi="Book Antiqua"/>
        </w:rPr>
        <w:t>S</w:t>
      </w:r>
      <w:r w:rsidRPr="006F3921">
        <w:rPr>
          <w:rFonts w:ascii="Book Antiqua" w:eastAsia="Malgun Gothic" w:hAnsi="Book Antiqua"/>
        </w:rPr>
        <w:t>tandard deviation</w:t>
      </w:r>
      <w:r>
        <w:rPr>
          <w:rFonts w:ascii="Book Antiqua" w:eastAsia="Malgun Gothic" w:hAnsi="Book Antiqua"/>
        </w:rPr>
        <w:t>;</w:t>
      </w:r>
      <w:r w:rsidRPr="006F3921">
        <w:rPr>
          <w:rFonts w:ascii="Book Antiqua" w:hAnsi="Book Antiqua"/>
        </w:rPr>
        <w:t xml:space="preserve"> </w:t>
      </w:r>
      <w:r w:rsidR="004D7D30" w:rsidRPr="006F3921">
        <w:rPr>
          <w:rFonts w:ascii="Book Antiqua" w:hAnsi="Book Antiqua"/>
        </w:rPr>
        <w:t>BMI</w:t>
      </w:r>
      <w:r w:rsidR="004D7D30">
        <w:rPr>
          <w:rFonts w:ascii="Book Antiqua" w:hAnsi="Book Antiqua"/>
        </w:rPr>
        <w:t>:</w:t>
      </w:r>
      <w:r w:rsidR="004D7D30" w:rsidRPr="006F3921">
        <w:rPr>
          <w:rFonts w:ascii="Book Antiqua" w:hAnsi="Book Antiqua"/>
        </w:rPr>
        <w:t xml:space="preserve"> </w:t>
      </w:r>
      <w:r w:rsidR="004D7D30">
        <w:rPr>
          <w:rFonts w:ascii="Book Antiqua" w:hAnsi="Book Antiqua"/>
        </w:rPr>
        <w:t>B</w:t>
      </w:r>
      <w:r w:rsidR="004D7D30" w:rsidRPr="006F3921">
        <w:rPr>
          <w:rFonts w:ascii="Book Antiqua" w:hAnsi="Book Antiqua"/>
        </w:rPr>
        <w:t>ody mass index; BP</w:t>
      </w:r>
      <w:r w:rsidR="004D7D30">
        <w:rPr>
          <w:rFonts w:ascii="Book Antiqua" w:hAnsi="Book Antiqua"/>
        </w:rPr>
        <w:t>:</w:t>
      </w:r>
      <w:r w:rsidR="004D7D30" w:rsidRPr="006F3921">
        <w:rPr>
          <w:rFonts w:ascii="Book Antiqua" w:hAnsi="Book Antiqua"/>
        </w:rPr>
        <w:t xml:space="preserve"> </w:t>
      </w:r>
      <w:r w:rsidR="004D7D30">
        <w:rPr>
          <w:rFonts w:ascii="Book Antiqua" w:hAnsi="Book Antiqua"/>
        </w:rPr>
        <w:t>B</w:t>
      </w:r>
      <w:r w:rsidR="004D7D30" w:rsidRPr="006F3921">
        <w:rPr>
          <w:rFonts w:ascii="Book Antiqua" w:hAnsi="Book Antiqua"/>
        </w:rPr>
        <w:t>lood pressure; GGT</w:t>
      </w:r>
      <w:r w:rsidR="004D7D30">
        <w:rPr>
          <w:rFonts w:ascii="Book Antiqua" w:hAnsi="Book Antiqua"/>
        </w:rPr>
        <w:t>:</w:t>
      </w:r>
      <w:r w:rsidR="004D7D30" w:rsidRPr="006F3921">
        <w:rPr>
          <w:rFonts w:ascii="Book Antiqua" w:hAnsi="Book Antiqua"/>
        </w:rPr>
        <w:t xml:space="preserve"> </w:t>
      </w:r>
      <w:r w:rsidR="004D7D30">
        <w:rPr>
          <w:rFonts w:ascii="Book Antiqua" w:hAnsi="Book Antiqua"/>
        </w:rPr>
        <w:t>G</w:t>
      </w:r>
      <w:r w:rsidR="004D7D30" w:rsidRPr="006F3921">
        <w:rPr>
          <w:rFonts w:ascii="Book Antiqua" w:hAnsi="Book Antiqua"/>
        </w:rPr>
        <w:t xml:space="preserve">amma </w:t>
      </w:r>
      <w:proofErr w:type="spellStart"/>
      <w:r w:rsidR="004D7D30" w:rsidRPr="006F3921">
        <w:rPr>
          <w:rFonts w:ascii="Book Antiqua" w:hAnsi="Book Antiqua"/>
        </w:rPr>
        <w:t>glutamyltransferase</w:t>
      </w:r>
      <w:proofErr w:type="spellEnd"/>
      <w:r w:rsidR="004D7D30" w:rsidRPr="006F3921">
        <w:rPr>
          <w:rFonts w:ascii="Book Antiqua" w:hAnsi="Book Antiqua"/>
        </w:rPr>
        <w:t xml:space="preserve">; </w:t>
      </w:r>
      <w:bookmarkStart w:id="2" w:name="_Hlk50129836"/>
      <w:r>
        <w:rPr>
          <w:rFonts w:ascii="Book Antiqua" w:hAnsi="Book Antiqua"/>
        </w:rPr>
        <w:t xml:space="preserve">CI: </w:t>
      </w:r>
      <w:r>
        <w:rPr>
          <w:rFonts w:ascii="Book Antiqua" w:eastAsia="Malgun Gothic" w:hAnsi="Book Antiqua"/>
        </w:rPr>
        <w:t>C</w:t>
      </w:r>
      <w:r w:rsidRPr="006F3921">
        <w:rPr>
          <w:rFonts w:ascii="Book Antiqua" w:eastAsia="Malgun Gothic" w:hAnsi="Book Antiqua"/>
        </w:rPr>
        <w:t>onfidence interval</w:t>
      </w:r>
      <w:r>
        <w:rPr>
          <w:rFonts w:ascii="Book Antiqua" w:eastAsia="Malgun Gothic" w:hAnsi="Book Antiqua"/>
        </w:rPr>
        <w:t>.</w:t>
      </w:r>
      <w:bookmarkEnd w:id="2"/>
    </w:p>
    <w:p w14:paraId="4BC91B19" w14:textId="12B5F953" w:rsidR="00C87F62" w:rsidRDefault="00C87F62" w:rsidP="00AB37F6">
      <w:pPr>
        <w:spacing w:line="360" w:lineRule="auto"/>
        <w:jc w:val="both"/>
        <w:rPr>
          <w:rFonts w:ascii="Book Antiqua" w:eastAsia="Malgun Gothic" w:hAnsi="Book Antiqua"/>
        </w:rPr>
        <w:sectPr w:rsidR="00C87F62">
          <w:pgSz w:w="12240" w:h="15840"/>
          <w:pgMar w:top="1440" w:right="1440" w:bottom="1440" w:left="1440" w:header="720" w:footer="720" w:gutter="0"/>
          <w:cols w:space="720"/>
          <w:docGrid w:linePitch="360"/>
        </w:sectPr>
      </w:pPr>
    </w:p>
    <w:p w14:paraId="015CA723" w14:textId="5A84A701" w:rsidR="00CF13E1" w:rsidRPr="006F3921" w:rsidRDefault="00CF13E1" w:rsidP="00CF13E1">
      <w:pPr>
        <w:spacing w:line="360" w:lineRule="auto"/>
        <w:rPr>
          <w:rFonts w:ascii="Book Antiqua" w:hAnsi="Book Antiqua"/>
          <w:b/>
        </w:rPr>
      </w:pPr>
      <w:r w:rsidRPr="006F3921">
        <w:rPr>
          <w:rFonts w:ascii="Book Antiqua" w:hAnsi="Book Antiqua"/>
          <w:b/>
        </w:rPr>
        <w:lastRenderedPageBreak/>
        <w:t>Table 2 The incidence and risk for inflammatory bowel disease in patients with periodontitis</w:t>
      </w:r>
    </w:p>
    <w:tbl>
      <w:tblPr>
        <w:tblW w:w="0" w:type="auto"/>
        <w:jc w:val="center"/>
        <w:tblCellMar>
          <w:left w:w="99" w:type="dxa"/>
          <w:right w:w="99" w:type="dxa"/>
        </w:tblCellMar>
        <w:tblLook w:val="04A0" w:firstRow="1" w:lastRow="0" w:firstColumn="1" w:lastColumn="0" w:noHBand="0" w:noVBand="1"/>
      </w:tblPr>
      <w:tblGrid>
        <w:gridCol w:w="1598"/>
        <w:gridCol w:w="1157"/>
        <w:gridCol w:w="988"/>
        <w:gridCol w:w="1311"/>
        <w:gridCol w:w="3030"/>
        <w:gridCol w:w="1039"/>
        <w:gridCol w:w="1588"/>
        <w:gridCol w:w="2156"/>
      </w:tblGrid>
      <w:tr w:rsidR="00CF13E1" w:rsidRPr="006F3921" w14:paraId="36DBD6EC" w14:textId="77777777" w:rsidTr="00E37D80">
        <w:trPr>
          <w:trHeight w:val="377"/>
          <w:jc w:val="center"/>
        </w:trPr>
        <w:tc>
          <w:tcPr>
            <w:tcW w:w="1598" w:type="dxa"/>
            <w:tcBorders>
              <w:top w:val="single" w:sz="8" w:space="0" w:color="auto"/>
              <w:left w:val="nil"/>
              <w:right w:val="nil"/>
            </w:tcBorders>
            <w:shd w:val="clear" w:color="auto" w:fill="auto"/>
            <w:noWrap/>
          </w:tcPr>
          <w:p w14:paraId="1DE0A73B" w14:textId="77777777" w:rsidR="00CF13E1" w:rsidRPr="006F3921" w:rsidRDefault="00CF13E1" w:rsidP="00C87F62">
            <w:pPr>
              <w:spacing w:line="360" w:lineRule="auto"/>
              <w:jc w:val="both"/>
              <w:rPr>
                <w:rFonts w:ascii="Book Antiqua" w:eastAsia="Arial Unicode MS" w:hAnsi="Book Antiqua"/>
                <w:color w:val="000000"/>
              </w:rPr>
            </w:pPr>
          </w:p>
        </w:tc>
        <w:tc>
          <w:tcPr>
            <w:tcW w:w="1157" w:type="dxa"/>
            <w:tcBorders>
              <w:top w:val="single" w:sz="8" w:space="0" w:color="auto"/>
              <w:left w:val="nil"/>
              <w:right w:val="nil"/>
            </w:tcBorders>
            <w:shd w:val="clear" w:color="auto" w:fill="auto"/>
            <w:noWrap/>
          </w:tcPr>
          <w:p w14:paraId="4E7C559A" w14:textId="77777777" w:rsidR="00CF13E1" w:rsidRPr="006F3921" w:rsidRDefault="00CF13E1" w:rsidP="00C87F62">
            <w:pPr>
              <w:spacing w:line="360" w:lineRule="auto"/>
              <w:jc w:val="both"/>
              <w:rPr>
                <w:rFonts w:ascii="Book Antiqua" w:eastAsia="Arial Unicode MS" w:hAnsi="Book Antiqua"/>
                <w:color w:val="000000"/>
              </w:rPr>
            </w:pPr>
          </w:p>
        </w:tc>
        <w:tc>
          <w:tcPr>
            <w:tcW w:w="5329" w:type="dxa"/>
            <w:gridSpan w:val="3"/>
            <w:tcBorders>
              <w:top w:val="single" w:sz="8" w:space="0" w:color="auto"/>
              <w:left w:val="nil"/>
              <w:bottom w:val="single" w:sz="8" w:space="0" w:color="auto"/>
              <w:right w:val="nil"/>
            </w:tcBorders>
            <w:shd w:val="clear" w:color="auto" w:fill="auto"/>
          </w:tcPr>
          <w:p w14:paraId="12ECE69D" w14:textId="77777777" w:rsidR="00CF13E1" w:rsidRPr="006F3921" w:rsidRDefault="00CF13E1" w:rsidP="00C87F62">
            <w:pPr>
              <w:spacing w:line="360" w:lineRule="auto"/>
              <w:jc w:val="both"/>
              <w:rPr>
                <w:rFonts w:ascii="Book Antiqua" w:eastAsia="Arial Unicode MS" w:hAnsi="Book Antiqua"/>
                <w:b/>
                <w:color w:val="000000"/>
              </w:rPr>
            </w:pPr>
            <w:r w:rsidRPr="006F3921">
              <w:rPr>
                <w:rFonts w:ascii="Book Antiqua" w:eastAsia="Arial Unicode MS" w:hAnsi="Book Antiqua"/>
                <w:b/>
                <w:color w:val="000000"/>
              </w:rPr>
              <w:t>UC</w:t>
            </w:r>
          </w:p>
        </w:tc>
        <w:tc>
          <w:tcPr>
            <w:tcW w:w="4783" w:type="dxa"/>
            <w:gridSpan w:val="3"/>
            <w:tcBorders>
              <w:top w:val="single" w:sz="8" w:space="0" w:color="auto"/>
              <w:left w:val="nil"/>
              <w:bottom w:val="single" w:sz="8" w:space="0" w:color="auto"/>
              <w:right w:val="nil"/>
            </w:tcBorders>
            <w:shd w:val="clear" w:color="auto" w:fill="auto"/>
            <w:noWrap/>
          </w:tcPr>
          <w:p w14:paraId="2557DD91" w14:textId="77777777" w:rsidR="00CF13E1" w:rsidRPr="006F3921" w:rsidRDefault="00CF13E1" w:rsidP="00C87F62">
            <w:pPr>
              <w:spacing w:line="360" w:lineRule="auto"/>
              <w:jc w:val="both"/>
              <w:rPr>
                <w:rFonts w:ascii="Book Antiqua" w:eastAsia="Arial Unicode MS" w:hAnsi="Book Antiqua"/>
                <w:b/>
                <w:color w:val="000000"/>
              </w:rPr>
            </w:pPr>
            <w:r w:rsidRPr="006F3921">
              <w:rPr>
                <w:rFonts w:ascii="Book Antiqua" w:eastAsia="Arial Unicode MS" w:hAnsi="Book Antiqua"/>
                <w:b/>
                <w:color w:val="000000"/>
              </w:rPr>
              <w:t>CD</w:t>
            </w:r>
          </w:p>
        </w:tc>
      </w:tr>
      <w:tr w:rsidR="00CF13E1" w:rsidRPr="006F3921" w14:paraId="41B634B3" w14:textId="77777777" w:rsidTr="00E37D80">
        <w:trPr>
          <w:trHeight w:val="377"/>
          <w:jc w:val="center"/>
        </w:trPr>
        <w:tc>
          <w:tcPr>
            <w:tcW w:w="1598" w:type="dxa"/>
            <w:tcBorders>
              <w:left w:val="nil"/>
              <w:bottom w:val="single" w:sz="8" w:space="0" w:color="auto"/>
              <w:right w:val="nil"/>
            </w:tcBorders>
            <w:shd w:val="clear" w:color="auto" w:fill="auto"/>
            <w:noWrap/>
            <w:hideMark/>
          </w:tcPr>
          <w:p w14:paraId="2AD0EE02" w14:textId="14097EAF" w:rsidR="00CF13E1" w:rsidRPr="00C87F62" w:rsidRDefault="00CF13E1" w:rsidP="00C87F62">
            <w:pPr>
              <w:spacing w:line="360" w:lineRule="auto"/>
              <w:jc w:val="both"/>
              <w:rPr>
                <w:rFonts w:ascii="Book Antiqua" w:eastAsia="Arial Unicode MS" w:hAnsi="Book Antiqua"/>
                <w:b/>
                <w:bCs/>
                <w:color w:val="000000"/>
              </w:rPr>
            </w:pPr>
          </w:p>
        </w:tc>
        <w:tc>
          <w:tcPr>
            <w:tcW w:w="1157" w:type="dxa"/>
            <w:tcBorders>
              <w:left w:val="nil"/>
              <w:bottom w:val="single" w:sz="8" w:space="0" w:color="auto"/>
              <w:right w:val="nil"/>
            </w:tcBorders>
            <w:shd w:val="clear" w:color="auto" w:fill="auto"/>
            <w:noWrap/>
            <w:hideMark/>
          </w:tcPr>
          <w:p w14:paraId="2C478723" w14:textId="7DC9B7AD" w:rsidR="00CF13E1" w:rsidRPr="00C87F62" w:rsidRDefault="00C87F62" w:rsidP="00C87F62">
            <w:pPr>
              <w:spacing w:line="360" w:lineRule="auto"/>
              <w:jc w:val="both"/>
              <w:rPr>
                <w:rFonts w:ascii="Book Antiqua" w:eastAsia="Arial Unicode MS" w:hAnsi="Book Antiqua"/>
                <w:b/>
                <w:bCs/>
                <w:i/>
                <w:iCs/>
                <w:color w:val="000000"/>
              </w:rPr>
            </w:pPr>
            <w:r w:rsidRPr="00C87F62">
              <w:rPr>
                <w:rFonts w:ascii="Book Antiqua" w:eastAsia="Arial Unicode MS" w:hAnsi="Book Antiqua"/>
                <w:b/>
                <w:bCs/>
                <w:i/>
                <w:iCs/>
                <w:color w:val="000000"/>
              </w:rPr>
              <w:t>n</w:t>
            </w:r>
          </w:p>
        </w:tc>
        <w:tc>
          <w:tcPr>
            <w:tcW w:w="988" w:type="dxa"/>
            <w:tcBorders>
              <w:top w:val="single" w:sz="8" w:space="0" w:color="auto"/>
              <w:left w:val="nil"/>
              <w:bottom w:val="single" w:sz="8" w:space="0" w:color="auto"/>
              <w:right w:val="nil"/>
            </w:tcBorders>
            <w:shd w:val="clear" w:color="auto" w:fill="auto"/>
            <w:noWrap/>
            <w:hideMark/>
          </w:tcPr>
          <w:p w14:paraId="4F181D56" w14:textId="77777777" w:rsidR="00CF13E1" w:rsidRPr="00C87F62" w:rsidRDefault="00CF13E1" w:rsidP="00C87F62">
            <w:pPr>
              <w:spacing w:line="360" w:lineRule="auto"/>
              <w:jc w:val="both"/>
              <w:rPr>
                <w:rFonts w:ascii="Book Antiqua" w:eastAsia="Arial Unicode MS" w:hAnsi="Book Antiqua"/>
                <w:b/>
                <w:bCs/>
                <w:color w:val="000000"/>
              </w:rPr>
            </w:pPr>
            <w:r w:rsidRPr="00C87F62">
              <w:rPr>
                <w:rFonts w:ascii="Book Antiqua" w:eastAsia="Arial Unicode MS" w:hAnsi="Book Antiqua"/>
                <w:b/>
                <w:bCs/>
                <w:color w:val="000000"/>
              </w:rPr>
              <w:t>UC</w:t>
            </w:r>
          </w:p>
        </w:tc>
        <w:tc>
          <w:tcPr>
            <w:tcW w:w="1311" w:type="dxa"/>
            <w:tcBorders>
              <w:top w:val="single" w:sz="8" w:space="0" w:color="auto"/>
              <w:left w:val="nil"/>
              <w:bottom w:val="single" w:sz="8" w:space="0" w:color="auto"/>
              <w:right w:val="nil"/>
            </w:tcBorders>
            <w:shd w:val="clear" w:color="auto" w:fill="auto"/>
            <w:noWrap/>
            <w:hideMark/>
          </w:tcPr>
          <w:p w14:paraId="6B2A3AFD" w14:textId="1B8F31BB" w:rsidR="00CF13E1" w:rsidRPr="00C87F62" w:rsidRDefault="00CF13E1" w:rsidP="00C87F62">
            <w:pPr>
              <w:spacing w:line="360" w:lineRule="auto"/>
              <w:jc w:val="both"/>
              <w:rPr>
                <w:rFonts w:ascii="Book Antiqua" w:eastAsia="Arial Unicode MS" w:hAnsi="Book Antiqua"/>
                <w:b/>
                <w:bCs/>
                <w:color w:val="000000"/>
              </w:rPr>
            </w:pPr>
            <w:r w:rsidRPr="00C87F62">
              <w:rPr>
                <w:rFonts w:ascii="Book Antiqua" w:eastAsia="Arial Unicode MS" w:hAnsi="Book Antiqua"/>
                <w:b/>
                <w:bCs/>
                <w:color w:val="000000"/>
              </w:rPr>
              <w:t xml:space="preserve">IR </w:t>
            </w:r>
          </w:p>
        </w:tc>
        <w:tc>
          <w:tcPr>
            <w:tcW w:w="3029" w:type="dxa"/>
            <w:tcBorders>
              <w:top w:val="single" w:sz="8" w:space="0" w:color="auto"/>
              <w:left w:val="nil"/>
              <w:bottom w:val="single" w:sz="8" w:space="0" w:color="auto"/>
              <w:right w:val="nil"/>
            </w:tcBorders>
            <w:shd w:val="clear" w:color="auto" w:fill="auto"/>
            <w:noWrap/>
            <w:hideMark/>
          </w:tcPr>
          <w:p w14:paraId="4E25F871" w14:textId="19A6C9F1" w:rsidR="00CF13E1" w:rsidRPr="00C87F62" w:rsidRDefault="00CF13E1" w:rsidP="00C87F62">
            <w:pPr>
              <w:spacing w:line="360" w:lineRule="auto"/>
              <w:jc w:val="both"/>
              <w:rPr>
                <w:rFonts w:ascii="Book Antiqua" w:eastAsia="Arial Unicode MS" w:hAnsi="Book Antiqua"/>
                <w:b/>
                <w:bCs/>
                <w:color w:val="000000"/>
              </w:rPr>
            </w:pPr>
            <w:proofErr w:type="spellStart"/>
            <w:r w:rsidRPr="00C87F62">
              <w:rPr>
                <w:rFonts w:ascii="Book Antiqua" w:eastAsia="Arial Unicode MS" w:hAnsi="Book Antiqua"/>
                <w:b/>
                <w:bCs/>
                <w:color w:val="000000"/>
              </w:rPr>
              <w:t>aHR</w:t>
            </w:r>
            <w:proofErr w:type="spellEnd"/>
            <w:r w:rsidRPr="00C87F62">
              <w:rPr>
                <w:rFonts w:ascii="Book Antiqua" w:hAnsi="Book Antiqua" w:cs="Arial"/>
                <w:b/>
                <w:bCs/>
                <w:color w:val="1C1D1E"/>
                <w:shd w:val="clear" w:color="auto" w:fill="FFFFFF"/>
              </w:rPr>
              <w:t xml:space="preserve"> </w:t>
            </w:r>
            <w:r w:rsidRPr="00C87F62">
              <w:rPr>
                <w:rFonts w:ascii="Book Antiqua" w:eastAsia="Arial Unicode MS" w:hAnsi="Book Antiqua"/>
                <w:b/>
                <w:bCs/>
                <w:color w:val="000000"/>
              </w:rPr>
              <w:t>(95%CI)</w:t>
            </w:r>
          </w:p>
        </w:tc>
        <w:tc>
          <w:tcPr>
            <w:tcW w:w="1039" w:type="dxa"/>
            <w:tcBorders>
              <w:top w:val="single" w:sz="8" w:space="0" w:color="auto"/>
              <w:left w:val="nil"/>
              <w:bottom w:val="single" w:sz="8" w:space="0" w:color="auto"/>
              <w:right w:val="nil"/>
            </w:tcBorders>
            <w:shd w:val="clear" w:color="auto" w:fill="auto"/>
            <w:noWrap/>
            <w:hideMark/>
          </w:tcPr>
          <w:p w14:paraId="21B8DCB2" w14:textId="77777777" w:rsidR="00CF13E1" w:rsidRPr="00C87F62" w:rsidRDefault="00CF13E1" w:rsidP="00C87F62">
            <w:pPr>
              <w:spacing w:line="360" w:lineRule="auto"/>
              <w:jc w:val="both"/>
              <w:rPr>
                <w:rFonts w:ascii="Book Antiqua" w:eastAsia="Arial Unicode MS" w:hAnsi="Book Antiqua"/>
                <w:b/>
                <w:bCs/>
                <w:color w:val="000000"/>
              </w:rPr>
            </w:pPr>
            <w:r w:rsidRPr="00C87F62">
              <w:rPr>
                <w:rFonts w:ascii="Book Antiqua" w:eastAsia="Arial Unicode MS" w:hAnsi="Book Antiqua"/>
                <w:b/>
                <w:bCs/>
                <w:color w:val="000000"/>
              </w:rPr>
              <w:t>CD</w:t>
            </w:r>
          </w:p>
        </w:tc>
        <w:tc>
          <w:tcPr>
            <w:tcW w:w="1588" w:type="dxa"/>
            <w:tcBorders>
              <w:top w:val="single" w:sz="8" w:space="0" w:color="auto"/>
              <w:left w:val="nil"/>
              <w:bottom w:val="single" w:sz="8" w:space="0" w:color="auto"/>
              <w:right w:val="nil"/>
            </w:tcBorders>
            <w:shd w:val="clear" w:color="auto" w:fill="auto"/>
            <w:noWrap/>
            <w:hideMark/>
          </w:tcPr>
          <w:p w14:paraId="4BF763BE" w14:textId="78E093EF" w:rsidR="00CF13E1" w:rsidRPr="00C87F62" w:rsidRDefault="00CF13E1" w:rsidP="00C87F62">
            <w:pPr>
              <w:spacing w:line="360" w:lineRule="auto"/>
              <w:jc w:val="both"/>
              <w:rPr>
                <w:rFonts w:ascii="Book Antiqua" w:eastAsia="Arial Unicode MS" w:hAnsi="Book Antiqua"/>
                <w:b/>
                <w:bCs/>
                <w:color w:val="000000"/>
              </w:rPr>
            </w:pPr>
            <w:r w:rsidRPr="00C87F62">
              <w:rPr>
                <w:rFonts w:ascii="Book Antiqua" w:eastAsia="Arial Unicode MS" w:hAnsi="Book Antiqua"/>
                <w:b/>
                <w:bCs/>
                <w:color w:val="000000"/>
              </w:rPr>
              <w:t>IR</w:t>
            </w:r>
          </w:p>
        </w:tc>
        <w:tc>
          <w:tcPr>
            <w:tcW w:w="2155" w:type="dxa"/>
            <w:tcBorders>
              <w:top w:val="single" w:sz="8" w:space="0" w:color="auto"/>
              <w:left w:val="nil"/>
              <w:bottom w:val="single" w:sz="8" w:space="0" w:color="auto"/>
              <w:right w:val="nil"/>
            </w:tcBorders>
            <w:shd w:val="clear" w:color="auto" w:fill="auto"/>
            <w:noWrap/>
            <w:hideMark/>
          </w:tcPr>
          <w:p w14:paraId="6CBA4A03" w14:textId="006C1178" w:rsidR="00CF13E1" w:rsidRPr="00C87F62" w:rsidRDefault="00C87F62" w:rsidP="00C87F62">
            <w:pPr>
              <w:spacing w:line="360" w:lineRule="auto"/>
              <w:jc w:val="both"/>
              <w:rPr>
                <w:rFonts w:ascii="Book Antiqua" w:eastAsia="Arial Unicode MS" w:hAnsi="Book Antiqua"/>
                <w:b/>
                <w:bCs/>
                <w:color w:val="000000"/>
              </w:rPr>
            </w:pPr>
            <w:proofErr w:type="spellStart"/>
            <w:r>
              <w:rPr>
                <w:rFonts w:ascii="Book Antiqua" w:eastAsia="Arial Unicode MS" w:hAnsi="Book Antiqua"/>
                <w:b/>
                <w:bCs/>
                <w:color w:val="000000"/>
              </w:rPr>
              <w:t>aHR</w:t>
            </w:r>
            <w:proofErr w:type="spellEnd"/>
            <w:r>
              <w:rPr>
                <w:rFonts w:ascii="Book Antiqua" w:hAnsi="Book Antiqua"/>
                <w:b/>
                <w:bCs/>
                <w:color w:val="1C1D1E"/>
                <w:shd w:val="clear" w:color="auto" w:fill="FFFFFF"/>
                <w:vertAlign w:val="superscript"/>
              </w:rPr>
              <w:t xml:space="preserve"> </w:t>
            </w:r>
            <w:r w:rsidR="00CF13E1" w:rsidRPr="00C87F62">
              <w:rPr>
                <w:rFonts w:ascii="Book Antiqua" w:eastAsia="Arial Unicode MS" w:hAnsi="Book Antiqua"/>
                <w:b/>
                <w:bCs/>
                <w:color w:val="000000"/>
              </w:rPr>
              <w:t>(95%CI)</w:t>
            </w:r>
          </w:p>
        </w:tc>
      </w:tr>
      <w:tr w:rsidR="00CF13E1" w:rsidRPr="006F3921" w14:paraId="6DC70F7E" w14:textId="77777777" w:rsidTr="00E37D80">
        <w:trPr>
          <w:trHeight w:val="364"/>
          <w:jc w:val="center"/>
        </w:trPr>
        <w:tc>
          <w:tcPr>
            <w:tcW w:w="1598" w:type="dxa"/>
            <w:tcBorders>
              <w:top w:val="single" w:sz="8" w:space="0" w:color="auto"/>
              <w:left w:val="nil"/>
              <w:bottom w:val="nil"/>
              <w:right w:val="nil"/>
            </w:tcBorders>
            <w:shd w:val="clear" w:color="auto" w:fill="auto"/>
            <w:noWrap/>
            <w:hideMark/>
          </w:tcPr>
          <w:p w14:paraId="0610882E" w14:textId="77777777" w:rsidR="00CF13E1" w:rsidRPr="00C87F62" w:rsidRDefault="00CF13E1" w:rsidP="00C87F62">
            <w:pPr>
              <w:spacing w:line="360" w:lineRule="auto"/>
              <w:jc w:val="both"/>
              <w:rPr>
                <w:rFonts w:ascii="Book Antiqua" w:eastAsia="Arial Unicode MS" w:hAnsi="Book Antiqua"/>
                <w:color w:val="000000"/>
              </w:rPr>
            </w:pPr>
            <w:r w:rsidRPr="00C87F62">
              <w:rPr>
                <w:rFonts w:ascii="Book Antiqua" w:eastAsia="Arial Unicode MS" w:hAnsi="Book Antiqua"/>
                <w:color w:val="000000"/>
              </w:rPr>
              <w:t>Periodontitis</w:t>
            </w:r>
          </w:p>
        </w:tc>
        <w:tc>
          <w:tcPr>
            <w:tcW w:w="1157" w:type="dxa"/>
            <w:tcBorders>
              <w:top w:val="single" w:sz="8" w:space="0" w:color="auto"/>
              <w:left w:val="nil"/>
              <w:bottom w:val="nil"/>
              <w:right w:val="nil"/>
            </w:tcBorders>
            <w:shd w:val="clear" w:color="auto" w:fill="auto"/>
            <w:noWrap/>
            <w:hideMark/>
          </w:tcPr>
          <w:p w14:paraId="4344F552" w14:textId="77777777" w:rsidR="00CF13E1" w:rsidRPr="006F3921" w:rsidRDefault="00CF13E1" w:rsidP="00C87F62">
            <w:pPr>
              <w:spacing w:line="360" w:lineRule="auto"/>
              <w:jc w:val="both"/>
              <w:rPr>
                <w:rFonts w:ascii="Book Antiqua" w:eastAsia="Arial Unicode MS" w:hAnsi="Book Antiqua"/>
                <w:color w:val="000000"/>
              </w:rPr>
            </w:pPr>
          </w:p>
        </w:tc>
        <w:tc>
          <w:tcPr>
            <w:tcW w:w="988" w:type="dxa"/>
            <w:tcBorders>
              <w:top w:val="single" w:sz="8" w:space="0" w:color="auto"/>
              <w:left w:val="nil"/>
              <w:bottom w:val="nil"/>
              <w:right w:val="nil"/>
            </w:tcBorders>
            <w:shd w:val="clear" w:color="auto" w:fill="auto"/>
            <w:noWrap/>
            <w:hideMark/>
          </w:tcPr>
          <w:p w14:paraId="478435DD" w14:textId="14A2792E" w:rsidR="00CF13E1" w:rsidRPr="006F3921" w:rsidRDefault="00CF13E1" w:rsidP="00C87F62">
            <w:pPr>
              <w:spacing w:line="360" w:lineRule="auto"/>
              <w:jc w:val="both"/>
              <w:rPr>
                <w:rFonts w:ascii="Book Antiqua" w:eastAsia="Arial Unicode MS" w:hAnsi="Book Antiqua"/>
                <w:color w:val="000000"/>
              </w:rPr>
            </w:pPr>
          </w:p>
        </w:tc>
        <w:tc>
          <w:tcPr>
            <w:tcW w:w="1311" w:type="dxa"/>
            <w:tcBorders>
              <w:top w:val="single" w:sz="8" w:space="0" w:color="auto"/>
              <w:left w:val="nil"/>
              <w:bottom w:val="nil"/>
              <w:right w:val="nil"/>
            </w:tcBorders>
            <w:shd w:val="clear" w:color="auto" w:fill="auto"/>
            <w:noWrap/>
            <w:hideMark/>
          </w:tcPr>
          <w:p w14:paraId="3613286B" w14:textId="380FA756" w:rsidR="00CF13E1" w:rsidRPr="006F3921" w:rsidRDefault="00CF13E1" w:rsidP="00C87F62">
            <w:pPr>
              <w:spacing w:line="360" w:lineRule="auto"/>
              <w:jc w:val="both"/>
              <w:rPr>
                <w:rFonts w:ascii="Book Antiqua" w:eastAsia="Arial Unicode MS" w:hAnsi="Book Antiqua"/>
                <w:color w:val="000000"/>
              </w:rPr>
            </w:pPr>
          </w:p>
        </w:tc>
        <w:tc>
          <w:tcPr>
            <w:tcW w:w="3029" w:type="dxa"/>
            <w:tcBorders>
              <w:top w:val="single" w:sz="8" w:space="0" w:color="auto"/>
              <w:left w:val="nil"/>
              <w:bottom w:val="nil"/>
              <w:right w:val="nil"/>
            </w:tcBorders>
            <w:shd w:val="clear" w:color="auto" w:fill="auto"/>
            <w:noWrap/>
            <w:hideMark/>
          </w:tcPr>
          <w:p w14:paraId="18024F24" w14:textId="4B936EF9" w:rsidR="00CF13E1" w:rsidRPr="006F3921" w:rsidRDefault="00CF13E1" w:rsidP="00C87F62">
            <w:pPr>
              <w:spacing w:line="360" w:lineRule="auto"/>
              <w:jc w:val="both"/>
              <w:rPr>
                <w:rFonts w:ascii="Book Antiqua" w:eastAsia="Arial Unicode MS" w:hAnsi="Book Antiqua"/>
                <w:color w:val="000000"/>
              </w:rPr>
            </w:pPr>
          </w:p>
        </w:tc>
        <w:tc>
          <w:tcPr>
            <w:tcW w:w="1039" w:type="dxa"/>
            <w:tcBorders>
              <w:top w:val="single" w:sz="8" w:space="0" w:color="auto"/>
              <w:left w:val="nil"/>
              <w:bottom w:val="nil"/>
              <w:right w:val="nil"/>
            </w:tcBorders>
            <w:shd w:val="clear" w:color="auto" w:fill="auto"/>
            <w:noWrap/>
            <w:hideMark/>
          </w:tcPr>
          <w:p w14:paraId="2BA2C962" w14:textId="72153366" w:rsidR="00CF13E1" w:rsidRPr="006F3921" w:rsidRDefault="00CF13E1" w:rsidP="00C87F62">
            <w:pPr>
              <w:spacing w:line="360" w:lineRule="auto"/>
              <w:jc w:val="both"/>
              <w:rPr>
                <w:rFonts w:ascii="Book Antiqua" w:eastAsia="Arial Unicode MS" w:hAnsi="Book Antiqua"/>
                <w:color w:val="000000"/>
              </w:rPr>
            </w:pPr>
          </w:p>
        </w:tc>
        <w:tc>
          <w:tcPr>
            <w:tcW w:w="1588" w:type="dxa"/>
            <w:tcBorders>
              <w:top w:val="single" w:sz="8" w:space="0" w:color="auto"/>
              <w:left w:val="nil"/>
              <w:bottom w:val="nil"/>
              <w:right w:val="nil"/>
            </w:tcBorders>
            <w:shd w:val="clear" w:color="auto" w:fill="auto"/>
            <w:noWrap/>
            <w:hideMark/>
          </w:tcPr>
          <w:p w14:paraId="1F147C03" w14:textId="3261D44E" w:rsidR="00CF13E1" w:rsidRPr="006F3921" w:rsidRDefault="00CF13E1" w:rsidP="00C87F62">
            <w:pPr>
              <w:spacing w:line="360" w:lineRule="auto"/>
              <w:jc w:val="both"/>
              <w:rPr>
                <w:rFonts w:ascii="Book Antiqua" w:eastAsia="Arial Unicode MS" w:hAnsi="Book Antiqua"/>
                <w:color w:val="000000"/>
              </w:rPr>
            </w:pPr>
          </w:p>
        </w:tc>
        <w:tc>
          <w:tcPr>
            <w:tcW w:w="2155" w:type="dxa"/>
            <w:tcBorders>
              <w:top w:val="single" w:sz="8" w:space="0" w:color="auto"/>
              <w:left w:val="nil"/>
              <w:bottom w:val="nil"/>
              <w:right w:val="nil"/>
            </w:tcBorders>
            <w:shd w:val="clear" w:color="auto" w:fill="auto"/>
            <w:noWrap/>
            <w:hideMark/>
          </w:tcPr>
          <w:p w14:paraId="6FE63689" w14:textId="6E1A7EBD" w:rsidR="00CF13E1" w:rsidRPr="006F3921" w:rsidRDefault="00CF13E1" w:rsidP="00C87F62">
            <w:pPr>
              <w:spacing w:line="360" w:lineRule="auto"/>
              <w:jc w:val="both"/>
              <w:rPr>
                <w:rFonts w:ascii="Book Antiqua" w:eastAsia="Arial Unicode MS" w:hAnsi="Book Antiqua"/>
                <w:color w:val="000000"/>
              </w:rPr>
            </w:pPr>
          </w:p>
        </w:tc>
      </w:tr>
      <w:tr w:rsidR="00CF13E1" w:rsidRPr="006F3921" w14:paraId="607CF531" w14:textId="77777777" w:rsidTr="00E37D80">
        <w:trPr>
          <w:trHeight w:val="364"/>
          <w:jc w:val="center"/>
        </w:trPr>
        <w:tc>
          <w:tcPr>
            <w:tcW w:w="1598" w:type="dxa"/>
            <w:tcBorders>
              <w:top w:val="nil"/>
              <w:left w:val="nil"/>
              <w:right w:val="nil"/>
            </w:tcBorders>
            <w:shd w:val="clear" w:color="auto" w:fill="auto"/>
            <w:noWrap/>
            <w:hideMark/>
          </w:tcPr>
          <w:p w14:paraId="08AA3A01" w14:textId="77777777" w:rsidR="00CF13E1" w:rsidRPr="006F3921" w:rsidRDefault="00CF13E1" w:rsidP="00DE7D3B">
            <w:pPr>
              <w:spacing w:line="360" w:lineRule="auto"/>
              <w:ind w:firstLineChars="100" w:firstLine="240"/>
              <w:jc w:val="both"/>
              <w:rPr>
                <w:rFonts w:ascii="Book Antiqua" w:eastAsia="Arial Unicode MS" w:hAnsi="Book Antiqua"/>
              </w:rPr>
            </w:pPr>
            <w:r w:rsidRPr="006F3921">
              <w:rPr>
                <w:rFonts w:ascii="Book Antiqua" w:eastAsia="Arial Unicode MS" w:hAnsi="Book Antiqua"/>
              </w:rPr>
              <w:t>No</w:t>
            </w:r>
          </w:p>
        </w:tc>
        <w:tc>
          <w:tcPr>
            <w:tcW w:w="1157" w:type="dxa"/>
            <w:tcBorders>
              <w:top w:val="nil"/>
              <w:left w:val="nil"/>
              <w:right w:val="nil"/>
            </w:tcBorders>
            <w:shd w:val="clear" w:color="auto" w:fill="auto"/>
            <w:noWrap/>
            <w:hideMark/>
          </w:tcPr>
          <w:p w14:paraId="057FFB21" w14:textId="7D5D3930"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8857723</w:t>
            </w:r>
          </w:p>
        </w:tc>
        <w:tc>
          <w:tcPr>
            <w:tcW w:w="988" w:type="dxa"/>
            <w:tcBorders>
              <w:top w:val="nil"/>
              <w:left w:val="nil"/>
              <w:right w:val="nil"/>
            </w:tcBorders>
            <w:shd w:val="clear" w:color="auto" w:fill="auto"/>
            <w:noWrap/>
            <w:hideMark/>
          </w:tcPr>
          <w:p w14:paraId="19D1CE66" w14:textId="36F70B1F"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5224</w:t>
            </w:r>
          </w:p>
        </w:tc>
        <w:tc>
          <w:tcPr>
            <w:tcW w:w="1311" w:type="dxa"/>
            <w:tcBorders>
              <w:top w:val="nil"/>
              <w:left w:val="nil"/>
              <w:right w:val="nil"/>
            </w:tcBorders>
            <w:shd w:val="clear" w:color="auto" w:fill="auto"/>
            <w:noWrap/>
            <w:hideMark/>
          </w:tcPr>
          <w:p w14:paraId="20E7D561"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 xml:space="preserve">7.1433 </w:t>
            </w:r>
          </w:p>
        </w:tc>
        <w:tc>
          <w:tcPr>
            <w:tcW w:w="3029" w:type="dxa"/>
            <w:tcBorders>
              <w:top w:val="nil"/>
              <w:left w:val="nil"/>
              <w:right w:val="nil"/>
            </w:tcBorders>
            <w:shd w:val="clear" w:color="auto" w:fill="auto"/>
            <w:noWrap/>
            <w:hideMark/>
          </w:tcPr>
          <w:p w14:paraId="78F1B829"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1 (ref.)</w:t>
            </w:r>
          </w:p>
        </w:tc>
        <w:tc>
          <w:tcPr>
            <w:tcW w:w="1039" w:type="dxa"/>
            <w:tcBorders>
              <w:top w:val="nil"/>
              <w:left w:val="nil"/>
              <w:right w:val="nil"/>
            </w:tcBorders>
            <w:shd w:val="clear" w:color="auto" w:fill="auto"/>
            <w:noWrap/>
            <w:hideMark/>
          </w:tcPr>
          <w:p w14:paraId="6C32F97F" w14:textId="3E727BB4"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1300</w:t>
            </w:r>
          </w:p>
        </w:tc>
        <w:tc>
          <w:tcPr>
            <w:tcW w:w="1588" w:type="dxa"/>
            <w:tcBorders>
              <w:top w:val="nil"/>
              <w:left w:val="nil"/>
              <w:right w:val="nil"/>
            </w:tcBorders>
            <w:shd w:val="clear" w:color="auto" w:fill="auto"/>
            <w:noWrap/>
            <w:hideMark/>
          </w:tcPr>
          <w:p w14:paraId="7A9A8008"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 xml:space="preserve">1.7773 </w:t>
            </w:r>
          </w:p>
        </w:tc>
        <w:tc>
          <w:tcPr>
            <w:tcW w:w="2155" w:type="dxa"/>
            <w:tcBorders>
              <w:top w:val="nil"/>
              <w:left w:val="nil"/>
              <w:right w:val="nil"/>
            </w:tcBorders>
            <w:shd w:val="clear" w:color="auto" w:fill="auto"/>
            <w:noWrap/>
            <w:hideMark/>
          </w:tcPr>
          <w:p w14:paraId="142EBFB3"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1 (ref.)</w:t>
            </w:r>
          </w:p>
        </w:tc>
      </w:tr>
      <w:tr w:rsidR="00CF13E1" w:rsidRPr="006F3921" w14:paraId="33B5C717" w14:textId="77777777" w:rsidTr="00E37D80">
        <w:trPr>
          <w:trHeight w:val="364"/>
          <w:jc w:val="center"/>
        </w:trPr>
        <w:tc>
          <w:tcPr>
            <w:tcW w:w="1598" w:type="dxa"/>
            <w:tcBorders>
              <w:top w:val="nil"/>
              <w:left w:val="nil"/>
              <w:bottom w:val="single" w:sz="8" w:space="0" w:color="auto"/>
              <w:right w:val="nil"/>
            </w:tcBorders>
            <w:shd w:val="clear" w:color="auto" w:fill="auto"/>
            <w:noWrap/>
            <w:hideMark/>
          </w:tcPr>
          <w:p w14:paraId="34D7375C" w14:textId="77777777" w:rsidR="00CF13E1" w:rsidRPr="006F3921" w:rsidRDefault="00CF13E1" w:rsidP="00DE7D3B">
            <w:pPr>
              <w:spacing w:line="360" w:lineRule="auto"/>
              <w:ind w:firstLineChars="100" w:firstLine="240"/>
              <w:jc w:val="both"/>
              <w:rPr>
                <w:rFonts w:ascii="Book Antiqua" w:eastAsia="Arial Unicode MS" w:hAnsi="Book Antiqua"/>
              </w:rPr>
            </w:pPr>
            <w:r w:rsidRPr="006F3921">
              <w:rPr>
                <w:rFonts w:ascii="Book Antiqua" w:eastAsia="Arial Unicode MS" w:hAnsi="Book Antiqua"/>
              </w:rPr>
              <w:t>Yes</w:t>
            </w:r>
          </w:p>
        </w:tc>
        <w:tc>
          <w:tcPr>
            <w:tcW w:w="1157" w:type="dxa"/>
            <w:tcBorders>
              <w:top w:val="nil"/>
              <w:left w:val="nil"/>
              <w:bottom w:val="single" w:sz="8" w:space="0" w:color="auto"/>
              <w:right w:val="nil"/>
            </w:tcBorders>
            <w:shd w:val="clear" w:color="auto" w:fill="auto"/>
            <w:noWrap/>
            <w:hideMark/>
          </w:tcPr>
          <w:p w14:paraId="3F73A71A" w14:textId="7C67D8DA"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1092825</w:t>
            </w:r>
          </w:p>
        </w:tc>
        <w:tc>
          <w:tcPr>
            <w:tcW w:w="988" w:type="dxa"/>
            <w:tcBorders>
              <w:top w:val="nil"/>
              <w:left w:val="nil"/>
              <w:bottom w:val="single" w:sz="8" w:space="0" w:color="auto"/>
              <w:right w:val="nil"/>
            </w:tcBorders>
            <w:shd w:val="clear" w:color="auto" w:fill="auto"/>
            <w:noWrap/>
            <w:hideMark/>
          </w:tcPr>
          <w:p w14:paraId="52DE72C0"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692</w:t>
            </w:r>
          </w:p>
        </w:tc>
        <w:tc>
          <w:tcPr>
            <w:tcW w:w="1311" w:type="dxa"/>
            <w:tcBorders>
              <w:top w:val="nil"/>
              <w:left w:val="nil"/>
              <w:bottom w:val="single" w:sz="8" w:space="0" w:color="auto"/>
              <w:right w:val="nil"/>
            </w:tcBorders>
            <w:shd w:val="clear" w:color="auto" w:fill="auto"/>
            <w:noWrap/>
            <w:hideMark/>
          </w:tcPr>
          <w:p w14:paraId="3AE51594"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 xml:space="preserve">7.6730 </w:t>
            </w:r>
          </w:p>
        </w:tc>
        <w:tc>
          <w:tcPr>
            <w:tcW w:w="3029" w:type="dxa"/>
            <w:tcBorders>
              <w:top w:val="nil"/>
              <w:left w:val="nil"/>
              <w:bottom w:val="single" w:sz="8" w:space="0" w:color="auto"/>
              <w:right w:val="nil"/>
            </w:tcBorders>
            <w:shd w:val="clear" w:color="auto" w:fill="auto"/>
            <w:noWrap/>
            <w:hideMark/>
          </w:tcPr>
          <w:p w14:paraId="0179A2D7" w14:textId="77777777" w:rsidR="00CF13E1" w:rsidRPr="006F3921" w:rsidRDefault="00CF13E1" w:rsidP="00C87F62">
            <w:pPr>
              <w:spacing w:line="360" w:lineRule="auto"/>
              <w:jc w:val="both"/>
              <w:rPr>
                <w:rFonts w:ascii="Book Antiqua" w:eastAsia="Arial Unicode MS" w:hAnsi="Book Antiqua"/>
              </w:rPr>
            </w:pPr>
            <w:r w:rsidRPr="006F3921">
              <w:rPr>
                <w:rFonts w:ascii="Book Antiqua" w:eastAsia="Arial Unicode MS" w:hAnsi="Book Antiqua"/>
              </w:rPr>
              <w:t>1.091 (1.008-1.182)</w:t>
            </w:r>
          </w:p>
        </w:tc>
        <w:tc>
          <w:tcPr>
            <w:tcW w:w="1039" w:type="dxa"/>
            <w:tcBorders>
              <w:top w:val="nil"/>
              <w:left w:val="nil"/>
              <w:bottom w:val="single" w:sz="8" w:space="0" w:color="auto"/>
              <w:right w:val="nil"/>
            </w:tcBorders>
            <w:shd w:val="clear" w:color="auto" w:fill="auto"/>
            <w:noWrap/>
            <w:hideMark/>
          </w:tcPr>
          <w:p w14:paraId="3268BDF1"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126</w:t>
            </w:r>
          </w:p>
        </w:tc>
        <w:tc>
          <w:tcPr>
            <w:tcW w:w="1588" w:type="dxa"/>
            <w:tcBorders>
              <w:top w:val="nil"/>
              <w:left w:val="nil"/>
              <w:bottom w:val="single" w:sz="8" w:space="0" w:color="auto"/>
              <w:right w:val="nil"/>
            </w:tcBorders>
            <w:shd w:val="clear" w:color="auto" w:fill="auto"/>
            <w:noWrap/>
            <w:hideMark/>
          </w:tcPr>
          <w:p w14:paraId="774B83FD"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 xml:space="preserve">1.3968 </w:t>
            </w:r>
          </w:p>
        </w:tc>
        <w:tc>
          <w:tcPr>
            <w:tcW w:w="2155" w:type="dxa"/>
            <w:tcBorders>
              <w:top w:val="nil"/>
              <w:left w:val="nil"/>
              <w:bottom w:val="single" w:sz="8" w:space="0" w:color="auto"/>
              <w:right w:val="nil"/>
            </w:tcBorders>
            <w:shd w:val="clear" w:color="auto" w:fill="auto"/>
            <w:noWrap/>
            <w:hideMark/>
          </w:tcPr>
          <w:p w14:paraId="27138A85" w14:textId="77777777" w:rsidR="00CF13E1" w:rsidRPr="006F3921" w:rsidRDefault="00CF13E1" w:rsidP="00C87F62">
            <w:pPr>
              <w:spacing w:line="360" w:lineRule="auto"/>
              <w:jc w:val="both"/>
              <w:rPr>
                <w:rFonts w:ascii="Book Antiqua" w:eastAsia="Arial Unicode MS" w:hAnsi="Book Antiqua"/>
                <w:color w:val="000000"/>
              </w:rPr>
            </w:pPr>
            <w:r w:rsidRPr="006F3921">
              <w:rPr>
                <w:rFonts w:ascii="Book Antiqua" w:eastAsia="Arial Unicode MS" w:hAnsi="Book Antiqua"/>
                <w:color w:val="000000"/>
              </w:rPr>
              <w:t>0.879 (0.731-1.057)</w:t>
            </w:r>
          </w:p>
        </w:tc>
      </w:tr>
    </w:tbl>
    <w:p w14:paraId="49BE1F10" w14:textId="596AE195" w:rsidR="00AB37F6" w:rsidRDefault="00C87F62" w:rsidP="00AB37F6">
      <w:pPr>
        <w:spacing w:line="360" w:lineRule="auto"/>
        <w:jc w:val="both"/>
      </w:pPr>
      <w:r w:rsidRPr="006F3921">
        <w:rPr>
          <w:rFonts w:ascii="Book Antiqua" w:hAnsi="Book Antiqua"/>
        </w:rPr>
        <w:t xml:space="preserve">The incidence rate is represented by incident cases of </w:t>
      </w:r>
      <w:r w:rsidR="00EA19E9" w:rsidRPr="006F3921">
        <w:rPr>
          <w:rFonts w:ascii="Book Antiqua" w:hAnsi="Book Antiqua"/>
        </w:rPr>
        <w:t>ulcerative colitis</w:t>
      </w:r>
      <w:r w:rsidRPr="006F3921">
        <w:rPr>
          <w:rFonts w:ascii="Book Antiqua" w:hAnsi="Book Antiqua"/>
        </w:rPr>
        <w:t xml:space="preserve"> or </w:t>
      </w:r>
      <w:r w:rsidR="00EA19E9" w:rsidRPr="006F3921">
        <w:rPr>
          <w:rFonts w:ascii="Book Antiqua" w:hAnsi="Book Antiqua"/>
        </w:rPr>
        <w:t>Crohn’s disease</w:t>
      </w:r>
      <w:r w:rsidRPr="006F3921">
        <w:rPr>
          <w:rFonts w:ascii="Book Antiqua" w:hAnsi="Book Antiqua"/>
        </w:rPr>
        <w:t xml:space="preserve"> per 100000 person-years.</w:t>
      </w:r>
      <w:r>
        <w:rPr>
          <w:rFonts w:ascii="Book Antiqua" w:hAnsi="Book Antiqua"/>
        </w:rPr>
        <w:t xml:space="preserve"> </w:t>
      </w:r>
      <w:r w:rsidRPr="006F3921">
        <w:rPr>
          <w:rFonts w:ascii="Book Antiqua" w:hAnsi="Book Antiqua"/>
        </w:rPr>
        <w:t xml:space="preserve">The </w:t>
      </w:r>
      <w:r w:rsidR="00EA19E9" w:rsidRPr="006F3921">
        <w:rPr>
          <w:rFonts w:ascii="Book Antiqua" w:hAnsi="Book Antiqua"/>
        </w:rPr>
        <w:t>hazard ratio</w:t>
      </w:r>
      <w:r w:rsidRPr="006F3921">
        <w:rPr>
          <w:rFonts w:ascii="Book Antiqua" w:hAnsi="Book Antiqua"/>
        </w:rPr>
        <w:t xml:space="preserve"> was adjusted for age, sex, body mass index, smoking, alcohol drinking, exercise, and income.</w:t>
      </w:r>
      <w:r w:rsidR="00EA19E9">
        <w:rPr>
          <w:rFonts w:ascii="Book Antiqua" w:hAnsi="Book Antiqua"/>
        </w:rPr>
        <w:t xml:space="preserve"> </w:t>
      </w:r>
      <w:r w:rsidR="00EA19E9" w:rsidRPr="006F3921">
        <w:rPr>
          <w:rFonts w:ascii="Book Antiqua" w:hAnsi="Book Antiqua"/>
        </w:rPr>
        <w:t>UC</w:t>
      </w:r>
      <w:r w:rsidR="00EA19E9">
        <w:rPr>
          <w:rFonts w:ascii="Book Antiqua" w:hAnsi="Book Antiqua"/>
        </w:rPr>
        <w:t>:</w:t>
      </w:r>
      <w:r w:rsidR="00EA19E9" w:rsidRPr="006F3921">
        <w:rPr>
          <w:rFonts w:ascii="Book Antiqua" w:hAnsi="Book Antiqua"/>
        </w:rPr>
        <w:t xml:space="preserve"> </w:t>
      </w:r>
      <w:r w:rsidR="00EA19E9">
        <w:rPr>
          <w:rFonts w:ascii="Book Antiqua" w:hAnsi="Book Antiqua"/>
        </w:rPr>
        <w:t>U</w:t>
      </w:r>
      <w:r w:rsidR="00EA19E9" w:rsidRPr="006F3921">
        <w:rPr>
          <w:rFonts w:ascii="Book Antiqua" w:hAnsi="Book Antiqua"/>
        </w:rPr>
        <w:t>lcerative colitis</w:t>
      </w:r>
      <w:r w:rsidR="00EA19E9">
        <w:rPr>
          <w:rFonts w:ascii="Book Antiqua" w:hAnsi="Book Antiqua"/>
        </w:rPr>
        <w:t xml:space="preserve">; </w:t>
      </w:r>
      <w:r w:rsidR="00EA19E9" w:rsidRPr="006F3921">
        <w:rPr>
          <w:rFonts w:ascii="Book Antiqua" w:hAnsi="Book Antiqua"/>
        </w:rPr>
        <w:t>CD</w:t>
      </w:r>
      <w:r w:rsidR="00EA19E9">
        <w:rPr>
          <w:rFonts w:ascii="Book Antiqua" w:hAnsi="Book Antiqua"/>
        </w:rPr>
        <w:t>:</w:t>
      </w:r>
      <w:r w:rsidR="00EA19E9" w:rsidRPr="006F3921">
        <w:rPr>
          <w:rFonts w:ascii="Book Antiqua" w:hAnsi="Book Antiqua"/>
        </w:rPr>
        <w:t xml:space="preserve"> Crohn’s disease; IR</w:t>
      </w:r>
      <w:r w:rsidR="00EA19E9">
        <w:rPr>
          <w:rFonts w:ascii="Book Antiqua" w:hAnsi="Book Antiqua"/>
        </w:rPr>
        <w:t>:</w:t>
      </w:r>
      <w:r w:rsidR="00EA19E9" w:rsidRPr="006F3921">
        <w:rPr>
          <w:rFonts w:ascii="Book Antiqua" w:hAnsi="Book Antiqua"/>
        </w:rPr>
        <w:t xml:space="preserve"> </w:t>
      </w:r>
      <w:r w:rsidR="00EA19E9">
        <w:rPr>
          <w:rFonts w:ascii="Book Antiqua" w:hAnsi="Book Antiqua"/>
        </w:rPr>
        <w:t>I</w:t>
      </w:r>
      <w:r w:rsidR="00EA19E9" w:rsidRPr="006F3921">
        <w:rPr>
          <w:rFonts w:ascii="Book Antiqua" w:hAnsi="Book Antiqua"/>
        </w:rPr>
        <w:t>ncidence rate</w:t>
      </w:r>
      <w:r w:rsidR="00EA19E9">
        <w:rPr>
          <w:rFonts w:ascii="Book Antiqua" w:hAnsi="Book Antiqua"/>
        </w:rPr>
        <w:t>;</w:t>
      </w:r>
      <w:r w:rsidR="00EA19E9" w:rsidRPr="006F3921">
        <w:rPr>
          <w:rFonts w:ascii="Book Antiqua" w:hAnsi="Book Antiqua"/>
        </w:rPr>
        <w:t xml:space="preserve"> </w:t>
      </w:r>
      <w:proofErr w:type="spellStart"/>
      <w:r w:rsidR="00EA19E9" w:rsidRPr="006F3921">
        <w:rPr>
          <w:rFonts w:ascii="Book Antiqua" w:hAnsi="Book Antiqua"/>
        </w:rPr>
        <w:t>aHR</w:t>
      </w:r>
      <w:proofErr w:type="spellEnd"/>
      <w:r w:rsidR="00EA19E9">
        <w:rPr>
          <w:rFonts w:ascii="Book Antiqua" w:hAnsi="Book Antiqua"/>
        </w:rPr>
        <w:t>:</w:t>
      </w:r>
      <w:r w:rsidR="00EA19E9" w:rsidRPr="006F3921">
        <w:rPr>
          <w:rFonts w:ascii="Book Antiqua" w:hAnsi="Book Antiqua"/>
        </w:rPr>
        <w:t xml:space="preserve"> </w:t>
      </w:r>
      <w:r w:rsidR="00EA19E9">
        <w:rPr>
          <w:rFonts w:ascii="Book Antiqua" w:hAnsi="Book Antiqua"/>
        </w:rPr>
        <w:t>A</w:t>
      </w:r>
      <w:r w:rsidR="00EA19E9" w:rsidRPr="006F3921">
        <w:rPr>
          <w:rFonts w:ascii="Book Antiqua" w:hAnsi="Book Antiqua"/>
        </w:rPr>
        <w:t>djusted hazard ratio; CI</w:t>
      </w:r>
      <w:r w:rsidR="00EA19E9">
        <w:rPr>
          <w:rFonts w:ascii="Book Antiqua" w:hAnsi="Book Antiqua"/>
        </w:rPr>
        <w:t>:</w:t>
      </w:r>
      <w:r w:rsidR="00EA19E9" w:rsidRPr="006F3921">
        <w:rPr>
          <w:rFonts w:ascii="Book Antiqua" w:hAnsi="Book Antiqua"/>
        </w:rPr>
        <w:t xml:space="preserve"> </w:t>
      </w:r>
      <w:r w:rsidR="00EA19E9">
        <w:rPr>
          <w:rFonts w:ascii="Book Antiqua" w:hAnsi="Book Antiqua"/>
        </w:rPr>
        <w:t>C</w:t>
      </w:r>
      <w:r w:rsidR="00EA19E9" w:rsidRPr="006F3921">
        <w:rPr>
          <w:rFonts w:ascii="Book Antiqua" w:hAnsi="Book Antiqua"/>
        </w:rPr>
        <w:t>onfidence intervals</w:t>
      </w:r>
      <w:r w:rsidR="00EA19E9">
        <w:rPr>
          <w:rFonts w:ascii="Book Antiqua" w:hAnsi="Book Antiqua"/>
        </w:rPr>
        <w:t>.</w:t>
      </w:r>
    </w:p>
    <w:sectPr w:rsidR="00AB37F6" w:rsidSect="00CF13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44D17" w14:textId="77777777" w:rsidR="00F463E7" w:rsidRDefault="00F463E7" w:rsidP="00C42EE2">
      <w:r>
        <w:separator/>
      </w:r>
    </w:p>
  </w:endnote>
  <w:endnote w:type="continuationSeparator" w:id="0">
    <w:p w14:paraId="3142DC20" w14:textId="77777777" w:rsidR="00F463E7" w:rsidRDefault="00F463E7" w:rsidP="00C4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4690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1A5F4A1" w14:textId="02230209" w:rsidR="00C42EE2" w:rsidRPr="00C42EE2" w:rsidRDefault="00C42EE2" w:rsidP="00C42EE2">
            <w:pPr>
              <w:pStyle w:val="a4"/>
              <w:jc w:val="right"/>
              <w:rPr>
                <w:rFonts w:ascii="Book Antiqua" w:hAnsi="Book Antiqua"/>
                <w:sz w:val="24"/>
                <w:szCs w:val="24"/>
              </w:rPr>
            </w:pPr>
            <w:r>
              <w:rPr>
                <w:lang w:val="zh-CN" w:eastAsia="zh-CN"/>
              </w:rPr>
              <w:t xml:space="preserve"> </w:t>
            </w:r>
            <w:r w:rsidRPr="00C42EE2">
              <w:rPr>
                <w:rFonts w:ascii="Book Antiqua" w:hAnsi="Book Antiqua"/>
                <w:sz w:val="24"/>
                <w:szCs w:val="24"/>
              </w:rPr>
              <w:fldChar w:fldCharType="begin"/>
            </w:r>
            <w:r w:rsidRPr="00C42EE2">
              <w:rPr>
                <w:rFonts w:ascii="Book Antiqua" w:hAnsi="Book Antiqua"/>
                <w:sz w:val="24"/>
                <w:szCs w:val="24"/>
              </w:rPr>
              <w:instrText>PAGE</w:instrText>
            </w:r>
            <w:r w:rsidRPr="00C42EE2">
              <w:rPr>
                <w:rFonts w:ascii="Book Antiqua" w:hAnsi="Book Antiqua"/>
                <w:sz w:val="24"/>
                <w:szCs w:val="24"/>
              </w:rPr>
              <w:fldChar w:fldCharType="separate"/>
            </w:r>
            <w:r w:rsidR="00F610C3">
              <w:rPr>
                <w:rFonts w:ascii="Book Antiqua" w:hAnsi="Book Antiqua"/>
                <w:noProof/>
                <w:sz w:val="24"/>
                <w:szCs w:val="24"/>
              </w:rPr>
              <w:t>23</w:t>
            </w:r>
            <w:r w:rsidRPr="00C42EE2">
              <w:rPr>
                <w:rFonts w:ascii="Book Antiqua" w:hAnsi="Book Antiqua"/>
                <w:sz w:val="24"/>
                <w:szCs w:val="24"/>
              </w:rPr>
              <w:fldChar w:fldCharType="end"/>
            </w:r>
            <w:r w:rsidRPr="00C42EE2">
              <w:rPr>
                <w:rFonts w:ascii="Book Antiqua" w:hAnsi="Book Antiqua"/>
                <w:sz w:val="24"/>
                <w:szCs w:val="24"/>
                <w:lang w:val="zh-CN" w:eastAsia="zh-CN"/>
              </w:rPr>
              <w:t xml:space="preserve"> / </w:t>
            </w:r>
            <w:r w:rsidRPr="00C42EE2">
              <w:rPr>
                <w:rFonts w:ascii="Book Antiqua" w:hAnsi="Book Antiqua"/>
                <w:sz w:val="24"/>
                <w:szCs w:val="24"/>
              </w:rPr>
              <w:fldChar w:fldCharType="begin"/>
            </w:r>
            <w:r w:rsidRPr="00C42EE2">
              <w:rPr>
                <w:rFonts w:ascii="Book Antiqua" w:hAnsi="Book Antiqua"/>
                <w:sz w:val="24"/>
                <w:szCs w:val="24"/>
              </w:rPr>
              <w:instrText>NUMPAGES</w:instrText>
            </w:r>
            <w:r w:rsidRPr="00C42EE2">
              <w:rPr>
                <w:rFonts w:ascii="Book Antiqua" w:hAnsi="Book Antiqua"/>
                <w:sz w:val="24"/>
                <w:szCs w:val="24"/>
              </w:rPr>
              <w:fldChar w:fldCharType="separate"/>
            </w:r>
            <w:r w:rsidR="00F610C3">
              <w:rPr>
                <w:rFonts w:ascii="Book Antiqua" w:hAnsi="Book Antiqua"/>
                <w:noProof/>
                <w:sz w:val="24"/>
                <w:szCs w:val="24"/>
              </w:rPr>
              <w:t>29</w:t>
            </w:r>
            <w:r w:rsidRPr="00C42EE2">
              <w:rPr>
                <w:rFonts w:ascii="Book Antiqua" w:hAnsi="Book Antiqua"/>
                <w:sz w:val="24"/>
                <w:szCs w:val="24"/>
              </w:rPr>
              <w:fldChar w:fldCharType="end"/>
            </w:r>
          </w:p>
        </w:sdtContent>
      </w:sdt>
    </w:sdtContent>
  </w:sdt>
  <w:p w14:paraId="4651AA20" w14:textId="77777777" w:rsidR="00C42EE2" w:rsidRDefault="00C42EE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2A04" w14:textId="77777777" w:rsidR="00F463E7" w:rsidRDefault="00F463E7" w:rsidP="00C42EE2">
      <w:r>
        <w:separator/>
      </w:r>
    </w:p>
  </w:footnote>
  <w:footnote w:type="continuationSeparator" w:id="0">
    <w:p w14:paraId="31B39C22" w14:textId="77777777" w:rsidR="00F463E7" w:rsidRDefault="00F463E7" w:rsidP="00C42E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0FCA"/>
    <w:rsid w:val="000616EF"/>
    <w:rsid w:val="00100377"/>
    <w:rsid w:val="0015121E"/>
    <w:rsid w:val="001B0E7B"/>
    <w:rsid w:val="001D024D"/>
    <w:rsid w:val="001D7D28"/>
    <w:rsid w:val="002B062C"/>
    <w:rsid w:val="00314135"/>
    <w:rsid w:val="003211BB"/>
    <w:rsid w:val="003A0CD3"/>
    <w:rsid w:val="003C2643"/>
    <w:rsid w:val="003E06C6"/>
    <w:rsid w:val="003F2D3F"/>
    <w:rsid w:val="004162BA"/>
    <w:rsid w:val="00485E16"/>
    <w:rsid w:val="00496077"/>
    <w:rsid w:val="004D7D30"/>
    <w:rsid w:val="005B3345"/>
    <w:rsid w:val="006473C5"/>
    <w:rsid w:val="007026E8"/>
    <w:rsid w:val="007D3860"/>
    <w:rsid w:val="007E4452"/>
    <w:rsid w:val="00840EB5"/>
    <w:rsid w:val="00926D48"/>
    <w:rsid w:val="009F33F4"/>
    <w:rsid w:val="00A24EFB"/>
    <w:rsid w:val="00A77B3E"/>
    <w:rsid w:val="00AB37F6"/>
    <w:rsid w:val="00BA4A46"/>
    <w:rsid w:val="00C0161F"/>
    <w:rsid w:val="00C3112A"/>
    <w:rsid w:val="00C42EE2"/>
    <w:rsid w:val="00C5637D"/>
    <w:rsid w:val="00C87F62"/>
    <w:rsid w:val="00C92025"/>
    <w:rsid w:val="00CA2A55"/>
    <w:rsid w:val="00CB1B67"/>
    <w:rsid w:val="00CF13E1"/>
    <w:rsid w:val="00CF5D47"/>
    <w:rsid w:val="00D04C31"/>
    <w:rsid w:val="00D2266E"/>
    <w:rsid w:val="00DE7D3B"/>
    <w:rsid w:val="00E13517"/>
    <w:rsid w:val="00E37D80"/>
    <w:rsid w:val="00EA19E9"/>
    <w:rsid w:val="00EB7624"/>
    <w:rsid w:val="00F11232"/>
    <w:rsid w:val="00F152EC"/>
    <w:rsid w:val="00F463E7"/>
    <w:rsid w:val="00F610C3"/>
    <w:rsid w:val="00F97F0E"/>
    <w:rsid w:val="00FF2B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E0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2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2EE2"/>
    <w:rPr>
      <w:sz w:val="18"/>
      <w:szCs w:val="18"/>
    </w:rPr>
  </w:style>
  <w:style w:type="paragraph" w:styleId="a4">
    <w:name w:val="footer"/>
    <w:basedOn w:val="a"/>
    <w:link w:val="Char0"/>
    <w:uiPriority w:val="99"/>
    <w:unhideWhenUsed/>
    <w:rsid w:val="00C42EE2"/>
    <w:pPr>
      <w:tabs>
        <w:tab w:val="center" w:pos="4153"/>
        <w:tab w:val="right" w:pos="8306"/>
      </w:tabs>
      <w:snapToGrid w:val="0"/>
    </w:pPr>
    <w:rPr>
      <w:sz w:val="18"/>
      <w:szCs w:val="18"/>
    </w:rPr>
  </w:style>
  <w:style w:type="character" w:customStyle="1" w:styleId="Char0">
    <w:name w:val="页脚 Char"/>
    <w:basedOn w:val="a0"/>
    <w:link w:val="a4"/>
    <w:uiPriority w:val="99"/>
    <w:rsid w:val="00C42EE2"/>
    <w:rPr>
      <w:sz w:val="18"/>
      <w:szCs w:val="18"/>
    </w:rPr>
  </w:style>
  <w:style w:type="paragraph" w:styleId="a5">
    <w:name w:val="Balloon Text"/>
    <w:basedOn w:val="a"/>
    <w:link w:val="Char1"/>
    <w:semiHidden/>
    <w:unhideWhenUsed/>
    <w:rsid w:val="00F610C3"/>
    <w:rPr>
      <w:sz w:val="18"/>
      <w:szCs w:val="18"/>
    </w:rPr>
  </w:style>
  <w:style w:type="character" w:customStyle="1" w:styleId="Char1">
    <w:name w:val="批注框文本 Char"/>
    <w:basedOn w:val="a0"/>
    <w:link w:val="a5"/>
    <w:semiHidden/>
    <w:rsid w:val="00F610C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2E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2EE2"/>
    <w:rPr>
      <w:sz w:val="18"/>
      <w:szCs w:val="18"/>
    </w:rPr>
  </w:style>
  <w:style w:type="paragraph" w:styleId="a4">
    <w:name w:val="footer"/>
    <w:basedOn w:val="a"/>
    <w:link w:val="Char0"/>
    <w:uiPriority w:val="99"/>
    <w:unhideWhenUsed/>
    <w:rsid w:val="00C42EE2"/>
    <w:pPr>
      <w:tabs>
        <w:tab w:val="center" w:pos="4153"/>
        <w:tab w:val="right" w:pos="8306"/>
      </w:tabs>
      <w:snapToGrid w:val="0"/>
    </w:pPr>
    <w:rPr>
      <w:sz w:val="18"/>
      <w:szCs w:val="18"/>
    </w:rPr>
  </w:style>
  <w:style w:type="character" w:customStyle="1" w:styleId="Char0">
    <w:name w:val="页脚 Char"/>
    <w:basedOn w:val="a0"/>
    <w:link w:val="a4"/>
    <w:uiPriority w:val="99"/>
    <w:rsid w:val="00C42EE2"/>
    <w:rPr>
      <w:sz w:val="18"/>
      <w:szCs w:val="18"/>
    </w:rPr>
  </w:style>
  <w:style w:type="paragraph" w:styleId="a5">
    <w:name w:val="Balloon Text"/>
    <w:basedOn w:val="a"/>
    <w:link w:val="Char1"/>
    <w:semiHidden/>
    <w:unhideWhenUsed/>
    <w:rsid w:val="00F610C3"/>
    <w:rPr>
      <w:sz w:val="18"/>
      <w:szCs w:val="18"/>
    </w:rPr>
  </w:style>
  <w:style w:type="character" w:customStyle="1" w:styleId="Char1">
    <w:name w:val="批注框文本 Char"/>
    <w:basedOn w:val="a0"/>
    <w:link w:val="a5"/>
    <w:semiHidden/>
    <w:rsid w:val="00F610C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6177">
      <w:bodyDiv w:val="1"/>
      <w:marLeft w:val="0"/>
      <w:marRight w:val="0"/>
      <w:marTop w:val="0"/>
      <w:marBottom w:val="0"/>
      <w:divBdr>
        <w:top w:val="none" w:sz="0" w:space="0" w:color="auto"/>
        <w:left w:val="none" w:sz="0" w:space="0" w:color="auto"/>
        <w:bottom w:val="none" w:sz="0" w:space="0" w:color="auto"/>
        <w:right w:val="none" w:sz="0" w:space="0" w:color="auto"/>
      </w:divBdr>
    </w:div>
    <w:div w:id="349113540">
      <w:bodyDiv w:val="1"/>
      <w:marLeft w:val="0"/>
      <w:marRight w:val="0"/>
      <w:marTop w:val="0"/>
      <w:marBottom w:val="0"/>
      <w:divBdr>
        <w:top w:val="none" w:sz="0" w:space="0" w:color="auto"/>
        <w:left w:val="none" w:sz="0" w:space="0" w:color="auto"/>
        <w:bottom w:val="none" w:sz="0" w:space="0" w:color="auto"/>
        <w:right w:val="none" w:sz="0" w:space="0" w:color="auto"/>
      </w:divBdr>
    </w:div>
    <w:div w:id="1117136886">
      <w:bodyDiv w:val="1"/>
      <w:marLeft w:val="0"/>
      <w:marRight w:val="0"/>
      <w:marTop w:val="0"/>
      <w:marBottom w:val="0"/>
      <w:divBdr>
        <w:top w:val="none" w:sz="0" w:space="0" w:color="auto"/>
        <w:left w:val="none" w:sz="0" w:space="0" w:color="auto"/>
        <w:bottom w:val="none" w:sz="0" w:space="0" w:color="auto"/>
        <w:right w:val="none" w:sz="0" w:space="0" w:color="auto"/>
      </w:divBdr>
    </w:div>
    <w:div w:id="1572352708">
      <w:bodyDiv w:val="1"/>
      <w:marLeft w:val="0"/>
      <w:marRight w:val="0"/>
      <w:marTop w:val="0"/>
      <w:marBottom w:val="0"/>
      <w:divBdr>
        <w:top w:val="none" w:sz="0" w:space="0" w:color="auto"/>
        <w:left w:val="none" w:sz="0" w:space="0" w:color="auto"/>
        <w:bottom w:val="none" w:sz="0" w:space="0" w:color="auto"/>
        <w:right w:val="none" w:sz="0" w:space="0" w:color="auto"/>
      </w:divBdr>
    </w:div>
    <w:div w:id="1677924985">
      <w:bodyDiv w:val="1"/>
      <w:marLeft w:val="0"/>
      <w:marRight w:val="0"/>
      <w:marTop w:val="0"/>
      <w:marBottom w:val="0"/>
      <w:divBdr>
        <w:top w:val="none" w:sz="0" w:space="0" w:color="auto"/>
        <w:left w:val="none" w:sz="0" w:space="0" w:color="auto"/>
        <w:bottom w:val="none" w:sz="0" w:space="0" w:color="auto"/>
        <w:right w:val="none" w:sz="0" w:space="0" w:color="auto"/>
      </w:divBdr>
    </w:div>
    <w:div w:id="1884364895">
      <w:bodyDiv w:val="1"/>
      <w:marLeft w:val="0"/>
      <w:marRight w:val="0"/>
      <w:marTop w:val="0"/>
      <w:marBottom w:val="0"/>
      <w:divBdr>
        <w:top w:val="none" w:sz="0" w:space="0" w:color="auto"/>
        <w:left w:val="none" w:sz="0" w:space="0" w:color="auto"/>
        <w:bottom w:val="none" w:sz="0" w:space="0" w:color="auto"/>
        <w:right w:val="none" w:sz="0" w:space="0" w:color="auto"/>
      </w:divBdr>
    </w:div>
    <w:div w:id="2101364230">
      <w:bodyDiv w:val="1"/>
      <w:marLeft w:val="0"/>
      <w:marRight w:val="0"/>
      <w:marTop w:val="0"/>
      <w:marBottom w:val="0"/>
      <w:divBdr>
        <w:top w:val="none" w:sz="0" w:space="0" w:color="auto"/>
        <w:left w:val="none" w:sz="0" w:space="0" w:color="auto"/>
        <w:bottom w:val="none" w:sz="0" w:space="0" w:color="auto"/>
        <w:right w:val="none" w:sz="0" w:space="0" w:color="auto"/>
      </w:divBdr>
    </w:div>
    <w:div w:id="2114277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6708</Words>
  <Characters>38241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6</cp:revision>
  <dcterms:created xsi:type="dcterms:W3CDTF">2020-09-15T22:04:00Z</dcterms:created>
  <dcterms:modified xsi:type="dcterms:W3CDTF">2020-09-27T02:30:00Z</dcterms:modified>
</cp:coreProperties>
</file>