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F62E6" w14:textId="3F6F5F5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9528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9528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9528D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8220FCF" w14:textId="27716AB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56995</w:t>
      </w:r>
    </w:p>
    <w:p w14:paraId="7DC55495" w14:textId="52078CA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164AD6E9" w14:textId="77777777" w:rsidR="00A77B3E" w:rsidRDefault="00A77B3E">
      <w:pPr>
        <w:spacing w:line="360" w:lineRule="auto"/>
        <w:jc w:val="both"/>
      </w:pPr>
    </w:p>
    <w:p w14:paraId="50236902" w14:textId="242EDC14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Clinical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Trials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9804CB0" w14:textId="6CAE6FF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preparation: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Sodium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picosulfate,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magnesium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oxide,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citric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polyethylene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glycol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randomized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</w:p>
    <w:p w14:paraId="4A0AE968" w14:textId="77777777" w:rsidR="00A77B3E" w:rsidRDefault="00A77B3E">
      <w:pPr>
        <w:spacing w:line="360" w:lineRule="auto"/>
        <w:jc w:val="both"/>
      </w:pPr>
    </w:p>
    <w:p w14:paraId="1FA92329" w14:textId="355FB1D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Cuffari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</w:p>
    <w:p w14:paraId="36B69058" w14:textId="77777777" w:rsidR="00A77B3E" w:rsidRDefault="00A77B3E">
      <w:pPr>
        <w:spacing w:line="360" w:lineRule="auto"/>
        <w:jc w:val="both"/>
      </w:pPr>
    </w:p>
    <w:p w14:paraId="14CC5F81" w14:textId="15DE1FC2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Carmen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Cuffari,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Steven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Ciciora,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Masakazu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Boules,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Croffie</w:t>
      </w:r>
    </w:p>
    <w:p w14:paraId="7F78A20A" w14:textId="77777777" w:rsidR="00A77B3E" w:rsidRDefault="00A77B3E">
      <w:pPr>
        <w:spacing w:line="360" w:lineRule="auto"/>
        <w:jc w:val="both"/>
      </w:pPr>
    </w:p>
    <w:p w14:paraId="51ED5317" w14:textId="26188FEC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Carmen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Cuffari,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Hopkins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Baltimore,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21287,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8998422" w14:textId="77777777" w:rsidR="00A77B3E" w:rsidRDefault="00A77B3E">
      <w:pPr>
        <w:spacing w:line="360" w:lineRule="auto"/>
        <w:jc w:val="both"/>
      </w:pPr>
    </w:p>
    <w:p w14:paraId="546EB99B" w14:textId="3992291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Steven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Ciciora,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Ohio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Colombus,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43205,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36D3646C" w14:textId="77777777" w:rsidR="00A77B3E" w:rsidRDefault="00A77B3E">
      <w:pPr>
        <w:spacing w:line="360" w:lineRule="auto"/>
        <w:jc w:val="both"/>
      </w:pPr>
    </w:p>
    <w:p w14:paraId="66C05966" w14:textId="1871E34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Masakazu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Ando,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Parsippany,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07054,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C3299E8" w14:textId="77777777" w:rsidR="00A77B3E" w:rsidRDefault="00A77B3E">
      <w:pPr>
        <w:spacing w:line="360" w:lineRule="auto"/>
        <w:jc w:val="both"/>
      </w:pPr>
    </w:p>
    <w:p w14:paraId="3C476326" w14:textId="21833A6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Mena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Boules,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Affairs,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Parsippany,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07054,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19B38B0A" w14:textId="77777777" w:rsidR="00A77B3E" w:rsidRDefault="00A77B3E">
      <w:pPr>
        <w:spacing w:line="360" w:lineRule="auto"/>
        <w:jc w:val="both"/>
      </w:pPr>
    </w:p>
    <w:p w14:paraId="17E9B722" w14:textId="3BB4C8AA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Joseph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Croffie,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Indianapolis,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46202,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C23452D" w14:textId="77777777" w:rsidR="00A77B3E" w:rsidRDefault="00A77B3E">
      <w:pPr>
        <w:spacing w:line="360" w:lineRule="auto"/>
        <w:jc w:val="both"/>
      </w:pPr>
    </w:p>
    <w:p w14:paraId="7021C788" w14:textId="4697264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Boules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Cuffari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Ciciora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Croffie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trial;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intellectual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publication.</w:t>
      </w:r>
    </w:p>
    <w:p w14:paraId="5AF093BB" w14:textId="77777777" w:rsidR="00A77B3E" w:rsidRDefault="00A77B3E">
      <w:pPr>
        <w:spacing w:line="360" w:lineRule="auto"/>
        <w:jc w:val="both"/>
      </w:pPr>
    </w:p>
    <w:p w14:paraId="5A60595B" w14:textId="574D7FC0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Ferring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</w:t>
      </w:r>
    </w:p>
    <w:p w14:paraId="3D50CB87" w14:textId="77777777" w:rsidR="00A77B3E" w:rsidRDefault="00A77B3E">
      <w:pPr>
        <w:spacing w:line="360" w:lineRule="auto"/>
        <w:jc w:val="both"/>
      </w:pPr>
    </w:p>
    <w:p w14:paraId="5F9CE138" w14:textId="6C0AADEE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Carmen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Cuffari,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Hopkins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CMSC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2-125,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Baltimore,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21287,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ccuffari@jhmi.edu</w:t>
      </w:r>
    </w:p>
    <w:p w14:paraId="2078FFC1" w14:textId="77777777" w:rsidR="00A77B3E" w:rsidRDefault="00A77B3E">
      <w:pPr>
        <w:spacing w:line="360" w:lineRule="auto"/>
        <w:jc w:val="both"/>
      </w:pPr>
    </w:p>
    <w:p w14:paraId="5CF863DB" w14:textId="031942D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401BB31B" w14:textId="29D81274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September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01B2F7E4" w14:textId="455EEADA" w:rsidR="00A77B3E" w:rsidRPr="00326AE5" w:rsidRDefault="00144E88" w:rsidP="00326AE5">
      <w:pPr>
        <w:snapToGrid w:val="0"/>
        <w:spacing w:line="360" w:lineRule="aut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50781202"/>
      <w:bookmarkStart w:id="1" w:name="OLE_LINK106"/>
      <w:r w:rsidR="00326AE5">
        <w:rPr>
          <w:rFonts w:ascii="Book Antiqua" w:hAnsi="Book Antiqua" w:cs="Arial"/>
          <w:color w:val="000000" w:themeColor="text1"/>
          <w:shd w:val="clear" w:color="auto" w:fill="FFFFFF"/>
        </w:rPr>
        <w:t>September</w:t>
      </w:r>
      <w:r w:rsidR="009528DA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326AE5">
        <w:rPr>
          <w:rFonts w:ascii="Book Antiqua" w:hAnsi="Book Antiqua" w:cs="Arial"/>
          <w:color w:val="000000" w:themeColor="text1"/>
          <w:shd w:val="clear" w:color="auto" w:fill="FFFFFF"/>
        </w:rPr>
        <w:t>25,</w:t>
      </w:r>
      <w:r w:rsidR="009528DA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326AE5">
        <w:rPr>
          <w:rFonts w:ascii="Book Antiqua" w:hAnsi="Book Antiqua" w:cs="Arial"/>
          <w:color w:val="000000" w:themeColor="text1"/>
          <w:shd w:val="clear" w:color="auto" w:fill="FFFFFF"/>
        </w:rPr>
        <w:t>2020</w:t>
      </w:r>
      <w:bookmarkEnd w:id="0"/>
      <w:bookmarkEnd w:id="1"/>
    </w:p>
    <w:p w14:paraId="49DC9A94" w14:textId="7ED86F87" w:rsidR="00A77B3E" w:rsidRPr="00290B61" w:rsidRDefault="00144E8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90B61" w:rsidRPr="00290B61">
        <w:rPr>
          <w:rFonts w:ascii="Book Antiqua" w:hAnsi="Book Antiqua" w:cs="Book Antiqua" w:hint="eastAsia"/>
          <w:bCs/>
          <w:color w:val="000000"/>
          <w:lang w:eastAsia="zh-CN"/>
        </w:rPr>
        <w:t>October</w:t>
      </w:r>
      <w:r w:rsidR="009528D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90B61" w:rsidRPr="00290B61">
        <w:rPr>
          <w:rFonts w:ascii="Book Antiqua" w:hAnsi="Book Antiqua" w:cs="Book Antiqua" w:hint="eastAsia"/>
          <w:bCs/>
          <w:color w:val="000000"/>
          <w:lang w:eastAsia="zh-CN"/>
        </w:rPr>
        <w:t>28,</w:t>
      </w:r>
      <w:r w:rsidR="009528DA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90B61" w:rsidRPr="00290B61">
        <w:rPr>
          <w:rFonts w:ascii="Book Antiqua" w:hAnsi="Book Antiqua" w:cs="Book Antiqua" w:hint="eastAsia"/>
          <w:bCs/>
          <w:color w:val="000000"/>
          <w:lang w:eastAsia="zh-CN"/>
        </w:rPr>
        <w:t>2020</w:t>
      </w:r>
    </w:p>
    <w:p w14:paraId="2F22F4D0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16A042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Abstract</w:t>
      </w:r>
    </w:p>
    <w:p w14:paraId="5E0EF5DE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EFB2315" w14:textId="2CA5E804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037DC9E1" w14:textId="77777777" w:rsidR="00A77B3E" w:rsidRDefault="00A77B3E">
      <w:pPr>
        <w:spacing w:line="360" w:lineRule="auto"/>
        <w:jc w:val="both"/>
      </w:pPr>
    </w:p>
    <w:p w14:paraId="0BB669EC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700A4A83" w14:textId="3A335332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(SPMC)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</w:p>
    <w:p w14:paraId="55D9843E" w14:textId="77777777" w:rsidR="00A77B3E" w:rsidRDefault="00A77B3E">
      <w:pPr>
        <w:spacing w:line="360" w:lineRule="auto"/>
        <w:jc w:val="both"/>
      </w:pPr>
    </w:p>
    <w:p w14:paraId="14B313B8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3508417A" w14:textId="4DF82E80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Phase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assessor-blinded,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low-volume,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1:1:1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8830B7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8830B7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8830B7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‘excellent’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‘good’)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Aronchick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(AEs)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evaluations.</w:t>
      </w:r>
    </w:p>
    <w:p w14:paraId="18C4B1AD" w14:textId="77777777" w:rsidR="00A77B3E" w:rsidRDefault="00A77B3E">
      <w:pPr>
        <w:spacing w:line="360" w:lineRule="auto"/>
        <w:jc w:val="both"/>
      </w:pPr>
    </w:p>
    <w:p w14:paraId="4CE0F0D8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6C8474BE" w14:textId="40B7EAD8" w:rsidR="00A77B3E" w:rsidRDefault="009528D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randomized,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48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9-12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years,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13-16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years.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endpoint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9-12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years,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50.0%,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87.5%,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81.3%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responders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SPMC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½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dose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45C70" w:rsidRPr="00276E00">
        <w:rPr>
          <w:rFonts w:ascii="Book Antiqua" w:hAnsi="Book Antiqua"/>
          <w:lang w:val="pl-PL"/>
        </w:rPr>
        <w:t>×</w:t>
      </w:r>
      <w:r>
        <w:rPr>
          <w:rFonts w:ascii="Book Antiqua" w:hAnsi="Book Antiqua"/>
          <w:lang w:val="pl-PL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SPMC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dose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45C70" w:rsidRPr="00276E00">
        <w:rPr>
          <w:rFonts w:ascii="Book Antiqua" w:hAnsi="Book Antiqua"/>
          <w:lang w:val="pl-PL"/>
        </w:rPr>
        <w:t>×</w:t>
      </w:r>
      <w:r>
        <w:rPr>
          <w:rFonts w:ascii="Book Antiqua" w:hAnsi="Book Antiqua"/>
          <w:lang w:val="pl-PL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PEG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groups,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respectively.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Responder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13-16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81.3%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SPMC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dose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45C70" w:rsidRPr="00276E00">
        <w:rPr>
          <w:rFonts w:ascii="Book Antiqua" w:hAnsi="Book Antiqua"/>
          <w:lang w:val="pl-PL"/>
        </w:rPr>
        <w:t>×</w:t>
      </w:r>
      <w:r>
        <w:rPr>
          <w:rFonts w:ascii="Book Antiqua" w:hAnsi="Book Antiqua"/>
          <w:lang w:val="pl-PL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85.7%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PEG.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Overall,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43.8%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receiving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SPMC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dose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45C70" w:rsidRPr="00276E00">
        <w:rPr>
          <w:rFonts w:ascii="Book Antiqua" w:hAnsi="Book Antiqua"/>
          <w:lang w:val="pl-PL"/>
        </w:rPr>
        <w:t>×</w:t>
      </w:r>
      <w:r>
        <w:rPr>
          <w:rFonts w:ascii="Book Antiqua" w:hAnsi="Book Antiqua"/>
          <w:lang w:val="pl-PL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‘very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easy’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‘easy’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drink,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20.0%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receiving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PEG.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Treatment-emergent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45.5%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receiving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SPMC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dose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A45C70" w:rsidRPr="00276E00">
        <w:rPr>
          <w:rFonts w:ascii="Book Antiqua" w:hAnsi="Book Antiqua"/>
          <w:lang w:val="pl-PL"/>
        </w:rPr>
        <w:t>×</w:t>
      </w:r>
      <w:r>
        <w:rPr>
          <w:rFonts w:ascii="Book Antiqua" w:hAnsi="Book Antiqua"/>
          <w:lang w:val="pl-PL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63.0%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receiving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PEG.</w:t>
      </w:r>
      <w:r>
        <w:rPr>
          <w:rFonts w:ascii="Book Antiqua" w:eastAsia="Book Antiqua" w:hAnsi="Book Antiqua" w:cs="Book Antiqua"/>
          <w:color w:val="000000"/>
        </w:rPr>
        <w:t xml:space="preserve"> </w:t>
      </w:r>
    </w:p>
    <w:p w14:paraId="307F9AE7" w14:textId="77777777" w:rsidR="00A77B3E" w:rsidRDefault="00A77B3E">
      <w:pPr>
        <w:spacing w:line="360" w:lineRule="auto"/>
        <w:jc w:val="both"/>
      </w:pPr>
    </w:p>
    <w:p w14:paraId="2A666FC1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36D9FECE" w14:textId="7234E7C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6410E772" w14:textId="77777777" w:rsidR="00A77B3E" w:rsidRDefault="00A77B3E">
      <w:pPr>
        <w:spacing w:line="360" w:lineRule="auto"/>
        <w:jc w:val="both"/>
      </w:pPr>
    </w:p>
    <w:p w14:paraId="778BEC9C" w14:textId="30D01B35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</w:p>
    <w:p w14:paraId="4E01019A" w14:textId="77777777" w:rsidR="00A77B3E" w:rsidRDefault="00A77B3E">
      <w:pPr>
        <w:spacing w:line="360" w:lineRule="auto"/>
        <w:jc w:val="both"/>
      </w:pPr>
    </w:p>
    <w:p w14:paraId="4AE50852" w14:textId="1DC9D911" w:rsidR="00AA6C87" w:rsidRDefault="0054576B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bookmarkStart w:id="2" w:name="_GoBack"/>
      <w:r w:rsidRPr="0054576B">
        <w:rPr>
          <w:rFonts w:ascii="Book Antiqua" w:hAnsi="Book Antiqua" w:cs="Book Antiqua" w:hint="eastAsia"/>
          <w:b/>
          <w:color w:val="000000"/>
          <w:lang w:eastAsia="zh-CN"/>
        </w:rPr>
        <w:t xml:space="preserve">Citation: </w:t>
      </w:r>
      <w:bookmarkEnd w:id="2"/>
      <w:r w:rsidR="00144E88">
        <w:rPr>
          <w:rFonts w:ascii="Book Antiqua" w:eastAsia="Book Antiqua" w:hAnsi="Book Antiqua" w:cs="Book Antiqua"/>
          <w:color w:val="000000"/>
        </w:rPr>
        <w:t>Cuffari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Ciciora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Ando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Boules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Croffie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JM.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preparation: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trial.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color w:val="000000"/>
        </w:rPr>
        <w:t>2020;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9528DA" w:rsidRPr="009528DA">
        <w:rPr>
          <w:rFonts w:ascii="Book Antiqua" w:eastAsia="Book Antiqua" w:hAnsi="Book Antiqua" w:cs="Book Antiqua"/>
          <w:color w:val="000000"/>
        </w:rPr>
        <w:t xml:space="preserve">26(40): </w:t>
      </w:r>
      <w:r w:rsidR="008332A9" w:rsidRPr="008332A9">
        <w:rPr>
          <w:rFonts w:ascii="Book Antiqua" w:eastAsia="Book Antiqua" w:hAnsi="Book Antiqua" w:cs="Book Antiqua"/>
          <w:color w:val="000000"/>
        </w:rPr>
        <w:t>6260-6269</w:t>
      </w:r>
      <w:r w:rsidR="009528DA" w:rsidRPr="009528DA">
        <w:rPr>
          <w:rFonts w:ascii="Book Antiqua" w:eastAsia="Book Antiqua" w:hAnsi="Book Antiqua" w:cs="Book Antiqua"/>
          <w:color w:val="000000"/>
        </w:rPr>
        <w:t xml:space="preserve">  </w:t>
      </w:r>
    </w:p>
    <w:p w14:paraId="0DA694F8" w14:textId="77777777" w:rsidR="00AA6C87" w:rsidRDefault="009528DA">
      <w:pPr>
        <w:spacing w:line="360" w:lineRule="auto"/>
        <w:jc w:val="both"/>
        <w:rPr>
          <w:rFonts w:ascii="Book Antiqua" w:hAnsi="Book Antiqua" w:cs="Book Antiqua" w:hint="eastAsia"/>
          <w:color w:val="000000"/>
          <w:lang w:eastAsia="zh-CN"/>
        </w:rPr>
      </w:pPr>
      <w:r w:rsidRPr="00AA6C87">
        <w:rPr>
          <w:rFonts w:ascii="Book Antiqua" w:eastAsia="Book Antiqua" w:hAnsi="Book Antiqua" w:cs="Book Antiqua"/>
          <w:b/>
          <w:color w:val="000000"/>
        </w:rPr>
        <w:t>URL:</w:t>
      </w:r>
      <w:r w:rsidRPr="009528DA">
        <w:rPr>
          <w:rFonts w:ascii="Book Antiqua" w:eastAsia="Book Antiqua" w:hAnsi="Book Antiqua" w:cs="Book Antiqua"/>
          <w:color w:val="000000"/>
        </w:rPr>
        <w:t xml:space="preserve"> https://www.wjgnet.com/1007-9327/full/v26/i40/</w:t>
      </w:r>
      <w:r w:rsidR="008332A9">
        <w:rPr>
          <w:rFonts w:ascii="Book Antiqua" w:hAnsi="Book Antiqua" w:cs="Book Antiqua" w:hint="eastAsia"/>
          <w:color w:val="000000"/>
          <w:lang w:eastAsia="zh-CN"/>
        </w:rPr>
        <w:t>6260</w:t>
      </w:r>
      <w:r w:rsidRPr="009528DA">
        <w:rPr>
          <w:rFonts w:ascii="Book Antiqua" w:eastAsia="Book Antiqua" w:hAnsi="Book Antiqua" w:cs="Book Antiqua"/>
          <w:color w:val="000000"/>
        </w:rPr>
        <w:t xml:space="preserve">.htm  </w:t>
      </w:r>
    </w:p>
    <w:p w14:paraId="17A73E33" w14:textId="4AADB773" w:rsidR="00A77B3E" w:rsidRPr="00EB3CA9" w:rsidRDefault="009528DA">
      <w:pPr>
        <w:spacing w:line="360" w:lineRule="auto"/>
        <w:jc w:val="both"/>
        <w:rPr>
          <w:rFonts w:hint="eastAsia"/>
          <w:lang w:eastAsia="zh-CN"/>
        </w:rPr>
      </w:pPr>
      <w:r w:rsidRPr="00AA6C87">
        <w:rPr>
          <w:rFonts w:ascii="Book Antiqua" w:eastAsia="Book Antiqua" w:hAnsi="Book Antiqua" w:cs="Book Antiqua"/>
          <w:b/>
          <w:color w:val="000000"/>
        </w:rPr>
        <w:t>DOI:</w:t>
      </w:r>
      <w:r w:rsidRPr="009528DA">
        <w:rPr>
          <w:rFonts w:ascii="Book Antiqua" w:eastAsia="Book Antiqua" w:hAnsi="Book Antiqua" w:cs="Book Antiqua"/>
          <w:color w:val="000000"/>
        </w:rPr>
        <w:t xml:space="preserve"> https://dx.doi.org/10.3748/wjg.v26.i40.</w:t>
      </w:r>
      <w:r w:rsidR="00EB3CA9">
        <w:rPr>
          <w:rFonts w:ascii="Book Antiqua" w:hAnsi="Book Antiqua" w:cs="Book Antiqua" w:hint="eastAsia"/>
          <w:color w:val="000000"/>
          <w:lang w:eastAsia="zh-CN"/>
        </w:rPr>
        <w:t>6260</w:t>
      </w:r>
    </w:p>
    <w:p w14:paraId="0609E86C" w14:textId="77777777" w:rsidR="00A77B3E" w:rsidRDefault="00A77B3E">
      <w:pPr>
        <w:spacing w:line="360" w:lineRule="auto"/>
        <w:jc w:val="both"/>
      </w:pPr>
    </w:p>
    <w:p w14:paraId="45262C0F" w14:textId="26F2C335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(SPMC)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(PEG)-based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</w:p>
    <w:p w14:paraId="64751776" w14:textId="77777777" w:rsidR="00A77B3E" w:rsidRDefault="00A77B3E">
      <w:pPr>
        <w:spacing w:line="360" w:lineRule="auto"/>
        <w:jc w:val="both"/>
      </w:pPr>
    </w:p>
    <w:p w14:paraId="7B11E5CD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8A9E4CD" w14:textId="771919C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(GI)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essential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visualization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bothersome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28BB8C14" w14:textId="4BC1EB8A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Existing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single-agent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3350);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PEG-electrolyte;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nasogastric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sulfate-free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PEG-electrolyte;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bisacodyl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lacking,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practitioners,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[1,2,4]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DF99BA1" w14:textId="2C54FBE1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(SPMC)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</w:p>
    <w:p w14:paraId="2BD44A74" w14:textId="77777777" w:rsidR="00A77B3E" w:rsidRDefault="00A77B3E">
      <w:pPr>
        <w:spacing w:line="360" w:lineRule="auto"/>
        <w:ind w:firstLine="480"/>
        <w:jc w:val="both"/>
      </w:pPr>
    </w:p>
    <w:p w14:paraId="0A390B40" w14:textId="1051F92F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5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5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49715830" w14:textId="7EB5D73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95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1C50FD49" w14:textId="6B6DA3E5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assessor-blinded,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dose-ranging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(Ferring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Pharmaceuticals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Parsippany,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NJ</w:t>
      </w:r>
      <w:r w:rsidR="00E640F8"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E640F8"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E640F8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>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(ClinicalTrials.gov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identifier: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NCT01928862).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ICH-GCP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6A1196CF" w14:textId="77777777" w:rsidR="00A77B3E" w:rsidRDefault="00A77B3E">
      <w:pPr>
        <w:spacing w:line="360" w:lineRule="auto"/>
        <w:jc w:val="both"/>
      </w:pPr>
    </w:p>
    <w:p w14:paraId="3FD3735E" w14:textId="645D4EE0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Eligibility</w:t>
      </w:r>
      <w:r w:rsidR="0095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2DFDB3C4" w14:textId="023AD0F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Eligible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childbearing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spontaneous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movements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willing,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78E63F24" w14:textId="3311BA7A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Exclusion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perforation);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hospitalization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appendectomy,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hemorrhoid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surgery);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(history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megacolon,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toxic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idiopathic</w:t>
      </w:r>
      <w:r>
        <w:rPr>
          <w:rFonts w:ascii="Book Antiqua" w:eastAsia="Book Antiqua" w:hAnsi="Book Antiqua" w:cs="Book Antiqua"/>
          <w:color w:val="000000"/>
        </w:rPr>
        <w:br/>
        <w:t>pseudo-obstruction,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hypomotility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resection);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outlet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obstruction,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retention,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gastroparesis,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ileus);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cardiovascular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creatinine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potassium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outside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limits.</w:t>
      </w:r>
    </w:p>
    <w:p w14:paraId="34113939" w14:textId="1DA218A5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prohibited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856FAA">
        <w:rPr>
          <w:rFonts w:ascii="Book Antiqua" w:hAnsi="Book Antiqua" w:cs="Book Antiqua" w:hint="eastAsia"/>
          <w:color w:val="000000"/>
          <w:lang w:eastAsia="zh-CN"/>
        </w:rPr>
        <w:t>L</w:t>
      </w:r>
      <w:r>
        <w:rPr>
          <w:rFonts w:ascii="Book Antiqua" w:eastAsia="Book Antiqua" w:hAnsi="Book Antiqua" w:cs="Book Antiqua"/>
          <w:color w:val="000000"/>
        </w:rPr>
        <w:t>ithium,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antidiarrheals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prior).</w:t>
      </w:r>
    </w:p>
    <w:p w14:paraId="13CCFDFA" w14:textId="77777777" w:rsidR="00A77B3E" w:rsidRDefault="00A77B3E">
      <w:pPr>
        <w:spacing w:line="360" w:lineRule="auto"/>
        <w:ind w:firstLine="480"/>
        <w:jc w:val="both"/>
      </w:pPr>
    </w:p>
    <w:p w14:paraId="3A381120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Randomization</w:t>
      </w:r>
    </w:p>
    <w:p w14:paraId="13F5C009" w14:textId="1717070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computer-generated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statistician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1:1:1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D4725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D4725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D4725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allocated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enrollment.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55D4D0B7" w14:textId="575022D8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unblinded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electronically,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caregiver(s)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endoscopist,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assistant(s),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6057E634" w14:textId="77777777" w:rsidR="00A77B3E" w:rsidRDefault="00A77B3E">
      <w:pPr>
        <w:spacing w:line="360" w:lineRule="auto"/>
        <w:ind w:firstLine="480"/>
        <w:jc w:val="both"/>
      </w:pPr>
    </w:p>
    <w:p w14:paraId="27273E0C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Interventions</w:t>
      </w:r>
    </w:p>
    <w:p w14:paraId="27840E14" w14:textId="062FC1A0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caregivers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insert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5:00p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9:00p)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morning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(between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afternoon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evening,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midnight.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protocol/standard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unblinded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coordinator.</w:t>
      </w:r>
    </w:p>
    <w:p w14:paraId="101CE631" w14:textId="77777777" w:rsidR="00A77B3E" w:rsidRDefault="00A77B3E">
      <w:pPr>
        <w:spacing w:line="360" w:lineRule="auto"/>
        <w:jc w:val="both"/>
      </w:pPr>
    </w:p>
    <w:p w14:paraId="3FB79FDF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Endpoints</w:t>
      </w:r>
    </w:p>
    <w:p w14:paraId="027CFF17" w14:textId="3F201A4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Aronchick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irrigation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1052B700" w14:textId="12F7FA21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(AEs),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physical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draws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(within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(colonoscopy),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(follow-up).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Dictionary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Activities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(MedDRA)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20.1.</w:t>
      </w:r>
    </w:p>
    <w:p w14:paraId="504343D5" w14:textId="77777777" w:rsidR="00A77B3E" w:rsidRDefault="00A77B3E">
      <w:pPr>
        <w:spacing w:line="360" w:lineRule="auto"/>
        <w:ind w:firstLine="480"/>
        <w:jc w:val="both"/>
      </w:pPr>
    </w:p>
    <w:p w14:paraId="3F8E2223" w14:textId="0F224CB2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528D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4AC077CC" w14:textId="3292AAC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[6,7,10]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planned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deemed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successful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cleansing.</w:t>
      </w:r>
    </w:p>
    <w:p w14:paraId="54C0BA34" w14:textId="7A4E736F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intent-to-treat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(ITT)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per-protocol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consumed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received.</w:t>
      </w:r>
    </w:p>
    <w:p w14:paraId="00B448B7" w14:textId="6D920EDF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(‘responders’)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‘excellent’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‘good’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90%CI.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‘never’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‘rarely’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easy/well’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‘easy/well’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(Supplementary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14:paraId="1F565692" w14:textId="77777777" w:rsidR="00A77B3E" w:rsidRDefault="00A77B3E">
      <w:pPr>
        <w:spacing w:line="360" w:lineRule="auto"/>
        <w:ind w:firstLine="480"/>
        <w:jc w:val="both"/>
      </w:pPr>
    </w:p>
    <w:p w14:paraId="4E43DA75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C20A16C" w14:textId="48D4CE32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(first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(last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(95.8%)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non-PEG-based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citrate).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2ADD5F0A" w14:textId="2D5DE444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diarrhea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(13/48)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(8/30)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constipation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(9/48)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(9/30)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13/48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(27.1%)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35/48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(72.9%).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22/27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day-before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regimen.</w:t>
      </w:r>
    </w:p>
    <w:p w14:paraId="0993BBF5" w14:textId="46F3FAF6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endpoint,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8C75AE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65.6%,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8C75AE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AF1A9E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61.5%,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97.4%)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AF1A9E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27.9%,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72.1%)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responders.</w:t>
      </w:r>
    </w:p>
    <w:p w14:paraId="039E57C3" w14:textId="67AA8F97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From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95787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Likewise,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E67EB9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happened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‘often’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DD1BAB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Feeling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‘often’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(12/30)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18.6%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(6/32)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95787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‘never’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‘rarely’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bathroom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(43.8%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13.3%).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taste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woke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night.</w:t>
      </w:r>
    </w:p>
    <w:p w14:paraId="6C997854" w14:textId="6B4D3540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Treatment-emergent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(TEAEs)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(15/33)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(17/27)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652CFB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(considered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resolved),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(Crohn’s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unrelated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(unrelated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56AA19F6" w14:textId="60DF30EC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Treatment-emergent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(ADRs)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(4/33)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(5/27)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vomiting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(6.1%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14.8%)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652CFB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56B2DE7D" w14:textId="1CBE33BC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Laboratory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meaningful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(40-47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mg/dL)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6E5CA7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clinically-meaningful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hypoglycemia.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82FBC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(0.07)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(0.14)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returned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(0.22)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mmol/L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(follow-up),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clinically-meaningful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270E3F5F" w14:textId="77777777" w:rsidR="00A77B3E" w:rsidRDefault="00A77B3E">
      <w:pPr>
        <w:spacing w:line="360" w:lineRule="auto"/>
        <w:ind w:firstLine="480"/>
        <w:jc w:val="both"/>
      </w:pPr>
    </w:p>
    <w:p w14:paraId="68A1F0CF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7A0121D" w14:textId="4DB801CE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Numerically,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treatment-emergent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nausea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14.8%).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imbalance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surprising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SPMC.</w:t>
      </w:r>
    </w:p>
    <w:p w14:paraId="42E39F01" w14:textId="7A7573C4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compliance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favorable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doses)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(approximately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64-72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oz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[4,11]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liquid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split-dosing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dosing)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157B33E" w14:textId="31CE1361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efficacious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B5FE6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dose-response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B5FE6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FB5FE6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0C842F1D" w14:textId="3F2DBA1C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[12-1</w:t>
      </w:r>
      <w:r w:rsidR="00DD1BAB">
        <w:rPr>
          <w:rFonts w:ascii="Book Antiqua" w:eastAsia="Book Antiqua" w:hAnsi="Book Antiqua" w:cs="Book Antiqua"/>
          <w:color w:val="000000"/>
          <w:szCs w:val="30"/>
          <w:vertAlign w:val="superscript"/>
        </w:rPr>
        <w:t>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picosulfate/SPMC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bisacodyl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[12-15,1</w:t>
      </w:r>
      <w:r w:rsidR="00DD1BAB"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61019FE" w14:textId="19963DE8" w:rsidR="00A77B3E" w:rsidRDefault="00144E88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Existing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caveat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bisacodyl)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</w:t>
      </w:r>
      <w:r w:rsidR="00DD1BAB">
        <w:rPr>
          <w:rFonts w:ascii="Book Antiqua" w:eastAsia="Book Antiqua" w:hAnsi="Book Antiqua" w:cs="Book Antiqua"/>
          <w:color w:val="000000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,1</w:t>
      </w:r>
      <w:r w:rsidR="00DD1BAB">
        <w:rPr>
          <w:rFonts w:ascii="Book Antiqua" w:eastAsia="Book Antiqua" w:hAnsi="Book Antiqua" w:cs="Book Antiqua"/>
          <w:color w:val="000000"/>
          <w:szCs w:val="30"/>
          <w:vertAlign w:val="superscript"/>
        </w:rPr>
        <w:t>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Realistically,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cumbersome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inconvenient,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noncompliant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[2,4]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2-d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stimulant,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seems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72C1F06C" w14:textId="77777777" w:rsidR="00A77B3E" w:rsidRDefault="00A77B3E">
      <w:pPr>
        <w:spacing w:line="360" w:lineRule="auto"/>
        <w:ind w:firstLine="480"/>
        <w:jc w:val="both"/>
      </w:pPr>
    </w:p>
    <w:p w14:paraId="1531668F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38313A" w14:textId="5580239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74139A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easier-to-consume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3DC5372B" w14:textId="77777777" w:rsidR="00A77B3E" w:rsidRDefault="00A77B3E">
      <w:pPr>
        <w:spacing w:line="360" w:lineRule="auto"/>
        <w:jc w:val="both"/>
      </w:pPr>
    </w:p>
    <w:p w14:paraId="51E22FD5" w14:textId="11C4C06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528D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D51D598" w14:textId="308A330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77C128A" w14:textId="3B736AD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Quality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success.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prioritize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6DE02EBE" w14:textId="77777777" w:rsidR="00A77B3E" w:rsidRDefault="00A77B3E">
      <w:pPr>
        <w:spacing w:line="360" w:lineRule="auto"/>
        <w:jc w:val="both"/>
      </w:pPr>
    </w:p>
    <w:p w14:paraId="4C6E1D8B" w14:textId="0B9E94F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7703457" w14:textId="1DF2BED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Currently,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few.</w:t>
      </w:r>
    </w:p>
    <w:p w14:paraId="6694B516" w14:textId="77777777" w:rsidR="00A77B3E" w:rsidRDefault="00A77B3E">
      <w:pPr>
        <w:spacing w:line="360" w:lineRule="auto"/>
        <w:jc w:val="both"/>
      </w:pPr>
    </w:p>
    <w:p w14:paraId="71F3F1C5" w14:textId="002AEF4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68EF82C" w14:textId="47AB9F6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(SPMC)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</w:p>
    <w:p w14:paraId="25D36F27" w14:textId="77777777" w:rsidR="00A77B3E" w:rsidRDefault="00A77B3E">
      <w:pPr>
        <w:spacing w:line="360" w:lineRule="auto"/>
        <w:jc w:val="both"/>
      </w:pPr>
    </w:p>
    <w:p w14:paraId="3B5BE35D" w14:textId="28B0B90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F2E4977" w14:textId="2E6BBCB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assessor-blinded,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mulcenter,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dose-ranging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(PEG)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1:1:1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164B5E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007EB2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007EB2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Aronchick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(AS),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7-item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adverse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(AEs).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3DC53C89" w14:textId="77777777" w:rsidR="00A77B3E" w:rsidRDefault="00A77B3E">
      <w:pPr>
        <w:spacing w:line="360" w:lineRule="auto"/>
        <w:jc w:val="both"/>
      </w:pPr>
    </w:p>
    <w:p w14:paraId="52B03999" w14:textId="478EFE7C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D9E76A7" w14:textId="747FB47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65.6%,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3470E8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81.3%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94.7%)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3470E8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85.7%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61.5%,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97.4%)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3470E8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(9-12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(90%CI: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27.9%,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72.1%)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3470E8" w:rsidRPr="00276E00">
        <w:rPr>
          <w:rFonts w:ascii="Book Antiqua" w:hAnsi="Book Antiqua"/>
          <w:lang w:val="pl-PL"/>
        </w:rPr>
        <w:t>×</w:t>
      </w:r>
      <w:r w:rsidR="009528DA">
        <w:rPr>
          <w:rFonts w:ascii="Book Antiqua" w:hAnsi="Book Antiqua"/>
          <w:lang w:val="pl-PL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Treatment-emergent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63.0%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</w:p>
    <w:p w14:paraId="533AB6DD" w14:textId="77777777" w:rsidR="00A77B3E" w:rsidRDefault="00A77B3E">
      <w:pPr>
        <w:spacing w:line="360" w:lineRule="auto"/>
        <w:jc w:val="both"/>
      </w:pPr>
    </w:p>
    <w:p w14:paraId="0E862018" w14:textId="16A3D73A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A89EA19" w14:textId="0AAF9F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ingest.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27E68F75" w14:textId="77777777" w:rsidR="00A77B3E" w:rsidRDefault="00A77B3E">
      <w:pPr>
        <w:spacing w:line="360" w:lineRule="auto"/>
        <w:jc w:val="both"/>
      </w:pPr>
    </w:p>
    <w:p w14:paraId="531A5531" w14:textId="2C03ACE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528D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4322E6" w14:textId="3C02A91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feasible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easier-to-consume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0E9EB331" w14:textId="77777777" w:rsidR="00A77B3E" w:rsidRDefault="00A77B3E">
      <w:pPr>
        <w:spacing w:line="360" w:lineRule="auto"/>
        <w:jc w:val="both"/>
      </w:pPr>
    </w:p>
    <w:p w14:paraId="794D05E9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1AE8B4CE" w14:textId="14828889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528DA">
        <w:rPr>
          <w:rFonts w:ascii="Book Antiqua" w:eastAsia="Book Antiqua" w:hAnsi="Book Antiqua" w:cs="Book Antiqua"/>
          <w:color w:val="000000"/>
        </w:rPr>
        <w:t xml:space="preserve">  </w:t>
      </w:r>
    </w:p>
    <w:p w14:paraId="6C6D11BC" w14:textId="77777777" w:rsidR="00A77B3E" w:rsidRDefault="00A77B3E">
      <w:pPr>
        <w:spacing w:line="360" w:lineRule="auto"/>
        <w:jc w:val="both"/>
      </w:pPr>
    </w:p>
    <w:p w14:paraId="2F4E3D67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79665AB" w14:textId="6CD2BA9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Hunter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Mamula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51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254-261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20683200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10.1097/MPG.0b013e3181eb6a1c]</w:t>
      </w:r>
    </w:p>
    <w:p w14:paraId="0FC73561" w14:textId="380686DC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Lightdale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Acosta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Shergill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Chandrasekhara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Chathadi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Fanelli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Fonkalsrud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Kashab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Muthusamy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Pasha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Saltzman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Modifications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79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699-710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24593951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10.1016/j.gie.2013.08.014]</w:t>
      </w:r>
    </w:p>
    <w:p w14:paraId="68577F10" w14:textId="5D14B87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ASGE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Standards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Practice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Committee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Saltzman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Pasha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SF,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Muthusamy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Khashab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Chathadi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KV,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Fanelli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Chandrasekhara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Lightdale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Fonkalsrud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Shergill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Hwang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Decker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Sharaf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Shaukat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Eloubeidi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Faulx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Acosta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81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781-794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25595062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10.1016/j.gie.2014.09.048]</w:t>
      </w:r>
    </w:p>
    <w:p w14:paraId="7FB264D2" w14:textId="2906B35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Pall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Zacur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Kramer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Lirio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Manfredi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Stephen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Tucker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Gibbons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Sahn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McOmber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Friedlander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Quiros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Mamula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NASPGHAN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59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409-416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24897169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10.1097/MPG.0000000000000447]</w:t>
      </w:r>
    </w:p>
    <w:p w14:paraId="79D2CE96" w14:textId="75066B39" w:rsidR="00A77B3E" w:rsidRPr="004B3ECC" w:rsidRDefault="00144E88">
      <w:pPr>
        <w:spacing w:line="360" w:lineRule="auto"/>
        <w:jc w:val="both"/>
        <w:rPr>
          <w:lang w:eastAsia="zh-CN"/>
        </w:rPr>
      </w:pPr>
      <w:r w:rsidRPr="00207E4E">
        <w:rPr>
          <w:rFonts w:ascii="Book Antiqua" w:eastAsia="Book Antiqua" w:hAnsi="Book Antiqua" w:cs="Book Antiqua"/>
          <w:color w:val="000000"/>
        </w:rPr>
        <w:t>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b/>
          <w:bCs/>
          <w:color w:val="000000"/>
        </w:rPr>
        <w:t>CLENPIQ</w:t>
      </w:r>
      <w:r w:rsidRPr="00207E4E">
        <w:rPr>
          <w:rFonts w:ascii="Book Antiqua" w:eastAsia="Book Antiqua" w:hAnsi="Book Antiqua" w:cs="Book Antiqua"/>
          <w:bCs/>
          <w:color w:val="000000"/>
        </w:rPr>
        <w:t>.</w:t>
      </w:r>
      <w:r w:rsidR="009528D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bCs/>
          <w:color w:val="000000"/>
        </w:rPr>
        <w:t>[package</w:t>
      </w:r>
      <w:r w:rsidR="009528D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bCs/>
          <w:color w:val="000000"/>
        </w:rPr>
        <w:t>insert].</w:t>
      </w:r>
      <w:r w:rsidR="009528D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bCs/>
          <w:color w:val="000000"/>
        </w:rPr>
        <w:t>2019:</w:t>
      </w:r>
      <w:r w:rsidR="004B3ECC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207E4E">
        <w:rPr>
          <w:rFonts w:ascii="Book Antiqua" w:eastAsia="Book Antiqua" w:hAnsi="Book Antiqua" w:cs="Book Antiqua"/>
          <w:bCs/>
          <w:color w:val="000000"/>
        </w:rPr>
        <w:t>Parsippany,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color w:val="000000"/>
        </w:rPr>
        <w:t>NJ: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color w:val="000000"/>
        </w:rPr>
        <w:t>Ferring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color w:val="000000"/>
        </w:rPr>
        <w:t>Pharmaceuticals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Pr="00207E4E">
        <w:rPr>
          <w:rFonts w:ascii="Book Antiqua" w:eastAsia="Book Antiqua" w:hAnsi="Book Antiqua" w:cs="Book Antiqua"/>
          <w:color w:val="000000"/>
        </w:rPr>
        <w:t>Inc</w:t>
      </w:r>
    </w:p>
    <w:p w14:paraId="274C4BE7" w14:textId="78FE84E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Katz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Rex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Epstein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Grandhi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Vanner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Hookey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Alderfer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dual-action,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108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401-409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23318484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10.1038/ajg.2012.441]</w:t>
      </w:r>
    </w:p>
    <w:p w14:paraId="350896B0" w14:textId="2FF5C3E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Rex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DK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Katz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Bertiger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Vanner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Hookey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Alderfer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Joseph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Split-dose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dual-action,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low-volume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78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132-141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23566639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10.1016/j.gie.2013.02.024]</w:t>
      </w:r>
    </w:p>
    <w:p w14:paraId="2589B980" w14:textId="2542F50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Aronchick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Lipshutz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Wright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Dufrayne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Bergman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purgative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Colyte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Fleet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Phospho-Soda.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2000;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52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346-352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10968848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10.1067/mge.2000.108480]</w:t>
      </w:r>
    </w:p>
    <w:p w14:paraId="2F9E3BFE" w14:textId="0B55F459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Patel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Staggs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Thomas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Lukens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Wallace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Almansa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Tolerability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Dig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46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808-812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24953203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10.1016/j.dld.2014.05.020]</w:t>
      </w:r>
    </w:p>
    <w:p w14:paraId="6470469A" w14:textId="2E796774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Hookey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Bertiger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2nd,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Ayala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Seifu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Brogadir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ready-to-drink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non-inferiority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Therap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Adv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1756284819851510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31205487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10.1177/1756284819851510]</w:t>
      </w:r>
    </w:p>
    <w:p w14:paraId="42517F27" w14:textId="34A86F8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Tripathi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Poddar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Yachha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Sarma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Srivastava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Split-dose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e1-e6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31567887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10.1097/MPG.0000000000002511]</w:t>
      </w:r>
    </w:p>
    <w:p w14:paraId="4B87C2A6" w14:textId="5D58529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Jimenez-Rivera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Barkey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youth.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Pract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518932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20029642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10.1155/2009/518932]</w:t>
      </w:r>
    </w:p>
    <w:p w14:paraId="32433F16" w14:textId="5470F579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Benchimol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Griffiths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Frost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Scaini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Avolio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Pico-Salax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cleanout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1038-1045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19967619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10.1055/s-0029-1215333]</w:t>
      </w:r>
    </w:p>
    <w:p w14:paraId="58D7EE3B" w14:textId="1184962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Vejzovic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Wennick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Idvall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Agardh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Bramhagen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Glycol-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Picosulphate-Based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Laxatives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414-419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26360658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10.1097/MPG.0000000000000978]</w:t>
      </w:r>
    </w:p>
    <w:p w14:paraId="6A3EE5ED" w14:textId="03A39DA0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D1BAB">
        <w:rPr>
          <w:rFonts w:ascii="Book Antiqua" w:eastAsia="Book Antiqua" w:hAnsi="Book Antiqua" w:cs="Book Antiqua"/>
          <w:color w:val="000000"/>
        </w:rPr>
        <w:t>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Pinfield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Randomised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pharmacological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1999;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80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181-183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10325738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10.1136/adc.80.2.181]</w:t>
      </w:r>
    </w:p>
    <w:p w14:paraId="0A0797EF" w14:textId="36E2C344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D1BAB">
        <w:rPr>
          <w:rFonts w:ascii="Book Antiqua" w:eastAsia="Book Antiqua" w:hAnsi="Book Antiqua" w:cs="Book Antiqua"/>
          <w:color w:val="000000"/>
        </w:rPr>
        <w:t>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Nardo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Cucchiara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Spada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Hassan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Civitelli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Ziparo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Pession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Oliva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134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249-256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25002661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10.1542/peds.2014-0131]</w:t>
      </w:r>
    </w:p>
    <w:p w14:paraId="605C4F57" w14:textId="3469CDC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D1BAB">
        <w:rPr>
          <w:rFonts w:ascii="Book Antiqua" w:eastAsia="Book Antiqua" w:hAnsi="Book Antiqua" w:cs="Book Antiqua"/>
          <w:color w:val="000000"/>
        </w:rPr>
        <w:t>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Pashankar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DS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Bishop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electrolytes: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palatable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Pediatr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144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358-362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15001943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10.1016/j.jpeds.2003.11.033]</w:t>
      </w:r>
    </w:p>
    <w:p w14:paraId="505C9A31" w14:textId="5A07854F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DD1BAB">
        <w:rPr>
          <w:rFonts w:ascii="Book Antiqua" w:eastAsia="Book Antiqua" w:hAnsi="Book Antiqua" w:cs="Book Antiqua"/>
          <w:color w:val="000000"/>
        </w:rPr>
        <w:t>8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Safder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Demintieva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Rewalt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Elitsur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3350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cleansing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9528D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1131-1135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18950761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10.1016/j.gie.2008.04.026]</w:t>
      </w:r>
    </w:p>
    <w:p w14:paraId="0B941EA0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6784EA" w14:textId="7777777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3A62E5F7" w14:textId="7E8F4B1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Indiana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Office,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1312998338;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(Puyallup,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1144377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1144701;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Vanderbilt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140100;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Johns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Hopkins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Nationwide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IRB14-00011;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Minnesota,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1401M46841;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Philadelphia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13-010687;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Chesapeake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IRB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(Columbia,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MD),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Pro00009776;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California–San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Diego,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150183.</w:t>
      </w:r>
    </w:p>
    <w:p w14:paraId="7F1D1037" w14:textId="77777777" w:rsidR="00A77B3E" w:rsidRDefault="00A77B3E">
      <w:pPr>
        <w:spacing w:line="360" w:lineRule="auto"/>
        <w:jc w:val="both"/>
      </w:pPr>
    </w:p>
    <w:p w14:paraId="190405DE" w14:textId="1E0FEB9C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trial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registration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registration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policy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randomized,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</w:p>
    <w:p w14:paraId="4A61E11A" w14:textId="77777777" w:rsidR="00A77B3E" w:rsidRDefault="00A77B3E">
      <w:pPr>
        <w:spacing w:line="360" w:lineRule="auto"/>
        <w:jc w:val="both"/>
      </w:pPr>
    </w:p>
    <w:p w14:paraId="280578EA" w14:textId="1D972304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Cuffari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speaker’s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bureau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Abbott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Nutrition,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Abbvie,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Prometheus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Laboratories.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</w:p>
    <w:p w14:paraId="74FC7402" w14:textId="77777777" w:rsidR="00A77B3E" w:rsidRDefault="00A77B3E">
      <w:pPr>
        <w:spacing w:line="360" w:lineRule="auto"/>
        <w:jc w:val="both"/>
      </w:pPr>
    </w:p>
    <w:p w14:paraId="13FB6A1D" w14:textId="4D14D692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No</w:t>
      </w:r>
      <w:r w:rsidR="009528D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additional</w:t>
      </w:r>
      <w:r w:rsidR="009528D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data</w:t>
      </w:r>
      <w:r w:rsidR="009528D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are</w:t>
      </w:r>
      <w:r w:rsidR="009528D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8"/>
        </w:rPr>
        <w:t>available.</w:t>
      </w:r>
    </w:p>
    <w:p w14:paraId="2F2297E7" w14:textId="77777777" w:rsidR="00A77B3E" w:rsidRDefault="00A77B3E">
      <w:pPr>
        <w:spacing w:line="360" w:lineRule="auto"/>
        <w:jc w:val="both"/>
      </w:pPr>
    </w:p>
    <w:p w14:paraId="5D2A49B0" w14:textId="34FDD09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NonCommercial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A59DDCC" w14:textId="77777777" w:rsidR="00A77B3E" w:rsidRDefault="00A77B3E">
      <w:pPr>
        <w:spacing w:line="360" w:lineRule="auto"/>
        <w:jc w:val="both"/>
      </w:pPr>
    </w:p>
    <w:p w14:paraId="249EB46D" w14:textId="239565AD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667B29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</w:p>
    <w:p w14:paraId="7E68216E" w14:textId="77777777" w:rsidR="00A77B3E" w:rsidRDefault="00A77B3E">
      <w:pPr>
        <w:spacing w:line="360" w:lineRule="auto"/>
        <w:jc w:val="both"/>
      </w:pPr>
    </w:p>
    <w:p w14:paraId="21C729B3" w14:textId="1DCC7BD7" w:rsidR="000D7FB3" w:rsidRPr="000D7FB3" w:rsidRDefault="000D7FB3" w:rsidP="000D7FB3">
      <w:pPr>
        <w:spacing w:line="360" w:lineRule="auto"/>
        <w:jc w:val="both"/>
        <w:rPr>
          <w:rFonts w:ascii="Book Antiqua" w:hAnsi="Book Antiqua"/>
        </w:rPr>
      </w:pPr>
      <w:r w:rsidRPr="000D7FB3">
        <w:rPr>
          <w:rFonts w:ascii="Book Antiqua" w:hAnsi="Book Antiqua"/>
          <w:b/>
        </w:rPr>
        <w:t>Corresponding</w:t>
      </w:r>
      <w:r w:rsidR="009528DA">
        <w:rPr>
          <w:rFonts w:ascii="Book Antiqua" w:hAnsi="Book Antiqua"/>
          <w:b/>
        </w:rPr>
        <w:t xml:space="preserve"> </w:t>
      </w:r>
      <w:r w:rsidRPr="000D7FB3">
        <w:rPr>
          <w:rFonts w:ascii="Book Antiqua" w:hAnsi="Book Antiqua"/>
          <w:b/>
        </w:rPr>
        <w:t>Author's</w:t>
      </w:r>
      <w:r w:rsidR="009528DA">
        <w:rPr>
          <w:rFonts w:ascii="Book Antiqua" w:hAnsi="Book Antiqua"/>
          <w:b/>
        </w:rPr>
        <w:t xml:space="preserve"> </w:t>
      </w:r>
      <w:r w:rsidRPr="000D7FB3">
        <w:rPr>
          <w:rFonts w:ascii="Book Antiqua" w:hAnsi="Book Antiqua"/>
          <w:b/>
        </w:rPr>
        <w:t>Membership(s)</w:t>
      </w:r>
      <w:r w:rsidR="009528DA">
        <w:rPr>
          <w:rFonts w:ascii="Book Antiqua" w:hAnsi="Book Antiqua"/>
          <w:b/>
        </w:rPr>
        <w:t xml:space="preserve"> </w:t>
      </w:r>
      <w:r w:rsidRPr="000D7FB3">
        <w:rPr>
          <w:rFonts w:ascii="Book Antiqua" w:hAnsi="Book Antiqua"/>
          <w:b/>
        </w:rPr>
        <w:t>in</w:t>
      </w:r>
      <w:r w:rsidR="009528DA">
        <w:rPr>
          <w:rFonts w:ascii="Book Antiqua" w:hAnsi="Book Antiqua"/>
          <w:b/>
        </w:rPr>
        <w:t xml:space="preserve"> </w:t>
      </w:r>
      <w:r w:rsidRPr="000D7FB3">
        <w:rPr>
          <w:rFonts w:ascii="Book Antiqua" w:hAnsi="Book Antiqua"/>
          <w:b/>
        </w:rPr>
        <w:t>Professional</w:t>
      </w:r>
      <w:r w:rsidR="009528DA">
        <w:rPr>
          <w:rFonts w:ascii="Book Antiqua" w:hAnsi="Book Antiqua"/>
          <w:b/>
        </w:rPr>
        <w:t xml:space="preserve"> </w:t>
      </w:r>
      <w:r w:rsidRPr="000D7FB3">
        <w:rPr>
          <w:rFonts w:ascii="Book Antiqua" w:hAnsi="Book Antiqua"/>
          <w:b/>
        </w:rPr>
        <w:t>Societies: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American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College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of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Gastroenterology;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American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Gastroenterological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Association;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  <w:caps/>
        </w:rPr>
        <w:t>r</w:t>
      </w:r>
      <w:r w:rsidRPr="000D7FB3">
        <w:rPr>
          <w:rFonts w:ascii="Book Antiqua" w:hAnsi="Book Antiqua"/>
        </w:rPr>
        <w:t>oyal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  <w:caps/>
        </w:rPr>
        <w:t>c</w:t>
      </w:r>
      <w:r w:rsidRPr="000D7FB3">
        <w:rPr>
          <w:rFonts w:ascii="Book Antiqua" w:hAnsi="Book Antiqua"/>
        </w:rPr>
        <w:t>ollege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of</w:t>
      </w:r>
      <w:r w:rsidR="009528DA">
        <w:rPr>
          <w:rFonts w:ascii="Book Antiqua" w:hAnsi="Book Antiqua" w:hint="eastAsia"/>
          <w:lang w:eastAsia="zh-CN"/>
        </w:rPr>
        <w:t xml:space="preserve"> </w:t>
      </w:r>
      <w:r w:rsidRPr="000D7FB3">
        <w:rPr>
          <w:rFonts w:ascii="Book Antiqua" w:hAnsi="Book Antiqua"/>
          <w:caps/>
        </w:rPr>
        <w:t>p</w:t>
      </w:r>
      <w:r w:rsidRPr="000D7FB3">
        <w:rPr>
          <w:rFonts w:ascii="Book Antiqua" w:hAnsi="Book Antiqua"/>
        </w:rPr>
        <w:t>hysicians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and</w:t>
      </w:r>
      <w:r w:rsidR="009528DA">
        <w:rPr>
          <w:rFonts w:ascii="Book Antiqua" w:hAnsi="Book Antiqua"/>
          <w:caps/>
        </w:rPr>
        <w:t xml:space="preserve"> </w:t>
      </w:r>
      <w:r w:rsidRPr="000D7FB3">
        <w:rPr>
          <w:rFonts w:ascii="Book Antiqua" w:hAnsi="Book Antiqua"/>
          <w:caps/>
        </w:rPr>
        <w:t>s</w:t>
      </w:r>
      <w:r w:rsidRPr="000D7FB3">
        <w:rPr>
          <w:rFonts w:ascii="Book Antiqua" w:hAnsi="Book Antiqua"/>
        </w:rPr>
        <w:t>urgeons</w:t>
      </w:r>
      <w:r w:rsidR="009528DA">
        <w:rPr>
          <w:rFonts w:ascii="Book Antiqua" w:hAnsi="Book Antiqua"/>
        </w:rPr>
        <w:t xml:space="preserve"> </w:t>
      </w:r>
      <w:r w:rsidRPr="000D7FB3">
        <w:rPr>
          <w:rFonts w:ascii="Book Antiqua" w:hAnsi="Book Antiqua"/>
        </w:rPr>
        <w:t>(Canada).</w:t>
      </w:r>
    </w:p>
    <w:p w14:paraId="74B2D203" w14:textId="77777777" w:rsidR="000D7FB3" w:rsidRDefault="000D7FB3">
      <w:pPr>
        <w:spacing w:line="360" w:lineRule="auto"/>
        <w:jc w:val="both"/>
      </w:pPr>
    </w:p>
    <w:p w14:paraId="7BD76B13" w14:textId="52F53C2B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1233AA52" w14:textId="42F59357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14:paraId="6319CD59" w14:textId="09BCEE5E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E4E">
        <w:rPr>
          <w:rFonts w:ascii="Book Antiqua" w:hAnsi="Book Antiqua" w:cs="Arial"/>
          <w:color w:val="000000" w:themeColor="text1"/>
          <w:shd w:val="clear" w:color="auto" w:fill="FFFFFF"/>
        </w:rPr>
        <w:t>September</w:t>
      </w:r>
      <w:r w:rsidR="009528DA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207E4E">
        <w:rPr>
          <w:rFonts w:ascii="Book Antiqua" w:hAnsi="Book Antiqua" w:cs="Arial"/>
          <w:color w:val="000000" w:themeColor="text1"/>
          <w:shd w:val="clear" w:color="auto" w:fill="FFFFFF"/>
        </w:rPr>
        <w:t>25,</w:t>
      </w:r>
      <w:r w:rsidR="009528DA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r w:rsidR="00207E4E">
        <w:rPr>
          <w:rFonts w:ascii="Book Antiqua" w:hAnsi="Book Antiqua" w:cs="Arial"/>
          <w:color w:val="000000" w:themeColor="text1"/>
          <w:shd w:val="clear" w:color="auto" w:fill="FFFFFF"/>
        </w:rPr>
        <w:t>2020</w:t>
      </w:r>
    </w:p>
    <w:p w14:paraId="6FE7CD0F" w14:textId="77777777" w:rsidR="00A77B3E" w:rsidRDefault="00A77B3E">
      <w:pPr>
        <w:spacing w:line="360" w:lineRule="auto"/>
        <w:jc w:val="both"/>
      </w:pPr>
    </w:p>
    <w:p w14:paraId="2AB2B0B6" w14:textId="610C0D8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750413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epatology</w:t>
      </w:r>
    </w:p>
    <w:p w14:paraId="2431FE20" w14:textId="6E3BE0C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2CEEDA75" w14:textId="09B62375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23F8342" w14:textId="2DD45B68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9B6321" w14:textId="30775E5E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936AEE6" w14:textId="7CA306A5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1E07316" w14:textId="44823AA3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AAC0268" w14:textId="51305A81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3E553CE" w14:textId="77777777" w:rsidR="00A77B3E" w:rsidRDefault="00A77B3E">
      <w:pPr>
        <w:spacing w:line="360" w:lineRule="auto"/>
        <w:jc w:val="both"/>
      </w:pPr>
    </w:p>
    <w:p w14:paraId="66945B42" w14:textId="31A028F6" w:rsidR="00667B29" w:rsidRPr="00207E4E" w:rsidRDefault="00144E88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 </w:t>
      </w:r>
      <w:r w:rsidR="00207E4E" w:rsidRPr="00207E4E">
        <w:rPr>
          <w:rFonts w:ascii="Book Antiqua" w:hAnsi="Book Antiqua" w:cs="Book Antiqua" w:hint="eastAsia"/>
          <w:color w:val="000000"/>
          <w:lang w:eastAsia="zh-CN"/>
        </w:rPr>
        <w:t>A</w:t>
      </w:r>
      <w:r w:rsidR="009528DA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E4E" w:rsidRPr="00207E4E">
        <w:rPr>
          <w:rFonts w:ascii="Book Antiqua" w:hAnsi="Book Antiqua" w:cs="Book Antiqua" w:hint="eastAsia"/>
          <w:color w:val="000000"/>
          <w:lang w:eastAsia="zh-CN"/>
        </w:rPr>
        <w:t>Li</w:t>
      </w:r>
      <w:r w:rsidR="009528D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07E4E" w:rsidRPr="00207E4E">
        <w:rPr>
          <w:rFonts w:ascii="Book Antiqua" w:hAnsi="Book Antiqua" w:cs="Book Antiqua" w:hint="eastAsia"/>
          <w:color w:val="000000"/>
          <w:lang w:eastAsia="zh-CN"/>
        </w:rPr>
        <w:t>JH</w:t>
      </w:r>
    </w:p>
    <w:p w14:paraId="4A57F1E4" w14:textId="77777777" w:rsidR="00667B29" w:rsidRDefault="00667B2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1FE3DE5" w14:textId="67BB5B43" w:rsidR="00A77B3E" w:rsidRDefault="0075041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 w:rsidR="00144E88">
        <w:rPr>
          <w:rFonts w:ascii="Book Antiqua" w:eastAsia="Book Antiqua" w:hAnsi="Book Antiqua" w:cs="Book Antiqua"/>
          <w:b/>
          <w:color w:val="000000"/>
        </w:rPr>
        <w:t>Figure</w:t>
      </w:r>
      <w:r w:rsidR="009528D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44E88">
        <w:rPr>
          <w:rFonts w:ascii="Book Antiqua" w:eastAsia="Book Antiqua" w:hAnsi="Book Antiqua" w:cs="Book Antiqua"/>
          <w:b/>
          <w:color w:val="000000"/>
        </w:rPr>
        <w:t>Legends</w:t>
      </w:r>
    </w:p>
    <w:p w14:paraId="0CEB4905" w14:textId="4746F42C" w:rsidR="0006430E" w:rsidRDefault="0006430E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08121740" wp14:editId="66221491">
            <wp:extent cx="5943600" cy="27400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24779" w14:textId="33854996" w:rsidR="00A77B3E" w:rsidRPr="00750413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population.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½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ITT: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Intent-to-treat;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acid.</w:t>
      </w:r>
    </w:p>
    <w:p w14:paraId="500A8F9E" w14:textId="77777777" w:rsidR="00750413" w:rsidRDefault="007504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A0284B0" w14:textId="645C24CE" w:rsidR="0006430E" w:rsidRDefault="0006430E">
      <w:pPr>
        <w:spacing w:line="360" w:lineRule="auto"/>
        <w:jc w:val="both"/>
      </w:pPr>
      <w:r w:rsidRPr="003B0843">
        <w:rPr>
          <w:rFonts w:ascii="Book Antiqua" w:hAnsi="Book Antiqua" w:cs="Arial"/>
          <w:noProof/>
          <w:lang w:eastAsia="zh-CN"/>
        </w:rPr>
        <w:drawing>
          <wp:inline distT="0" distB="0" distL="0" distR="0" wp14:anchorId="664FD568" wp14:editId="7E10DB04">
            <wp:extent cx="4843641" cy="3502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236" cy="35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E6FD7" w14:textId="273ED980" w:rsidR="00A77B3E" w:rsidRDefault="00144E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majority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participants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receiving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sodium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picosulfate,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magnesium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oxide,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citric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acid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dose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x2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both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groups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responders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overall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colon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cleansing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modified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Aronchick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scale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(AS;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‘excellent’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‘good’),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treatment-blinded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endoscopist.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528DA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glycol.</w:t>
      </w:r>
    </w:p>
    <w:p w14:paraId="67AF370A" w14:textId="77777777" w:rsidR="00750413" w:rsidRDefault="00750413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D9CC65F" w14:textId="7C275EE7" w:rsidR="0006430E" w:rsidRDefault="0006430E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0D70B331" wp14:editId="67341037">
            <wp:extent cx="5943600" cy="308356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5737B" w14:textId="073CDEC6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Participants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asked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“How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easy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it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drink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bowel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cleanout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regimen?”.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43.8%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‘easy’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drink,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PEG.</w:t>
      </w:r>
    </w:p>
    <w:p w14:paraId="676C1092" w14:textId="648274D9" w:rsidR="00A77B3E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SPMC;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glycol.</w:t>
      </w:r>
    </w:p>
    <w:p w14:paraId="37C4978B" w14:textId="50B75308" w:rsidR="00A77B3E" w:rsidRDefault="0006430E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0" distR="0" wp14:anchorId="23F92FA0" wp14:editId="49EAC0F9">
            <wp:extent cx="5943600" cy="264287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89C0F" w14:textId="152C8311" w:rsidR="00A77B3E" w:rsidRPr="00750413" w:rsidRDefault="00144E8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Participants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were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asked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“How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often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your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tummy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hurt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since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you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started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528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cleanout?”.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acid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8668E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SPMC</w:t>
      </w:r>
      <w:r w:rsidR="0058668E">
        <w:rPr>
          <w:rFonts w:ascii="Book Antiqua" w:eastAsia="Book Antiqua" w:hAnsi="Book Antiqua" w:cs="Book Antiqua"/>
          <w:color w:val="000000"/>
        </w:rPr>
        <w:t>)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‘never’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hurting,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22036"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22036">
        <w:rPr>
          <w:rFonts w:ascii="Book Antiqua" w:eastAsia="Book Antiqua" w:hAnsi="Book Antiqua" w:cs="Book Antiqua"/>
          <w:color w:val="000000"/>
        </w:rPr>
        <w:t>glycol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 w:rsidR="00522036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PEG</w:t>
      </w:r>
      <w:r w:rsidR="00522036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12.5%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x2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discomfort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‘often’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‘very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often’,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33.4%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receiving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did.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graphs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9528D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SPMC</w:t>
      </w:r>
      <w:r w:rsidR="00750413">
        <w:rPr>
          <w:rFonts w:ascii="Book Antiqua" w:eastAsia="Book Antiqua" w:hAnsi="Book Antiqua" w:cs="Book Antiqua"/>
          <w:color w:val="000000"/>
        </w:rPr>
        <w:t>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Sodium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picosulfate,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magnesium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oxide,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citric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acid;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PEG: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Polyethylene</w:t>
      </w:r>
      <w:r w:rsidR="009528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glycol.</w:t>
      </w:r>
    </w:p>
    <w:p w14:paraId="42DA12BB" w14:textId="2908A90F" w:rsidR="00144E88" w:rsidRDefault="00144E88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EA847E7" w14:textId="4BA4DBC6" w:rsidR="00144E88" w:rsidRPr="003B0843" w:rsidRDefault="009B1AF8" w:rsidP="00144E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  <w:r w:rsidR="00144E88" w:rsidRPr="003B0843">
        <w:rPr>
          <w:rFonts w:ascii="Book Antiqua" w:hAnsi="Book Antiqua" w:cs="Arial"/>
          <w:b/>
        </w:rPr>
        <w:t>Table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1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Demographic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and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baseline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characteristics,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737675">
        <w:rPr>
          <w:rFonts w:ascii="Book Antiqua" w:hAnsi="Book Antiqua" w:cs="Arial"/>
          <w:b/>
          <w:bCs/>
        </w:rPr>
        <w:t>intent-to-treat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population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97"/>
        <w:gridCol w:w="1197"/>
        <w:gridCol w:w="1130"/>
        <w:gridCol w:w="854"/>
        <w:gridCol w:w="1151"/>
        <w:gridCol w:w="1151"/>
        <w:gridCol w:w="1151"/>
        <w:gridCol w:w="1145"/>
      </w:tblGrid>
      <w:tr w:rsidR="00144E88" w:rsidRPr="003B0843" w14:paraId="53DF61A1" w14:textId="77777777" w:rsidTr="00667B29"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DB4467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C1B4E" w14:textId="734BCA9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9-12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yr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old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04ACA" w14:textId="6005A8EA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13-16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yr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old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445F32" w14:textId="2DE371DA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All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F4E1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8F0FA6">
              <w:rPr>
                <w:rFonts w:ascii="Book Antiqua" w:hAnsi="Book Antiqua" w:hint="eastAsia"/>
                <w:b/>
                <w:lang w:val="pl-PL"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8F0FA6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t>32</w:t>
            </w:r>
            <w:r w:rsidRPr="003B0843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0CB096" w14:textId="62E17EB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All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PEG</w:t>
            </w:r>
            <w:r w:rsidR="004A3367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>
              <w:rPr>
                <w:rFonts w:ascii="Book Antiqua" w:hAnsi="Book Antiqua" w:cs="Arial"/>
                <w:b/>
              </w:rPr>
              <w:t>30</w:t>
            </w:r>
            <w:r w:rsidRPr="003B0843">
              <w:rPr>
                <w:rFonts w:ascii="Book Antiqua" w:hAnsi="Book Antiqua" w:cs="Arial"/>
                <w:b/>
              </w:rPr>
              <w:t>)</w:t>
            </w:r>
          </w:p>
        </w:tc>
      </w:tr>
      <w:tr w:rsidR="00144E88" w:rsidRPr="003B0843" w14:paraId="2B7FF643" w14:textId="77777777" w:rsidTr="008F0FA6"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13023" w14:textId="0122A341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(%)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164C53" w14:textId="65FA67A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½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F4E1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8F0FA6">
              <w:rPr>
                <w:rFonts w:ascii="Book Antiqua" w:hAnsi="Book Antiqua" w:hint="eastAsia"/>
                <w:b/>
                <w:lang w:val="pl-PL"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8F0FA6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16)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7482DB" w14:textId="52687D3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F4E1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8F0FA6">
              <w:rPr>
                <w:rFonts w:ascii="Book Antiqua" w:hAnsi="Book Antiqua" w:hint="eastAsia"/>
                <w:b/>
                <w:lang w:val="pl-PL"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8F0FA6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16)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F1A0A0" w14:textId="4BB04DB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PEG</w:t>
            </w:r>
            <w:r w:rsidR="008F0FA6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16)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B43A9" w14:textId="0D987C41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F4E1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8F0FA6">
              <w:rPr>
                <w:rFonts w:ascii="Book Antiqua" w:hAnsi="Book Antiqua" w:hint="eastAsia"/>
                <w:b/>
                <w:lang w:val="pl-PL"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8F0FA6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16)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7657B3" w14:textId="32188F1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PEG</w:t>
            </w:r>
            <w:r w:rsidR="008F0FA6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>
              <w:rPr>
                <w:rFonts w:ascii="Book Antiqua" w:hAnsi="Book Antiqua" w:cs="Arial"/>
                <w:b/>
              </w:rPr>
              <w:t>4</w:t>
            </w:r>
            <w:r w:rsidRPr="003B0843">
              <w:rPr>
                <w:rFonts w:ascii="Book Antiqua" w:hAnsi="Book Antiqua" w:cs="Arial"/>
                <w:b/>
              </w:rPr>
              <w:t>)</w:t>
            </w:r>
          </w:p>
        </w:tc>
        <w:tc>
          <w:tcPr>
            <w:tcW w:w="60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0F5008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7E3339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144E88" w:rsidRPr="003B0843" w14:paraId="54ABD329" w14:textId="77777777" w:rsidTr="008F0FA6"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14:paraId="67173909" w14:textId="68707455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Age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(yr),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mean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(SD)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4002A" w14:textId="55E585A1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10.8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(1.0)</w:t>
            </w:r>
          </w:p>
        </w:tc>
        <w:tc>
          <w:tcPr>
            <w:tcW w:w="5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70255" w14:textId="163E0DD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10.5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(1.2)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13DC4" w14:textId="2405BBF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10.4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(1.2)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0B40BD" w14:textId="064A9B70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15.0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(1.0)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BF5B28" w14:textId="7DC9AC3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14.9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(0.9)</w:t>
            </w:r>
          </w:p>
        </w:tc>
        <w:tc>
          <w:tcPr>
            <w:tcW w:w="6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18CA1D" w14:textId="1D1589F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12.8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(2.5)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0E7BAF" w14:textId="3B8D5E91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12.5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(2.5)</w:t>
            </w:r>
          </w:p>
        </w:tc>
      </w:tr>
      <w:tr w:rsidR="00144E88" w:rsidRPr="003B0843" w14:paraId="600CA996" w14:textId="77777777" w:rsidTr="008F0FA6">
        <w:tc>
          <w:tcPr>
            <w:tcW w:w="938" w:type="pct"/>
            <w:shd w:val="clear" w:color="auto" w:fill="auto"/>
          </w:tcPr>
          <w:p w14:paraId="5ED0A150" w14:textId="7F2B946F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Female,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737675">
              <w:rPr>
                <w:rFonts w:ascii="Book Antiqua" w:hAnsi="Book Antiqua" w:cs="Arial"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(%)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4C9569A" w14:textId="4ABA0E3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(68.8)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B0C11EF" w14:textId="371C659F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12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(75.0)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918DC4F" w14:textId="7D188D1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8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(50.0)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9C89E6A" w14:textId="080F401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(68.8)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0720893" w14:textId="33D9F0CF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(78.6)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1BFAE7F" w14:textId="26BC82F5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23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(71.9)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3195EF5E" w14:textId="685D16B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19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(63.3)</w:t>
            </w:r>
          </w:p>
        </w:tc>
      </w:tr>
      <w:tr w:rsidR="00144E88" w:rsidRPr="003B0843" w14:paraId="5F686D92" w14:textId="77777777" w:rsidTr="008F0FA6">
        <w:tc>
          <w:tcPr>
            <w:tcW w:w="938" w:type="pct"/>
            <w:shd w:val="clear" w:color="auto" w:fill="auto"/>
          </w:tcPr>
          <w:p w14:paraId="60D2D86D" w14:textId="069D4FE4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White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race,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737675">
              <w:rPr>
                <w:rFonts w:ascii="Book Antiqua" w:hAnsi="Book Antiqua" w:cs="Arial"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(%)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3C5ADE2" w14:textId="3556959B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(93.8)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1AC7A3D" w14:textId="471107C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16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(100)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0DA4668" w14:textId="6E326DF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(68.8)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0CBF23B" w14:textId="16DC97A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(93.8)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B186B05" w14:textId="2B24959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(100)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2CE7163" w14:textId="6468E4B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31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(96.9)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24E0CEC0" w14:textId="5BB8694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(83.3)</w:t>
            </w:r>
          </w:p>
        </w:tc>
      </w:tr>
      <w:tr w:rsidR="00144E88" w:rsidRPr="003B0843" w14:paraId="7D235B16" w14:textId="77777777" w:rsidTr="008F0FA6">
        <w:tc>
          <w:tcPr>
            <w:tcW w:w="938" w:type="pct"/>
            <w:tcBorders>
              <w:bottom w:val="single" w:sz="8" w:space="0" w:color="auto"/>
            </w:tcBorders>
            <w:shd w:val="clear" w:color="auto" w:fill="auto"/>
          </w:tcPr>
          <w:p w14:paraId="4440615E" w14:textId="507ACD41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BMI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(kg/m</w:t>
            </w:r>
            <w:r w:rsidRPr="003B0843">
              <w:rPr>
                <w:rFonts w:ascii="Book Antiqua" w:hAnsi="Book Antiqua" w:cs="Arial"/>
                <w:vertAlign w:val="superscript"/>
              </w:rPr>
              <w:t>2</w:t>
            </w:r>
            <w:r w:rsidRPr="003B0843">
              <w:rPr>
                <w:rFonts w:ascii="Book Antiqua" w:hAnsi="Book Antiqua" w:cs="Arial"/>
              </w:rPr>
              <w:t>),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mean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(SD)</w:t>
            </w:r>
            <w:r w:rsidR="009528DA">
              <w:rPr>
                <w:rFonts w:ascii="Book Antiqua" w:hAnsi="Book Antiqua" w:cs="Arial"/>
              </w:rPr>
              <w:t xml:space="preserve"> 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4E41921" w14:textId="1CD6BD6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19.0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(4.8)</w:t>
            </w:r>
          </w:p>
        </w:tc>
        <w:tc>
          <w:tcPr>
            <w:tcW w:w="59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A4F9DA" w14:textId="58D23A16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20.4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(5.3)</w:t>
            </w:r>
          </w:p>
        </w:tc>
        <w:tc>
          <w:tcPr>
            <w:tcW w:w="4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120B91" w14:textId="0F8BDF7B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19.4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(5.2)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529EC0" w14:textId="7136414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24.9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(7.0)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A12D4D" w14:textId="6C6AB97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23.1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(6.5)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53BEFB" w14:textId="207F3E2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22.6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(6.5)</w:t>
            </w:r>
          </w:p>
        </w:tc>
        <w:tc>
          <w:tcPr>
            <w:tcW w:w="5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D2A57D" w14:textId="7768A960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21.1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(6.0)</w:t>
            </w:r>
          </w:p>
        </w:tc>
      </w:tr>
    </w:tbl>
    <w:p w14:paraId="55ECF67B" w14:textId="2F1D6A86" w:rsidR="00667B29" w:rsidRPr="00083893" w:rsidRDefault="00144E88" w:rsidP="00144E88">
      <w:pPr>
        <w:adjustRightInd w:val="0"/>
        <w:snapToGrid w:val="0"/>
        <w:spacing w:line="360" w:lineRule="auto"/>
        <w:jc w:val="both"/>
        <w:rPr>
          <w:rFonts w:ascii="Book Antiqua" w:hAnsi="Book Antiqua" w:cs="Arial"/>
        </w:rPr>
      </w:pPr>
      <w:r w:rsidRPr="003B0843">
        <w:rPr>
          <w:rFonts w:ascii="Book Antiqua" w:hAnsi="Book Antiqua" w:cs="Arial"/>
        </w:rPr>
        <w:t>BMI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Body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mass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index;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ITT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Intent-to-treat;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PEG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Polyethylene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glycol;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SD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Standard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deviation;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SPMC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Sodium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picosulfate,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magnesium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oxide,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and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citric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acid</w:t>
      </w:r>
      <w:r>
        <w:rPr>
          <w:rFonts w:ascii="Book Antiqua" w:hAnsi="Book Antiqua" w:cs="Arial"/>
        </w:rPr>
        <w:t>.</w:t>
      </w:r>
    </w:p>
    <w:p w14:paraId="43D225CC" w14:textId="37B95301" w:rsidR="00144E88" w:rsidRPr="00737675" w:rsidRDefault="00750413" w:rsidP="00144E88">
      <w:pPr>
        <w:adjustRightInd w:val="0"/>
        <w:snapToGrid w:val="0"/>
        <w:spacing w:line="360" w:lineRule="auto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br w:type="page"/>
      </w:r>
      <w:r w:rsidR="00144E88" w:rsidRPr="003B0843">
        <w:rPr>
          <w:rFonts w:ascii="Book Antiqua" w:hAnsi="Book Antiqua" w:cs="Arial"/>
          <w:b/>
        </w:rPr>
        <w:t>Table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2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Summary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of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adverse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events,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safety</w:t>
      </w:r>
      <w:r w:rsidR="009528DA">
        <w:rPr>
          <w:rFonts w:ascii="Book Antiqua" w:hAnsi="Book Antiqua" w:cs="Arial"/>
          <w:b/>
        </w:rPr>
        <w:t xml:space="preserve"> </w:t>
      </w:r>
      <w:r w:rsidR="00144E88" w:rsidRPr="003B0843">
        <w:rPr>
          <w:rFonts w:ascii="Book Antiqua" w:hAnsi="Book Antiqua" w:cs="Arial"/>
          <w:b/>
        </w:rPr>
        <w:t>population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83"/>
        <w:gridCol w:w="1184"/>
        <w:gridCol w:w="1117"/>
        <w:gridCol w:w="842"/>
        <w:gridCol w:w="1139"/>
        <w:gridCol w:w="1139"/>
        <w:gridCol w:w="1139"/>
        <w:gridCol w:w="1133"/>
      </w:tblGrid>
      <w:tr w:rsidR="00144E88" w:rsidRPr="003B0843" w14:paraId="3481742D" w14:textId="77777777" w:rsidTr="00780EF4"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</w:tcPr>
          <w:p w14:paraId="7000E82F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1661" w:type="pct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D8548C" w14:textId="4E6ECB60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9-12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yr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old</w:t>
            </w:r>
          </w:p>
        </w:tc>
        <w:tc>
          <w:tcPr>
            <w:tcW w:w="1202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307A45" w14:textId="49339E36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13-16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yr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old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C0F874E" w14:textId="683C92A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All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31B6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9528DA">
              <w:rPr>
                <w:rFonts w:ascii="Book Antiqua" w:hAnsi="Book Antiqua"/>
                <w:b/>
                <w:lang w:val="pl-PL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0A1BD4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33)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F21F359" w14:textId="1C2173D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All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PEG</w:t>
            </w:r>
            <w:r w:rsidR="004A3367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27)</w:t>
            </w:r>
          </w:p>
        </w:tc>
      </w:tr>
      <w:tr w:rsidR="00144E88" w:rsidRPr="003B0843" w14:paraId="2149D0B7" w14:textId="77777777" w:rsidTr="00780EF4">
        <w:tc>
          <w:tcPr>
            <w:tcW w:w="938" w:type="pct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552A9D4" w14:textId="502501C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(%)</w:t>
            </w:r>
          </w:p>
        </w:tc>
        <w:tc>
          <w:tcPr>
            <w:tcW w:w="625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7266759" w14:textId="15BB3530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½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31B6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9528DA">
              <w:rPr>
                <w:rFonts w:ascii="Book Antiqua" w:hAnsi="Book Antiqua"/>
                <w:lang w:val="pl-PL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0A1BD4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15)</w:t>
            </w:r>
          </w:p>
        </w:tc>
        <w:tc>
          <w:tcPr>
            <w:tcW w:w="590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8A9247B" w14:textId="3531814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31B6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9528DA">
              <w:rPr>
                <w:rFonts w:ascii="Book Antiqua" w:hAnsi="Book Antiqua"/>
                <w:b/>
                <w:lang w:val="pl-PL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0A1BD4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17)</w:t>
            </w:r>
          </w:p>
        </w:tc>
        <w:tc>
          <w:tcPr>
            <w:tcW w:w="446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03E28318" w14:textId="3E73B9A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PEG</w:t>
            </w:r>
            <w:r w:rsidR="004A3367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15)</w:t>
            </w:r>
          </w:p>
        </w:tc>
        <w:tc>
          <w:tcPr>
            <w:tcW w:w="60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1A3B224" w14:textId="6321E3E1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SPMC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dose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="00831B69" w:rsidRPr="00831B69">
              <w:rPr>
                <w:rFonts w:ascii="Book Antiqua" w:hAnsi="Book Antiqua"/>
                <w:b/>
                <w:lang w:val="pl-PL"/>
              </w:rPr>
              <w:t>×</w:t>
            </w:r>
            <w:r w:rsidR="009528DA">
              <w:rPr>
                <w:rFonts w:ascii="Book Antiqua" w:hAnsi="Book Antiqua"/>
                <w:b/>
                <w:lang w:val="pl-PL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2</w:t>
            </w:r>
            <w:r w:rsidR="000A1BD4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16)</w:t>
            </w:r>
          </w:p>
        </w:tc>
        <w:tc>
          <w:tcPr>
            <w:tcW w:w="601" w:type="pct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7C8FDC04" w14:textId="1D5575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B0843">
              <w:rPr>
                <w:rFonts w:ascii="Book Antiqua" w:hAnsi="Book Antiqua" w:cs="Arial"/>
                <w:b/>
              </w:rPr>
              <w:t>PEG</w:t>
            </w:r>
            <w:r w:rsidR="000A1BD4">
              <w:rPr>
                <w:rFonts w:ascii="Book Antiqua" w:hAnsi="Book Antiqua" w:cs="Arial" w:hint="eastAsia"/>
                <w:b/>
                <w:lang w:eastAsia="zh-CN"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(</w:t>
            </w:r>
            <w:r w:rsidRPr="00737675">
              <w:rPr>
                <w:rFonts w:ascii="Book Antiqua" w:hAnsi="Book Antiqua" w:cs="Arial"/>
                <w:b/>
                <w:i/>
                <w:iCs/>
              </w:rPr>
              <w:t>n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=</w:t>
            </w:r>
            <w:r w:rsidR="009528DA">
              <w:rPr>
                <w:rFonts w:ascii="Book Antiqua" w:hAnsi="Book Antiqua" w:cs="Arial"/>
                <w:b/>
              </w:rPr>
              <w:t xml:space="preserve"> </w:t>
            </w:r>
            <w:r w:rsidRPr="003B0843">
              <w:rPr>
                <w:rFonts w:ascii="Book Antiqua" w:hAnsi="Book Antiqua" w:cs="Arial"/>
                <w:b/>
              </w:rPr>
              <w:t>12)</w:t>
            </w:r>
          </w:p>
        </w:tc>
        <w:tc>
          <w:tcPr>
            <w:tcW w:w="601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35F8838F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  <w:tc>
          <w:tcPr>
            <w:tcW w:w="598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19DBD367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</w:p>
        </w:tc>
      </w:tr>
      <w:tr w:rsidR="00144E88" w:rsidRPr="003B0843" w14:paraId="639C66DF" w14:textId="77777777" w:rsidTr="00F34EC7">
        <w:tc>
          <w:tcPr>
            <w:tcW w:w="938" w:type="pct"/>
            <w:tcBorders>
              <w:top w:val="single" w:sz="12" w:space="0" w:color="auto"/>
            </w:tcBorders>
            <w:shd w:val="clear" w:color="auto" w:fill="auto"/>
          </w:tcPr>
          <w:p w14:paraId="27D8BC19" w14:textId="0F18EA2B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Any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TEAE</w:t>
            </w:r>
          </w:p>
        </w:tc>
        <w:tc>
          <w:tcPr>
            <w:tcW w:w="6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B4C6BA" w14:textId="1DE03B3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8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(53.3)</w:t>
            </w:r>
          </w:p>
        </w:tc>
        <w:tc>
          <w:tcPr>
            <w:tcW w:w="5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389786" w14:textId="38D1C7E6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(29.4)</w:t>
            </w:r>
          </w:p>
        </w:tc>
        <w:tc>
          <w:tcPr>
            <w:tcW w:w="44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19D43D" w14:textId="78798EC6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6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(40.0)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9EFD2A4" w14:textId="12CECD3A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10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(62.5)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70DD69" w14:textId="055CDFA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(91.7)</w:t>
            </w:r>
          </w:p>
        </w:tc>
        <w:tc>
          <w:tcPr>
            <w:tcW w:w="6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4EAC1C4" w14:textId="603AE19A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(45.5)</w:t>
            </w:r>
          </w:p>
        </w:tc>
        <w:tc>
          <w:tcPr>
            <w:tcW w:w="5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D182DA8" w14:textId="326D0AC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17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(63.0)</w:t>
            </w:r>
          </w:p>
        </w:tc>
      </w:tr>
      <w:tr w:rsidR="00144E88" w:rsidRPr="003B0843" w14:paraId="234F9287" w14:textId="77777777" w:rsidTr="00F34EC7">
        <w:tc>
          <w:tcPr>
            <w:tcW w:w="938" w:type="pct"/>
            <w:shd w:val="clear" w:color="auto" w:fill="auto"/>
          </w:tcPr>
          <w:p w14:paraId="022355A1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Deaths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098A216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A8ED9FF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54DD85C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67241A0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4C68E0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60135F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ED3ED9D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36639F76" w14:textId="77777777" w:rsidTr="00F34EC7">
        <w:tc>
          <w:tcPr>
            <w:tcW w:w="938" w:type="pct"/>
            <w:shd w:val="clear" w:color="auto" w:fill="auto"/>
          </w:tcPr>
          <w:p w14:paraId="3EB50D80" w14:textId="0218B5E6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Serious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TEAE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2D3B3C7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A4AFAF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EF4B6F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D1C459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0A6E1F0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D36887C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01EBDC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0A9B1F20" w14:textId="77777777" w:rsidTr="00F34EC7">
        <w:tc>
          <w:tcPr>
            <w:tcW w:w="938" w:type="pct"/>
            <w:shd w:val="clear" w:color="auto" w:fill="auto"/>
          </w:tcPr>
          <w:p w14:paraId="26E94ABC" w14:textId="097BA0E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TEAE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leading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to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study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discontinuation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5EE4E07E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D852595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7FF7682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E72279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C6618A2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3CBE8F4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0B493E8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6EB2245B" w14:textId="77777777" w:rsidTr="00F34EC7">
        <w:tc>
          <w:tcPr>
            <w:tcW w:w="938" w:type="pct"/>
            <w:shd w:val="clear" w:color="auto" w:fill="auto"/>
          </w:tcPr>
          <w:p w14:paraId="7C05BB0E" w14:textId="22D78A6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Severe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AE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2E5FD47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C324391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F56E30D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3513E3F" w14:textId="7D7D951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ECDA62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26C8AB4" w14:textId="6E298D82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(3.0)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911E604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4937A6A3" w14:textId="77777777" w:rsidTr="00F34EC7">
        <w:tc>
          <w:tcPr>
            <w:tcW w:w="938" w:type="pct"/>
            <w:shd w:val="clear" w:color="auto" w:fill="auto"/>
          </w:tcPr>
          <w:p w14:paraId="4329AF65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ADR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13A84BE" w14:textId="22CB80D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(6.7)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D0338B4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6FA31666" w14:textId="35C057B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(6.7)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E9F2C0E" w14:textId="33AB41D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(25.0)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6A0F99" w14:textId="48BDAFB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(33.3)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EE51362" w14:textId="146377C5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(12.1)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45257649" w14:textId="7BD3AD5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5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(18.5)</w:t>
            </w:r>
          </w:p>
        </w:tc>
      </w:tr>
      <w:tr w:rsidR="00144E88" w:rsidRPr="003B0843" w14:paraId="34A04AF9" w14:textId="77777777" w:rsidTr="00F34EC7">
        <w:tc>
          <w:tcPr>
            <w:tcW w:w="938" w:type="pct"/>
            <w:shd w:val="clear" w:color="auto" w:fill="auto"/>
          </w:tcPr>
          <w:p w14:paraId="77008611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Nausea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A24259F" w14:textId="096F407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(6.7)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430E3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C942C11" w14:textId="647F8894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(6.7)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B6B331C" w14:textId="31ABF05B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A949615" w14:textId="616030F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3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(25.0)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4E8676" w14:textId="57A5C9A4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(3.0)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7C8926BE" w14:textId="335F257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4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(14.8)</w:t>
            </w:r>
          </w:p>
        </w:tc>
      </w:tr>
      <w:tr w:rsidR="00144E88" w:rsidRPr="003B0843" w14:paraId="08F46191" w14:textId="77777777" w:rsidTr="00F34EC7">
        <w:tc>
          <w:tcPr>
            <w:tcW w:w="938" w:type="pct"/>
            <w:shd w:val="clear" w:color="auto" w:fill="auto"/>
          </w:tcPr>
          <w:p w14:paraId="0469075B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Vomiting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C4BD9D1" w14:textId="19B6DE46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(6.7)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F003C4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56CD2BB3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8126665" w14:textId="39CBA1B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(12.5)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4EEE78B" w14:textId="4DB3DAB9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(8.3)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C35717A" w14:textId="6CFD239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2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(6.1)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94F0EB8" w14:textId="53E2A498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(3.7)</w:t>
            </w:r>
          </w:p>
        </w:tc>
      </w:tr>
      <w:tr w:rsidR="00144E88" w:rsidRPr="003B0843" w14:paraId="57A66BE2" w14:textId="77777777" w:rsidTr="00F34EC7">
        <w:tc>
          <w:tcPr>
            <w:tcW w:w="938" w:type="pct"/>
            <w:shd w:val="clear" w:color="auto" w:fill="auto"/>
          </w:tcPr>
          <w:p w14:paraId="224FBE69" w14:textId="4E3DA2FD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Abdominal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pain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6848879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1870765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74338F78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913F05E" w14:textId="54F4A49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CF93712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FC256D3" w14:textId="0FEFABF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(3.0)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6D89B9B6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658BDA7C" w14:textId="77777777" w:rsidTr="00F34EC7">
        <w:tc>
          <w:tcPr>
            <w:tcW w:w="938" w:type="pct"/>
            <w:shd w:val="clear" w:color="auto" w:fill="auto"/>
          </w:tcPr>
          <w:p w14:paraId="2685A52E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Retching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701E94A6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399452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1BFBFCE9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D22386F" w14:textId="4F2330A4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4DBC03C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D6A8354" w14:textId="7122787E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(3.0)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0A3D1CF0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0272D1EF" w14:textId="77777777" w:rsidTr="00F34EC7">
        <w:tc>
          <w:tcPr>
            <w:tcW w:w="938" w:type="pct"/>
            <w:shd w:val="clear" w:color="auto" w:fill="auto"/>
          </w:tcPr>
          <w:p w14:paraId="4149A2D6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Migraine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F8B2C6" w14:textId="7C5465EA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(6.7)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FEF3744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3727DD4E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0F61DC9F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85966B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8C6B26E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59B7FD07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62906E00" w14:textId="77777777" w:rsidTr="00F34EC7">
        <w:tc>
          <w:tcPr>
            <w:tcW w:w="938" w:type="pct"/>
            <w:shd w:val="clear" w:color="auto" w:fill="auto"/>
          </w:tcPr>
          <w:p w14:paraId="09EC6FE1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Hyperhidrosis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E8CCB1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589668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038EC28A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6C9E8CC" w14:textId="6416981C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(6.3)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5AF4AA95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740F31D" w14:textId="259CC603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1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(3.0)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1BB8956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  <w:tr w:rsidR="00144E88" w:rsidRPr="003B0843" w14:paraId="65774185" w14:textId="77777777" w:rsidTr="00F34EC7">
        <w:tc>
          <w:tcPr>
            <w:tcW w:w="938" w:type="pct"/>
            <w:tcBorders>
              <w:bottom w:val="single" w:sz="8" w:space="0" w:color="auto"/>
            </w:tcBorders>
            <w:shd w:val="clear" w:color="auto" w:fill="auto"/>
          </w:tcPr>
          <w:p w14:paraId="59D8D3F5" w14:textId="6531550F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Serious</w:t>
            </w:r>
            <w:r w:rsidR="009528DA">
              <w:rPr>
                <w:rFonts w:ascii="Book Antiqua" w:hAnsi="Book Antiqua" w:cs="Arial"/>
              </w:rPr>
              <w:t xml:space="preserve"> </w:t>
            </w:r>
            <w:r w:rsidRPr="003B0843">
              <w:rPr>
                <w:rFonts w:ascii="Book Antiqua" w:hAnsi="Book Antiqua" w:cs="Arial"/>
              </w:rPr>
              <w:t>ADR</w:t>
            </w:r>
          </w:p>
        </w:tc>
        <w:tc>
          <w:tcPr>
            <w:tcW w:w="62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E4855A9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0B37AB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446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637DF4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E3C385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D0A2E7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60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064CBC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  <w:tc>
          <w:tcPr>
            <w:tcW w:w="59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BAB9D1" w14:textId="77777777" w:rsidR="00144E88" w:rsidRPr="003B0843" w:rsidRDefault="00144E88" w:rsidP="00F34EC7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3B0843">
              <w:rPr>
                <w:rFonts w:ascii="Book Antiqua" w:hAnsi="Book Antiqua" w:cs="Arial"/>
              </w:rPr>
              <w:t>0</w:t>
            </w:r>
          </w:p>
        </w:tc>
      </w:tr>
    </w:tbl>
    <w:p w14:paraId="59ADAC2C" w14:textId="0530B174" w:rsidR="00144E88" w:rsidRPr="00750413" w:rsidRDefault="00144E88">
      <w:pPr>
        <w:spacing w:line="360" w:lineRule="auto"/>
        <w:jc w:val="both"/>
        <w:rPr>
          <w:rFonts w:ascii="Book Antiqua" w:hAnsi="Book Antiqua" w:cs="Arial"/>
        </w:rPr>
      </w:pPr>
      <w:r w:rsidRPr="003B0843">
        <w:rPr>
          <w:rFonts w:ascii="Book Antiqua" w:hAnsi="Book Antiqua" w:cs="Arial"/>
        </w:rPr>
        <w:t>SPMC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Sodium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picosulfate,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magnesium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oxide,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and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citric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acid</w:t>
      </w:r>
      <w:r>
        <w:rPr>
          <w:rFonts w:ascii="Book Antiqua" w:hAnsi="Book Antiqua" w:cs="Arial"/>
        </w:rPr>
        <w:t>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PEG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Polyethylene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glycol;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ADR</w:t>
      </w:r>
      <w:r>
        <w:rPr>
          <w:rFonts w:asciiTheme="minorEastAsia" w:hAnsiTheme="minorEastAsia" w:cs="Arial" w:hint="eastAsia"/>
          <w:lang w:eastAsia="zh-CN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Adverse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drug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reaction;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AE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Adverse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event;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PEG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Polyethylene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glycol;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SPMC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Sodium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picosulfate,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magnesium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oxide,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and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citric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acid;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TEAE</w:t>
      </w:r>
      <w:r>
        <w:rPr>
          <w:rFonts w:ascii="Book Antiqua" w:hAnsi="Book Antiqua" w:cs="Arial"/>
        </w:rPr>
        <w:t>: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Treatment-emergent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adverse</w:t>
      </w:r>
      <w:r w:rsidR="009528DA">
        <w:rPr>
          <w:rFonts w:ascii="Book Antiqua" w:hAnsi="Book Antiqua" w:cs="Arial"/>
        </w:rPr>
        <w:t xml:space="preserve"> </w:t>
      </w:r>
      <w:r w:rsidRPr="003B0843">
        <w:rPr>
          <w:rFonts w:ascii="Book Antiqua" w:hAnsi="Book Antiqua" w:cs="Arial"/>
        </w:rPr>
        <w:t>event</w:t>
      </w:r>
      <w:r>
        <w:rPr>
          <w:rFonts w:ascii="Book Antiqua" w:hAnsi="Book Antiqua" w:cs="Arial"/>
        </w:rPr>
        <w:t>.</w:t>
      </w:r>
    </w:p>
    <w:sectPr w:rsidR="00144E88" w:rsidRPr="00750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45A14" w14:textId="77777777" w:rsidR="00022616" w:rsidRDefault="00022616" w:rsidP="00851B00">
      <w:r>
        <w:separator/>
      </w:r>
    </w:p>
  </w:endnote>
  <w:endnote w:type="continuationSeparator" w:id="0">
    <w:p w14:paraId="5E5A4492" w14:textId="77777777" w:rsidR="00022616" w:rsidRDefault="00022616" w:rsidP="008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975488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A0DE659" w14:textId="2363C9BA" w:rsidR="00667B29" w:rsidRPr="00667B29" w:rsidRDefault="00667B29">
            <w:pPr>
              <w:pStyle w:val="a4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667B2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667B2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67B29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667B2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22616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667B2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67B29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667B29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67B29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667B29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022616">
              <w:rPr>
                <w:rFonts w:ascii="Book Antiqua" w:hAnsi="Book Antiqua"/>
                <w:noProof/>
                <w:sz w:val="24"/>
                <w:szCs w:val="24"/>
              </w:rPr>
              <w:t>1</w:t>
            </w:r>
            <w:r w:rsidRPr="00667B29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753B9F3" w14:textId="77777777" w:rsidR="00667B29" w:rsidRDefault="00667B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F8F3E" w14:textId="77777777" w:rsidR="00022616" w:rsidRDefault="00022616" w:rsidP="00851B00">
      <w:r>
        <w:separator/>
      </w:r>
    </w:p>
  </w:footnote>
  <w:footnote w:type="continuationSeparator" w:id="0">
    <w:p w14:paraId="25B546FE" w14:textId="77777777" w:rsidR="00022616" w:rsidRDefault="00022616" w:rsidP="00851B0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wdm">
    <w15:presenceInfo w15:providerId="None" w15:userId="wd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7EB2"/>
    <w:rsid w:val="00022616"/>
    <w:rsid w:val="00041688"/>
    <w:rsid w:val="0006430E"/>
    <w:rsid w:val="00083893"/>
    <w:rsid w:val="00086EC6"/>
    <w:rsid w:val="000A0573"/>
    <w:rsid w:val="000A1BD4"/>
    <w:rsid w:val="000B50AE"/>
    <w:rsid w:val="000D7FB3"/>
    <w:rsid w:val="00144E88"/>
    <w:rsid w:val="001542DC"/>
    <w:rsid w:val="00164B5E"/>
    <w:rsid w:val="00182FBC"/>
    <w:rsid w:val="00201D65"/>
    <w:rsid w:val="00207E4E"/>
    <w:rsid w:val="002401A3"/>
    <w:rsid w:val="00240CF2"/>
    <w:rsid w:val="00273BEB"/>
    <w:rsid w:val="00277AFA"/>
    <w:rsid w:val="00290B61"/>
    <w:rsid w:val="002A1E42"/>
    <w:rsid w:val="002B4945"/>
    <w:rsid w:val="00326AE5"/>
    <w:rsid w:val="00343F9F"/>
    <w:rsid w:val="00345F02"/>
    <w:rsid w:val="003470E8"/>
    <w:rsid w:val="003A30F8"/>
    <w:rsid w:val="003A5A60"/>
    <w:rsid w:val="003E7639"/>
    <w:rsid w:val="00464F7B"/>
    <w:rsid w:val="004A3367"/>
    <w:rsid w:val="004B3ECC"/>
    <w:rsid w:val="00505816"/>
    <w:rsid w:val="00522036"/>
    <w:rsid w:val="0054576B"/>
    <w:rsid w:val="00561594"/>
    <w:rsid w:val="0058668E"/>
    <w:rsid w:val="005F6397"/>
    <w:rsid w:val="00652CFB"/>
    <w:rsid w:val="00667B29"/>
    <w:rsid w:val="006E5CA7"/>
    <w:rsid w:val="0074139A"/>
    <w:rsid w:val="00750413"/>
    <w:rsid w:val="00780EF4"/>
    <w:rsid w:val="00783B45"/>
    <w:rsid w:val="007A63C3"/>
    <w:rsid w:val="007D2D7B"/>
    <w:rsid w:val="00831B69"/>
    <w:rsid w:val="008332A9"/>
    <w:rsid w:val="00851B00"/>
    <w:rsid w:val="00856FAA"/>
    <w:rsid w:val="008830B7"/>
    <w:rsid w:val="00890323"/>
    <w:rsid w:val="008C75AE"/>
    <w:rsid w:val="008F0FA6"/>
    <w:rsid w:val="008F4E19"/>
    <w:rsid w:val="009528DA"/>
    <w:rsid w:val="00957308"/>
    <w:rsid w:val="009B1AF8"/>
    <w:rsid w:val="00A0643C"/>
    <w:rsid w:val="00A45C70"/>
    <w:rsid w:val="00A77B3E"/>
    <w:rsid w:val="00AA1E13"/>
    <w:rsid w:val="00AA6C87"/>
    <w:rsid w:val="00AF1A9E"/>
    <w:rsid w:val="00AF2E64"/>
    <w:rsid w:val="00BA226E"/>
    <w:rsid w:val="00C02C15"/>
    <w:rsid w:val="00C1517D"/>
    <w:rsid w:val="00CA2A55"/>
    <w:rsid w:val="00CB38B9"/>
    <w:rsid w:val="00D80022"/>
    <w:rsid w:val="00DB541F"/>
    <w:rsid w:val="00DD1BAB"/>
    <w:rsid w:val="00E30228"/>
    <w:rsid w:val="00E640F8"/>
    <w:rsid w:val="00E67EB9"/>
    <w:rsid w:val="00E95B0A"/>
    <w:rsid w:val="00EB3CA9"/>
    <w:rsid w:val="00EC5C08"/>
    <w:rsid w:val="00ED48DD"/>
    <w:rsid w:val="00F01F61"/>
    <w:rsid w:val="00F95787"/>
    <w:rsid w:val="00FB5FE6"/>
    <w:rsid w:val="00FD201D"/>
    <w:rsid w:val="00FD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786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144E88"/>
    <w:rPr>
      <w:rFonts w:ascii="System Font Regular" w:eastAsia="ヒラギノ角ゴ Pro W3" w:hAnsi="System Font Regular"/>
      <w:color w:val="000000"/>
      <w:sz w:val="24"/>
    </w:rPr>
  </w:style>
  <w:style w:type="paragraph" w:styleId="a3">
    <w:name w:val="header"/>
    <w:basedOn w:val="a"/>
    <w:link w:val="Char"/>
    <w:unhideWhenUsed/>
    <w:rsid w:val="0085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B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B00"/>
    <w:rPr>
      <w:sz w:val="18"/>
      <w:szCs w:val="18"/>
    </w:rPr>
  </w:style>
  <w:style w:type="paragraph" w:styleId="a5">
    <w:name w:val="Balloon Text"/>
    <w:basedOn w:val="a"/>
    <w:link w:val="Char1"/>
    <w:rsid w:val="00780E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0E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Grid1">
    <w:name w:val="Table Grid1"/>
    <w:rsid w:val="00144E88"/>
    <w:rPr>
      <w:rFonts w:ascii="System Font Regular" w:eastAsia="ヒラギノ角ゴ Pro W3" w:hAnsi="System Font Regular"/>
      <w:color w:val="000000"/>
      <w:sz w:val="24"/>
    </w:rPr>
  </w:style>
  <w:style w:type="paragraph" w:styleId="a3">
    <w:name w:val="header"/>
    <w:basedOn w:val="a"/>
    <w:link w:val="Char"/>
    <w:unhideWhenUsed/>
    <w:rsid w:val="00851B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1B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1B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1B00"/>
    <w:rPr>
      <w:sz w:val="18"/>
      <w:szCs w:val="18"/>
    </w:rPr>
  </w:style>
  <w:style w:type="paragraph" w:styleId="a5">
    <w:name w:val="Balloon Text"/>
    <w:basedOn w:val="a"/>
    <w:link w:val="Char1"/>
    <w:rsid w:val="00780EF4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0E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5109</Words>
  <Characters>29127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liujihong2008@qq.con</cp:lastModifiedBy>
  <cp:revision>19</cp:revision>
  <dcterms:created xsi:type="dcterms:W3CDTF">2020-10-22T08:52:00Z</dcterms:created>
  <dcterms:modified xsi:type="dcterms:W3CDTF">2020-10-27T06:33:00Z</dcterms:modified>
</cp:coreProperties>
</file>