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8C375" w14:textId="77777777" w:rsidR="002A20FE" w:rsidRDefault="00E921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19F4794" w14:textId="77777777" w:rsidR="002A20FE" w:rsidRDefault="00E921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57011</w:t>
      </w:r>
    </w:p>
    <w:p w14:paraId="6689DE11" w14:textId="77777777" w:rsidR="002A20FE" w:rsidRDefault="00E921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2192231" w14:textId="77777777" w:rsidR="002A20FE" w:rsidRDefault="002A20FE">
      <w:pPr>
        <w:spacing w:line="360" w:lineRule="auto"/>
        <w:jc w:val="both"/>
      </w:pPr>
    </w:p>
    <w:p w14:paraId="2941A0D9" w14:textId="77777777" w:rsidR="002A20FE" w:rsidRDefault="00E9210C">
      <w:pPr>
        <w:spacing w:line="360" w:lineRule="auto"/>
        <w:jc w:val="both"/>
      </w:pPr>
      <w:r>
        <w:rPr>
          <w:rFonts w:ascii="Book Antiqua" w:eastAsia="Book Antiqua" w:hAnsi="Book Antiqua" w:cs="Book Antiqua"/>
          <w:b/>
          <w:color w:val="000000"/>
        </w:rPr>
        <w:t>High expression of squamous cell carcinoma antigen in poorly differentiated adenocarcinoma of the stomach: A case report</w:t>
      </w:r>
    </w:p>
    <w:p w14:paraId="55C45FA6" w14:textId="77777777" w:rsidR="002A20FE" w:rsidRDefault="002A20FE">
      <w:pPr>
        <w:spacing w:line="360" w:lineRule="auto"/>
        <w:jc w:val="both"/>
      </w:pPr>
    </w:p>
    <w:p w14:paraId="699653B2" w14:textId="77777777" w:rsidR="002A20FE" w:rsidRDefault="00E9210C">
      <w:pPr>
        <w:spacing w:line="360" w:lineRule="auto"/>
        <w:jc w:val="both"/>
      </w:pPr>
      <w:r>
        <w:rPr>
          <w:rFonts w:ascii="Book Antiqua" w:eastAsia="Book Antiqua" w:hAnsi="Book Antiqua" w:cs="Book Antiqua"/>
          <w:color w:val="000000"/>
        </w:rPr>
        <w:t xml:space="preserve">Wang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High expression of SCCA in GC</w:t>
      </w:r>
    </w:p>
    <w:p w14:paraId="4715BF30" w14:textId="77777777" w:rsidR="002A20FE" w:rsidRDefault="002A20FE">
      <w:pPr>
        <w:spacing w:line="360" w:lineRule="auto"/>
        <w:jc w:val="both"/>
      </w:pPr>
    </w:p>
    <w:p w14:paraId="28546104" w14:textId="77777777" w:rsidR="002A20FE" w:rsidRDefault="00E9210C">
      <w:pPr>
        <w:spacing w:line="360" w:lineRule="auto"/>
        <w:jc w:val="both"/>
      </w:pPr>
      <w:r>
        <w:rPr>
          <w:rFonts w:ascii="Book Antiqua" w:eastAsia="Book Antiqua" w:hAnsi="Book Antiqua" w:cs="Book Antiqua"/>
          <w:color w:val="000000"/>
        </w:rPr>
        <w:t xml:space="preserve">Lin Wang, Lei Huang, Lei Xi, Shi-Chang Zhang,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-Xin Zhang</w:t>
      </w:r>
    </w:p>
    <w:p w14:paraId="481AA25B" w14:textId="77777777" w:rsidR="002A20FE" w:rsidRDefault="002A20FE">
      <w:pPr>
        <w:spacing w:line="360" w:lineRule="auto"/>
        <w:jc w:val="both"/>
      </w:pPr>
    </w:p>
    <w:p w14:paraId="40D356F9" w14:textId="77777777" w:rsidR="002A20FE" w:rsidRDefault="00E9210C">
      <w:pPr>
        <w:spacing w:line="360" w:lineRule="auto"/>
        <w:jc w:val="both"/>
      </w:pPr>
      <w:r>
        <w:rPr>
          <w:rFonts w:ascii="Book Antiqua" w:eastAsia="Book Antiqua" w:hAnsi="Book Antiqua" w:cs="Book Antiqua"/>
          <w:b/>
          <w:bCs/>
          <w:color w:val="000000"/>
        </w:rPr>
        <w:t xml:space="preserve">Lin Wang, Shi-Chang Zhang,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-Xin Zhang, </w:t>
      </w:r>
      <w:r>
        <w:rPr>
          <w:rFonts w:ascii="Book Antiqua" w:eastAsia="Book Antiqua" w:hAnsi="Book Antiqua" w:cs="Book Antiqua"/>
          <w:color w:val="000000"/>
        </w:rPr>
        <w:t>Department of Laboratory Medicine, The First Affiliated Hospital of Nanjing Medical University, Nanjing 210029, Jiangsu Province, China</w:t>
      </w:r>
    </w:p>
    <w:p w14:paraId="06BC671A" w14:textId="77777777" w:rsidR="002A20FE" w:rsidRDefault="002A20FE">
      <w:pPr>
        <w:spacing w:line="360" w:lineRule="auto"/>
        <w:jc w:val="both"/>
      </w:pPr>
    </w:p>
    <w:p w14:paraId="04CBFF5B" w14:textId="77777777" w:rsidR="002A20FE" w:rsidRDefault="00E9210C">
      <w:pPr>
        <w:spacing w:line="360" w:lineRule="auto"/>
        <w:jc w:val="both"/>
      </w:pPr>
      <w:r>
        <w:rPr>
          <w:rFonts w:ascii="Book Antiqua" w:eastAsia="Book Antiqua" w:hAnsi="Book Antiqua" w:cs="Book Antiqua"/>
          <w:b/>
          <w:bCs/>
          <w:color w:val="000000"/>
        </w:rPr>
        <w:t xml:space="preserve">Lei Huang, </w:t>
      </w:r>
      <w:r>
        <w:rPr>
          <w:rFonts w:ascii="Book Antiqua" w:eastAsia="Book Antiqua" w:hAnsi="Book Antiqua" w:cs="Book Antiqua"/>
          <w:color w:val="000000"/>
        </w:rPr>
        <w:t>Department of Laboratory Medicine, Nanjing Medical University, Nanjing 210029, Jiangsu Province, China</w:t>
      </w:r>
    </w:p>
    <w:p w14:paraId="210FEE4C" w14:textId="77777777" w:rsidR="002A20FE" w:rsidRDefault="002A20FE">
      <w:pPr>
        <w:spacing w:line="360" w:lineRule="auto"/>
        <w:jc w:val="both"/>
      </w:pPr>
    </w:p>
    <w:p w14:paraId="7B35A1D6" w14:textId="77777777" w:rsidR="002A20FE" w:rsidRDefault="00E9210C">
      <w:pPr>
        <w:spacing w:line="360" w:lineRule="auto"/>
        <w:jc w:val="both"/>
      </w:pPr>
      <w:r>
        <w:rPr>
          <w:rFonts w:ascii="Book Antiqua" w:eastAsia="Book Antiqua" w:hAnsi="Book Antiqua" w:cs="Book Antiqua"/>
          <w:b/>
          <w:bCs/>
          <w:color w:val="000000"/>
        </w:rPr>
        <w:t xml:space="preserve">Lei Xi, </w:t>
      </w:r>
      <w:r>
        <w:rPr>
          <w:rFonts w:ascii="Book Antiqua" w:eastAsia="Book Antiqua" w:hAnsi="Book Antiqua" w:cs="Book Antiqua"/>
          <w:color w:val="000000"/>
        </w:rPr>
        <w:t>Department of Pathology, The First Affiliated Hospital of Nanjing Medical University, Nanjing 210029, Jiangsu Province, China</w:t>
      </w:r>
    </w:p>
    <w:p w14:paraId="538E92D7" w14:textId="77777777" w:rsidR="002A20FE" w:rsidRDefault="002A20FE">
      <w:pPr>
        <w:spacing w:line="360" w:lineRule="auto"/>
        <w:jc w:val="both"/>
      </w:pPr>
    </w:p>
    <w:p w14:paraId="1FA424F0" w14:textId="77777777" w:rsidR="002A20FE" w:rsidRDefault="00E921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2"/>
        </w:rPr>
        <w:t>Wang L and Huang L collected the information of the patient and wrote the manuscript; Zhang JX and Zhang SC designed the study and revised the manuscript; Xi L performed immunohistochemistry; all authors issued final approval for the version to be submitted.</w:t>
      </w:r>
    </w:p>
    <w:p w14:paraId="7729D510" w14:textId="77777777" w:rsidR="002A20FE" w:rsidRDefault="002A20FE">
      <w:pPr>
        <w:spacing w:line="360" w:lineRule="auto"/>
        <w:jc w:val="both"/>
      </w:pPr>
    </w:p>
    <w:p w14:paraId="1ADFCAC4" w14:textId="77777777" w:rsidR="002A20FE" w:rsidRDefault="00E9210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The Six Top Talent Project of Jiangsu Province, No. WSW-004; National Natural Science Foundation of China, No. 81671836; and Key Laboratory for Laboratory Medicine of Jiangsu Province of China, No. ZDXKB2016005.</w:t>
      </w:r>
    </w:p>
    <w:p w14:paraId="16726FBD" w14:textId="77777777" w:rsidR="002A20FE" w:rsidRDefault="002A20FE">
      <w:pPr>
        <w:spacing w:line="360" w:lineRule="auto"/>
        <w:jc w:val="both"/>
      </w:pPr>
    </w:p>
    <w:p w14:paraId="3F35516B" w14:textId="26C8C19A" w:rsidR="002A20FE" w:rsidRDefault="00E9210C">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-Xin Zhang, MD, PhD, Associate Professor, Senior Researcher, </w:t>
      </w:r>
      <w:r>
        <w:rPr>
          <w:rFonts w:ascii="Book Antiqua" w:eastAsia="Book Antiqua" w:hAnsi="Book Antiqua" w:cs="Book Antiqua"/>
          <w:color w:val="000000"/>
        </w:rPr>
        <w:t>Department of Laboratory Medicine, The First Affiliated Hospital of Nanjing Medical University, No. 300 Guangzhou Road, Nanjing 210029, Jiangsu Province, China. jiexinzhang@njmu.edu.cn</w:t>
      </w:r>
    </w:p>
    <w:p w14:paraId="7B8152B4" w14:textId="77777777" w:rsidR="002A20FE" w:rsidRDefault="002A20FE">
      <w:pPr>
        <w:spacing w:line="360" w:lineRule="auto"/>
        <w:jc w:val="both"/>
      </w:pPr>
    </w:p>
    <w:p w14:paraId="2B4EC59E" w14:textId="77777777" w:rsidR="002A20FE" w:rsidRDefault="00E921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2020</w:t>
      </w:r>
    </w:p>
    <w:p w14:paraId="08000C8D" w14:textId="77777777" w:rsidR="002A20FE" w:rsidRDefault="00E921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2020</w:t>
      </w:r>
    </w:p>
    <w:p w14:paraId="04EE4203" w14:textId="77777777" w:rsidR="002A20FE" w:rsidRDefault="00E9210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Pr>
          <w:rFonts w:ascii="Book Antiqua" w:hAnsi="Book Antiqua" w:cs="Arial"/>
          <w:color w:val="000000" w:themeColor="text1"/>
          <w:shd w:val="clear" w:color="auto" w:fill="FFFFFF"/>
        </w:rPr>
        <w:t>September 5, 2020</w:t>
      </w:r>
    </w:p>
    <w:p w14:paraId="436716D3" w14:textId="77777777" w:rsidR="002A20FE" w:rsidRDefault="00E9210C">
      <w:pPr>
        <w:spacing w:line="360" w:lineRule="auto"/>
        <w:jc w:val="both"/>
      </w:pPr>
      <w:r>
        <w:rPr>
          <w:rFonts w:ascii="Book Antiqua" w:eastAsia="Book Antiqua" w:hAnsi="Book Antiqua" w:cs="Book Antiqua"/>
          <w:b/>
          <w:bCs/>
          <w:color w:val="000000"/>
        </w:rPr>
        <w:t xml:space="preserve">Published online: </w:t>
      </w:r>
    </w:p>
    <w:p w14:paraId="70F1D982" w14:textId="77777777" w:rsidR="002A20FE" w:rsidRDefault="002A20FE">
      <w:pPr>
        <w:spacing w:line="360" w:lineRule="auto"/>
        <w:jc w:val="both"/>
        <w:sectPr w:rsidR="002A20FE">
          <w:footerReference w:type="default" r:id="rId7"/>
          <w:pgSz w:w="12240" w:h="15840"/>
          <w:pgMar w:top="1440" w:right="1440" w:bottom="1440" w:left="1440" w:header="720" w:footer="720" w:gutter="0"/>
          <w:cols w:space="720"/>
          <w:docGrid w:linePitch="360"/>
        </w:sectPr>
      </w:pPr>
    </w:p>
    <w:p w14:paraId="09324B1D" w14:textId="77777777" w:rsidR="002A20FE" w:rsidRDefault="00E9210C">
      <w:pPr>
        <w:spacing w:line="360" w:lineRule="auto"/>
        <w:jc w:val="both"/>
      </w:pPr>
      <w:r>
        <w:rPr>
          <w:rFonts w:ascii="Book Antiqua" w:eastAsia="Book Antiqua" w:hAnsi="Book Antiqua" w:cs="Book Antiqua"/>
          <w:b/>
          <w:color w:val="000000"/>
        </w:rPr>
        <w:lastRenderedPageBreak/>
        <w:t>Abstract</w:t>
      </w:r>
    </w:p>
    <w:p w14:paraId="697846D0" w14:textId="77777777" w:rsidR="002A20FE" w:rsidRDefault="00E9210C">
      <w:pPr>
        <w:spacing w:line="360" w:lineRule="auto"/>
        <w:jc w:val="both"/>
      </w:pPr>
      <w:r>
        <w:rPr>
          <w:rFonts w:ascii="Book Antiqua" w:eastAsia="Book Antiqua" w:hAnsi="Book Antiqua" w:cs="Book Antiqua"/>
          <w:color w:val="000000"/>
        </w:rPr>
        <w:t>BACKGROUND</w:t>
      </w:r>
    </w:p>
    <w:p w14:paraId="46418B01" w14:textId="77777777" w:rsidR="002A20FE" w:rsidRDefault="00E9210C">
      <w:pPr>
        <w:spacing w:line="360" w:lineRule="auto"/>
        <w:jc w:val="both"/>
      </w:pPr>
      <w:bookmarkStart w:id="0" w:name="_Hlk50038414"/>
      <w:r>
        <w:rPr>
          <w:rFonts w:ascii="Book Antiqua" w:eastAsia="Book Antiqua" w:hAnsi="Book Antiqua" w:cs="Book Antiqua"/>
          <w:color w:val="000000"/>
        </w:rPr>
        <w:t>Squamous cell carcinoma antigen</w:t>
      </w:r>
      <w:bookmarkEnd w:id="0"/>
      <w:r>
        <w:rPr>
          <w:rFonts w:ascii="Book Antiqua" w:eastAsia="Book Antiqua" w:hAnsi="Book Antiqua" w:cs="Book Antiqua"/>
          <w:color w:val="000000"/>
        </w:rPr>
        <w:t xml:space="preserve"> (SCCA) is regarded as a specific indicator of epithelial malignancies and is widely used in the diagnosis of squamous cell carcinoma (SCC). However, the expression of SCCA in gastric adenocarcinoma has not been studied in detail.</w:t>
      </w:r>
    </w:p>
    <w:p w14:paraId="5B7E7F5A" w14:textId="77777777" w:rsidR="002A20FE" w:rsidRDefault="002A20FE">
      <w:pPr>
        <w:spacing w:line="360" w:lineRule="auto"/>
        <w:jc w:val="both"/>
      </w:pPr>
    </w:p>
    <w:p w14:paraId="1EE87F4E" w14:textId="77777777" w:rsidR="002A20FE" w:rsidRDefault="00E9210C">
      <w:pPr>
        <w:spacing w:line="360" w:lineRule="auto"/>
        <w:jc w:val="both"/>
      </w:pPr>
      <w:r>
        <w:rPr>
          <w:rFonts w:ascii="Book Antiqua" w:eastAsia="Book Antiqua" w:hAnsi="Book Antiqua" w:cs="Book Antiqua"/>
          <w:color w:val="000000"/>
        </w:rPr>
        <w:t>CASE SUMMARY</w:t>
      </w:r>
    </w:p>
    <w:p w14:paraId="5868A47B" w14:textId="2F703E83" w:rsidR="002A20FE" w:rsidRDefault="00E9210C">
      <w:pPr>
        <w:spacing w:line="360" w:lineRule="auto"/>
        <w:jc w:val="both"/>
      </w:pPr>
      <w:r>
        <w:rPr>
          <w:rFonts w:ascii="Book Antiqua" w:eastAsia="Book Antiqua" w:hAnsi="Book Antiqua" w:cs="Book Antiqua"/>
          <w:color w:val="000000"/>
          <w:szCs w:val="22"/>
        </w:rPr>
        <w:t>A 52-year-old man was admitted to our hospital for a 2.5 cm × 2.5 cm ulcer at the antrum-body junction with dull pain and fullness in the upper abdomen for 2 mo. His pre-surgery serological testing results showed 0.51 ng/mL SCCA (reference interval, &lt; 1.5 ng/mL) and 9.9 ng/mL carcinoembryonic antigen (reference range, &lt; 4.7 ng/mL). He underwent radical distal gastrectomy and Roux-</w:t>
      </w:r>
      <w:proofErr w:type="spellStart"/>
      <w:r>
        <w:rPr>
          <w:rFonts w:ascii="Book Antiqua" w:eastAsia="Book Antiqua" w:hAnsi="Book Antiqua" w:cs="Book Antiqua"/>
          <w:color w:val="000000"/>
          <w:szCs w:val="22"/>
        </w:rPr>
        <w:t>en</w:t>
      </w:r>
      <w:proofErr w:type="spellEnd"/>
      <w:r>
        <w:rPr>
          <w:rFonts w:ascii="Book Antiqua" w:eastAsia="Book Antiqua" w:hAnsi="Book Antiqua" w:cs="Book Antiqua"/>
          <w:color w:val="000000"/>
          <w:szCs w:val="22"/>
        </w:rPr>
        <w:t xml:space="preserve"> Y anastomosis and was diagnosed with poorly differentiated mucinous adenocarcinoma (Lauren classification: diffuse) by pathological examination of the resected lesion. Immunohistochemistry showed that SCCA was highly expressed in the cytoplasm of cancer cells. After surgery, the patient received an S-1 adjuvant chemotherapy regimen for six cycles containing tegafur, </w:t>
      </w:r>
      <w:proofErr w:type="spellStart"/>
      <w:r>
        <w:rPr>
          <w:rFonts w:ascii="Book Antiqua" w:eastAsia="Book Antiqua" w:hAnsi="Book Antiqua" w:cs="Book Antiqua"/>
          <w:color w:val="000000"/>
          <w:szCs w:val="22"/>
        </w:rPr>
        <w:t>gimeracil</w:t>
      </w:r>
      <w:proofErr w:type="spellEnd"/>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oteracil</w:t>
      </w:r>
      <w:proofErr w:type="spellEnd"/>
      <w:r>
        <w:rPr>
          <w:rFonts w:ascii="Book Antiqua" w:eastAsia="Book Antiqua" w:hAnsi="Book Antiqua" w:cs="Book Antiqua"/>
          <w:color w:val="000000"/>
          <w:szCs w:val="22"/>
        </w:rPr>
        <w:t xml:space="preserve"> potassium. He showed no sign of recurrence or metastasis within 24-mo follow-up.</w:t>
      </w:r>
    </w:p>
    <w:p w14:paraId="417AF806" w14:textId="77777777" w:rsidR="002A20FE" w:rsidRDefault="002A20FE">
      <w:pPr>
        <w:spacing w:line="360" w:lineRule="auto"/>
        <w:jc w:val="both"/>
      </w:pPr>
    </w:p>
    <w:p w14:paraId="2589C2E4" w14:textId="77777777" w:rsidR="002A20FE" w:rsidRDefault="00E9210C">
      <w:pPr>
        <w:spacing w:line="360" w:lineRule="auto"/>
        <w:jc w:val="both"/>
      </w:pPr>
      <w:r>
        <w:rPr>
          <w:rFonts w:ascii="Book Antiqua" w:eastAsia="Book Antiqua" w:hAnsi="Book Antiqua" w:cs="Book Antiqua"/>
          <w:color w:val="000000"/>
        </w:rPr>
        <w:t>CONCLUSION</w:t>
      </w:r>
    </w:p>
    <w:p w14:paraId="31066DF6" w14:textId="001AEF27" w:rsidR="002A20FE" w:rsidRDefault="00E9210C">
      <w:pPr>
        <w:spacing w:line="360" w:lineRule="auto"/>
        <w:jc w:val="both"/>
      </w:pPr>
      <w:r>
        <w:rPr>
          <w:rFonts w:ascii="Book Antiqua" w:eastAsia="Book Antiqua" w:hAnsi="Book Antiqua" w:cs="Book Antiqua"/>
          <w:color w:val="000000"/>
        </w:rPr>
        <w:t>This is a frontal report of SCCA overexpression in poorly differentiated adenocarcinoma of the stomach.</w:t>
      </w:r>
    </w:p>
    <w:p w14:paraId="5EB534A2" w14:textId="77777777" w:rsidR="002A20FE" w:rsidRDefault="002A20FE">
      <w:pPr>
        <w:spacing w:line="360" w:lineRule="auto"/>
        <w:jc w:val="both"/>
      </w:pPr>
    </w:p>
    <w:p w14:paraId="68B10284" w14:textId="24554A31" w:rsidR="002A20FE" w:rsidRDefault="00E921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zCs w:val="22"/>
        </w:rPr>
        <w:t>Squamous cell carcinoma antigen; Gastric adenocarcinoma; Protease inhibitor; Immunohistochemical staining; Differentiation; Case report</w:t>
      </w:r>
    </w:p>
    <w:p w14:paraId="69BA6FB9" w14:textId="77777777" w:rsidR="002A20FE" w:rsidRDefault="002A20FE">
      <w:pPr>
        <w:spacing w:line="360" w:lineRule="auto"/>
        <w:jc w:val="both"/>
      </w:pPr>
    </w:p>
    <w:p w14:paraId="305CEA05" w14:textId="77777777" w:rsidR="002A20FE" w:rsidRDefault="00E9210C">
      <w:pPr>
        <w:spacing w:line="360" w:lineRule="auto"/>
        <w:jc w:val="both"/>
      </w:pPr>
      <w:r>
        <w:rPr>
          <w:rFonts w:ascii="Book Antiqua" w:eastAsia="Book Antiqua" w:hAnsi="Book Antiqua" w:cs="Book Antiqua"/>
          <w:color w:val="000000"/>
        </w:rPr>
        <w:lastRenderedPageBreak/>
        <w:t xml:space="preserve">Wang L, Huang L, Xi L, Zhang SC, Zhang JX. High expression of squamous cell carcinoma antigen in poorly differentiated adenocarcinoma of the stomach: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78A852D" w14:textId="77777777" w:rsidR="002A20FE" w:rsidRDefault="002A20FE">
      <w:pPr>
        <w:spacing w:line="360" w:lineRule="auto"/>
        <w:jc w:val="both"/>
      </w:pPr>
    </w:p>
    <w:p w14:paraId="1823F481" w14:textId="77777777" w:rsidR="002A20FE" w:rsidRDefault="00E921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We report a typical case of poorly differentiated mucinous adenocarcinoma (pT3aN3aM0) with </w:t>
      </w:r>
      <w:r>
        <w:rPr>
          <w:rFonts w:ascii="Book Antiqua" w:eastAsia="Book Antiqua" w:hAnsi="Book Antiqua" w:cs="Book Antiqua"/>
          <w:color w:val="000000"/>
        </w:rPr>
        <w:t>squamous cell carcinoma antigen</w:t>
      </w:r>
      <w:r>
        <w:rPr>
          <w:rFonts w:ascii="Book Antiqua" w:eastAsia="Book Antiqua" w:hAnsi="Book Antiqua" w:cs="Book Antiqua"/>
          <w:color w:val="000000"/>
          <w:szCs w:val="22"/>
        </w:rPr>
        <w:t xml:space="preserve"> (SCCA) overexpression. Since the patient had no sign of recurrence or metastasis up to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it might contribute to improving the understanding of the nature of SCCA as a protease inhibitor in cancer. This report also emphasizes a subgroup of patients who have been diagnosed with adenocarcinoma and serves as a reminder to oncologists that a prospective cohort study should be carried out to evaluate SCCA-related prognosis.</w:t>
      </w:r>
    </w:p>
    <w:p w14:paraId="3667B4BB" w14:textId="77777777" w:rsidR="002A20FE" w:rsidRDefault="00E9210C">
      <w:pPr>
        <w:spacing w:line="360" w:lineRule="auto"/>
        <w:jc w:val="both"/>
      </w:pPr>
      <w:r>
        <w:br w:type="page"/>
      </w:r>
      <w:r>
        <w:rPr>
          <w:rFonts w:ascii="Book Antiqua" w:eastAsia="Book Antiqua" w:hAnsi="Book Antiqua" w:cs="Book Antiqua"/>
          <w:b/>
          <w:caps/>
          <w:color w:val="000000"/>
          <w:u w:val="single"/>
        </w:rPr>
        <w:lastRenderedPageBreak/>
        <w:t>INTRODUCTION</w:t>
      </w:r>
    </w:p>
    <w:p w14:paraId="438D48CB" w14:textId="770BF4EB" w:rsidR="002A20FE" w:rsidRDefault="00E9210C">
      <w:pPr>
        <w:spacing w:line="360" w:lineRule="auto"/>
        <w:jc w:val="both"/>
      </w:pPr>
      <w:r>
        <w:rPr>
          <w:rFonts w:ascii="Book Antiqua" w:eastAsia="Book Antiqua" w:hAnsi="Book Antiqua" w:cs="Book Antiqua"/>
          <w:color w:val="000000"/>
        </w:rPr>
        <w:t xml:space="preserve">Gastric cancer (GC) is a common malignancy and the second leading cause of cancer related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Gastric adenocarcinoma, arising from the glands of the most superficial layer or the mucosa, accounts for more than 90% of all GC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survival rate of GC is dismal, and the 5-year survival rate is generally between 30%-40%, except in Japan and </w:t>
      </w:r>
      <w:proofErr w:type="gramStart"/>
      <w:r>
        <w:rPr>
          <w:rFonts w:ascii="Book Antiqua" w:eastAsia="Book Antiqua" w:hAnsi="Book Antiqua" w:cs="Book Antiqua"/>
          <w:color w:val="000000"/>
        </w:rPr>
        <w:t>Korea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Although the addition of trastuzumab to first line chemotherapy has improved the overall survival of some advanced patients, only 20% of patients benefit from this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Researchers are still devoting to identify new effective therapeutic targets.</w:t>
      </w:r>
    </w:p>
    <w:p w14:paraId="1E2E6BF0" w14:textId="798E5CA2" w:rsidR="002A20FE" w:rsidRDefault="00E9210C">
      <w:pPr>
        <w:spacing w:line="360" w:lineRule="auto"/>
        <w:ind w:firstLineChars="100" w:firstLine="240"/>
        <w:jc w:val="both"/>
      </w:pPr>
      <w:r>
        <w:rPr>
          <w:rFonts w:ascii="Book Antiqua" w:eastAsia="Book Antiqua" w:hAnsi="Book Antiqua" w:cs="Book Antiqua"/>
          <w:color w:val="000000"/>
          <w:szCs w:val="22"/>
        </w:rPr>
        <w:t xml:space="preserve">Squamous cell carcinoma antigen (SCCA) is a tumor marker for squamous cell carcinoma (SCC). It is overexpressed in neoplastic tissues of epithelial origin, such as </w:t>
      </w:r>
      <w:proofErr w:type="gramStart"/>
      <w:r>
        <w:rPr>
          <w:rFonts w:ascii="Book Antiqua" w:eastAsia="Book Antiqua" w:hAnsi="Book Antiqua" w:cs="Book Antiqua"/>
          <w:color w:val="000000"/>
          <w:szCs w:val="22"/>
        </w:rPr>
        <w:t>cervical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6]</w:t>
      </w:r>
      <w:r>
        <w:rPr>
          <w:rFonts w:ascii="Book Antiqua" w:eastAsia="Book Antiqua" w:hAnsi="Book Antiqua" w:cs="Book Antiqua"/>
          <w:color w:val="000000"/>
          <w:szCs w:val="22"/>
        </w:rPr>
        <w:t>, esophageal</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and head and neck SCCs</w:t>
      </w:r>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xml:space="preserve">. Elevated serum SCCA is often associated with therapeutic resistance and poor </w:t>
      </w:r>
      <w:proofErr w:type="gramStart"/>
      <w:r>
        <w:rPr>
          <w:rFonts w:ascii="Book Antiqua" w:eastAsia="Book Antiqua" w:hAnsi="Book Antiqua" w:cs="Book Antiqua"/>
          <w:color w:val="000000"/>
          <w:szCs w:val="22"/>
        </w:rPr>
        <w:t>prognosis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However, SCCA expression has not been studied in depth neither in serum nor in tissue of GC patients.</w:t>
      </w:r>
    </w:p>
    <w:p w14:paraId="75EFA802" w14:textId="77777777" w:rsidR="002A20FE" w:rsidRDefault="002A20FE">
      <w:pPr>
        <w:spacing w:line="360" w:lineRule="auto"/>
        <w:jc w:val="both"/>
      </w:pPr>
    </w:p>
    <w:p w14:paraId="060D3C0E" w14:textId="77777777" w:rsidR="002A20FE" w:rsidRDefault="00E9210C">
      <w:pPr>
        <w:spacing w:line="360" w:lineRule="auto"/>
        <w:jc w:val="both"/>
      </w:pPr>
      <w:r>
        <w:rPr>
          <w:rFonts w:ascii="Book Antiqua" w:eastAsia="Book Antiqua" w:hAnsi="Book Antiqua" w:cs="Book Antiqua"/>
          <w:b/>
          <w:caps/>
          <w:color w:val="000000"/>
          <w:u w:val="single"/>
        </w:rPr>
        <w:t>CASE PRESENTATION</w:t>
      </w:r>
    </w:p>
    <w:p w14:paraId="44C5AB25" w14:textId="77777777" w:rsidR="002A20FE" w:rsidRDefault="00E9210C">
      <w:pPr>
        <w:spacing w:line="360" w:lineRule="auto"/>
        <w:jc w:val="both"/>
      </w:pPr>
      <w:r>
        <w:rPr>
          <w:rFonts w:ascii="Book Antiqua" w:eastAsia="Book Antiqua" w:hAnsi="Book Antiqua" w:cs="Book Antiqua"/>
          <w:b/>
          <w:i/>
          <w:color w:val="000000"/>
        </w:rPr>
        <w:t>Chief complaints</w:t>
      </w:r>
    </w:p>
    <w:p w14:paraId="6E437DE9" w14:textId="744EB2C7" w:rsidR="002A20FE" w:rsidRDefault="00E9210C">
      <w:pPr>
        <w:spacing w:line="360" w:lineRule="auto"/>
        <w:jc w:val="both"/>
      </w:pPr>
      <w:r>
        <w:rPr>
          <w:rFonts w:ascii="Book Antiqua" w:eastAsia="Book Antiqua" w:hAnsi="Book Antiqua" w:cs="Book Antiqua"/>
          <w:color w:val="000000"/>
          <w:szCs w:val="22"/>
        </w:rPr>
        <w:t xml:space="preserve">A 52-year-old man presented to our hospital complaining of dull pain and fullness in the upper abdomen for 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especially after eating. He reported no fever, diarrhea, hematemesis, black stool, or other discomfort.</w:t>
      </w:r>
    </w:p>
    <w:p w14:paraId="2E423AD2" w14:textId="77777777" w:rsidR="002A20FE" w:rsidRDefault="002A20FE">
      <w:pPr>
        <w:spacing w:line="360" w:lineRule="auto"/>
        <w:jc w:val="both"/>
      </w:pPr>
    </w:p>
    <w:p w14:paraId="3DD768C6" w14:textId="77777777" w:rsidR="002A20FE" w:rsidRDefault="00E9210C">
      <w:pPr>
        <w:spacing w:line="360" w:lineRule="auto"/>
        <w:jc w:val="both"/>
      </w:pPr>
      <w:r>
        <w:rPr>
          <w:rFonts w:ascii="Book Antiqua" w:eastAsia="Book Antiqua" w:hAnsi="Book Antiqua" w:cs="Book Antiqua"/>
          <w:b/>
          <w:i/>
          <w:color w:val="000000"/>
        </w:rPr>
        <w:t>History of present illness</w:t>
      </w:r>
    </w:p>
    <w:p w14:paraId="0BDB4FA5" w14:textId="0D0B3187" w:rsidR="002A20FE" w:rsidRDefault="00E9210C">
      <w:pPr>
        <w:spacing w:line="360" w:lineRule="auto"/>
        <w:jc w:val="both"/>
      </w:pPr>
      <w:r>
        <w:rPr>
          <w:rFonts w:ascii="Book Antiqua" w:eastAsia="Book Antiqua" w:hAnsi="Book Antiqua" w:cs="Book Antiqua"/>
          <w:color w:val="000000"/>
        </w:rPr>
        <w:t xml:space="preserve">The patient’s symptoms started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He took domperidone but had no relief.</w:t>
      </w:r>
    </w:p>
    <w:p w14:paraId="778B2D01" w14:textId="77777777" w:rsidR="002A20FE" w:rsidRDefault="002A20FE">
      <w:pPr>
        <w:spacing w:line="360" w:lineRule="auto"/>
        <w:jc w:val="both"/>
      </w:pPr>
    </w:p>
    <w:p w14:paraId="314A64D1" w14:textId="77777777" w:rsidR="002A20FE" w:rsidRDefault="00E9210C">
      <w:pPr>
        <w:spacing w:line="360" w:lineRule="auto"/>
        <w:jc w:val="both"/>
      </w:pPr>
      <w:r>
        <w:rPr>
          <w:rFonts w:ascii="Book Antiqua" w:eastAsia="Book Antiqua" w:hAnsi="Book Antiqua" w:cs="Book Antiqua"/>
          <w:b/>
          <w:i/>
          <w:color w:val="000000"/>
        </w:rPr>
        <w:t>History of past illness</w:t>
      </w:r>
    </w:p>
    <w:p w14:paraId="0E0A7DAC" w14:textId="77777777" w:rsidR="002A20FE" w:rsidRDefault="00E9210C">
      <w:pPr>
        <w:spacing w:line="360" w:lineRule="auto"/>
        <w:jc w:val="both"/>
      </w:pPr>
      <w:r>
        <w:rPr>
          <w:rFonts w:ascii="Book Antiqua" w:eastAsia="Book Antiqua" w:hAnsi="Book Antiqua" w:cs="Book Antiqua"/>
          <w:color w:val="000000"/>
        </w:rPr>
        <w:t>The patient had tuberculosis 20 years ago, and he had habits of drinking alcohol 150 mL per day and smoking 20 cigarettes per day for over 30 years.</w:t>
      </w:r>
    </w:p>
    <w:p w14:paraId="4383D77F" w14:textId="77777777" w:rsidR="002A20FE" w:rsidRDefault="002A20FE">
      <w:pPr>
        <w:spacing w:line="360" w:lineRule="auto"/>
        <w:jc w:val="both"/>
      </w:pPr>
    </w:p>
    <w:p w14:paraId="33EEFCD4" w14:textId="77777777" w:rsidR="002A20FE" w:rsidRDefault="00E9210C">
      <w:pPr>
        <w:spacing w:line="360" w:lineRule="auto"/>
        <w:jc w:val="both"/>
      </w:pPr>
      <w:r>
        <w:rPr>
          <w:rFonts w:ascii="Book Antiqua" w:eastAsia="Book Antiqua" w:hAnsi="Book Antiqua" w:cs="Book Antiqua"/>
          <w:b/>
          <w:i/>
          <w:color w:val="000000"/>
        </w:rPr>
        <w:t>Physical examination</w:t>
      </w:r>
    </w:p>
    <w:p w14:paraId="726614C0" w14:textId="77777777" w:rsidR="002A20FE" w:rsidRDefault="00E9210C">
      <w:pPr>
        <w:spacing w:line="360" w:lineRule="auto"/>
        <w:jc w:val="both"/>
      </w:pPr>
      <w:r>
        <w:rPr>
          <w:rFonts w:ascii="Book Antiqua" w:eastAsia="Book Antiqua" w:hAnsi="Book Antiqua" w:cs="Book Antiqua"/>
          <w:color w:val="000000"/>
        </w:rPr>
        <w:lastRenderedPageBreak/>
        <w:t>Upon admission, the patient’s temperature was 37.0 °C, heart rate was 80 bpm, respiratory rate was 18 breaths per min, and blood pressure was 120/80 mmHg.  Physical examination showed tenderness in the upper abdomen.</w:t>
      </w:r>
    </w:p>
    <w:p w14:paraId="5136EB61" w14:textId="77777777" w:rsidR="002A20FE" w:rsidRDefault="002A20FE">
      <w:pPr>
        <w:spacing w:line="360" w:lineRule="auto"/>
        <w:jc w:val="both"/>
      </w:pPr>
    </w:p>
    <w:p w14:paraId="42F0DC27" w14:textId="77777777" w:rsidR="002A20FE" w:rsidRDefault="00E9210C">
      <w:pPr>
        <w:spacing w:line="360" w:lineRule="auto"/>
        <w:jc w:val="both"/>
      </w:pPr>
      <w:r>
        <w:rPr>
          <w:rFonts w:ascii="Book Antiqua" w:eastAsia="Book Antiqua" w:hAnsi="Book Antiqua" w:cs="Book Antiqua"/>
          <w:b/>
          <w:i/>
          <w:color w:val="000000"/>
        </w:rPr>
        <w:t>Laboratory examinations</w:t>
      </w:r>
    </w:p>
    <w:p w14:paraId="2D3A9DEF" w14:textId="22AEA461" w:rsidR="002A20FE" w:rsidRDefault="00E9210C">
      <w:pPr>
        <w:spacing w:line="360" w:lineRule="auto"/>
        <w:jc w:val="both"/>
      </w:pPr>
      <w:r>
        <w:rPr>
          <w:rFonts w:ascii="Book Antiqua" w:eastAsia="Book Antiqua" w:hAnsi="Book Antiqua" w:cs="Book Antiqua"/>
          <w:color w:val="000000"/>
        </w:rPr>
        <w:t xml:space="preserve">Routine blood examination showed mild </w:t>
      </w:r>
      <w:proofErr w:type="spellStart"/>
      <w:r>
        <w:rPr>
          <w:rFonts w:ascii="Book Antiqua" w:eastAsia="Book Antiqua" w:hAnsi="Book Antiqua" w:cs="Book Antiqua"/>
          <w:color w:val="000000"/>
        </w:rPr>
        <w:t>erythrocytopenia</w:t>
      </w:r>
      <w:proofErr w:type="spellEnd"/>
      <w:r>
        <w:rPr>
          <w:rFonts w:ascii="Book Antiqua" w:eastAsia="Book Antiqua" w:hAnsi="Book Antiqua" w:cs="Book Antiqua"/>
          <w:color w:val="000000"/>
        </w:rPr>
        <w:t xml:space="preserve"> (4.19 ×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Serum </w:t>
      </w:r>
      <w:r>
        <w:rPr>
          <w:rFonts w:ascii="Book Antiqua" w:eastAsia="Book Antiqua" w:hAnsi="Book Antiqua" w:cs="Book Antiqua"/>
          <w:color w:val="000000"/>
          <w:szCs w:val="22"/>
        </w:rPr>
        <w:t>carcinoembryonic antigen</w:t>
      </w:r>
      <w:r>
        <w:rPr>
          <w:rFonts w:ascii="Book Antiqua" w:eastAsia="Book Antiqua" w:hAnsi="Book Antiqua" w:cs="Book Antiqua"/>
          <w:color w:val="000000"/>
        </w:rPr>
        <w:t xml:space="preserve"> (CEA) level was 9.9 ng/mL (reference range, &lt; 4.7 ng/mL), and other serum tumor markers were normal, including CA19-9, CA724, SCCA, and α-fetoprotein.</w:t>
      </w:r>
    </w:p>
    <w:p w14:paraId="3CC9A487" w14:textId="77777777" w:rsidR="002A20FE" w:rsidRDefault="002A20FE">
      <w:pPr>
        <w:spacing w:line="360" w:lineRule="auto"/>
        <w:jc w:val="both"/>
      </w:pPr>
    </w:p>
    <w:p w14:paraId="1EB9AC8E" w14:textId="77777777" w:rsidR="002A20FE" w:rsidRDefault="00E9210C">
      <w:pPr>
        <w:spacing w:line="360" w:lineRule="auto"/>
        <w:jc w:val="both"/>
      </w:pPr>
      <w:r>
        <w:rPr>
          <w:rFonts w:ascii="Book Antiqua" w:eastAsia="Book Antiqua" w:hAnsi="Book Antiqua" w:cs="Book Antiqua"/>
          <w:b/>
          <w:i/>
          <w:color w:val="000000"/>
        </w:rPr>
        <w:t>Imaging examinations</w:t>
      </w:r>
    </w:p>
    <w:p w14:paraId="541D916F" w14:textId="77777777" w:rsidR="002A20FE" w:rsidRDefault="00E9210C">
      <w:pPr>
        <w:spacing w:line="360" w:lineRule="auto"/>
        <w:jc w:val="both"/>
      </w:pPr>
      <w:r>
        <w:rPr>
          <w:rFonts w:ascii="Book Antiqua" w:eastAsia="Book Antiqua" w:hAnsi="Book Antiqua" w:cs="Book Antiqua"/>
          <w:color w:val="000000"/>
        </w:rPr>
        <w:t>Endoscopy showed a congestive mucosa in the gastric fundus with edema and an irregular ulcer approximately 2.5 cm × 2.5 cm in dimension at the antrum-body junction (Figure 1). Abdominal contrast-enhanced computed tomography further revealed irregular thickening and enhancement of the wall of the gastric antrum near the pylorus (Figure 2). No abnormalities were found in the esophagus, duodenum, liver, pancreas, kidney, or bladder.</w:t>
      </w:r>
    </w:p>
    <w:p w14:paraId="0D6144F7" w14:textId="77777777" w:rsidR="002A20FE" w:rsidRDefault="002A20FE">
      <w:pPr>
        <w:spacing w:line="360" w:lineRule="auto"/>
        <w:jc w:val="both"/>
      </w:pPr>
    </w:p>
    <w:p w14:paraId="679F71F3" w14:textId="77777777" w:rsidR="002A20FE" w:rsidRDefault="00E9210C">
      <w:pPr>
        <w:spacing w:line="360" w:lineRule="auto"/>
        <w:jc w:val="both"/>
      </w:pPr>
      <w:r>
        <w:rPr>
          <w:rFonts w:ascii="Book Antiqua" w:eastAsia="Book Antiqua" w:hAnsi="Book Antiqua" w:cs="Book Antiqua"/>
          <w:b/>
          <w:caps/>
          <w:color w:val="000000"/>
          <w:u w:val="single"/>
        </w:rPr>
        <w:t>MULTIDISCIPLINARY EXPERT CONSULTATION</w:t>
      </w:r>
    </w:p>
    <w:p w14:paraId="6AE35649" w14:textId="77777777" w:rsidR="002A20FE" w:rsidRDefault="00E9210C">
      <w:pPr>
        <w:spacing w:line="360" w:lineRule="auto"/>
        <w:jc w:val="both"/>
      </w:pPr>
      <w:r>
        <w:rPr>
          <w:rFonts w:ascii="Book Antiqua" w:eastAsia="Book Antiqua" w:hAnsi="Book Antiqua" w:cs="Book Antiqua"/>
          <w:color w:val="000000"/>
        </w:rPr>
        <w:t>The patient should undergo radical distal gastrectomy.</w:t>
      </w:r>
    </w:p>
    <w:p w14:paraId="2E7214A6" w14:textId="77777777" w:rsidR="002A20FE" w:rsidRDefault="002A20FE">
      <w:pPr>
        <w:spacing w:line="360" w:lineRule="auto"/>
        <w:jc w:val="both"/>
      </w:pPr>
    </w:p>
    <w:p w14:paraId="698EEDF5" w14:textId="77777777" w:rsidR="002A20FE" w:rsidRDefault="00E9210C">
      <w:pPr>
        <w:spacing w:line="360" w:lineRule="auto"/>
        <w:jc w:val="both"/>
      </w:pPr>
      <w:r>
        <w:rPr>
          <w:rFonts w:ascii="Book Antiqua" w:eastAsia="Book Antiqua" w:hAnsi="Book Antiqua" w:cs="Book Antiqua"/>
          <w:b/>
          <w:caps/>
          <w:color w:val="000000"/>
          <w:u w:val="single"/>
        </w:rPr>
        <w:t>FINAL DIAGNOSIS</w:t>
      </w:r>
    </w:p>
    <w:p w14:paraId="2B4BBF0D" w14:textId="0638E1DF" w:rsidR="002A20FE" w:rsidRDefault="00E9210C">
      <w:pPr>
        <w:spacing w:line="360" w:lineRule="auto"/>
        <w:jc w:val="both"/>
      </w:pPr>
      <w:r>
        <w:rPr>
          <w:rFonts w:ascii="Book Antiqua" w:eastAsia="Book Antiqua" w:hAnsi="Book Antiqua" w:cs="Book Antiqua"/>
          <w:color w:val="000000"/>
        </w:rPr>
        <w:t>The pathological examination of the distal stomach showed poorly differentiated mucinous adenocarcinoma (Lauren classification: diffuse), mostly signet-ring cells, and lymph node metastasis (pT3aN3aM0) (Figure 3). Immunohistochemical staining showed that the tumor cells were positive for CK-L (focal +++), CEA, SCCA (&gt; 90%, +++), and E-cadherin but negative for CD68, Her-2, p40, p63, CK5/6, CK7, CAM5.2, CK20, and Ki-67 (Figure 4).</w:t>
      </w:r>
    </w:p>
    <w:p w14:paraId="13ED108B" w14:textId="77777777" w:rsidR="002A20FE" w:rsidRDefault="002A20FE">
      <w:pPr>
        <w:spacing w:line="360" w:lineRule="auto"/>
        <w:jc w:val="both"/>
      </w:pPr>
    </w:p>
    <w:p w14:paraId="08A06E87" w14:textId="77777777" w:rsidR="002A20FE" w:rsidRDefault="00E9210C">
      <w:pPr>
        <w:spacing w:line="360" w:lineRule="auto"/>
        <w:jc w:val="both"/>
      </w:pPr>
      <w:r>
        <w:rPr>
          <w:rFonts w:ascii="Book Antiqua" w:eastAsia="Book Antiqua" w:hAnsi="Book Antiqua" w:cs="Book Antiqua"/>
          <w:b/>
          <w:caps/>
          <w:color w:val="000000"/>
          <w:u w:val="single"/>
        </w:rPr>
        <w:lastRenderedPageBreak/>
        <w:t>TREATMENT</w:t>
      </w:r>
    </w:p>
    <w:p w14:paraId="0DBCF635" w14:textId="4F3DD32B" w:rsidR="002A20FE" w:rsidRDefault="00E9210C">
      <w:pPr>
        <w:spacing w:line="360" w:lineRule="auto"/>
        <w:jc w:val="both"/>
      </w:pPr>
      <w:r>
        <w:rPr>
          <w:rFonts w:ascii="Book Antiqua" w:eastAsia="Book Antiqua" w:hAnsi="Book Antiqua" w:cs="Book Antiqua"/>
          <w:color w:val="000000"/>
        </w:rPr>
        <w:t>The patient underwent radical distal gastrectomy and Roux-</w:t>
      </w:r>
      <w:proofErr w:type="spellStart"/>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Y anastomosis. A 4 cm × 3 cm × 2 cm mass was found in the greater gastric curvature that had penetrated the serosa, and multiple enlarged lymph nodes were found in the lesser gastric curvature. After surgery, he orally took 50 mg BID of tegafur, </w:t>
      </w:r>
      <w:proofErr w:type="spellStart"/>
      <w:r>
        <w:rPr>
          <w:rFonts w:ascii="Book Antiqua" w:eastAsia="Book Antiqua" w:hAnsi="Book Antiqua" w:cs="Book Antiqua"/>
          <w:color w:val="000000"/>
        </w:rPr>
        <w:t>gimeracil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oteracil</w:t>
      </w:r>
      <w:proofErr w:type="spellEnd"/>
      <w:r>
        <w:rPr>
          <w:rFonts w:ascii="Book Antiqua" w:eastAsia="Book Antiqua" w:hAnsi="Book Antiqua" w:cs="Book Antiqua"/>
          <w:color w:val="000000"/>
        </w:rPr>
        <w:t xml:space="preserve"> potassium capsules for six cycles.</w:t>
      </w:r>
    </w:p>
    <w:p w14:paraId="253DF578" w14:textId="77777777" w:rsidR="002A20FE" w:rsidRDefault="002A20FE">
      <w:pPr>
        <w:spacing w:line="360" w:lineRule="auto"/>
        <w:jc w:val="both"/>
      </w:pPr>
    </w:p>
    <w:p w14:paraId="54FEC87F" w14:textId="77777777" w:rsidR="002A20FE" w:rsidRDefault="00E9210C">
      <w:pPr>
        <w:spacing w:line="360" w:lineRule="auto"/>
        <w:jc w:val="both"/>
      </w:pPr>
      <w:r>
        <w:rPr>
          <w:rFonts w:ascii="Book Antiqua" w:eastAsia="Book Antiqua" w:hAnsi="Book Antiqua" w:cs="Book Antiqua"/>
          <w:b/>
          <w:caps/>
          <w:color w:val="000000"/>
          <w:u w:val="single"/>
        </w:rPr>
        <w:t>OUTCOME AND FOLLOW-UP</w:t>
      </w:r>
    </w:p>
    <w:p w14:paraId="4D5E8A0D" w14:textId="11DB0A71" w:rsidR="002A20FE" w:rsidRDefault="00E9210C">
      <w:pPr>
        <w:spacing w:line="360" w:lineRule="auto"/>
        <w:jc w:val="both"/>
      </w:pPr>
      <w:r>
        <w:rPr>
          <w:rFonts w:ascii="Book Antiqua" w:eastAsia="Book Antiqua" w:hAnsi="Book Antiqua" w:cs="Book Antiqua"/>
          <w:color w:val="000000"/>
        </w:rPr>
        <w:t xml:space="preserve">During the follow-up period of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regularly came to our hospital for reexamination and he had no sign of recurrence or metastasis.</w:t>
      </w:r>
    </w:p>
    <w:p w14:paraId="3EE2ED5D" w14:textId="77777777" w:rsidR="002A20FE" w:rsidRDefault="002A20FE">
      <w:pPr>
        <w:spacing w:line="360" w:lineRule="auto"/>
        <w:jc w:val="both"/>
      </w:pPr>
    </w:p>
    <w:p w14:paraId="22B8DE0E" w14:textId="77777777" w:rsidR="002A20FE" w:rsidRDefault="00E9210C">
      <w:pPr>
        <w:spacing w:line="360" w:lineRule="auto"/>
        <w:jc w:val="both"/>
      </w:pPr>
      <w:r>
        <w:rPr>
          <w:rFonts w:ascii="Book Antiqua" w:eastAsia="Book Antiqua" w:hAnsi="Book Antiqua" w:cs="Book Antiqua"/>
          <w:b/>
          <w:caps/>
          <w:color w:val="000000"/>
          <w:u w:val="single"/>
        </w:rPr>
        <w:t>DISCUSSION</w:t>
      </w:r>
    </w:p>
    <w:p w14:paraId="292B8DB0" w14:textId="1B2C4128" w:rsidR="002A20FE" w:rsidRDefault="00E9210C">
      <w:pPr>
        <w:spacing w:line="360" w:lineRule="auto"/>
        <w:jc w:val="both"/>
      </w:pPr>
      <w:r>
        <w:rPr>
          <w:rFonts w:ascii="Book Antiqua" w:eastAsia="Book Antiqua" w:hAnsi="Book Antiqua" w:cs="Book Antiqua"/>
          <w:color w:val="000000"/>
        </w:rPr>
        <w:t xml:space="preserve">GC is one of the most common gastrointestinal malignancies worldwide, most of which are adenocarcinoma. Due to the high incidence of recurrence after resection and chemotherapy resistance, the 5-year overall survival rate of GC is less than 50%. Treatment of GC patients is extremely challenging due to patients being commonly treated in a uniform fashion irrespective of disease subtype. Existing traditional clinicopathologic criteria are inadequate for guiding individualized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With the deepening of studies at the molecular level, some new GC subtypes based on molecular characteristics have been proposed, providing a roadmap for patient stratification, treatment options, and drug </w:t>
      </w:r>
      <w:proofErr w:type="gramStart"/>
      <w:r>
        <w:rPr>
          <w:rFonts w:ascii="Book Antiqua" w:eastAsia="Book Antiqua" w:hAnsi="Book Antiqua" w:cs="Book Antiqua"/>
          <w:color w:val="000000"/>
        </w:rPr>
        <w:t>selection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Understanding the pathogenesis of GC and finding potential therapeutic targets to improve medical management and survival from this deadly disease are urgent tasks.</w:t>
      </w:r>
    </w:p>
    <w:p w14:paraId="06E7612C" w14:textId="7124B64E" w:rsidR="002A20FE" w:rsidRDefault="00E9210C">
      <w:pPr>
        <w:spacing w:line="360" w:lineRule="auto"/>
        <w:ind w:firstLineChars="100" w:firstLine="240"/>
        <w:jc w:val="both"/>
      </w:pPr>
      <w:r>
        <w:rPr>
          <w:rFonts w:ascii="Book Antiqua" w:eastAsia="Book Antiqua" w:hAnsi="Book Antiqua" w:cs="Book Antiqua"/>
          <w:color w:val="000000"/>
        </w:rPr>
        <w:t>Here, we report a case of SCCA overexpression in gastric poorly differentiated adenocarcinoma. The specificity of this overexpression was further confirmed by its absence in gastritis tissue and well differentiated adenocarcinoma (Figure 5). SCCA, a member of the ovalbumin serpin (</w:t>
      </w:r>
      <w:proofErr w:type="spellStart"/>
      <w:r>
        <w:rPr>
          <w:rFonts w:ascii="Book Antiqua" w:eastAsia="Book Antiqua" w:hAnsi="Book Antiqua" w:cs="Book Antiqua"/>
          <w:color w:val="000000"/>
        </w:rPr>
        <w:t>ov</w:t>
      </w:r>
      <w:proofErr w:type="spellEnd"/>
      <w:r>
        <w:rPr>
          <w:rFonts w:ascii="Book Antiqua" w:eastAsia="Book Antiqua" w:hAnsi="Book Antiqua" w:cs="Book Antiqua"/>
          <w:color w:val="000000"/>
        </w:rPr>
        <w:t xml:space="preserve">-serpin)/clade B serpin family, was originally isolated from SCC tissues of the uterine cervix by Kato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in the 1970s and used as the earliest marker to diagnose SCC. It has two subtypes with an identical 45-kDa </w:t>
      </w:r>
      <w:r>
        <w:rPr>
          <w:rFonts w:ascii="Book Antiqua" w:eastAsia="Book Antiqua" w:hAnsi="Book Antiqua" w:cs="Book Antiqua"/>
          <w:color w:val="000000"/>
        </w:rPr>
        <w:lastRenderedPageBreak/>
        <w:t xml:space="preserve">molecular weight: SCCA1 (Serpin B3) and SCCA2 (Serpin B3); both contain a key reactive center loop for interaction with the target protease and function as irreversible 'suicide' inhibitors for cellular proteases through reactive center loop </w:t>
      </w:r>
      <w:proofErr w:type="gramStart"/>
      <w:r>
        <w:rPr>
          <w:rFonts w:ascii="Book Antiqua" w:eastAsia="Book Antiqua" w:hAnsi="Book Antiqua" w:cs="Book Antiqua"/>
          <w:color w:val="000000"/>
        </w:rPr>
        <w:t>cleavage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This patient has been shown to have no sign of recurrence up to 24 mo. It seems that he has a better prognosis compared with other patients in the same TNM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Petty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found that SCCA leads to entirely opposite outcomes in two non-small cell lung cancer subtypes-squamous carcinoma and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75878C5A" w14:textId="2872C732" w:rsidR="002A20FE" w:rsidRDefault="00E9210C">
      <w:pPr>
        <w:spacing w:line="360" w:lineRule="auto"/>
        <w:ind w:firstLineChars="100" w:firstLine="240"/>
        <w:jc w:val="both"/>
      </w:pPr>
      <w:r>
        <w:rPr>
          <w:rFonts w:ascii="Book Antiqua" w:eastAsia="Book Antiqua" w:hAnsi="Book Antiqua" w:cs="Book Antiqua"/>
          <w:color w:val="000000"/>
        </w:rPr>
        <w:t xml:space="preserve">In this case, the patient’s serum SCCA was within the reference range by flow immunofluorescence assay. In fact, the current sensitivity of serum SCCA is unsatisfactory (44%-69% in cervical squamous carcinoma). More importantly, whether extracellular SCCA is a result of passive release from dead cells or active secretion from live cells is still debatable.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confirmed that SCCA (1 or 2) synthesized by squamous carcinoma cells is mainly retained in the cytoplasm, and only a small amount is </w:t>
      </w:r>
      <w:proofErr w:type="gramStart"/>
      <w:r>
        <w:rPr>
          <w:rFonts w:ascii="Book Antiqua" w:eastAsia="Book Antiqua" w:hAnsi="Book Antiqua" w:cs="Book Antiqua"/>
          <w:color w:val="000000"/>
        </w:rPr>
        <w:t>secreted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6C2061D0" w14:textId="5650A28D" w:rsidR="002A20FE" w:rsidRDefault="00E9210C">
      <w:pPr>
        <w:spacing w:line="360" w:lineRule="auto"/>
        <w:ind w:firstLineChars="100" w:firstLine="240"/>
        <w:jc w:val="both"/>
      </w:pPr>
      <w:r>
        <w:rPr>
          <w:rFonts w:ascii="Book Antiqua" w:eastAsia="Book Antiqua" w:hAnsi="Book Antiqua" w:cs="Book Antiqua"/>
          <w:color w:val="000000"/>
        </w:rPr>
        <w:t xml:space="preserve">SCCA upregulation is also observed in adenocarcinoma of the </w:t>
      </w:r>
      <w:proofErr w:type="gramStart"/>
      <w:r>
        <w:rPr>
          <w:rFonts w:ascii="Book Antiqua" w:eastAsia="Book Antiqua" w:hAnsi="Book Antiqua" w:cs="Book Antiqua"/>
          <w:color w:val="000000"/>
        </w:rPr>
        <w:t>lung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Barrett’s  esophagus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breast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pancreas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and chronic inflammatory diseases of the skin (psoriasis, specific dermatitis, and eczema) as well as in respiratory inflammatory diseases (pulmonary tuberculosis, asthma, and chronic obstructive pulmonary disease). A large retrospective study found upregulated SCCA in patients with uremia, azotemia, diabetic nephropathy, and nephrotic </w:t>
      </w:r>
      <w:proofErr w:type="gramStart"/>
      <w:r>
        <w:rPr>
          <w:rFonts w:ascii="Book Antiqua" w:eastAsia="Book Antiqua" w:hAnsi="Book Antiqua" w:cs="Book Antiqua"/>
          <w:color w:val="000000"/>
        </w:rPr>
        <w:t>syndrome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SCCA regulates the differentiation of the normal squamous epithelium. It enhances tumor growth by promoting cell resistance to apoptosis and amplifies invasive potential by triggering epithelial-mesenchymal </w:t>
      </w:r>
      <w:proofErr w:type="gramStart"/>
      <w:r>
        <w:rPr>
          <w:rFonts w:ascii="Book Antiqua" w:eastAsia="Book Antiqua" w:hAnsi="Book Antiqua" w:cs="Book Antiqua"/>
          <w:color w:val="000000"/>
        </w:rPr>
        <w:t>transition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SCCA also inhibits chemotaxis and cytotoxicity of natural killer cells to suppress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Turato</w:t>
      </w:r>
      <w:proofErr w:type="spellEnd"/>
      <w:r>
        <w:rPr>
          <w:rFonts w:ascii="Book Antiqua" w:eastAsia="Book Antiqua" w:hAnsi="Book Antiqua" w:cs="Book Antiqua"/>
          <w:color w:val="000000"/>
        </w:rPr>
        <w:t xml:space="preserve"> </w:t>
      </w:r>
      <w:r w:rsidRPr="002611CD">
        <w:rPr>
          <w:rFonts w:ascii="Book Antiqua" w:eastAsia="Book Antiqua" w:hAnsi="Book Antiqua" w:cs="Book Antiqua"/>
          <w:i/>
          <w:color w:val="000000"/>
        </w:rPr>
        <w:t>et al</w:t>
      </w:r>
      <w:r>
        <w:rPr>
          <w:rFonts w:ascii="Book Antiqua" w:eastAsia="Book Antiqua" w:hAnsi="Book Antiqua" w:cs="Book Antiqua"/>
          <w:color w:val="000000"/>
        </w:rPr>
        <w:t xml:space="preserve"> demonstrated that SerpinB3 contributes to hepatocellular carcinoma stem cell phenotype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miR-122</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p>
    <w:p w14:paraId="315551FD" w14:textId="3A78929F" w:rsidR="002A20FE" w:rsidRDefault="00E9210C">
      <w:pPr>
        <w:spacing w:line="360" w:lineRule="auto"/>
        <w:ind w:firstLineChars="100" w:firstLine="240"/>
        <w:jc w:val="both"/>
      </w:pPr>
      <w:r>
        <w:rPr>
          <w:rFonts w:ascii="Book Antiqua" w:eastAsia="Book Antiqua" w:hAnsi="Book Antiqua" w:cs="Book Antiqua"/>
          <w:color w:val="000000"/>
          <w:szCs w:val="22"/>
        </w:rPr>
        <w:t xml:space="preserve">Immunohistochemical markers of gastric SCC commonly used in pathology department include keratin CK, p63, and p40 (ΔNp63). Human </w:t>
      </w:r>
      <w:r>
        <w:rPr>
          <w:rFonts w:ascii="Book Antiqua" w:eastAsia="Book Antiqua" w:hAnsi="Book Antiqua" w:cs="Book Antiqua"/>
          <w:i/>
          <w:iCs/>
          <w:color w:val="000000"/>
          <w:szCs w:val="22"/>
        </w:rPr>
        <w:t>p63</w:t>
      </w:r>
      <w:r>
        <w:rPr>
          <w:rFonts w:ascii="Book Antiqua" w:eastAsia="Book Antiqua" w:hAnsi="Book Antiqua" w:cs="Book Antiqua"/>
          <w:color w:val="000000"/>
          <w:szCs w:val="22"/>
        </w:rPr>
        <w:t xml:space="preserve"> gene is composed of 15 exons and 2 independent promoters. Two proteins are encoded by this gene: (1) Full-length protein p63 with trans-activation domain transcribed from exon 1; and (2) p40 </w:t>
      </w:r>
      <w:r>
        <w:rPr>
          <w:rFonts w:ascii="Book Antiqua" w:eastAsia="Book Antiqua" w:hAnsi="Book Antiqua" w:cs="Book Antiqua"/>
          <w:color w:val="000000"/>
          <w:szCs w:val="22"/>
        </w:rPr>
        <w:lastRenderedPageBreak/>
        <w:t>without trans-activation domain starting from exon 3. P63 is often expressed in the basal layer of epithelial tissue and plays an important role in the formation of the normal epithelium. Both p63 and p40 are expressed in various benign and malignant tumors of squamous cell origin, which often leads to a pathological diagnosis of SCC. Our data showed that the tumor cells in this patient were negative for CK5, CK6, CK7, CAM5.2, CK20, p63, and p40 but positive for SCCA, CEA, and E-cadherin, indicating that SCCA is an independent marker in gastric poorly differentiated adenocarcinoma cells. Such evidence underlines the “non-squamous” property of SCCA and clearly highlights the diverse biological functions of SCCA both inside and outside the cell.</w:t>
      </w:r>
    </w:p>
    <w:p w14:paraId="31372044" w14:textId="77777777" w:rsidR="002A20FE" w:rsidRDefault="002A20FE">
      <w:pPr>
        <w:spacing w:line="360" w:lineRule="auto"/>
        <w:jc w:val="both"/>
      </w:pPr>
    </w:p>
    <w:p w14:paraId="2ADDA3E0" w14:textId="77777777" w:rsidR="002A20FE" w:rsidRDefault="00E9210C">
      <w:pPr>
        <w:spacing w:line="360" w:lineRule="auto"/>
        <w:jc w:val="both"/>
      </w:pPr>
      <w:r>
        <w:rPr>
          <w:rFonts w:ascii="Book Antiqua" w:eastAsia="Book Antiqua" w:hAnsi="Book Antiqua" w:cs="Book Antiqua"/>
          <w:b/>
          <w:caps/>
          <w:color w:val="000000"/>
          <w:u w:val="single"/>
        </w:rPr>
        <w:t>CONCLUSION</w:t>
      </w:r>
    </w:p>
    <w:p w14:paraId="13E493AE" w14:textId="2DE3B022" w:rsidR="002A20FE" w:rsidRDefault="00E9210C">
      <w:pPr>
        <w:spacing w:line="360" w:lineRule="auto"/>
        <w:jc w:val="both"/>
      </w:pPr>
      <w:r>
        <w:rPr>
          <w:rFonts w:ascii="Book Antiqua" w:eastAsia="Book Antiqua" w:hAnsi="Book Antiqua" w:cs="Book Antiqua"/>
          <w:color w:val="000000"/>
          <w:szCs w:val="22"/>
        </w:rPr>
        <w:t xml:space="preserve">We herein report a case of poorly differentiated adenocarcinoma of the stomach with abundant SCCA protein. Our data further enriches the knowledge that SCCA mRNA was detected in GC cell </w:t>
      </w:r>
      <w:proofErr w:type="gramStart"/>
      <w:r>
        <w:rPr>
          <w:rFonts w:ascii="Book Antiqua" w:eastAsia="Book Antiqua" w:hAnsi="Book Antiqua" w:cs="Book Antiqua"/>
          <w:color w:val="000000"/>
          <w:szCs w:val="22"/>
        </w:rPr>
        <w:t>lines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vertAlign w:val="superscript"/>
        </w:rPr>
        <w:t>6]</w:t>
      </w:r>
      <w:r>
        <w:rPr>
          <w:rFonts w:ascii="Book Antiqua" w:eastAsia="Book Antiqua" w:hAnsi="Book Antiqua" w:cs="Book Antiqua"/>
          <w:color w:val="000000"/>
          <w:szCs w:val="22"/>
        </w:rPr>
        <w:t xml:space="preserve">. This patient was still alive 24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after surgery in a stable condition. To our knowledge, no data are currently available on the correlation between SCCA and the prognosis of GC, and SCCA has not yet been considered as a subtype marker for gastric tumor. Further in-depth study will focus on the correlation of serum level and tissue abundance of SCCA with clinical evaluation of gastric tumor (including grade, stage, recovery, metastasis, and recurrence) to evaluate the significance of SCCA in clinical laboratory.</w:t>
      </w:r>
    </w:p>
    <w:p w14:paraId="430242BE" w14:textId="77777777" w:rsidR="002A20FE" w:rsidRDefault="002A20FE">
      <w:pPr>
        <w:spacing w:line="360" w:lineRule="auto"/>
        <w:jc w:val="both"/>
      </w:pPr>
    </w:p>
    <w:p w14:paraId="48C74645" w14:textId="77777777" w:rsidR="002A20FE" w:rsidRDefault="00E9210C">
      <w:pPr>
        <w:spacing w:line="360" w:lineRule="auto"/>
        <w:jc w:val="both"/>
      </w:pPr>
      <w:r>
        <w:rPr>
          <w:rFonts w:ascii="Book Antiqua" w:eastAsia="Book Antiqua" w:hAnsi="Book Antiqua" w:cs="Book Antiqua"/>
          <w:b/>
          <w:caps/>
          <w:color w:val="000000"/>
          <w:u w:val="single"/>
        </w:rPr>
        <w:t>ACKNOWLEDGEMENTS</w:t>
      </w:r>
    </w:p>
    <w:p w14:paraId="1FDF9757" w14:textId="0B684168" w:rsidR="002A20FE" w:rsidRDefault="00E9210C">
      <w:pPr>
        <w:spacing w:line="360" w:lineRule="auto"/>
        <w:jc w:val="both"/>
      </w:pPr>
      <w:r>
        <w:rPr>
          <w:rFonts w:ascii="Book Antiqua" w:eastAsia="Book Antiqua" w:hAnsi="Book Antiqua" w:cs="Book Antiqua"/>
          <w:color w:val="000000"/>
        </w:rPr>
        <w:t>We would like to thank Professor Xu ZK and Professor Wang J for expert advice on the manuscript.</w:t>
      </w:r>
    </w:p>
    <w:p w14:paraId="5FBDA903" w14:textId="77777777" w:rsidR="002A20FE" w:rsidRDefault="002A20FE">
      <w:pPr>
        <w:spacing w:line="360" w:lineRule="auto"/>
        <w:jc w:val="both"/>
      </w:pPr>
    </w:p>
    <w:p w14:paraId="0A09D214" w14:textId="77777777" w:rsidR="002A20FE" w:rsidRDefault="00E9210C">
      <w:pPr>
        <w:spacing w:line="360" w:lineRule="auto"/>
        <w:jc w:val="both"/>
      </w:pPr>
      <w:r>
        <w:rPr>
          <w:rFonts w:ascii="Book Antiqua" w:eastAsia="Book Antiqua" w:hAnsi="Book Antiqua" w:cs="Book Antiqua"/>
          <w:b/>
          <w:color w:val="000000"/>
        </w:rPr>
        <w:t>REFERENCES</w:t>
      </w:r>
    </w:p>
    <w:p w14:paraId="35CCF1A7" w14:textId="77777777" w:rsidR="002A20FE" w:rsidRDefault="00E9210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25F69D7" w14:textId="77777777" w:rsidR="002A20FE" w:rsidRDefault="00E9210C">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Karimi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Islami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Anandasabapathy</w:t>
      </w:r>
      <w:proofErr w:type="spellEnd"/>
      <w:r>
        <w:rPr>
          <w:rFonts w:ascii="Book Antiqua" w:eastAsia="Book Antiqua" w:hAnsi="Book Antiqua" w:cs="Book Antiqua"/>
          <w:color w:val="000000"/>
        </w:rPr>
        <w:t xml:space="preserve"> S, Freedman ND, </w:t>
      </w:r>
      <w:proofErr w:type="spellStart"/>
      <w:r>
        <w:rPr>
          <w:rFonts w:ascii="Book Antiqua" w:eastAsia="Book Antiqua" w:hAnsi="Book Antiqua" w:cs="Book Antiqua"/>
          <w:color w:val="000000"/>
        </w:rPr>
        <w:t>Kamangar</w:t>
      </w:r>
      <w:proofErr w:type="spellEnd"/>
      <w:r>
        <w:rPr>
          <w:rFonts w:ascii="Book Antiqua" w:eastAsia="Book Antiqua" w:hAnsi="Book Antiqua" w:cs="Book Antiqua"/>
          <w:color w:val="000000"/>
        </w:rPr>
        <w:t xml:space="preserve"> F. Gastric cancer: descriptive epidemiology, risk factors, screening, and prevention. </w:t>
      </w:r>
      <w:r>
        <w:rPr>
          <w:rFonts w:ascii="Book Antiqua" w:eastAsia="Book Antiqua" w:hAnsi="Book Antiqua" w:cs="Book Antiqua"/>
          <w:i/>
          <w:iCs/>
          <w:color w:val="000000"/>
        </w:rPr>
        <w:t xml:space="preserve">Cancer Epidemiol Biomarkers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700-713 [PMID: 24618998 DOI: 10.1158/1055-9965.EPI-13-1057]</w:t>
      </w:r>
    </w:p>
    <w:p w14:paraId="716C0C3C" w14:textId="77777777" w:rsidR="002A20FE" w:rsidRDefault="00E9210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Allemani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Matsuda T, Di Carlo V, Harewood R, Matz M, </w:t>
      </w:r>
      <w:proofErr w:type="spellStart"/>
      <w:r>
        <w:rPr>
          <w:rFonts w:ascii="Book Antiqua" w:eastAsia="Book Antiqua" w:hAnsi="Book Antiqua" w:cs="Book Antiqua"/>
          <w:color w:val="000000"/>
        </w:rPr>
        <w:t>NikšiÄ</w:t>
      </w:r>
      <w:proofErr w:type="spellEnd"/>
      <w:r>
        <w:rPr>
          <w:rFonts w:ascii="Book Antiqua" w:eastAsia="Book Antiqua" w:hAnsi="Book Antiqua" w:cs="Book Antiqua"/>
          <w:color w:val="000000"/>
        </w:rPr>
        <w:t xml:space="preserve">‡ M, Bonaventure A, </w:t>
      </w:r>
      <w:proofErr w:type="spellStart"/>
      <w:r>
        <w:rPr>
          <w:rFonts w:ascii="Book Antiqua" w:eastAsia="Book Antiqua" w:hAnsi="Book Antiqua" w:cs="Book Antiqua"/>
          <w:color w:val="000000"/>
        </w:rPr>
        <w:t>Valkov</w:t>
      </w:r>
      <w:proofErr w:type="spellEnd"/>
      <w:r>
        <w:rPr>
          <w:rFonts w:ascii="Book Antiqua" w:eastAsia="Book Antiqua" w:hAnsi="Book Antiqua" w:cs="Book Antiqua"/>
          <w:color w:val="000000"/>
        </w:rPr>
        <w:t xml:space="preserve"> M, Johnson CJ, </w:t>
      </w:r>
      <w:proofErr w:type="spellStart"/>
      <w:r>
        <w:rPr>
          <w:rFonts w:ascii="Book Antiqua" w:eastAsia="Book Antiqua" w:hAnsi="Book Antiqua" w:cs="Book Antiqua"/>
          <w:color w:val="000000"/>
        </w:rPr>
        <w:t>Estève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Ogunbiyi</w:t>
      </w:r>
      <w:proofErr w:type="spellEnd"/>
      <w:r>
        <w:rPr>
          <w:rFonts w:ascii="Book Antiqua" w:eastAsia="Book Antiqua" w:hAnsi="Book Antiqua" w:cs="Book Antiqua"/>
          <w:color w:val="000000"/>
        </w:rPr>
        <w:t xml:space="preserve"> OJ, Azevedo E Silva G, Chen WQ,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Engholm</w:t>
      </w:r>
      <w:proofErr w:type="spellEnd"/>
      <w:r>
        <w:rPr>
          <w:rFonts w:ascii="Book Antiqua" w:eastAsia="Book Antiqua" w:hAnsi="Book Antiqua" w:cs="Book Antiqua"/>
          <w:color w:val="000000"/>
        </w:rPr>
        <w:t xml:space="preserve"> G, Stiller CA, </w:t>
      </w:r>
      <w:proofErr w:type="spellStart"/>
      <w:r>
        <w:rPr>
          <w:rFonts w:ascii="Book Antiqua" w:eastAsia="Book Antiqua" w:hAnsi="Book Antiqua" w:cs="Book Antiqua"/>
          <w:color w:val="000000"/>
        </w:rPr>
        <w:t>Monnereau</w:t>
      </w:r>
      <w:proofErr w:type="spellEnd"/>
      <w:r>
        <w:rPr>
          <w:rFonts w:ascii="Book Antiqua" w:eastAsia="Book Antiqua" w:hAnsi="Book Antiqua" w:cs="Book Antiqua"/>
          <w:color w:val="000000"/>
        </w:rPr>
        <w:t xml:space="preserve"> A, Woods RR, Visser O, Lim GH, Aitken J, Weir HK, Coleman MP; CONCORD Working Group. Global surveillance of trends in cancer survival 2000-14 (CONCORD-3): analysis of individual records for 37 513 025 patients diagnosed with one of 18 cancers from 322 population-based registries in 71 countries.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391</w:t>
      </w:r>
      <w:r>
        <w:rPr>
          <w:rFonts w:ascii="Book Antiqua" w:eastAsia="Book Antiqua" w:hAnsi="Book Antiqua" w:cs="Book Antiqua"/>
          <w:color w:val="000000"/>
        </w:rPr>
        <w:t>: 1023-1075 [PMID: 29395269 DOI: 10.1016/S0140-6736(17)33326-3]</w:t>
      </w:r>
    </w:p>
    <w:p w14:paraId="591E3D4D" w14:textId="77777777" w:rsidR="002A20FE" w:rsidRDefault="00E921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Oh DY</w:t>
      </w:r>
      <w:r>
        <w:rPr>
          <w:rFonts w:ascii="Book Antiqua" w:eastAsia="Book Antiqua" w:hAnsi="Book Antiqua" w:cs="Book Antiqua"/>
          <w:color w:val="000000"/>
        </w:rPr>
        <w:t xml:space="preserve">, Bang YJ. HER2-targeted therapies - a role beyond breast cancer.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33-48 [PMID: 31548601 DOI: 10.1038/s41571-019-0268-3]</w:t>
      </w:r>
    </w:p>
    <w:p w14:paraId="78229533" w14:textId="77777777" w:rsidR="002A20FE" w:rsidRDefault="00E921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Cutsem</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Bang YJ, Feng-Yi F, Xu JM, Lee KW, Jiao SC, Chong JL, López-Sanchez RI, Price T, </w:t>
      </w:r>
      <w:proofErr w:type="spellStart"/>
      <w:r>
        <w:rPr>
          <w:rFonts w:ascii="Book Antiqua" w:eastAsia="Book Antiqua" w:hAnsi="Book Antiqua" w:cs="Book Antiqua"/>
          <w:color w:val="000000"/>
        </w:rPr>
        <w:t>Gladkov</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Stoss</w:t>
      </w:r>
      <w:proofErr w:type="spellEnd"/>
      <w:r>
        <w:rPr>
          <w:rFonts w:ascii="Book Antiqua" w:eastAsia="Book Antiqua" w:hAnsi="Book Antiqua" w:cs="Book Antiqua"/>
          <w:color w:val="000000"/>
        </w:rPr>
        <w:t xml:space="preserve"> O, Hill J, Ng V,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Thomas M, Kiermaier A,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HER2 screening data from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targeting HER2 in gastric and gastroesophageal junction cancer.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476-484 [PMID: 25038874 DOI: 10.1007/s10120-014-0402-y]</w:t>
      </w:r>
    </w:p>
    <w:p w14:paraId="61C2CAC0" w14:textId="77777777" w:rsidR="002A20FE" w:rsidRDefault="00E921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Yuan SH</w:t>
      </w:r>
      <w:r>
        <w:rPr>
          <w:rFonts w:ascii="Book Antiqua" w:eastAsia="Book Antiqua" w:hAnsi="Book Antiqua" w:cs="Book Antiqua"/>
          <w:color w:val="000000"/>
        </w:rPr>
        <w:t xml:space="preserve">, Liang XF, Jia WH, Huang JL, Wei M, Deng L, Liang LZ, Wang XY, Zeng YX. Molecular diagnosis of sentinel lymph node metastases in cervical cancer using squamous cell carcinoma antigen.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5571-5578 [PMID: 18765550 DOI: 10.1158/1078-0432.CCR-08-0346]</w:t>
      </w:r>
    </w:p>
    <w:p w14:paraId="08E90018" w14:textId="77777777" w:rsidR="002A20FE" w:rsidRDefault="00E9210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Tong YS</w:t>
      </w:r>
      <w:r>
        <w:rPr>
          <w:rFonts w:ascii="Book Antiqua" w:eastAsia="Book Antiqua" w:hAnsi="Book Antiqua" w:cs="Book Antiqua"/>
          <w:color w:val="000000"/>
        </w:rPr>
        <w:t xml:space="preserve">, Wang XW, Zhou XL, Liu ZH, Yang TX, Shi WH,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J, Wu QQ, Cao XF. Identification of the long non-coding RNA POU3F3 in plasma as a novel biomarker for diagnosis of esophageal squamous cell carcinoma.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3 [PMID: 25608466 DOI: 10.1186/1476-4598-14-3]</w:t>
      </w:r>
    </w:p>
    <w:p w14:paraId="6DB5521D" w14:textId="77777777" w:rsidR="002A20FE" w:rsidRDefault="00E921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Guerra 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Rêgo</w:t>
      </w:r>
      <w:proofErr w:type="spellEnd"/>
      <w:r>
        <w:rPr>
          <w:rFonts w:ascii="Book Antiqua" w:eastAsia="Book Antiqua" w:hAnsi="Book Antiqua" w:cs="Book Antiqua"/>
          <w:color w:val="000000"/>
        </w:rPr>
        <w:t xml:space="preserve"> DF, Elias ST, Coletta RD, </w:t>
      </w:r>
      <w:proofErr w:type="spellStart"/>
      <w:r>
        <w:rPr>
          <w:rFonts w:ascii="Book Antiqua" w:eastAsia="Book Antiqua" w:hAnsi="Book Antiqua" w:cs="Book Antiqua"/>
          <w:color w:val="000000"/>
        </w:rPr>
        <w:t>Mezzomo</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Gozal</w:t>
      </w:r>
      <w:proofErr w:type="spellEnd"/>
      <w:r>
        <w:rPr>
          <w:rFonts w:ascii="Book Antiqua" w:eastAsia="Book Antiqua" w:hAnsi="Book Antiqua" w:cs="Book Antiqua"/>
          <w:color w:val="000000"/>
        </w:rPr>
        <w:t xml:space="preserve"> D, De Luca Canto G. Diagnostic accuracy of serum biomarkers for head and neck cancer: A systematic review and meta-analysis.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Oncol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93-118 [PMID: 26971993 DOI: 10.1016/j.critrevonc.2016.03.002]</w:t>
      </w:r>
    </w:p>
    <w:p w14:paraId="601C019E" w14:textId="77777777" w:rsidR="002A20FE" w:rsidRDefault="00E9210C">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Markovina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Wang S, Henke LE, Luke CJ, Pak SC, </w:t>
      </w:r>
      <w:proofErr w:type="spellStart"/>
      <w:r>
        <w:rPr>
          <w:rFonts w:ascii="Book Antiqua" w:eastAsia="Book Antiqua" w:hAnsi="Book Antiqua" w:cs="Book Antiqua"/>
          <w:color w:val="000000"/>
        </w:rPr>
        <w:t>DeWees</w:t>
      </w:r>
      <w:proofErr w:type="spellEnd"/>
      <w:r>
        <w:rPr>
          <w:rFonts w:ascii="Book Antiqua" w:eastAsia="Book Antiqua" w:hAnsi="Book Antiqua" w:cs="Book Antiqua"/>
          <w:color w:val="000000"/>
        </w:rPr>
        <w:t xml:space="preserve"> T, Pfeifer JD, Schwarz JK, Liu W, Chen S,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D, Wang X, Powell MA, Siegel BA, </w:t>
      </w:r>
      <w:proofErr w:type="spellStart"/>
      <w:r>
        <w:rPr>
          <w:rFonts w:ascii="Book Antiqua" w:eastAsia="Book Antiqua" w:hAnsi="Book Antiqua" w:cs="Book Antiqua"/>
          <w:color w:val="000000"/>
        </w:rPr>
        <w:t>Dehdashti</w:t>
      </w:r>
      <w:proofErr w:type="spellEnd"/>
      <w:r>
        <w:rPr>
          <w:rFonts w:ascii="Book Antiqua" w:eastAsia="Book Antiqua" w:hAnsi="Book Antiqua" w:cs="Book Antiqua"/>
          <w:color w:val="000000"/>
        </w:rPr>
        <w:t xml:space="preserve"> F, Silverman GA, Grigsby PW. Serum squamous cell carcinoma antigen as an early indicator of response during therapy of cervical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118</w:t>
      </w:r>
      <w:r>
        <w:rPr>
          <w:rFonts w:ascii="Book Antiqua" w:eastAsia="Book Antiqua" w:hAnsi="Book Antiqua" w:cs="Book Antiqua"/>
          <w:color w:val="000000"/>
        </w:rPr>
        <w:t>: 72-78 [PMID: 29112685 DOI: 10.1038/bjc.2017.390]</w:t>
      </w:r>
    </w:p>
    <w:p w14:paraId="2D76F792" w14:textId="77777777" w:rsidR="002A20FE" w:rsidRDefault="00E921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Chia NY</w:t>
      </w:r>
      <w:r>
        <w:rPr>
          <w:rFonts w:ascii="Book Antiqua" w:eastAsia="Book Antiqua" w:hAnsi="Book Antiqua" w:cs="Book Antiqua"/>
          <w:color w:val="000000"/>
        </w:rPr>
        <w:t xml:space="preserve">, Tan P. Molecular classification of gastric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763-769 [PMID: 26861606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/mdw040]</w:t>
      </w:r>
    </w:p>
    <w:p w14:paraId="48046877" w14:textId="77777777" w:rsidR="002A20FE" w:rsidRDefault="00E921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6C28818F" w14:textId="77777777" w:rsidR="002A20FE" w:rsidRDefault="00E921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Torigoe</w:t>
      </w:r>
      <w:proofErr w:type="spellEnd"/>
      <w:r>
        <w:rPr>
          <w:rFonts w:ascii="Book Antiqua" w:eastAsia="Book Antiqua" w:hAnsi="Book Antiqua" w:cs="Book Antiqua"/>
          <w:color w:val="000000"/>
        </w:rPr>
        <w:t xml:space="preserve"> T. Radioimmunoassay for tumor antigen of human cervical squamous cell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40</w:t>
      </w:r>
      <w:r>
        <w:rPr>
          <w:rFonts w:ascii="Book Antiqua" w:eastAsia="Book Antiqua" w:hAnsi="Book Antiqua" w:cs="Book Antiqua"/>
          <w:color w:val="000000"/>
        </w:rPr>
        <w:t>: 1621-1628 [PMID: 332328 DOI: 10.1002/1097-0142(197710)40:4&lt;</w:t>
      </w:r>
      <w:proofErr w:type="gramStart"/>
      <w:r>
        <w:rPr>
          <w:rFonts w:ascii="Book Antiqua" w:eastAsia="Book Antiqua" w:hAnsi="Book Antiqua" w:cs="Book Antiqua"/>
          <w:color w:val="000000"/>
        </w:rPr>
        <w:t>1621::</w:t>
      </w:r>
      <w:proofErr w:type="gramEnd"/>
      <w:r>
        <w:rPr>
          <w:rFonts w:ascii="Book Antiqua" w:eastAsia="Book Antiqua" w:hAnsi="Book Antiqua" w:cs="Book Antiqua"/>
          <w:color w:val="000000"/>
        </w:rPr>
        <w:t>aid-cncr2820400435&gt;3.0.co;2-i]</w:t>
      </w:r>
    </w:p>
    <w:p w14:paraId="68FF2D1A" w14:textId="77777777" w:rsidR="002A20FE" w:rsidRDefault="00E921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Law RH</w:t>
      </w:r>
      <w:r>
        <w:rPr>
          <w:rFonts w:ascii="Book Antiqua" w:eastAsia="Book Antiqua" w:hAnsi="Book Antiqua" w:cs="Book Antiqua"/>
          <w:color w:val="000000"/>
        </w:rPr>
        <w:t xml:space="preserve">, Zhang Q, McGowan S, Buckle AM, Silverman GA, Wong W, Rosado CJ, </w:t>
      </w:r>
      <w:proofErr w:type="spellStart"/>
      <w:r>
        <w:rPr>
          <w:rFonts w:ascii="Book Antiqua" w:eastAsia="Book Antiqua" w:hAnsi="Book Antiqua" w:cs="Book Antiqua"/>
          <w:color w:val="000000"/>
        </w:rPr>
        <w:t>Langendorf</w:t>
      </w:r>
      <w:proofErr w:type="spellEnd"/>
      <w:r>
        <w:rPr>
          <w:rFonts w:ascii="Book Antiqua" w:eastAsia="Book Antiqua" w:hAnsi="Book Antiqua" w:cs="Book Antiqua"/>
          <w:color w:val="000000"/>
        </w:rPr>
        <w:t xml:space="preserve"> CG, Pike RN, Bird PI, </w:t>
      </w:r>
      <w:proofErr w:type="spellStart"/>
      <w:r>
        <w:rPr>
          <w:rFonts w:ascii="Book Antiqua" w:eastAsia="Book Antiqua" w:hAnsi="Book Antiqua" w:cs="Book Antiqua"/>
          <w:color w:val="000000"/>
        </w:rPr>
        <w:t>Whisstock</w:t>
      </w:r>
      <w:proofErr w:type="spellEnd"/>
      <w:r>
        <w:rPr>
          <w:rFonts w:ascii="Book Antiqua" w:eastAsia="Book Antiqua" w:hAnsi="Book Antiqua" w:cs="Book Antiqua"/>
          <w:color w:val="000000"/>
        </w:rPr>
        <w:t xml:space="preserve"> JC. An overview of the serpin superfamily.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216 [PMID: 16737556 DOI: 10.1186/gb-2006-7-5-216]</w:t>
      </w:r>
    </w:p>
    <w:p w14:paraId="20723CDA" w14:textId="77777777" w:rsidR="002A20FE" w:rsidRDefault="00E9210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Warschkow</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Baechtold M, Leung K, </w:t>
      </w:r>
      <w:proofErr w:type="spellStart"/>
      <w:r>
        <w:rPr>
          <w:rFonts w:ascii="Book Antiqua" w:eastAsia="Book Antiqua" w:hAnsi="Book Antiqua" w:cs="Book Antiqua"/>
          <w:color w:val="000000"/>
        </w:rPr>
        <w:t>Schmied</w:t>
      </w:r>
      <w:proofErr w:type="spellEnd"/>
      <w:r>
        <w:rPr>
          <w:rFonts w:ascii="Book Antiqua" w:eastAsia="Book Antiqua" w:hAnsi="Book Antiqua" w:cs="Book Antiqua"/>
          <w:color w:val="000000"/>
        </w:rPr>
        <w:t xml:space="preserve"> BM, Nussbaum DP, </w:t>
      </w:r>
      <w:proofErr w:type="spellStart"/>
      <w:r>
        <w:rPr>
          <w:rFonts w:ascii="Book Antiqua" w:eastAsia="Book Antiqua" w:hAnsi="Book Antiqua" w:cs="Book Antiqua"/>
          <w:color w:val="000000"/>
        </w:rPr>
        <w:t>Gloor</w:t>
      </w:r>
      <w:proofErr w:type="spellEnd"/>
      <w:r>
        <w:rPr>
          <w:rFonts w:ascii="Book Antiqua" w:eastAsia="Book Antiqua" w:hAnsi="Book Antiqua" w:cs="Book Antiqua"/>
          <w:color w:val="000000"/>
        </w:rPr>
        <w:t xml:space="preserve"> B, Blazer Iii DG, </w:t>
      </w:r>
      <w:proofErr w:type="spellStart"/>
      <w:r>
        <w:rPr>
          <w:rFonts w:ascii="Book Antiqua" w:eastAsia="Book Antiqua" w:hAnsi="Book Antiqua" w:cs="Book Antiqua"/>
          <w:color w:val="000000"/>
        </w:rPr>
        <w:t>Worni</w:t>
      </w:r>
      <w:proofErr w:type="spellEnd"/>
      <w:r>
        <w:rPr>
          <w:rFonts w:ascii="Book Antiqua" w:eastAsia="Book Antiqua" w:hAnsi="Book Antiqua" w:cs="Book Antiqua"/>
          <w:color w:val="000000"/>
        </w:rPr>
        <w:t xml:space="preserve"> M. Selective survival advantage associated with primary tumor resection for metastatic gastric cancer in a Western population.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324-337 [PMID: 28646258 DOI: 10.1007/s10120-017-0742-5]</w:t>
      </w:r>
    </w:p>
    <w:p w14:paraId="59953B14" w14:textId="77777777" w:rsidR="002A20FE" w:rsidRDefault="00E921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Du CY</w:t>
      </w:r>
      <w:r>
        <w:rPr>
          <w:rFonts w:ascii="Book Antiqua" w:eastAsia="Book Antiqua" w:hAnsi="Book Antiqua" w:cs="Book Antiqua"/>
          <w:color w:val="000000"/>
        </w:rPr>
        <w:t xml:space="preserve">, Chen JG, Zhou Y, Zhao GF, Fu H, Zhou XK, Shi YQ. Impact of lymphatic and/or blood vessel invasion in stage II gastric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3610-3616 [PMID: 22826628 DOI: 10.3748/wjg.v18.i27.3610]</w:t>
      </w:r>
    </w:p>
    <w:p w14:paraId="4D085DD5" w14:textId="77777777" w:rsidR="002A20FE" w:rsidRDefault="00E921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Petty RD</w:t>
      </w:r>
      <w:r>
        <w:rPr>
          <w:rFonts w:ascii="Book Antiqua" w:eastAsia="Book Antiqua" w:hAnsi="Book Antiqua" w:cs="Book Antiqua"/>
          <w:color w:val="000000"/>
        </w:rPr>
        <w:t xml:space="preserve">, Kerr KM, Murray GI, Nicolson MC, Rooney PH, Bissett D, Collie-Duguid ES. Tumor transcriptome reveals the predictive and prognostic impact of lysosomal protease inhibitors in non-small-cell lung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1729-1744 [PMID: 16549823 DOI: 10.1200/jco.2005.03.3399]</w:t>
      </w:r>
    </w:p>
    <w:p w14:paraId="55049FFA" w14:textId="77777777" w:rsidR="002A20FE" w:rsidRDefault="00E9210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Uemura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Pak SC, Luke C, </w:t>
      </w:r>
      <w:proofErr w:type="spellStart"/>
      <w:r>
        <w:rPr>
          <w:rFonts w:ascii="Book Antiqua" w:eastAsia="Book Antiqua" w:hAnsi="Book Antiqua" w:cs="Book Antiqua"/>
          <w:color w:val="000000"/>
        </w:rPr>
        <w:t>Cataltepe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w:t>
      </w:r>
      <w:proofErr w:type="spellEnd"/>
      <w:r>
        <w:rPr>
          <w:rFonts w:ascii="Book Antiqua" w:eastAsia="Book Antiqua" w:hAnsi="Book Antiqua" w:cs="Book Antiqua"/>
          <w:color w:val="000000"/>
        </w:rPr>
        <w:t xml:space="preserve"> C, Schick C, </w:t>
      </w:r>
      <w:proofErr w:type="spellStart"/>
      <w:r>
        <w:rPr>
          <w:rFonts w:ascii="Book Antiqua" w:eastAsia="Book Antiqua" w:hAnsi="Book Antiqua" w:cs="Book Antiqua"/>
          <w:color w:val="000000"/>
        </w:rPr>
        <w:t>Kamachi</w:t>
      </w:r>
      <w:proofErr w:type="spellEnd"/>
      <w:r>
        <w:rPr>
          <w:rFonts w:ascii="Book Antiqua" w:eastAsia="Book Antiqua" w:hAnsi="Book Antiqua" w:cs="Book Antiqua"/>
          <w:color w:val="000000"/>
        </w:rPr>
        <w:t xml:space="preserve"> Y, Pomeroy SL, Perlmutter DH, Silverman GA. Circulating serpin tumor markers SCCA1 and SCCA2 are </w:t>
      </w:r>
      <w:r>
        <w:rPr>
          <w:rFonts w:ascii="Book Antiqua" w:eastAsia="Book Antiqua" w:hAnsi="Book Antiqua" w:cs="Book Antiqua"/>
          <w:color w:val="000000"/>
        </w:rPr>
        <w:lastRenderedPageBreak/>
        <w:t xml:space="preserve">not actively secreted but reside in the cytosol of squamous carcinoma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368-377 [PMID: 10956412 DOI: 10.1002/1097-0215(20000720)89:4&lt;</w:t>
      </w:r>
      <w:proofErr w:type="gramStart"/>
      <w:r>
        <w:rPr>
          <w:rFonts w:ascii="Book Antiqua" w:eastAsia="Book Antiqua" w:hAnsi="Book Antiqua" w:cs="Book Antiqua"/>
          <w:color w:val="000000"/>
        </w:rPr>
        <w:t>368::</w:t>
      </w:r>
      <w:proofErr w:type="gramEnd"/>
      <w:r>
        <w:rPr>
          <w:rFonts w:ascii="Book Antiqua" w:eastAsia="Book Antiqua" w:hAnsi="Book Antiqua" w:cs="Book Antiqua"/>
          <w:color w:val="000000"/>
        </w:rPr>
        <w:t>aid-ijc9&gt;3.0.co;2-6]</w:t>
      </w:r>
    </w:p>
    <w:p w14:paraId="2D7A0D5E" w14:textId="77777777" w:rsidR="002A20FE" w:rsidRDefault="00E921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R</w:t>
      </w:r>
      <w:r>
        <w:rPr>
          <w:rFonts w:ascii="Book Antiqua" w:eastAsia="Book Antiqua" w:hAnsi="Book Antiqua" w:cs="Book Antiqua"/>
          <w:color w:val="000000"/>
        </w:rPr>
        <w:t xml:space="preserve">, Wang G, Zhang N, Li X, Liu Y. Clinical evaluation and cost-effectiveness analysis of serum tumor markers in lung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195692 [PMID: 24167812 DOI: 10.1155/2013/195692]</w:t>
      </w:r>
    </w:p>
    <w:p w14:paraId="3E5F96EE" w14:textId="77777777" w:rsidR="002A20FE" w:rsidRDefault="00E9210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Fassan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Realdon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Vianello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Ruol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Castoro</w:t>
      </w:r>
      <w:proofErr w:type="spellEnd"/>
      <w:r>
        <w:rPr>
          <w:rFonts w:ascii="Book Antiqua" w:eastAsia="Book Antiqua" w:hAnsi="Book Antiqua" w:cs="Book Antiqua"/>
          <w:color w:val="000000"/>
        </w:rPr>
        <w:t xml:space="preserve"> C, Scarpa M, </w:t>
      </w:r>
      <w:proofErr w:type="spellStart"/>
      <w:r>
        <w:rPr>
          <w:rFonts w:ascii="Book Antiqua" w:eastAsia="Book Antiqua" w:hAnsi="Book Antiqua" w:cs="Book Antiqua"/>
          <w:color w:val="000000"/>
        </w:rPr>
        <w:t>Zaninotto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Guzzardo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Chiarion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Sileni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Squamous cell carcinoma antigen (SCCA) is up-regulated during Barrett's carcinogenesis and predicts esophageal adenocarcinoma resistance to neoadjuvant chemotherapy.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24372-24379 [PMID: 28042960 DOI: 10.18632/oncotarget.14108]</w:t>
      </w:r>
    </w:p>
    <w:p w14:paraId="742E02BF" w14:textId="77777777" w:rsidR="002A20FE" w:rsidRDefault="00E9210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Catanzaro JM</w:t>
      </w:r>
      <w:r>
        <w:rPr>
          <w:rFonts w:ascii="Book Antiqua" w:eastAsia="Book Antiqua" w:hAnsi="Book Antiqua" w:cs="Book Antiqua"/>
          <w:color w:val="000000"/>
        </w:rPr>
        <w:t xml:space="preserve">, Guerriero JL, Liu J, Ullman E, </w:t>
      </w:r>
      <w:proofErr w:type="spellStart"/>
      <w:r>
        <w:rPr>
          <w:rFonts w:ascii="Book Antiqua" w:eastAsia="Book Antiqua" w:hAnsi="Book Antiqua" w:cs="Book Antiqua"/>
          <w:color w:val="000000"/>
        </w:rPr>
        <w:t>Sheshadri</w:t>
      </w:r>
      <w:proofErr w:type="spellEnd"/>
      <w:r>
        <w:rPr>
          <w:rFonts w:ascii="Book Antiqua" w:eastAsia="Book Antiqua" w:hAnsi="Book Antiqua" w:cs="Book Antiqua"/>
          <w:color w:val="000000"/>
        </w:rPr>
        <w:t xml:space="preserve"> N, Chen JJ,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WX. Elevated expression of squamous cell carcinoma antigen (SCCA) is associated with human breast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e19096 [PMID: 21526154 DOI: 10.1371/journal.pone.0019096]</w:t>
      </w:r>
    </w:p>
    <w:p w14:paraId="242C54DF" w14:textId="77777777" w:rsidR="002A20FE" w:rsidRDefault="00E9210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Catanzaro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Sheshadri</w:t>
      </w:r>
      <w:proofErr w:type="spellEnd"/>
      <w:r>
        <w:rPr>
          <w:rFonts w:ascii="Book Antiqua" w:eastAsia="Book Antiqua" w:hAnsi="Book Antiqua" w:cs="Book Antiqua"/>
          <w:color w:val="000000"/>
        </w:rPr>
        <w:t xml:space="preserve"> N, Pan JA, Sun Y, Shi C, Li J, Powers RS, Crawford HC,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WX. Oncogenic Ras induces inflammatory cytokine production by upregulating the squamous cell carcinoma antigens SerpinB3/B4.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3729 [PMID: 24759783 DOI: 10.1038/ncomms4729]</w:t>
      </w:r>
    </w:p>
    <w:p w14:paraId="53C0AFAD" w14:textId="77777777" w:rsidR="002A20FE" w:rsidRDefault="00E921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Yang D</w:t>
      </w:r>
      <w:r>
        <w:rPr>
          <w:rFonts w:ascii="Book Antiqua" w:eastAsia="Book Antiqua" w:hAnsi="Book Antiqua" w:cs="Book Antiqua"/>
          <w:color w:val="000000"/>
        </w:rPr>
        <w:t xml:space="preserve">, Wang J, Zhang L. Serum SCCA levels in patients suffering cancers or other diseases. </w:t>
      </w:r>
      <w:r>
        <w:rPr>
          <w:rFonts w:ascii="Book Antiqua" w:eastAsia="Book Antiqua" w:hAnsi="Book Antiqua" w:cs="Book Antiqua"/>
          <w:i/>
          <w:iCs/>
          <w:color w:val="000000"/>
        </w:rPr>
        <w:t xml:space="preserve">Prog Mol Biol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162</w:t>
      </w:r>
      <w:r>
        <w:rPr>
          <w:rFonts w:ascii="Book Antiqua" w:eastAsia="Book Antiqua" w:hAnsi="Book Antiqua" w:cs="Book Antiqua"/>
          <w:color w:val="000000"/>
        </w:rPr>
        <w:t>: 165-175 [PMID: 30905447 DOI: 10.1016/bs.pmbts.2018.12.004]</w:t>
      </w:r>
    </w:p>
    <w:p w14:paraId="22205053" w14:textId="77777777" w:rsidR="002A20FE" w:rsidRDefault="00E9210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Quarta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Vidalino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Turato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Ruvoletto</w:t>
      </w:r>
      <w:proofErr w:type="spellEnd"/>
      <w:r>
        <w:rPr>
          <w:rFonts w:ascii="Book Antiqua" w:eastAsia="Book Antiqua" w:hAnsi="Book Antiqua" w:cs="Book Antiqua"/>
          <w:color w:val="000000"/>
        </w:rPr>
        <w:t xml:space="preserve"> M, Calabrese F, Valente M, </w:t>
      </w:r>
      <w:proofErr w:type="spellStart"/>
      <w:r>
        <w:rPr>
          <w:rFonts w:ascii="Book Antiqua" w:eastAsia="Book Antiqua" w:hAnsi="Book Antiqua" w:cs="Book Antiqua"/>
          <w:color w:val="000000"/>
        </w:rPr>
        <w:t>Cannito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Fassina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Parola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Gatta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SERPINB3 induces epithelial-mesenchymal transition.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343-356 [PMID: 20527027 DOI: 10.1002/path.2708]</w:t>
      </w:r>
    </w:p>
    <w:p w14:paraId="4CB636C6" w14:textId="77777777" w:rsidR="002A20FE" w:rsidRDefault="00E9210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Suminami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Nagashima S, Murakami A,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Gondo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Numa</w:t>
      </w:r>
      <w:proofErr w:type="spellEnd"/>
      <w:r>
        <w:rPr>
          <w:rFonts w:ascii="Book Antiqua" w:eastAsia="Book Antiqua" w:hAnsi="Book Antiqua" w:cs="Book Antiqua"/>
          <w:color w:val="000000"/>
        </w:rPr>
        <w:t xml:space="preserve"> F, Silverman GA, Kato H. Suppression of a squamous cell carcinoma (SCC)-related serpin, SCC antigen, inhibits tumor growth with increased intratumor infiltration of natural killer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1776-1780 [PMID: 11280721]</w:t>
      </w:r>
    </w:p>
    <w:p w14:paraId="056033BB" w14:textId="77777777" w:rsidR="002A20FE" w:rsidRDefault="00E9210C">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Turato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Pollutri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Quarta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Villano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Ruvoletto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Bolondi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Gramantieri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Pontisso</w:t>
      </w:r>
      <w:proofErr w:type="spellEnd"/>
      <w:r>
        <w:rPr>
          <w:rFonts w:ascii="Book Antiqua" w:eastAsia="Book Antiqua" w:hAnsi="Book Antiqua" w:cs="Book Antiqua"/>
          <w:color w:val="000000"/>
        </w:rPr>
        <w:t xml:space="preserve"> P. MiR-122 Targets SerpinB3 and Is Involved in Sorafenib Resistance in Hepatocellular Carcinoma.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[PMID: 30717317 DOI: 10.3390/jcm8020171]</w:t>
      </w:r>
    </w:p>
    <w:p w14:paraId="56AD52B1" w14:textId="77777777" w:rsidR="002A20FE" w:rsidRDefault="00E9210C">
      <w:pPr>
        <w:spacing w:line="360" w:lineRule="auto"/>
        <w:jc w:val="both"/>
      </w:pPr>
      <w:r>
        <w:rPr>
          <w:rFonts w:ascii="Book Antiqua" w:eastAsia="Book Antiqua" w:hAnsi="Book Antiqua" w:cs="Book Antiqua"/>
          <w:color w:val="000000"/>
          <w:highlight w:val="yellow"/>
        </w:rPr>
        <w:t xml:space="preserve">26 </w:t>
      </w:r>
      <w:proofErr w:type="spellStart"/>
      <w:r>
        <w:rPr>
          <w:rFonts w:ascii="Book Antiqua" w:eastAsia="Book Antiqua" w:hAnsi="Book Antiqua" w:cs="Book Antiqua"/>
          <w:b/>
          <w:bCs/>
          <w:color w:val="000000"/>
          <w:highlight w:val="yellow"/>
        </w:rPr>
        <w:t>Kyogo</w:t>
      </w:r>
      <w:proofErr w:type="spellEnd"/>
      <w:r>
        <w:rPr>
          <w:rFonts w:ascii="Book Antiqua" w:eastAsia="Book Antiqua" w:hAnsi="Book Antiqua" w:cs="Book Antiqua"/>
          <w:b/>
          <w:bCs/>
          <w:color w:val="000000"/>
          <w:highlight w:val="yellow"/>
        </w:rPr>
        <w:t xml:space="preserve"> I</w:t>
      </w:r>
      <w:r>
        <w:rPr>
          <w:rFonts w:ascii="Book Antiqua" w:eastAsia="Book Antiqua" w:hAnsi="Book Antiqua" w:cs="Book Antiqua"/>
          <w:color w:val="000000"/>
          <w:highlight w:val="yellow"/>
        </w:rPr>
        <w:t xml:space="preserve">, </w:t>
      </w:r>
      <w:proofErr w:type="spellStart"/>
      <w:r>
        <w:rPr>
          <w:rFonts w:ascii="Book Antiqua" w:eastAsia="Book Antiqua" w:hAnsi="Book Antiqua" w:cs="Book Antiqua"/>
          <w:color w:val="000000"/>
          <w:highlight w:val="yellow"/>
        </w:rPr>
        <w:t>Mamor</w:t>
      </w:r>
      <w:proofErr w:type="spellEnd"/>
      <w:r>
        <w:rPr>
          <w:rFonts w:ascii="Book Antiqua" w:eastAsia="Book Antiqua" w:hAnsi="Book Antiqua" w:cs="Book Antiqua"/>
          <w:color w:val="000000"/>
          <w:highlight w:val="yellow"/>
        </w:rPr>
        <w:t xml:space="preserve"> H. Squamous cell carcinoma antigen-derived peptide binding to HLA-A24 molecule. EP1930427A1. Available from: </w:t>
      </w:r>
      <w:hyperlink r:id="rId8" w:history="1">
        <w:r>
          <w:rPr>
            <w:rStyle w:val="ad"/>
            <w:rFonts w:ascii="Book Antiqua" w:eastAsia="Book Antiqua" w:hAnsi="Book Antiqua" w:cs="Book Antiqua"/>
            <w:highlight w:val="yellow"/>
          </w:rPr>
          <w:t>https://worldwide.espacenet.com/publicationDetails/originalDocument?CC=EP&amp;NR=1930427A1&amp;KC=A1&amp;FT=D&amp;ND=4&amp;date=20080611&amp;DB=&amp;locale=en_EP</w:t>
        </w:r>
      </w:hyperlink>
      <w:r>
        <w:rPr>
          <w:rFonts w:ascii="Book Antiqua" w:eastAsia="Book Antiqua" w:hAnsi="Book Antiqua" w:cs="Book Antiqua"/>
          <w:color w:val="000000"/>
        </w:rPr>
        <w:t xml:space="preserve"> </w:t>
      </w:r>
    </w:p>
    <w:p w14:paraId="524A2E43" w14:textId="77777777" w:rsidR="002A20FE" w:rsidRDefault="002A20FE">
      <w:pPr>
        <w:spacing w:line="360" w:lineRule="auto"/>
        <w:jc w:val="both"/>
        <w:sectPr w:rsidR="002A20FE">
          <w:pgSz w:w="12240" w:h="15840"/>
          <w:pgMar w:top="1440" w:right="1440" w:bottom="1440" w:left="1440" w:header="720" w:footer="720" w:gutter="0"/>
          <w:cols w:space="720"/>
          <w:docGrid w:linePitch="360"/>
        </w:sectPr>
      </w:pPr>
    </w:p>
    <w:p w14:paraId="02DD91A4" w14:textId="77777777" w:rsidR="002A20FE" w:rsidRDefault="00E9210C">
      <w:pPr>
        <w:spacing w:line="360" w:lineRule="auto"/>
        <w:jc w:val="both"/>
      </w:pPr>
      <w:r>
        <w:rPr>
          <w:rFonts w:ascii="Book Antiqua" w:eastAsia="Book Antiqua" w:hAnsi="Book Antiqua" w:cs="Book Antiqua"/>
          <w:b/>
          <w:color w:val="000000"/>
        </w:rPr>
        <w:lastRenderedPageBreak/>
        <w:t>Footnotes</w:t>
      </w:r>
    </w:p>
    <w:p w14:paraId="0928F721" w14:textId="77777777" w:rsidR="002A20FE" w:rsidRDefault="00E921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rPr>
        <w:t>Informed written consent was obtained from the patient for publication of this report and any accompanying images.</w:t>
      </w:r>
    </w:p>
    <w:p w14:paraId="039D6976" w14:textId="77777777" w:rsidR="002A20FE" w:rsidRDefault="002A20FE">
      <w:pPr>
        <w:spacing w:line="360" w:lineRule="auto"/>
        <w:jc w:val="both"/>
      </w:pPr>
    </w:p>
    <w:p w14:paraId="48E38E60" w14:textId="77777777" w:rsidR="002A20FE" w:rsidRDefault="00E921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5CD9E480" w14:textId="77777777" w:rsidR="002A20FE" w:rsidRDefault="002A20FE">
      <w:pPr>
        <w:spacing w:line="360" w:lineRule="auto"/>
        <w:jc w:val="both"/>
      </w:pPr>
    </w:p>
    <w:p w14:paraId="2E1FDD77" w14:textId="77777777" w:rsidR="002A20FE" w:rsidRDefault="00E9210C">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77FE557" w14:textId="77777777" w:rsidR="002A20FE" w:rsidRDefault="002A20FE">
      <w:pPr>
        <w:spacing w:line="360" w:lineRule="auto"/>
        <w:jc w:val="both"/>
      </w:pPr>
    </w:p>
    <w:p w14:paraId="208DFC8B" w14:textId="77777777" w:rsidR="002A20FE" w:rsidRDefault="00E921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1E3458" w14:textId="77777777" w:rsidR="002A20FE" w:rsidRDefault="002A20FE">
      <w:pPr>
        <w:spacing w:line="360" w:lineRule="auto"/>
        <w:jc w:val="both"/>
      </w:pPr>
    </w:p>
    <w:p w14:paraId="5BCAD142" w14:textId="77777777" w:rsidR="002A20FE" w:rsidRDefault="00E921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ECAC126" w14:textId="77777777" w:rsidR="002A20FE" w:rsidRDefault="002A20FE">
      <w:pPr>
        <w:spacing w:line="360" w:lineRule="auto"/>
        <w:jc w:val="both"/>
      </w:pPr>
    </w:p>
    <w:p w14:paraId="13609611" w14:textId="77777777" w:rsidR="002A20FE" w:rsidRDefault="00E921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2020</w:t>
      </w:r>
    </w:p>
    <w:p w14:paraId="7B69B3AF" w14:textId="77777777" w:rsidR="002A20FE" w:rsidRDefault="00E921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29, 2020</w:t>
      </w:r>
    </w:p>
    <w:p w14:paraId="211F328B" w14:textId="77777777" w:rsidR="002A20FE" w:rsidRDefault="00E9210C">
      <w:pPr>
        <w:spacing w:line="360" w:lineRule="auto"/>
        <w:jc w:val="both"/>
      </w:pPr>
      <w:r>
        <w:rPr>
          <w:rFonts w:ascii="Book Antiqua" w:eastAsia="Book Antiqua" w:hAnsi="Book Antiqua" w:cs="Book Antiqua"/>
          <w:b/>
          <w:color w:val="000000"/>
        </w:rPr>
        <w:t xml:space="preserve">Article in press: </w:t>
      </w:r>
    </w:p>
    <w:p w14:paraId="44E2BC9D" w14:textId="77777777" w:rsidR="002A20FE" w:rsidRDefault="002A20FE">
      <w:pPr>
        <w:spacing w:line="360" w:lineRule="auto"/>
        <w:jc w:val="both"/>
      </w:pPr>
    </w:p>
    <w:p w14:paraId="496A9CC4" w14:textId="77777777" w:rsidR="002A20FE" w:rsidRDefault="00E9210C">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1A0CDADB" w14:textId="77777777" w:rsidR="002A20FE" w:rsidRDefault="00E921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A34BA41" w14:textId="77777777" w:rsidR="002A20FE" w:rsidRDefault="00E9210C">
      <w:pPr>
        <w:spacing w:line="360" w:lineRule="auto"/>
        <w:jc w:val="both"/>
      </w:pPr>
      <w:r>
        <w:rPr>
          <w:rFonts w:ascii="Book Antiqua" w:eastAsia="Book Antiqua" w:hAnsi="Book Antiqua" w:cs="Book Antiqua"/>
          <w:b/>
          <w:color w:val="000000"/>
        </w:rPr>
        <w:t>Peer-review report’s scientific quality classification</w:t>
      </w:r>
    </w:p>
    <w:p w14:paraId="53DA4061" w14:textId="77777777" w:rsidR="002A20FE" w:rsidRDefault="00E9210C">
      <w:pPr>
        <w:spacing w:line="360" w:lineRule="auto"/>
        <w:jc w:val="both"/>
      </w:pPr>
      <w:r>
        <w:rPr>
          <w:rFonts w:ascii="Book Antiqua" w:eastAsia="Book Antiqua" w:hAnsi="Book Antiqua" w:cs="Book Antiqua"/>
          <w:color w:val="000000"/>
        </w:rPr>
        <w:t>Grade A (Excellent): 0</w:t>
      </w:r>
    </w:p>
    <w:p w14:paraId="76E4B150" w14:textId="77777777" w:rsidR="002A20FE" w:rsidRDefault="00E9210C">
      <w:pPr>
        <w:spacing w:line="360" w:lineRule="auto"/>
        <w:jc w:val="both"/>
      </w:pPr>
      <w:r>
        <w:rPr>
          <w:rFonts w:ascii="Book Antiqua" w:eastAsia="Book Antiqua" w:hAnsi="Book Antiqua" w:cs="Book Antiqua"/>
          <w:color w:val="000000"/>
        </w:rPr>
        <w:t>Grade B (Very good): 0</w:t>
      </w:r>
    </w:p>
    <w:p w14:paraId="3E732F5E" w14:textId="77777777" w:rsidR="002A20FE" w:rsidRDefault="00E9210C">
      <w:pPr>
        <w:spacing w:line="360" w:lineRule="auto"/>
        <w:jc w:val="both"/>
      </w:pPr>
      <w:r>
        <w:rPr>
          <w:rFonts w:ascii="Book Antiqua" w:eastAsia="Book Antiqua" w:hAnsi="Book Antiqua" w:cs="Book Antiqua"/>
          <w:color w:val="000000"/>
        </w:rPr>
        <w:t>Grade C (Good): C, C, C, C</w:t>
      </w:r>
    </w:p>
    <w:p w14:paraId="63ECF2CD" w14:textId="77777777" w:rsidR="002A20FE" w:rsidRDefault="00E9210C">
      <w:pPr>
        <w:spacing w:line="360" w:lineRule="auto"/>
        <w:jc w:val="both"/>
      </w:pPr>
      <w:r>
        <w:rPr>
          <w:rFonts w:ascii="Book Antiqua" w:eastAsia="Book Antiqua" w:hAnsi="Book Antiqua" w:cs="Book Antiqua"/>
          <w:color w:val="000000"/>
        </w:rPr>
        <w:lastRenderedPageBreak/>
        <w:t>Grade D (Fair): D</w:t>
      </w:r>
    </w:p>
    <w:p w14:paraId="142B9185" w14:textId="77777777" w:rsidR="002A20FE" w:rsidRDefault="00E9210C">
      <w:pPr>
        <w:spacing w:line="360" w:lineRule="auto"/>
        <w:jc w:val="both"/>
      </w:pPr>
      <w:r>
        <w:rPr>
          <w:rFonts w:ascii="Book Antiqua" w:eastAsia="Book Antiqua" w:hAnsi="Book Antiqua" w:cs="Book Antiqua"/>
          <w:color w:val="000000"/>
        </w:rPr>
        <w:t>Grade E (Poor): 0</w:t>
      </w:r>
    </w:p>
    <w:p w14:paraId="667A5622" w14:textId="77777777" w:rsidR="002A20FE" w:rsidRDefault="002A20FE">
      <w:pPr>
        <w:spacing w:line="360" w:lineRule="auto"/>
        <w:jc w:val="both"/>
      </w:pPr>
    </w:p>
    <w:p w14:paraId="7E4746BE" w14:textId="77777777" w:rsidR="002A20FE" w:rsidRDefault="00E9210C">
      <w:pPr>
        <w:spacing w:line="360" w:lineRule="auto"/>
        <w:jc w:val="both"/>
        <w:sectPr w:rsidR="002A20F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Link A, Mizuguchi T, Sirin G, Tandon RK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Pr="00CE071B">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F71D28D" w14:textId="77777777" w:rsidR="002A20FE" w:rsidRDefault="00E921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A71183" w14:textId="77777777" w:rsidR="002A20FE" w:rsidRDefault="00E9210C">
      <w:pPr>
        <w:spacing w:line="360" w:lineRule="auto"/>
        <w:jc w:val="both"/>
      </w:pPr>
      <w:r>
        <w:rPr>
          <w:noProof/>
          <w:lang w:eastAsia="zh-CN"/>
        </w:rPr>
        <w:drawing>
          <wp:inline distT="0" distB="0" distL="0" distR="0" wp14:anchorId="12D97EC1" wp14:editId="3CE068E3">
            <wp:extent cx="3704590" cy="2773680"/>
            <wp:effectExtent l="0" t="0" r="0" b="0"/>
            <wp:docPr id="4097"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图片 3"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12822" cy="2779856"/>
                    </a:xfrm>
                    <a:prstGeom prst="rect">
                      <a:avLst/>
                    </a:prstGeom>
                    <a:noFill/>
                    <a:ln>
                      <a:noFill/>
                    </a:ln>
                  </pic:spPr>
                </pic:pic>
              </a:graphicData>
            </a:graphic>
          </wp:inline>
        </w:drawing>
      </w:r>
    </w:p>
    <w:p w14:paraId="5057A176" w14:textId="1497F1CE"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findings of the patient. </w:t>
      </w:r>
      <w:r>
        <w:rPr>
          <w:rFonts w:ascii="Book Antiqua" w:eastAsia="Book Antiqua" w:hAnsi="Book Antiqua" w:cs="Book Antiqua"/>
          <w:color w:val="000000"/>
        </w:rPr>
        <w:t>Endoscopy showed a large, irregular, raised ulcer 25 mm × 25 mm in dimension at the antrum-body junction.</w:t>
      </w:r>
    </w:p>
    <w:p w14:paraId="4CDA01A9" w14:textId="77777777" w:rsidR="002A20FE" w:rsidRDefault="00E9210C">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8249DD7" wp14:editId="7FC7FE9E">
            <wp:extent cx="3897630" cy="29165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3904287" cy="2921541"/>
                    </a:xfrm>
                    <a:prstGeom prst="rect">
                      <a:avLst/>
                    </a:prstGeom>
                  </pic:spPr>
                </pic:pic>
              </a:graphicData>
            </a:graphic>
          </wp:inline>
        </w:drawing>
      </w:r>
    </w:p>
    <w:p w14:paraId="627E8968" w14:textId="77777777"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Findings from preoperative abdominal </w:t>
      </w:r>
      <w:bookmarkStart w:id="1" w:name="_Hlk50038267"/>
      <w:r>
        <w:rPr>
          <w:rFonts w:ascii="Book Antiqua" w:eastAsia="Book Antiqua" w:hAnsi="Book Antiqua" w:cs="Book Antiqua"/>
          <w:b/>
          <w:bCs/>
          <w:color w:val="000000"/>
        </w:rPr>
        <w:t>computed tomography</w:t>
      </w:r>
      <w:bookmarkEnd w:id="1"/>
      <w:r>
        <w:rPr>
          <w:rFonts w:ascii="Book Antiqua" w:eastAsia="Book Antiqua" w:hAnsi="Book Antiqua" w:cs="Book Antiqua"/>
          <w:b/>
          <w:bCs/>
          <w:color w:val="000000"/>
        </w:rPr>
        <w:t xml:space="preserve">. </w:t>
      </w:r>
      <w:r>
        <w:rPr>
          <w:rFonts w:ascii="Book Antiqua" w:eastAsia="Book Antiqua" w:hAnsi="Book Antiqua" w:cs="Book Antiqua"/>
          <w:color w:val="000000"/>
        </w:rPr>
        <w:t>Abdominal contrast-enhanced computed tomography revealed irregular thickening and enhancement of the wall (arrow).</w:t>
      </w:r>
    </w:p>
    <w:p w14:paraId="2B6A52E5"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67FF879" wp14:editId="666C0435">
            <wp:extent cx="3851275" cy="2888615"/>
            <wp:effectExtent l="0" t="0" r="0" b="0"/>
            <wp:docPr id="6145" name="图片 3" descr="HE原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3" descr="HE原始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54682" cy="2891423"/>
                    </a:xfrm>
                    <a:prstGeom prst="rect">
                      <a:avLst/>
                    </a:prstGeom>
                    <a:noFill/>
                    <a:ln>
                      <a:noFill/>
                    </a:ln>
                  </pic:spPr>
                </pic:pic>
              </a:graphicData>
            </a:graphic>
          </wp:inline>
        </w:drawing>
      </w:r>
    </w:p>
    <w:p w14:paraId="28FAD530" w14:textId="6752A931"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Histological characteristics. </w:t>
      </w:r>
      <w:r w:rsidRPr="002611CD">
        <w:rPr>
          <w:rFonts w:ascii="Book Antiqua" w:eastAsia="Book Antiqua" w:hAnsi="Book Antiqua" w:cs="Book Antiqua"/>
          <w:color w:val="000000"/>
        </w:rPr>
        <w:t xml:space="preserve">Hematoxylin and eosin stain indicated poorly differentiated adenocarcinoma with signet ring cells (200 </w:t>
      </w:r>
      <w:r w:rsidRPr="002611CD">
        <w:rPr>
          <w:rFonts w:ascii="Book Antiqua" w:eastAsia="Book Antiqua" w:hAnsi="Book Antiqua" w:cs="Book Antiqua" w:hint="eastAsia"/>
          <w:color w:val="000000"/>
        </w:rPr>
        <w:t>×</w:t>
      </w:r>
      <w:r w:rsidRPr="002611CD">
        <w:rPr>
          <w:rFonts w:ascii="Book Antiqua" w:eastAsia="Book Antiqua" w:hAnsi="Book Antiqua" w:cs="Book Antiqua"/>
          <w:color w:val="000000"/>
        </w:rPr>
        <w:t xml:space="preserve"> magnification)</w:t>
      </w:r>
      <w:commentRangeStart w:id="2"/>
      <w:commentRangeEnd w:id="2"/>
      <w:r>
        <w:rPr>
          <w:rStyle w:val="ae"/>
        </w:rPr>
        <w:commentReference w:id="2"/>
      </w:r>
      <w:r>
        <w:rPr>
          <w:rFonts w:ascii="Book Antiqua" w:eastAsia="Book Antiqua" w:hAnsi="Book Antiqua" w:cs="Book Antiqua"/>
          <w:color w:val="000000"/>
        </w:rPr>
        <w:t>.</w:t>
      </w:r>
    </w:p>
    <w:p w14:paraId="0E691E96"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EA65AE" wp14:editId="334BAACA">
            <wp:extent cx="5350510" cy="3637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68971" cy="3650309"/>
                    </a:xfrm>
                    <a:prstGeom prst="rect">
                      <a:avLst/>
                    </a:prstGeom>
                    <a:noFill/>
                  </pic:spPr>
                </pic:pic>
              </a:graphicData>
            </a:graphic>
          </wp:inline>
        </w:drawing>
      </w:r>
    </w:p>
    <w:p w14:paraId="71C70667" w14:textId="742A2408" w:rsidR="002A20FE" w:rsidRDefault="00E921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Immunohistochemical staining characteristics. </w:t>
      </w:r>
      <w:r>
        <w:rPr>
          <w:rFonts w:ascii="Book Antiqua" w:eastAsia="Book Antiqua" w:hAnsi="Book Antiqua" w:cs="Book Antiqua"/>
          <w:color w:val="000000"/>
        </w:rPr>
        <w:t xml:space="preserve">A: Immunohistochemical (IHC) staining showed strong squamous cell carcinoma antigen expression (+++) mainly in the cytoplasm of tumor cells (200 × magnification); B-D: IHC staining showed that the tumor cells were negative for p40, p63, and CK5/6 (200 × magnification); E and F: IHC staining showed that the tumor cells were positive for E-cadherin and </w:t>
      </w:r>
      <w:r>
        <w:rPr>
          <w:rFonts w:ascii="Book Antiqua" w:eastAsia="Book Antiqua" w:hAnsi="Book Antiqua" w:cs="Book Antiqua"/>
          <w:color w:val="000000"/>
          <w:szCs w:val="22"/>
        </w:rPr>
        <w:t>carcinoembryonic antigen</w:t>
      </w:r>
      <w:r>
        <w:rPr>
          <w:rFonts w:ascii="Book Antiqua" w:eastAsia="Book Antiqua" w:hAnsi="Book Antiqua" w:cs="Book Antiqua"/>
          <w:color w:val="000000"/>
        </w:rPr>
        <w:t xml:space="preserve"> (200 × magnification).</w:t>
      </w:r>
    </w:p>
    <w:p w14:paraId="7B4D9A2C" w14:textId="77777777" w:rsidR="002A20FE" w:rsidRDefault="00E9210C">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8E3D468" wp14:editId="57588F7E">
            <wp:extent cx="4550410" cy="3482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59689" cy="3489308"/>
                    </a:xfrm>
                    <a:prstGeom prst="rect">
                      <a:avLst/>
                    </a:prstGeom>
                    <a:noFill/>
                  </pic:spPr>
                </pic:pic>
              </a:graphicData>
            </a:graphic>
          </wp:inline>
        </w:drawing>
      </w:r>
    </w:p>
    <w:p w14:paraId="6B207475" w14:textId="1D86472B" w:rsidR="002A20FE" w:rsidRDefault="00E9210C">
      <w:pPr>
        <w:spacing w:line="360" w:lineRule="auto"/>
        <w:jc w:val="both"/>
      </w:pPr>
      <w:r>
        <w:rPr>
          <w:rFonts w:ascii="Book Antiqua" w:eastAsia="Book Antiqua" w:hAnsi="Book Antiqua" w:cs="Book Antiqua"/>
          <w:b/>
          <w:bCs/>
          <w:color w:val="000000"/>
        </w:rPr>
        <w:t xml:space="preserve">Figure 5 Immunohistochemical staining for squamous cell carcinoma antigen in gastritis and gastric cancer tissues. </w:t>
      </w:r>
      <w:r>
        <w:rPr>
          <w:rFonts w:ascii="Book Antiqua" w:eastAsia="Book Antiqua" w:hAnsi="Book Antiqua" w:cs="Book Antiqua"/>
          <w:color w:val="000000"/>
        </w:rPr>
        <w:t>Paraffin-sections from gastritis and gastric cancer tissues of multiple patients were simultaneously stained for squamous cell carcinoma antigen (SCCA). A: Negative SCCA expression (-) in well differentiated gastric cancer (200 × magnification); B: Weakly positive SCCA expression (+) in poorly differentiated gastric cancer (200 × magnification); C: Negative SCCA expression (-) in chronic gastritis (200 × magnification); D: Strong SCCA expression (+++) in gastric squamous cell carcinoma (200 × magnification).</w:t>
      </w:r>
    </w:p>
    <w:sectPr w:rsidR="002A20F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Wang Tianqi" w:date="2020-09-07T19:05:00Z" w:initials="">
    <w:p w14:paraId="7933134D" w14:textId="77777777" w:rsidR="002A20FE" w:rsidRDefault="00E9210C">
      <w:pPr>
        <w:pStyle w:val="a3"/>
        <w:rPr>
          <w:lang w:eastAsia="zh-CN"/>
        </w:rPr>
      </w:pPr>
      <w:r>
        <w:rPr>
          <w:rFonts w:hint="eastAsia"/>
          <w:lang w:eastAsia="zh-CN"/>
        </w:rPr>
        <w:t>P</w:t>
      </w:r>
      <w:r>
        <w:rPr>
          <w:lang w:eastAsia="zh-CN"/>
        </w:rPr>
        <w:t>lease rephrase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3313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33134D" w16cid:durableId="2304C9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01FF6" w14:textId="77777777" w:rsidR="00000028" w:rsidRDefault="00000028">
      <w:r>
        <w:separator/>
      </w:r>
    </w:p>
  </w:endnote>
  <w:endnote w:type="continuationSeparator" w:id="0">
    <w:p w14:paraId="76D27F41" w14:textId="77777777" w:rsidR="00000028" w:rsidRDefault="00000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0205578"/>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51B7E7D6" w14:textId="77777777" w:rsidR="002A20FE" w:rsidRDefault="00E9210C">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E071B">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E071B">
              <w:rPr>
                <w:rFonts w:ascii="Book Antiqua" w:hAnsi="Book Antiqua"/>
                <w:noProof/>
                <w:sz w:val="24"/>
                <w:szCs w:val="24"/>
              </w:rPr>
              <w:t>20</w:t>
            </w:r>
            <w:r>
              <w:rPr>
                <w:rFonts w:ascii="Book Antiqua" w:hAnsi="Book Antiqua"/>
                <w:sz w:val="24"/>
                <w:szCs w:val="24"/>
              </w:rPr>
              <w:fldChar w:fldCharType="end"/>
            </w:r>
          </w:p>
        </w:sdtContent>
      </w:sdt>
    </w:sdtContent>
  </w:sdt>
  <w:p w14:paraId="1745EF16" w14:textId="77777777" w:rsidR="002A20FE" w:rsidRDefault="002A20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D70BD" w14:textId="77777777" w:rsidR="00000028" w:rsidRDefault="00000028">
      <w:r>
        <w:separator/>
      </w:r>
    </w:p>
  </w:footnote>
  <w:footnote w:type="continuationSeparator" w:id="0">
    <w:p w14:paraId="18F5C6A9" w14:textId="77777777" w:rsidR="00000028" w:rsidRDefault="000000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028"/>
    <w:rsid w:val="0008596F"/>
    <w:rsid w:val="001138A0"/>
    <w:rsid w:val="00177212"/>
    <w:rsid w:val="00181E85"/>
    <w:rsid w:val="001E170B"/>
    <w:rsid w:val="001F1675"/>
    <w:rsid w:val="00252CD4"/>
    <w:rsid w:val="002611CD"/>
    <w:rsid w:val="00262249"/>
    <w:rsid w:val="002A20FE"/>
    <w:rsid w:val="00340E69"/>
    <w:rsid w:val="00426DE0"/>
    <w:rsid w:val="00431F6E"/>
    <w:rsid w:val="00485FB7"/>
    <w:rsid w:val="004871B4"/>
    <w:rsid w:val="004A3424"/>
    <w:rsid w:val="004C0A27"/>
    <w:rsid w:val="004C3224"/>
    <w:rsid w:val="00532869"/>
    <w:rsid w:val="00561950"/>
    <w:rsid w:val="005D646A"/>
    <w:rsid w:val="00630DD5"/>
    <w:rsid w:val="00640B04"/>
    <w:rsid w:val="00674886"/>
    <w:rsid w:val="006E786D"/>
    <w:rsid w:val="006F27D3"/>
    <w:rsid w:val="007162E3"/>
    <w:rsid w:val="007F5780"/>
    <w:rsid w:val="00844D9D"/>
    <w:rsid w:val="008C1646"/>
    <w:rsid w:val="00996993"/>
    <w:rsid w:val="009F09CF"/>
    <w:rsid w:val="00A77B3E"/>
    <w:rsid w:val="00AF7F6F"/>
    <w:rsid w:val="00BD2DA0"/>
    <w:rsid w:val="00CA2A55"/>
    <w:rsid w:val="00CE071B"/>
    <w:rsid w:val="00D026EB"/>
    <w:rsid w:val="00D635A1"/>
    <w:rsid w:val="00DD5D16"/>
    <w:rsid w:val="00E103C1"/>
    <w:rsid w:val="00E9210C"/>
    <w:rsid w:val="00EE2744"/>
    <w:rsid w:val="00F12D1D"/>
    <w:rsid w:val="00FD2ED9"/>
    <w:rsid w:val="24EF3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9BC4827-8B76-4C6C-AB78-4DE4336DF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Hyperlink"/>
    <w:basedOn w:val="a0"/>
    <w:unhideWhenUsed/>
    <w:rPr>
      <w:color w:val="0000FF" w:themeColor="hyperlink"/>
      <w:u w:val="single"/>
    </w:rPr>
  </w:style>
  <w:style w:type="character" w:styleId="ae">
    <w:name w:val="annotation reference"/>
    <w:basedOn w:val="a0"/>
    <w:semiHidden/>
    <w:unhideWhenUsed/>
    <w:rPr>
      <w:sz w:val="21"/>
      <w:szCs w:val="21"/>
    </w:rPr>
  </w:style>
  <w:style w:type="character" w:customStyle="1" w:styleId="a6">
    <w:name w:val="批注框文本 字符"/>
    <w:basedOn w:val="a0"/>
    <w:link w:val="a5"/>
    <w:qFormat/>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orldwide.espacenet.com/publicationDetails/originalDocument?CC=EP&amp;NR=1930427A1&amp;KC=A1&amp;FT=D&amp;ND=4&amp;date=20080611&amp;DB=&amp;locale=en_EP" TargetMode="Externa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3452</Words>
  <Characters>19679</Characters>
  <Application>Microsoft Office Word</Application>
  <DocSecurity>0</DocSecurity>
  <Lines>163</Lines>
  <Paragraphs>46</Paragraphs>
  <ScaleCrop>false</ScaleCrop>
  <Company/>
  <LinksUpToDate>false</LinksUpToDate>
  <CharactersWithSpaces>23085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2020-09-09T02:58:00Z</dcterms:created>
  <dcterms:modified xsi:type="dcterms:W3CDTF">2020-09-10T07:53:00Z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