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B0A7E" w14:textId="77777777" w:rsidR="00A77B3E" w:rsidRDefault="006D35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48E5E23" w14:textId="77777777" w:rsidR="00A77B3E" w:rsidRDefault="006D35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57061</w:t>
      </w:r>
    </w:p>
    <w:p w14:paraId="44BE40CD" w14:textId="77777777" w:rsidR="00A77B3E" w:rsidRDefault="006D35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1C8DB61" w14:textId="77777777" w:rsidR="00A77B3E" w:rsidRDefault="00A77B3E">
      <w:pPr>
        <w:spacing w:line="360" w:lineRule="auto"/>
        <w:jc w:val="both"/>
      </w:pPr>
    </w:p>
    <w:p w14:paraId="2194E917" w14:textId="7FF6AFB6" w:rsidR="00A77B3E" w:rsidRDefault="006D3597">
      <w:pPr>
        <w:spacing w:line="360" w:lineRule="auto"/>
        <w:jc w:val="both"/>
      </w:pPr>
      <w:r>
        <w:rPr>
          <w:rFonts w:ascii="Book Antiqua" w:eastAsia="Book Antiqua" w:hAnsi="Book Antiqua" w:cs="Book Antiqua"/>
          <w:b/>
          <w:color w:val="000000"/>
        </w:rPr>
        <w:t>Still '</w:t>
      </w:r>
      <w:r w:rsidR="0025101A">
        <w:rPr>
          <w:rFonts w:ascii="Book Antiqua" w:eastAsia="Book Antiqua" w:hAnsi="Book Antiqua" w:cs="Book Antiqua"/>
          <w:b/>
          <w:color w:val="000000"/>
        </w:rPr>
        <w:t>dwelling in the possibility'</w:t>
      </w:r>
      <w:bookmarkStart w:id="0" w:name="_Hlk51247749"/>
      <w:r w:rsidR="000918F9">
        <w:rPr>
          <w:rFonts w:ascii="Book Antiqua" w:eastAsia="Book Antiqua" w:hAnsi="Book Antiqua" w:cs="Book Antiqua"/>
          <w:b/>
          <w:color w:val="000000"/>
        </w:rPr>
        <w:t xml:space="preserve"> </w:t>
      </w:r>
      <w:r w:rsidR="0025101A" w:rsidRPr="0025101A">
        <w:rPr>
          <w:rFonts w:ascii="Book Antiqua" w:eastAsia="Book Antiqua" w:hAnsi="Book Antiqua" w:cs="Book Antiqua"/>
          <w:b/>
          <w:color w:val="000000"/>
        </w:rPr>
        <w:t>—</w:t>
      </w:r>
      <w:bookmarkEnd w:id="0"/>
      <w:r w:rsidR="000918F9">
        <w:rPr>
          <w:rFonts w:ascii="Book Antiqua" w:eastAsia="Book Antiqua" w:hAnsi="Book Antiqua" w:cs="Book Antiqua"/>
          <w:b/>
          <w:color w:val="000000"/>
        </w:rPr>
        <w:t xml:space="preserve"> </w:t>
      </w:r>
      <w:r w:rsidR="0025101A">
        <w:rPr>
          <w:rFonts w:ascii="Book Antiqua" w:eastAsia="Book Antiqua" w:hAnsi="Book Antiqua" w:cs="Book Antiqua"/>
          <w:b/>
          <w:color w:val="000000"/>
        </w:rPr>
        <w:t>critical update on stem cell therapy for acute on chronic liver fail</w:t>
      </w:r>
      <w:r>
        <w:rPr>
          <w:rFonts w:ascii="Book Antiqua" w:eastAsia="Book Antiqua" w:hAnsi="Book Antiqua" w:cs="Book Antiqua"/>
          <w:b/>
          <w:color w:val="000000"/>
        </w:rPr>
        <w:t>ure</w:t>
      </w:r>
    </w:p>
    <w:p w14:paraId="68BECA74" w14:textId="77777777" w:rsidR="00A77B3E" w:rsidRDefault="00A77B3E">
      <w:pPr>
        <w:spacing w:line="360" w:lineRule="auto"/>
        <w:jc w:val="both"/>
      </w:pPr>
    </w:p>
    <w:p w14:paraId="7A69BFB2" w14:textId="5A3E807A" w:rsidR="00A77B3E" w:rsidRDefault="0025101A">
      <w:pPr>
        <w:spacing w:line="360" w:lineRule="auto"/>
        <w:jc w:val="both"/>
      </w:pPr>
      <w:r>
        <w:rPr>
          <w:rFonts w:ascii="Book Antiqua" w:eastAsia="Book Antiqua" w:hAnsi="Book Antiqua" w:cs="Book Antiqua"/>
          <w:color w:val="000000"/>
        </w:rPr>
        <w:t>Philip CA</w:t>
      </w:r>
      <w:r w:rsidRPr="004875A2">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6D3597">
        <w:rPr>
          <w:rFonts w:ascii="Book Antiqua" w:eastAsia="Book Antiqua" w:hAnsi="Book Antiqua" w:cs="Book Antiqua"/>
          <w:color w:val="000000"/>
        </w:rPr>
        <w:t xml:space="preserve">Stem </w:t>
      </w:r>
      <w:r w:rsidR="000F50D2">
        <w:rPr>
          <w:rFonts w:ascii="Book Antiqua" w:eastAsia="Book Antiqua" w:hAnsi="Book Antiqua" w:cs="Book Antiqua"/>
          <w:color w:val="000000"/>
        </w:rPr>
        <w:t>cell the</w:t>
      </w:r>
      <w:r w:rsidR="006D3597">
        <w:rPr>
          <w:rFonts w:ascii="Book Antiqua" w:eastAsia="Book Antiqua" w:hAnsi="Book Antiqua" w:cs="Book Antiqua"/>
          <w:color w:val="000000"/>
        </w:rPr>
        <w:t>rapy for ACLF</w:t>
      </w:r>
    </w:p>
    <w:p w14:paraId="45EBFDA9" w14:textId="77777777" w:rsidR="00A77B3E" w:rsidRDefault="00A77B3E">
      <w:pPr>
        <w:spacing w:line="360" w:lineRule="auto"/>
        <w:jc w:val="both"/>
      </w:pPr>
    </w:p>
    <w:p w14:paraId="096F08C0" w14:textId="77777777" w:rsidR="00A77B3E" w:rsidRDefault="006D3597">
      <w:pPr>
        <w:spacing w:line="360" w:lineRule="auto"/>
        <w:jc w:val="both"/>
      </w:pPr>
      <w:r>
        <w:rPr>
          <w:rFonts w:ascii="Book Antiqua" w:eastAsia="Book Antiqua" w:hAnsi="Book Antiqua" w:cs="Book Antiqua"/>
          <w:color w:val="000000"/>
        </w:rPr>
        <w:t>Cyriac Abby Philip, Philip Augustine</w:t>
      </w:r>
    </w:p>
    <w:p w14:paraId="03AF64C0" w14:textId="77777777" w:rsidR="00A77B3E" w:rsidRDefault="00A77B3E">
      <w:pPr>
        <w:spacing w:line="360" w:lineRule="auto"/>
        <w:jc w:val="both"/>
      </w:pPr>
    </w:p>
    <w:p w14:paraId="7AB8D9A9" w14:textId="16DB231A" w:rsidR="00A77B3E" w:rsidRDefault="006D3597">
      <w:pPr>
        <w:spacing w:line="360" w:lineRule="auto"/>
        <w:jc w:val="both"/>
      </w:pPr>
      <w:r>
        <w:rPr>
          <w:rFonts w:ascii="Book Antiqua" w:eastAsia="Book Antiqua" w:hAnsi="Book Antiqua" w:cs="Book Antiqua"/>
          <w:b/>
          <w:bCs/>
          <w:color w:val="000000"/>
        </w:rPr>
        <w:t xml:space="preserve">Cyriac Abby Philip, </w:t>
      </w:r>
      <w:r w:rsidR="0025101A">
        <w:rPr>
          <w:rFonts w:ascii="Book Antiqua" w:eastAsia="Book Antiqua" w:hAnsi="Book Antiqua" w:cs="Book Antiqua"/>
          <w:color w:val="000000"/>
        </w:rPr>
        <w:t>t</w:t>
      </w:r>
      <w:r>
        <w:rPr>
          <w:rFonts w:ascii="Book Antiqua" w:eastAsia="Book Antiqua" w:hAnsi="Book Antiqua" w:cs="Book Antiqua"/>
          <w:color w:val="000000"/>
        </w:rPr>
        <w:t>he Liver Unit and Monarch Liver Lab, Cochin Gastroenterology Group, Ernakulam Medical Center, Kochi 682025, Kerala, India</w:t>
      </w:r>
    </w:p>
    <w:p w14:paraId="20832647" w14:textId="77777777" w:rsidR="00A77B3E" w:rsidRDefault="00A77B3E">
      <w:pPr>
        <w:spacing w:line="360" w:lineRule="auto"/>
        <w:jc w:val="both"/>
      </w:pPr>
    </w:p>
    <w:p w14:paraId="1E688F65" w14:textId="1AD4E846" w:rsidR="00A77B3E" w:rsidRDefault="006D3597">
      <w:pPr>
        <w:spacing w:line="360" w:lineRule="auto"/>
        <w:jc w:val="both"/>
      </w:pPr>
      <w:r>
        <w:rPr>
          <w:rFonts w:ascii="Book Antiqua" w:eastAsia="Book Antiqua" w:hAnsi="Book Antiqua" w:cs="Book Antiqua"/>
          <w:b/>
          <w:bCs/>
          <w:color w:val="000000"/>
        </w:rPr>
        <w:t xml:space="preserve">Philip Augustine, </w:t>
      </w:r>
      <w:r>
        <w:rPr>
          <w:rFonts w:ascii="Book Antiqua" w:eastAsia="Book Antiqua" w:hAnsi="Book Antiqua" w:cs="Book Antiqua"/>
          <w:color w:val="000000"/>
        </w:rPr>
        <w:t>Department of Gastroenterology and Advanced GI Endoscopy, Cochin Gastroenterology Group, Ernakulam Medical Center, Kochi 682025, Kerala, India</w:t>
      </w:r>
    </w:p>
    <w:p w14:paraId="74DF85F1" w14:textId="77777777" w:rsidR="00C75E86" w:rsidRDefault="00C75E86">
      <w:pPr>
        <w:spacing w:line="360" w:lineRule="auto"/>
        <w:jc w:val="both"/>
      </w:pPr>
    </w:p>
    <w:p w14:paraId="2C51D84E" w14:textId="77777777" w:rsidR="00A77B3E" w:rsidRDefault="006D35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Philips CA designed and wrote the original draft and was involved in the revision; Augustine P was involved in the editing and review of the manuscript; all authors have read and approve the final manuscript.</w:t>
      </w:r>
    </w:p>
    <w:p w14:paraId="5AE3EE2B" w14:textId="77777777" w:rsidR="00A77B3E" w:rsidRDefault="00A77B3E">
      <w:pPr>
        <w:spacing w:line="360" w:lineRule="auto"/>
        <w:jc w:val="both"/>
      </w:pPr>
    </w:p>
    <w:p w14:paraId="7534CC8C" w14:textId="08C35D3D" w:rsidR="00A77B3E" w:rsidRDefault="006D3597">
      <w:pPr>
        <w:spacing w:line="360" w:lineRule="auto"/>
        <w:jc w:val="both"/>
      </w:pPr>
      <w:r>
        <w:rPr>
          <w:rFonts w:ascii="Book Antiqua" w:eastAsia="Book Antiqua" w:hAnsi="Book Antiqua" w:cs="Book Antiqua"/>
          <w:b/>
          <w:bCs/>
          <w:color w:val="000000"/>
        </w:rPr>
        <w:t xml:space="preserve">Corresponding author: Cyriac Abby Philip, MBBS, MD, </w:t>
      </w:r>
      <w:r w:rsidR="00C75E86">
        <w:rPr>
          <w:rFonts w:ascii="Book Antiqua" w:eastAsia="Book Antiqua" w:hAnsi="Book Antiqua" w:cs="Book Antiqua"/>
          <w:b/>
          <w:bCs/>
          <w:color w:val="000000"/>
        </w:rPr>
        <w:t>Consultant Physician Scientist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Liver Unit and Monarch Liver Lab, Cochin Gastroenterology Group, Ernakulam Medical Center, NH Bypass, </w:t>
      </w:r>
      <w:proofErr w:type="spellStart"/>
      <w:r>
        <w:rPr>
          <w:rFonts w:ascii="Book Antiqua" w:eastAsia="Book Antiqua" w:hAnsi="Book Antiqua" w:cs="Book Antiqua"/>
          <w:color w:val="000000"/>
        </w:rPr>
        <w:t>Palarivattom</w:t>
      </w:r>
      <w:proofErr w:type="spellEnd"/>
      <w:r>
        <w:rPr>
          <w:rFonts w:ascii="Book Antiqua" w:eastAsia="Book Antiqua" w:hAnsi="Book Antiqua" w:cs="Book Antiqua"/>
          <w:color w:val="000000"/>
        </w:rPr>
        <w:t>, Kochi 682025, Kerala, India. abbyphilips@gmail.com</w:t>
      </w:r>
    </w:p>
    <w:p w14:paraId="05980A67" w14:textId="77777777" w:rsidR="00A77B3E" w:rsidRDefault="00A77B3E">
      <w:pPr>
        <w:spacing w:line="360" w:lineRule="auto"/>
        <w:jc w:val="both"/>
      </w:pPr>
    </w:p>
    <w:p w14:paraId="34D3C87E" w14:textId="77777777" w:rsidR="00A77B3E" w:rsidRDefault="006D35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24, 2020</w:t>
      </w:r>
    </w:p>
    <w:p w14:paraId="3BBF50A8" w14:textId="77777777" w:rsidR="00A77B3E" w:rsidRDefault="006D35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29, 2020</w:t>
      </w:r>
    </w:p>
    <w:p w14:paraId="3586106D" w14:textId="44C0C985" w:rsidR="00A77B3E" w:rsidRDefault="006D3597">
      <w:pPr>
        <w:spacing w:line="360" w:lineRule="auto"/>
        <w:jc w:val="both"/>
      </w:pPr>
      <w:r>
        <w:rPr>
          <w:rFonts w:ascii="Book Antiqua" w:eastAsia="Book Antiqua" w:hAnsi="Book Antiqua" w:cs="Book Antiqua"/>
          <w:b/>
          <w:bCs/>
          <w:color w:val="000000"/>
        </w:rPr>
        <w:t xml:space="preserve">Accepted: </w:t>
      </w:r>
      <w:r w:rsidR="00B951C3" w:rsidRPr="00B951C3">
        <w:rPr>
          <w:rFonts w:ascii="Book Antiqua" w:eastAsia="Book Antiqua" w:hAnsi="Book Antiqua" w:cs="Book Antiqua"/>
          <w:bCs/>
          <w:color w:val="000000"/>
        </w:rPr>
        <w:t>September 22, 2020</w:t>
      </w:r>
    </w:p>
    <w:p w14:paraId="733105CE" w14:textId="77777777" w:rsidR="00A77B3E" w:rsidRDefault="006D3597">
      <w:pPr>
        <w:spacing w:line="360" w:lineRule="auto"/>
        <w:jc w:val="both"/>
      </w:pPr>
      <w:r>
        <w:rPr>
          <w:rFonts w:ascii="Book Antiqua" w:eastAsia="Book Antiqua" w:hAnsi="Book Antiqua" w:cs="Book Antiqua"/>
          <w:b/>
          <w:bCs/>
          <w:color w:val="000000"/>
        </w:rPr>
        <w:lastRenderedPageBreak/>
        <w:t xml:space="preserve">Published online: </w:t>
      </w:r>
    </w:p>
    <w:p w14:paraId="3AB8925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5D3F497" w14:textId="77777777" w:rsidR="00A77B3E" w:rsidRDefault="006D3597">
      <w:pPr>
        <w:spacing w:line="360" w:lineRule="auto"/>
        <w:jc w:val="both"/>
      </w:pPr>
      <w:r>
        <w:rPr>
          <w:rFonts w:ascii="Book Antiqua" w:eastAsia="Book Antiqua" w:hAnsi="Book Antiqua" w:cs="Book Antiqua"/>
          <w:b/>
          <w:color w:val="000000"/>
        </w:rPr>
        <w:lastRenderedPageBreak/>
        <w:t>Abstract</w:t>
      </w:r>
    </w:p>
    <w:p w14:paraId="3F5B39E5" w14:textId="54DC1F47" w:rsidR="00A77B3E" w:rsidRDefault="006D3597">
      <w:pPr>
        <w:spacing w:line="360" w:lineRule="auto"/>
        <w:jc w:val="both"/>
      </w:pPr>
      <w:r>
        <w:rPr>
          <w:rFonts w:ascii="Book Antiqua" w:eastAsia="Book Antiqua" w:hAnsi="Book Antiqua" w:cs="Book Antiqua"/>
          <w:color w:val="000000"/>
        </w:rPr>
        <w:t>Stem cells could improve survival in patients with liver failure. Studies on stem cell therapy and related growth factors in decompensated cirrhosis has been on the forefront but has shown heterogenous results. Recent high-quality studies have shown a lack of efficacy and safety. Patients with acute</w:t>
      </w:r>
      <w:r w:rsidR="001471CF">
        <w:rPr>
          <w:rFonts w:ascii="Book Antiqua" w:eastAsia="Book Antiqua" w:hAnsi="Book Antiqua" w:cs="Book Antiqua"/>
          <w:color w:val="000000"/>
        </w:rPr>
        <w:t>-on-</w:t>
      </w:r>
      <w:r>
        <w:rPr>
          <w:rFonts w:ascii="Book Antiqua" w:eastAsia="Book Antiqua" w:hAnsi="Book Antiqua" w:cs="Book Antiqua"/>
          <w:color w:val="000000"/>
        </w:rPr>
        <w:t>chronic liver failure (ACLF) are a unique group with high mortality in the short-term associated with rapid onset extrahepatic organ failures. In these patients, there is an urgent need to identify treatments that can improve liver cell function and mass, prevent sepsis/organ failure, ameliorate systemic inflammation, and increase transplant-free survival. Stem cells are a novel treatment in ACLF but with unclear efficacy and safety. In this narrative review, we discuss the basics of liver regeneration in patients with ACLF and update current clinical status of stem cell use in patients with ACLF for improving our understanding of future directions.</w:t>
      </w:r>
    </w:p>
    <w:p w14:paraId="29C8D564" w14:textId="77777777" w:rsidR="00A77B3E" w:rsidRDefault="00A77B3E">
      <w:pPr>
        <w:spacing w:line="360" w:lineRule="auto"/>
        <w:jc w:val="both"/>
      </w:pPr>
    </w:p>
    <w:p w14:paraId="18AF36F2" w14:textId="77777777" w:rsidR="00A77B3E" w:rsidRDefault="006D35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Portal hypertension; Regenerative therapy; Mesenchymal stem cells; Liver failure; Sepsis</w:t>
      </w:r>
    </w:p>
    <w:p w14:paraId="14DB9EAF" w14:textId="77777777" w:rsidR="00A77B3E" w:rsidRDefault="00A77B3E">
      <w:pPr>
        <w:spacing w:line="360" w:lineRule="auto"/>
        <w:jc w:val="both"/>
      </w:pPr>
    </w:p>
    <w:p w14:paraId="48635EF7" w14:textId="34C02639" w:rsidR="00A77B3E" w:rsidRDefault="006D3597">
      <w:pPr>
        <w:spacing w:line="360" w:lineRule="auto"/>
        <w:jc w:val="both"/>
      </w:pPr>
      <w:r>
        <w:rPr>
          <w:rFonts w:ascii="Book Antiqua" w:eastAsia="Book Antiqua" w:hAnsi="Book Antiqua" w:cs="Book Antiqua"/>
          <w:color w:val="000000"/>
        </w:rPr>
        <w:t>Philip CA, Augustine P. Still '</w:t>
      </w:r>
      <w:r w:rsidR="0025101A">
        <w:rPr>
          <w:rFonts w:ascii="Book Antiqua" w:eastAsia="Book Antiqua" w:hAnsi="Book Antiqua" w:cs="Book Antiqua"/>
          <w:color w:val="000000"/>
        </w:rPr>
        <w:t>dwelling in the possibility'</w:t>
      </w:r>
      <w:r w:rsidR="00F30719">
        <w:rPr>
          <w:rFonts w:ascii="Book Antiqua" w:eastAsia="Book Antiqua" w:hAnsi="Book Antiqua" w:cs="Book Antiqua"/>
          <w:color w:val="000000"/>
        </w:rPr>
        <w:t xml:space="preserve"> </w:t>
      </w:r>
      <w:r w:rsidR="0025101A" w:rsidRPr="0025101A">
        <w:rPr>
          <w:rFonts w:ascii="Book Antiqua" w:eastAsia="Book Antiqua" w:hAnsi="Book Antiqua" w:cs="Book Antiqua"/>
          <w:bCs/>
          <w:color w:val="000000"/>
        </w:rPr>
        <w:t>—</w:t>
      </w:r>
      <w:r w:rsidR="00F30719">
        <w:rPr>
          <w:rFonts w:ascii="Book Antiqua" w:eastAsia="Book Antiqua" w:hAnsi="Book Antiqua" w:cs="Book Antiqua"/>
          <w:bCs/>
          <w:color w:val="000000"/>
        </w:rPr>
        <w:t xml:space="preserve"> </w:t>
      </w:r>
      <w:r w:rsidR="0025101A">
        <w:rPr>
          <w:rFonts w:ascii="Book Antiqua" w:eastAsia="Book Antiqua" w:hAnsi="Book Antiqua" w:cs="Book Antiqua"/>
          <w:color w:val="000000"/>
        </w:rPr>
        <w:t>critical update on stem cell therapy for acute on chronic liver f</w:t>
      </w:r>
      <w:r>
        <w:rPr>
          <w:rFonts w:ascii="Book Antiqua" w:eastAsia="Book Antiqua" w:hAnsi="Book Antiqua" w:cs="Book Antiqua"/>
          <w:color w:val="000000"/>
        </w:rPr>
        <w:t xml:space="preserve">ailure.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273EF6D5" w14:textId="77777777" w:rsidR="00A77B3E" w:rsidRDefault="00A77B3E">
      <w:pPr>
        <w:spacing w:line="360" w:lineRule="auto"/>
        <w:jc w:val="both"/>
      </w:pPr>
    </w:p>
    <w:p w14:paraId="35901FB2" w14:textId="6A266625" w:rsidR="00A77B3E" w:rsidRDefault="006D359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patients with acute on chronic liver failure, the efficacy and safety of stem cell therapy remains unclear because there are few adequately powered, high-quality studies. Most studies in </w:t>
      </w:r>
      <w:r w:rsidR="001471CF">
        <w:rPr>
          <w:rFonts w:ascii="Book Antiqua" w:eastAsia="Book Antiqua" w:hAnsi="Book Antiqua" w:cs="Book Antiqua"/>
          <w:color w:val="000000"/>
        </w:rPr>
        <w:t>acute-on-chronic liver failure (</w:t>
      </w:r>
      <w:r>
        <w:rPr>
          <w:rFonts w:ascii="Book Antiqua" w:eastAsia="Book Antiqua" w:hAnsi="Book Antiqua" w:cs="Book Antiqua"/>
          <w:color w:val="000000"/>
        </w:rPr>
        <w:t>ACLF</w:t>
      </w:r>
      <w:r w:rsidR="001471CF">
        <w:rPr>
          <w:rFonts w:ascii="Book Antiqua" w:eastAsia="Book Antiqua" w:hAnsi="Book Antiqua" w:cs="Book Antiqua"/>
          <w:color w:val="000000"/>
        </w:rPr>
        <w:t>)</w:t>
      </w:r>
      <w:r>
        <w:rPr>
          <w:rFonts w:ascii="Book Antiqua" w:eastAsia="Book Antiqua" w:hAnsi="Book Antiqua" w:cs="Book Antiqua"/>
          <w:color w:val="000000"/>
        </w:rPr>
        <w:t xml:space="preserve"> have been performed in Asian centers and in those with hepatitis B virus infection. Some studies have demonstrated improved short-term survival as well as liver disease severity and better hepatic synthetic and excretory functions. However, long term clinical efficacy and safety as well as ideal protocols for stem cell extraction, dose, duration, route, and type, in patients with ACLF remain unclear and requires sufficiently powered studies. </w:t>
      </w:r>
    </w:p>
    <w:p w14:paraId="6DDB1AFB" w14:textId="697E0B6C" w:rsidR="00A77B3E" w:rsidRDefault="001471CF">
      <w:pPr>
        <w:spacing w:line="360" w:lineRule="auto"/>
        <w:jc w:val="both"/>
      </w:pPr>
      <w:r>
        <w:br w:type="page"/>
      </w:r>
      <w:r w:rsidR="006D3597">
        <w:rPr>
          <w:rFonts w:ascii="Book Antiqua" w:eastAsia="Book Antiqua" w:hAnsi="Book Antiqua" w:cs="Book Antiqua"/>
          <w:b/>
          <w:caps/>
          <w:color w:val="000000"/>
          <w:u w:val="single"/>
        </w:rPr>
        <w:lastRenderedPageBreak/>
        <w:t>INTRODUCTION</w:t>
      </w:r>
    </w:p>
    <w:p w14:paraId="09A6F251" w14:textId="4E452C6A" w:rsidR="00A77B3E" w:rsidRDefault="006D3597">
      <w:pPr>
        <w:spacing w:line="360" w:lineRule="auto"/>
        <w:jc w:val="both"/>
      </w:pPr>
      <w:r>
        <w:rPr>
          <w:rFonts w:ascii="Book Antiqua" w:eastAsia="Book Antiqua" w:hAnsi="Book Antiqua" w:cs="Book Antiqua"/>
          <w:color w:val="000000"/>
        </w:rPr>
        <w:t>Acute-on-chronic liver failure (ACLF) is a distinct clinical syndrome characterized by liver failure in the presence of acute hepatic or non-hepatic injury in a patient with chronic liver disease. The acute insult leads to severe and persistent systemic inflammation followed by a cytokine storm resulting in rapid liver and extrahepatic organ failure, which is the hallmark of ACLF. Common acute injuries known to cause ACLF include alcoholic hepatitis, reactivation of chronic hepatitis B, acute non-hepatotropic and hepatotropic viral hepatitis, drug</w:t>
      </w:r>
      <w:r w:rsidR="00C75E86">
        <w:rPr>
          <w:rFonts w:ascii="Book Antiqua" w:eastAsia="Book Antiqua" w:hAnsi="Book Antiqua" w:cs="Book Antiqua"/>
          <w:color w:val="000000"/>
        </w:rPr>
        <w:t xml:space="preserve"> and herb</w:t>
      </w:r>
      <w:r>
        <w:rPr>
          <w:rFonts w:ascii="Book Antiqua" w:eastAsia="Book Antiqua" w:hAnsi="Book Antiqua" w:cs="Book Antiqua"/>
          <w:color w:val="000000"/>
        </w:rPr>
        <w:t>-induced liver injury, and sepsis. Sepsis in particular can act as an acute insult as well as a consequence during the progression of ACLF that worsens organ failure. In contrast to compensated and decompensated cirrhosis, patients with ACLF are considered to have a very poor ‘hepatic reserve’. This reduction in hepatic reserve drives liver failure in the presence of persistent inflammation and immune dysregulation to further mitigate the regenerative potential of the hepatic mass under insult</w:t>
      </w:r>
      <w:r w:rsidRPr="004875A2">
        <w:rPr>
          <w:rFonts w:ascii="Book Antiqua" w:eastAsia="Book Antiqua" w:hAnsi="Book Antiqua" w:cs="Book Antiqua"/>
          <w:color w:val="000000"/>
          <w:szCs w:val="30"/>
          <w:vertAlign w:val="superscript"/>
        </w:rPr>
        <w:t>[1]</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In this regard, management options in ACLF include treatment of acute injury (corticosteroids for alcoholic hepatitis, antiviral therapy for hepatitis B virus infection, and withdrawal of hepatotoxic drugs); modulation of immune functions (experimental use of granulocyte-colony stimulating factor, plasma exchange); management of severe inflammatory responses; reduction of circulating toxins (liver-assist devices); and supplementation of liver regenerative capacity (stem cell therapy or growth factor use). These practices can help reduce liver failure and its progression to multiple organ failure</w:t>
      </w:r>
      <w:r w:rsidRPr="004875A2">
        <w:rPr>
          <w:rFonts w:ascii="Book Antiqua" w:eastAsia="Book Antiqua" w:hAnsi="Book Antiqua" w:cs="Book Antiqua"/>
          <w:color w:val="000000"/>
          <w:szCs w:val="30"/>
          <w:vertAlign w:val="superscript"/>
        </w:rPr>
        <w:t>[2]</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The augmentation of liver regeneration can be achieved through various forms of stem cell therapy or organ transplantation. In this review, we briefly discuss the pathophysiology of ACLF that substantiates stem cell use. We then explore the basics of stem cells and their contemporaneous use in the treatment of chronic liver failure and critically assess the current literature on various clinical studies on stem cell use in ACLF.</w:t>
      </w:r>
    </w:p>
    <w:p w14:paraId="64AACCE3" w14:textId="77777777" w:rsidR="00A77B3E" w:rsidRDefault="00A77B3E">
      <w:pPr>
        <w:spacing w:line="360" w:lineRule="auto"/>
        <w:jc w:val="both"/>
      </w:pPr>
    </w:p>
    <w:p w14:paraId="07831AE7" w14:textId="4BE19952" w:rsidR="00A77B3E" w:rsidRDefault="006D3597">
      <w:pPr>
        <w:spacing w:line="360" w:lineRule="auto"/>
        <w:jc w:val="both"/>
      </w:pPr>
      <w:r>
        <w:rPr>
          <w:rFonts w:ascii="Book Antiqua" w:eastAsia="Book Antiqua" w:hAnsi="Book Antiqua" w:cs="Book Antiqua"/>
          <w:b/>
          <w:bCs/>
          <w:caps/>
          <w:color w:val="000000"/>
          <w:u w:val="single"/>
        </w:rPr>
        <w:t>A</w:t>
      </w:r>
      <w:r w:rsidR="001471CF">
        <w:rPr>
          <w:rFonts w:ascii="Book Antiqua" w:eastAsia="Book Antiqua" w:hAnsi="Book Antiqua" w:cs="Book Antiqua"/>
          <w:b/>
          <w:bCs/>
          <w:caps/>
          <w:color w:val="000000"/>
          <w:u w:val="single"/>
        </w:rPr>
        <w:t>CLF</w:t>
      </w:r>
      <w:r>
        <w:rPr>
          <w:rFonts w:ascii="Book Antiqua" w:eastAsia="Book Antiqua" w:hAnsi="Book Antiqua" w:cs="Book Antiqua"/>
          <w:b/>
          <w:bCs/>
          <w:caps/>
          <w:color w:val="000000"/>
          <w:u w:val="single"/>
        </w:rPr>
        <w:t xml:space="preserve"> AND LIVER REGENERATION</w:t>
      </w:r>
    </w:p>
    <w:p w14:paraId="4BABBBC0" w14:textId="77777777" w:rsidR="00A77B3E" w:rsidRDefault="006D3597">
      <w:pPr>
        <w:spacing w:line="360" w:lineRule="auto"/>
        <w:jc w:val="both"/>
      </w:pPr>
      <w:r>
        <w:rPr>
          <w:rFonts w:ascii="Book Antiqua" w:eastAsia="Book Antiqua" w:hAnsi="Book Antiqua" w:cs="Book Antiqua"/>
          <w:color w:val="000000"/>
        </w:rPr>
        <w:t xml:space="preserve">Cirrhosis is associated with progressive fibrosis, marked disruption of the hepatic-angioarchitecture, and blood flow leading to an increase in portal pressure and </w:t>
      </w:r>
      <w:r>
        <w:rPr>
          <w:rFonts w:ascii="Book Antiqua" w:eastAsia="Book Antiqua" w:hAnsi="Book Antiqua" w:cs="Book Antiqua"/>
          <w:color w:val="000000"/>
        </w:rPr>
        <w:lastRenderedPageBreak/>
        <w:t>subsequent quantitative and qualitative hepatocyte loss. It is broadly divided into two phases: compensated and decompensated. Compensated cirrhosis also encompasses advanced compensated liver disease (ACLD) patients who have elastography-based liver stiffness values over 15 kPa along with clinically significant portal hypertension (hepatic venous pressure gradient ≥ 10 mmHg)</w:t>
      </w:r>
      <w:r w:rsidRPr="004875A2">
        <w:rPr>
          <w:rFonts w:ascii="Book Antiqua" w:eastAsia="Book Antiqua" w:hAnsi="Book Antiqua" w:cs="Book Antiqua"/>
          <w:color w:val="000000"/>
          <w:szCs w:val="30"/>
          <w:vertAlign w:val="superscript"/>
        </w:rPr>
        <w:t>[3]</w:t>
      </w:r>
      <w:r w:rsidRPr="004875A2">
        <w:rPr>
          <w:rFonts w:ascii="Book Antiqua" w:eastAsia="Book Antiqua" w:hAnsi="Book Antiqua" w:cs="Book Antiqua"/>
          <w:color w:val="000000"/>
        </w:rPr>
        <w:t>.</w:t>
      </w:r>
      <w:r w:rsidRPr="004875A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This compensated phase may last for 10 to 15 years after which decompensation emerges with variceal bleeding, ascites, jaundice, and hepatic encephalopathy (HE). </w:t>
      </w:r>
    </w:p>
    <w:p w14:paraId="164E988F" w14:textId="77777777" w:rsidR="00A77B3E" w:rsidRDefault="006D3597" w:rsidP="00FD39EE">
      <w:pPr>
        <w:spacing w:line="360" w:lineRule="auto"/>
        <w:ind w:firstLineChars="100" w:firstLine="240"/>
        <w:jc w:val="both"/>
      </w:pPr>
      <w:r>
        <w:rPr>
          <w:rFonts w:ascii="Book Antiqua" w:eastAsia="Book Antiqua" w:hAnsi="Book Antiqua" w:cs="Book Antiqua"/>
          <w:color w:val="000000"/>
        </w:rPr>
        <w:t>The decompensated phase lasts 3 to 5 years after which the liver failure and multiple organ failure ensues leading to death or the need for a liver transplantation. The persistence of etiological mechanisms in patients with compensated cirrhosis leads to the continuation of liver cell necrosis and inflammation. These features lead to a reduction in liver parenchyma cells, increased resistance to the portal blood flow, worsening portal hypertension, and liver dysfunction</w:t>
      </w:r>
      <w:r w:rsidRPr="004875A2">
        <w:rPr>
          <w:rFonts w:ascii="Book Antiqua" w:eastAsia="Book Antiqua" w:hAnsi="Book Antiqua" w:cs="Book Antiqua"/>
          <w:color w:val="000000"/>
          <w:szCs w:val="30"/>
          <w:vertAlign w:val="superscript"/>
        </w:rPr>
        <w:t>[4]</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An acute insult in the form of hepatic or non-hepatic liver injury in cirrhosis can lead to sudden deterioration in liver function complicated by extrahepatic organ failures that define ACLF. </w:t>
      </w:r>
    </w:p>
    <w:p w14:paraId="603F5753" w14:textId="49DCB3D1" w:rsidR="00A77B3E" w:rsidRDefault="006D3597" w:rsidP="00FD39EE">
      <w:pPr>
        <w:spacing w:line="360" w:lineRule="auto"/>
        <w:ind w:firstLineChars="100" w:firstLine="240"/>
        <w:jc w:val="both"/>
      </w:pPr>
      <w:r>
        <w:rPr>
          <w:rFonts w:ascii="Book Antiqua" w:eastAsia="Book Antiqua" w:hAnsi="Book Antiqua" w:cs="Book Antiqua"/>
          <w:color w:val="000000"/>
        </w:rPr>
        <w:t>According to the Asian Pacific Association for the Study of the Liver, ACLF is described as liver failure (serum bilirubin level of ≥</w:t>
      </w:r>
      <w:r w:rsidR="00FD39EE">
        <w:rPr>
          <w:rFonts w:ascii="Book Antiqua" w:eastAsia="Book Antiqua" w:hAnsi="Book Antiqua" w:cs="Book Antiqua"/>
          <w:color w:val="000000"/>
        </w:rPr>
        <w:t xml:space="preserve"> </w:t>
      </w:r>
      <w:r>
        <w:rPr>
          <w:rFonts w:ascii="Book Antiqua" w:eastAsia="Book Antiqua" w:hAnsi="Book Antiqua" w:cs="Book Antiqua"/>
          <w:color w:val="000000"/>
        </w:rPr>
        <w:t xml:space="preserve">5 mg per </w:t>
      </w:r>
      <w:r w:rsidR="00FD39EE">
        <w:rPr>
          <w:rFonts w:ascii="Book Antiqua" w:eastAsia="Book Antiqua" w:hAnsi="Book Antiqua" w:cs="Book Antiqua"/>
          <w:color w:val="000000"/>
        </w:rPr>
        <w:t>dL</w:t>
      </w:r>
      <w:r>
        <w:rPr>
          <w:rFonts w:ascii="Book Antiqua" w:eastAsia="Book Antiqua" w:hAnsi="Book Antiqua" w:cs="Book Antiqua"/>
          <w:color w:val="000000"/>
        </w:rPr>
        <w:t>) and coagulopathy (an international normalized ratio of ≥</w:t>
      </w:r>
      <w:r w:rsidR="00FD39EE">
        <w:rPr>
          <w:rFonts w:ascii="Book Antiqua" w:eastAsia="Book Antiqua" w:hAnsi="Book Antiqua" w:cs="Book Antiqua"/>
          <w:color w:val="000000"/>
        </w:rPr>
        <w:t xml:space="preserve"> </w:t>
      </w:r>
      <w:r>
        <w:rPr>
          <w:rFonts w:ascii="Book Antiqua" w:eastAsia="Book Antiqua" w:hAnsi="Book Antiqua" w:cs="Book Antiqua"/>
          <w:color w:val="000000"/>
        </w:rPr>
        <w:t>1.5 or prothrombin activity of &lt;</w:t>
      </w:r>
      <w:r w:rsidR="00FD39EE">
        <w:rPr>
          <w:rFonts w:ascii="Book Antiqua" w:eastAsia="Book Antiqua" w:hAnsi="Book Antiqua" w:cs="Book Antiqua"/>
          <w:color w:val="000000"/>
        </w:rPr>
        <w:t xml:space="preserve"> </w:t>
      </w:r>
      <w:r>
        <w:rPr>
          <w:rFonts w:ascii="Book Antiqua" w:eastAsia="Book Antiqua" w:hAnsi="Book Antiqua" w:cs="Book Antiqua"/>
          <w:color w:val="000000"/>
        </w:rPr>
        <w:t xml:space="preserve">40%) that is complicated within four weeks by clinical ascites and/or encephalopathy in a patient with chronic liver disease or cirrhosis. According to the European Association for the Study of the Liver, ACLF is the development of acute decompensation (ascites, encephalopathy, gastrointestinal </w:t>
      </w:r>
      <w:r w:rsidR="00C75E86">
        <w:rPr>
          <w:rFonts w:ascii="Book Antiqua" w:eastAsia="Book Antiqua" w:hAnsi="Book Antiqua" w:cs="Book Antiqua"/>
          <w:color w:val="000000"/>
        </w:rPr>
        <w:t>hemorrhage</w:t>
      </w:r>
      <w:r>
        <w:rPr>
          <w:rFonts w:ascii="Book Antiqua" w:eastAsia="Book Antiqua" w:hAnsi="Book Antiqua" w:cs="Book Antiqua"/>
          <w:color w:val="000000"/>
        </w:rPr>
        <w:t xml:space="preserve"> or bacterial infection) of cirrhosis complicated by either single organ failure (renal or otherwise) or multiple organ failures. </w:t>
      </w:r>
    </w:p>
    <w:p w14:paraId="7905FFE3" w14:textId="6944D950" w:rsidR="00A77B3E" w:rsidRDefault="006D3597" w:rsidP="00FD39EE">
      <w:pPr>
        <w:spacing w:line="360" w:lineRule="auto"/>
        <w:ind w:firstLineChars="100" w:firstLine="240"/>
        <w:jc w:val="both"/>
      </w:pPr>
      <w:r>
        <w:rPr>
          <w:rFonts w:ascii="Book Antiqua" w:eastAsia="Book Antiqua" w:hAnsi="Book Antiqua" w:cs="Book Antiqua"/>
          <w:color w:val="000000"/>
        </w:rPr>
        <w:t>While a common definition has not been achieved between the East and West, liver failure plays a central role in the causation and progression of organ dysfunction in ACLF</w:t>
      </w:r>
      <w:r w:rsidRPr="004875A2">
        <w:rPr>
          <w:rFonts w:ascii="Book Antiqua" w:eastAsia="Book Antiqua" w:hAnsi="Book Antiqua" w:cs="Book Antiqua"/>
          <w:color w:val="000000"/>
          <w:szCs w:val="30"/>
          <w:vertAlign w:val="superscript"/>
        </w:rPr>
        <w:t>[5]</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Hepatocyte regeneration can compensate for acute and chronic liver injury and depends on various signaling pathways that are contingent on cytokines and growth factors. The two-tier regenerative response showed that mature or adult hepatocytes replicate to sustain liver function in acute liver failure and normal physiological </w:t>
      </w:r>
      <w:r>
        <w:rPr>
          <w:rFonts w:ascii="Book Antiqua" w:eastAsia="Book Antiqua" w:hAnsi="Book Antiqua" w:cs="Book Antiqua"/>
          <w:color w:val="000000"/>
        </w:rPr>
        <w:lastRenderedPageBreak/>
        <w:t>regeneration. In patients with ACLF, the proliferation of hepatic progenitor cells (HPCs) or liver stem cells initiates and regulate regenerative responses with the continued loss of mature hepatocytes</w:t>
      </w:r>
      <w:r w:rsidRPr="004875A2">
        <w:rPr>
          <w:rFonts w:ascii="Book Antiqua" w:eastAsia="Book Antiqua" w:hAnsi="Book Antiqua" w:cs="Book Antiqua"/>
          <w:color w:val="000000"/>
          <w:szCs w:val="30"/>
          <w:vertAlign w:val="superscript"/>
        </w:rPr>
        <w:t>[6]</w:t>
      </w:r>
      <w:r w:rsidRPr="004875A2">
        <w:rPr>
          <w:rFonts w:ascii="Book Antiqua" w:eastAsia="Book Antiqua" w:hAnsi="Book Antiqua" w:cs="Book Antiqua"/>
          <w:color w:val="000000"/>
        </w:rPr>
        <w:t>.</w:t>
      </w:r>
    </w:p>
    <w:p w14:paraId="7636A784" w14:textId="194EDB62" w:rsidR="00A77B3E" w:rsidRDefault="006D3597" w:rsidP="00FD39EE">
      <w:pPr>
        <w:spacing w:line="360" w:lineRule="auto"/>
        <w:ind w:firstLineChars="100" w:firstLine="240"/>
        <w:jc w:val="both"/>
      </w:pPr>
      <w:r>
        <w:rPr>
          <w:rFonts w:ascii="Book Antiqua" w:eastAsia="Book Antiqua" w:hAnsi="Book Antiqua" w:cs="Book Antiqua"/>
          <w:color w:val="000000"/>
        </w:rPr>
        <w:t>Hepatic stellate cells (</w:t>
      </w:r>
      <w:proofErr w:type="spellStart"/>
      <w:r>
        <w:rPr>
          <w:rFonts w:ascii="Book Antiqua" w:eastAsia="Book Antiqua" w:hAnsi="Book Antiqua" w:cs="Book Antiqua"/>
          <w:color w:val="000000"/>
        </w:rPr>
        <w:t>HepSCs</w:t>
      </w:r>
      <w:proofErr w:type="spellEnd"/>
      <w:r>
        <w:rPr>
          <w:rFonts w:ascii="Book Antiqua" w:eastAsia="Book Antiqua" w:hAnsi="Book Antiqua" w:cs="Book Antiqua"/>
          <w:color w:val="000000"/>
        </w:rPr>
        <w:t xml:space="preserve">) also have stem cell properties. Cytokines play a central role in driving ACLF and promoting organ failure. However, cytokines such as interleukin-6 (IL-6) and tumor-necrosis-factor alpha (TNF-α) have dual actions that can result in hepatocyte death but also enhance liver cell proliferation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acute phase proteins with antiapoptotic effects. The tilt in balance between hepatocyte death or proliferation and regeneration depends on the underlying liver disease severity and intensity of acute insult. High representation of HPCs and intermediate hepatocytes (phenotype between progenitor cells or ductular cells and mature hepatocytes) that correlate with severity of underlying liver fibrosis and inflammation has been demonstrated in patients with ACLF. Activation of HPCs and </w:t>
      </w:r>
      <w:proofErr w:type="spellStart"/>
      <w:r>
        <w:rPr>
          <w:rFonts w:ascii="Book Antiqua" w:eastAsia="Book Antiqua" w:hAnsi="Book Antiqua" w:cs="Book Antiqua"/>
          <w:color w:val="000000"/>
        </w:rPr>
        <w:t>HepSCs</w:t>
      </w:r>
      <w:proofErr w:type="spellEnd"/>
      <w:r>
        <w:rPr>
          <w:rFonts w:ascii="Book Antiqua" w:eastAsia="Book Antiqua" w:hAnsi="Book Antiqua" w:cs="Book Antiqua"/>
          <w:color w:val="000000"/>
        </w:rPr>
        <w:t xml:space="preserve"> and associated cytokine signaling including hedgehog and </w:t>
      </w:r>
      <w:r w:rsidR="000D0FB7">
        <w:rPr>
          <w:rFonts w:ascii="Book Antiqua" w:eastAsia="Book Antiqua" w:hAnsi="Book Antiqua" w:cs="Book Antiqua"/>
          <w:color w:val="000000"/>
        </w:rPr>
        <w:t>Wingless and Int-1 (</w:t>
      </w:r>
      <w:proofErr w:type="spellStart"/>
      <w:r>
        <w:rPr>
          <w:rFonts w:ascii="Book Antiqua" w:eastAsia="Book Antiqua" w:hAnsi="Book Antiqua" w:cs="Book Antiqua"/>
          <w:color w:val="000000"/>
        </w:rPr>
        <w:t>Wnt</w:t>
      </w:r>
      <w:proofErr w:type="spellEnd"/>
      <w:r w:rsidR="000D0FB7">
        <w:rPr>
          <w:rFonts w:ascii="Book Antiqua" w:eastAsia="Book Antiqua" w:hAnsi="Book Antiqua" w:cs="Book Antiqua"/>
          <w:color w:val="000000"/>
        </w:rPr>
        <w:t>)</w:t>
      </w:r>
      <w:r>
        <w:rPr>
          <w:rFonts w:ascii="Book Antiqua" w:eastAsia="Book Antiqua" w:hAnsi="Book Antiqua" w:cs="Book Antiqua"/>
          <w:color w:val="000000"/>
        </w:rPr>
        <w:t xml:space="preserve"> pathways play the central role in hepatocyte mass maintenance in patients with ACLF</w:t>
      </w:r>
      <w:r w:rsidRPr="004875A2">
        <w:rPr>
          <w:rFonts w:ascii="Book Antiqua" w:eastAsia="Book Antiqua" w:hAnsi="Book Antiqua" w:cs="Book Antiqua"/>
          <w:color w:val="000000"/>
          <w:szCs w:val="30"/>
          <w:vertAlign w:val="superscript"/>
        </w:rPr>
        <w:t>[7]</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In ACLF, an extensive ductular reaction occurs after intense acute insult and liver cell necrosis. This ductular proliferation involves mature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and ductular hepatocytes</w:t>
      </w:r>
      <w:r w:rsidR="00FD39EE">
        <w:rPr>
          <w:rFonts w:ascii="Book Antiqua" w:eastAsia="Book Antiqua" w:hAnsi="Book Antiqua" w:cs="Book Antiqua"/>
          <w:color w:val="000000"/>
        </w:rPr>
        <w:t xml:space="preserve">, </w:t>
      </w:r>
      <w:r>
        <w:rPr>
          <w:rFonts w:ascii="Book Antiqua" w:eastAsia="Book Antiqua" w:hAnsi="Book Antiqua" w:cs="Book Antiqua"/>
          <w:color w:val="000000"/>
        </w:rPr>
        <w:t xml:space="preserve">the latter are located in the periphery of the portal tracts and proliferate and express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and hepatocyte markers. After an acute insult, various signaling cascades come into play to sustain quality and quantity of liver cell mass. Briefly, the important molecular cascade processes in liver regeneration during hepatic injury include the priming phase, the proliferation phase with complete (direct hepatotropic effect) and auxiliary (incomplete hepatotropic effect) cytokine and growth-factor driven ‘mitogen’ activity, and the termination phase</w:t>
      </w:r>
      <w:r w:rsidRPr="004875A2">
        <w:rPr>
          <w:rFonts w:ascii="Book Antiqua" w:eastAsia="Book Antiqua" w:hAnsi="Book Antiqua" w:cs="Book Antiqua"/>
          <w:color w:val="000000"/>
          <w:szCs w:val="30"/>
          <w:vertAlign w:val="superscript"/>
        </w:rPr>
        <w:t>[8]</w:t>
      </w:r>
      <w:r w:rsidRPr="004875A2">
        <w:rPr>
          <w:rFonts w:ascii="Book Antiqua" w:eastAsia="Book Antiqua" w:hAnsi="Book Antiqua" w:cs="Book Antiqua"/>
          <w:color w:val="000000"/>
        </w:rPr>
        <w:t>.</w:t>
      </w:r>
    </w:p>
    <w:p w14:paraId="032449D7" w14:textId="5CBD98F5" w:rsidR="00A77B3E" w:rsidRDefault="006D3597" w:rsidP="00FD39EE">
      <w:pPr>
        <w:spacing w:line="360" w:lineRule="auto"/>
        <w:ind w:firstLineChars="100" w:firstLine="240"/>
        <w:jc w:val="both"/>
      </w:pPr>
      <w:r>
        <w:rPr>
          <w:rFonts w:ascii="Book Antiqua" w:eastAsia="Book Antiqua" w:hAnsi="Book Antiqua" w:cs="Book Antiqua"/>
          <w:color w:val="000000"/>
        </w:rPr>
        <w:t>Briefly, these phases include:</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w:t>
      </w:r>
      <w:r>
        <w:rPr>
          <w:rFonts w:ascii="Book Antiqua" w:eastAsia="Book Antiqua" w:hAnsi="Book Antiqua" w:cs="Book Antiqua"/>
          <w:color w:val="000000"/>
        </w:rPr>
        <w:t>) TNF-α mediated priming (through superfamily members and receptors) phase of liver regeneration through activation of the nuclear factor kB (NF-kB) transcription factor that is induced (through adaptor protein MyD88 through toll-like receptors) by intestine-derived lipopolysaccharide;</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2</w:t>
      </w:r>
      <w:r>
        <w:rPr>
          <w:rFonts w:ascii="Book Antiqua" w:eastAsia="Book Antiqua" w:hAnsi="Book Antiqua" w:cs="Book Antiqua"/>
          <w:color w:val="000000"/>
        </w:rPr>
        <w:t xml:space="preserve">) activation of the complement component C5a for IL-6 induction and STAT3 pathway activation; </w:t>
      </w:r>
      <w:r w:rsidR="00FD39EE">
        <w:rPr>
          <w:rFonts w:ascii="Book Antiqua" w:eastAsia="Book Antiqua" w:hAnsi="Book Antiqua" w:cs="Book Antiqua"/>
          <w:color w:val="000000"/>
        </w:rPr>
        <w:t>(</w:t>
      </w:r>
      <w:r w:rsidR="0076353F">
        <w:rPr>
          <w:rFonts w:ascii="Book Antiqua" w:eastAsia="Book Antiqua" w:hAnsi="Book Antiqua" w:cs="Book Antiqua"/>
          <w:color w:val="000000"/>
        </w:rPr>
        <w:t>3</w:t>
      </w:r>
      <w:r>
        <w:rPr>
          <w:rFonts w:ascii="Book Antiqua" w:eastAsia="Book Antiqua" w:hAnsi="Book Antiqua" w:cs="Book Antiqua"/>
          <w:color w:val="000000"/>
        </w:rPr>
        <w:t xml:space="preserve">) activation of intercellular adhesion molecule 1 (ICAM-1) by leucocytes to activate </w:t>
      </w:r>
      <w:r>
        <w:rPr>
          <w:rFonts w:ascii="Book Antiqua" w:eastAsia="Book Antiqua" w:hAnsi="Book Antiqua" w:cs="Book Antiqua"/>
          <w:color w:val="000000"/>
        </w:rPr>
        <w:lastRenderedPageBreak/>
        <w:t>Kupffer cells and subsequent beneficial cytokine signaling;</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4</w:t>
      </w:r>
      <w:r>
        <w:rPr>
          <w:rFonts w:ascii="Book Antiqua" w:eastAsia="Book Antiqua" w:hAnsi="Book Antiqua" w:cs="Book Antiqua"/>
          <w:color w:val="000000"/>
        </w:rPr>
        <w:t>) lymphotoxin-</w:t>
      </w:r>
      <w:r w:rsidR="00FD39EE">
        <w:rPr>
          <w:rFonts w:ascii="Book Antiqua" w:eastAsia="Book Antiqua" w:hAnsi="Book Antiqua" w:cs="Book Antiqua"/>
          <w:color w:val="000000"/>
        </w:rPr>
        <w:t>alpha</w:t>
      </w:r>
      <w:r>
        <w:rPr>
          <w:rFonts w:ascii="Book Antiqua" w:eastAsia="Book Antiqua" w:hAnsi="Book Antiqua" w:cs="Book Antiqua"/>
          <w:color w:val="000000"/>
        </w:rPr>
        <w:t xml:space="preserve"> (LT-α) activation of TNF receptor 1 (TNFR1) in intrahepatic lymphocytes and lymphotoxin β receptor (LTβR) on the hepatocytes;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5</w:t>
      </w:r>
      <w:r>
        <w:rPr>
          <w:rFonts w:ascii="Book Antiqua" w:eastAsia="Book Antiqua" w:hAnsi="Book Antiqua" w:cs="Book Antiqua"/>
          <w:color w:val="000000"/>
        </w:rPr>
        <w:t xml:space="preserve">) secretion of stem cell factor and activation of its receptor, c-kit, within the liver microenvironment from bone marrow-derived sources that upregulate IL-6 to promote hepatocyte regeneration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HPCs activation;</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6</w:t>
      </w:r>
      <w:r>
        <w:rPr>
          <w:rFonts w:ascii="Book Antiqua" w:eastAsia="Book Antiqua" w:hAnsi="Book Antiqua" w:cs="Book Antiqua"/>
          <w:color w:val="000000"/>
        </w:rPr>
        <w:t xml:space="preserve">) upregulation of hepatocyte growth factor (HGF) for activity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the receptor tyrosine kinase c-Met;</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7</w:t>
      </w:r>
      <w:r>
        <w:rPr>
          <w:rFonts w:ascii="Book Antiqua" w:eastAsia="Book Antiqua" w:hAnsi="Book Antiqua" w:cs="Book Antiqua"/>
          <w:color w:val="000000"/>
        </w:rPr>
        <w:t>) epidermal growth factor (EGF) family receptors and associated ligand activation resulting in the upregulation of transforming growth factor (TGF)-α and heparin-binding EGF (HB-EGF) that improve the mitogenic potential of existing hepatocytes;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8</w:t>
      </w:r>
      <w:r>
        <w:rPr>
          <w:rFonts w:ascii="Book Antiqua" w:eastAsia="Book Antiqua" w:hAnsi="Book Antiqua" w:cs="Book Antiqua"/>
          <w:color w:val="000000"/>
        </w:rPr>
        <w:t>) fibroblast growth factor (FGF), vascular endothelial growth factor (VEGF, especially type A), and platelet-derived growth factor (PDGF)-related upregulation and mitogenic effect on sinusoidal endothelial cells and proliferation of liver cells;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9</w:t>
      </w:r>
      <w:r>
        <w:rPr>
          <w:rFonts w:ascii="Book Antiqua" w:eastAsia="Book Antiqua" w:hAnsi="Book Antiqua" w:cs="Book Antiqua"/>
          <w:color w:val="000000"/>
        </w:rPr>
        <w:t xml:space="preserve">) growth factor-related hepatocyte proliferation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Ras-MAPK signaling and </w:t>
      </w:r>
      <w:r w:rsidR="000D0FB7">
        <w:rPr>
          <w:rFonts w:ascii="Book Antiqua" w:eastAsia="Book Antiqua" w:hAnsi="Book Antiqua" w:cs="Book Antiqua"/>
          <w:color w:val="000000"/>
        </w:rPr>
        <w:t>phosphatidylinositol 3-kinase/protein kinase B (</w:t>
      </w:r>
      <w:r>
        <w:rPr>
          <w:rFonts w:ascii="Book Antiqua" w:eastAsia="Book Antiqua" w:hAnsi="Book Antiqua" w:cs="Book Antiqua"/>
          <w:color w:val="000000"/>
        </w:rPr>
        <w:t>PI3K/AKT</w:t>
      </w:r>
      <w:r w:rsidR="000D0FB7">
        <w:rPr>
          <w:rFonts w:ascii="Book Antiqua" w:eastAsia="Book Antiqua" w:hAnsi="Book Antiqua" w:cs="Book Antiqua"/>
          <w:color w:val="000000"/>
        </w:rPr>
        <w:t>)</w:t>
      </w:r>
      <w:r>
        <w:rPr>
          <w:rFonts w:ascii="Book Antiqua" w:eastAsia="Book Antiqua" w:hAnsi="Book Antiqua" w:cs="Book Antiqua"/>
          <w:color w:val="000000"/>
        </w:rPr>
        <w:t xml:space="preserve"> signaling pathways;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10</w:t>
      </w:r>
      <w:r>
        <w:rPr>
          <w:rFonts w:ascii="Book Antiqua" w:eastAsia="Book Antiqua" w:hAnsi="Book Antiqua" w:cs="Book Antiqua"/>
          <w:color w:val="000000"/>
        </w:rPr>
        <w:t>) insulin-like growth factors (IGFs) type I and II, and their respective binding proteins (potent stimulators of hepatocyte mitogenesis);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11</w:t>
      </w:r>
      <w:r>
        <w:rPr>
          <w:rFonts w:ascii="Book Antiqua" w:eastAsia="Book Antiqua" w:hAnsi="Book Antiqua" w:cs="Book Antiqua"/>
          <w:color w:val="000000"/>
        </w:rPr>
        <w:t xml:space="preserve">)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activation and signaling leading to stabilization and nuclear translocation of β-catenin, which performs transcriptional regulation leading to increased DNA synthesis within hepatocytes and mitogenesis;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12</w:t>
      </w:r>
      <w:r>
        <w:rPr>
          <w:rFonts w:ascii="Book Antiqua" w:eastAsia="Book Antiqua" w:hAnsi="Book Antiqua" w:cs="Book Antiqua"/>
          <w:color w:val="000000"/>
        </w:rPr>
        <w:t>) bone morphogenetic proteins (BMPs) activation in acute and chronic injury that induce hepatocyte proliferation</w:t>
      </w:r>
      <w:r w:rsidR="0076353F">
        <w:rPr>
          <w:rFonts w:ascii="Book Antiqua" w:eastAsia="Book Antiqua" w:hAnsi="Book Antiqua" w:cs="Book Antiqua"/>
          <w:color w:val="000000"/>
        </w:rPr>
        <w:t>;</w:t>
      </w:r>
      <w:r w:rsidR="00C75E86">
        <w:rPr>
          <w:rFonts w:ascii="Book Antiqua" w:eastAsia="Book Antiqua" w:hAnsi="Book Antiqua" w:cs="Book Antiqua"/>
          <w:color w:val="000000"/>
        </w:rPr>
        <w:t xml:space="preserve"> and</w:t>
      </w:r>
      <w:r w:rsidR="0076353F">
        <w:rPr>
          <w:rFonts w:ascii="Book Antiqua" w:eastAsia="Book Antiqua" w:hAnsi="Book Antiqua" w:cs="Book Antiqua"/>
          <w:color w:val="000000"/>
        </w:rPr>
        <w:t xml:space="preserve"> </w:t>
      </w:r>
      <w:r w:rsidR="00FD39EE">
        <w:rPr>
          <w:rFonts w:ascii="Book Antiqua" w:eastAsia="Book Antiqua" w:hAnsi="Book Antiqua" w:cs="Book Antiqua"/>
          <w:color w:val="000000"/>
        </w:rPr>
        <w:t>(</w:t>
      </w:r>
      <w:r w:rsidR="0076353F">
        <w:rPr>
          <w:rFonts w:ascii="Book Antiqua" w:eastAsia="Book Antiqua" w:hAnsi="Book Antiqua" w:cs="Book Antiqua"/>
          <w:color w:val="000000"/>
        </w:rPr>
        <w:t>13</w:t>
      </w:r>
      <w:r>
        <w:rPr>
          <w:rFonts w:ascii="Book Antiqua" w:eastAsia="Book Antiqua" w:hAnsi="Book Antiqua" w:cs="Book Antiqua"/>
          <w:color w:val="000000"/>
        </w:rPr>
        <w:t>) bone marrow derived hematopoietic stem cells that became an important driver of liver cell regeneration</w:t>
      </w:r>
      <w:r w:rsidR="00FD39EE">
        <w:rPr>
          <w:rFonts w:ascii="Book Antiqua" w:eastAsia="Book Antiqua" w:hAnsi="Book Antiqua" w:cs="Book Antiqua"/>
          <w:color w:val="000000"/>
        </w:rPr>
        <w:t>.</w:t>
      </w:r>
    </w:p>
    <w:p w14:paraId="22316917" w14:textId="37FA0B3A" w:rsidR="00A77B3E" w:rsidRDefault="006D3597" w:rsidP="00FD39EE">
      <w:pPr>
        <w:spacing w:line="360" w:lineRule="auto"/>
        <w:ind w:firstLineChars="100" w:firstLine="240"/>
        <w:jc w:val="both"/>
      </w:pPr>
      <w:r>
        <w:rPr>
          <w:rFonts w:ascii="Book Antiqua" w:eastAsia="Book Antiqua" w:hAnsi="Book Antiqua" w:cs="Book Antiqua"/>
          <w:color w:val="000000"/>
        </w:rPr>
        <w:t>Once proliferation is complete and satisfactory, the activin A (member of TGF superfamily) and TGF-β activate their individual receptor complexes on hepatocytes resulting in activation of SMAD2 and SMAD3 and inhibition of cell proliferation leading to termination of liver regeneration</w:t>
      </w:r>
      <w:r w:rsidRPr="00FD39EE">
        <w:rPr>
          <w:rFonts w:ascii="Book Antiqua" w:eastAsia="Book Antiqua" w:hAnsi="Book Antiqua" w:cs="Book Antiqua"/>
          <w:color w:val="000000"/>
          <w:szCs w:val="30"/>
          <w:vertAlign w:val="superscript"/>
        </w:rPr>
        <w:t>[9-11]</w:t>
      </w:r>
      <w:r w:rsidRPr="00FD39EE">
        <w:rPr>
          <w:rFonts w:ascii="Book Antiqua" w:eastAsia="Book Antiqua" w:hAnsi="Book Antiqua" w:cs="Book Antiqua"/>
          <w:color w:val="000000"/>
        </w:rPr>
        <w:t>.</w:t>
      </w:r>
      <w:r>
        <w:rPr>
          <w:rFonts w:ascii="Book Antiqua" w:eastAsia="Book Antiqua" w:hAnsi="Book Antiqua" w:cs="Book Antiqua"/>
          <w:color w:val="000000"/>
        </w:rPr>
        <w:t xml:space="preserve"> Progenitor cell mobilization for disease modification can be achieved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direct stem cell infusion or stimulation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systemic treatment with certain growth factors and cytokines such as the myeloid growth factor granulocyte- and granulocyte-macrophage-colony stimulating factors (G-CSF and GM-CSF) as well as interleukins IL-11, IL-3, and IL-8. Interleukin-22 (secreted by </w:t>
      </w:r>
      <w:r>
        <w:rPr>
          <w:rFonts w:ascii="Book Antiqua" w:eastAsia="Book Antiqua" w:hAnsi="Book Antiqua" w:cs="Book Antiqua"/>
          <w:color w:val="000000"/>
        </w:rPr>
        <w:lastRenderedPageBreak/>
        <w:t>mesenchymal stem cells) was recently shown to ameliorate ACLF by reprogramming impaired regeneration pathways by upregulating STAT3, BCL2, Cyclin D, and antibacterial genes leading to hepatocyte proliferation</w:t>
      </w:r>
      <w:r w:rsidRPr="004875A2">
        <w:rPr>
          <w:rFonts w:ascii="Book Antiqua" w:eastAsia="Book Antiqua" w:hAnsi="Book Antiqua" w:cs="Book Antiqua"/>
          <w:color w:val="000000"/>
          <w:szCs w:val="30"/>
          <w:vertAlign w:val="superscript"/>
        </w:rPr>
        <w:t>[12]</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In liver disease management, common stem cell treatments include direct progenitor cell infusion or growth factor-directed stimulation. </w:t>
      </w:r>
    </w:p>
    <w:p w14:paraId="5C9962BC" w14:textId="0E8D868A" w:rsidR="00A77B3E" w:rsidRDefault="006D3597" w:rsidP="004875A2">
      <w:pPr>
        <w:spacing w:line="360" w:lineRule="auto"/>
        <w:ind w:firstLineChars="100" w:firstLine="240"/>
        <w:jc w:val="both"/>
      </w:pPr>
      <w:r>
        <w:rPr>
          <w:rFonts w:ascii="Book Antiqua" w:eastAsia="Book Antiqua" w:hAnsi="Book Antiqua" w:cs="Book Antiqua"/>
          <w:color w:val="000000"/>
        </w:rPr>
        <w:t>To summarize, in ACLF, hepatocyte replication occurs through activation and differentiation of HPCs</w:t>
      </w:r>
      <w:r>
        <w:rPr>
          <w:rFonts w:ascii="Book Antiqua" w:eastAsia="Book Antiqua" w:hAnsi="Book Antiqua" w:cs="Book Antiqua"/>
          <w:b/>
          <w:bCs/>
          <w:color w:val="000000"/>
        </w:rPr>
        <w:t xml:space="preserve"> </w:t>
      </w:r>
      <w:r w:rsidRPr="004875A2">
        <w:rPr>
          <w:rFonts w:ascii="Book Antiqua" w:eastAsia="Book Antiqua" w:hAnsi="Book Antiqua" w:cs="Book Antiqua"/>
          <w:color w:val="000000"/>
        </w:rPr>
        <w:t>(Figure 1)</w:t>
      </w:r>
      <w:r>
        <w:rPr>
          <w:rFonts w:ascii="Book Antiqua" w:eastAsia="Book Antiqua" w:hAnsi="Book Antiqua" w:cs="Book Antiqua"/>
          <w:color w:val="000000"/>
        </w:rPr>
        <w:t xml:space="preserve">. The TNF super family member 12 (known as TWEAK) and the TNF receptor family 12A (known as FN14) that are activated by macrophages, Kupffer cells, T cells, and interleukins and promote differentiation of HPCs into hepatocytes. Apoptosis and necrosis of hepatocytes activate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(especially Wnt3) inhibiting the Notch-Hedgehog signaling with promotion of HPCs differentiation to hepatocytes. Activation and secretion of paracrine factors needed for hepatocyte growth and replication is supported by non-parenchymal cells of the liver (such as stellate cells) as well as the bone marrow. Acute liver injury leads to an increase in stromal cell derived factor 1 in bone marrow, stimulation and secretion of bone marrow derived hematopoietic stem cells, and epithelial progenitor cells that home towards the liver microenvironment where they upregulate hepatocyte replication and sinusoidal cell activation, which improve angiogenesis. The latter is a pre-requisite for liver regeneration. </w:t>
      </w:r>
    </w:p>
    <w:p w14:paraId="15478D52" w14:textId="77777777" w:rsidR="00C75E86" w:rsidRDefault="00C75E86">
      <w:pPr>
        <w:spacing w:line="360" w:lineRule="auto"/>
        <w:jc w:val="both"/>
      </w:pPr>
    </w:p>
    <w:p w14:paraId="218AFA88" w14:textId="666F2722" w:rsidR="00A77B3E" w:rsidRDefault="006D3597">
      <w:pPr>
        <w:spacing w:line="360" w:lineRule="auto"/>
        <w:jc w:val="both"/>
      </w:pPr>
      <w:r>
        <w:rPr>
          <w:rFonts w:ascii="Book Antiqua" w:eastAsia="Book Antiqua" w:hAnsi="Book Antiqua" w:cs="Book Antiqua"/>
          <w:b/>
          <w:bCs/>
          <w:caps/>
          <w:color w:val="000000"/>
          <w:u w:val="single"/>
        </w:rPr>
        <w:t>STEM CELLS AND THEIR USE IN DISEASES OF THE LIVER</w:t>
      </w:r>
    </w:p>
    <w:p w14:paraId="6BBA06E0" w14:textId="017A9A34" w:rsidR="00A77B3E" w:rsidRDefault="006D3597">
      <w:pPr>
        <w:spacing w:line="360" w:lineRule="auto"/>
        <w:jc w:val="both"/>
      </w:pPr>
      <w:r>
        <w:rPr>
          <w:rFonts w:ascii="Book Antiqua" w:eastAsia="Book Antiqua" w:hAnsi="Book Antiqua" w:cs="Book Antiqua"/>
          <w:color w:val="000000"/>
        </w:rPr>
        <w:t xml:space="preserve">Stem cells are undifferentiated cells that can continually proliferate.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are divided into embryonic, fetal, and adult types. The former can differentiate into any type of cell depending on the stimulus while the latter has a narrow variety of outcomes related to proliferation. Induced pluripotent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and cord blood or amniotic fluid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are other types. Based on the proliferation potential,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can be further divided into totipotent, pluripotent, multipotent, oligopotent, or unipotent types.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can be autologous (obtained from self or patients themselves) or allogenic (from a donor). Adult stem cells have been the most utilized and studied among patients with advanced liver disease. The commonly sourced adult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include hematopoietic </w:t>
      </w:r>
      <w:r w:rsidR="000914D2">
        <w:rPr>
          <w:rFonts w:ascii="Book Antiqua" w:eastAsia="Book Antiqua" w:hAnsi="Book Antiqua" w:cs="Book Antiqua"/>
          <w:color w:val="000000"/>
        </w:rPr>
        <w:lastRenderedPageBreak/>
        <w:t>stem cells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HemSC</w:t>
      </w:r>
      <w:proofErr w:type="spellEnd"/>
      <w:r>
        <w:rPr>
          <w:rFonts w:ascii="Book Antiqua" w:eastAsia="Book Antiqua" w:hAnsi="Book Antiqua" w:cs="Book Antiqua"/>
          <w:color w:val="000000"/>
        </w:rPr>
        <w:t xml:space="preserve">) that are isolated from blood, bone marrow, umbilical cord blood, or occasionally from peripheral blood based on expression of surface markers CD34+ and CD133+. Other examples include non-hematopoietic mesenchymal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(MSC) that can be isolated from blood and multiple other tissues of the body and purely isolated bone-marrow mononuclear (BMMNC) or bone marrow stem (BMSC) cells. Adult stem cells such as the bone-marrow derived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HemSCs</w:t>
      </w:r>
      <w:proofErr w:type="spellEnd"/>
      <w:r>
        <w:rPr>
          <w:rFonts w:ascii="Book Antiqua" w:eastAsia="Book Antiqua" w:hAnsi="Book Antiqua" w:cs="Book Antiqua"/>
          <w:color w:val="000000"/>
        </w:rPr>
        <w:t xml:space="preserve"> can be indirectly propagated through use of exogenous growth factors such as G-CSF or GM-CSF. </w:t>
      </w:r>
    </w:p>
    <w:p w14:paraId="5AA6A68D" w14:textId="77777777" w:rsidR="00A77B3E" w:rsidRDefault="006D3597" w:rsidP="00BB01AC">
      <w:pPr>
        <w:spacing w:line="360" w:lineRule="auto"/>
        <w:ind w:firstLineChars="100" w:firstLine="240"/>
        <w:jc w:val="both"/>
      </w:pPr>
      <w:r>
        <w:rPr>
          <w:rFonts w:ascii="Book Antiqua" w:eastAsia="Book Antiqua" w:hAnsi="Book Antiqua" w:cs="Book Antiqua"/>
          <w:color w:val="000000"/>
        </w:rPr>
        <w:t>Direct stem cell use involves infusion into the portal vein, hepatic artery, splenic vein, hepatic sinusoids or percutaneous delivery, transplantation of clusters into the tissue component or the use of vectors</w:t>
      </w:r>
      <w:r w:rsidRPr="00BB01AC">
        <w:rPr>
          <w:rFonts w:ascii="Book Antiqua" w:eastAsia="Book Antiqua" w:hAnsi="Book Antiqua" w:cs="Book Antiqua"/>
          <w:color w:val="000000"/>
          <w:szCs w:val="30"/>
          <w:vertAlign w:val="superscript"/>
        </w:rPr>
        <w:t>[13-15]</w:t>
      </w:r>
      <w:r w:rsidRPr="00BB01AC">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 Bone marrow-derived MSCs are the most commonly used source of multipotent cells for stem cell transplantation in experimental studies and clinical trials. According to the International Society for Cell Therapy, the minimal criteria required of derived MSCs include a </w:t>
      </w:r>
      <w:proofErr w:type="spellStart"/>
      <w:r>
        <w:rPr>
          <w:rFonts w:ascii="Book Antiqua" w:eastAsia="Book Antiqua" w:hAnsi="Book Antiqua" w:cs="Book Antiqua"/>
          <w:color w:val="000000"/>
        </w:rPr>
        <w:t>fibroblastoid</w:t>
      </w:r>
      <w:proofErr w:type="spellEnd"/>
      <w:r>
        <w:rPr>
          <w:rFonts w:ascii="Book Antiqua" w:eastAsia="Book Antiqua" w:hAnsi="Book Antiqua" w:cs="Book Antiqua"/>
          <w:color w:val="000000"/>
        </w:rPr>
        <w:t xml:space="preserve"> phenotype with expression of CD105, CD73, and CD90 and a lack of expression of CD45, CD34, CD14 (or CD11b), and CD79α (or CD19). </w:t>
      </w:r>
    </w:p>
    <w:p w14:paraId="46504DB5" w14:textId="0B17EFBC" w:rsidR="00A77B3E" w:rsidRDefault="006D3597" w:rsidP="00BB01AC">
      <w:pPr>
        <w:spacing w:line="360" w:lineRule="auto"/>
        <w:ind w:firstLineChars="100" w:firstLine="240"/>
        <w:jc w:val="both"/>
      </w:pPr>
      <w:r>
        <w:rPr>
          <w:rFonts w:ascii="Book Antiqua" w:eastAsia="Book Antiqua" w:hAnsi="Book Antiqua" w:cs="Book Antiqua"/>
          <w:color w:val="000000"/>
        </w:rPr>
        <w:t>MSCs are easier to obtain including from adipose tissue. MSC express surface markers and liver specific genes including alpha fetoprotein, cytokeratin (CK)-18, CK-19, and hepatocyte nuclear factor and can easily differentiate into hepatocyte-like cells but with heterogenous and unstable functionality; hence, they are rarely used in human clinical trials</w:t>
      </w:r>
      <w:r w:rsidRPr="00BB01AC">
        <w:rPr>
          <w:rFonts w:ascii="Book Antiqua" w:eastAsia="Book Antiqua" w:hAnsi="Book Antiqua" w:cs="Book Antiqua"/>
          <w:color w:val="000000"/>
          <w:szCs w:val="30"/>
          <w:vertAlign w:val="superscript"/>
        </w:rPr>
        <w:t>[16]</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Cytokines, chemokines, and growth factors secreted by adult stem cells (especially MSCs) are effective in reducing inflammation and hepatocyte apoptosis in both acute and chronic liver injury models. Similar assumptions have been made on their utility in patients with advanced liver cirrhosis. </w:t>
      </w:r>
    </w:p>
    <w:p w14:paraId="11C1F478" w14:textId="00CC673D"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In this regard, a multitude of work has been done on stem cell-based treatment in patients with decompensated cirrhosis. A recent pooled analysis of MSC-based therapy for liver disease inclusive of acute liver failure, chronic liver failure, and ACLF showed that MSC-based therapy was relatively safe and improved liver function during the first six months post treatment. The optimal dose for improvement in liver functions using bone marrow derived MSCs was found to be a single injection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the hepatic artery. </w:t>
      </w:r>
      <w:r>
        <w:rPr>
          <w:rFonts w:ascii="Book Antiqua" w:eastAsia="Book Antiqua" w:hAnsi="Book Antiqua" w:cs="Book Antiqua"/>
          <w:color w:val="000000"/>
        </w:rPr>
        <w:lastRenderedPageBreak/>
        <w:t xml:space="preserve">Nonetheless, very significant heterogeneity among studies and discontinuous results on sub-group meta-analysis </w:t>
      </w:r>
      <w:r w:rsidR="00C75E86">
        <w:rPr>
          <w:rFonts w:ascii="Book Antiqua" w:eastAsia="Book Antiqua" w:hAnsi="Book Antiqua" w:cs="Book Antiqua"/>
          <w:color w:val="000000"/>
        </w:rPr>
        <w:t>were</w:t>
      </w:r>
      <w:r>
        <w:rPr>
          <w:rFonts w:ascii="Book Antiqua" w:eastAsia="Book Antiqua" w:hAnsi="Book Antiqua" w:cs="Book Antiqua"/>
          <w:color w:val="000000"/>
        </w:rPr>
        <w:t xml:space="preserve"> evident. Thus, the long-term efficacy of MSC therapy </w:t>
      </w:r>
      <w:r w:rsidR="00C75E86">
        <w:rPr>
          <w:rFonts w:ascii="Book Antiqua" w:eastAsia="Book Antiqua" w:hAnsi="Book Antiqua" w:cs="Book Antiqua"/>
          <w:color w:val="000000"/>
        </w:rPr>
        <w:t xml:space="preserve">was </w:t>
      </w:r>
      <w:r>
        <w:rPr>
          <w:rFonts w:ascii="Book Antiqua" w:eastAsia="Book Antiqua" w:hAnsi="Book Antiqua" w:cs="Book Antiqua"/>
          <w:color w:val="000000"/>
        </w:rPr>
        <w:t>unanswered</w:t>
      </w:r>
      <w:r w:rsidRPr="00BB01AC">
        <w:rPr>
          <w:rFonts w:ascii="Book Antiqua" w:eastAsia="Book Antiqua" w:hAnsi="Book Antiqua" w:cs="Book Antiqua"/>
          <w:color w:val="000000"/>
          <w:szCs w:val="30"/>
          <w:vertAlign w:val="superscript"/>
        </w:rPr>
        <w:t>[17]</w:t>
      </w:r>
      <w:r w:rsidRPr="00BB01AC">
        <w:rPr>
          <w:rFonts w:ascii="Book Antiqua" w:eastAsia="Book Antiqua" w:hAnsi="Book Antiqua" w:cs="Book Antiqua"/>
          <w:color w:val="000000"/>
        </w:rPr>
        <w:t>.</w:t>
      </w:r>
    </w:p>
    <w:p w14:paraId="58CC5FA8" w14:textId="577A79BB"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In another systematic review on stem cell therapy in chronic liver failure, eight case studies and 17 studies with controls revealed that the most common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were autologous adult stem cells and MSCs from the bone marrow or umbilical cord</w:t>
      </w:r>
      <w:r w:rsidRPr="00BB01AC">
        <w:rPr>
          <w:rFonts w:ascii="Book Antiqua" w:eastAsia="Book Antiqua" w:hAnsi="Book Antiqua" w:cs="Book Antiqua"/>
          <w:color w:val="000000"/>
          <w:szCs w:val="30"/>
          <w:vertAlign w:val="superscript"/>
        </w:rPr>
        <w:t>[18]</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These performed better than other types of adult stem cells even though none of the trials reported outcomes in the long-term. The routes of stem cell infusion did not affect the outcomes and fresh or cryopreserved autologous or allogeneic MSCs were equally beneficial. In one study, the use of mononuclear cells derived from the bone marrow resulted in a higher incidence of hepatocellular carcinoma in the long term. </w:t>
      </w:r>
    </w:p>
    <w:p w14:paraId="337E957C" w14:textId="77777777" w:rsidR="00A77B3E" w:rsidRDefault="006D3597" w:rsidP="00BB01AC">
      <w:pPr>
        <w:spacing w:line="360" w:lineRule="auto"/>
        <w:ind w:firstLineChars="100" w:firstLine="240"/>
        <w:jc w:val="both"/>
      </w:pPr>
      <w:r>
        <w:rPr>
          <w:rFonts w:ascii="Book Antiqua" w:eastAsia="Book Antiqua" w:hAnsi="Book Antiqua" w:cs="Book Antiqua"/>
          <w:color w:val="000000"/>
        </w:rPr>
        <w:t>Some quality studies have utilized G-CSF, and cirrhosis patients either developed a worsening model for end stage liver disease (MELD) score, new onset acute kidney injury, thrombocytopenia (due to worsening portal hypertension), or variceal bleeding. The analysis also showed that excessive cell infusion through the portal vein or the hepatic artery route resulted in worse clinical symptoms</w:t>
      </w:r>
      <w:r w:rsidRPr="00BB01AC">
        <w:rPr>
          <w:rFonts w:ascii="Book Antiqua" w:eastAsia="Book Antiqua" w:hAnsi="Book Antiqua" w:cs="Book Antiqua"/>
          <w:color w:val="000000"/>
          <w:szCs w:val="30"/>
          <w:vertAlign w:val="superscript"/>
        </w:rPr>
        <w:t>[18]</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Similar findings were noted in a large single center study of decompensated cirrhosis patients awaiting liver transplantation receiving G-CSF in a spaced regimen over one month. Versus a matched historical control group, patients receiving G-CSF had higher mortality (75% </w:t>
      </w:r>
      <w:r>
        <w:rPr>
          <w:rFonts w:ascii="Book Antiqua" w:eastAsia="Book Antiqua" w:hAnsi="Book Antiqua" w:cs="Book Antiqua"/>
          <w:i/>
          <w:iCs/>
          <w:color w:val="000000"/>
        </w:rPr>
        <w:t>vs</w:t>
      </w:r>
      <w:r>
        <w:rPr>
          <w:rFonts w:ascii="Book Antiqua" w:eastAsia="Book Antiqua" w:hAnsi="Book Antiqua" w:cs="Book Antiqua"/>
          <w:color w:val="000000"/>
        </w:rPr>
        <w:t xml:space="preserve"> 46%,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at one year</w:t>
      </w:r>
      <w:r w:rsidRPr="00BB01AC">
        <w:rPr>
          <w:rFonts w:ascii="Book Antiqua" w:eastAsia="Book Antiqua" w:hAnsi="Book Antiqua" w:cs="Book Antiqua"/>
          <w:color w:val="000000"/>
          <w:szCs w:val="30"/>
          <w:vertAlign w:val="superscript"/>
        </w:rPr>
        <w:t>[19]</w:t>
      </w:r>
      <w:r w:rsidRPr="00BB01AC">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well-performed randomized controlled trial on the use of G-CSF with or without haemopoietic stem-cell infusion in chronic liver failure did not improve liver dysfunction or fibrosis and was demonstrably associated with increased frequency of adverse events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care</w:t>
      </w:r>
      <w:r w:rsidRPr="00BB01AC">
        <w:rPr>
          <w:rFonts w:ascii="Book Antiqua" w:eastAsia="Book Antiqua" w:hAnsi="Book Antiqua" w:cs="Book Antiqua"/>
          <w:color w:val="000000"/>
          <w:szCs w:val="30"/>
          <w:vertAlign w:val="superscript"/>
        </w:rPr>
        <w:t>[20]</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Even with a large number of studies conducted on stem cell therapy in advanced chronic liver failure, efficient and cost-effective differentiation and production protocols need to be developed, and the safety and true efficacy in the intermediate and long term remain unclear</w:t>
      </w:r>
      <w:r w:rsidRPr="00BB01AC">
        <w:rPr>
          <w:rFonts w:ascii="Book Antiqua" w:eastAsia="Book Antiqua" w:hAnsi="Book Antiqua" w:cs="Book Antiqua"/>
          <w:color w:val="000000"/>
          <w:szCs w:val="30"/>
          <w:vertAlign w:val="superscript"/>
        </w:rPr>
        <w:t>[21]</w:t>
      </w:r>
      <w:r w:rsidRPr="00BB01AC">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Studies on the use of stem cell and growth factor therapy in patients with ACLF are less common than those in decompensated cirrhosis. In ACLF patients, apart from mitigation of underlying fibrosis and hepatocyte loss, stem cell therapy aims to ameliorate and modify the systemic and local inflammation toward beneficial inflammatory responses that </w:t>
      </w:r>
      <w:r>
        <w:rPr>
          <w:rFonts w:ascii="Book Antiqua" w:eastAsia="Book Antiqua" w:hAnsi="Book Antiqua" w:cs="Book Antiqua"/>
          <w:color w:val="000000"/>
        </w:rPr>
        <w:lastRenderedPageBreak/>
        <w:t>promote liver regeneration. A narrative review and core summary on ACLF are discussed in the subsequent section.</w:t>
      </w:r>
    </w:p>
    <w:p w14:paraId="1A398DA4" w14:textId="77777777" w:rsidR="00A77B3E" w:rsidRDefault="00A77B3E">
      <w:pPr>
        <w:spacing w:line="360" w:lineRule="auto"/>
        <w:jc w:val="both"/>
      </w:pPr>
    </w:p>
    <w:p w14:paraId="2CFB8D05" w14:textId="77777777" w:rsidR="00A77B3E" w:rsidRDefault="006D3597">
      <w:pPr>
        <w:spacing w:line="360" w:lineRule="auto"/>
        <w:jc w:val="both"/>
      </w:pPr>
      <w:r>
        <w:rPr>
          <w:rFonts w:ascii="Book Antiqua" w:eastAsia="Book Antiqua" w:hAnsi="Book Antiqua" w:cs="Book Antiqua"/>
          <w:b/>
          <w:bCs/>
          <w:caps/>
          <w:color w:val="000000"/>
          <w:u w:val="single"/>
        </w:rPr>
        <w:t>STEM CELL THERAPY FOR ACLF</w:t>
      </w:r>
    </w:p>
    <w:p w14:paraId="495DB462" w14:textId="7605A77E" w:rsidR="00A77B3E" w:rsidRDefault="006D3597">
      <w:pPr>
        <w:spacing w:line="360" w:lineRule="auto"/>
        <w:jc w:val="both"/>
      </w:pPr>
      <w:r>
        <w:rPr>
          <w:rFonts w:ascii="Book Antiqua" w:eastAsia="Book Antiqua" w:hAnsi="Book Antiqua" w:cs="Book Antiqua"/>
          <w:color w:val="000000"/>
        </w:rPr>
        <w:t xml:space="preserve">Zhu </w:t>
      </w:r>
      <w:r>
        <w:rPr>
          <w:rFonts w:ascii="Book Antiqua" w:eastAsia="Book Antiqua" w:hAnsi="Book Antiqua" w:cs="Book Antiqua"/>
          <w:i/>
          <w:iCs/>
          <w:color w:val="000000"/>
        </w:rPr>
        <w:t>et al</w:t>
      </w:r>
      <w:r w:rsidR="00BB01AC" w:rsidRPr="00BB01AC">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studied the benefits of porcine adipose-tissue derived stem cells (ADSCs) in a rabbit model of ACLF (chronic liver disease using CCl4 intraperitoneal injection and acute event by intravenous D-galactosamine). The authors found that rodents receiving ADSCs had improved biochemical parameters and histomorphology score of the liver. The authors speculated that ADSCs, like bone marrow derived stromal cells, could differentiate into hepatocytes and promote beneficial inflammatory pathways of regenerative potential</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This study however, did not provide evidence for the determined hypothesis. Shi </w:t>
      </w:r>
      <w:r w:rsidR="000914D2" w:rsidRPr="000914D2">
        <w:rPr>
          <w:rFonts w:ascii="Book Antiqua" w:eastAsia="Book Antiqua" w:hAnsi="Book Antiqua" w:cs="Book Antiqua"/>
          <w:i/>
          <w:iCs/>
          <w:color w:val="000000"/>
        </w:rPr>
        <w:t>et al</w:t>
      </w:r>
      <w:r w:rsidR="000914D2">
        <w:rPr>
          <w:rFonts w:ascii="Book Antiqua" w:eastAsia="Book Antiqua" w:hAnsi="Book Antiqua" w:cs="Book Antiqua"/>
          <w:color w:val="000000"/>
          <w:szCs w:val="30"/>
          <w:vertAlign w:val="superscript"/>
        </w:rPr>
        <w:t>[</w:t>
      </w:r>
      <w:r w:rsidR="000914D2" w:rsidRPr="00BB01AC">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and colleagues utilized umbilical-cord derived MSCs (UCMSCs) in patients with ACLF due to hepatitis B virus infection. In this open-label controlled study, with a survival end-point of 72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stem cell therapy was given three times at four-week intervals (two cycles). The authors found that UCMSCs significantly increased the survival of ACLF patients while also reducing liver disease severity scores, improved liver synthetic and excretory functions, and increased platelet counts</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Another study on peripheral venous infusion of allogenic bone marrow-derived MSC treatment in ACLF due to hepatitis B infection also demonstrated an increased six-month survival rate associated with improved liver function. There was also decreased incidence of severe infections</w:t>
      </w:r>
      <w:r w:rsidRPr="00BB01AC">
        <w:rPr>
          <w:rFonts w:ascii="Book Antiqua" w:eastAsia="Book Antiqua" w:hAnsi="Book Antiqua" w:cs="Book Antiqua"/>
          <w:color w:val="000000"/>
          <w:szCs w:val="30"/>
          <w:vertAlign w:val="superscript"/>
        </w:rPr>
        <w:t>[24]</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These studies described beneficial clinical outcomes with use of different tissue derived stem cells, but did not shed light on the mechanistic actions or provide evidence on the ‘fate-of-infused-cell’ contributing to hepatic progenitor cell repopulation and liver mass reserve. Furthermore, studies on stem cell use in ACLF have utilized a variety of tissue derived cells which compromise conclusive evidence for accurate identification of type of stem cell that is clinically beneficial. </w:t>
      </w:r>
    </w:p>
    <w:p w14:paraId="2ADDFCF4" w14:textId="51F773A6"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A systematic review on stem MSC transplantation for ACLF due to hepatitis B virus found three studies with 198 patients (91 treated with MSC and 107 on standard medical therapy, controls). One of the studies included in this meta-analysis utilized </w:t>
      </w:r>
      <w:r>
        <w:rPr>
          <w:rFonts w:ascii="Book Antiqua" w:eastAsia="Book Antiqua" w:hAnsi="Book Antiqua" w:cs="Book Antiqua"/>
          <w:color w:val="000000"/>
        </w:rPr>
        <w:lastRenderedPageBreak/>
        <w:t>MSC transplantation along with therapeutic plasma exchange which could have affected true outcome measures. Nonetheless, pooled results showed that MSC treatment could significantly reduce the mortality rate and hyperbilirubinemia at three months and was safe. Nonetheless, this systematic review and its outcomes were confined to short term follow up with intermediate and long-term benefits of MSC transplantation in ACLF due to hepatitis B remain unstudied</w:t>
      </w:r>
      <w:r w:rsidRPr="000F50D2">
        <w:rPr>
          <w:rFonts w:ascii="Book Antiqua" w:eastAsia="Book Antiqua" w:hAnsi="Book Antiqua" w:cs="Book Antiqua"/>
          <w:color w:val="000000"/>
          <w:szCs w:val="30"/>
          <w:vertAlign w:val="superscript"/>
        </w:rPr>
        <w:t>[25]</w:t>
      </w:r>
      <w:r w:rsidRPr="000F50D2">
        <w:rPr>
          <w:rFonts w:ascii="Book Antiqua" w:eastAsia="Book Antiqua" w:hAnsi="Book Antiqua" w:cs="Book Antiqua"/>
          <w:color w:val="000000"/>
        </w:rPr>
        <w:t>.</w:t>
      </w:r>
      <w:r>
        <w:rPr>
          <w:rFonts w:ascii="Book Antiqua" w:eastAsia="Book Antiqua" w:hAnsi="Book Antiqua" w:cs="Book Antiqua"/>
          <w:color w:val="000000"/>
        </w:rPr>
        <w:t xml:space="preserve"> In a systematic review and meta-analysis on the clinical performance of stem cell therapy in patients with ACLF,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r w:rsidR="000F50D2" w:rsidRPr="000F50D2">
        <w:rPr>
          <w:rFonts w:ascii="Book Antiqua" w:eastAsia="Book Antiqua" w:hAnsi="Book Antiqua" w:cs="Book Antiqua"/>
          <w:i/>
          <w:iCs/>
          <w:color w:val="000000"/>
        </w:rPr>
        <w:t>et al</w:t>
      </w:r>
      <w:r w:rsidR="000F50D2" w:rsidRPr="000F50D2">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and colleagues found beneficial outcomes with stem cell therapy were satisfied in patients with ACLF only in the short-term. They also concluded that MSCs may be better than BMMNCs in the stem cells transplantation of ACLF. This systematic analysis not only included ACLF patients, but also those with acute decompensation and very advanced chronic liver failure patients. Nonetheless, the actual utility and transplant-free survival of ACLF patients on various stem cell-based treatments remain a ‘dwelling possibility’ without real life basic science driven conviction </w:t>
      </w:r>
      <w:r w:rsidRPr="000F50D2">
        <w:rPr>
          <w:rFonts w:ascii="Book Antiqua" w:eastAsia="Book Antiqua" w:hAnsi="Book Antiqua" w:cs="Book Antiqua"/>
          <w:color w:val="000000"/>
        </w:rPr>
        <w:t>(Figure 2)</w:t>
      </w:r>
      <w:r w:rsidR="000F50D2" w:rsidRPr="000F50D2">
        <w:rPr>
          <w:rFonts w:ascii="Book Antiqua" w:eastAsia="Book Antiqua" w:hAnsi="Book Antiqua" w:cs="Book Antiqua"/>
          <w:color w:val="000000"/>
        </w:rPr>
        <w:t>.</w:t>
      </w:r>
    </w:p>
    <w:p w14:paraId="213DDEF4" w14:textId="56CFD2FE" w:rsidR="00A77B3E" w:rsidRDefault="006D3597" w:rsidP="000F50D2">
      <w:pPr>
        <w:spacing w:line="360" w:lineRule="auto"/>
        <w:ind w:firstLineChars="100" w:firstLine="240"/>
        <w:jc w:val="both"/>
      </w:pPr>
      <w:r>
        <w:rPr>
          <w:rFonts w:ascii="Book Antiqua" w:eastAsia="Book Antiqua" w:hAnsi="Book Antiqua" w:cs="Book Antiqua"/>
          <w:color w:val="000000"/>
        </w:rPr>
        <w:t xml:space="preserve">Very recently, an interim analysis of the first prospective, randomized, controlled multicenter trial of G-CSF (as a growth factor for bone marrow-stimulated </w:t>
      </w:r>
      <w:proofErr w:type="spellStart"/>
      <w:r>
        <w:rPr>
          <w:rFonts w:ascii="Book Antiqua" w:eastAsia="Book Antiqua" w:hAnsi="Book Antiqua" w:cs="Book Antiqua"/>
          <w:color w:val="000000"/>
        </w:rPr>
        <w:t>HemSCs</w:t>
      </w:r>
      <w:proofErr w:type="spellEnd"/>
      <w:r>
        <w:rPr>
          <w:rFonts w:ascii="Book Antiqua" w:eastAsia="Book Antiqua" w:hAnsi="Book Antiqua" w:cs="Book Antiqua"/>
          <w:color w:val="000000"/>
        </w:rPr>
        <w:t>) in ACLF was prematurely terminated after conditional power calculation. The researchers found that G-CSF did not show any therapeutic efficacy, did not improve survival, and was associated with adverse events. These findings were in obvious contrast to the results from smaller clinical trials published previously</w:t>
      </w:r>
      <w:r w:rsidRPr="000F50D2">
        <w:rPr>
          <w:rFonts w:ascii="Book Antiqua" w:eastAsia="Book Antiqua" w:hAnsi="Book Antiqua" w:cs="Book Antiqua"/>
          <w:color w:val="000000"/>
          <w:szCs w:val="30"/>
          <w:vertAlign w:val="superscript"/>
        </w:rPr>
        <w:t>[27]</w:t>
      </w:r>
      <w:r w:rsidRPr="000F50D2">
        <w:rPr>
          <w:rFonts w:ascii="Book Antiqua" w:eastAsia="Book Antiqua" w:hAnsi="Book Antiqua" w:cs="Book Antiqua"/>
          <w:color w:val="000000"/>
        </w:rPr>
        <w:t>.</w:t>
      </w:r>
      <w:r>
        <w:rPr>
          <w:rFonts w:ascii="Book Antiqua" w:eastAsia="Book Antiqua" w:hAnsi="Book Antiqua" w:cs="Book Antiqua"/>
          <w:color w:val="000000"/>
        </w:rPr>
        <w:t xml:space="preserve"> Similarly, a study of G-CSF in all-cause pediatric ACLF (5 mcg/</w:t>
      </w:r>
      <w:r w:rsidR="00CA4474">
        <w:rPr>
          <w:rFonts w:ascii="Book Antiqua" w:eastAsia="Book Antiqua" w:hAnsi="Book Antiqua" w:cs="Book Antiqua"/>
          <w:color w:val="000000"/>
        </w:rPr>
        <w:t>(</w:t>
      </w:r>
      <w:proofErr w:type="spellStart"/>
      <w:r>
        <w:rPr>
          <w:rFonts w:ascii="Book Antiqua" w:eastAsia="Book Antiqua" w:hAnsi="Book Antiqua" w:cs="Book Antiqua"/>
          <w:color w:val="000000"/>
        </w:rPr>
        <w:t>kg</w:t>
      </w:r>
      <w:r w:rsidR="00CA4474" w:rsidRPr="00A33255">
        <w:rPr>
          <w:color w:val="000000"/>
        </w:rPr>
        <w:t>·</w:t>
      </w:r>
      <w:r w:rsidR="00CA4474">
        <w:rPr>
          <w:rFonts w:ascii="Book Antiqua" w:eastAsia="Book Antiqua" w:hAnsi="Book Antiqua" w:cs="Book Antiqua"/>
          <w:color w:val="000000"/>
        </w:rPr>
        <w:t>d</w:t>
      </w:r>
      <w:proofErr w:type="spellEnd"/>
      <w:r w:rsidR="00CA4474">
        <w:rPr>
          <w:rFonts w:ascii="Book Antiqua" w:eastAsia="Book Antiqua" w:hAnsi="Book Antiqua" w:cs="Book Antiqua"/>
          <w:color w:val="000000"/>
        </w:rPr>
        <w:t>)</w:t>
      </w:r>
      <w:r>
        <w:rPr>
          <w:rFonts w:ascii="Book Antiqua" w:eastAsia="Book Antiqua" w:hAnsi="Book Antiqua" w:cs="Book Antiqua"/>
          <w:color w:val="000000"/>
        </w:rPr>
        <w:t xml:space="preserve"> for 5 d) was found to be ineffective in improving the survival outcome on day 30 and 60 of therapy. The authors called for studies with larger number of children and longer duration of therapy</w:t>
      </w:r>
      <w:r>
        <w:rPr>
          <w:rFonts w:ascii="Book Antiqua" w:eastAsia="Book Antiqua" w:hAnsi="Book Antiqua" w:cs="Book Antiqua"/>
          <w:b/>
          <w:bCs/>
          <w:color w:val="000000"/>
          <w:szCs w:val="30"/>
          <w:vertAlign w:val="superscript"/>
        </w:rPr>
        <w:t>[</w:t>
      </w:r>
      <w:r w:rsidRPr="004875A2">
        <w:rPr>
          <w:rFonts w:ascii="Book Antiqua" w:eastAsia="Book Antiqua" w:hAnsi="Book Antiqua" w:cs="Book Antiqua"/>
          <w:color w:val="000000"/>
          <w:szCs w:val="30"/>
          <w:vertAlign w:val="superscript"/>
        </w:rPr>
        <w:t>28]</w:t>
      </w:r>
      <w:r w:rsidRPr="004875A2">
        <w:rPr>
          <w:rFonts w:ascii="Book Antiqua" w:eastAsia="Book Antiqua" w:hAnsi="Book Antiqua" w:cs="Book Antiqua"/>
          <w:color w:val="000000"/>
        </w:rPr>
        <w:t>.</w:t>
      </w:r>
      <w:r>
        <w:rPr>
          <w:rFonts w:ascii="Book Antiqua" w:eastAsia="Book Antiqua" w:hAnsi="Book Antiqua" w:cs="Book Antiqua"/>
          <w:color w:val="000000"/>
        </w:rPr>
        <w:t> To summarize</w:t>
      </w:r>
      <w:r w:rsidRPr="004875A2">
        <w:rPr>
          <w:rFonts w:ascii="Book Antiqua" w:eastAsia="Book Antiqua" w:hAnsi="Book Antiqua" w:cs="Book Antiqua"/>
          <w:color w:val="000000"/>
        </w:rPr>
        <w:t xml:space="preserve"> (Table 1)</w:t>
      </w:r>
      <w:r>
        <w:rPr>
          <w:rFonts w:ascii="Book Antiqua" w:eastAsia="Book Antiqua" w:hAnsi="Book Antiqua" w:cs="Book Antiqua"/>
          <w:color w:val="000000"/>
        </w:rPr>
        <w:t xml:space="preserve">, peripherally infused mesenchymal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are the most commonly studied regenerative therapy in patients with ACLF with hepatitis B the most common etiology. The other common ‘regenerative’ options include growth factors</w:t>
      </w:r>
      <w:r w:rsidR="000F50D2">
        <w:rPr>
          <w:rFonts w:ascii="Book Antiqua" w:eastAsia="Book Antiqua" w:hAnsi="Book Antiqua" w:cs="Book Antiqua"/>
          <w:color w:val="000000"/>
        </w:rPr>
        <w:t xml:space="preserve">, </w:t>
      </w:r>
      <w:r>
        <w:rPr>
          <w:rFonts w:ascii="Book Antiqua" w:eastAsia="Book Antiqua" w:hAnsi="Book Antiqua" w:cs="Book Antiqua"/>
          <w:color w:val="000000"/>
        </w:rPr>
        <w:t xml:space="preserve">especially G-CSF. Even though some studies showed improved short-term survival and reduction in liver dysfunction with MSC-based therapy, strong evidence for recommending stem cell use in ACLF is currently lacking due to the heterogeneity in tissue sources for stem cell derivation and differences in route of administration, dose </w:t>
      </w:r>
      <w:r>
        <w:rPr>
          <w:rFonts w:ascii="Book Antiqua" w:eastAsia="Book Antiqua" w:hAnsi="Book Antiqua" w:cs="Book Antiqua"/>
          <w:color w:val="000000"/>
        </w:rPr>
        <w:lastRenderedPageBreak/>
        <w:t>and duration. Recent studies also caution regarding the use of G-CSF for bone marrow-derived hematopoietic stem cell stimulation in patients with ACLF.</w:t>
      </w:r>
    </w:p>
    <w:p w14:paraId="5D9F06F6" w14:textId="77777777" w:rsidR="00A77B3E" w:rsidRDefault="00A77B3E">
      <w:pPr>
        <w:spacing w:line="360" w:lineRule="auto"/>
        <w:jc w:val="both"/>
      </w:pPr>
    </w:p>
    <w:p w14:paraId="38DB00C8" w14:textId="77777777" w:rsidR="00A77B3E" w:rsidRDefault="006D3597">
      <w:pPr>
        <w:spacing w:line="360" w:lineRule="auto"/>
        <w:jc w:val="both"/>
      </w:pPr>
      <w:r>
        <w:rPr>
          <w:rFonts w:ascii="Book Antiqua" w:eastAsia="Book Antiqua" w:hAnsi="Book Antiqua" w:cs="Book Antiqua"/>
          <w:b/>
          <w:caps/>
          <w:color w:val="000000"/>
          <w:u w:val="single"/>
        </w:rPr>
        <w:t>CONCLUSION</w:t>
      </w:r>
    </w:p>
    <w:p w14:paraId="44B9C455" w14:textId="469C7150" w:rsidR="00A77B3E" w:rsidRDefault="006D3597">
      <w:pPr>
        <w:spacing w:line="360" w:lineRule="auto"/>
        <w:jc w:val="both"/>
      </w:pPr>
      <w:r>
        <w:rPr>
          <w:rFonts w:ascii="Book Antiqua" w:eastAsia="Book Antiqua" w:hAnsi="Book Antiqua" w:cs="Book Antiqua"/>
          <w:color w:val="000000"/>
        </w:rPr>
        <w:t>Stem cell therapy for patients with ACLF currently remains in the domain of experimental clinical research; strong evidence for its use in routine clinical practice does not exist. This ‘dwelling in the possibility’ for stem cell based regenerative therapy in ACLF has been under study for almost more than half a decade and has not shown any promising value because the dose, duration, timing, route, and type of stem cells with the best efficacy and safety profile in this group of patients remain undefined similar to that in patients with decompensated cirrhosis.</w:t>
      </w:r>
    </w:p>
    <w:p w14:paraId="25ADDC41" w14:textId="77777777" w:rsidR="00A77B3E" w:rsidRDefault="00A77B3E">
      <w:pPr>
        <w:spacing w:line="360" w:lineRule="auto"/>
        <w:jc w:val="both"/>
      </w:pPr>
    </w:p>
    <w:p w14:paraId="19E76842" w14:textId="77777777" w:rsidR="00A77B3E" w:rsidRDefault="006D3597">
      <w:pPr>
        <w:spacing w:line="360" w:lineRule="auto"/>
        <w:jc w:val="both"/>
      </w:pPr>
      <w:r>
        <w:rPr>
          <w:rFonts w:ascii="Book Antiqua" w:eastAsia="Book Antiqua" w:hAnsi="Book Antiqua" w:cs="Book Antiqua"/>
          <w:b/>
          <w:color w:val="000000"/>
        </w:rPr>
        <w:t>REFERENCES</w:t>
      </w:r>
    </w:p>
    <w:p w14:paraId="5D9759C2" w14:textId="77777777" w:rsidR="00A77B3E" w:rsidRDefault="006D35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Choudhury A. Acute-on-chronic liver failure: terminology, mechanisms and management.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131-149 [PMID: 26837712 DOI: 10.1038/nrgastro.2015.219]</w:t>
      </w:r>
    </w:p>
    <w:p w14:paraId="125B40A5" w14:textId="77777777" w:rsidR="00A77B3E" w:rsidRDefault="006D3597">
      <w:pPr>
        <w:spacing w:line="360" w:lineRule="auto"/>
        <w:jc w:val="both"/>
      </w:pPr>
      <w:r w:rsidRPr="00D1793A">
        <w:rPr>
          <w:rFonts w:ascii="Book Antiqua" w:eastAsia="Book Antiqua" w:hAnsi="Book Antiqua" w:cs="Book Antiqua"/>
          <w:color w:val="000000"/>
        </w:rPr>
        <w:t xml:space="preserve">2 </w:t>
      </w:r>
      <w:proofErr w:type="spellStart"/>
      <w:r w:rsidRPr="00D1793A">
        <w:rPr>
          <w:rFonts w:ascii="Book Antiqua" w:eastAsia="Book Antiqua" w:hAnsi="Book Antiqua" w:cs="Book Antiqua"/>
          <w:b/>
          <w:bCs/>
          <w:color w:val="000000"/>
        </w:rPr>
        <w:t>Hernaez</w:t>
      </w:r>
      <w:proofErr w:type="spellEnd"/>
      <w:r w:rsidRPr="00D1793A">
        <w:rPr>
          <w:rFonts w:ascii="Book Antiqua" w:eastAsia="Book Antiqua" w:hAnsi="Book Antiqua" w:cs="Book Antiqua"/>
          <w:b/>
          <w:bCs/>
          <w:color w:val="000000"/>
        </w:rPr>
        <w:t xml:space="preserve"> R</w:t>
      </w:r>
      <w:r w:rsidRPr="00D1793A">
        <w:rPr>
          <w:rFonts w:ascii="Book Antiqua" w:eastAsia="Book Antiqua" w:hAnsi="Book Antiqua" w:cs="Book Antiqua"/>
          <w:color w:val="000000"/>
        </w:rPr>
        <w:t xml:space="preserve">, </w:t>
      </w:r>
      <w:proofErr w:type="spellStart"/>
      <w:r w:rsidRPr="00D1793A">
        <w:rPr>
          <w:rFonts w:ascii="Book Antiqua" w:eastAsia="Book Antiqua" w:hAnsi="Book Antiqua" w:cs="Book Antiqua"/>
          <w:color w:val="000000"/>
        </w:rPr>
        <w:t>Solà</w:t>
      </w:r>
      <w:proofErr w:type="spellEnd"/>
      <w:r w:rsidRPr="00D1793A">
        <w:rPr>
          <w:rFonts w:ascii="Book Antiqua" w:eastAsia="Book Antiqua" w:hAnsi="Book Antiqua" w:cs="Book Antiqua"/>
          <w:color w:val="000000"/>
        </w:rPr>
        <w:t xml:space="preserve"> E, Moreau R, </w:t>
      </w:r>
      <w:proofErr w:type="spellStart"/>
      <w:r w:rsidRPr="00D1793A">
        <w:rPr>
          <w:rFonts w:ascii="Book Antiqua" w:eastAsia="Book Antiqua" w:hAnsi="Book Antiqua" w:cs="Book Antiqua"/>
          <w:color w:val="000000"/>
        </w:rPr>
        <w:t>Ginès</w:t>
      </w:r>
      <w:proofErr w:type="spellEnd"/>
      <w:r w:rsidRPr="00D1793A">
        <w:rPr>
          <w:rFonts w:ascii="Book Antiqua" w:eastAsia="Book Antiqua" w:hAnsi="Book Antiqua" w:cs="Book Antiqua"/>
          <w:color w:val="000000"/>
        </w:rPr>
        <w:t xml:space="preserve"> P. Acute-on-chronic liver failure: an update. </w:t>
      </w:r>
      <w:r w:rsidRPr="00D1793A">
        <w:rPr>
          <w:rFonts w:ascii="Book Antiqua" w:eastAsia="Book Antiqua" w:hAnsi="Book Antiqua" w:cs="Book Antiqua"/>
          <w:i/>
          <w:iCs/>
          <w:color w:val="000000"/>
        </w:rPr>
        <w:t>Gut</w:t>
      </w:r>
      <w:r w:rsidRPr="00D1793A">
        <w:rPr>
          <w:rFonts w:ascii="Book Antiqua" w:eastAsia="Book Antiqua" w:hAnsi="Book Antiqua" w:cs="Book Antiqua"/>
          <w:color w:val="000000"/>
        </w:rPr>
        <w:t xml:space="preserve"> 2017; </w:t>
      </w:r>
      <w:r w:rsidRPr="00D1793A">
        <w:rPr>
          <w:rFonts w:ascii="Book Antiqua" w:eastAsia="Book Antiqua" w:hAnsi="Book Antiqua" w:cs="Book Antiqua"/>
          <w:b/>
          <w:bCs/>
          <w:color w:val="000000"/>
        </w:rPr>
        <w:t>66</w:t>
      </w:r>
      <w:r w:rsidRPr="00D1793A">
        <w:rPr>
          <w:rFonts w:ascii="Book Antiqua" w:eastAsia="Book Antiqua" w:hAnsi="Book Antiqua" w:cs="Book Antiqua"/>
          <w:color w:val="000000"/>
        </w:rPr>
        <w:t>: 541-553 [PMID: 28053053 DOI: 10.1136/gutjnl-2016-312670]</w:t>
      </w:r>
    </w:p>
    <w:p w14:paraId="51CBB343" w14:textId="77777777" w:rsidR="00A77B3E" w:rsidRDefault="006D35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Faculty. Expanding consensus in portal hypertension: Report of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Consensus Workshop: Stratifying risk and individualizing care 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14:paraId="0EA8E975" w14:textId="77777777" w:rsidR="00A77B3E" w:rsidRDefault="006D359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Arroyo V</w:t>
      </w:r>
      <w:r>
        <w:rPr>
          <w:rFonts w:ascii="Book Antiqua" w:eastAsia="Book Antiqua" w:hAnsi="Book Antiqua" w:cs="Book Antiqua"/>
          <w:color w:val="000000"/>
        </w:rPr>
        <w:t xml:space="preserve">, Moreau R, Kamath PS, </w:t>
      </w:r>
      <w:proofErr w:type="spellStart"/>
      <w:r>
        <w:rPr>
          <w:rFonts w:ascii="Book Antiqua" w:eastAsia="Book Antiqua" w:hAnsi="Book Antiqua" w:cs="Book Antiqua"/>
          <w:color w:val="000000"/>
        </w:rPr>
        <w:t>Jalan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Fernández J, To U, García-Tsao G,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Acute-on-chronic liver failure in cirrhosis.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16041 [PMID: 27277335 DOI: 10.1038/nrdp.2016.41]</w:t>
      </w:r>
    </w:p>
    <w:p w14:paraId="0110F85D" w14:textId="0AFD0EE0" w:rsidR="00A77B3E" w:rsidRDefault="006D3597">
      <w:pPr>
        <w:spacing w:line="360" w:lineRule="auto"/>
        <w:jc w:val="both"/>
      </w:pPr>
      <w:r w:rsidRPr="00D1793A">
        <w:rPr>
          <w:rFonts w:ascii="Book Antiqua" w:eastAsia="Book Antiqua" w:hAnsi="Book Antiqua" w:cs="Book Antiqua"/>
          <w:color w:val="000000"/>
        </w:rPr>
        <w:t xml:space="preserve">5 </w:t>
      </w:r>
      <w:proofErr w:type="spellStart"/>
      <w:r w:rsidR="00865309" w:rsidRPr="00D1793A">
        <w:rPr>
          <w:rFonts w:ascii="Book Antiqua" w:eastAsia="Book Antiqua" w:hAnsi="Book Antiqua" w:cs="Book Antiqua"/>
          <w:b/>
          <w:bCs/>
          <w:color w:val="000000"/>
        </w:rPr>
        <w:t>Jalan</w:t>
      </w:r>
      <w:proofErr w:type="spellEnd"/>
      <w:r w:rsidR="00865309" w:rsidRPr="00D1793A">
        <w:rPr>
          <w:rFonts w:ascii="Book Antiqua" w:eastAsia="Book Antiqua" w:hAnsi="Book Antiqua" w:cs="Book Antiqua"/>
          <w:b/>
          <w:bCs/>
          <w:color w:val="000000"/>
        </w:rPr>
        <w:t xml:space="preserve"> R</w:t>
      </w:r>
      <w:r w:rsidR="00865309" w:rsidRPr="00865309">
        <w:rPr>
          <w:rFonts w:ascii="Book Antiqua" w:eastAsia="Book Antiqua" w:hAnsi="Book Antiqua" w:cs="Book Antiqua"/>
          <w:color w:val="000000"/>
        </w:rPr>
        <w:t xml:space="preserve">, </w:t>
      </w:r>
      <w:proofErr w:type="spellStart"/>
      <w:r w:rsidR="00865309" w:rsidRPr="00865309">
        <w:rPr>
          <w:rFonts w:ascii="Book Antiqua" w:eastAsia="Book Antiqua" w:hAnsi="Book Antiqua" w:cs="Book Antiqua"/>
          <w:color w:val="000000"/>
        </w:rPr>
        <w:t>Perricone</w:t>
      </w:r>
      <w:proofErr w:type="spellEnd"/>
      <w:r w:rsidR="00865309" w:rsidRPr="00865309">
        <w:rPr>
          <w:rFonts w:ascii="Book Antiqua" w:eastAsia="Book Antiqua" w:hAnsi="Book Antiqua" w:cs="Book Antiqua"/>
          <w:color w:val="000000"/>
        </w:rPr>
        <w:t xml:space="preserve"> G, Moreau R, Arroyo V, Williams R. Acute-on-chronic liver failure: A new disease or an old one hiding in plain sight? </w:t>
      </w:r>
      <w:r w:rsidR="00865309" w:rsidRPr="00D1793A">
        <w:rPr>
          <w:rFonts w:ascii="Book Antiqua" w:eastAsia="Book Antiqua" w:hAnsi="Book Antiqua" w:cs="Book Antiqua"/>
          <w:i/>
          <w:iCs/>
          <w:color w:val="000000"/>
        </w:rPr>
        <w:t>Clin Liver Dis</w:t>
      </w:r>
      <w:r w:rsidR="00865309" w:rsidRPr="00865309">
        <w:rPr>
          <w:rFonts w:ascii="Book Antiqua" w:eastAsia="Book Antiqua" w:hAnsi="Book Antiqua" w:cs="Book Antiqua"/>
          <w:color w:val="000000"/>
        </w:rPr>
        <w:t xml:space="preserve"> 2020</w:t>
      </w:r>
      <w:r w:rsidR="00865309">
        <w:rPr>
          <w:rFonts w:ascii="Book Antiqua" w:eastAsia="Book Antiqua" w:hAnsi="Book Antiqua" w:cs="Book Antiqua"/>
          <w:color w:val="000000"/>
        </w:rPr>
        <w:t>;</w:t>
      </w:r>
      <w:r w:rsidR="00865309" w:rsidRPr="00865309">
        <w:rPr>
          <w:rFonts w:ascii="Book Antiqua" w:eastAsia="Book Antiqua" w:hAnsi="Book Antiqua" w:cs="Book Antiqua"/>
          <w:color w:val="000000"/>
        </w:rPr>
        <w:t xml:space="preserve"> </w:t>
      </w:r>
      <w:r w:rsidR="00865309" w:rsidRPr="00D1793A">
        <w:rPr>
          <w:rFonts w:ascii="Book Antiqua" w:eastAsia="Book Antiqua" w:hAnsi="Book Antiqua" w:cs="Book Antiqua"/>
          <w:b/>
          <w:bCs/>
          <w:color w:val="000000"/>
        </w:rPr>
        <w:t>15</w:t>
      </w:r>
      <w:r w:rsidR="00865309" w:rsidRPr="00865309">
        <w:rPr>
          <w:rFonts w:ascii="Book Antiqua" w:eastAsia="Book Antiqua" w:hAnsi="Book Antiqua" w:cs="Book Antiqua"/>
          <w:color w:val="000000"/>
        </w:rPr>
        <w:t>:</w:t>
      </w:r>
      <w:r w:rsidR="00865309">
        <w:rPr>
          <w:rFonts w:ascii="Book Antiqua" w:eastAsia="Book Antiqua" w:hAnsi="Book Antiqua" w:cs="Book Antiqua"/>
          <w:color w:val="000000"/>
        </w:rPr>
        <w:t xml:space="preserve"> </w:t>
      </w:r>
      <w:r w:rsidR="00865309" w:rsidRPr="00865309">
        <w:rPr>
          <w:rFonts w:ascii="Book Antiqua" w:eastAsia="Book Antiqua" w:hAnsi="Book Antiqua" w:cs="Book Antiqua"/>
          <w:color w:val="000000"/>
        </w:rPr>
        <w:t>S45-S5</w:t>
      </w:r>
      <w:r w:rsidR="00865309">
        <w:rPr>
          <w:rFonts w:ascii="Book Antiqua" w:eastAsia="Book Antiqua" w:hAnsi="Book Antiqua" w:cs="Book Antiqua"/>
          <w:color w:val="000000"/>
        </w:rPr>
        <w:t>1 [PMID 32140213 DOI</w:t>
      </w:r>
      <w:r w:rsidR="00865309" w:rsidRPr="00865309">
        <w:rPr>
          <w:rFonts w:ascii="Book Antiqua" w:eastAsia="Book Antiqua" w:hAnsi="Book Antiqua" w:cs="Book Antiqua"/>
          <w:color w:val="000000"/>
        </w:rPr>
        <w:t>: 10.1002/cld.859</w:t>
      </w:r>
      <w:r w:rsidR="00865309">
        <w:rPr>
          <w:rFonts w:ascii="Book Antiqua" w:eastAsia="Book Antiqua" w:hAnsi="Book Antiqua" w:cs="Book Antiqua"/>
          <w:color w:val="000000"/>
        </w:rPr>
        <w:t>]</w:t>
      </w:r>
    </w:p>
    <w:p w14:paraId="0314A683" w14:textId="77777777" w:rsidR="00A77B3E" w:rsidRDefault="006D3597">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Rastogi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Maiwall</w:t>
      </w:r>
      <w:proofErr w:type="spellEnd"/>
      <w:r>
        <w:rPr>
          <w:rFonts w:ascii="Book Antiqua" w:eastAsia="Book Antiqua" w:hAnsi="Book Antiqua" w:cs="Book Antiqua"/>
          <w:color w:val="000000"/>
        </w:rPr>
        <w:t xml:space="preserve"> R, Bihari C, </w:t>
      </w:r>
      <w:proofErr w:type="spellStart"/>
      <w:r>
        <w:rPr>
          <w:rFonts w:ascii="Book Antiqua" w:eastAsia="Book Antiqua" w:hAnsi="Book Antiqua" w:cs="Book Antiqua"/>
          <w:color w:val="000000"/>
        </w:rPr>
        <w:t>Trehanpati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Pamecha</w:t>
      </w:r>
      <w:proofErr w:type="spellEnd"/>
      <w:r>
        <w:rPr>
          <w:rFonts w:ascii="Book Antiqua" w:eastAsia="Book Antiqua" w:hAnsi="Book Antiqua" w:cs="Book Antiqua"/>
          <w:color w:val="000000"/>
        </w:rPr>
        <w:t xml:space="preserve"> V, Sarin SK. Two-tier regenerative response in liver failure in humans.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2014; </w:t>
      </w:r>
      <w:r>
        <w:rPr>
          <w:rFonts w:ascii="Book Antiqua" w:eastAsia="Book Antiqua" w:hAnsi="Book Antiqua" w:cs="Book Antiqua"/>
          <w:b/>
          <w:bCs/>
          <w:color w:val="000000"/>
        </w:rPr>
        <w:t>464</w:t>
      </w:r>
      <w:r>
        <w:rPr>
          <w:rFonts w:ascii="Book Antiqua" w:eastAsia="Book Antiqua" w:hAnsi="Book Antiqua" w:cs="Book Antiqua"/>
          <w:color w:val="000000"/>
        </w:rPr>
        <w:t>: 565-573 [PMID: 24590583 DOI: 10.1007/s00428-014-1547-0]</w:t>
      </w:r>
    </w:p>
    <w:p w14:paraId="4A448ED6" w14:textId="77777777" w:rsidR="00A77B3E" w:rsidRDefault="006D359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Kedarisetty</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Anand L, Khanam A, Kumar A, Rastogi A, </w:t>
      </w:r>
      <w:proofErr w:type="spellStart"/>
      <w:r>
        <w:rPr>
          <w:rFonts w:ascii="Book Antiqua" w:eastAsia="Book Antiqua" w:hAnsi="Book Antiqua" w:cs="Book Antiqua"/>
          <w:color w:val="000000"/>
        </w:rPr>
        <w:t>Maiwall</w:t>
      </w:r>
      <w:proofErr w:type="spellEnd"/>
      <w:r>
        <w:rPr>
          <w:rFonts w:ascii="Book Antiqua" w:eastAsia="Book Antiqua" w:hAnsi="Book Antiqua" w:cs="Book Antiqua"/>
          <w:color w:val="000000"/>
        </w:rPr>
        <w:t xml:space="preserve"> R, Sarin SK. Growth factors enhance liver regeneration in acute-on-chronic liver failure.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8 Suppl 2</w:t>
      </w:r>
      <w:r>
        <w:rPr>
          <w:rFonts w:ascii="Book Antiqua" w:eastAsia="Book Antiqua" w:hAnsi="Book Antiqua" w:cs="Book Antiqua"/>
          <w:color w:val="000000"/>
        </w:rPr>
        <w:t>: 514-525 [PMID: 26201333 DOI: 10.1007/s12072-014-9538-4]</w:t>
      </w:r>
    </w:p>
    <w:p w14:paraId="43288344" w14:textId="77777777" w:rsidR="00A77B3E" w:rsidRDefault="006D35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Q</w:t>
      </w:r>
      <w:r>
        <w:rPr>
          <w:rFonts w:ascii="Book Antiqua" w:eastAsia="Book Antiqua" w:hAnsi="Book Antiqua" w:cs="Book Antiqua"/>
          <w:color w:val="000000"/>
        </w:rPr>
        <w:t xml:space="preserve">. Role of cytokines in the pathophysiology of acute-on-chronic liver failure.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Purif</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331-341 [PMID: 19729901 DOI: 10.1159/000232940]</w:t>
      </w:r>
    </w:p>
    <w:p w14:paraId="044098EE" w14:textId="77777777" w:rsidR="00A77B3E" w:rsidRDefault="006D359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Böhm</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Köhler UA, Speicher T, Werner S. Regulation of liver regeneration by growth factors and cytokines. </w:t>
      </w:r>
      <w:r>
        <w:rPr>
          <w:rFonts w:ascii="Book Antiqua" w:eastAsia="Book Antiqua" w:hAnsi="Book Antiqua" w:cs="Book Antiqua"/>
          <w:i/>
          <w:iCs/>
          <w:color w:val="000000"/>
        </w:rPr>
        <w:t>EMBO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294-305 [PMID: 20652897 DOI: 10.1002/emmm.201000085]</w:t>
      </w:r>
    </w:p>
    <w:p w14:paraId="3D37920A" w14:textId="77777777" w:rsidR="00A77B3E" w:rsidRDefault="006D35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Hoffmann K</w:t>
      </w:r>
      <w:r>
        <w:rPr>
          <w:rFonts w:ascii="Book Antiqua" w:eastAsia="Book Antiqua" w:hAnsi="Book Antiqua" w:cs="Book Antiqua"/>
          <w:color w:val="000000"/>
        </w:rPr>
        <w:t xml:space="preserve">, Nagel AJ, Tanabe K, Fuchs J, </w:t>
      </w:r>
      <w:proofErr w:type="spellStart"/>
      <w:r>
        <w:rPr>
          <w:rFonts w:ascii="Book Antiqua" w:eastAsia="Book Antiqua" w:hAnsi="Book Antiqua" w:cs="Book Antiqua"/>
          <w:color w:val="000000"/>
        </w:rPr>
        <w:t>Dehlke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Ghamarnejad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Lemekhova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Mehrabi</w:t>
      </w:r>
      <w:proofErr w:type="spellEnd"/>
      <w:r>
        <w:rPr>
          <w:rFonts w:ascii="Book Antiqua" w:eastAsia="Book Antiqua" w:hAnsi="Book Antiqua" w:cs="Book Antiqua"/>
          <w:color w:val="000000"/>
        </w:rPr>
        <w:t xml:space="preserve"> A. Markers of liver regeneration-the role of growth factors and cytokines: a systematic review.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 [PMID: 32050952 DOI: 10.1186/s12893-019-0664-8]</w:t>
      </w:r>
    </w:p>
    <w:p w14:paraId="17EA7096" w14:textId="77777777" w:rsidR="00A77B3E" w:rsidRDefault="006D35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Tao Y</w:t>
      </w:r>
      <w:r>
        <w:rPr>
          <w:rFonts w:ascii="Book Antiqua" w:eastAsia="Book Antiqua" w:hAnsi="Book Antiqua" w:cs="Book Antiqua"/>
          <w:color w:val="000000"/>
        </w:rPr>
        <w:t xml:space="preserve">, Wang M, Chen E, Tang H. Liver Regeneration: Analysis of the Main Relevant Signaling Molecules.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4256352 [PMID: 28947857 DOI: 10.1155/2017/4256352]</w:t>
      </w:r>
    </w:p>
    <w:p w14:paraId="17EDF400" w14:textId="77777777" w:rsidR="00A77B3E" w:rsidRDefault="006D35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Xiang X</w:t>
      </w:r>
      <w:r>
        <w:rPr>
          <w:rFonts w:ascii="Book Antiqua" w:eastAsia="Book Antiqua" w:hAnsi="Book Antiqua" w:cs="Book Antiqua"/>
          <w:color w:val="000000"/>
        </w:rPr>
        <w:t xml:space="preserve">, Feng D, Hwang S, Ren T, Wang X, </w:t>
      </w:r>
      <w:proofErr w:type="spellStart"/>
      <w:r>
        <w:rPr>
          <w:rFonts w:ascii="Book Antiqua" w:eastAsia="Book Antiqua" w:hAnsi="Book Antiqua" w:cs="Book Antiqua"/>
          <w:color w:val="000000"/>
        </w:rPr>
        <w:t>Trojnar</w:t>
      </w:r>
      <w:proofErr w:type="spellEnd"/>
      <w:r>
        <w:rPr>
          <w:rFonts w:ascii="Book Antiqua" w:eastAsia="Book Antiqua" w:hAnsi="Book Antiqua" w:cs="Book Antiqua"/>
          <w:color w:val="000000"/>
        </w:rPr>
        <w:t xml:space="preserve"> E, Matyas C, Mo R, Shang D, He Y,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 Shah VH, Pacher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Gao B. Interleukin-22 ameliorates acute-on-chronic liver failure by reprogramming impaired regeneration pathways in mice.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736-745 [PMID: 31786256 DOI: 10.1016/j.jhep.2019.11.013]</w:t>
      </w:r>
    </w:p>
    <w:p w14:paraId="1EB65EBF" w14:textId="77777777" w:rsidR="00A77B3E" w:rsidRDefault="006D35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Than NN</w:t>
      </w:r>
      <w:r>
        <w:rPr>
          <w:rFonts w:ascii="Book Antiqua" w:eastAsia="Book Antiqua" w:hAnsi="Book Antiqua" w:cs="Book Antiqua"/>
          <w:color w:val="000000"/>
        </w:rPr>
        <w:t xml:space="preserve">, Tomlinson CL, </w:t>
      </w:r>
      <w:proofErr w:type="spellStart"/>
      <w:r>
        <w:rPr>
          <w:rFonts w:ascii="Book Antiqua" w:eastAsia="Book Antiqua" w:hAnsi="Book Antiqua" w:cs="Book Antiqua"/>
          <w:color w:val="000000"/>
        </w:rPr>
        <w:t>Haldar</w:t>
      </w:r>
      <w:proofErr w:type="spellEnd"/>
      <w:r>
        <w:rPr>
          <w:rFonts w:ascii="Book Antiqua" w:eastAsia="Book Antiqua" w:hAnsi="Book Antiqua" w:cs="Book Antiqua"/>
          <w:color w:val="000000"/>
        </w:rPr>
        <w:t xml:space="preserve"> D, King AL, Moore D, Newsome PN. Clinical effectiveness of cell therapies in patients with chronic liver disease and acute-on-chronic liver failure: a systematic review protocol. </w:t>
      </w:r>
      <w:r>
        <w:rPr>
          <w:rFonts w:ascii="Book Antiqua" w:eastAsia="Book Antiqua" w:hAnsi="Book Antiqua" w:cs="Book Antiqua"/>
          <w:i/>
          <w:iCs/>
          <w:color w:val="000000"/>
        </w:rPr>
        <w:t>Syst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100 [PMID: 27301957 DOI: 10.1186/s13643-016-0277-6]</w:t>
      </w:r>
    </w:p>
    <w:p w14:paraId="555D8872" w14:textId="77777777" w:rsidR="00A77B3E" w:rsidRDefault="006D359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Bhatia SN</w:t>
      </w:r>
      <w:r>
        <w:rPr>
          <w:rFonts w:ascii="Book Antiqua" w:eastAsia="Book Antiqua" w:hAnsi="Book Antiqua" w:cs="Book Antiqua"/>
          <w:color w:val="000000"/>
        </w:rPr>
        <w:t xml:space="preserve">, Underhill GH, </w:t>
      </w:r>
      <w:proofErr w:type="spellStart"/>
      <w:r>
        <w:rPr>
          <w:rFonts w:ascii="Book Antiqua" w:eastAsia="Book Antiqua" w:hAnsi="Book Antiqua" w:cs="Book Antiqua"/>
          <w:color w:val="000000"/>
        </w:rPr>
        <w:t>Zaret</w:t>
      </w:r>
      <w:proofErr w:type="spellEnd"/>
      <w:r>
        <w:rPr>
          <w:rFonts w:ascii="Book Antiqua" w:eastAsia="Book Antiqua" w:hAnsi="Book Antiqua" w:cs="Book Antiqua"/>
          <w:color w:val="000000"/>
        </w:rPr>
        <w:t xml:space="preserve"> KS, Fox IJ. Cell and tissue engineering for liver disease.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245sr2 [PMID: 25031271 DOI: 10.1126/scitranslmed.3005975]</w:t>
      </w:r>
    </w:p>
    <w:p w14:paraId="00486D10" w14:textId="77777777" w:rsidR="00A77B3E" w:rsidRDefault="006D3597">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Iansante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Chandrashekran</w:t>
      </w:r>
      <w:proofErr w:type="spellEnd"/>
      <w:r>
        <w:rPr>
          <w:rFonts w:ascii="Book Antiqua" w:eastAsia="Book Antiqua" w:hAnsi="Book Antiqua" w:cs="Book Antiqua"/>
          <w:color w:val="000000"/>
        </w:rPr>
        <w:t xml:space="preserve"> A, Dhawan A. Cell-based liver therapies: past, present and future. </w:t>
      </w:r>
      <w:proofErr w:type="spellStart"/>
      <w:r>
        <w:rPr>
          <w:rFonts w:ascii="Book Antiqua" w:eastAsia="Book Antiqua" w:hAnsi="Book Antiqua" w:cs="Book Antiqua"/>
          <w:i/>
          <w:iCs/>
          <w:color w:val="000000"/>
        </w:rPr>
        <w:t>Philos</w:t>
      </w:r>
      <w:proofErr w:type="spellEnd"/>
      <w:r>
        <w:rPr>
          <w:rFonts w:ascii="Book Antiqua" w:eastAsia="Book Antiqua" w:hAnsi="Book Antiqua" w:cs="Book Antiqua"/>
          <w:i/>
          <w:iCs/>
          <w:color w:val="000000"/>
        </w:rPr>
        <w:t xml:space="preserve"> Trans R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 xml:space="preserve"> B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373</w:t>
      </w:r>
      <w:r>
        <w:rPr>
          <w:rFonts w:ascii="Book Antiqua" w:eastAsia="Book Antiqua" w:hAnsi="Book Antiqua" w:cs="Book Antiqua"/>
          <w:color w:val="000000"/>
        </w:rPr>
        <w:t>: [PMID: 29786563 DOI: 10.1098/rstb.2017.0229]</w:t>
      </w:r>
    </w:p>
    <w:p w14:paraId="758CA4A6" w14:textId="77777777" w:rsidR="00A77B3E" w:rsidRDefault="006D359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 C</w:t>
      </w:r>
      <w:r>
        <w:rPr>
          <w:rFonts w:ascii="Book Antiqua" w:eastAsia="Book Antiqua" w:hAnsi="Book Antiqua" w:cs="Book Antiqua"/>
          <w:color w:val="000000"/>
        </w:rPr>
        <w:t xml:space="preserve">, Zhao L, Li L. Current understanding of adipose-derived mesenchymal stem cell-based therapies in liver diseases.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199 [PMID: 31287024 DOI: 10.1186/s13287-019-1310-1]</w:t>
      </w:r>
    </w:p>
    <w:p w14:paraId="2F956A18" w14:textId="77777777" w:rsidR="00A77B3E" w:rsidRDefault="006D35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Zhao L</w:t>
      </w:r>
      <w:r>
        <w:rPr>
          <w:rFonts w:ascii="Book Antiqua" w:eastAsia="Book Antiqua" w:hAnsi="Book Antiqua" w:cs="Book Antiqua"/>
          <w:color w:val="000000"/>
        </w:rPr>
        <w:t xml:space="preserve">, Chen S, Shi X, Cao H, Li L. A pooled analysis of mesenchymal stem cell-based therapy for liver disease.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72 [PMID: 29562935 DOI: 10.1186/s13287-018-0816-2]</w:t>
      </w:r>
    </w:p>
    <w:p w14:paraId="1213F144" w14:textId="77777777" w:rsidR="00A77B3E" w:rsidRDefault="006D359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AdiwinataPawitan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Exploring the Most Promising Stem Cell Therapy in Liver Failure: A Systematic Review.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2782548 [PMID: 31871465 DOI: 10.1155/2019/2782548]</w:t>
      </w:r>
    </w:p>
    <w:p w14:paraId="221B6950" w14:textId="77777777" w:rsidR="00A77B3E" w:rsidRDefault="006D35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Augustine P, Rajesh S, Ahamed R, George T, </w:t>
      </w:r>
      <w:proofErr w:type="spellStart"/>
      <w:r>
        <w:rPr>
          <w:rFonts w:ascii="Book Antiqua" w:eastAsia="Book Antiqua" w:hAnsi="Book Antiqua" w:cs="Book Antiqua"/>
          <w:color w:val="000000"/>
        </w:rPr>
        <w:t>Padsalgi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Paramaguru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Valiathan</w:t>
      </w:r>
      <w:proofErr w:type="spellEnd"/>
      <w:r>
        <w:rPr>
          <w:rFonts w:ascii="Book Antiqua" w:eastAsia="Book Antiqua" w:hAnsi="Book Antiqua" w:cs="Book Antiqua"/>
          <w:color w:val="000000"/>
        </w:rPr>
        <w:t xml:space="preserve"> G, John SK. Granulocyte Colony-Stimulating Factor Use in Decompensated Cirrhosis: Lack of Survival Benefit.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124-134 [PMID: 32189927 DOI: 10.1016/j.jceh.2019.05.003]</w:t>
      </w:r>
    </w:p>
    <w:p w14:paraId="10A3F0F7" w14:textId="77777777" w:rsidR="00A77B3E" w:rsidRDefault="006D359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Newsome PN</w:t>
      </w:r>
      <w:r>
        <w:rPr>
          <w:rFonts w:ascii="Book Antiqua" w:eastAsia="Book Antiqua" w:hAnsi="Book Antiqua" w:cs="Book Antiqua"/>
          <w:color w:val="000000"/>
        </w:rPr>
        <w:t xml:space="preserve">, Fox R, King AL, Barton D, Than NN, Moore J, Corbett C, Townsend S, Thomas J, Guo K, Hull D, Beard HA, Thompson J, Atkinson A, </w:t>
      </w:r>
      <w:proofErr w:type="spellStart"/>
      <w:r>
        <w:rPr>
          <w:rFonts w:ascii="Book Antiqua" w:eastAsia="Book Antiqua" w:hAnsi="Book Antiqua" w:cs="Book Antiqua"/>
          <w:color w:val="000000"/>
        </w:rPr>
        <w:t>Bienek</w:t>
      </w:r>
      <w:proofErr w:type="spellEnd"/>
      <w:r>
        <w:rPr>
          <w:rFonts w:ascii="Book Antiqua" w:eastAsia="Book Antiqua" w:hAnsi="Book Antiqua" w:cs="Book Antiqua"/>
          <w:color w:val="000000"/>
        </w:rPr>
        <w:t xml:space="preserve"> C, McGowan N, Guha N, Campbell J, </w:t>
      </w:r>
      <w:proofErr w:type="spellStart"/>
      <w:r>
        <w:rPr>
          <w:rFonts w:ascii="Book Antiqua" w:eastAsia="Book Antiqua" w:hAnsi="Book Antiqua" w:cs="Book Antiqua"/>
          <w:color w:val="000000"/>
        </w:rPr>
        <w:t>Hollyman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Stocken</w:t>
      </w:r>
      <w:proofErr w:type="spellEnd"/>
      <w:r>
        <w:rPr>
          <w:rFonts w:ascii="Book Antiqua" w:eastAsia="Book Antiqua" w:hAnsi="Book Antiqua" w:cs="Book Antiqua"/>
          <w:color w:val="000000"/>
        </w:rPr>
        <w:t xml:space="preserve"> D, Yap C, Forbes SJ. Granulocyte colony-stimulating factor and autologous CD133-positive stem-cell therapy in liver cirrhosis (REALISTIC): an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phase 2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25-36 [PMID: 29127060 DOI: 10.1016/S2468-1253(17)30326-6]</w:t>
      </w:r>
    </w:p>
    <w:p w14:paraId="7C5FF178" w14:textId="77777777" w:rsidR="00A77B3E" w:rsidRDefault="006D359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Kwak KA</w:t>
      </w:r>
      <w:r>
        <w:rPr>
          <w:rFonts w:ascii="Book Antiqua" w:eastAsia="Book Antiqua" w:hAnsi="Book Antiqua" w:cs="Book Antiqua"/>
          <w:color w:val="000000"/>
        </w:rPr>
        <w:t xml:space="preserve">, Cho HJ, Yang JY, Park YS. Current Perspectives Regarding Stem Cell-Based Therapy for Liver Cirrhosis.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4197857 [PMID: 29670867 DOI: 10.1155/2018/4197857]</w:t>
      </w:r>
    </w:p>
    <w:p w14:paraId="07BF7C36" w14:textId="77777777" w:rsidR="00A77B3E" w:rsidRDefault="006D35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Zhu W</w:t>
      </w:r>
      <w:r>
        <w:rPr>
          <w:rFonts w:ascii="Book Antiqua" w:eastAsia="Book Antiqua" w:hAnsi="Book Antiqua" w:cs="Book Antiqua"/>
          <w:color w:val="000000"/>
        </w:rPr>
        <w:t xml:space="preserve">, Shi XL, Xiao JQ, Gu GX, Ding YT, Ma ZL. Effects of xenogeneic adipose-derived stem cell transplantation on acute-on-chronic liver failure.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60-67 [PMID: 23392800 DOI: 10.1016/s1499-3872(13)60007-7]</w:t>
      </w:r>
    </w:p>
    <w:p w14:paraId="580CE195" w14:textId="77777777" w:rsidR="00A77B3E" w:rsidRDefault="006D359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Shi M</w:t>
      </w:r>
      <w:r>
        <w:rPr>
          <w:rFonts w:ascii="Book Antiqua" w:eastAsia="Book Antiqua" w:hAnsi="Book Antiqua" w:cs="Book Antiqua"/>
          <w:color w:val="000000"/>
        </w:rPr>
        <w:t xml:space="preserve">, Zhang Z, Xu R, Lin H, Fu J, Zou Z, Zhang A, Shi J, Chen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S, He W,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Liu Z, Wang FS. Human mesenchymal stem cell transfusion is safe and </w:t>
      </w:r>
      <w:r>
        <w:rPr>
          <w:rFonts w:ascii="Book Antiqua" w:eastAsia="Book Antiqua" w:hAnsi="Book Antiqua" w:cs="Book Antiqua"/>
          <w:color w:val="000000"/>
        </w:rPr>
        <w:lastRenderedPageBreak/>
        <w:t xml:space="preserve">improves liver function in acute-on-chronic liver failure patients.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725-731 [PMID: 23197664 DOI: 10.5966/sctm.2012-0034]</w:t>
      </w:r>
    </w:p>
    <w:p w14:paraId="0136F34A" w14:textId="77777777" w:rsidR="00A77B3E" w:rsidRDefault="006D359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Lin BL</w:t>
      </w:r>
      <w:r>
        <w:rPr>
          <w:rFonts w:ascii="Book Antiqua" w:eastAsia="Book Antiqua" w:hAnsi="Book Antiqua" w:cs="Book Antiqua"/>
          <w:color w:val="000000"/>
        </w:rPr>
        <w:t xml:space="preserve">, Chen JF,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WH, Wang KW,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DY, Chen XY, Liu QL, Peng L, Li JG, Mei YY, Weng WZ, Peng YW, Cao HJ,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SB, Xiang AP, Gao ZL. Allogeneic bone marrow-derived mesenchymal stromal cells for hepatitis B virus-related acute-on-chronic liver failure: A randomized controlled trial.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209-219 [PMID: 28370357 DOI: 10.1002/hep.29189]</w:t>
      </w:r>
    </w:p>
    <w:p w14:paraId="34200F69" w14:textId="77777777" w:rsidR="00A77B3E" w:rsidRDefault="006D359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 B</w:t>
      </w:r>
      <w:r>
        <w:rPr>
          <w:rFonts w:ascii="Book Antiqua" w:eastAsia="Book Antiqua" w:hAnsi="Book Antiqua" w:cs="Book Antiqua"/>
          <w:color w:val="000000"/>
        </w:rPr>
        <w:t xml:space="preserve">, Wang YH, Qian JQ, Wu DB, Chen EQ, Tang H. Human mesenchymal stem cells for hepatitis B virus-related acute-on-chronic liver failure: a systematic review with meta-analysis.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1224-1229 [PMID: 29727380 DOI: 10.1097/MEG.0000000000001156]</w:t>
      </w:r>
    </w:p>
    <w:p w14:paraId="4CFC0B75" w14:textId="77777777" w:rsidR="00A77B3E" w:rsidRDefault="006D359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Meng Q, Dong J, Li J, Yao Q, Zhu Y, Yu H. Clinical performance of stem cell therapy in patients with acute-on-chronic liver failure: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126 [PMID: 29747694 DOI: 10.1186/s12967-018-1464-0]</w:t>
      </w:r>
    </w:p>
    <w:p w14:paraId="7C506473" w14:textId="615ADE35" w:rsidR="00A77B3E" w:rsidRDefault="006D359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Engelmann C</w:t>
      </w:r>
      <w:r w:rsidRPr="002F2AF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Herber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Bruns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Schiefke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Zipprich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Schmiedeknecht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Goeser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Canbay</w:t>
      </w:r>
      <w:proofErr w:type="spellEnd"/>
      <w:r>
        <w:rPr>
          <w:rFonts w:ascii="Book Antiqua" w:eastAsia="Book Antiqua" w:hAnsi="Book Antiqua" w:cs="Book Antiqua"/>
          <w:color w:val="000000"/>
        </w:rPr>
        <w:t xml:space="preserve"> AE, Berg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Uschner</w:t>
      </w:r>
      <w:proofErr w:type="spellEnd"/>
      <w:r>
        <w:rPr>
          <w:rFonts w:ascii="Book Antiqua" w:eastAsia="Book Antiqua" w:hAnsi="Book Antiqua" w:cs="Book Antiqua"/>
          <w:color w:val="000000"/>
        </w:rPr>
        <w:t xml:space="preserve"> FE, Mueller T, </w:t>
      </w:r>
      <w:proofErr w:type="spellStart"/>
      <w:r>
        <w:rPr>
          <w:rFonts w:ascii="Book Antiqua" w:eastAsia="Book Antiqua" w:hAnsi="Book Antiqua" w:cs="Book Antiqua"/>
          <w:color w:val="000000"/>
        </w:rPr>
        <w:t>Aehling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Krohn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Schmelzle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Splith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Lammert</w:t>
      </w:r>
      <w:proofErr w:type="spellEnd"/>
      <w:r>
        <w:rPr>
          <w:rFonts w:ascii="Book Antiqua" w:eastAsia="Book Antiqua" w:hAnsi="Book Antiqua" w:cs="Book Antiqua"/>
          <w:color w:val="000000"/>
        </w:rPr>
        <w:t xml:space="preserve"> F, Lange CM, </w:t>
      </w:r>
      <w:proofErr w:type="spellStart"/>
      <w:r>
        <w:rPr>
          <w:rFonts w:ascii="Book Antiqua" w:eastAsia="Book Antiqua" w:hAnsi="Book Antiqua" w:cs="Book Antiqua"/>
          <w:color w:val="000000"/>
        </w:rPr>
        <w:t>Sarrazin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Manns</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Haeussinger</w:t>
      </w:r>
      <w:proofErr w:type="spellEnd"/>
      <w:r>
        <w:rPr>
          <w:rFonts w:ascii="Book Antiqua" w:eastAsia="Book Antiqua" w:hAnsi="Book Antiqua" w:cs="Book Antiqua"/>
          <w:color w:val="000000"/>
        </w:rPr>
        <w:t xml:space="preserve"> D, Pfeiffenberger J, Galle PR, Franke A, Berg T. Granulocyte-Colony Stimulating Factor (G-</w:t>
      </w:r>
      <w:proofErr w:type="spellStart"/>
      <w:r>
        <w:rPr>
          <w:rFonts w:ascii="Book Antiqua" w:eastAsia="Book Antiqua" w:hAnsi="Book Antiqua" w:cs="Book Antiqua"/>
          <w:color w:val="000000"/>
        </w:rPr>
        <w:t>Csf</w:t>
      </w:r>
      <w:proofErr w:type="spellEnd"/>
      <w:r>
        <w:rPr>
          <w:rFonts w:ascii="Book Antiqua" w:eastAsia="Book Antiqua" w:hAnsi="Book Antiqua" w:cs="Book Antiqua"/>
          <w:color w:val="000000"/>
        </w:rPr>
        <w:t xml:space="preserve">) to treat acute-on-chronic liver failure (GRAFT Trial): interim analysis of the first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European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w:t>
      </w:r>
      <w:r w:rsidRPr="002F2AFD">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sidRPr="002F2AFD">
        <w:rPr>
          <w:rFonts w:ascii="Book Antiqua" w:eastAsia="Book Antiqua" w:hAnsi="Book Antiqua" w:cs="Book Antiqua"/>
          <w:b/>
          <w:bCs/>
          <w:color w:val="000000"/>
        </w:rPr>
        <w:t>70</w:t>
      </w:r>
      <w:r>
        <w:rPr>
          <w:rFonts w:ascii="Book Antiqua" w:eastAsia="Book Antiqua" w:hAnsi="Book Antiqua" w:cs="Book Antiqua"/>
          <w:color w:val="000000"/>
        </w:rPr>
        <w:t>: 12A-13A</w:t>
      </w:r>
    </w:p>
    <w:p w14:paraId="332A8950" w14:textId="77777777" w:rsidR="00A77B3E" w:rsidRDefault="006D359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Sharma S</w:t>
      </w:r>
      <w:r>
        <w:rPr>
          <w:rFonts w:ascii="Book Antiqua" w:eastAsia="Book Antiqua" w:hAnsi="Book Antiqua" w:cs="Book Antiqua"/>
          <w:color w:val="000000"/>
        </w:rPr>
        <w:t xml:space="preserve">, Lal SB, Sachdeva M, Bhatia A, Varma N. Role of Granulocyte Colony Stimulating Factor on the Short-Term Outcome of Children with Acute on Chronic Liver Failure.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201-210 [PMID: 32405176 DOI: 10.1016/j.jceh.2019.10.001]</w:t>
      </w:r>
    </w:p>
    <w:p w14:paraId="01E28D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B5BD76B" w14:textId="77777777" w:rsidR="00A77B3E" w:rsidRDefault="006D3597">
      <w:pPr>
        <w:spacing w:line="360" w:lineRule="auto"/>
        <w:jc w:val="both"/>
      </w:pPr>
      <w:r>
        <w:rPr>
          <w:rFonts w:ascii="Book Antiqua" w:eastAsia="Book Antiqua" w:hAnsi="Book Antiqua" w:cs="Book Antiqua"/>
          <w:b/>
          <w:color w:val="000000"/>
        </w:rPr>
        <w:lastRenderedPageBreak/>
        <w:t>Footnotes</w:t>
      </w:r>
    </w:p>
    <w:p w14:paraId="3D64153E" w14:textId="77777777" w:rsidR="00A77B3E" w:rsidRDefault="006D35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 for this article.</w:t>
      </w:r>
    </w:p>
    <w:p w14:paraId="438FAF2F" w14:textId="77777777" w:rsidR="00A77B3E" w:rsidRDefault="00A77B3E">
      <w:pPr>
        <w:spacing w:line="360" w:lineRule="auto"/>
        <w:jc w:val="both"/>
      </w:pPr>
    </w:p>
    <w:p w14:paraId="7A4078BC" w14:textId="77777777" w:rsidR="00A77B3E" w:rsidRDefault="006D35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64BC43" w14:textId="77777777" w:rsidR="00A77B3E" w:rsidRDefault="00A77B3E">
      <w:pPr>
        <w:spacing w:line="360" w:lineRule="auto"/>
        <w:jc w:val="both"/>
      </w:pPr>
    </w:p>
    <w:p w14:paraId="31970279" w14:textId="77D94161" w:rsidR="00A77B3E" w:rsidRDefault="006D35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6851A8">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0946B546" w14:textId="77777777" w:rsidR="00A77B3E" w:rsidRDefault="00A77B3E">
      <w:pPr>
        <w:spacing w:line="360" w:lineRule="auto"/>
        <w:jc w:val="both"/>
      </w:pPr>
    </w:p>
    <w:p w14:paraId="78A505AF" w14:textId="77777777" w:rsidR="00A77B3E" w:rsidRDefault="006D35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24, 2020</w:t>
      </w:r>
    </w:p>
    <w:p w14:paraId="6DD800CF" w14:textId="77777777" w:rsidR="00A77B3E" w:rsidRDefault="006D35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2020</w:t>
      </w:r>
    </w:p>
    <w:p w14:paraId="12A3F751" w14:textId="77777777" w:rsidR="00A77B3E" w:rsidRDefault="006D3597">
      <w:pPr>
        <w:spacing w:line="360" w:lineRule="auto"/>
        <w:jc w:val="both"/>
      </w:pPr>
      <w:r>
        <w:rPr>
          <w:rFonts w:ascii="Book Antiqua" w:eastAsia="Book Antiqua" w:hAnsi="Book Antiqua" w:cs="Book Antiqua"/>
          <w:b/>
          <w:color w:val="000000"/>
        </w:rPr>
        <w:t xml:space="preserve">Article in press: </w:t>
      </w:r>
    </w:p>
    <w:p w14:paraId="3753AA7B" w14:textId="77777777" w:rsidR="00A77B3E" w:rsidRDefault="00A77B3E">
      <w:pPr>
        <w:spacing w:line="360" w:lineRule="auto"/>
        <w:jc w:val="both"/>
      </w:pPr>
    </w:p>
    <w:p w14:paraId="1FBFF22C" w14:textId="7DDE4FFB" w:rsidR="00A77B3E" w:rsidRDefault="006D3597">
      <w:pPr>
        <w:spacing w:line="360" w:lineRule="auto"/>
        <w:jc w:val="both"/>
      </w:pPr>
      <w:r>
        <w:rPr>
          <w:rFonts w:ascii="Book Antiqua" w:eastAsia="Book Antiqua" w:hAnsi="Book Antiqua" w:cs="Book Antiqua"/>
          <w:b/>
          <w:color w:val="000000"/>
        </w:rPr>
        <w:t xml:space="preserve">Specialty type: </w:t>
      </w:r>
      <w:r w:rsidR="006851A8" w:rsidRPr="00E700C2">
        <w:rPr>
          <w:rFonts w:ascii="Book Antiqua" w:eastAsia="Microsoft YaHei" w:hAnsi="Book Antiqua" w:cs="SimSun"/>
        </w:rPr>
        <w:t>Cell and tissue engineering</w:t>
      </w:r>
    </w:p>
    <w:p w14:paraId="21BA5262" w14:textId="77777777" w:rsidR="00A77B3E" w:rsidRDefault="006D35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03F74FA0" w14:textId="77777777" w:rsidR="00A77B3E" w:rsidRDefault="006D3597">
      <w:pPr>
        <w:spacing w:line="360" w:lineRule="auto"/>
        <w:jc w:val="both"/>
      </w:pPr>
      <w:r>
        <w:rPr>
          <w:rFonts w:ascii="Book Antiqua" w:eastAsia="Book Antiqua" w:hAnsi="Book Antiqua" w:cs="Book Antiqua"/>
          <w:b/>
          <w:color w:val="000000"/>
        </w:rPr>
        <w:t>Peer-review report’s scientific quality classification</w:t>
      </w:r>
    </w:p>
    <w:p w14:paraId="41B64E52" w14:textId="77777777" w:rsidR="00A77B3E" w:rsidRDefault="006D3597">
      <w:pPr>
        <w:spacing w:line="360" w:lineRule="auto"/>
        <w:jc w:val="both"/>
      </w:pPr>
      <w:r>
        <w:rPr>
          <w:rFonts w:ascii="Book Antiqua" w:eastAsia="Book Antiqua" w:hAnsi="Book Antiqua" w:cs="Book Antiqua"/>
          <w:color w:val="000000"/>
        </w:rPr>
        <w:t>Grade A (Excellent): 0</w:t>
      </w:r>
    </w:p>
    <w:p w14:paraId="09E7652D" w14:textId="77777777" w:rsidR="00A77B3E" w:rsidRDefault="006D3597">
      <w:pPr>
        <w:spacing w:line="360" w:lineRule="auto"/>
        <w:jc w:val="both"/>
      </w:pPr>
      <w:r>
        <w:rPr>
          <w:rFonts w:ascii="Book Antiqua" w:eastAsia="Book Antiqua" w:hAnsi="Book Antiqua" w:cs="Book Antiqua"/>
          <w:color w:val="000000"/>
        </w:rPr>
        <w:t>Grade B (Very good): B</w:t>
      </w:r>
    </w:p>
    <w:p w14:paraId="0D212A78" w14:textId="77777777" w:rsidR="00A77B3E" w:rsidRDefault="006D3597">
      <w:pPr>
        <w:spacing w:line="360" w:lineRule="auto"/>
        <w:jc w:val="both"/>
      </w:pPr>
      <w:r>
        <w:rPr>
          <w:rFonts w:ascii="Book Antiqua" w:eastAsia="Book Antiqua" w:hAnsi="Book Antiqua" w:cs="Book Antiqua"/>
          <w:color w:val="000000"/>
        </w:rPr>
        <w:t>Grade C (Good): C</w:t>
      </w:r>
    </w:p>
    <w:p w14:paraId="4C66FD22" w14:textId="77777777" w:rsidR="00A77B3E" w:rsidRDefault="006D3597">
      <w:pPr>
        <w:spacing w:line="360" w:lineRule="auto"/>
        <w:jc w:val="both"/>
      </w:pPr>
      <w:r>
        <w:rPr>
          <w:rFonts w:ascii="Book Antiqua" w:eastAsia="Book Antiqua" w:hAnsi="Book Antiqua" w:cs="Book Antiqua"/>
          <w:color w:val="000000"/>
        </w:rPr>
        <w:t>Grade D (Fair): 0</w:t>
      </w:r>
    </w:p>
    <w:p w14:paraId="2609DC64" w14:textId="77777777" w:rsidR="00A77B3E" w:rsidRDefault="006D3597">
      <w:pPr>
        <w:spacing w:line="360" w:lineRule="auto"/>
        <w:jc w:val="both"/>
      </w:pPr>
      <w:r>
        <w:rPr>
          <w:rFonts w:ascii="Book Antiqua" w:eastAsia="Book Antiqua" w:hAnsi="Book Antiqua" w:cs="Book Antiqua"/>
          <w:color w:val="000000"/>
        </w:rPr>
        <w:t>Grade E (Poor): 0</w:t>
      </w:r>
    </w:p>
    <w:p w14:paraId="6358B667" w14:textId="77777777" w:rsidR="00A77B3E" w:rsidRDefault="00A77B3E">
      <w:pPr>
        <w:spacing w:line="360" w:lineRule="auto"/>
        <w:jc w:val="both"/>
      </w:pPr>
    </w:p>
    <w:p w14:paraId="5D5A7198" w14:textId="77777777" w:rsidR="00A77B3E" w:rsidRDefault="006D3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Ferrarese A, 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D67E63A" w14:textId="77777777" w:rsidR="00D045D7" w:rsidRDefault="00D045D7">
      <w:pPr>
        <w:spacing w:line="360" w:lineRule="auto"/>
        <w:jc w:val="both"/>
        <w:sectPr w:rsidR="00D045D7">
          <w:pgSz w:w="12240" w:h="15840"/>
          <w:pgMar w:top="1440" w:right="1440" w:bottom="1440" w:left="1440" w:header="720" w:footer="720" w:gutter="0"/>
          <w:cols w:space="720"/>
          <w:docGrid w:linePitch="360"/>
        </w:sectPr>
      </w:pPr>
    </w:p>
    <w:p w14:paraId="71C4CECC" w14:textId="549A70F5" w:rsidR="00A77B3E" w:rsidRDefault="006D3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3EC5A05" w14:textId="55BBBD7E" w:rsidR="00D20DB7" w:rsidRDefault="00D20DB7">
      <w:pPr>
        <w:spacing w:line="360" w:lineRule="auto"/>
        <w:jc w:val="both"/>
      </w:pPr>
      <w:r>
        <w:rPr>
          <w:noProof/>
          <w:lang w:eastAsia="zh-CN"/>
        </w:rPr>
        <w:drawing>
          <wp:inline distT="0" distB="0" distL="0" distR="0" wp14:anchorId="1E61752D" wp14:editId="436A088C">
            <wp:extent cx="5943600" cy="3387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87725"/>
                    </a:xfrm>
                    <a:prstGeom prst="rect">
                      <a:avLst/>
                    </a:prstGeom>
                  </pic:spPr>
                </pic:pic>
              </a:graphicData>
            </a:graphic>
          </wp:inline>
        </w:drawing>
      </w:r>
    </w:p>
    <w:p w14:paraId="263E6E9C" w14:textId="20800517" w:rsidR="000D0FB7" w:rsidRDefault="006D3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0D0FB7">
        <w:rPr>
          <w:rFonts w:ascii="Book Antiqua" w:eastAsia="Book Antiqua" w:hAnsi="Book Antiqua" w:cs="Book Antiqua"/>
          <w:b/>
          <w:bCs/>
          <w:color w:val="000000"/>
        </w:rPr>
        <w:t xml:space="preserve">Processes associated with liver regeneration in acute on chronic liver failure. </w:t>
      </w:r>
      <w:r>
        <w:rPr>
          <w:rFonts w:ascii="Book Antiqua" w:eastAsia="Book Antiqua" w:hAnsi="Book Antiqua" w:cs="Book Antiqua"/>
          <w:color w:val="000000"/>
        </w:rPr>
        <w:t>With acute injury, multiple cellular components in the blood and bone marrow as well as within the liver microenvironment are activated. These then secrete cytokines and chemokines that will drive systemic inflammation towards organ failure or help mitigate injury, leading to hepatocyte replication and liver regeneration. These processes are dependent on the host, environment and intensity of acute insult. Further, various growth factors secreted from the tissue and bone marrow compartments in the presence of cytokines activate signaling pathways that are beneficial in promoting mitogenesis in the liver. This activates and increases hepatic progenitor cells that replicate and proliferate to contain the liver injury and replace dysfunctional liver mass. IL</w:t>
      </w:r>
      <w:r w:rsidR="000D0FB7">
        <w:rPr>
          <w:rFonts w:ascii="Book Antiqua" w:eastAsia="Book Antiqua" w:hAnsi="Book Antiqua" w:cs="Book Antiqua"/>
          <w:color w:val="000000"/>
        </w:rPr>
        <w:t>: I</w:t>
      </w:r>
      <w:r>
        <w:rPr>
          <w:rFonts w:ascii="Book Antiqua" w:eastAsia="Book Antiqua" w:hAnsi="Book Antiqua" w:cs="Book Antiqua"/>
          <w:color w:val="000000"/>
        </w:rPr>
        <w:t>nterleukin</w:t>
      </w:r>
      <w:r w:rsidR="000D0FB7">
        <w:rPr>
          <w:rFonts w:ascii="Book Antiqua" w:eastAsia="Book Antiqua" w:hAnsi="Book Antiqua" w:cs="Book Antiqua"/>
          <w:color w:val="000000"/>
        </w:rPr>
        <w:t>;</w:t>
      </w:r>
      <w:r>
        <w:rPr>
          <w:rFonts w:ascii="Book Antiqua" w:eastAsia="Book Antiqua" w:hAnsi="Book Antiqua" w:cs="Book Antiqua"/>
          <w:color w:val="000000"/>
        </w:rPr>
        <w:t xml:space="preserve"> TNF</w:t>
      </w:r>
      <w:r w:rsidR="000D0FB7">
        <w:rPr>
          <w:rFonts w:ascii="Book Antiqua" w:eastAsia="Book Antiqua" w:hAnsi="Book Antiqua" w:cs="Book Antiqua"/>
          <w:color w:val="000000"/>
        </w:rPr>
        <w:t>: T</w:t>
      </w:r>
      <w:r>
        <w:rPr>
          <w:rFonts w:ascii="Book Antiqua" w:eastAsia="Book Antiqua" w:hAnsi="Book Antiqua" w:cs="Book Antiqua"/>
          <w:color w:val="000000"/>
        </w:rPr>
        <w:t>umor necrosis factor</w:t>
      </w:r>
      <w:r w:rsidR="000D0FB7">
        <w:rPr>
          <w:rFonts w:ascii="Book Antiqua" w:eastAsia="Book Antiqua" w:hAnsi="Book Antiqua" w:cs="Book Antiqua"/>
          <w:color w:val="000000"/>
        </w:rPr>
        <w:t>;</w:t>
      </w:r>
      <w:r>
        <w:rPr>
          <w:rFonts w:ascii="Book Antiqua" w:eastAsia="Book Antiqua" w:hAnsi="Book Antiqua" w:cs="Book Antiqua"/>
          <w:color w:val="000000"/>
        </w:rPr>
        <w:t xml:space="preserve"> C5a</w:t>
      </w:r>
      <w:r w:rsidR="000D0FB7">
        <w:rPr>
          <w:rFonts w:ascii="Book Antiqua" w:eastAsia="Book Antiqua" w:hAnsi="Book Antiqua" w:cs="Book Antiqua"/>
          <w:color w:val="000000"/>
        </w:rPr>
        <w:t>: C</w:t>
      </w:r>
      <w:r>
        <w:rPr>
          <w:rFonts w:ascii="Book Antiqua" w:eastAsia="Book Antiqua" w:hAnsi="Book Antiqua" w:cs="Book Antiqua"/>
          <w:color w:val="000000"/>
        </w:rPr>
        <w:t>omplement 5a</w:t>
      </w:r>
      <w:r w:rsidR="000D0FB7">
        <w:rPr>
          <w:rFonts w:ascii="Book Antiqua" w:eastAsia="Book Antiqua" w:hAnsi="Book Antiqua" w:cs="Book Antiqua"/>
          <w:color w:val="000000"/>
        </w:rPr>
        <w:t>;</w:t>
      </w:r>
      <w:r>
        <w:rPr>
          <w:rFonts w:ascii="Book Antiqua" w:eastAsia="Book Antiqua" w:hAnsi="Book Antiqua" w:cs="Book Antiqua"/>
          <w:color w:val="000000"/>
        </w:rPr>
        <w:t xml:space="preserve"> G-CSF</w:t>
      </w:r>
      <w:r w:rsidR="000D0FB7">
        <w:rPr>
          <w:rFonts w:ascii="Book Antiqua" w:eastAsia="Book Antiqua" w:hAnsi="Book Antiqua" w:cs="Book Antiqua"/>
          <w:color w:val="000000"/>
        </w:rPr>
        <w:t>: G</w:t>
      </w:r>
      <w:r>
        <w:rPr>
          <w:rFonts w:ascii="Book Antiqua" w:eastAsia="Book Antiqua" w:hAnsi="Book Antiqua" w:cs="Book Antiqua"/>
          <w:color w:val="000000"/>
        </w:rPr>
        <w:t>ranulocyte-colony stimulating factor</w:t>
      </w:r>
      <w:r w:rsidR="000D0FB7">
        <w:rPr>
          <w:rFonts w:ascii="Book Antiqua" w:eastAsia="Book Antiqua" w:hAnsi="Book Antiqua" w:cs="Book Antiqua"/>
          <w:color w:val="000000"/>
        </w:rPr>
        <w:t>;</w:t>
      </w:r>
      <w:r>
        <w:rPr>
          <w:rFonts w:ascii="Book Antiqua" w:eastAsia="Book Antiqua" w:hAnsi="Book Antiqua" w:cs="Book Antiqua"/>
          <w:color w:val="000000"/>
        </w:rPr>
        <w:t xml:space="preserve"> ICAM</w:t>
      </w:r>
      <w:r w:rsidR="000D0FB7">
        <w:rPr>
          <w:rFonts w:ascii="Book Antiqua" w:eastAsia="Book Antiqua" w:hAnsi="Book Antiqua" w:cs="Book Antiqua"/>
          <w:color w:val="000000"/>
        </w:rPr>
        <w:t>: I</w:t>
      </w:r>
      <w:r>
        <w:rPr>
          <w:rFonts w:ascii="Book Antiqua" w:eastAsia="Book Antiqua" w:hAnsi="Book Antiqua" w:cs="Book Antiqua"/>
          <w:color w:val="000000"/>
        </w:rPr>
        <w:t>ntracellular adhesion molecule</w:t>
      </w:r>
      <w:r w:rsidR="000D0FB7">
        <w:rPr>
          <w:rFonts w:ascii="Book Antiqua" w:eastAsia="Book Antiqua" w:hAnsi="Book Antiqua" w:cs="Book Antiqua"/>
          <w:color w:val="000000"/>
        </w:rPr>
        <w:t>;</w:t>
      </w:r>
      <w:r>
        <w:rPr>
          <w:rFonts w:ascii="Book Antiqua" w:eastAsia="Book Antiqua" w:hAnsi="Book Antiqua" w:cs="Book Antiqua"/>
          <w:color w:val="000000"/>
        </w:rPr>
        <w:t xml:space="preserve"> TGF</w:t>
      </w:r>
      <w:r w:rsidR="000D0FB7">
        <w:rPr>
          <w:rFonts w:ascii="Book Antiqua" w:eastAsia="Book Antiqua" w:hAnsi="Book Antiqua" w:cs="Book Antiqua"/>
          <w:color w:val="000000"/>
        </w:rPr>
        <w:t>: T</w:t>
      </w:r>
      <w:r>
        <w:rPr>
          <w:rFonts w:ascii="Book Antiqua" w:eastAsia="Book Antiqua" w:hAnsi="Book Antiqua" w:cs="Book Antiqua"/>
          <w:color w:val="000000"/>
        </w:rPr>
        <w:t>ransforming growth factor</w:t>
      </w:r>
      <w:r w:rsidR="000D0FB7">
        <w:rPr>
          <w:rFonts w:ascii="Book Antiqua" w:eastAsia="Book Antiqua" w:hAnsi="Book Antiqua" w:cs="Book Antiqua"/>
          <w:color w:val="000000"/>
        </w:rPr>
        <w:t>;</w:t>
      </w:r>
      <w:r>
        <w:rPr>
          <w:rFonts w:ascii="Book Antiqua" w:eastAsia="Book Antiqua" w:hAnsi="Book Antiqua" w:cs="Book Antiqua"/>
          <w:color w:val="000000"/>
        </w:rPr>
        <w:t xml:space="preserve"> STAT</w:t>
      </w:r>
      <w:r w:rsidR="000D0FB7">
        <w:rPr>
          <w:rFonts w:ascii="Book Antiqua" w:eastAsia="Book Antiqua" w:hAnsi="Book Antiqua" w:cs="Book Antiqua"/>
          <w:color w:val="000000"/>
        </w:rPr>
        <w:t>:</w:t>
      </w:r>
      <w:r>
        <w:rPr>
          <w:rFonts w:ascii="Book Antiqua" w:eastAsia="Book Antiqua" w:hAnsi="Book Antiqua" w:cs="Book Antiqua"/>
          <w:color w:val="000000"/>
        </w:rPr>
        <w:t xml:space="preserve"> </w:t>
      </w:r>
      <w:r w:rsidR="000D0FB7">
        <w:rPr>
          <w:rFonts w:ascii="Book Antiqua" w:eastAsia="Book Antiqua" w:hAnsi="Book Antiqua" w:cs="Book Antiqua"/>
          <w:color w:val="000000"/>
        </w:rPr>
        <w:t>S</w:t>
      </w:r>
      <w:r>
        <w:rPr>
          <w:rFonts w:ascii="Book Antiqua" w:eastAsia="Book Antiqua" w:hAnsi="Book Antiqua" w:cs="Book Antiqua"/>
          <w:color w:val="000000"/>
        </w:rPr>
        <w:t>ignal transducer and activator of transcription</w:t>
      </w:r>
      <w:r w:rsidR="000D0FB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sidR="000D0FB7">
        <w:rPr>
          <w:rFonts w:ascii="Book Antiqua" w:eastAsia="Book Antiqua" w:hAnsi="Book Antiqua" w:cs="Book Antiqua"/>
          <w:color w:val="000000"/>
        </w:rPr>
        <w:t>:</w:t>
      </w:r>
      <w:r>
        <w:rPr>
          <w:rFonts w:ascii="Book Antiqua" w:eastAsia="Book Antiqua" w:hAnsi="Book Antiqua" w:cs="Book Antiqua"/>
          <w:color w:val="000000"/>
        </w:rPr>
        <w:t xml:space="preserve"> Wingless and Int-1</w:t>
      </w:r>
      <w:r w:rsidR="000D0FB7">
        <w:rPr>
          <w:rFonts w:ascii="Book Antiqua" w:eastAsia="Book Antiqua" w:hAnsi="Book Antiqua" w:cs="Book Antiqua"/>
          <w:color w:val="000000"/>
        </w:rPr>
        <w:t>;</w:t>
      </w:r>
      <w:r>
        <w:rPr>
          <w:rFonts w:ascii="Book Antiqua" w:eastAsia="Book Antiqua" w:hAnsi="Book Antiqua" w:cs="Book Antiqua"/>
          <w:color w:val="000000"/>
        </w:rPr>
        <w:t xml:space="preserve"> BCL</w:t>
      </w:r>
      <w:r w:rsidR="000D0FB7">
        <w:rPr>
          <w:rFonts w:ascii="Book Antiqua" w:eastAsia="Book Antiqua" w:hAnsi="Book Antiqua" w:cs="Book Antiqua"/>
          <w:color w:val="000000"/>
        </w:rPr>
        <w:t xml:space="preserve">: </w:t>
      </w:r>
      <w:r>
        <w:rPr>
          <w:rFonts w:ascii="Book Antiqua" w:eastAsia="Book Antiqua" w:hAnsi="Book Antiqua" w:cs="Book Antiqua"/>
          <w:color w:val="000000"/>
        </w:rPr>
        <w:t>B cell lymphoma</w:t>
      </w:r>
      <w:r w:rsidR="000D0FB7">
        <w:rPr>
          <w:rFonts w:ascii="Book Antiqua" w:eastAsia="Book Antiqua" w:hAnsi="Book Antiqua" w:cs="Book Antiqua"/>
          <w:color w:val="000000"/>
        </w:rPr>
        <w:t>;</w:t>
      </w:r>
      <w:r>
        <w:rPr>
          <w:rFonts w:ascii="Book Antiqua" w:eastAsia="Book Antiqua" w:hAnsi="Book Antiqua" w:cs="Book Antiqua"/>
          <w:color w:val="000000"/>
        </w:rPr>
        <w:t xml:space="preserve"> PI3K/Akt</w:t>
      </w:r>
      <w:r w:rsidR="000D0FB7">
        <w:rPr>
          <w:rFonts w:ascii="Book Antiqua" w:eastAsia="Book Antiqua" w:hAnsi="Book Antiqua" w:cs="Book Antiqua"/>
          <w:color w:val="000000"/>
        </w:rPr>
        <w:t>: P</w:t>
      </w:r>
      <w:r>
        <w:rPr>
          <w:rFonts w:ascii="Book Antiqua" w:eastAsia="Book Antiqua" w:hAnsi="Book Antiqua" w:cs="Book Antiqua"/>
          <w:color w:val="000000"/>
        </w:rPr>
        <w:t>hosphatidylinositol 3-kinase</w:t>
      </w:r>
      <w:r w:rsidR="000D0FB7">
        <w:rPr>
          <w:rFonts w:ascii="Book Antiqua" w:eastAsia="Book Antiqua" w:hAnsi="Book Antiqua" w:cs="Book Antiqua"/>
          <w:color w:val="000000"/>
        </w:rPr>
        <w:t>/protein kin</w:t>
      </w:r>
      <w:r>
        <w:rPr>
          <w:rFonts w:ascii="Book Antiqua" w:eastAsia="Book Antiqua" w:hAnsi="Book Antiqua" w:cs="Book Antiqua"/>
          <w:color w:val="000000"/>
        </w:rPr>
        <w:t>ase B</w:t>
      </w:r>
      <w:r w:rsidR="000D0FB7">
        <w:rPr>
          <w:rFonts w:ascii="Book Antiqua" w:eastAsia="Book Antiqua" w:hAnsi="Book Antiqua" w:cs="Book Antiqua"/>
          <w:color w:val="000000"/>
        </w:rPr>
        <w:t>;</w:t>
      </w:r>
      <w:r>
        <w:rPr>
          <w:rFonts w:ascii="Book Antiqua" w:eastAsia="Book Antiqua" w:hAnsi="Book Antiqua" w:cs="Book Antiqua"/>
          <w:color w:val="000000"/>
        </w:rPr>
        <w:t xml:space="preserve"> TWEAK</w:t>
      </w:r>
      <w:r w:rsidR="000D0FB7">
        <w:rPr>
          <w:rFonts w:ascii="Book Antiqua" w:eastAsia="Book Antiqua" w:hAnsi="Book Antiqua" w:cs="Book Antiqua"/>
          <w:color w:val="000000"/>
        </w:rPr>
        <w:t>: Tumor necrosis factor</w:t>
      </w:r>
      <w:r>
        <w:rPr>
          <w:rFonts w:ascii="Book Antiqua" w:eastAsia="Book Antiqua" w:hAnsi="Book Antiqua" w:cs="Book Antiqua"/>
          <w:color w:val="000000"/>
        </w:rPr>
        <w:t>-related weak inducer of apoptosis</w:t>
      </w:r>
      <w:r w:rsidR="000D0FB7">
        <w:rPr>
          <w:rFonts w:ascii="Book Antiqua" w:eastAsia="Book Antiqua" w:hAnsi="Book Antiqua" w:cs="Book Antiqua"/>
          <w:color w:val="000000"/>
        </w:rPr>
        <w:t>.</w:t>
      </w:r>
    </w:p>
    <w:p w14:paraId="31623B0C" w14:textId="26173C5E" w:rsidR="00A77B3E" w:rsidRDefault="000D0FB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473A56F" wp14:editId="3D481F64">
            <wp:extent cx="5943600" cy="3767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67455"/>
                    </a:xfrm>
                    <a:prstGeom prst="rect">
                      <a:avLst/>
                    </a:prstGeom>
                  </pic:spPr>
                </pic:pic>
              </a:graphicData>
            </a:graphic>
          </wp:inline>
        </w:drawing>
      </w:r>
    </w:p>
    <w:p w14:paraId="74BFAD0E" w14:textId="32FE32BD" w:rsidR="000138EE" w:rsidRDefault="006D3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0D0FB7">
        <w:rPr>
          <w:rFonts w:ascii="Book Antiqua" w:eastAsia="Book Antiqua" w:hAnsi="Book Antiqua" w:cs="Book Antiqua"/>
          <w:b/>
          <w:bCs/>
          <w:color w:val="000000"/>
        </w:rPr>
        <w:t xml:space="preserve"> Contemporary update on role of stem cell or growth factor therapy for patients with chronic and </w:t>
      </w:r>
      <w:bookmarkStart w:id="1" w:name="_Hlk51250833"/>
      <w:r w:rsidRPr="000D0FB7">
        <w:rPr>
          <w:rFonts w:ascii="Book Antiqua" w:eastAsia="Book Antiqua" w:hAnsi="Book Antiqua" w:cs="Book Antiqua"/>
          <w:b/>
          <w:bCs/>
          <w:color w:val="000000"/>
        </w:rPr>
        <w:t>acute</w:t>
      </w:r>
      <w:r w:rsidR="000D0FB7" w:rsidRPr="000D0FB7">
        <w:rPr>
          <w:rFonts w:ascii="Book Antiqua" w:eastAsia="Book Antiqua" w:hAnsi="Book Antiqua" w:cs="Book Antiqua"/>
          <w:b/>
          <w:bCs/>
          <w:color w:val="000000"/>
        </w:rPr>
        <w:t>-</w:t>
      </w:r>
      <w:r w:rsidRPr="000D0FB7">
        <w:rPr>
          <w:rFonts w:ascii="Book Antiqua" w:eastAsia="Book Antiqua" w:hAnsi="Book Antiqua" w:cs="Book Antiqua"/>
          <w:b/>
          <w:bCs/>
          <w:color w:val="000000"/>
        </w:rPr>
        <w:t>on</w:t>
      </w:r>
      <w:r w:rsidR="000D0FB7" w:rsidRPr="000D0FB7">
        <w:rPr>
          <w:rFonts w:ascii="Book Antiqua" w:eastAsia="Book Antiqua" w:hAnsi="Book Antiqua" w:cs="Book Antiqua"/>
          <w:b/>
          <w:bCs/>
          <w:color w:val="000000"/>
        </w:rPr>
        <w:t>-</w:t>
      </w:r>
      <w:r w:rsidRPr="000D0FB7">
        <w:rPr>
          <w:rFonts w:ascii="Book Antiqua" w:eastAsia="Book Antiqua" w:hAnsi="Book Antiqua" w:cs="Book Antiqua"/>
          <w:b/>
          <w:bCs/>
          <w:color w:val="000000"/>
        </w:rPr>
        <w:t>chronic liver failure</w:t>
      </w:r>
      <w:bookmarkEnd w:id="1"/>
      <w:r w:rsidR="000D0FB7">
        <w:rPr>
          <w:rFonts w:ascii="Book Antiqua" w:eastAsia="Book Antiqua" w:hAnsi="Book Antiqua" w:cs="Book Antiqua"/>
          <w:b/>
          <w:bCs/>
          <w:color w:val="000000"/>
        </w:rPr>
        <w:t>.</w:t>
      </w:r>
      <w:r w:rsidR="00B11C7A">
        <w:rPr>
          <w:rFonts w:ascii="Book Antiqua" w:eastAsia="Book Antiqua" w:hAnsi="Book Antiqua" w:cs="Book Antiqua"/>
          <w:color w:val="000000"/>
        </w:rPr>
        <w:t xml:space="preserve"> </w:t>
      </w:r>
      <w:r>
        <w:rPr>
          <w:rFonts w:ascii="Book Antiqua" w:eastAsia="Book Antiqua" w:hAnsi="Book Antiqua" w:cs="Book Antiqua"/>
          <w:color w:val="000000"/>
        </w:rPr>
        <w:t>MELD</w:t>
      </w:r>
      <w:r w:rsidR="000D0FB7">
        <w:rPr>
          <w:rFonts w:ascii="Book Antiqua" w:eastAsia="Book Antiqua" w:hAnsi="Book Antiqua" w:cs="Book Antiqua"/>
          <w:color w:val="000000"/>
        </w:rPr>
        <w:t>: M</w:t>
      </w:r>
      <w:r>
        <w:rPr>
          <w:rFonts w:ascii="Book Antiqua" w:eastAsia="Book Antiqua" w:hAnsi="Book Antiqua" w:cs="Book Antiqua"/>
          <w:color w:val="000000"/>
        </w:rPr>
        <w:t>odel for end stage liver disease</w:t>
      </w:r>
      <w:r w:rsidR="000D0FB7">
        <w:rPr>
          <w:rFonts w:ascii="Book Antiqua" w:eastAsia="Book Antiqua" w:hAnsi="Book Antiqua" w:cs="Book Antiqua"/>
          <w:color w:val="000000"/>
        </w:rPr>
        <w:t>;</w:t>
      </w:r>
      <w:r>
        <w:rPr>
          <w:rFonts w:ascii="Book Antiqua" w:eastAsia="Book Antiqua" w:hAnsi="Book Antiqua" w:cs="Book Antiqua"/>
          <w:color w:val="000000"/>
        </w:rPr>
        <w:t xml:space="preserve"> G-CSF</w:t>
      </w:r>
      <w:r w:rsidR="000D0FB7">
        <w:rPr>
          <w:rFonts w:ascii="Book Antiqua" w:eastAsia="Book Antiqua" w:hAnsi="Book Antiqua" w:cs="Book Antiqua"/>
          <w:color w:val="000000"/>
        </w:rPr>
        <w:t>: G</w:t>
      </w:r>
      <w:r>
        <w:rPr>
          <w:rFonts w:ascii="Book Antiqua" w:eastAsia="Book Antiqua" w:hAnsi="Book Antiqua" w:cs="Book Antiqua"/>
          <w:color w:val="000000"/>
        </w:rPr>
        <w:t>ranulocyte-colony stimulating factor</w:t>
      </w:r>
      <w:r w:rsidR="000D0FB7">
        <w:rPr>
          <w:rFonts w:ascii="Book Antiqua" w:eastAsia="Book Antiqua" w:hAnsi="Book Antiqua" w:cs="Book Antiqua"/>
          <w:color w:val="000000"/>
        </w:rPr>
        <w:t>; ACLF: A</w:t>
      </w:r>
      <w:r w:rsidR="000D0FB7" w:rsidRPr="000D0FB7">
        <w:rPr>
          <w:rFonts w:ascii="Book Antiqua" w:eastAsia="Book Antiqua" w:hAnsi="Book Antiqua" w:cs="Book Antiqua"/>
          <w:color w:val="000000"/>
        </w:rPr>
        <w:t>cute-on-chronic liver failure</w:t>
      </w:r>
      <w:r w:rsidR="000D0FB7">
        <w:rPr>
          <w:rFonts w:ascii="Book Antiqua" w:eastAsia="Book Antiqua" w:hAnsi="Book Antiqua" w:cs="Book Antiqua"/>
          <w:color w:val="000000"/>
        </w:rPr>
        <w:t>.</w:t>
      </w:r>
    </w:p>
    <w:p w14:paraId="43775C32" w14:textId="76820326" w:rsidR="00DD0B6C" w:rsidRDefault="00DD0B6C">
      <w:pPr>
        <w:spacing w:line="360" w:lineRule="auto"/>
        <w:jc w:val="both"/>
        <w:rPr>
          <w:rFonts w:ascii="Book Antiqua" w:eastAsia="Book Antiqua" w:hAnsi="Book Antiqua" w:cs="Book Antiqua"/>
          <w:color w:val="000000"/>
        </w:rPr>
        <w:sectPr w:rsidR="00DD0B6C">
          <w:pgSz w:w="12240" w:h="15840"/>
          <w:pgMar w:top="1440" w:right="1440" w:bottom="1440" w:left="1440" w:header="720" w:footer="720" w:gutter="0"/>
          <w:cols w:space="720"/>
          <w:docGrid w:linePitch="360"/>
        </w:sectPr>
      </w:pPr>
    </w:p>
    <w:p w14:paraId="44260BF2" w14:textId="3F73D2E0" w:rsidR="00A77B3E" w:rsidRDefault="000138EE">
      <w:pPr>
        <w:spacing w:line="360" w:lineRule="auto"/>
        <w:jc w:val="both"/>
        <w:rPr>
          <w:rFonts w:ascii="Book Antiqua" w:hAnsi="Book Antiqua"/>
          <w:b/>
          <w:bCs/>
        </w:rPr>
      </w:pPr>
      <w:r w:rsidRPr="000138EE">
        <w:rPr>
          <w:rFonts w:ascii="Book Antiqua" w:hAnsi="Book Antiqua"/>
          <w:b/>
          <w:bCs/>
        </w:rPr>
        <w:lastRenderedPageBreak/>
        <w:t>Table 1 Summary and salient features of clinical studies on acute on chronic liver failure utilizing stem cell therapy and/or growth factor therapy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752"/>
        <w:gridCol w:w="1841"/>
        <w:gridCol w:w="2512"/>
        <w:gridCol w:w="2474"/>
        <w:gridCol w:w="2635"/>
      </w:tblGrid>
      <w:tr w:rsidR="000138EE" w:rsidRPr="000138EE" w14:paraId="4F89AE38" w14:textId="77777777" w:rsidTr="00735E24">
        <w:tc>
          <w:tcPr>
            <w:tcW w:w="1962" w:type="dxa"/>
            <w:tcBorders>
              <w:top w:val="single" w:sz="4" w:space="0" w:color="auto"/>
              <w:bottom w:val="single" w:sz="4" w:space="0" w:color="auto"/>
            </w:tcBorders>
          </w:tcPr>
          <w:p w14:paraId="7C1613EB" w14:textId="0D6383CA" w:rsidR="000138EE" w:rsidRPr="000138EE" w:rsidRDefault="00873FC8" w:rsidP="00873FC8">
            <w:pPr>
              <w:spacing w:line="360" w:lineRule="auto"/>
              <w:jc w:val="both"/>
              <w:rPr>
                <w:rFonts w:ascii="Book Antiqua" w:hAnsi="Book Antiqua"/>
                <w:b/>
                <w:bCs/>
              </w:rPr>
            </w:pPr>
            <w:r>
              <w:rPr>
                <w:rFonts w:ascii="Book Antiqua" w:hAnsi="Book Antiqua"/>
                <w:b/>
                <w:bCs/>
              </w:rPr>
              <w:t>Ref.</w:t>
            </w:r>
          </w:p>
        </w:tc>
        <w:tc>
          <w:tcPr>
            <w:tcW w:w="1752" w:type="dxa"/>
            <w:tcBorders>
              <w:top w:val="single" w:sz="4" w:space="0" w:color="auto"/>
              <w:bottom w:val="single" w:sz="4" w:space="0" w:color="auto"/>
            </w:tcBorders>
          </w:tcPr>
          <w:p w14:paraId="7D5578FB" w14:textId="23912FD9" w:rsidR="000138EE" w:rsidRPr="000138EE" w:rsidRDefault="000138EE" w:rsidP="00873FC8">
            <w:pPr>
              <w:spacing w:line="360" w:lineRule="auto"/>
              <w:jc w:val="both"/>
              <w:rPr>
                <w:rFonts w:ascii="Book Antiqua" w:hAnsi="Book Antiqua"/>
                <w:b/>
                <w:bCs/>
              </w:rPr>
            </w:pPr>
            <w:r w:rsidRPr="000138EE">
              <w:rPr>
                <w:rFonts w:ascii="Book Antiqua" w:hAnsi="Book Antiqua"/>
                <w:b/>
                <w:bCs/>
              </w:rPr>
              <w:t>Country</w:t>
            </w:r>
          </w:p>
        </w:tc>
        <w:tc>
          <w:tcPr>
            <w:tcW w:w="1841" w:type="dxa"/>
            <w:tcBorders>
              <w:top w:val="single" w:sz="4" w:space="0" w:color="auto"/>
              <w:bottom w:val="single" w:sz="4" w:space="0" w:color="auto"/>
            </w:tcBorders>
          </w:tcPr>
          <w:p w14:paraId="76070F0F" w14:textId="672E7BEF" w:rsidR="000138EE" w:rsidRPr="000138EE" w:rsidRDefault="000138EE" w:rsidP="00873FC8">
            <w:pPr>
              <w:spacing w:line="360" w:lineRule="auto"/>
              <w:jc w:val="both"/>
              <w:rPr>
                <w:rFonts w:ascii="Book Antiqua" w:hAnsi="Book Antiqua"/>
                <w:b/>
                <w:bCs/>
              </w:rPr>
            </w:pPr>
            <w:proofErr w:type="spellStart"/>
            <w:r w:rsidRPr="000138EE">
              <w:rPr>
                <w:rFonts w:ascii="Book Antiqua" w:hAnsi="Book Antiqua"/>
                <w:b/>
                <w:bCs/>
              </w:rPr>
              <w:t>Etiology</w:t>
            </w:r>
            <w:proofErr w:type="spellEnd"/>
            <w:r w:rsidRPr="000138EE">
              <w:rPr>
                <w:rFonts w:ascii="Book Antiqua" w:hAnsi="Book Antiqua"/>
                <w:b/>
                <w:bCs/>
              </w:rPr>
              <w:t xml:space="preserve"> of </w:t>
            </w:r>
            <w:proofErr w:type="spellStart"/>
            <w:r w:rsidRPr="000138EE">
              <w:rPr>
                <w:rFonts w:ascii="Book Antiqua" w:hAnsi="Book Antiqua"/>
                <w:b/>
                <w:bCs/>
              </w:rPr>
              <w:t>aclf</w:t>
            </w:r>
            <w:proofErr w:type="spellEnd"/>
          </w:p>
        </w:tc>
        <w:tc>
          <w:tcPr>
            <w:tcW w:w="2512" w:type="dxa"/>
            <w:tcBorders>
              <w:top w:val="single" w:sz="4" w:space="0" w:color="auto"/>
              <w:bottom w:val="single" w:sz="4" w:space="0" w:color="auto"/>
            </w:tcBorders>
          </w:tcPr>
          <w:p w14:paraId="07D9B9D9" w14:textId="0FA8DBCC" w:rsidR="000138EE" w:rsidRPr="000138EE" w:rsidRDefault="000138EE" w:rsidP="00873FC8">
            <w:pPr>
              <w:spacing w:line="360" w:lineRule="auto"/>
              <w:jc w:val="both"/>
              <w:rPr>
                <w:rFonts w:ascii="Book Antiqua" w:hAnsi="Book Antiqua"/>
                <w:b/>
                <w:bCs/>
              </w:rPr>
            </w:pPr>
            <w:r w:rsidRPr="000138EE">
              <w:rPr>
                <w:rFonts w:ascii="Book Antiqua" w:hAnsi="Book Antiqua"/>
                <w:b/>
                <w:bCs/>
              </w:rPr>
              <w:t>Type of study</w:t>
            </w:r>
          </w:p>
        </w:tc>
        <w:tc>
          <w:tcPr>
            <w:tcW w:w="2474" w:type="dxa"/>
            <w:tcBorders>
              <w:top w:val="single" w:sz="4" w:space="0" w:color="auto"/>
              <w:bottom w:val="single" w:sz="4" w:space="0" w:color="auto"/>
            </w:tcBorders>
          </w:tcPr>
          <w:p w14:paraId="46BB7600" w14:textId="3F485C94" w:rsidR="000138EE" w:rsidRPr="000138EE" w:rsidRDefault="000138EE" w:rsidP="00873FC8">
            <w:pPr>
              <w:spacing w:line="360" w:lineRule="auto"/>
              <w:jc w:val="both"/>
              <w:rPr>
                <w:rFonts w:ascii="Book Antiqua" w:hAnsi="Book Antiqua"/>
                <w:b/>
                <w:bCs/>
              </w:rPr>
            </w:pPr>
            <w:r w:rsidRPr="000138EE">
              <w:rPr>
                <w:rFonts w:ascii="Book Antiqua" w:hAnsi="Book Antiqua"/>
                <w:b/>
                <w:bCs/>
              </w:rPr>
              <w:t>Therapy used</w:t>
            </w:r>
          </w:p>
        </w:tc>
        <w:tc>
          <w:tcPr>
            <w:tcW w:w="2635" w:type="dxa"/>
            <w:tcBorders>
              <w:top w:val="single" w:sz="4" w:space="0" w:color="auto"/>
              <w:bottom w:val="single" w:sz="4" w:space="0" w:color="auto"/>
            </w:tcBorders>
          </w:tcPr>
          <w:p w14:paraId="20AAB25F" w14:textId="07C8AD36" w:rsidR="000138EE" w:rsidRPr="000138EE" w:rsidRDefault="000138EE" w:rsidP="00873FC8">
            <w:pPr>
              <w:spacing w:line="360" w:lineRule="auto"/>
              <w:jc w:val="both"/>
              <w:rPr>
                <w:rFonts w:ascii="Book Antiqua" w:hAnsi="Book Antiqua"/>
                <w:b/>
                <w:bCs/>
              </w:rPr>
            </w:pPr>
            <w:r w:rsidRPr="000138EE">
              <w:rPr>
                <w:rFonts w:ascii="Book Antiqua" w:hAnsi="Book Antiqua"/>
                <w:b/>
                <w:bCs/>
              </w:rPr>
              <w:t>Outcome</w:t>
            </w:r>
          </w:p>
        </w:tc>
      </w:tr>
      <w:tr w:rsidR="000138EE" w:rsidRPr="000138EE" w14:paraId="1F04A4CC" w14:textId="77777777" w:rsidTr="00735E24">
        <w:tc>
          <w:tcPr>
            <w:tcW w:w="1962" w:type="dxa"/>
            <w:tcBorders>
              <w:top w:val="single" w:sz="4" w:space="0" w:color="auto"/>
            </w:tcBorders>
          </w:tcPr>
          <w:p w14:paraId="6FED6DA9" w14:textId="33D709C7" w:rsidR="000138EE" w:rsidRPr="000138EE" w:rsidRDefault="000138EE" w:rsidP="00873FC8">
            <w:pPr>
              <w:spacing w:line="360" w:lineRule="auto"/>
              <w:jc w:val="both"/>
              <w:rPr>
                <w:rFonts w:ascii="Book Antiqua" w:hAnsi="Book Antiqua"/>
              </w:rPr>
            </w:pPr>
            <w:r w:rsidRPr="000138EE">
              <w:rPr>
                <w:rFonts w:ascii="Book Antiqua" w:hAnsi="Book Antiqua"/>
              </w:rPr>
              <w:t xml:space="preserve">Shi </w:t>
            </w:r>
            <w:r w:rsidR="00873FC8" w:rsidRPr="00873FC8">
              <w:rPr>
                <w:rFonts w:ascii="Book Antiqua" w:hAnsi="Book Antiqua"/>
                <w:i/>
                <w:iCs/>
              </w:rPr>
              <w:t>et al</w:t>
            </w:r>
            <w:r w:rsidR="00873FC8">
              <w:rPr>
                <w:rFonts w:ascii="Book Antiqua" w:hAnsi="Book Antiqua"/>
                <w:vertAlign w:val="superscript"/>
              </w:rPr>
              <w:t>[23]</w:t>
            </w:r>
            <w:r w:rsidR="00873FC8">
              <w:rPr>
                <w:rFonts w:ascii="Book Antiqua" w:hAnsi="Book Antiqua"/>
              </w:rPr>
              <w:t>,</w:t>
            </w:r>
            <w:r w:rsidRPr="000138EE">
              <w:rPr>
                <w:rFonts w:ascii="Book Antiqua" w:hAnsi="Book Antiqua"/>
              </w:rPr>
              <w:t xml:space="preserve"> 2012 </w:t>
            </w:r>
          </w:p>
        </w:tc>
        <w:tc>
          <w:tcPr>
            <w:tcW w:w="1752" w:type="dxa"/>
            <w:tcBorders>
              <w:top w:val="single" w:sz="4" w:space="0" w:color="auto"/>
            </w:tcBorders>
          </w:tcPr>
          <w:p w14:paraId="07D95BA7" w14:textId="263082EE"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Borders>
              <w:top w:val="single" w:sz="4" w:space="0" w:color="auto"/>
            </w:tcBorders>
          </w:tcPr>
          <w:p w14:paraId="0294EC00" w14:textId="530F2A5F" w:rsidR="000138EE" w:rsidRPr="000138EE" w:rsidRDefault="000138EE" w:rsidP="00873FC8">
            <w:pPr>
              <w:spacing w:line="360" w:lineRule="auto"/>
              <w:jc w:val="both"/>
              <w:rPr>
                <w:rFonts w:ascii="Book Antiqua" w:hAnsi="Book Antiqua"/>
              </w:rPr>
            </w:pPr>
            <w:r w:rsidRPr="000138EE">
              <w:rPr>
                <w:rFonts w:ascii="Book Antiqua" w:hAnsi="Book Antiqua"/>
              </w:rPr>
              <w:t xml:space="preserve">Hepatitis B virus </w:t>
            </w:r>
          </w:p>
        </w:tc>
        <w:tc>
          <w:tcPr>
            <w:tcW w:w="2512" w:type="dxa"/>
            <w:tcBorders>
              <w:top w:val="single" w:sz="4" w:space="0" w:color="auto"/>
            </w:tcBorders>
          </w:tcPr>
          <w:p w14:paraId="262E7C5E" w14:textId="2311F9AF" w:rsidR="000138EE" w:rsidRPr="000138EE" w:rsidRDefault="000138EE" w:rsidP="00873FC8">
            <w:pPr>
              <w:spacing w:line="360" w:lineRule="auto"/>
              <w:jc w:val="both"/>
              <w:rPr>
                <w:rFonts w:ascii="Book Antiqua" w:hAnsi="Book Antiqua"/>
              </w:rPr>
            </w:pPr>
            <w:r w:rsidRPr="000138EE">
              <w:rPr>
                <w:rFonts w:ascii="Book Antiqua" w:hAnsi="Book Antiqua"/>
              </w:rPr>
              <w:t>Open label, randomized controlled trial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24 treated, 19 controls)</w:t>
            </w:r>
          </w:p>
        </w:tc>
        <w:tc>
          <w:tcPr>
            <w:tcW w:w="2474" w:type="dxa"/>
            <w:tcBorders>
              <w:top w:val="single" w:sz="4" w:space="0" w:color="auto"/>
            </w:tcBorders>
          </w:tcPr>
          <w:p w14:paraId="30731428" w14:textId="7C768E2C"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Umbilical cord derived mesenchymal stem cells</w:t>
            </w:r>
            <w:r w:rsidR="00873FC8">
              <w:rPr>
                <w:rFonts w:ascii="Book Antiqua" w:hAnsi="Book Antiqua"/>
                <w:sz w:val="24"/>
                <w:szCs w:val="24"/>
              </w:rPr>
              <w:t>; c</w:t>
            </w:r>
            <w:r w:rsidRPr="000138EE">
              <w:rPr>
                <w:rFonts w:ascii="Book Antiqua" w:hAnsi="Book Antiqua"/>
                <w:sz w:val="24"/>
                <w:szCs w:val="24"/>
              </w:rPr>
              <w:t>ubital vein infusion</w:t>
            </w:r>
            <w:r w:rsidR="00873FC8">
              <w:rPr>
                <w:rFonts w:ascii="Book Antiqua" w:hAnsi="Book Antiqua"/>
                <w:sz w:val="24"/>
                <w:szCs w:val="24"/>
              </w:rPr>
              <w:t xml:space="preserve">; </w:t>
            </w:r>
            <w:r w:rsidRPr="000138EE">
              <w:rPr>
                <w:rFonts w:ascii="Book Antiqua" w:hAnsi="Book Antiqua"/>
                <w:sz w:val="24"/>
                <w:szCs w:val="24"/>
              </w:rPr>
              <w:t>3 times 4 weeks apart</w:t>
            </w:r>
          </w:p>
        </w:tc>
        <w:tc>
          <w:tcPr>
            <w:tcW w:w="2635" w:type="dxa"/>
            <w:tcBorders>
              <w:top w:val="single" w:sz="4" w:space="0" w:color="auto"/>
            </w:tcBorders>
          </w:tcPr>
          <w:p w14:paraId="58506377" w14:textId="360BC37A"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 xml:space="preserve">Follow up at 72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00873FC8">
              <w:rPr>
                <w:rFonts w:ascii="Book Antiqua" w:hAnsi="Book Antiqua"/>
                <w:sz w:val="24"/>
                <w:szCs w:val="24"/>
              </w:rPr>
              <w:t>; p</w:t>
            </w:r>
            <w:r w:rsidRPr="000138EE">
              <w:rPr>
                <w:rFonts w:ascii="Book Antiqua" w:hAnsi="Book Antiqua"/>
                <w:sz w:val="24"/>
                <w:szCs w:val="24"/>
              </w:rPr>
              <w:t>artial improvement in MELD score and liver function</w:t>
            </w:r>
            <w:r w:rsidR="00873FC8">
              <w:rPr>
                <w:rFonts w:ascii="Book Antiqua" w:hAnsi="Book Antiqua"/>
                <w:sz w:val="24"/>
                <w:szCs w:val="24"/>
              </w:rPr>
              <w:t xml:space="preserve">; </w:t>
            </w:r>
            <w:r w:rsidRPr="000138EE">
              <w:rPr>
                <w:rFonts w:ascii="Book Antiqua" w:hAnsi="Book Antiqua"/>
                <w:sz w:val="24"/>
                <w:szCs w:val="24"/>
              </w:rPr>
              <w:t>12-wk survival better in stem cell group</w:t>
            </w:r>
            <w:r w:rsidR="00873FC8">
              <w:rPr>
                <w:rFonts w:ascii="Book Antiqua" w:hAnsi="Book Antiqua"/>
                <w:sz w:val="24"/>
                <w:szCs w:val="24"/>
              </w:rPr>
              <w:t>; n</w:t>
            </w:r>
            <w:r w:rsidRPr="000138EE">
              <w:rPr>
                <w:rFonts w:ascii="Book Antiqua" w:hAnsi="Book Antiqua"/>
                <w:sz w:val="24"/>
                <w:szCs w:val="24"/>
              </w:rPr>
              <w:t>o long-term survival benefit</w:t>
            </w:r>
          </w:p>
        </w:tc>
      </w:tr>
      <w:tr w:rsidR="000138EE" w:rsidRPr="000138EE" w14:paraId="0632B3C4" w14:textId="77777777" w:rsidTr="00735E24">
        <w:tc>
          <w:tcPr>
            <w:tcW w:w="1962" w:type="dxa"/>
          </w:tcPr>
          <w:p w14:paraId="1032F46A" w14:textId="45761C65" w:rsidR="000138EE" w:rsidRPr="000138EE" w:rsidRDefault="000138EE" w:rsidP="00873FC8">
            <w:pPr>
              <w:spacing w:line="360" w:lineRule="auto"/>
              <w:jc w:val="both"/>
              <w:rPr>
                <w:rFonts w:ascii="Book Antiqua" w:hAnsi="Book Antiqua"/>
              </w:rPr>
            </w:pPr>
            <w:r w:rsidRPr="000138EE">
              <w:rPr>
                <w:rFonts w:ascii="Book Antiqua" w:hAnsi="Book Antiqua"/>
              </w:rPr>
              <w:t xml:space="preserve">Lin </w:t>
            </w:r>
            <w:r w:rsidR="00873FC8" w:rsidRPr="00873FC8">
              <w:rPr>
                <w:rFonts w:ascii="Book Antiqua" w:hAnsi="Book Antiqua"/>
                <w:i/>
                <w:iCs/>
              </w:rPr>
              <w:t>et al</w:t>
            </w:r>
            <w:r w:rsidR="00873FC8">
              <w:rPr>
                <w:rFonts w:ascii="Book Antiqua" w:hAnsi="Book Antiqua"/>
                <w:vertAlign w:val="superscript"/>
              </w:rPr>
              <w:t>[24]</w:t>
            </w:r>
            <w:r w:rsidR="00873FC8">
              <w:rPr>
                <w:rFonts w:ascii="Book Antiqua" w:hAnsi="Book Antiqua"/>
              </w:rPr>
              <w:t>,</w:t>
            </w:r>
            <w:r w:rsidRPr="000138EE">
              <w:rPr>
                <w:rFonts w:ascii="Book Antiqua" w:hAnsi="Book Antiqua"/>
              </w:rPr>
              <w:t xml:space="preserve"> 2017 </w:t>
            </w:r>
          </w:p>
        </w:tc>
        <w:tc>
          <w:tcPr>
            <w:tcW w:w="1752" w:type="dxa"/>
          </w:tcPr>
          <w:p w14:paraId="16F590BB" w14:textId="0AB1D70E"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Pr>
          <w:p w14:paraId="0DD732DE" w14:textId="389DC0AD" w:rsidR="000138EE" w:rsidRPr="000138EE" w:rsidRDefault="000138EE" w:rsidP="00873FC8">
            <w:pPr>
              <w:spacing w:line="360" w:lineRule="auto"/>
              <w:jc w:val="both"/>
              <w:rPr>
                <w:rFonts w:ascii="Book Antiqua" w:hAnsi="Book Antiqua"/>
              </w:rPr>
            </w:pPr>
            <w:r w:rsidRPr="000138EE">
              <w:rPr>
                <w:rFonts w:ascii="Book Antiqua" w:hAnsi="Book Antiqua"/>
              </w:rPr>
              <w:t xml:space="preserve">Hepatitis B virus </w:t>
            </w:r>
          </w:p>
        </w:tc>
        <w:tc>
          <w:tcPr>
            <w:tcW w:w="2512" w:type="dxa"/>
          </w:tcPr>
          <w:p w14:paraId="13C73682" w14:textId="453BAD4F" w:rsidR="000138EE" w:rsidRPr="000138EE" w:rsidRDefault="000138EE" w:rsidP="00873FC8">
            <w:pPr>
              <w:spacing w:line="360" w:lineRule="auto"/>
              <w:jc w:val="both"/>
              <w:rPr>
                <w:rFonts w:ascii="Book Antiqua" w:hAnsi="Book Antiqua"/>
              </w:rPr>
            </w:pPr>
            <w:r w:rsidRPr="000138EE">
              <w:rPr>
                <w:rFonts w:ascii="Book Antiqua" w:hAnsi="Book Antiqua"/>
              </w:rPr>
              <w:t>Open label, non-blinded randomized controlled trial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56 treated, 54 controls)</w:t>
            </w:r>
          </w:p>
        </w:tc>
        <w:tc>
          <w:tcPr>
            <w:tcW w:w="2474" w:type="dxa"/>
          </w:tcPr>
          <w:p w14:paraId="4386DF31" w14:textId="4246A512"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Allogenic bone marrow derived mesenchymal stem cells</w:t>
            </w:r>
            <w:r w:rsidR="00873FC8">
              <w:rPr>
                <w:rFonts w:ascii="Book Antiqua" w:hAnsi="Book Antiqua"/>
                <w:sz w:val="24"/>
                <w:szCs w:val="24"/>
              </w:rPr>
              <w:t>; p</w:t>
            </w:r>
            <w:r w:rsidRPr="000138EE">
              <w:rPr>
                <w:rFonts w:ascii="Book Antiqua" w:hAnsi="Book Antiqua"/>
                <w:sz w:val="24"/>
                <w:szCs w:val="24"/>
              </w:rPr>
              <w:t>eripheral vein infusion</w:t>
            </w:r>
            <w:r w:rsidR="00873FC8">
              <w:rPr>
                <w:rFonts w:ascii="Book Antiqua" w:hAnsi="Book Antiqua"/>
                <w:sz w:val="24"/>
                <w:szCs w:val="24"/>
              </w:rPr>
              <w:t>; o</w:t>
            </w:r>
            <w:r w:rsidRPr="000138EE">
              <w:rPr>
                <w:rFonts w:ascii="Book Antiqua" w:hAnsi="Book Antiqua"/>
                <w:sz w:val="24"/>
                <w:szCs w:val="24"/>
              </w:rPr>
              <w:t xml:space="preserve">nce weekly for 4 </w:t>
            </w:r>
            <w:proofErr w:type="spellStart"/>
            <w:r w:rsidRPr="000138EE">
              <w:rPr>
                <w:rFonts w:ascii="Book Antiqua" w:hAnsi="Book Antiqua"/>
                <w:sz w:val="24"/>
                <w:szCs w:val="24"/>
              </w:rPr>
              <w:t>w</w:t>
            </w:r>
            <w:r w:rsidR="00873FC8">
              <w:rPr>
                <w:rFonts w:ascii="Book Antiqua" w:hAnsi="Book Antiqua"/>
                <w:sz w:val="24"/>
                <w:szCs w:val="24"/>
              </w:rPr>
              <w:t>k</w:t>
            </w:r>
            <w:proofErr w:type="spellEnd"/>
          </w:p>
        </w:tc>
        <w:tc>
          <w:tcPr>
            <w:tcW w:w="2635" w:type="dxa"/>
          </w:tcPr>
          <w:p w14:paraId="4BBBFF01" w14:textId="2BFB6703"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 xml:space="preserve">Follow up at 24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00873FC8">
              <w:rPr>
                <w:rFonts w:ascii="Book Antiqua" w:hAnsi="Book Antiqua"/>
                <w:sz w:val="24"/>
                <w:szCs w:val="24"/>
              </w:rPr>
              <w:t>; s</w:t>
            </w:r>
            <w:r w:rsidRPr="000138EE">
              <w:rPr>
                <w:rFonts w:ascii="Book Antiqua" w:hAnsi="Book Antiqua"/>
                <w:sz w:val="24"/>
                <w:szCs w:val="24"/>
              </w:rPr>
              <w:t>urvival better in stem cell group</w:t>
            </w:r>
            <w:r w:rsidR="00873FC8">
              <w:rPr>
                <w:rFonts w:ascii="Book Antiqua" w:hAnsi="Book Antiqua"/>
                <w:sz w:val="24"/>
                <w:szCs w:val="24"/>
              </w:rPr>
              <w:t>; b</w:t>
            </w:r>
            <w:r w:rsidRPr="000138EE">
              <w:rPr>
                <w:rFonts w:ascii="Book Antiqua" w:hAnsi="Book Antiqua"/>
                <w:sz w:val="24"/>
                <w:szCs w:val="24"/>
              </w:rPr>
              <w:t>ilirubin reduction and MELD score improved significantly in stem cell group</w:t>
            </w:r>
          </w:p>
        </w:tc>
      </w:tr>
      <w:tr w:rsidR="000138EE" w:rsidRPr="000138EE" w14:paraId="15473DEB" w14:textId="77777777" w:rsidTr="00735E24">
        <w:tc>
          <w:tcPr>
            <w:tcW w:w="1962" w:type="dxa"/>
          </w:tcPr>
          <w:p w14:paraId="622716FB" w14:textId="26ADE343" w:rsidR="000138EE" w:rsidRPr="000138EE" w:rsidRDefault="000138EE" w:rsidP="00873FC8">
            <w:pPr>
              <w:spacing w:line="360" w:lineRule="auto"/>
              <w:jc w:val="both"/>
              <w:rPr>
                <w:rFonts w:ascii="Book Antiqua" w:hAnsi="Book Antiqua"/>
              </w:rPr>
            </w:pPr>
            <w:r w:rsidRPr="000138EE">
              <w:rPr>
                <w:rFonts w:ascii="Book Antiqua" w:hAnsi="Book Antiqua"/>
              </w:rPr>
              <w:t xml:space="preserve">Chen </w:t>
            </w:r>
            <w:r w:rsidR="00873FC8" w:rsidRPr="00873FC8">
              <w:rPr>
                <w:rFonts w:ascii="Book Antiqua" w:hAnsi="Book Antiqua"/>
                <w:i/>
                <w:iCs/>
              </w:rPr>
              <w:t>et al</w:t>
            </w:r>
            <w:r w:rsidR="00873FC8">
              <w:rPr>
                <w:rFonts w:ascii="Book Antiqua" w:hAnsi="Book Antiqua"/>
                <w:vertAlign w:val="superscript"/>
              </w:rPr>
              <w:t>[25]</w:t>
            </w:r>
            <w:r w:rsidR="00873FC8">
              <w:rPr>
                <w:rFonts w:ascii="Book Antiqua" w:hAnsi="Book Antiqua"/>
              </w:rPr>
              <w:t>,</w:t>
            </w:r>
            <w:r w:rsidRPr="000138EE">
              <w:rPr>
                <w:rFonts w:ascii="Book Antiqua" w:hAnsi="Book Antiqua"/>
              </w:rPr>
              <w:t xml:space="preserve"> 2018 </w:t>
            </w:r>
          </w:p>
        </w:tc>
        <w:tc>
          <w:tcPr>
            <w:tcW w:w="1752" w:type="dxa"/>
          </w:tcPr>
          <w:p w14:paraId="4736AA69" w14:textId="2F7E6DEE"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Pr>
          <w:p w14:paraId="10A97E8B" w14:textId="65BE0E47" w:rsidR="000138EE" w:rsidRPr="000138EE" w:rsidRDefault="000138EE" w:rsidP="00873FC8">
            <w:pPr>
              <w:spacing w:line="360" w:lineRule="auto"/>
              <w:jc w:val="both"/>
              <w:rPr>
                <w:rFonts w:ascii="Book Antiqua" w:hAnsi="Book Antiqua"/>
              </w:rPr>
            </w:pPr>
            <w:r w:rsidRPr="000138EE">
              <w:rPr>
                <w:rFonts w:ascii="Book Antiqua" w:hAnsi="Book Antiqua"/>
              </w:rPr>
              <w:t xml:space="preserve">Hepatitis B </w:t>
            </w:r>
            <w:r w:rsidRPr="000138EE">
              <w:rPr>
                <w:rFonts w:ascii="Book Antiqua" w:hAnsi="Book Antiqua"/>
              </w:rPr>
              <w:lastRenderedPageBreak/>
              <w:t xml:space="preserve">virus </w:t>
            </w:r>
          </w:p>
        </w:tc>
        <w:tc>
          <w:tcPr>
            <w:tcW w:w="2512" w:type="dxa"/>
          </w:tcPr>
          <w:p w14:paraId="5168486D" w14:textId="53D1F848" w:rsidR="000138EE" w:rsidRPr="000138EE" w:rsidRDefault="000138EE" w:rsidP="00873FC8">
            <w:pPr>
              <w:spacing w:line="360" w:lineRule="auto"/>
              <w:jc w:val="both"/>
              <w:rPr>
                <w:rFonts w:ascii="Book Antiqua" w:hAnsi="Book Antiqua"/>
              </w:rPr>
            </w:pPr>
            <w:r w:rsidRPr="000138EE">
              <w:rPr>
                <w:rFonts w:ascii="Book Antiqua" w:hAnsi="Book Antiqua"/>
              </w:rPr>
              <w:lastRenderedPageBreak/>
              <w:t xml:space="preserve">Systematic review and </w:t>
            </w:r>
            <w:r w:rsidRPr="000138EE">
              <w:rPr>
                <w:rFonts w:ascii="Book Antiqua" w:hAnsi="Book Antiqua"/>
              </w:rPr>
              <w:lastRenderedPageBreak/>
              <w:t>metanalysis of three studies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 xml:space="preserve">91 treated with MSC, 107 on SMT) </w:t>
            </w:r>
          </w:p>
        </w:tc>
        <w:tc>
          <w:tcPr>
            <w:tcW w:w="2474" w:type="dxa"/>
          </w:tcPr>
          <w:p w14:paraId="6BB6FE77" w14:textId="6A90C5D3"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lastRenderedPageBreak/>
              <w:t xml:space="preserve">Bone marrow </w:t>
            </w:r>
            <w:r w:rsidRPr="000138EE">
              <w:rPr>
                <w:rFonts w:ascii="Book Antiqua" w:hAnsi="Book Antiqua"/>
                <w:sz w:val="24"/>
                <w:szCs w:val="24"/>
              </w:rPr>
              <w:lastRenderedPageBreak/>
              <w:t>derived and umbilical cord derived mesenchymal stem cells</w:t>
            </w:r>
            <w:r w:rsidR="00873FC8">
              <w:rPr>
                <w:rFonts w:ascii="Book Antiqua" w:hAnsi="Book Antiqua"/>
                <w:sz w:val="24"/>
                <w:szCs w:val="24"/>
              </w:rPr>
              <w:t>; o</w:t>
            </w:r>
            <w:r w:rsidRPr="000138EE">
              <w:rPr>
                <w:rFonts w:ascii="Book Antiqua" w:hAnsi="Book Antiqua"/>
                <w:sz w:val="24"/>
                <w:szCs w:val="24"/>
              </w:rPr>
              <w:t>ne study included patients on plasma exchange along with stem cell therapy (not ideal for inclusion)</w:t>
            </w:r>
          </w:p>
        </w:tc>
        <w:tc>
          <w:tcPr>
            <w:tcW w:w="2635" w:type="dxa"/>
          </w:tcPr>
          <w:p w14:paraId="1EE36931" w14:textId="4CB0AC97"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lastRenderedPageBreak/>
              <w:t xml:space="preserve">Significant </w:t>
            </w:r>
            <w:r w:rsidRPr="000138EE">
              <w:rPr>
                <w:rFonts w:ascii="Book Antiqua" w:hAnsi="Book Antiqua"/>
                <w:sz w:val="24"/>
                <w:szCs w:val="24"/>
              </w:rPr>
              <w:lastRenderedPageBreak/>
              <w:t xml:space="preserve">reduction of bilirubin at 4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Pr="000138EE">
              <w:rPr>
                <w:rFonts w:ascii="Book Antiqua" w:hAnsi="Book Antiqua"/>
                <w:sz w:val="24"/>
                <w:szCs w:val="24"/>
              </w:rPr>
              <w:t xml:space="preserve"> and not beyond</w:t>
            </w:r>
            <w:r w:rsidR="00873FC8">
              <w:rPr>
                <w:rFonts w:ascii="Book Antiqua" w:hAnsi="Book Antiqua"/>
                <w:sz w:val="24"/>
                <w:szCs w:val="24"/>
              </w:rPr>
              <w:t>; i</w:t>
            </w:r>
            <w:r w:rsidRPr="000138EE">
              <w:rPr>
                <w:rFonts w:ascii="Book Antiqua" w:hAnsi="Book Antiqua"/>
                <w:sz w:val="24"/>
                <w:szCs w:val="24"/>
              </w:rPr>
              <w:t xml:space="preserve">mproved survival at 12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Pr="000138EE">
              <w:rPr>
                <w:rFonts w:ascii="Book Antiqua" w:hAnsi="Book Antiqua"/>
                <w:sz w:val="24"/>
                <w:szCs w:val="24"/>
              </w:rPr>
              <w:t xml:space="preserve"> (short term) only</w:t>
            </w:r>
            <w:r w:rsidR="00873FC8">
              <w:rPr>
                <w:rFonts w:ascii="Book Antiqua" w:hAnsi="Book Antiqua"/>
                <w:sz w:val="24"/>
                <w:szCs w:val="24"/>
              </w:rPr>
              <w:t>; s</w:t>
            </w:r>
            <w:r w:rsidRPr="000138EE">
              <w:rPr>
                <w:rFonts w:ascii="Book Antiqua" w:hAnsi="Book Antiqua"/>
                <w:sz w:val="24"/>
                <w:szCs w:val="24"/>
              </w:rPr>
              <w:t>afety profile of peripheral infusion confirmed</w:t>
            </w:r>
          </w:p>
        </w:tc>
      </w:tr>
      <w:tr w:rsidR="000138EE" w:rsidRPr="000138EE" w14:paraId="0509698A" w14:textId="77777777" w:rsidTr="00735E24">
        <w:tc>
          <w:tcPr>
            <w:tcW w:w="1962" w:type="dxa"/>
          </w:tcPr>
          <w:p w14:paraId="691F0DED" w14:textId="75669E3A" w:rsidR="000138EE" w:rsidRPr="000138EE" w:rsidRDefault="000138EE" w:rsidP="00873FC8">
            <w:pPr>
              <w:spacing w:line="360" w:lineRule="auto"/>
              <w:jc w:val="both"/>
              <w:rPr>
                <w:rFonts w:ascii="Book Antiqua" w:hAnsi="Book Antiqua"/>
              </w:rPr>
            </w:pPr>
            <w:proofErr w:type="spellStart"/>
            <w:r w:rsidRPr="000138EE">
              <w:rPr>
                <w:rFonts w:ascii="Book Antiqua" w:hAnsi="Book Antiqua"/>
              </w:rPr>
              <w:lastRenderedPageBreak/>
              <w:t>Xue</w:t>
            </w:r>
            <w:proofErr w:type="spellEnd"/>
            <w:r w:rsidRPr="000138EE">
              <w:rPr>
                <w:rFonts w:ascii="Book Antiqua" w:hAnsi="Book Antiqua"/>
              </w:rPr>
              <w:t xml:space="preserve"> </w:t>
            </w:r>
            <w:r w:rsidR="00873FC8" w:rsidRPr="00873FC8">
              <w:rPr>
                <w:rFonts w:ascii="Book Antiqua" w:hAnsi="Book Antiqua"/>
                <w:i/>
                <w:iCs/>
              </w:rPr>
              <w:t>et al</w:t>
            </w:r>
            <w:r w:rsidR="00873FC8">
              <w:rPr>
                <w:rFonts w:ascii="Book Antiqua" w:hAnsi="Book Antiqua"/>
                <w:vertAlign w:val="superscript"/>
              </w:rPr>
              <w:t>[26]</w:t>
            </w:r>
            <w:r w:rsidR="00873FC8">
              <w:rPr>
                <w:rFonts w:ascii="Book Antiqua" w:hAnsi="Book Antiqua"/>
              </w:rPr>
              <w:t>,</w:t>
            </w:r>
            <w:r w:rsidRPr="000138EE">
              <w:rPr>
                <w:rFonts w:ascii="Book Antiqua" w:hAnsi="Book Antiqua"/>
              </w:rPr>
              <w:t xml:space="preserve"> 2018 </w:t>
            </w:r>
          </w:p>
        </w:tc>
        <w:tc>
          <w:tcPr>
            <w:tcW w:w="1752" w:type="dxa"/>
          </w:tcPr>
          <w:p w14:paraId="4E28CFD5" w14:textId="31D066AD"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Pr>
          <w:p w14:paraId="676627B8" w14:textId="17345836" w:rsidR="000138EE" w:rsidRPr="000138EE" w:rsidRDefault="000138EE" w:rsidP="00873FC8">
            <w:pPr>
              <w:spacing w:line="360" w:lineRule="auto"/>
              <w:jc w:val="both"/>
              <w:rPr>
                <w:rFonts w:ascii="Book Antiqua" w:hAnsi="Book Antiqua"/>
              </w:rPr>
            </w:pPr>
            <w:r w:rsidRPr="000138EE">
              <w:rPr>
                <w:rFonts w:ascii="Book Antiqua" w:hAnsi="Book Antiqua"/>
              </w:rPr>
              <w:t>Multiple</w:t>
            </w:r>
          </w:p>
          <w:p w14:paraId="550EA9E4" w14:textId="77777777" w:rsidR="000138EE" w:rsidRPr="000138EE" w:rsidRDefault="000138EE" w:rsidP="00873FC8">
            <w:pPr>
              <w:spacing w:line="360" w:lineRule="auto"/>
              <w:jc w:val="both"/>
              <w:rPr>
                <w:rFonts w:ascii="Book Antiqua" w:hAnsi="Book Antiqua"/>
              </w:rPr>
            </w:pPr>
          </w:p>
        </w:tc>
        <w:tc>
          <w:tcPr>
            <w:tcW w:w="2512" w:type="dxa"/>
          </w:tcPr>
          <w:p w14:paraId="40A40B4A" w14:textId="53787A20" w:rsidR="000138EE" w:rsidRPr="000138EE" w:rsidRDefault="000138EE" w:rsidP="00873FC8">
            <w:pPr>
              <w:spacing w:line="360" w:lineRule="auto"/>
              <w:jc w:val="both"/>
              <w:rPr>
                <w:rFonts w:ascii="Book Antiqua" w:hAnsi="Book Antiqua"/>
              </w:rPr>
            </w:pPr>
            <w:r w:rsidRPr="000138EE">
              <w:rPr>
                <w:rFonts w:ascii="Book Antiqua" w:hAnsi="Book Antiqua"/>
              </w:rPr>
              <w:t>Systematic review and metanalysis of four randomized controlled trials and six non-randomized controlled trials</w:t>
            </w:r>
            <w:r w:rsidR="00873FC8">
              <w:rPr>
                <w:rFonts w:ascii="Book Antiqua" w:hAnsi="Book Antiqua"/>
              </w:rPr>
              <w:t>; p</w:t>
            </w:r>
            <w:r w:rsidRPr="000138EE">
              <w:rPr>
                <w:rFonts w:ascii="Book Antiqua" w:hAnsi="Book Antiqua"/>
              </w:rPr>
              <w:t xml:space="preserve">oor inclusion, decompensated cirrhosis patients, alcoholic cirrhosis and acute liver failure due </w:t>
            </w:r>
            <w:r w:rsidRPr="000138EE">
              <w:rPr>
                <w:rFonts w:ascii="Book Antiqua" w:hAnsi="Book Antiqua"/>
              </w:rPr>
              <w:lastRenderedPageBreak/>
              <w:t>to hepatitis B virus also included</w:t>
            </w:r>
          </w:p>
        </w:tc>
        <w:tc>
          <w:tcPr>
            <w:tcW w:w="2474" w:type="dxa"/>
          </w:tcPr>
          <w:p w14:paraId="14466849" w14:textId="0B26DFED"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lastRenderedPageBreak/>
              <w:t xml:space="preserve">Bone marrow mononuclear cells, peripheral blood derived stem cells, bone marrow derived stem cells, umbilical cord derived </w:t>
            </w:r>
            <w:r w:rsidRPr="000138EE">
              <w:rPr>
                <w:rFonts w:ascii="Book Antiqua" w:hAnsi="Book Antiqua"/>
                <w:sz w:val="24"/>
                <w:szCs w:val="24"/>
              </w:rPr>
              <w:lastRenderedPageBreak/>
              <w:t>mesenchymal stem cells</w:t>
            </w:r>
            <w:r w:rsidR="00873FC8">
              <w:rPr>
                <w:rFonts w:ascii="Book Antiqua" w:hAnsi="Book Antiqua"/>
                <w:sz w:val="24"/>
                <w:szCs w:val="24"/>
              </w:rPr>
              <w:t>; p</w:t>
            </w:r>
            <w:r w:rsidRPr="000138EE">
              <w:rPr>
                <w:rFonts w:ascii="Book Antiqua" w:hAnsi="Book Antiqua"/>
                <w:sz w:val="24"/>
                <w:szCs w:val="24"/>
              </w:rPr>
              <w:t>eripheral vein and hepatic artery</w:t>
            </w:r>
          </w:p>
        </w:tc>
        <w:tc>
          <w:tcPr>
            <w:tcW w:w="2635" w:type="dxa"/>
          </w:tcPr>
          <w:p w14:paraId="7EE3D258" w14:textId="024ED2FC" w:rsidR="000138EE" w:rsidRPr="000138EE" w:rsidRDefault="000138EE" w:rsidP="00873FC8">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lastRenderedPageBreak/>
              <w:t xml:space="preserve">Significant reduction in bilirubin at 12 </w:t>
            </w:r>
            <w:proofErr w:type="spellStart"/>
            <w:r w:rsidRPr="000138EE">
              <w:rPr>
                <w:rFonts w:ascii="Book Antiqua" w:hAnsi="Book Antiqua"/>
                <w:sz w:val="24"/>
                <w:szCs w:val="24"/>
              </w:rPr>
              <w:t>mo</w:t>
            </w:r>
            <w:proofErr w:type="spellEnd"/>
            <w:r w:rsidR="00873FC8">
              <w:rPr>
                <w:rFonts w:ascii="Book Antiqua" w:hAnsi="Book Antiqua"/>
                <w:sz w:val="24"/>
                <w:szCs w:val="24"/>
              </w:rPr>
              <w:t>; i</w:t>
            </w:r>
            <w:r w:rsidRPr="000138EE">
              <w:rPr>
                <w:rFonts w:ascii="Book Antiqua" w:hAnsi="Book Antiqua"/>
                <w:sz w:val="24"/>
                <w:szCs w:val="24"/>
              </w:rPr>
              <w:t>mprovement in albumin level in long term (confounders not controlled)</w:t>
            </w:r>
            <w:r w:rsidR="00873FC8">
              <w:rPr>
                <w:rFonts w:ascii="Book Antiqua" w:hAnsi="Book Antiqua"/>
                <w:sz w:val="24"/>
                <w:szCs w:val="24"/>
              </w:rPr>
              <w:t>; s</w:t>
            </w:r>
            <w:r w:rsidRPr="000138EE">
              <w:rPr>
                <w:rFonts w:ascii="Book Antiqua" w:hAnsi="Book Antiqua"/>
                <w:sz w:val="24"/>
                <w:szCs w:val="24"/>
              </w:rPr>
              <w:t xml:space="preserve">hort term survival at 12 </w:t>
            </w:r>
            <w:proofErr w:type="spellStart"/>
            <w:r w:rsidRPr="000138EE">
              <w:rPr>
                <w:rFonts w:ascii="Book Antiqua" w:hAnsi="Book Antiqua"/>
                <w:sz w:val="24"/>
                <w:szCs w:val="24"/>
              </w:rPr>
              <w:lastRenderedPageBreak/>
              <w:t>w</w:t>
            </w:r>
            <w:r w:rsidR="00873FC8">
              <w:rPr>
                <w:rFonts w:ascii="Book Antiqua" w:hAnsi="Book Antiqua"/>
                <w:sz w:val="24"/>
                <w:szCs w:val="24"/>
              </w:rPr>
              <w:t>k</w:t>
            </w:r>
            <w:proofErr w:type="spellEnd"/>
            <w:r w:rsidR="00873FC8">
              <w:rPr>
                <w:rFonts w:ascii="Book Antiqua" w:hAnsi="Book Antiqua"/>
                <w:sz w:val="24"/>
                <w:szCs w:val="24"/>
              </w:rPr>
              <w:t>; b</w:t>
            </w:r>
            <w:r w:rsidRPr="000138EE">
              <w:rPr>
                <w:rFonts w:ascii="Book Antiqua" w:hAnsi="Book Antiqua"/>
                <w:sz w:val="24"/>
                <w:szCs w:val="24"/>
              </w:rPr>
              <w:t>one marrow mononuclear cells associated with adverse events</w:t>
            </w:r>
            <w:r w:rsidR="00873FC8">
              <w:rPr>
                <w:rFonts w:ascii="Book Antiqua" w:hAnsi="Book Antiqua"/>
                <w:sz w:val="24"/>
                <w:szCs w:val="24"/>
              </w:rPr>
              <w:t>; n</w:t>
            </w:r>
            <w:r w:rsidRPr="000138EE">
              <w:rPr>
                <w:rFonts w:ascii="Book Antiqua" w:hAnsi="Book Antiqua"/>
                <w:sz w:val="24"/>
                <w:szCs w:val="24"/>
              </w:rPr>
              <w:t xml:space="preserve">o long-term clinical efficacy or safety could be assessed </w:t>
            </w:r>
          </w:p>
        </w:tc>
      </w:tr>
      <w:tr w:rsidR="000138EE" w:rsidRPr="000138EE" w14:paraId="70F19049" w14:textId="77777777" w:rsidTr="00735E24">
        <w:tc>
          <w:tcPr>
            <w:tcW w:w="1962" w:type="dxa"/>
          </w:tcPr>
          <w:p w14:paraId="55229871" w14:textId="4307EA48" w:rsidR="000138EE" w:rsidRPr="000138EE" w:rsidRDefault="000138EE" w:rsidP="00735E24">
            <w:pPr>
              <w:spacing w:line="360" w:lineRule="auto"/>
              <w:jc w:val="both"/>
              <w:rPr>
                <w:rFonts w:ascii="Book Antiqua" w:hAnsi="Book Antiqua"/>
              </w:rPr>
            </w:pPr>
            <w:r w:rsidRPr="000138EE">
              <w:rPr>
                <w:rFonts w:ascii="Book Antiqua" w:hAnsi="Book Antiqua"/>
              </w:rPr>
              <w:lastRenderedPageBreak/>
              <w:t xml:space="preserve">Engelmann </w:t>
            </w:r>
            <w:r w:rsidR="00873FC8" w:rsidRPr="00873FC8">
              <w:rPr>
                <w:rFonts w:ascii="Book Antiqua" w:hAnsi="Book Antiqua"/>
                <w:i/>
                <w:iCs/>
              </w:rPr>
              <w:t>et al</w:t>
            </w:r>
            <w:r w:rsidR="00873FC8">
              <w:rPr>
                <w:rFonts w:ascii="Book Antiqua" w:hAnsi="Book Antiqua"/>
                <w:vertAlign w:val="superscript"/>
              </w:rPr>
              <w:t>[27]</w:t>
            </w:r>
            <w:r w:rsidR="00873FC8">
              <w:rPr>
                <w:rFonts w:ascii="Book Antiqua" w:hAnsi="Book Antiqua"/>
              </w:rPr>
              <w:t>,</w:t>
            </w:r>
            <w:r w:rsidRPr="000138EE">
              <w:rPr>
                <w:rFonts w:ascii="Book Antiqua" w:hAnsi="Book Antiqua"/>
              </w:rPr>
              <w:t xml:space="preserve"> 2019 </w:t>
            </w:r>
          </w:p>
        </w:tc>
        <w:tc>
          <w:tcPr>
            <w:tcW w:w="1752" w:type="dxa"/>
          </w:tcPr>
          <w:p w14:paraId="0D88C422" w14:textId="3B70C461" w:rsidR="000138EE" w:rsidRPr="000138EE" w:rsidRDefault="00873FC8" w:rsidP="00735E24">
            <w:pPr>
              <w:spacing w:line="360" w:lineRule="auto"/>
              <w:jc w:val="both"/>
              <w:rPr>
                <w:rFonts w:ascii="Book Antiqua" w:hAnsi="Book Antiqua"/>
              </w:rPr>
            </w:pPr>
            <w:r w:rsidRPr="00873FC8">
              <w:rPr>
                <w:rFonts w:ascii="Book Antiqua" w:hAnsi="Book Antiqua"/>
              </w:rPr>
              <w:t xml:space="preserve">European </w:t>
            </w:r>
            <w:proofErr w:type="spellStart"/>
            <w:r w:rsidRPr="00873FC8">
              <w:rPr>
                <w:rFonts w:ascii="Book Antiqua" w:hAnsi="Book Antiqua"/>
              </w:rPr>
              <w:t>multicenter</w:t>
            </w:r>
            <w:proofErr w:type="spellEnd"/>
          </w:p>
        </w:tc>
        <w:tc>
          <w:tcPr>
            <w:tcW w:w="1841" w:type="dxa"/>
          </w:tcPr>
          <w:p w14:paraId="2B3F0191" w14:textId="0EB9EB69" w:rsidR="000138EE" w:rsidRPr="000138EE" w:rsidRDefault="000138EE" w:rsidP="00735E24">
            <w:pPr>
              <w:spacing w:line="360" w:lineRule="auto"/>
              <w:jc w:val="both"/>
              <w:rPr>
                <w:rFonts w:ascii="Book Antiqua" w:hAnsi="Book Antiqua"/>
              </w:rPr>
            </w:pPr>
            <w:r w:rsidRPr="000138EE">
              <w:rPr>
                <w:rFonts w:ascii="Book Antiqua" w:hAnsi="Book Antiqua"/>
              </w:rPr>
              <w:t>Multiple (mostly alcoholic hepatitis and bacterial sepsis)</w:t>
            </w:r>
          </w:p>
        </w:tc>
        <w:tc>
          <w:tcPr>
            <w:tcW w:w="2512" w:type="dxa"/>
          </w:tcPr>
          <w:p w14:paraId="2B2BDB56" w14:textId="2ADCD473" w:rsidR="000138EE" w:rsidRPr="000138EE" w:rsidRDefault="000138EE" w:rsidP="00735E24">
            <w:pPr>
              <w:spacing w:line="360" w:lineRule="auto"/>
              <w:jc w:val="both"/>
              <w:rPr>
                <w:rFonts w:ascii="Book Antiqua" w:hAnsi="Book Antiqua"/>
              </w:rPr>
            </w:pPr>
            <w:r w:rsidRPr="000138EE">
              <w:rPr>
                <w:rFonts w:ascii="Book Antiqua" w:hAnsi="Book Antiqua"/>
              </w:rPr>
              <w:t>Interim analysis of a prospective, controlled, open</w:t>
            </w:r>
            <w:r w:rsidRPr="000138EE">
              <w:rPr>
                <w:rFonts w:ascii="SimSun" w:eastAsia="SimSun" w:hAnsi="SimSun" w:cs="SimSun" w:hint="eastAsia"/>
              </w:rPr>
              <w:t>‐</w:t>
            </w:r>
            <w:r w:rsidRPr="000138EE">
              <w:rPr>
                <w:rFonts w:ascii="Book Antiqua" w:hAnsi="Book Antiqua"/>
              </w:rPr>
              <w:t>label 2</w:t>
            </w:r>
            <w:r w:rsidRPr="000138EE">
              <w:rPr>
                <w:rFonts w:ascii="SimSun" w:eastAsia="SimSun" w:hAnsi="SimSun" w:cs="SimSun" w:hint="eastAsia"/>
              </w:rPr>
              <w:t>‐</w:t>
            </w:r>
            <w:r w:rsidRPr="000138EE">
              <w:rPr>
                <w:rFonts w:ascii="Book Antiqua" w:hAnsi="Book Antiqua"/>
              </w:rPr>
              <w:t>armed study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163)</w:t>
            </w:r>
          </w:p>
        </w:tc>
        <w:tc>
          <w:tcPr>
            <w:tcW w:w="2474" w:type="dxa"/>
          </w:tcPr>
          <w:p w14:paraId="4C8A4CE8" w14:textId="402B99D1" w:rsidR="000138EE" w:rsidRPr="000138EE" w:rsidRDefault="000138EE" w:rsidP="00735E24">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Granulocyte-colony stimulating factor (5</w:t>
            </w:r>
            <w:r w:rsidR="00735E24">
              <w:rPr>
                <w:rFonts w:ascii="Book Antiqua" w:hAnsi="Book Antiqua"/>
                <w:sz w:val="24"/>
                <w:szCs w:val="24"/>
              </w:rPr>
              <w:t xml:space="preserve"> </w:t>
            </w:r>
            <w:r w:rsidRPr="000138EE">
              <w:rPr>
                <w:rFonts w:ascii="Book Antiqua" w:hAnsi="Book Antiqua" w:cstheme="minorHAnsi"/>
                <w:sz w:val="24"/>
                <w:szCs w:val="24"/>
              </w:rPr>
              <w:t>µ</w:t>
            </w:r>
            <w:r w:rsidRPr="000138EE">
              <w:rPr>
                <w:rFonts w:ascii="Book Antiqua" w:hAnsi="Book Antiqua"/>
                <w:sz w:val="24"/>
                <w:szCs w:val="24"/>
              </w:rPr>
              <w:t>g/</w:t>
            </w:r>
            <w:r w:rsidR="00CA4474">
              <w:rPr>
                <w:rFonts w:ascii="Book Antiqua" w:hAnsi="Book Antiqua"/>
                <w:sz w:val="24"/>
                <w:szCs w:val="24"/>
              </w:rPr>
              <w:t>(</w:t>
            </w:r>
            <w:proofErr w:type="spellStart"/>
            <w:r w:rsidRPr="000138EE">
              <w:rPr>
                <w:rFonts w:ascii="Book Antiqua" w:hAnsi="Book Antiqua"/>
                <w:sz w:val="24"/>
                <w:szCs w:val="24"/>
              </w:rPr>
              <w:t>kg</w:t>
            </w:r>
            <w:r w:rsidR="00CA4474" w:rsidRPr="00A33255">
              <w:rPr>
                <w:rFonts w:ascii="Times New Roman" w:hAnsi="Times New Roman" w:cs="Times New Roman"/>
                <w:color w:val="000000"/>
              </w:rPr>
              <w:t>·</w:t>
            </w:r>
            <w:r w:rsidRPr="000138EE">
              <w:rPr>
                <w:rFonts w:ascii="Book Antiqua" w:hAnsi="Book Antiqua"/>
                <w:sz w:val="24"/>
                <w:szCs w:val="24"/>
              </w:rPr>
              <w:t>d</w:t>
            </w:r>
            <w:proofErr w:type="spellEnd"/>
            <w:r w:rsidR="00CA4474">
              <w:rPr>
                <w:rFonts w:ascii="Book Antiqua" w:hAnsi="Book Antiqua"/>
                <w:sz w:val="24"/>
                <w:szCs w:val="24"/>
              </w:rPr>
              <w:t>)</w:t>
            </w:r>
            <w:r w:rsidRPr="000138EE">
              <w:rPr>
                <w:rFonts w:ascii="Book Antiqua" w:hAnsi="Book Antiqua"/>
                <w:sz w:val="24"/>
                <w:szCs w:val="24"/>
              </w:rPr>
              <w:t>; 12 injections in total, 5 d consecutively, then 3 d apart)</w:t>
            </w:r>
          </w:p>
        </w:tc>
        <w:tc>
          <w:tcPr>
            <w:tcW w:w="2635" w:type="dxa"/>
          </w:tcPr>
          <w:p w14:paraId="0FE21FFB" w14:textId="59D485FB" w:rsidR="000138EE" w:rsidRPr="000138EE" w:rsidRDefault="000138EE" w:rsidP="00735E24">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No survival benefits</w:t>
            </w:r>
            <w:r w:rsidR="00735E24">
              <w:rPr>
                <w:rFonts w:ascii="Book Antiqua" w:hAnsi="Book Antiqua"/>
                <w:sz w:val="24"/>
                <w:szCs w:val="24"/>
              </w:rPr>
              <w:t>; n</w:t>
            </w:r>
            <w:r w:rsidRPr="000138EE">
              <w:rPr>
                <w:rFonts w:ascii="Book Antiqua" w:hAnsi="Book Antiqua"/>
                <w:sz w:val="24"/>
                <w:szCs w:val="24"/>
              </w:rPr>
              <w:t>o clinical improvement</w:t>
            </w:r>
            <w:r w:rsidR="00735E24">
              <w:rPr>
                <w:rFonts w:ascii="Book Antiqua" w:hAnsi="Book Antiqua"/>
                <w:sz w:val="24"/>
                <w:szCs w:val="24"/>
              </w:rPr>
              <w:t>; a</w:t>
            </w:r>
            <w:r w:rsidRPr="000138EE">
              <w:rPr>
                <w:rFonts w:ascii="Book Antiqua" w:hAnsi="Book Antiqua"/>
                <w:sz w:val="24"/>
                <w:szCs w:val="24"/>
              </w:rPr>
              <w:t>dverse events more with therapy</w:t>
            </w:r>
            <w:r w:rsidR="00735E24">
              <w:rPr>
                <w:rFonts w:ascii="Book Antiqua" w:hAnsi="Book Antiqua"/>
                <w:sz w:val="24"/>
                <w:szCs w:val="24"/>
              </w:rPr>
              <w:t>; f</w:t>
            </w:r>
            <w:r w:rsidRPr="000138EE">
              <w:rPr>
                <w:rFonts w:ascii="Book Antiqua" w:hAnsi="Book Antiqua"/>
                <w:sz w:val="24"/>
                <w:szCs w:val="24"/>
              </w:rPr>
              <w:t>utility confirmed and study prematurely stopped</w:t>
            </w:r>
          </w:p>
        </w:tc>
      </w:tr>
      <w:tr w:rsidR="000138EE" w:rsidRPr="000138EE" w14:paraId="74B4F3C0" w14:textId="77777777" w:rsidTr="00735E24">
        <w:tc>
          <w:tcPr>
            <w:tcW w:w="1962" w:type="dxa"/>
            <w:tcBorders>
              <w:bottom w:val="single" w:sz="4" w:space="0" w:color="auto"/>
            </w:tcBorders>
          </w:tcPr>
          <w:p w14:paraId="7E3931E2" w14:textId="02236127" w:rsidR="000138EE" w:rsidRPr="000138EE" w:rsidRDefault="000138EE" w:rsidP="00735E24">
            <w:pPr>
              <w:spacing w:line="360" w:lineRule="auto"/>
              <w:jc w:val="both"/>
              <w:rPr>
                <w:rFonts w:ascii="Book Antiqua" w:hAnsi="Book Antiqua"/>
              </w:rPr>
            </w:pPr>
            <w:r w:rsidRPr="000138EE">
              <w:rPr>
                <w:rFonts w:ascii="Book Antiqua" w:hAnsi="Book Antiqua"/>
              </w:rPr>
              <w:t xml:space="preserve">Sharma </w:t>
            </w:r>
            <w:r w:rsidRPr="00873FC8">
              <w:rPr>
                <w:rFonts w:ascii="Book Antiqua" w:hAnsi="Book Antiqua"/>
                <w:i/>
                <w:iCs/>
              </w:rPr>
              <w:t>et al</w:t>
            </w:r>
            <w:r w:rsidR="00873FC8">
              <w:rPr>
                <w:rFonts w:ascii="Book Antiqua" w:hAnsi="Book Antiqua"/>
                <w:vertAlign w:val="superscript"/>
              </w:rPr>
              <w:t>[28]</w:t>
            </w:r>
            <w:r w:rsidR="00873FC8">
              <w:rPr>
                <w:rFonts w:ascii="Book Antiqua" w:hAnsi="Book Antiqua"/>
              </w:rPr>
              <w:t>,</w:t>
            </w:r>
            <w:r w:rsidRPr="000138EE">
              <w:rPr>
                <w:rFonts w:ascii="Book Antiqua" w:hAnsi="Book Antiqua"/>
              </w:rPr>
              <w:t xml:space="preserve"> 2020 </w:t>
            </w:r>
          </w:p>
        </w:tc>
        <w:tc>
          <w:tcPr>
            <w:tcW w:w="1752" w:type="dxa"/>
            <w:tcBorders>
              <w:bottom w:val="single" w:sz="4" w:space="0" w:color="auto"/>
            </w:tcBorders>
          </w:tcPr>
          <w:p w14:paraId="6BE94205" w14:textId="642D3143" w:rsidR="000138EE" w:rsidRPr="000138EE" w:rsidRDefault="00873FC8" w:rsidP="00735E24">
            <w:pPr>
              <w:spacing w:line="360" w:lineRule="auto"/>
              <w:jc w:val="both"/>
              <w:rPr>
                <w:rFonts w:ascii="Book Antiqua" w:hAnsi="Book Antiqua"/>
              </w:rPr>
            </w:pPr>
            <w:r w:rsidRPr="000138EE">
              <w:rPr>
                <w:rFonts w:ascii="Book Antiqua" w:hAnsi="Book Antiqua"/>
              </w:rPr>
              <w:t>India</w:t>
            </w:r>
          </w:p>
        </w:tc>
        <w:tc>
          <w:tcPr>
            <w:tcW w:w="1841" w:type="dxa"/>
            <w:tcBorders>
              <w:bottom w:val="single" w:sz="4" w:space="0" w:color="auto"/>
            </w:tcBorders>
          </w:tcPr>
          <w:p w14:paraId="6D9A48E6" w14:textId="0E8858AD" w:rsidR="000138EE" w:rsidRPr="000138EE" w:rsidRDefault="000138EE" w:rsidP="00735E24">
            <w:pPr>
              <w:spacing w:line="360" w:lineRule="auto"/>
              <w:jc w:val="both"/>
              <w:rPr>
                <w:rFonts w:ascii="Book Antiqua" w:hAnsi="Book Antiqua"/>
              </w:rPr>
            </w:pPr>
            <w:r w:rsidRPr="000138EE">
              <w:rPr>
                <w:rFonts w:ascii="Book Antiqua" w:hAnsi="Book Antiqua"/>
              </w:rPr>
              <w:t xml:space="preserve">Paediatric population (aged &gt; 1 </w:t>
            </w:r>
            <w:proofErr w:type="spellStart"/>
            <w:r w:rsidRPr="000138EE">
              <w:rPr>
                <w:rFonts w:ascii="Book Antiqua" w:hAnsi="Book Antiqua"/>
              </w:rPr>
              <w:t>yr</w:t>
            </w:r>
            <w:proofErr w:type="spellEnd"/>
            <w:r w:rsidRPr="000138EE">
              <w:rPr>
                <w:rFonts w:ascii="Book Antiqua" w:hAnsi="Book Antiqua"/>
              </w:rPr>
              <w:t>)</w:t>
            </w:r>
            <w:r w:rsidR="00735E24">
              <w:rPr>
                <w:rFonts w:ascii="Book Antiqua" w:hAnsi="Book Antiqua"/>
              </w:rPr>
              <w:t>; m</w:t>
            </w:r>
            <w:r w:rsidRPr="000138EE">
              <w:rPr>
                <w:rFonts w:ascii="Book Antiqua" w:hAnsi="Book Antiqua"/>
              </w:rPr>
              <w:t xml:space="preserve">ultiple </w:t>
            </w:r>
            <w:bookmarkStart w:id="2" w:name="_GoBack"/>
            <w:proofErr w:type="spellStart"/>
            <w:r w:rsidRPr="000138EE">
              <w:rPr>
                <w:rFonts w:ascii="Book Antiqua" w:hAnsi="Book Antiqua"/>
              </w:rPr>
              <w:t>etiology</w:t>
            </w:r>
            <w:proofErr w:type="spellEnd"/>
            <w:r w:rsidRPr="000138EE">
              <w:rPr>
                <w:rFonts w:ascii="Book Antiqua" w:hAnsi="Book Antiqua"/>
              </w:rPr>
              <w:t xml:space="preserve"> </w:t>
            </w:r>
            <w:bookmarkEnd w:id="2"/>
            <w:r w:rsidRPr="000138EE">
              <w:rPr>
                <w:rFonts w:ascii="Book Antiqua" w:hAnsi="Book Antiqua"/>
              </w:rPr>
              <w:t xml:space="preserve">(including </w:t>
            </w:r>
            <w:r w:rsidRPr="000138EE">
              <w:rPr>
                <w:rFonts w:ascii="Book Antiqua" w:hAnsi="Book Antiqua"/>
              </w:rPr>
              <w:lastRenderedPageBreak/>
              <w:t>Wilsons disease and autoimmune hepatitis)</w:t>
            </w:r>
          </w:p>
        </w:tc>
        <w:tc>
          <w:tcPr>
            <w:tcW w:w="2512" w:type="dxa"/>
            <w:tcBorders>
              <w:bottom w:val="single" w:sz="4" w:space="0" w:color="auto"/>
            </w:tcBorders>
          </w:tcPr>
          <w:p w14:paraId="52EB9BA3" w14:textId="77777777" w:rsidR="000138EE" w:rsidRPr="000138EE" w:rsidRDefault="000138EE" w:rsidP="00735E24">
            <w:pPr>
              <w:spacing w:line="360" w:lineRule="auto"/>
              <w:jc w:val="both"/>
              <w:rPr>
                <w:rFonts w:ascii="Book Antiqua" w:hAnsi="Book Antiqua"/>
              </w:rPr>
            </w:pPr>
            <w:r w:rsidRPr="000138EE">
              <w:rPr>
                <w:rFonts w:ascii="Book Antiqua" w:hAnsi="Book Antiqua"/>
              </w:rPr>
              <w:lastRenderedPageBreak/>
              <w:t>Open-label randomised pilot study</w:t>
            </w:r>
          </w:p>
        </w:tc>
        <w:tc>
          <w:tcPr>
            <w:tcW w:w="2474" w:type="dxa"/>
            <w:tcBorders>
              <w:bottom w:val="single" w:sz="4" w:space="0" w:color="auto"/>
            </w:tcBorders>
          </w:tcPr>
          <w:p w14:paraId="33BE8E43" w14:textId="783C9412" w:rsidR="000138EE" w:rsidRPr="000138EE" w:rsidRDefault="000138EE" w:rsidP="00735E24">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t>Granulocyte-colony stimulating factor (5</w:t>
            </w:r>
            <w:r w:rsidR="00735E24">
              <w:rPr>
                <w:rFonts w:ascii="Book Antiqua" w:hAnsi="Book Antiqua"/>
                <w:sz w:val="24"/>
                <w:szCs w:val="24"/>
              </w:rPr>
              <w:t xml:space="preserve"> </w:t>
            </w:r>
            <w:r w:rsidRPr="000138EE">
              <w:rPr>
                <w:rFonts w:ascii="Book Antiqua" w:hAnsi="Book Antiqua"/>
                <w:sz w:val="24"/>
                <w:szCs w:val="24"/>
              </w:rPr>
              <w:t>µg/</w:t>
            </w:r>
            <w:r w:rsidR="00CA4474">
              <w:rPr>
                <w:rFonts w:ascii="Book Antiqua" w:hAnsi="Book Antiqua"/>
                <w:sz w:val="24"/>
                <w:szCs w:val="24"/>
              </w:rPr>
              <w:t>(</w:t>
            </w:r>
            <w:proofErr w:type="spellStart"/>
            <w:r w:rsidRPr="000138EE">
              <w:rPr>
                <w:rFonts w:ascii="Book Antiqua" w:hAnsi="Book Antiqua"/>
                <w:sz w:val="24"/>
                <w:szCs w:val="24"/>
              </w:rPr>
              <w:t>kg</w:t>
            </w:r>
            <w:r w:rsidR="00CA4474" w:rsidRPr="00A33255">
              <w:rPr>
                <w:rFonts w:ascii="Times New Roman" w:hAnsi="Times New Roman" w:cs="Times New Roman"/>
                <w:color w:val="000000"/>
              </w:rPr>
              <w:t>·</w:t>
            </w:r>
            <w:r w:rsidRPr="000138EE">
              <w:rPr>
                <w:rFonts w:ascii="Book Antiqua" w:hAnsi="Book Antiqua"/>
                <w:sz w:val="24"/>
                <w:szCs w:val="24"/>
              </w:rPr>
              <w:t>d</w:t>
            </w:r>
            <w:proofErr w:type="spellEnd"/>
            <w:r w:rsidR="00CA4474">
              <w:rPr>
                <w:rFonts w:ascii="Book Antiqua" w:hAnsi="Book Antiqua"/>
                <w:sz w:val="24"/>
                <w:szCs w:val="24"/>
              </w:rPr>
              <w:t>)</w:t>
            </w:r>
            <w:r w:rsidRPr="000138EE">
              <w:rPr>
                <w:rFonts w:ascii="Book Antiqua" w:hAnsi="Book Antiqua"/>
                <w:sz w:val="24"/>
                <w:szCs w:val="24"/>
              </w:rPr>
              <w:t xml:space="preserve">; once daily for 5 </w:t>
            </w:r>
            <w:r w:rsidRPr="000138EE">
              <w:rPr>
                <w:rFonts w:ascii="Book Antiqua" w:hAnsi="Book Antiqua"/>
                <w:sz w:val="24"/>
                <w:szCs w:val="24"/>
              </w:rPr>
              <w:lastRenderedPageBreak/>
              <w:t>d)</w:t>
            </w:r>
          </w:p>
        </w:tc>
        <w:tc>
          <w:tcPr>
            <w:tcW w:w="2635" w:type="dxa"/>
            <w:tcBorders>
              <w:bottom w:val="single" w:sz="4" w:space="0" w:color="auto"/>
            </w:tcBorders>
          </w:tcPr>
          <w:p w14:paraId="3CAA84C9" w14:textId="2F8A344D" w:rsidR="000138EE" w:rsidRPr="000138EE" w:rsidRDefault="000138EE" w:rsidP="00735E24">
            <w:pPr>
              <w:pStyle w:val="ListParagraph"/>
              <w:spacing w:after="0" w:line="360" w:lineRule="auto"/>
              <w:ind w:left="360"/>
              <w:jc w:val="both"/>
              <w:rPr>
                <w:rFonts w:ascii="Book Antiqua" w:hAnsi="Book Antiqua"/>
                <w:sz w:val="24"/>
                <w:szCs w:val="24"/>
              </w:rPr>
            </w:pPr>
            <w:r w:rsidRPr="000138EE">
              <w:rPr>
                <w:rFonts w:ascii="Book Antiqua" w:hAnsi="Book Antiqua"/>
                <w:sz w:val="24"/>
                <w:szCs w:val="24"/>
              </w:rPr>
              <w:lastRenderedPageBreak/>
              <w:t xml:space="preserve">Improvement in Child Pugh scores at </w:t>
            </w:r>
            <w:r w:rsidR="00735E24">
              <w:rPr>
                <w:rFonts w:ascii="Book Antiqua" w:hAnsi="Book Antiqua"/>
                <w:sz w:val="24"/>
                <w:szCs w:val="24"/>
              </w:rPr>
              <w:t xml:space="preserve">2 </w:t>
            </w:r>
            <w:proofErr w:type="spellStart"/>
            <w:r w:rsidR="00735E24">
              <w:rPr>
                <w:rFonts w:ascii="Book Antiqua" w:hAnsi="Book Antiqua"/>
                <w:sz w:val="24"/>
                <w:szCs w:val="24"/>
              </w:rPr>
              <w:t>wk</w:t>
            </w:r>
            <w:proofErr w:type="spellEnd"/>
            <w:r w:rsidRPr="000138EE">
              <w:rPr>
                <w:rFonts w:ascii="Book Antiqua" w:hAnsi="Book Antiqua"/>
                <w:sz w:val="24"/>
                <w:szCs w:val="24"/>
              </w:rPr>
              <w:t>, not thereafter</w:t>
            </w:r>
            <w:r w:rsidR="00735E24">
              <w:rPr>
                <w:rFonts w:ascii="Book Antiqua" w:hAnsi="Book Antiqua"/>
                <w:sz w:val="24"/>
                <w:szCs w:val="24"/>
              </w:rPr>
              <w:t>; n</w:t>
            </w:r>
            <w:r w:rsidRPr="000138EE">
              <w:rPr>
                <w:rFonts w:ascii="Book Antiqua" w:hAnsi="Book Antiqua"/>
                <w:sz w:val="24"/>
                <w:szCs w:val="24"/>
              </w:rPr>
              <w:t xml:space="preserve">o clinical </w:t>
            </w:r>
            <w:r w:rsidRPr="000138EE">
              <w:rPr>
                <w:rFonts w:ascii="Book Antiqua" w:hAnsi="Book Antiqua"/>
                <w:sz w:val="24"/>
                <w:szCs w:val="24"/>
              </w:rPr>
              <w:lastRenderedPageBreak/>
              <w:t>improvement in the short-term</w:t>
            </w:r>
            <w:r w:rsidR="00735E24">
              <w:rPr>
                <w:rFonts w:ascii="Book Antiqua" w:hAnsi="Book Antiqua"/>
                <w:sz w:val="24"/>
                <w:szCs w:val="24"/>
              </w:rPr>
              <w:t>; n</w:t>
            </w:r>
            <w:r w:rsidRPr="000138EE">
              <w:rPr>
                <w:rFonts w:ascii="Book Antiqua" w:hAnsi="Book Antiqua"/>
                <w:sz w:val="24"/>
                <w:szCs w:val="24"/>
              </w:rPr>
              <w:t>o survival benefit at 30-</w:t>
            </w:r>
            <w:r w:rsidR="00735E24">
              <w:rPr>
                <w:rFonts w:ascii="Book Antiqua" w:hAnsi="Book Antiqua"/>
                <w:sz w:val="24"/>
                <w:szCs w:val="24"/>
              </w:rPr>
              <w:t>d</w:t>
            </w:r>
            <w:r w:rsidRPr="000138EE">
              <w:rPr>
                <w:rFonts w:ascii="Book Antiqua" w:hAnsi="Book Antiqua"/>
                <w:sz w:val="24"/>
                <w:szCs w:val="24"/>
              </w:rPr>
              <w:t xml:space="preserve"> and 60-d follow up</w:t>
            </w:r>
          </w:p>
        </w:tc>
      </w:tr>
    </w:tbl>
    <w:p w14:paraId="596DC15A" w14:textId="33B22E23" w:rsidR="000138EE" w:rsidRPr="00735E24" w:rsidRDefault="00735E24">
      <w:pPr>
        <w:spacing w:line="360" w:lineRule="auto"/>
        <w:jc w:val="both"/>
        <w:rPr>
          <w:rFonts w:ascii="Book Antiqua" w:hAnsi="Book Antiqua"/>
        </w:rPr>
      </w:pPr>
      <w:r w:rsidRPr="00735E24">
        <w:rPr>
          <w:rFonts w:ascii="Book Antiqua" w:hAnsi="Book Antiqua"/>
        </w:rPr>
        <w:lastRenderedPageBreak/>
        <w:t>SMT</w:t>
      </w:r>
      <w:r>
        <w:rPr>
          <w:rFonts w:ascii="Book Antiqua" w:hAnsi="Book Antiqua"/>
        </w:rPr>
        <w:t>: S</w:t>
      </w:r>
      <w:r w:rsidRPr="00735E24">
        <w:rPr>
          <w:rFonts w:ascii="Book Antiqua" w:hAnsi="Book Antiqua"/>
        </w:rPr>
        <w:t>tandard medical treatment</w:t>
      </w:r>
      <w:r>
        <w:rPr>
          <w:rFonts w:ascii="Book Antiqua" w:hAnsi="Book Antiqua"/>
        </w:rPr>
        <w:t>;</w:t>
      </w:r>
      <w:r w:rsidRPr="00735E24">
        <w:rPr>
          <w:rFonts w:ascii="Book Antiqua" w:hAnsi="Book Antiqua"/>
        </w:rPr>
        <w:t xml:space="preserve"> MSC</w:t>
      </w:r>
      <w:r>
        <w:rPr>
          <w:rFonts w:ascii="Book Antiqua" w:hAnsi="Book Antiqua"/>
        </w:rPr>
        <w:t>: M</w:t>
      </w:r>
      <w:r w:rsidRPr="00735E24">
        <w:rPr>
          <w:rFonts w:ascii="Book Antiqua" w:hAnsi="Book Antiqua"/>
        </w:rPr>
        <w:t>esenchymal stem cells</w:t>
      </w:r>
      <w:r>
        <w:rPr>
          <w:rFonts w:ascii="Book Antiqua" w:hAnsi="Book Antiqua"/>
        </w:rPr>
        <w:t>;</w:t>
      </w:r>
      <w:r w:rsidRPr="00735E24">
        <w:rPr>
          <w:rFonts w:ascii="Book Antiqua" w:hAnsi="Book Antiqua"/>
        </w:rPr>
        <w:t xml:space="preserve"> MELD</w:t>
      </w:r>
      <w:r>
        <w:rPr>
          <w:rFonts w:ascii="Book Antiqua" w:hAnsi="Book Antiqua"/>
        </w:rPr>
        <w:t>:</w:t>
      </w:r>
      <w:r w:rsidRPr="00735E24">
        <w:rPr>
          <w:rFonts w:ascii="Book Antiqua" w:hAnsi="Book Antiqua"/>
        </w:rPr>
        <w:t xml:space="preserve"> </w:t>
      </w:r>
      <w:r>
        <w:rPr>
          <w:rFonts w:ascii="Book Antiqua" w:hAnsi="Book Antiqua"/>
        </w:rPr>
        <w:t>M</w:t>
      </w:r>
      <w:r w:rsidRPr="00735E24">
        <w:rPr>
          <w:rFonts w:ascii="Book Antiqua" w:hAnsi="Book Antiqua"/>
        </w:rPr>
        <w:t>odel for end stage liver disease</w:t>
      </w:r>
      <w:r>
        <w:rPr>
          <w:rFonts w:ascii="Book Antiqua" w:hAnsi="Book Antiqua"/>
        </w:rPr>
        <w:t>.</w:t>
      </w:r>
    </w:p>
    <w:sectPr w:rsidR="000138EE" w:rsidRPr="00735E24" w:rsidSect="000138E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F8498" w14:textId="77777777" w:rsidR="00F82EC2" w:rsidRDefault="00F82EC2" w:rsidP="00F72572">
      <w:r>
        <w:separator/>
      </w:r>
    </w:p>
  </w:endnote>
  <w:endnote w:type="continuationSeparator" w:id="0">
    <w:p w14:paraId="081ED2A9" w14:textId="77777777" w:rsidR="00F82EC2" w:rsidRDefault="00F82EC2" w:rsidP="00F72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595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C6CCCC" w14:textId="440F8100" w:rsidR="00F72572" w:rsidRPr="00F72572" w:rsidRDefault="00F72572" w:rsidP="00F72572">
            <w:pPr>
              <w:pStyle w:val="Footer"/>
              <w:jc w:val="right"/>
              <w:rPr>
                <w:rFonts w:ascii="Book Antiqua" w:hAnsi="Book Antiqua"/>
                <w:sz w:val="24"/>
                <w:szCs w:val="24"/>
              </w:rPr>
            </w:pPr>
            <w:r w:rsidRPr="00F72572">
              <w:rPr>
                <w:rFonts w:ascii="Book Antiqua" w:hAnsi="Book Antiqua"/>
                <w:sz w:val="24"/>
                <w:szCs w:val="24"/>
                <w:lang w:val="zh-CN" w:eastAsia="zh-CN"/>
              </w:rPr>
              <w:t xml:space="preserve"> </w:t>
            </w:r>
            <w:r w:rsidRPr="00F72572">
              <w:rPr>
                <w:rFonts w:ascii="Book Antiqua" w:hAnsi="Book Antiqua"/>
                <w:sz w:val="24"/>
                <w:szCs w:val="24"/>
              </w:rPr>
              <w:fldChar w:fldCharType="begin"/>
            </w:r>
            <w:r w:rsidRPr="00F72572">
              <w:rPr>
                <w:rFonts w:ascii="Book Antiqua" w:hAnsi="Book Antiqua"/>
                <w:sz w:val="24"/>
                <w:szCs w:val="24"/>
              </w:rPr>
              <w:instrText>PAGE</w:instrText>
            </w:r>
            <w:r w:rsidRPr="00F72572">
              <w:rPr>
                <w:rFonts w:ascii="Book Antiqua" w:hAnsi="Book Antiqua"/>
                <w:sz w:val="24"/>
                <w:szCs w:val="24"/>
              </w:rPr>
              <w:fldChar w:fldCharType="separate"/>
            </w:r>
            <w:r w:rsidR="00B11C7A">
              <w:rPr>
                <w:rFonts w:ascii="Book Antiqua" w:hAnsi="Book Antiqua"/>
                <w:noProof/>
                <w:sz w:val="24"/>
                <w:szCs w:val="24"/>
              </w:rPr>
              <w:t>23</w:t>
            </w:r>
            <w:r w:rsidRPr="00F72572">
              <w:rPr>
                <w:rFonts w:ascii="Book Antiqua" w:hAnsi="Book Antiqua"/>
                <w:sz w:val="24"/>
                <w:szCs w:val="24"/>
              </w:rPr>
              <w:fldChar w:fldCharType="end"/>
            </w:r>
            <w:r w:rsidRPr="00F72572">
              <w:rPr>
                <w:rFonts w:ascii="Book Antiqua" w:hAnsi="Book Antiqua"/>
                <w:sz w:val="24"/>
                <w:szCs w:val="24"/>
                <w:lang w:val="zh-CN" w:eastAsia="zh-CN"/>
              </w:rPr>
              <w:t xml:space="preserve"> / </w:t>
            </w:r>
            <w:r w:rsidRPr="00F72572">
              <w:rPr>
                <w:rFonts w:ascii="Book Antiqua" w:hAnsi="Book Antiqua"/>
                <w:sz w:val="24"/>
                <w:szCs w:val="24"/>
              </w:rPr>
              <w:fldChar w:fldCharType="begin"/>
            </w:r>
            <w:r w:rsidRPr="00F72572">
              <w:rPr>
                <w:rFonts w:ascii="Book Antiqua" w:hAnsi="Book Antiqua"/>
                <w:sz w:val="24"/>
                <w:szCs w:val="24"/>
              </w:rPr>
              <w:instrText>NUMPAGES</w:instrText>
            </w:r>
            <w:r w:rsidRPr="00F72572">
              <w:rPr>
                <w:rFonts w:ascii="Book Antiqua" w:hAnsi="Book Antiqua"/>
                <w:sz w:val="24"/>
                <w:szCs w:val="24"/>
              </w:rPr>
              <w:fldChar w:fldCharType="separate"/>
            </w:r>
            <w:r w:rsidR="00B11C7A">
              <w:rPr>
                <w:rFonts w:ascii="Book Antiqua" w:hAnsi="Book Antiqua"/>
                <w:noProof/>
                <w:sz w:val="24"/>
                <w:szCs w:val="24"/>
              </w:rPr>
              <w:t>24</w:t>
            </w:r>
            <w:r w:rsidRPr="00F72572">
              <w:rPr>
                <w:rFonts w:ascii="Book Antiqua" w:hAnsi="Book Antiqua"/>
                <w:sz w:val="24"/>
                <w:szCs w:val="24"/>
              </w:rPr>
              <w:fldChar w:fldCharType="end"/>
            </w:r>
          </w:p>
        </w:sdtContent>
      </w:sdt>
    </w:sdtContent>
  </w:sdt>
  <w:p w14:paraId="0E121082" w14:textId="77777777" w:rsidR="00F72572" w:rsidRDefault="00F72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8CC1A" w14:textId="77777777" w:rsidR="00F82EC2" w:rsidRDefault="00F82EC2" w:rsidP="00F72572">
      <w:r>
        <w:separator/>
      </w:r>
    </w:p>
  </w:footnote>
  <w:footnote w:type="continuationSeparator" w:id="0">
    <w:p w14:paraId="46569F16" w14:textId="77777777" w:rsidR="00F82EC2" w:rsidRDefault="00F82EC2" w:rsidP="00F72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31C16"/>
    <w:multiLevelType w:val="hybridMultilevel"/>
    <w:tmpl w:val="A97202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625FCB"/>
    <w:multiLevelType w:val="hybridMultilevel"/>
    <w:tmpl w:val="44085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48C388D"/>
    <w:multiLevelType w:val="hybridMultilevel"/>
    <w:tmpl w:val="BBA090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C7D209D"/>
    <w:multiLevelType w:val="hybridMultilevel"/>
    <w:tmpl w:val="789A27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8EE"/>
    <w:rsid w:val="000636E9"/>
    <w:rsid w:val="000914D2"/>
    <w:rsid w:val="000918F9"/>
    <w:rsid w:val="000A7570"/>
    <w:rsid w:val="000D0FB7"/>
    <w:rsid w:val="000F50D2"/>
    <w:rsid w:val="001229B7"/>
    <w:rsid w:val="001471CF"/>
    <w:rsid w:val="001A163F"/>
    <w:rsid w:val="0025101A"/>
    <w:rsid w:val="002F2AFD"/>
    <w:rsid w:val="0031184B"/>
    <w:rsid w:val="00355254"/>
    <w:rsid w:val="00367BA3"/>
    <w:rsid w:val="00371981"/>
    <w:rsid w:val="003C2989"/>
    <w:rsid w:val="004875A2"/>
    <w:rsid w:val="00533811"/>
    <w:rsid w:val="006851A8"/>
    <w:rsid w:val="006D3597"/>
    <w:rsid w:val="006D69A8"/>
    <w:rsid w:val="00731023"/>
    <w:rsid w:val="00735E24"/>
    <w:rsid w:val="0076353F"/>
    <w:rsid w:val="00865309"/>
    <w:rsid w:val="00873FC8"/>
    <w:rsid w:val="00895566"/>
    <w:rsid w:val="00A77B3E"/>
    <w:rsid w:val="00B11C7A"/>
    <w:rsid w:val="00B951C3"/>
    <w:rsid w:val="00BA2601"/>
    <w:rsid w:val="00BB01AC"/>
    <w:rsid w:val="00C75E86"/>
    <w:rsid w:val="00CA2A55"/>
    <w:rsid w:val="00CA4474"/>
    <w:rsid w:val="00D045D7"/>
    <w:rsid w:val="00D1793A"/>
    <w:rsid w:val="00D20DB7"/>
    <w:rsid w:val="00D8168F"/>
    <w:rsid w:val="00DD0B6C"/>
    <w:rsid w:val="00F30719"/>
    <w:rsid w:val="00F72572"/>
    <w:rsid w:val="00F82EC2"/>
    <w:rsid w:val="00FD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248017"/>
  <w15:docId w15:val="{765588AF-715C-4652-B8AD-7FB99B168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A7570"/>
    <w:rPr>
      <w:sz w:val="18"/>
      <w:szCs w:val="18"/>
    </w:rPr>
  </w:style>
  <w:style w:type="character" w:customStyle="1" w:styleId="BalloonTextChar">
    <w:name w:val="Balloon Text Char"/>
    <w:basedOn w:val="DefaultParagraphFont"/>
    <w:link w:val="BalloonText"/>
    <w:rsid w:val="000A7570"/>
    <w:rPr>
      <w:sz w:val="18"/>
      <w:szCs w:val="18"/>
    </w:rPr>
  </w:style>
  <w:style w:type="character" w:styleId="CommentReference">
    <w:name w:val="annotation reference"/>
    <w:basedOn w:val="DefaultParagraphFont"/>
    <w:semiHidden/>
    <w:unhideWhenUsed/>
    <w:rsid w:val="000A7570"/>
    <w:rPr>
      <w:sz w:val="21"/>
      <w:szCs w:val="21"/>
    </w:rPr>
  </w:style>
  <w:style w:type="paragraph" w:styleId="CommentText">
    <w:name w:val="annotation text"/>
    <w:basedOn w:val="Normal"/>
    <w:link w:val="CommentTextChar"/>
    <w:uiPriority w:val="99"/>
    <w:unhideWhenUsed/>
    <w:qFormat/>
    <w:rsid w:val="000A7570"/>
  </w:style>
  <w:style w:type="character" w:customStyle="1" w:styleId="CommentTextChar">
    <w:name w:val="Comment Text Char"/>
    <w:basedOn w:val="DefaultParagraphFont"/>
    <w:link w:val="CommentText"/>
    <w:semiHidden/>
    <w:rsid w:val="000A7570"/>
    <w:rPr>
      <w:sz w:val="24"/>
      <w:szCs w:val="24"/>
    </w:rPr>
  </w:style>
  <w:style w:type="paragraph" w:styleId="CommentSubject">
    <w:name w:val="annotation subject"/>
    <w:basedOn w:val="CommentText"/>
    <w:next w:val="CommentText"/>
    <w:link w:val="CommentSubjectChar"/>
    <w:semiHidden/>
    <w:unhideWhenUsed/>
    <w:rsid w:val="000A7570"/>
    <w:rPr>
      <w:b/>
      <w:bCs/>
    </w:rPr>
  </w:style>
  <w:style w:type="character" w:customStyle="1" w:styleId="CommentSubjectChar">
    <w:name w:val="Comment Subject Char"/>
    <w:basedOn w:val="CommentTextChar"/>
    <w:link w:val="CommentSubject"/>
    <w:semiHidden/>
    <w:rsid w:val="000A7570"/>
    <w:rPr>
      <w:b/>
      <w:bCs/>
      <w:sz w:val="24"/>
      <w:szCs w:val="24"/>
    </w:rPr>
  </w:style>
  <w:style w:type="character" w:customStyle="1" w:styleId="1">
    <w:name w:val="批注文字 字符1"/>
    <w:basedOn w:val="DefaultParagraphFont"/>
    <w:uiPriority w:val="99"/>
    <w:qFormat/>
    <w:rsid w:val="000A7570"/>
    <w:rPr>
      <w:rFonts w:ascii="Calibri" w:eastAsia="SimSun" w:hAnsi="Calibri" w:cs="Times New Roman"/>
      <w:kern w:val="0"/>
      <w:sz w:val="22"/>
      <w:lang w:val="en-GB" w:eastAsia="en-US"/>
    </w:rPr>
  </w:style>
  <w:style w:type="table" w:styleId="TableGrid">
    <w:name w:val="Table Grid"/>
    <w:basedOn w:val="TableNormal"/>
    <w:uiPriority w:val="39"/>
    <w:rsid w:val="000138EE"/>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8EE"/>
    <w:pPr>
      <w:spacing w:after="160" w:line="259" w:lineRule="auto"/>
      <w:ind w:left="720"/>
      <w:contextualSpacing/>
    </w:pPr>
    <w:rPr>
      <w:rFonts w:asciiTheme="minorHAnsi" w:hAnsiTheme="minorHAnsi" w:cstheme="minorBidi"/>
      <w:sz w:val="22"/>
      <w:szCs w:val="22"/>
      <w:lang w:val="en-IN"/>
    </w:rPr>
  </w:style>
  <w:style w:type="paragraph" w:styleId="Header">
    <w:name w:val="header"/>
    <w:basedOn w:val="Normal"/>
    <w:link w:val="HeaderChar"/>
    <w:unhideWhenUsed/>
    <w:rsid w:val="00F725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72572"/>
    <w:rPr>
      <w:sz w:val="18"/>
      <w:szCs w:val="18"/>
    </w:rPr>
  </w:style>
  <w:style w:type="paragraph" w:styleId="Footer">
    <w:name w:val="footer"/>
    <w:basedOn w:val="Normal"/>
    <w:link w:val="FooterChar"/>
    <w:uiPriority w:val="99"/>
    <w:unhideWhenUsed/>
    <w:rsid w:val="00F7257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725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5691</Words>
  <Characters>32440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Na Ma</cp:lastModifiedBy>
  <cp:revision>2</cp:revision>
  <dcterms:created xsi:type="dcterms:W3CDTF">2020-09-22T17:27:00Z</dcterms:created>
  <dcterms:modified xsi:type="dcterms:W3CDTF">2020-09-22T17:27:00Z</dcterms:modified>
</cp:coreProperties>
</file>