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CB6B6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CB6B6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CB6B6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CB6B61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57103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CB6B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CB6B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:rsidR="009242FC" w:rsidRDefault="00BE184B">
      <w:pPr>
        <w:spacing w:line="360" w:lineRule="auto"/>
        <w:jc w:val="both"/>
      </w:pPr>
      <w:bookmarkStart w:id="0" w:name="OLE_LINK1903"/>
      <w:bookmarkStart w:id="1" w:name="OLE_LINK1904"/>
      <w:r>
        <w:rPr>
          <w:rFonts w:ascii="Book Antiqua" w:eastAsia="Book Antiqua" w:hAnsi="Book Antiqua" w:cs="Book Antiqua"/>
          <w:b/>
          <w:bCs/>
          <w:caps/>
          <w:color w:val="000000"/>
        </w:rPr>
        <w:t>P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rognostic significance </w:t>
      </w:r>
      <w:r w:rsidR="00F327DF">
        <w:rPr>
          <w:rFonts w:ascii="Book Antiqua" w:eastAsia="Book Antiqua" w:hAnsi="Book Antiqua" w:cs="Book Antiqua"/>
          <w:b/>
          <w:bCs/>
          <w:color w:val="000000"/>
        </w:rPr>
        <w:t>of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b/>
          <w:bCs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type </w:t>
      </w:r>
      <w:r w:rsidR="00F327DF">
        <w:rPr>
          <w:rFonts w:ascii="Book Antiqua" w:eastAsia="Book Antiqua" w:hAnsi="Book Antiqua" w:cs="Book Antiqua"/>
          <w:b/>
          <w:bCs/>
          <w:color w:val="000000"/>
        </w:rPr>
        <w:t>combined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b/>
          <w:bCs/>
          <w:color w:val="000000"/>
        </w:rPr>
        <w:t>vessel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b/>
          <w:bCs/>
          <w:color w:val="000000"/>
        </w:rPr>
        <w:t>invasion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b/>
          <w:bCs/>
          <w:color w:val="000000"/>
        </w:rPr>
        <w:t>status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b/>
          <w:bCs/>
          <w:color w:val="000000"/>
        </w:rPr>
        <w:t>advanced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b/>
          <w:bCs/>
          <w:color w:val="000000"/>
        </w:rPr>
        <w:t>cancer</w:t>
      </w:r>
    </w:p>
    <w:bookmarkEnd w:id="0"/>
    <w:bookmarkEnd w:id="1"/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  <w:rPr>
          <w:rFonts w:eastAsia="宋体"/>
          <w:highlight w:val="yellow"/>
          <w:lang w:eastAsia="zh-CN"/>
        </w:rPr>
      </w:pPr>
      <w:proofErr w:type="spellStart"/>
      <w:r>
        <w:rPr>
          <w:rFonts w:ascii="Book Antiqua" w:eastAsia="Book Antiqua" w:hAnsi="Book Antiqua" w:cs="Book Antiqua"/>
          <w:color w:val="000000"/>
        </w:rPr>
        <w:t>Zhai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6B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 w:rsidRPr="00BE184B">
        <w:rPr>
          <w:rFonts w:ascii="Book Antiqua" w:eastAsia="Book Antiqua" w:hAnsi="Book Antiqua" w:cs="Book Antiqua"/>
          <w:color w:val="000000"/>
        </w:rPr>
        <w:t xml:space="preserve">Prognostic significance of </w:t>
      </w:r>
      <w:proofErr w:type="spellStart"/>
      <w:r w:rsidRPr="009B7C23">
        <w:rPr>
          <w:rFonts w:ascii="Book Antiqua" w:eastAsia="宋体" w:hAnsi="Book Antiqua" w:cs="Book Antiqua" w:hint="eastAsia"/>
          <w:caps/>
          <w:color w:val="000000"/>
          <w:lang w:eastAsia="zh-CN"/>
        </w:rPr>
        <w:t>b</w:t>
      </w:r>
      <w:r w:rsidRPr="009B7C23">
        <w:rPr>
          <w:rFonts w:ascii="Book Antiqua" w:eastAsia="Book Antiqua" w:hAnsi="Book Antiqua" w:cs="Book Antiqua"/>
          <w:color w:val="000000"/>
        </w:rPr>
        <w:t>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 w:rsidRPr="009B7C23">
        <w:rPr>
          <w:rFonts w:ascii="Book Antiqua" w:eastAsia="Book Antiqua" w:hAnsi="Book Antiqua" w:cs="Book Antiqua"/>
          <w:color w:val="000000"/>
        </w:rPr>
        <w:t>type</w:t>
      </w:r>
      <w:r w:rsidR="00BE184B">
        <w:rPr>
          <w:rFonts w:ascii="Book Antiqua" w:eastAsia="Book Antiqua" w:hAnsi="Book Antiqua" w:cs="Book Antiqua"/>
          <w:color w:val="000000"/>
        </w:rPr>
        <w:t xml:space="preserve"> with</w:t>
      </w:r>
      <w:r w:rsidR="00BE184B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>in GC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Zhao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Zhai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Zi</w:t>
      </w:r>
      <w:proofErr w:type="spellEnd"/>
      <w:r>
        <w:rPr>
          <w:rFonts w:ascii="Book Antiqua" w:eastAsia="Book Antiqua" w:hAnsi="Book Antiqua" w:cs="Book Antiqua"/>
          <w:color w:val="000000"/>
        </w:rPr>
        <w:t>-Yu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Bang-Ling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Jia</w:t>
      </w:r>
      <w:proofErr w:type="spellEnd"/>
      <w:r>
        <w:rPr>
          <w:rFonts w:ascii="Book Antiqua" w:eastAsia="Book Antiqua" w:hAnsi="Book Antiqua" w:cs="Book Antiqua"/>
          <w:color w:val="000000"/>
        </w:rPr>
        <w:t>-Liang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Sheng-Han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Lou,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Tian-Yi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Yi-Min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Chun-Feng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Xue</w:t>
      </w:r>
      <w:proofErr w:type="spellEnd"/>
      <w:r>
        <w:rPr>
          <w:rFonts w:ascii="Book Antiqua" w:eastAsia="Book Antiqua" w:hAnsi="Book Antiqua" w:cs="Book Antiqua"/>
          <w:color w:val="000000"/>
        </w:rPr>
        <w:t>-Feng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Ying-Wei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Xue</w:t>
      </w:r>
      <w:proofErr w:type="spellEnd"/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Zhao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Zhai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-Yu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Zhu,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Xin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Yin,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Bang-Ling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Han,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Jia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-Liang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Gao,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Sheng-Han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Lou,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Tian-Yi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Fang,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Yi-Min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Chun-Feng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-Feng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Yu,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Yan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Ying-Wei </w:t>
      </w:r>
      <w:proofErr w:type="spellStart"/>
      <w:r w:rsidR="00CB6B61"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150081,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/>
        </w:rPr>
        <w:t>Heilongjiang</w:t>
      </w:r>
      <w:r w:rsidR="00CB6B6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Province,</w:t>
      </w:r>
      <w:r w:rsidR="00CB6B61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Zhai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concept;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Gao</w:t>
      </w:r>
      <w:proofErr w:type="gram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</w:t>
      </w:r>
      <w:r w:rsidR="0026432D"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Lou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XF</w:t>
      </w:r>
      <w:r w:rsidR="0026432D"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interpretation;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Zhai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6432D">
        <w:rPr>
          <w:rFonts w:ascii="Book Antiqua" w:eastAsia="Book Antiqua" w:hAnsi="Book Antiqua" w:cs="Book Antiqua"/>
          <w:color w:val="000000"/>
        </w:rPr>
        <w:t xml:space="preserve">drafted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YW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proofErr w:type="gramStart"/>
      <w:r>
        <w:rPr>
          <w:rFonts w:ascii="Book Antiqua" w:eastAsia="Book Antiqua" w:hAnsi="Book Antiqua" w:cs="Book Antiqua"/>
          <w:b/>
          <w:bCs/>
          <w:color w:val="000000"/>
          <w:szCs w:val="21"/>
        </w:rPr>
        <w:t>Supported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by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Nn10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ap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rogram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CB6B61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No.</w:t>
      </w:r>
      <w:proofErr w:type="gram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Nn10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2017-03.</w:t>
      </w:r>
      <w:proofErr w:type="gramEnd"/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Ying-Wei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Xue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A257B6">
        <w:rPr>
          <w:rFonts w:ascii="Book Antiqua" w:eastAsia="Book Antiqua" w:hAnsi="Book Antiqua" w:cs="Book Antiqua"/>
          <w:color w:val="000000"/>
        </w:rPr>
        <w:t>No.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</w:t>
      </w:r>
      <w:r w:rsidR="0026432D"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Haping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Road,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150081,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/>
        </w:rPr>
        <w:t>Heilongjiang</w:t>
      </w:r>
      <w:r w:rsidR="00CB6B6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Province,</w:t>
      </w:r>
      <w:r w:rsidR="00CB6B61">
        <w:rPr>
          <w:rFonts w:ascii="Book Antiqua" w:hAnsi="Book Antiqua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Pr="002D4633">
        <w:rPr>
          <w:rFonts w:ascii="Book Antiqua" w:hAnsi="Book Antiqua" w:cs="Book Antiqua"/>
          <w:color w:val="231F20"/>
          <w:szCs w:val="20"/>
        </w:rPr>
        <w:t>xueyingwei@hrbmu.edu.cn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August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B7139" w:rsidRPr="00AB7139">
        <w:rPr>
          <w:rFonts w:ascii="Book Antiqua" w:eastAsia="Book Antiqua" w:hAnsi="Book Antiqua" w:cs="Book Antiqua"/>
          <w:bCs/>
          <w:color w:val="000000"/>
        </w:rPr>
        <w:t>August 31, 2020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:rsidR="009242FC" w:rsidRDefault="009242FC">
      <w:pPr>
        <w:spacing w:line="360" w:lineRule="auto"/>
        <w:jc w:val="both"/>
        <w:sectPr w:rsidR="009242FC">
          <w:headerReference w:type="default" r:id="rId8"/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:rsidR="009242FC" w:rsidRDefault="00F327D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BE184B">
        <w:rPr>
          <w:rFonts w:ascii="Book Antiqua" w:eastAsia="Book Antiqua" w:hAnsi="Book Antiqua" w:cs="Book Antiqua"/>
          <w:color w:val="000000"/>
        </w:rPr>
        <w:t xml:space="preserve"> </w:t>
      </w:r>
      <w:r w:rsidR="0026432D">
        <w:rPr>
          <w:rFonts w:ascii="Book Antiqua" w:eastAsia="Book Antiqua" w:hAnsi="Book Antiqua" w:cs="Book Antiqua"/>
          <w:color w:val="000000"/>
        </w:rPr>
        <w:t>classification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gramStart"/>
      <w:r>
        <w:rPr>
          <w:rFonts w:ascii="Book Antiqua" w:eastAsia="Book Antiqua" w:hAnsi="Book Antiqua" w:cs="Book Antiqua"/>
          <w:color w:val="000000"/>
        </w:rPr>
        <w:t>type</w:t>
      </w:r>
      <w:r w:rsidR="0026432D">
        <w:rPr>
          <w:rFonts w:ascii="Book Antiqua" w:eastAsia="Book Antiqua" w:hAnsi="Book Antiqua" w:cs="Book Antiqua"/>
          <w:color w:val="000000"/>
        </w:rPr>
        <w:t>s</w:t>
      </w:r>
      <w:proofErr w:type="gram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I-IV)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26432D">
        <w:rPr>
          <w:rFonts w:ascii="Book Antiqua" w:eastAsia="Book Antiqua" w:hAnsi="Book Antiqua" w:cs="Book Antiqua"/>
          <w:color w:val="000000"/>
        </w:rPr>
        <w:t xml:space="preserve"> detection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6432D" w:rsidRPr="0026432D">
        <w:rPr>
          <w:rFonts w:ascii="Book Antiqua" w:eastAsia="Book Antiqua" w:hAnsi="Book Antiqua" w:cs="Book Antiqua"/>
          <w:color w:val="000000"/>
        </w:rPr>
        <w:t>lymphatic and/or blood vessel invasion (LBVI)</w:t>
      </w:r>
      <w:r w:rsidR="0026432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26432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26432D" w:rsidRPr="0026432D">
        <w:rPr>
          <w:rFonts w:ascii="Book Antiqua" w:eastAsia="Book Antiqua" w:hAnsi="Book Antiqua" w:cs="Book Antiqua"/>
          <w:color w:val="000000"/>
        </w:rPr>
        <w:t xml:space="preserve"> LBVI</w:t>
      </w:r>
      <w:r w:rsidR="0026432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6432D">
        <w:rPr>
          <w:rFonts w:ascii="Book Antiqua" w:eastAsia="Book Antiqua" w:hAnsi="Book Antiqua" w:cs="Book Antiqua"/>
          <w:color w:val="000000"/>
        </w:rPr>
        <w:t xml:space="preserve">in predicting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6432D">
        <w:rPr>
          <w:rFonts w:ascii="Book Antiqua" w:eastAsia="Book Antiqua" w:hAnsi="Book Antiqua" w:cs="Book Antiqua"/>
          <w:color w:val="000000"/>
        </w:rPr>
        <w:t xml:space="preserve">data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2604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6432D">
        <w:rPr>
          <w:rFonts w:ascii="Book Antiqua" w:eastAsia="Book Antiqua" w:hAnsi="Book Antiqua" w:cs="Book Antiqua"/>
          <w:color w:val="000000"/>
        </w:rPr>
        <w:t xml:space="preserve">at </w:t>
      </w:r>
      <w:r>
        <w:rPr>
          <w:rFonts w:ascii="Book Antiqua" w:eastAsia="Book Antiqua" w:hAnsi="Book Antiqua" w:cs="Book Antiqua"/>
          <w:color w:val="000000"/>
        </w:rPr>
        <w:t>Harbin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26432D">
        <w:rPr>
          <w:rFonts w:ascii="Book Antiqua" w:eastAsia="Book Antiqua" w:hAnsi="Book Antiqua" w:cs="Book Antiqua"/>
          <w:color w:val="000000"/>
        </w:rPr>
        <w:t>’s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χ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2604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The presence of </w:t>
      </w:r>
      <w:r>
        <w:rPr>
          <w:rFonts w:ascii="Book Antiqua" w:eastAsia="Book Antiqua" w:hAnsi="Book Antiqua" w:cs="Book Antiqua"/>
          <w:color w:val="000000"/>
        </w:rPr>
        <w:t>LVBI</w:t>
      </w:r>
      <w:r w:rsidR="00BE184B">
        <w:rPr>
          <w:rFonts w:ascii="Book Antiqua" w:eastAsia="Book Antiqua" w:hAnsi="Book Antiqua" w:cs="Book Antiqua"/>
          <w:color w:val="000000"/>
        </w:rPr>
        <w:t xml:space="preserve"> [LBVI (+)]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metastatic </w:t>
      </w:r>
      <w:r>
        <w:rPr>
          <w:rFonts w:ascii="Book Antiqua" w:eastAsia="Book Antiqua" w:hAnsi="Book Antiqua" w:cs="Book Antiqua"/>
          <w:color w:val="000000"/>
        </w:rPr>
        <w:t>lymph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BE184B"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similar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(16.4%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13.1%,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0.065)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(16.4%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11.2%,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0.112).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0.023),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0.012),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extent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BE18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Since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those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BE184B">
        <w:rPr>
          <w:rFonts w:ascii="Book Antiqua" w:eastAsia="Book Antiqua" w:hAnsi="Book Antiqua" w:cs="Book Antiqua"/>
          <w:color w:val="000000"/>
        </w:rPr>
        <w:t xml:space="preserve"> should be paid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>disease and</w:t>
      </w:r>
      <w:r w:rsidR="00BE184B" w:rsidDel="00BE18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Key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words: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Vascular</w:t>
      </w:r>
      <w:proofErr w:type="gram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Zhai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Zhu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Lou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YM,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CF,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Yu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XF,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Xue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YW.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 w:rsidRPr="00BE184B">
        <w:rPr>
          <w:rFonts w:ascii="Book Antiqua" w:eastAsia="Book Antiqua" w:hAnsi="Book Antiqua" w:cs="Book Antiqua"/>
          <w:color w:val="000000"/>
        </w:rPr>
        <w:t>Prognostic significance</w:t>
      </w:r>
      <w:r w:rsidR="00BE18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E18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B6B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CB6B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CB6B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</w:t>
      </w:r>
      <w:proofErr w:type="gram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:rsidR="009242FC" w:rsidRDefault="009242FC">
      <w:pPr>
        <w:spacing w:line="360" w:lineRule="auto"/>
        <w:jc w:val="both"/>
      </w:pPr>
      <w:bookmarkStart w:id="2" w:name="_GoBack"/>
      <w:bookmarkEnd w:id="2"/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Core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tip: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multimodal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BE18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E184B">
        <w:rPr>
          <w:rFonts w:ascii="Book Antiqua" w:eastAsia="Book Antiqua" w:hAnsi="Book Antiqua" w:cs="Book Antiqua"/>
          <w:color w:val="000000"/>
        </w:rPr>
        <w:t>signficance</w:t>
      </w:r>
      <w:proofErr w:type="spellEnd"/>
      <w:r w:rsidR="00BE18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>above two indexes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BE184B">
        <w:rPr>
          <w:rFonts w:ascii="Book Antiqua" w:eastAsia="Book Antiqua" w:hAnsi="Book Antiqua" w:cs="Book Antiqua"/>
          <w:color w:val="000000"/>
        </w:rPr>
        <w:t>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BE184B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BE184B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E184B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BE184B">
        <w:rPr>
          <w:rFonts w:ascii="Book Antiqua" w:eastAsia="Book Antiqua" w:hAnsi="Book Antiqua" w:cs="Book Antiqua"/>
          <w:color w:val="000000"/>
        </w:rPr>
        <w:t>, with an aim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future.</w:t>
      </w:r>
    </w:p>
    <w:p w:rsidR="00BE184B" w:rsidRDefault="00BE184B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705C5D">
        <w:rPr>
          <w:rFonts w:ascii="Book Antiqua" w:eastAsia="Book Antiqua" w:hAnsi="Book Antiqua" w:cs="Book Antiqua"/>
          <w:color w:val="000000"/>
        </w:rPr>
        <w:t xml:space="preserve"> 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705C5D">
        <w:rPr>
          <w:rFonts w:ascii="Book Antiqua" w:eastAsia="Book Antiqua" w:hAnsi="Book Antiqua" w:cs="Book Antiqua"/>
          <w:color w:val="000000"/>
        </w:rPr>
        <w:t xml:space="preserve"> 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 xml:space="preserve">gastric cancer (GC)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declining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>it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worldwide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450000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>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recorded,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10.6%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390000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05C5D">
        <w:rPr>
          <w:rFonts w:ascii="Book Antiqua" w:eastAsia="Book Antiqua" w:hAnsi="Book Antiqua" w:cs="Book Antiqua"/>
          <w:color w:val="000000"/>
        </w:rPr>
        <w:t>this malignancy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13.6%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cancer-related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deaths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>this malignancy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multimodal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improving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choices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 xml:space="preserve">metastatic </w:t>
      </w:r>
      <w:r>
        <w:rPr>
          <w:rFonts w:ascii="Book Antiqua" w:eastAsia="Book Antiqua" w:hAnsi="Book Antiqua" w:cs="Book Antiqua"/>
          <w:color w:val="000000"/>
        </w:rPr>
        <w:t>lymph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7C640E">
        <w:rPr>
          <w:rFonts w:ascii="Book Antiqua" w:eastAsia="Book Antiqua" w:hAnsi="Book Antiqua" w:cs="Book Antiqua"/>
          <w:color w:val="000000"/>
        </w:rPr>
        <w:t>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>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(AGC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4,5]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correct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strategy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perfecting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stage.</w:t>
      </w:r>
    </w:p>
    <w:p w:rsidR="009242FC" w:rsidRDefault="00CB6B6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   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appearance-based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t>Borrmann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classification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(type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I-IV)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easily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determined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preoperative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endoscopy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macroscopic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pathology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resection,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enabling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currently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surgeons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t>endoscopists</w:t>
      </w:r>
      <w:proofErr w:type="spellEnd"/>
      <w:r w:rsidR="00F327DF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 xml:space="preserve">and has been </w:t>
      </w:r>
      <w:r w:rsidR="00F327DF">
        <w:rPr>
          <w:rFonts w:ascii="Book Antiqua" w:eastAsia="Book Antiqua" w:hAnsi="Book Antiqua" w:cs="Book Antiqua"/>
          <w:color w:val="000000"/>
        </w:rPr>
        <w:t>widely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accepted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radiologists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considered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effective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classification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valuable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7C640E">
        <w:rPr>
          <w:rFonts w:ascii="Book Antiqua" w:eastAsia="Book Antiqua" w:hAnsi="Book Antiqua" w:cs="Book Antiqua"/>
          <w:color w:val="000000"/>
        </w:rPr>
        <w:t>clinico</w:t>
      </w:r>
      <w:r w:rsidR="00F327DF">
        <w:rPr>
          <w:rFonts w:ascii="Book Antiqua" w:eastAsia="Book Antiqua" w:hAnsi="Book Antiqua" w:cs="Book Antiqua"/>
          <w:color w:val="000000"/>
        </w:rPr>
        <w:t>pathological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feature</w:t>
      </w:r>
      <w:r w:rsidR="00F327DF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F327DF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Although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features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each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t>Borrmann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 xml:space="preserve">type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studied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before,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prognostic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value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macroscopic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t>Borrmann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classification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>AGC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still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not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uniform.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>L</w:t>
      </w:r>
      <w:r w:rsidR="007C640E" w:rsidRPr="0026432D">
        <w:rPr>
          <w:rFonts w:ascii="Book Antiqua" w:eastAsia="Book Antiqua" w:hAnsi="Book Antiqua" w:cs="Book Antiqua"/>
          <w:color w:val="000000"/>
        </w:rPr>
        <w:t>ymphatic and/or blood vessel invasion (LBVI)</w:t>
      </w:r>
      <w:r w:rsidR="007C640E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defined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presence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tumor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fibrin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clots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blood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cells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gaps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within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endothelial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327DF">
        <w:rPr>
          <w:rFonts w:ascii="Book Antiqua" w:eastAsia="Book Antiqua" w:hAnsi="Book Antiqua" w:cs="Book Antiqua"/>
          <w:color w:val="000000"/>
        </w:rPr>
        <w:t>cells</w:t>
      </w:r>
      <w:r w:rsidR="00F327D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327DF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F327DF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includes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vascular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infiltration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lymphatic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invasion.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Previous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shown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 w:rsidRPr="0026432D">
        <w:rPr>
          <w:rFonts w:ascii="Book Antiqua" w:eastAsia="Book Antiqua" w:hAnsi="Book Antiqua" w:cs="Book Antiqua"/>
          <w:color w:val="000000"/>
        </w:rPr>
        <w:t>LBVI</w:t>
      </w:r>
      <w:r w:rsidR="00F327DF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new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biomarker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survival,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closely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considered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important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step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distant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lymph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node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327DF">
        <w:rPr>
          <w:rFonts w:ascii="Book Antiqua" w:eastAsia="Book Antiqua" w:hAnsi="Book Antiqua" w:cs="Book Antiqua"/>
          <w:color w:val="000000"/>
        </w:rPr>
        <w:t>metastasis</w:t>
      </w:r>
      <w:r w:rsidR="00F327D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327DF">
        <w:rPr>
          <w:rFonts w:ascii="Book Antiqua" w:eastAsia="Book Antiqua" w:hAnsi="Book Antiqua" w:cs="Book Antiqua"/>
          <w:color w:val="000000"/>
          <w:vertAlign w:val="superscript"/>
        </w:rPr>
        <w:t>8,9]</w:t>
      </w:r>
      <w:r w:rsidR="00F327DF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Many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shown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that</w:t>
      </w:r>
      <w:r w:rsidR="007C64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lastRenderedPageBreak/>
        <w:t>Borrmann</w:t>
      </w:r>
      <w:proofErr w:type="spellEnd"/>
      <w:r w:rsidR="007C640E">
        <w:rPr>
          <w:rFonts w:ascii="Book Antiqua" w:eastAsia="Book Antiqua" w:hAnsi="Book Antiqua" w:cs="Book Antiqua"/>
          <w:color w:val="000000"/>
        </w:rPr>
        <w:t xml:space="preserve"> type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 w:rsidRPr="0026432D">
        <w:rPr>
          <w:rFonts w:ascii="Book Antiqua" w:eastAsia="Book Antiqua" w:hAnsi="Book Antiqua" w:cs="Book Antiqua"/>
          <w:color w:val="000000"/>
        </w:rPr>
        <w:t>LBVI</w:t>
      </w:r>
      <w:r w:rsidR="007C640E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independent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7C640E">
        <w:rPr>
          <w:rFonts w:ascii="Book Antiqua" w:eastAsia="Book Antiqua" w:hAnsi="Book Antiqua" w:cs="Book Antiqua"/>
          <w:color w:val="000000"/>
        </w:rPr>
        <w:t>AGC</w:t>
      </w:r>
      <w:r w:rsidR="00F327DF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327DF">
        <w:rPr>
          <w:rFonts w:ascii="Book Antiqua" w:eastAsia="Book Antiqua" w:hAnsi="Book Antiqua" w:cs="Book Antiqua"/>
          <w:color w:val="000000"/>
          <w:vertAlign w:val="superscript"/>
        </w:rPr>
        <w:t>9,10]</w:t>
      </w:r>
      <w:r w:rsidR="00F327DF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analyzed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prognostic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 xml:space="preserve">significance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combination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>two indexes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>AGC</w:t>
      </w:r>
      <w:r w:rsidR="00F327DF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Therefore,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retrospectively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analyzed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data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2604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>AGC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diagnosed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pathology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2009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2013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Harbin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Medical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University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Hospital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 xml:space="preserve">explore </w:t>
      </w:r>
      <w:r w:rsidR="00F327DF">
        <w:rPr>
          <w:rFonts w:ascii="Book Antiqua" w:eastAsia="Book Antiqua" w:hAnsi="Book Antiqua" w:cs="Book Antiqua"/>
          <w:color w:val="000000"/>
        </w:rPr>
        <w:t>whether</w:t>
      </w:r>
      <w:r w:rsidR="007C640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t>Borrmann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 xml:space="preserve">type </w:t>
      </w:r>
      <w:r w:rsidR="00F327DF">
        <w:rPr>
          <w:rFonts w:ascii="Book Antiqua" w:eastAsia="Book Antiqua" w:hAnsi="Book Antiqua" w:cs="Book Antiqua"/>
          <w:color w:val="000000"/>
        </w:rPr>
        <w:t>combined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7C640E" w:rsidRPr="0026432D">
        <w:rPr>
          <w:rFonts w:ascii="Book Antiqua" w:eastAsia="Book Antiqua" w:hAnsi="Book Antiqua" w:cs="Book Antiqua"/>
          <w:color w:val="000000"/>
        </w:rPr>
        <w:t>LBVI</w:t>
      </w:r>
      <w:r w:rsidR="007C640E" w:rsidDel="007C640E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has</w:t>
      </w:r>
      <w:r w:rsidR="007C640E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prognostic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significance</w:t>
      </w:r>
      <w:r w:rsidR="007C640E">
        <w:rPr>
          <w:rFonts w:ascii="Book Antiqua" w:eastAsia="Book Antiqua" w:hAnsi="Book Antiqua" w:cs="Book Antiqua"/>
          <w:color w:val="000000"/>
        </w:rPr>
        <w:t xml:space="preserve"> in AGC, with an aim </w:t>
      </w:r>
      <w:r w:rsidR="00F327DF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provide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basis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clinicians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treat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predict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future.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B6B6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B6B6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 xml:space="preserve">retrospective </w:t>
      </w:r>
      <w:r>
        <w:rPr>
          <w:rFonts w:ascii="Book Antiqua" w:eastAsia="Book Antiqua" w:hAnsi="Book Antiqua" w:cs="Book Antiqua"/>
          <w:color w:val="000000"/>
        </w:rPr>
        <w:t>study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 xml:space="preserve">performed </w:t>
      </w:r>
      <w:r>
        <w:rPr>
          <w:rFonts w:ascii="Book Antiqua" w:eastAsia="Book Antiqua" w:hAnsi="Book Antiqua" w:cs="Book Antiqua"/>
          <w:color w:val="000000"/>
        </w:rPr>
        <w:t>from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7C640E">
        <w:rPr>
          <w:rFonts w:ascii="Book Antiqua" w:eastAsia="Book Antiqua" w:hAnsi="Book Antiqua" w:cs="Book Antiqua"/>
          <w:color w:val="000000"/>
        </w:rPr>
        <w:t xml:space="preserve">, including </w:t>
      </w:r>
      <w:r>
        <w:rPr>
          <w:rFonts w:ascii="Book Antiqua" w:eastAsia="Book Antiqua" w:hAnsi="Book Antiqua" w:cs="Book Antiqua"/>
          <w:color w:val="000000"/>
        </w:rPr>
        <w:t>2604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7C640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B17184">
        <w:rPr>
          <w:rFonts w:ascii="Book Antiqua" w:eastAsia="Book Antiqua" w:hAnsi="Book Antiqua" w:cs="Book Antiqua"/>
          <w:color w:val="000000"/>
        </w:rPr>
        <w:t xml:space="preserve"> surgical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for AGC </w:t>
      </w:r>
      <w:r>
        <w:rPr>
          <w:rFonts w:ascii="Book Antiqua" w:eastAsia="Book Antiqua" w:hAnsi="Book Antiqua" w:cs="Book Antiqua"/>
          <w:color w:val="000000"/>
        </w:rPr>
        <w:t>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 xml:space="preserve">Department of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7C640E"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January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>All 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had </w:t>
      </w:r>
      <w:r>
        <w:rPr>
          <w:rFonts w:ascii="Book Antiqua" w:eastAsia="Book Antiqua" w:hAnsi="Book Antiqua" w:cs="Book Antiqua"/>
          <w:color w:val="000000"/>
        </w:rPr>
        <w:t>complete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B17184"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B17184">
        <w:rPr>
          <w:rFonts w:ascii="Book Antiqua" w:eastAsia="Book Antiqua" w:hAnsi="Book Antiqua" w:cs="Book Antiqua"/>
          <w:color w:val="000000"/>
        </w:rPr>
        <w:t xml:space="preserve"> type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 w:rsidRPr="0026432D">
        <w:rPr>
          <w:rFonts w:ascii="Book Antiqua" w:eastAsia="Book Antiqua" w:hAnsi="Book Antiqua" w:cs="Book Antiqua"/>
          <w:color w:val="000000"/>
        </w:rPr>
        <w:t>LBVI</w:t>
      </w:r>
      <w:r w:rsidR="00B17184" w:rsidDel="00B1718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metastatic </w:t>
      </w:r>
      <w:r>
        <w:rPr>
          <w:rFonts w:ascii="Book Antiqua" w:eastAsia="Book Antiqua" w:hAnsi="Book Antiqua" w:cs="Book Antiqua"/>
          <w:color w:val="000000"/>
        </w:rPr>
        <w:t>lymph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by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B17184"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Eighth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Cancer/International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Alliance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(AJCC/UICC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11]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>AGC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muscular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lamina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1718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Against</w:t>
      </w:r>
      <w:proofErr w:type="gram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(UICC),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R0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R1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R2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B17184">
        <w:rPr>
          <w:rFonts w:ascii="Book Antiqua" w:eastAsia="Book Antiqua" w:hAnsi="Book Antiqua" w:cs="Book Antiqua"/>
          <w:color w:val="000000"/>
        </w:rPr>
        <w:t xml:space="preserve"> 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microscope </w:t>
      </w:r>
      <w:r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eye.</w:t>
      </w:r>
    </w:p>
    <w:p w:rsidR="009242FC" w:rsidRDefault="00F327DF" w:rsidP="00B26B9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incomplete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perioperative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radiochemotherapy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(lymphoma,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etc</w:t>
      </w:r>
      <w:r>
        <w:rPr>
          <w:rFonts w:ascii="Book Antiqua" w:eastAsia="Book Antiqua" w:hAnsi="Book Antiqua" w:cs="Book Antiqua"/>
          <w:color w:val="000000"/>
        </w:rPr>
        <w:t>.)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or </w:t>
      </w:r>
      <w:r>
        <w:rPr>
          <w:rFonts w:ascii="Book Antiqua" w:eastAsia="Book Antiqua" w:hAnsi="Book Antiqua" w:cs="Book Antiqua"/>
          <w:color w:val="000000"/>
        </w:rPr>
        <w:t>other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17184" w:rsidRPr="002C7F40">
        <w:rPr>
          <w:rFonts w:ascii="Book Antiqua" w:eastAsia="Book Antiqua" w:hAnsi="Book Antiqua" w:cs="Book Antiqua"/>
          <w:i/>
          <w:color w:val="000000"/>
        </w:rPr>
        <w:t>e.g.</w:t>
      </w:r>
      <w:r w:rsidR="00B17184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lastRenderedPageBreak/>
        <w:t>colorectal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cancer);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palliative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stump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patients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B17184">
        <w:rPr>
          <w:rFonts w:ascii="Book Antiqua" w:eastAsia="Book Antiqua" w:hAnsi="Book Antiqua" w:cs="Book Antiqua"/>
          <w:color w:val="000000"/>
        </w:rPr>
        <w:t xml:space="preserve"> patients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2604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Pathological</w:t>
      </w:r>
      <w:r w:rsidR="00CB6B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Japanese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classification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12]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pathologist.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type was </w:t>
      </w:r>
      <w:r>
        <w:rPr>
          <w:rFonts w:ascii="Book Antiqua" w:eastAsia="Book Antiqua" w:hAnsi="Book Antiqua" w:cs="Book Antiqua"/>
          <w:color w:val="000000"/>
        </w:rPr>
        <w:t>defined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follows:</w:t>
      </w:r>
      <w:r w:rsidR="00CB6B61">
        <w:rPr>
          <w:rFonts w:ascii="Book Antiqua" w:eastAsia="Book Antiqua" w:hAnsi="Book Antiqua" w:cs="Book Antiqua"/>
          <w:color w:val="000000"/>
        </w:rPr>
        <w:t xml:space="preserve"> T</w:t>
      </w:r>
      <w:r>
        <w:rPr>
          <w:rFonts w:ascii="Book Antiqua" w:eastAsia="Book Antiqua" w:hAnsi="Book Antiqua" w:cs="Book Antiqua"/>
          <w:color w:val="000000"/>
        </w:rPr>
        <w:t>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I:</w:t>
      </w:r>
      <w:r w:rsidR="00CB6B61">
        <w:rPr>
          <w:rFonts w:ascii="Book Antiqua" w:eastAsia="Book Antiqua" w:hAnsi="Book Antiqua" w:cs="Book Antiqua"/>
          <w:color w:val="000000"/>
        </w:rPr>
        <w:t xml:space="preserve"> P</w:t>
      </w:r>
      <w:r>
        <w:rPr>
          <w:rFonts w:ascii="Book Antiqua" w:eastAsia="Book Antiqua" w:hAnsi="Book Antiqua" w:cs="Book Antiqua"/>
          <w:color w:val="000000"/>
        </w:rPr>
        <w:t>olypoid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demarcated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mucosa;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II:</w:t>
      </w:r>
      <w:r w:rsidR="00CB6B61">
        <w:rPr>
          <w:rFonts w:ascii="Book Antiqua" w:eastAsia="Book Antiqua" w:hAnsi="Book Antiqua" w:cs="Book Antiqua"/>
          <w:color w:val="000000"/>
        </w:rPr>
        <w:t xml:space="preserve"> U</w:t>
      </w:r>
      <w:r>
        <w:rPr>
          <w:rFonts w:ascii="Book Antiqua" w:eastAsia="Book Antiqua" w:hAnsi="Book Antiqua" w:cs="Book Antiqua"/>
          <w:color w:val="000000"/>
        </w:rPr>
        <w:t>lcerative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border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elevation;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III:</w:t>
      </w:r>
      <w:r w:rsidR="00CB6B61">
        <w:rPr>
          <w:rFonts w:ascii="Book Antiqua" w:eastAsia="Book Antiqua" w:hAnsi="Book Antiqua" w:cs="Book Antiqua"/>
          <w:color w:val="000000"/>
        </w:rPr>
        <w:t xml:space="preserve"> U</w:t>
      </w:r>
      <w:r>
        <w:rPr>
          <w:rFonts w:ascii="Book Antiqua" w:eastAsia="Book Antiqua" w:hAnsi="Book Antiqua" w:cs="Book Antiqua"/>
          <w:color w:val="000000"/>
        </w:rPr>
        <w:t>lcerative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boundary,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surrounding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IV:</w:t>
      </w:r>
      <w:r w:rsidR="00CB6B61">
        <w:rPr>
          <w:rFonts w:ascii="Book Antiqua" w:eastAsia="Book Antiqua" w:hAnsi="Book Antiqua" w:cs="Book Antiqua"/>
          <w:color w:val="000000"/>
        </w:rPr>
        <w:t xml:space="preserve"> D</w:t>
      </w:r>
      <w:r>
        <w:rPr>
          <w:rFonts w:ascii="Book Antiqua" w:eastAsia="Book Antiqua" w:hAnsi="Book Antiqua" w:cs="Book Antiqua"/>
          <w:color w:val="000000"/>
        </w:rPr>
        <w:t>iffuse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no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separate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</w:p>
    <w:p w:rsidR="009242FC" w:rsidRDefault="00F327D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Vascular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was </w:t>
      </w:r>
      <w:r>
        <w:rPr>
          <w:rFonts w:ascii="Book Antiqua" w:eastAsia="Book Antiqua" w:hAnsi="Book Antiqua" w:cs="Book Antiqua"/>
          <w:color w:val="000000"/>
        </w:rPr>
        <w:t>defined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emboli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endothelial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made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distinguish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blood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>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hematoxylin-eosin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 xml:space="preserve">(HE) </w:t>
      </w:r>
      <w:r>
        <w:rPr>
          <w:rFonts w:ascii="Book Antiqua" w:eastAsia="Book Antiqua" w:hAnsi="Book Antiqua" w:cs="Book Antiqua"/>
          <w:color w:val="000000"/>
        </w:rPr>
        <w:t>staining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immunohistochemical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specimens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procedures;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HE</w:t>
      </w:r>
      <w:proofErr w:type="gram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immunohistochemical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B17184">
        <w:rPr>
          <w:rFonts w:ascii="Book Antiqua" w:eastAsia="Book Antiqua" w:hAnsi="Book Antiqua" w:cs="Book Antiqua"/>
          <w:color w:val="000000"/>
        </w:rPr>
        <w:t xml:space="preserve"> for CD34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lymphatic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B17184">
        <w:rPr>
          <w:rFonts w:ascii="Book Antiqua" w:eastAsia="Book Antiqua" w:hAnsi="Book Antiqua" w:cs="Book Antiqua"/>
          <w:color w:val="000000"/>
        </w:rPr>
        <w:t xml:space="preserve">detected by HE staining and </w:t>
      </w:r>
      <w:proofErr w:type="spellStart"/>
      <w:r w:rsidR="00B17184">
        <w:rPr>
          <w:rFonts w:ascii="Book Antiqua" w:eastAsia="Book Antiqua" w:hAnsi="Book Antiqua" w:cs="Book Antiqua"/>
          <w:color w:val="000000"/>
        </w:rPr>
        <w:t>immunohistochemical</w:t>
      </w:r>
      <w:proofErr w:type="spellEnd"/>
      <w:r w:rsidR="00B17184">
        <w:rPr>
          <w:rFonts w:ascii="Book Antiqua" w:eastAsia="Book Antiqua" w:hAnsi="Book Antiqua" w:cs="Book Antiqua"/>
          <w:color w:val="000000"/>
        </w:rPr>
        <w:t xml:space="preserve"> staining for</w:t>
      </w:r>
      <w:r w:rsidR="00B17184" w:rsidDel="00B1718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S-100.</w:t>
      </w:r>
    </w:p>
    <w:p w:rsidR="009242FC" w:rsidRDefault="009242FC">
      <w:pPr>
        <w:spacing w:line="360" w:lineRule="auto"/>
        <w:ind w:firstLine="480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CB6B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input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EC60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commercially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 xml:space="preserve">SPSS 22.0 </w:t>
      </w:r>
      <w:r>
        <w:rPr>
          <w:rFonts w:ascii="Book Antiqua" w:eastAsia="Book Antiqua" w:hAnsi="Book Antiqua" w:cs="Book Antiqua"/>
          <w:color w:val="000000"/>
        </w:rPr>
        <w:t>software,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 xml:space="preserve">all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>analyses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EC60DA">
        <w:rPr>
          <w:rFonts w:ascii="Book Antiqua" w:eastAsia="Book Antiqua" w:hAnsi="Book Antiqua" w:cs="Book Antiqua"/>
          <w:color w:val="000000"/>
        </w:rPr>
        <w:t>’s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χ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Student's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Pr="002C7F40">
        <w:rPr>
          <w:rFonts w:ascii="Book Antiqua" w:eastAsia="Book Antiqua" w:hAnsi="Book Antiqua" w:cs="Book Antiqua"/>
          <w:i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-test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multivariate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EC60DA">
        <w:rPr>
          <w:rFonts w:ascii="Book Antiqua" w:eastAsia="Book Antiqua" w:hAnsi="Book Antiqua" w:cs="Book Antiqua"/>
          <w:color w:val="000000"/>
        </w:rPr>
        <w:t>. 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Follow-up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EC60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outpatient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phone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calls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1-2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3-5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operation.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</w:t>
      </w:r>
      <w:proofErr w:type="gramEnd"/>
      <w:r>
        <w:rPr>
          <w:rFonts w:ascii="Book Antiqua" w:eastAsia="Book Antiqua" w:hAnsi="Book Antiqua" w:cs="Book Antiqua"/>
          <w:color w:val="000000"/>
        </w:rPr>
        <w:t>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:rsidR="009242FC" w:rsidRDefault="00F327D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Clinicopathological</w:t>
      </w:r>
      <w:proofErr w:type="spellEnd"/>
      <w:r w:rsidR="00CB6B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features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2604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>AGC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1939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 xml:space="preserve">(74.4%)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</w:t>
      </w:r>
      <w:r w:rsidR="00EC60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665</w:t>
      </w:r>
      <w:r w:rsidR="00EC60DA">
        <w:rPr>
          <w:rFonts w:ascii="Book Antiqua" w:eastAsia="Book Antiqua" w:hAnsi="Book Antiqua" w:cs="Book Antiqua"/>
          <w:color w:val="000000"/>
        </w:rPr>
        <w:t xml:space="preserve"> (25.6%)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1586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(60.9%)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gastrectomy,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(9.0%)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784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(30.1%)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gastrectomy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gastrectomy,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123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 xml:space="preserve">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 xml:space="preserve">disease </w:t>
      </w:r>
      <w:r>
        <w:rPr>
          <w:rFonts w:ascii="Book Antiqua" w:eastAsia="Book Antiqua" w:hAnsi="Book Antiqua" w:cs="Book Antiqua"/>
          <w:color w:val="000000"/>
        </w:rPr>
        <w:t>(4.7%),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464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 xml:space="preserve">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(17.8%),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1663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 xml:space="preserve">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(63.8%),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354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 xml:space="preserve">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(13.5%).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16.9%,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13.8%,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20.4%,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15.0%,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22.5%</w:t>
      </w:r>
      <w:r w:rsidR="00EC60DA">
        <w:rPr>
          <w:rFonts w:ascii="Book Antiqua" w:eastAsia="Book Antiqua" w:hAnsi="Book Antiqua" w:cs="Book Antiqua"/>
          <w:color w:val="000000"/>
        </w:rPr>
        <w:t>, respectively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</w:p>
    <w:p w:rsidR="009242FC" w:rsidRDefault="00F327DF" w:rsidP="0073298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Table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>LVBI</w:t>
      </w:r>
      <w:r w:rsidR="00EC60DA" w:rsidDel="00EC60D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EC60DA">
        <w:rPr>
          <w:rFonts w:ascii="Book Antiqua" w:eastAsia="Book Antiqua" w:hAnsi="Book Antiqua" w:cs="Book Antiqua"/>
          <w:color w:val="000000"/>
        </w:rPr>
        <w:t>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LVBI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 xml:space="preserve">metastatic </w:t>
      </w:r>
      <w:r>
        <w:rPr>
          <w:rFonts w:ascii="Book Antiqua" w:eastAsia="Book Antiqua" w:hAnsi="Book Antiqua" w:cs="Book Antiqua"/>
          <w:color w:val="000000"/>
        </w:rPr>
        <w:t>lymph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EC60DA"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60DA"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</w:p>
    <w:p w:rsidR="009242FC" w:rsidRDefault="009242FC">
      <w:pPr>
        <w:spacing w:line="360" w:lineRule="auto"/>
        <w:ind w:firstLine="480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Survival</w:t>
      </w:r>
      <w:r w:rsidR="00CB6B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outcomes</w:t>
      </w:r>
      <w:r w:rsidR="00CB6B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B6B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prognostic</w:t>
      </w:r>
      <w:r w:rsidR="00CB6B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Regarding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EC53B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EC53BE">
        <w:rPr>
          <w:rFonts w:ascii="Book Antiqua" w:eastAsia="Book Antiqua" w:hAnsi="Book Antiqua" w:cs="Book Antiqua"/>
          <w:color w:val="000000"/>
        </w:rPr>
        <w:t xml:space="preserve"> demonstrated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53BE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EC53BE">
        <w:rPr>
          <w:rFonts w:ascii="Book Antiqua" w:eastAsia="Book Antiqua" w:hAnsi="Book Antiqua" w:cs="Book Antiqua"/>
          <w:color w:val="000000"/>
        </w:rPr>
        <w:t xml:space="preserve">LVBI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extent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566AFD">
        <w:rPr>
          <w:rFonts w:ascii="Book Antiqua" w:eastAsia="Book Antiqua" w:hAnsi="Book Antiqua" w:cs="Book Antiqua"/>
          <w:color w:val="000000"/>
        </w:rPr>
        <w:t xml:space="preserve"> 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ultivariate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566AFD">
        <w:rPr>
          <w:rFonts w:ascii="Book Antiqua" w:eastAsia="Book Antiqua" w:hAnsi="Book Antiqua" w:cs="Book Antiqua"/>
          <w:color w:val="000000"/>
        </w:rPr>
        <w:t xml:space="preserve"> 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0.023),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vascular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0.012),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extent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</w:p>
    <w:p w:rsidR="009242FC" w:rsidRDefault="00F327D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Figure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patients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types </w:t>
      </w:r>
      <w:r>
        <w:rPr>
          <w:rFonts w:ascii="Book Antiqua" w:eastAsia="Book Antiqua" w:hAnsi="Book Antiqua" w:cs="Book Antiqua"/>
          <w:color w:val="000000"/>
        </w:rPr>
        <w:t>I-IV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diseases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1B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66AFD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patient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566AFD">
        <w:rPr>
          <w:rFonts w:ascii="Book Antiqua" w:eastAsia="Book Antiqua" w:hAnsi="Book Antiqua" w:cs="Book Antiqua"/>
          <w:color w:val="000000"/>
        </w:rPr>
        <w:t xml:space="preserve"> disease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(16.4%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 w:rsidRPr="002C7F40">
        <w:rPr>
          <w:rFonts w:ascii="Book Antiqua" w:eastAsia="Book Antiqua" w:hAnsi="Book Antiqua" w:cs="Book Antiqua"/>
          <w:i/>
          <w:color w:val="000000"/>
        </w:rPr>
        <w:t>vs</w:t>
      </w:r>
      <w:r w:rsidR="00566A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29.1%,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</w:t>
      </w:r>
      <w:r w:rsidR="00566AFD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Figure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2C),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result in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among patients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types </w:t>
      </w:r>
      <w:r>
        <w:rPr>
          <w:rFonts w:ascii="Book Antiqua" w:eastAsia="Book Antiqua" w:hAnsi="Book Antiqua" w:cs="Book Antiqua"/>
          <w:color w:val="000000"/>
        </w:rPr>
        <w:t>I,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disease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0.660,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0.281,</w:t>
      </w:r>
      <w:r w:rsidR="00CB6B61" w:rsidRPr="002C7F40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566AFD" w:rsidRPr="002C7F40">
        <w:rPr>
          <w:rFonts w:ascii="Book Antiqua" w:eastAsia="Book Antiqua" w:hAnsi="Book Antiqua" w:cs="Book Antiqua"/>
          <w:iCs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0.793</w:t>
      </w:r>
      <w:r w:rsidR="00566AFD">
        <w:rPr>
          <w:rFonts w:ascii="Book Antiqua" w:eastAsia="Book Antiqua" w:hAnsi="Book Antiqua" w:cs="Book Antiqua"/>
          <w:color w:val="000000"/>
        </w:rPr>
        <w:t xml:space="preserve">, respectively; </w:t>
      </w:r>
      <w:r>
        <w:rPr>
          <w:rFonts w:ascii="Book Antiqua" w:eastAsia="Book Antiqua" w:hAnsi="Book Antiqua" w:cs="Book Antiqua"/>
          <w:color w:val="000000"/>
        </w:rPr>
        <w:t>Figure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2A,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566AFD"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D).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nteresting</w:t>
      </w:r>
      <w:r w:rsidR="00566AFD">
        <w:rPr>
          <w:rFonts w:ascii="Book Antiqua" w:eastAsia="Book Antiqua" w:hAnsi="Book Antiqua" w:cs="Book Antiqua"/>
          <w:color w:val="000000"/>
        </w:rPr>
        <w:t xml:space="preserve">ly, patients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those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(16.4%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13.1%,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0.065</w:t>
      </w:r>
      <w:r w:rsidR="00566AFD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Figure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3A).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type </w:t>
      </w:r>
      <w:proofErr w:type="gramStart"/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 disease</w:t>
      </w:r>
      <w:proofErr w:type="gramEnd"/>
      <w:r w:rsidR="00566AFD">
        <w:rPr>
          <w:rFonts w:ascii="Book Antiqua" w:eastAsia="Book Antiqua" w:hAnsi="Book Antiqua" w:cs="Book Antiqua"/>
          <w:color w:val="000000"/>
        </w:rPr>
        <w:t xml:space="preserve">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two </w:t>
      </w:r>
      <w:r>
        <w:rPr>
          <w:rFonts w:ascii="Book Antiqua" w:eastAsia="Book Antiqua" w:hAnsi="Book Antiqua" w:cs="Book Antiqua"/>
          <w:color w:val="000000"/>
        </w:rPr>
        <w:t>groups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(16.4%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11.2%,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0.112</w:t>
      </w:r>
      <w:r w:rsidR="00566AFD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Figure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3B).</w:t>
      </w:r>
    </w:p>
    <w:p w:rsidR="009242FC" w:rsidRDefault="00F327D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pT2,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pT3,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pT4a</w:t>
      </w:r>
      <w:r w:rsidR="00566AFD"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pT4b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566AFD">
        <w:rPr>
          <w:rFonts w:ascii="Book Antiqua" w:eastAsia="Book Antiqua" w:hAnsi="Book Antiqua" w:cs="Book Antiqua"/>
          <w:color w:val="000000"/>
        </w:rPr>
        <w:t xml:space="preserve"> 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those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566AFD" w:rsidRPr="00566AFD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0.368,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0.202,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0.058,</w:t>
      </w:r>
      <w:r w:rsidR="00566AFD">
        <w:rPr>
          <w:rFonts w:ascii="Book Antiqua" w:eastAsia="Book Antiqua" w:hAnsi="Book Antiqua" w:cs="Book Antiqua"/>
          <w:color w:val="000000"/>
        </w:rPr>
        <w:t xml:space="preserve"> 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0.314,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respectively; </w:t>
      </w:r>
      <w:r>
        <w:rPr>
          <w:rFonts w:ascii="Book Antiqua" w:eastAsia="Book Antiqua" w:hAnsi="Book Antiqua" w:cs="Book Antiqua"/>
          <w:color w:val="000000"/>
        </w:rPr>
        <w:t>Figure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4).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located in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1/3,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1/3,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1/3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overlapping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>disease</w:t>
      </w:r>
      <w:r w:rsidR="00566AFD" w:rsidDel="00566AFD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66AFD">
        <w:rPr>
          <w:rFonts w:ascii="Book Antiqua" w:eastAsia="Book Antiqua" w:hAnsi="Book Antiqua" w:cs="Book Antiqua"/>
          <w:color w:val="000000"/>
        </w:rPr>
        <w:t>disease</w:t>
      </w:r>
      <w:r w:rsidR="00566AFD" w:rsidDel="00566AFD">
        <w:rPr>
          <w:rFonts w:ascii="Book Antiqua" w:eastAsia="Book Antiqua" w:hAnsi="Book Antiqua" w:cs="Book Antiqua"/>
          <w:color w:val="000000"/>
        </w:rPr>
        <w:t xml:space="preserve"> 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566AFD">
        <w:rPr>
          <w:rFonts w:ascii="Book Antiqua" w:eastAsia="Book Antiqua" w:hAnsi="Book Antiqua" w:cs="Book Antiqua"/>
          <w:color w:val="000000"/>
        </w:rPr>
        <w:t>and</w:t>
      </w:r>
      <w:proofErr w:type="gramEnd"/>
      <w:r w:rsidR="00566AFD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0.205,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0.928,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0.301,</w:t>
      </w:r>
      <w:r w:rsidR="00566AFD">
        <w:rPr>
          <w:rFonts w:ascii="Book Antiqua" w:eastAsia="Book Antiqua" w:hAnsi="Book Antiqua" w:cs="Book Antiqua"/>
          <w:color w:val="000000"/>
        </w:rPr>
        <w:t xml:space="preserve"> 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0.532,</w:t>
      </w:r>
      <w:r w:rsidR="00566AFD">
        <w:rPr>
          <w:rFonts w:ascii="Book Antiqua" w:eastAsia="Book Antiqua" w:hAnsi="Book Antiqua" w:cs="Book Antiqua"/>
          <w:color w:val="000000"/>
        </w:rPr>
        <w:t xml:space="preserve"> respectively;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recognized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187C93">
        <w:rPr>
          <w:rFonts w:ascii="Book Antiqua" w:eastAsia="Book Antiqua" w:hAnsi="Book Antiqua" w:cs="Book Antiqua"/>
          <w:color w:val="000000"/>
        </w:rPr>
        <w:t xml:space="preserve">types </w:t>
      </w:r>
      <w:r>
        <w:rPr>
          <w:rFonts w:ascii="Book Antiqua" w:eastAsia="Book Antiqua" w:hAnsi="Book Antiqua" w:cs="Book Antiqua"/>
          <w:color w:val="000000"/>
        </w:rPr>
        <w:t>I-IV)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macroscopic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>AGC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accepted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>
        <w:rPr>
          <w:rFonts w:ascii="Book Antiqua" w:eastAsia="Book Antiqua" w:hAnsi="Book Antiqua" w:cs="Book Antiqua"/>
          <w:color w:val="000000"/>
          <w:vertAlign w:val="superscript"/>
        </w:rPr>
        <w:t>[14,15]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187C9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>in 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nodes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16]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effectiveness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GC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>AGC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</w:t>
      </w:r>
      <w:proofErr w:type="gramStart"/>
      <w:r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17]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aimed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>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simple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plans.</w:t>
      </w:r>
    </w:p>
    <w:p w:rsidR="009242FC" w:rsidRDefault="00F327DF">
      <w:pPr>
        <w:spacing w:line="360" w:lineRule="auto"/>
        <w:ind w:firstLine="400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jointly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>AGC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resulted in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187C93">
        <w:rPr>
          <w:rFonts w:ascii="Book Antiqua" w:eastAsia="Book Antiqua" w:hAnsi="Book Antiqua" w:cs="Book Antiqua"/>
          <w:color w:val="000000"/>
        </w:rPr>
        <w:t xml:space="preserve"> patients 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types </w:t>
      </w:r>
      <w:r>
        <w:rPr>
          <w:rFonts w:ascii="Book Antiqua" w:eastAsia="Book Antiqua" w:hAnsi="Book Antiqua" w:cs="Book Antiqua"/>
          <w:color w:val="000000"/>
        </w:rPr>
        <w:t>I,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187C93"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disease </w:t>
      </w:r>
      <w:r>
        <w:rPr>
          <w:rFonts w:ascii="Book Antiqua" w:eastAsia="Book Antiqua" w:hAnsi="Book Antiqua" w:cs="Book Antiqua"/>
          <w:color w:val="000000"/>
        </w:rPr>
        <w:t>did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statuses.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speculate that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patients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187C93">
        <w:rPr>
          <w:rFonts w:ascii="Book Antiqua" w:eastAsia="Book Antiqua" w:hAnsi="Book Antiqua" w:cs="Book Antiqua"/>
          <w:color w:val="000000"/>
        </w:rPr>
        <w:t>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187C93"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patients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187C9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those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</w:t>
      </w:r>
      <w:r w:rsidR="00187C9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>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(31%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52%)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 xml:space="preserve">for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187C93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473D7E">
        <w:rPr>
          <w:rFonts w:ascii="Book Antiqua" w:eastAsia="Book Antiqua" w:hAnsi="Book Antiqua" w:cs="Book Antiqua"/>
          <w:color w:val="000000"/>
        </w:rPr>
        <w:t>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achieve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7.6%-38.4%,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0%-5%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nonradical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resection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473D7E">
        <w:rPr>
          <w:rFonts w:ascii="Book Antiqua" w:eastAsia="Book Antiqua" w:hAnsi="Book Antiqua" w:cs="Book Antiqua"/>
          <w:color w:val="000000"/>
        </w:rPr>
        <w:t xml:space="preserve">extent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473D7E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boundary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usually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judge.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473D7E">
        <w:rPr>
          <w:rFonts w:ascii="Book Antiqua" w:eastAsia="Book Antiqua" w:hAnsi="Book Antiqua" w:cs="Book Antiqua"/>
          <w:color w:val="000000"/>
        </w:rPr>
        <w:t>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24.7%,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2.2%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73D7E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19]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473D7E">
        <w:rPr>
          <w:rFonts w:ascii="Book Antiqua" w:eastAsia="Book Antiqua" w:hAnsi="Book Antiqua" w:cs="Book Antiqua"/>
          <w:color w:val="000000"/>
        </w:rPr>
        <w:t xml:space="preserve">patients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473D7E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473D7E">
        <w:rPr>
          <w:rFonts w:ascii="Book Antiqua" w:eastAsia="Book Antiqua" w:hAnsi="Book Antiqua" w:cs="Book Antiqua"/>
          <w:color w:val="000000"/>
        </w:rPr>
        <w:t>GC 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</w:t>
      </w:r>
      <w:proofErr w:type="gramStart"/>
      <w:r>
        <w:rPr>
          <w:rFonts w:ascii="Book Antiqua" w:eastAsia="Book Antiqua" w:hAnsi="Book Antiqua" w:cs="Book Antiqua"/>
          <w:color w:val="000000"/>
        </w:rPr>
        <w:t>)is</w:t>
      </w:r>
      <w:proofErr w:type="gram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>
        <w:rPr>
          <w:rFonts w:ascii="Book Antiqua" w:eastAsia="Book Antiqua" w:hAnsi="Book Antiqua" w:cs="Book Antiqua"/>
          <w:color w:val="000000"/>
          <w:vertAlign w:val="superscript"/>
        </w:rPr>
        <w:t>[8,9]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ascites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cytology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reasons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peritoneal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recurrence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473D7E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473D7E">
        <w:rPr>
          <w:rFonts w:ascii="Book Antiqua" w:eastAsia="Book Antiqua" w:hAnsi="Book Antiqua" w:cs="Book Antiqua"/>
          <w:color w:val="000000"/>
        </w:rPr>
        <w:t>GC 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473D7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conducted.</w:t>
      </w:r>
    </w:p>
    <w:p w:rsidR="009242FC" w:rsidRDefault="00F327DF">
      <w:pPr>
        <w:spacing w:line="360" w:lineRule="auto"/>
        <w:ind w:firstLine="48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473D7E">
        <w:rPr>
          <w:rFonts w:ascii="Book Antiqua" w:eastAsia="Book Antiqua" w:hAnsi="Book Antiqua" w:cs="Book Antiqua"/>
          <w:color w:val="000000"/>
        </w:rPr>
        <w:t xml:space="preserve">10 </w:t>
      </w:r>
      <w:r>
        <w:rPr>
          <w:rFonts w:ascii="Book Antiqua" w:eastAsia="Book Antiqua" w:hAnsi="Book Antiqua" w:cs="Book Antiqua"/>
          <w:color w:val="000000"/>
        </w:rPr>
        <w:t>years,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473D7E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researchers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Western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077C39">
        <w:rPr>
          <w:rFonts w:ascii="Book Antiqua" w:eastAsia="Book Antiqua" w:hAnsi="Book Antiqua" w:cs="Book Antiqua"/>
          <w:color w:val="000000"/>
        </w:rPr>
        <w:t>GC cases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077C39">
        <w:rPr>
          <w:rFonts w:ascii="Book Antiqua" w:eastAsia="Book Antiqua" w:hAnsi="Book Antiqua" w:cs="Book Antiqua"/>
          <w:color w:val="000000"/>
        </w:rPr>
        <w:t>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077C39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077C39">
        <w:rPr>
          <w:rFonts w:ascii="Book Antiqua" w:eastAsia="Book Antiqua" w:hAnsi="Book Antiqua" w:cs="Book Antiqua"/>
          <w:color w:val="000000"/>
        </w:rPr>
        <w:t>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77C39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vertAlign w:val="superscript"/>
        </w:rPr>
        <w:t>20-22]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077C39">
        <w:rPr>
          <w:rFonts w:ascii="Book Antiqua" w:eastAsia="Book Antiqua" w:hAnsi="Book Antiqua" w:cs="Book Antiqua"/>
          <w:color w:val="000000"/>
        </w:rPr>
        <w:t xml:space="preserve">The study by </w:t>
      </w:r>
      <w:r>
        <w:rPr>
          <w:rFonts w:ascii="Book Antiqua" w:eastAsia="Book Antiqua" w:hAnsi="Book Antiqua" w:cs="Book Antiqua"/>
          <w:color w:val="000000"/>
        </w:rPr>
        <w:t>Gao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CB6B6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vertAlign w:val="superscript"/>
        </w:rPr>
        <w:t>[23]</w:t>
      </w:r>
      <w:r w:rsidR="00077C3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proximal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077C39">
        <w:rPr>
          <w:rFonts w:ascii="Book Antiqua" w:eastAsia="Book Antiqua" w:hAnsi="Book Antiqua" w:cs="Book Antiqua"/>
          <w:color w:val="000000"/>
        </w:rPr>
        <w:t>GC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patients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8004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those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which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in </w:t>
      </w:r>
      <w:r>
        <w:rPr>
          <w:rFonts w:ascii="Book Antiqua" w:eastAsia="Book Antiqua" w:hAnsi="Book Antiqua" w:cs="Book Antiqua"/>
          <w:color w:val="000000"/>
        </w:rPr>
        <w:t>various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always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AGC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AGC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AGC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overlap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004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types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8004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GC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usually </w:t>
      </w:r>
      <w:r>
        <w:rPr>
          <w:rFonts w:ascii="Book Antiqua" w:eastAsia="Book Antiqua" w:hAnsi="Book Antiqua" w:cs="Book Antiqua"/>
          <w:color w:val="000000"/>
        </w:rPr>
        <w:t>deep</w:t>
      </w:r>
      <w:r w:rsidR="00800411">
        <w:rPr>
          <w:rFonts w:ascii="Book Antiqua" w:eastAsia="Book Antiqua" w:hAnsi="Book Antiqua" w:cs="Book Antiqua"/>
          <w:color w:val="000000"/>
        </w:rPr>
        <w:t>er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conducted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explored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00411"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800411">
        <w:rPr>
          <w:rFonts w:ascii="Book Antiqua" w:eastAsia="Book Antiqua" w:hAnsi="Book Antiqua" w:cs="Book Antiqua"/>
          <w:color w:val="000000"/>
        </w:rPr>
        <w:t xml:space="preserve"> stage of GC on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pT2,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pT3,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pT4a,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pT4b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patients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those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</w:t>
      </w:r>
      <w:r w:rsidR="00800411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those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disease</w:t>
      </w:r>
      <w:r w:rsidR="00800411" w:rsidDel="0080041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8004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AGC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attention.</w:t>
      </w:r>
    </w:p>
    <w:p w:rsidR="009242FC" w:rsidRDefault="009242FC">
      <w:pPr>
        <w:spacing w:line="360" w:lineRule="auto"/>
        <w:ind w:firstLine="480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Limit</w:t>
      </w:r>
      <w:r w:rsidR="00800411">
        <w:rPr>
          <w:rFonts w:ascii="Book Antiqua" w:eastAsia="Book Antiqua" w:hAnsi="Book Antiqua" w:cs="Book Antiqua"/>
          <w:b/>
          <w:bCs/>
          <w:i/>
          <w:iCs/>
          <w:color w:val="000000"/>
        </w:rPr>
        <w:t>ation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="00CB6B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B6B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B6B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CB6B6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this 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performed at 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might </w:t>
      </w:r>
      <w:r>
        <w:rPr>
          <w:rFonts w:ascii="Book Antiqua" w:eastAsia="Book Antiqua" w:hAnsi="Book Antiqua" w:cs="Book Antiqua"/>
          <w:color w:val="000000"/>
        </w:rPr>
        <w:t>lead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800411">
        <w:rPr>
          <w:rFonts w:ascii="Book Antiqua" w:eastAsia="Book Antiqua" w:hAnsi="Book Antiqua" w:cs="Book Antiqua"/>
          <w:color w:val="000000"/>
        </w:rPr>
        <w:t xml:space="preserve">. In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options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feedback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postoperative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adjuvant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LBVI</w:t>
      </w:r>
      <w:r w:rsidR="00800411" w:rsidDel="0080041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extent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800411">
        <w:rPr>
          <w:rFonts w:ascii="Book Antiqua" w:eastAsia="Book Antiqua" w:hAnsi="Book Antiqua" w:cs="Book Antiqua"/>
          <w:color w:val="000000"/>
        </w:rPr>
        <w:t xml:space="preserve"> 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AGC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>formulate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multimodal</w:t>
      </w:r>
      <w:r w:rsidR="00800411"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patients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00411">
        <w:rPr>
          <w:rFonts w:ascii="Book Antiqua" w:eastAsia="Book Antiqua" w:hAnsi="Book Antiqua" w:cs="Book Antiqua"/>
          <w:color w:val="000000"/>
        </w:rPr>
        <w:t xml:space="preserve">GC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better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B6B6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CB6B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(GC)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evolution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multimodal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multidisciplinary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gradually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improving.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2D0A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2D0AFE">
        <w:rPr>
          <w:rFonts w:ascii="Book Antiqua" w:eastAsia="Book Antiqua" w:hAnsi="Book Antiqua" w:cs="Book Antiqua"/>
          <w:color w:val="000000"/>
        </w:rPr>
        <w:t xml:space="preserve"> 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 w:rsidRPr="0026432D">
        <w:rPr>
          <w:rFonts w:ascii="Book Antiqua" w:eastAsia="Book Antiqua" w:hAnsi="Book Antiqua" w:cs="Book Antiqua"/>
          <w:color w:val="000000"/>
        </w:rPr>
        <w:t>lymphatic and/or blood vessel invasion (LBVI)</w:t>
      </w:r>
      <w:r w:rsidR="002D0A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significance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>two indexes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6B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:rsidR="009242FC" w:rsidRDefault="002D0AF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F327DF">
        <w:rPr>
          <w:rFonts w:ascii="Book Antiqua" w:eastAsia="Book Antiqua" w:hAnsi="Book Antiqua" w:cs="Book Antiqua"/>
          <w:color w:val="000000"/>
        </w:rPr>
        <w:t>nalyz</w:t>
      </w:r>
      <w:r>
        <w:rPr>
          <w:rFonts w:ascii="Book Antiqua" w:eastAsia="Book Antiqua" w:hAnsi="Book Antiqua" w:cs="Book Antiqua"/>
          <w:color w:val="000000"/>
        </w:rPr>
        <w:t>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whether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type </w:t>
      </w:r>
      <w:r w:rsidR="00F327DF">
        <w:rPr>
          <w:rFonts w:ascii="Book Antiqua" w:eastAsia="Book Antiqua" w:hAnsi="Book Antiqua" w:cs="Book Antiqua"/>
          <w:color w:val="000000"/>
        </w:rPr>
        <w:t>combined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Pr="0026432D">
        <w:rPr>
          <w:rFonts w:ascii="Book Antiqua" w:eastAsia="Book Antiqua" w:hAnsi="Book Antiqua" w:cs="Book Antiqua"/>
          <w:color w:val="000000"/>
        </w:rPr>
        <w:t>LBVI</w:t>
      </w:r>
      <w:r w:rsidDel="002D0AFE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has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significance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</w:rPr>
        <w:t xml:space="preserve"> will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provide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basis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clinicians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treat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predict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future.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6B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combined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 w:rsidRPr="0026432D">
        <w:rPr>
          <w:rFonts w:ascii="Book Antiqua" w:eastAsia="Book Antiqua" w:hAnsi="Book Antiqua" w:cs="Book Antiqua"/>
          <w:color w:val="000000"/>
        </w:rPr>
        <w:t>LBVI</w:t>
      </w:r>
      <w:r w:rsidR="002D0AFE" w:rsidDel="002D0A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in evaluating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6B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clinicopathological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long-term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data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2604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with </w:t>
      </w:r>
      <w:r>
        <w:rPr>
          <w:rFonts w:ascii="Book Antiqua" w:eastAsia="Book Antiqua" w:hAnsi="Book Antiqua" w:cs="Book Antiqua"/>
          <w:color w:val="000000"/>
        </w:rPr>
        <w:t>advanced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at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Pearson</w:t>
      </w:r>
      <w:r w:rsidR="002D0AFE">
        <w:rPr>
          <w:rFonts w:ascii="Book Antiqua" w:eastAsia="Book Antiqua" w:hAnsi="Book Antiqua" w:cs="Book Antiqua"/>
          <w:color w:val="000000"/>
        </w:rPr>
        <w:t>’s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χ</w:t>
      </w:r>
      <w:r>
        <w:rPr>
          <w:rFonts w:ascii="Book Antiqua" w:eastAsia="Book Antiqua" w:hAnsi="Book Antiqua" w:cs="Book Antiqua"/>
          <w:color w:val="000000"/>
          <w:szCs w:val="36"/>
          <w:vertAlign w:val="superscript"/>
        </w:rPr>
        <w:t>2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CB6B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2604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2D0AFE">
        <w:rPr>
          <w:rFonts w:ascii="Book Antiqua" w:eastAsia="Book Antiqua" w:hAnsi="Book Antiqua" w:cs="Book Antiqua"/>
          <w:color w:val="000000"/>
        </w:rPr>
        <w:t>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I-IV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2D0AFE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2D0AFE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patients with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2D0AFE">
        <w:rPr>
          <w:rFonts w:ascii="Book Antiqua" w:eastAsia="Book Antiqua" w:hAnsi="Book Antiqua" w:cs="Book Antiqua"/>
          <w:color w:val="000000"/>
        </w:rPr>
        <w:t xml:space="preserve"> 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2D0AFE">
        <w:rPr>
          <w:rFonts w:ascii="Book Antiqua" w:eastAsia="Book Antiqua" w:hAnsi="Book Antiqua" w:cs="Book Antiqua"/>
          <w:color w:val="000000"/>
        </w:rPr>
        <w:t xml:space="preserve"> had a similar 5-year survival rate to those 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IV</w:t>
      </w:r>
      <w:r w:rsidR="002D0AFE">
        <w:rPr>
          <w:rFonts w:ascii="Book Antiqua" w:eastAsia="Book Antiqua" w:hAnsi="Book Antiqua" w:cs="Book Antiqua"/>
          <w:color w:val="000000"/>
        </w:rPr>
        <w:t xml:space="preserve"> 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</w:t>
      </w:r>
      <w:r w:rsidR="002D0A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(16.4%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13.1%,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0.065)</w:t>
      </w:r>
      <w:r w:rsidR="002D0AFE">
        <w:rPr>
          <w:rFonts w:ascii="Book Antiqua" w:eastAsia="Book Antiqua" w:hAnsi="Book Antiqua" w:cs="Book Antiqua"/>
          <w:color w:val="000000"/>
        </w:rPr>
        <w:t xml:space="preserve"> or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(16.4%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11.2%,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0.112).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>were true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Multivariate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that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0.023),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>LBVI</w:t>
      </w:r>
      <w:r w:rsidR="002D0AFE" w:rsidDel="002D0A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0.012),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stage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and extent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surgery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宋体" w:hAnsi="Book Antiqua" w:cs="Book Antiqua" w:hint="eastAsia"/>
          <w:i/>
          <w:iCs/>
          <w:color w:val="000000"/>
          <w:lang w:eastAsia="zh-CN"/>
        </w:rPr>
        <w:t>P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宋体" w:hAnsi="Book Antiqua" w:cs="Book Antiqua"/>
          <w:color w:val="000000"/>
          <w:lang w:eastAsia="zh-CN"/>
        </w:rPr>
        <w:t>&lt;</w:t>
      </w:r>
      <w:r w:rsidR="00CB6B61">
        <w:rPr>
          <w:rFonts w:ascii="Book Antiqua" w:eastAsia="宋体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0.001)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6B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:rsidR="009242FC" w:rsidRDefault="00F327DF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>LBVI</w:t>
      </w:r>
      <w:r w:rsidR="002D0AFE" w:rsidDel="002D0AF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extent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affect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atients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a </w:t>
      </w:r>
      <w:r>
        <w:rPr>
          <w:rFonts w:ascii="Book Antiqua" w:eastAsia="Book Antiqua" w:hAnsi="Book Antiqua" w:cs="Book Antiqua"/>
          <w:color w:val="000000"/>
        </w:rPr>
        <w:t>similar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 xml:space="preserve">disease and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D0AFE"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6B6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:rsidR="009242FC" w:rsidRDefault="002D0AF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W</w:t>
      </w:r>
      <w:r w:rsidR="00F327DF">
        <w:rPr>
          <w:rFonts w:ascii="Book Antiqua" w:eastAsia="Book Antiqua" w:hAnsi="Book Antiqua" w:cs="Book Antiqua"/>
          <w:color w:val="000000"/>
        </w:rPr>
        <w:t>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recommend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clinicians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should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formulate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comprehensive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multidisciplinary,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multimodal</w:t>
      </w:r>
      <w:r>
        <w:rPr>
          <w:rFonts w:ascii="Book Antiqua" w:eastAsia="Book Antiqua" w:hAnsi="Book Antiqua" w:cs="Book Antiqua"/>
          <w:color w:val="000000"/>
        </w:rPr>
        <w:t>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individualized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treatment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plan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when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encounter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patients with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type </w:t>
      </w:r>
      <w:r w:rsidR="00F327DF"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GC and </w:t>
      </w:r>
      <w:r w:rsidR="00F327DF"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(+),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regardless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327DF">
        <w:rPr>
          <w:rFonts w:ascii="Book Antiqua" w:eastAsia="Book Antiqua" w:hAnsi="Book Antiqua" w:cs="Book Antiqua"/>
          <w:color w:val="000000"/>
        </w:rPr>
        <w:t>pT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stage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location,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obtain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better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survival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F327DF">
        <w:rPr>
          <w:rFonts w:ascii="Book Antiqua" w:eastAsia="Book Antiqua" w:hAnsi="Book Antiqua" w:cs="Book Antiqua"/>
          <w:color w:val="000000"/>
        </w:rPr>
        <w:t>results.</w:t>
      </w:r>
    </w:p>
    <w:p w:rsidR="009242FC" w:rsidRDefault="009242F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bookmarkStart w:id="3" w:name="OLE_LINK1907"/>
      <w:bookmarkStart w:id="4" w:name="OLE_LINK1908"/>
      <w:r>
        <w:rPr>
          <w:rFonts w:ascii="Book Antiqua" w:hAnsi="Book Antiqua" w:cs="Book Antiqua"/>
        </w:rPr>
        <w:t>1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Bray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F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Ferlay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Soerjomataram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Siegel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RL,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Torre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LA,</w:t>
      </w:r>
      <w:r w:rsidR="00CB6B61">
        <w:rPr>
          <w:rFonts w:ascii="Book Antiqua" w:hAnsi="Book Antiqua" w:cs="Book Antiqua"/>
        </w:rPr>
        <w:t xml:space="preserve"> </w:t>
      </w:r>
      <w:proofErr w:type="spellStart"/>
      <w:proofErr w:type="gramStart"/>
      <w:r>
        <w:rPr>
          <w:rFonts w:ascii="Book Antiqua" w:hAnsi="Book Antiqua" w:cs="Book Antiqua"/>
        </w:rPr>
        <w:t>Jemal</w:t>
      </w:r>
      <w:proofErr w:type="spellEnd"/>
      <w:proofErr w:type="gram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Global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statistics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2018: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GLOBOCAN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estimates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incidence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mortality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worldwide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36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185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countries.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CA</w:t>
      </w:r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Cancer</w:t>
      </w:r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Clin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2018;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68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394-424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30207593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lastRenderedPageBreak/>
        <w:t>10.3322/caac.21492]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Feng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RM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Zong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YN,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SM,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RH.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Current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situation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China: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good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bad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news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2018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Global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Statistics?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Cancer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Commun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(</w:t>
      </w:r>
      <w:proofErr w:type="spellStart"/>
      <w:r>
        <w:rPr>
          <w:rFonts w:ascii="Book Antiqua" w:hAnsi="Book Antiqua" w:cs="Book Antiqua"/>
          <w:i/>
        </w:rPr>
        <w:t>Lond</w:t>
      </w:r>
      <w:proofErr w:type="spellEnd"/>
      <w:r>
        <w:rPr>
          <w:rFonts w:ascii="Book Antiqua" w:hAnsi="Book Antiqua" w:cs="Book Antiqua"/>
          <w:i/>
        </w:rPr>
        <w:t>)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2019;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39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31030667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10.1186/s40880-019-0368-6]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3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Schwartz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GK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Winter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Minsky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BD,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Crane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Thomson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PJ,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Anne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Gross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Willett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Kelsen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Randomized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phase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trial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evaluating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two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paclitaxel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cisplatin-containing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chemoradiation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regimens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adjuvant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therapy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resected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(RTOG-0114).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Clin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Oncol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2009;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27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1956-1962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19273696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10.1200/JCO.2008.20.3745]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4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Marrelli</w:t>
      </w:r>
      <w:proofErr w:type="spellEnd"/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D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Morgagni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Manzoni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Coniglio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Marchet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Saragoni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Tiberio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Roviello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Italian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Research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Group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(IRGGC).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Prognostic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value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7th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AJCC/UICC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TNM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classification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noncardia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analysis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large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series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specialized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Western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centers.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Ann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Surg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2012;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255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486-491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22167003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10.1097/SLA.0b013e3182389b1a]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5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Huang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JY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YY,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Song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YX,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Miao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ZF,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JH,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HM.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prognostic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impact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occult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lymph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node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metastasis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node-negative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systematic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review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meta-analysis.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Ann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Surg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Oncol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2013;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20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3927-3934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23892524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10.1245/s10434-013-3021-7]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6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Borchard</w:t>
      </w:r>
      <w:proofErr w:type="spellEnd"/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F</w:t>
      </w:r>
      <w:r>
        <w:rPr>
          <w:rFonts w:ascii="Book Antiqua" w:hAnsi="Book Antiqua" w:cs="Book Antiqua"/>
        </w:rPr>
        <w:t>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Classification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carcinoma.</w:t>
      </w:r>
      <w:proofErr w:type="gramEnd"/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Hepatogastroenterology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1990;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37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223-232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2187787]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7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del</w:t>
      </w:r>
      <w:r w:rsidR="00CB6B61">
        <w:rPr>
          <w:rFonts w:ascii="Book Antiqua" w:hAnsi="Book Antiqua" w:cs="Book Antiqua"/>
          <w:b/>
        </w:rPr>
        <w:t xml:space="preserve"> </w:t>
      </w:r>
      <w:proofErr w:type="spellStart"/>
      <w:r>
        <w:rPr>
          <w:rFonts w:ascii="Book Antiqua" w:hAnsi="Book Antiqua" w:cs="Book Antiqua"/>
          <w:b/>
        </w:rPr>
        <w:t>Casar</w:t>
      </w:r>
      <w:proofErr w:type="spellEnd"/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JM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Corte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MD,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Alvarez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García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Bongera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González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LO,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García-Muñiz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JL,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Allende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MT,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Astudillo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Vizoso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FJ.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Lymphatic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and/or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blood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vessel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invasion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relationship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clinicopathological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parameters,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biological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factors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prognostic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significance.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Cancer</w:t>
      </w:r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Res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Clin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Oncol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2008;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134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153-161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17628829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10.1007/s00432-007-0264-3]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8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Bu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Z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Zheng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Lymphatic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vascular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invasion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independent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correlated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factor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lymph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node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metastasis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prognosis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resectable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patients.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Tumour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Biol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2013;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34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1005-1012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23292920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10.1007/s13277-012-0637-3]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lastRenderedPageBreak/>
        <w:t>9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Zhao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LY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Chen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XL,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YG,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WH,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YS,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Chen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XZ,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Xue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Chen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ZX,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Chen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JP,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Zhou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ZG,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JK.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new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predictive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model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combined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tumor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size,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lymph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nodes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count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lymphovascular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invasion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survival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prognosis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patients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lymph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node-negative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cancer.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Oncotarget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2016;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7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72300-72310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27509175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10.18632/oncotarget.11035]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10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Luo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Y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Song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Huang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Zhao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Z.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Clinicopathologic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characteristics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prognosis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Borrmann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type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IV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meta-analysis.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World</w:t>
      </w:r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Surg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Oncol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2016;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14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49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26912240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10.1186/s12957-016-0805-9]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11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Marano</w:t>
      </w:r>
      <w:proofErr w:type="spellEnd"/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L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D'Ignazio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Cammillini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Angotti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Messina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Marrelli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Roviello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Comparison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between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7th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8th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edition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AJCC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TNM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staging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system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old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problems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new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perspectives.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Transl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Gastroenterol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Hepatol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2019;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4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31143843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10.21037/tgh.2019.03.09]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proofErr w:type="gramStart"/>
      <w:r>
        <w:rPr>
          <w:rFonts w:ascii="Book Antiqua" w:hAnsi="Book Antiqua" w:cs="Book Antiqua"/>
        </w:rPr>
        <w:t>12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Japanese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Gastric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Cancer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Association</w:t>
      </w:r>
      <w:r>
        <w:rPr>
          <w:rFonts w:ascii="Book Antiqua" w:hAnsi="Book Antiqua" w:cs="Book Antiqua"/>
        </w:rPr>
        <w:t>.</w:t>
      </w:r>
      <w:proofErr w:type="gramEnd"/>
      <w:r w:rsidR="00CB6B61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Japanese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treatment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guidelines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2010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(ver.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3).</w:t>
      </w:r>
      <w:proofErr w:type="gram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Gastric</w:t>
      </w:r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2011;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14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113-123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21573742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10.1007/s10120-011-0042-4]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13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Lu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J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Zheng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Xie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JW,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JB,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JX,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Chen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QY,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LL,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Huang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CM,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Zhou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ZW.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Influence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Total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Lymph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Node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Count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Staging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Survival</w:t>
      </w:r>
      <w:r w:rsidR="00CB6B61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After</w:t>
      </w:r>
      <w:proofErr w:type="gram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Gastrectomy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Analysis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Two-Institution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Database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China.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Ann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Surg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Oncol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2017;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24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486-493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27619942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10.1245/s10434-016-5494-7]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14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Li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C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SJ,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Kim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Hyung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WJ,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Yan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ZG,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Noh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SH.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Macroscopic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Borrmann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type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simple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prognostic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indicator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patients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advanced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Oncology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2009;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77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197-204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19729977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10.1159/000236018]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15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Pan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M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Huang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Chen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Wei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Double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contrast-enhanced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ultrasonography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preoperative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Borrmann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classification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advanced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carcinoma: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comparison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histopathology.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Sci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Rep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2013;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3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3338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24275807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10.1038/srep03338]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16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Li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P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YH,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CM,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WM,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XK,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Luo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RZ,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JH,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Yun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JP,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YF,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Cai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MY.</w:t>
      </w:r>
      <w:r w:rsidR="00CB6B61">
        <w:rPr>
          <w:rFonts w:ascii="Book Antiqua" w:hAnsi="Book Antiqua" w:cs="Book Antiqua"/>
        </w:rPr>
        <w:t xml:space="preserve"> </w:t>
      </w:r>
      <w:proofErr w:type="gramStart"/>
      <w:r>
        <w:rPr>
          <w:rFonts w:ascii="Book Antiqua" w:hAnsi="Book Antiqua" w:cs="Book Antiqua"/>
        </w:rPr>
        <w:t>Vascular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invasion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independent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predictor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poor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prognosis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nonmetastatic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lastRenderedPageBreak/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after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curative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resection.</w:t>
      </w:r>
      <w:proofErr w:type="gramEnd"/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i/>
        </w:rPr>
        <w:t>Int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Clin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Exp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Pathol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2015;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8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3910-3918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26097575]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17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Katai</w:t>
      </w:r>
      <w:proofErr w:type="spellEnd"/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H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Ishikawa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Akazawa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Isobe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Miyashiro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Oda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Tsujitani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Ono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Tanabe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Fukagawa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Nunobe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Kakeji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Nashimoto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Registration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Committee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Japanese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Association.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Five-year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survival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analysis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surgically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resected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cases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Japan: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retrospective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analysis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more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than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100,000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patients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nationwide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registry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Japanese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Association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(2001-2007).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Gastric</w:t>
      </w:r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2018;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21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144-154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28417260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10.1007/s10120-017-0716-7]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18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Zhu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YL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ZQ,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JF.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Clinicopathological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features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prognosis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Borrmann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type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IV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BUON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2016;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21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1471-1475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28039710]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19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Kitamura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K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Beppu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Anai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Ikejiri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Yakabe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Sugimachi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Saku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M.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Clinicopathologic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study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patients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Borrmann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type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IV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carcinoma.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Surg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Oncol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1995;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58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112-117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7844980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10.1002/jso.2930580208]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20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  <w:b/>
        </w:rPr>
        <w:t>Ze</w:t>
      </w:r>
      <w:proofErr w:type="spellEnd"/>
      <w:r>
        <w:rPr>
          <w:rFonts w:ascii="Book Antiqua" w:hAnsi="Book Antiqua" w:cs="Book Antiqua"/>
          <w:b/>
        </w:rPr>
        <w:t>-Long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Y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Guo</w:t>
      </w:r>
      <w:proofErr w:type="spellEnd"/>
      <w:r>
        <w:rPr>
          <w:rFonts w:ascii="Book Antiqua" w:hAnsi="Book Antiqua" w:cs="Book Antiqua"/>
        </w:rPr>
        <w:t>-Hui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Wei-Hong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Ke</w:t>
      </w:r>
      <w:proofErr w:type="spellEnd"/>
      <w:r>
        <w:rPr>
          <w:rFonts w:ascii="Book Antiqua" w:hAnsi="Book Antiqua" w:cs="Book Antiqua"/>
        </w:rPr>
        <w:t>-Cheng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Yan-Wen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Survival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Trends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Patients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With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Surgically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Resected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Cardia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From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1988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2015: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Population-based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Study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United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States.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Am</w:t>
      </w:r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Clin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Oncol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2019;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42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581-587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31157623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10.1097/COC.0000000000000558]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21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Men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W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Xiao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H,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Fan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Agglomeration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Effect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Medical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Education: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Based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the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Web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Science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Database.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Transl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Int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Med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2018;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6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165-172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30637202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10.2478/jtim-2018-0027]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22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Wang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G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Wang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N,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Guo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J,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Endoscopic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Ultrasound-guided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Gastroenterostomy</w:t>
      </w:r>
      <w:proofErr w:type="spellEnd"/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Promising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Alternative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Surgery.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Transl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Int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Med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2019;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7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93-99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31637179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10.2478/jtim-2019-0021]</w:t>
      </w: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23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Gao</w:t>
      </w:r>
      <w:r w:rsidR="00CB6B61">
        <w:rPr>
          <w:rFonts w:ascii="Book Antiqua" w:hAnsi="Book Antiqua" w:cs="Book Antiqua"/>
          <w:b/>
        </w:rPr>
        <w:t xml:space="preserve"> </w:t>
      </w:r>
      <w:r>
        <w:rPr>
          <w:rFonts w:ascii="Book Antiqua" w:hAnsi="Book Antiqua" w:cs="Book Antiqua"/>
          <w:b/>
        </w:rPr>
        <w:t>S</w:t>
      </w:r>
      <w:r>
        <w:rPr>
          <w:rFonts w:ascii="Book Antiqua" w:hAnsi="Book Antiqua" w:cs="Book Antiqua"/>
        </w:rPr>
        <w:t>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GH,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Ding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Zhao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YY,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Deng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P,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Hou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K,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Liu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XF.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Retrospective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evaluation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of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lymphatic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blood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vessel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invasion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and</w:t>
      </w:r>
      <w:r w:rsidR="00CB6B61">
        <w:rPr>
          <w:rFonts w:ascii="Book Antiqua" w:hAnsi="Book Antiqua" w:cs="Book Antiqua"/>
        </w:rPr>
        <w:t xml:space="preserve"> </w:t>
      </w:r>
      <w:proofErr w:type="spellStart"/>
      <w:r>
        <w:rPr>
          <w:rFonts w:ascii="Book Antiqua" w:hAnsi="Book Antiqua" w:cs="Book Antiqua"/>
        </w:rPr>
        <w:t>Borrmann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types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in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advanced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proximal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gastric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cancer.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</w:rPr>
        <w:t>World</w:t>
      </w:r>
      <w:r w:rsidR="00CB6B61">
        <w:rPr>
          <w:rFonts w:ascii="Book Antiqua" w:hAnsi="Book Antiqua" w:cs="Book Antiqua"/>
          <w:i/>
        </w:rPr>
        <w:t xml:space="preserve"> </w:t>
      </w:r>
      <w:r>
        <w:rPr>
          <w:rFonts w:ascii="Book Antiqua" w:hAnsi="Book Antiqua" w:cs="Book Antiqua"/>
          <w:i/>
        </w:rPr>
        <w:t>J</w:t>
      </w:r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Gastrointest</w:t>
      </w:r>
      <w:proofErr w:type="spellEnd"/>
      <w:r w:rsidR="00CB6B61">
        <w:rPr>
          <w:rFonts w:ascii="Book Antiqua" w:hAnsi="Book Antiqua" w:cs="Book Antiqua"/>
          <w:i/>
        </w:rPr>
        <w:t xml:space="preserve"> </w:t>
      </w:r>
      <w:proofErr w:type="spellStart"/>
      <w:r>
        <w:rPr>
          <w:rFonts w:ascii="Book Antiqua" w:hAnsi="Book Antiqua" w:cs="Book Antiqua"/>
          <w:i/>
        </w:rPr>
        <w:t>Oncol</w:t>
      </w:r>
      <w:proofErr w:type="spellEnd"/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2019;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b/>
        </w:rPr>
        <w:t>11</w:t>
      </w:r>
      <w:r>
        <w:rPr>
          <w:rFonts w:ascii="Book Antiqua" w:hAnsi="Book Antiqua" w:cs="Book Antiqua"/>
        </w:rPr>
        <w:t>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642-651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[PMID: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31435465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DOI:</w:t>
      </w:r>
      <w:r w:rsidR="00CB6B61"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</w:rPr>
        <w:t>10.4251/wjgo.v11.i8.642]</w:t>
      </w:r>
    </w:p>
    <w:bookmarkEnd w:id="3"/>
    <w:bookmarkEnd w:id="4"/>
    <w:p w:rsidR="009242FC" w:rsidRDefault="009242FC">
      <w:pPr>
        <w:spacing w:line="360" w:lineRule="auto"/>
        <w:jc w:val="both"/>
      </w:pPr>
    </w:p>
    <w:p w:rsidR="009242FC" w:rsidRDefault="009242FC">
      <w:pPr>
        <w:spacing w:line="360" w:lineRule="auto"/>
        <w:jc w:val="both"/>
        <w:sectPr w:rsidR="009242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Institutional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review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board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42EB8"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Affiliated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Harbin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Informed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consent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guardian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written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enrolment.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Conflict-of-interest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842EB8">
        <w:rPr>
          <w:rFonts w:ascii="Book Antiqua" w:eastAsia="Book Antiqua" w:hAnsi="Book Antiqua" w:cs="Book Antiqua"/>
          <w:color w:val="000000"/>
        </w:rPr>
        <w:t xml:space="preserve">authors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Data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sharing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anonymous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dataset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request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xueyingwei@hrbmu.edu.cn.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STROBE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1"/>
        </w:rPr>
        <w:t>statement:</w:t>
      </w:r>
      <w:r w:rsidR="00CB6B61">
        <w:rPr>
          <w:rFonts w:ascii="Book Antiqua" w:eastAsia="Book Antiqua" w:hAnsi="Book Antiqua" w:cs="Book Antiqua"/>
          <w:b/>
          <w:bCs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Statement—checklist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STROBE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Statement—checklist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items.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source: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First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:rsidR="009242FC" w:rsidRDefault="009242FC">
      <w:pPr>
        <w:spacing w:line="360" w:lineRule="auto"/>
        <w:jc w:val="both"/>
      </w:pPr>
    </w:p>
    <w:p w:rsidR="009242FC" w:rsidRDefault="00F327D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Krishnan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Theiss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Yoo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ZM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842EB8" w:rsidRPr="002C7F40">
        <w:rPr>
          <w:rFonts w:ascii="Book Antiqua" w:eastAsia="Book Antiqua" w:hAnsi="Book Antiqua" w:cs="Book Antiqua"/>
          <w:color w:val="000000"/>
        </w:rPr>
        <w:t>Wang TQ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:rsidR="009242FC" w:rsidRDefault="009242FC">
      <w:pPr>
        <w:spacing w:line="360" w:lineRule="auto"/>
        <w:jc w:val="both"/>
        <w:sectPr w:rsidR="009242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B6B61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:rsidR="009242FC" w:rsidRDefault="00F327D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  <w:lang w:eastAsia="zh-CN"/>
        </w:rPr>
        <w:drawing>
          <wp:inline distT="0" distB="0" distL="0" distR="0" wp14:anchorId="1AD1ECDB" wp14:editId="02784742">
            <wp:extent cx="4069715" cy="325183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84609" cy="3263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6B61">
        <w:rPr>
          <w:lang w:eastAsia="zh-CN"/>
        </w:rPr>
        <w:t xml:space="preserve"> </w:t>
      </w:r>
      <w:r>
        <w:rPr>
          <w:noProof/>
          <w:lang w:eastAsia="zh-CN"/>
        </w:rPr>
        <w:drawing>
          <wp:inline distT="0" distB="0" distL="114300" distR="114300" wp14:anchorId="5B525D35" wp14:editId="01CE96DF">
            <wp:extent cx="3832860" cy="34747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0803" cy="34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842EB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5-year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rate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2604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cases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advanced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based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type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A265A" w:rsidRPr="003A265A">
        <w:rPr>
          <w:rFonts w:ascii="Book Antiqua" w:eastAsia="Book Antiqua" w:hAnsi="Book Antiqua" w:cs="Book Antiqua"/>
          <w:b/>
          <w:bCs/>
          <w:color w:val="000000"/>
        </w:rPr>
        <w:t>lymphatic and/or blood vessel invasion (LBVI)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tupe</w:t>
      </w:r>
      <w:proofErr w:type="spellEnd"/>
      <w:r>
        <w:rPr>
          <w:rFonts w:ascii="Book Antiqua" w:eastAsia="Book Antiqua" w:hAnsi="Book Antiqua" w:cs="Book Antiqua"/>
          <w:color w:val="000000"/>
        </w:rPr>
        <w:t>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3A265A"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3A265A"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br w:type="page"/>
      </w:r>
      <w:r>
        <w:rPr>
          <w:noProof/>
          <w:lang w:eastAsia="zh-CN"/>
        </w:rPr>
        <w:lastRenderedPageBreak/>
        <w:drawing>
          <wp:inline distT="0" distB="0" distL="114300" distR="114300" wp14:anchorId="17B94670" wp14:editId="39CFE631">
            <wp:extent cx="4680585" cy="3761105"/>
            <wp:effectExtent l="0" t="0" r="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89077" cy="376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114300" distR="114300" wp14:anchorId="77BEC5C8" wp14:editId="6CB67DA5">
            <wp:extent cx="4396740" cy="3631565"/>
            <wp:effectExtent l="0" t="0" r="0" b="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06310" cy="363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noProof/>
          <w:lang w:eastAsia="zh-CN"/>
        </w:rPr>
        <w:lastRenderedPageBreak/>
        <w:drawing>
          <wp:inline distT="0" distB="0" distL="114300" distR="114300" wp14:anchorId="2FFF03AD" wp14:editId="653CCA81">
            <wp:extent cx="4295775" cy="3502025"/>
            <wp:effectExtent l="0" t="0" r="0" b="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03192" cy="350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114300" distR="114300" wp14:anchorId="68319BB7" wp14:editId="522FA80D">
            <wp:extent cx="4311015" cy="3571240"/>
            <wp:effectExtent l="0" t="0" r="0" b="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25882" cy="35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A265A">
        <w:rPr>
          <w:rFonts w:ascii="Book Antiqua" w:eastAsia="Book Antiqua" w:hAnsi="Book Antiqua" w:cs="Book Antiqua"/>
          <w:b/>
          <w:bCs/>
          <w:color w:val="000000"/>
        </w:rPr>
        <w:t>E</w:t>
      </w:r>
      <w:r>
        <w:rPr>
          <w:rFonts w:ascii="Book Antiqua" w:eastAsia="Book Antiqua" w:hAnsi="Book Antiqua" w:cs="Book Antiqua"/>
          <w:b/>
          <w:bCs/>
          <w:color w:val="000000"/>
        </w:rPr>
        <w:t>ffect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type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A265A">
        <w:rPr>
          <w:rFonts w:ascii="Book Antiqua" w:eastAsia="Book Antiqua" w:hAnsi="Book Antiqua" w:cs="Book Antiqua"/>
          <w:b/>
          <w:bCs/>
          <w:color w:val="000000"/>
        </w:rPr>
        <w:t xml:space="preserve">combined with </w:t>
      </w:r>
      <w:r w:rsidR="003A265A" w:rsidRPr="003A265A">
        <w:rPr>
          <w:rFonts w:ascii="Book Antiqua" w:eastAsia="Book Antiqua" w:hAnsi="Book Antiqua" w:cs="Book Antiqua"/>
          <w:b/>
          <w:bCs/>
          <w:color w:val="000000"/>
        </w:rPr>
        <w:t>lymphatic and/or blood vessel invasion (LBVI)</w:t>
      </w:r>
      <w:r w:rsidR="003A265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status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long-term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A265A">
        <w:rPr>
          <w:rFonts w:ascii="Book Antiqua" w:eastAsia="Book Antiqua" w:hAnsi="Book Antiqua" w:cs="Book Antiqua"/>
          <w:b/>
          <w:bCs/>
          <w:color w:val="000000"/>
        </w:rPr>
        <w:t xml:space="preserve">patients with </w:t>
      </w:r>
      <w:r>
        <w:rPr>
          <w:rFonts w:ascii="Book Antiqua" w:eastAsia="Book Antiqua" w:hAnsi="Book Antiqua" w:cs="Book Antiqua"/>
          <w:b/>
          <w:bCs/>
          <w:color w:val="000000"/>
        </w:rPr>
        <w:t>advanced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3A265A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3A265A">
        <w:rPr>
          <w:rFonts w:ascii="Book Antiqua" w:eastAsia="Book Antiqua" w:hAnsi="Book Antiqua" w:cs="Book Antiqua"/>
          <w:color w:val="000000"/>
        </w:rPr>
        <w:t xml:space="preserve"> status</w:t>
      </w:r>
      <w:r>
        <w:rPr>
          <w:rFonts w:ascii="Book Antiqua" w:eastAsia="Book Antiqua" w:hAnsi="Book Antiqua" w:cs="Book Antiqua"/>
          <w:color w:val="000000"/>
        </w:rPr>
        <w:t>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3A265A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3A265A"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</w:rPr>
        <w:t>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3A265A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3A265A"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</w:rPr>
        <w:t>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3A265A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3A265A"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br w:type="page"/>
      </w:r>
      <w:r>
        <w:rPr>
          <w:noProof/>
          <w:lang w:eastAsia="zh-CN"/>
        </w:rPr>
        <w:lastRenderedPageBreak/>
        <w:drawing>
          <wp:inline distT="0" distB="0" distL="114300" distR="114300" wp14:anchorId="2A0DE144" wp14:editId="7187AB5E">
            <wp:extent cx="4161790" cy="3415665"/>
            <wp:effectExtent l="0" t="0" r="0" b="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72269" cy="342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114300" distR="114300" wp14:anchorId="7CC621CB" wp14:editId="580B5145">
            <wp:extent cx="4112260" cy="3648710"/>
            <wp:effectExtent l="0" t="0" r="0" b="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22584" cy="36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33104"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b/>
          <w:bCs/>
          <w:color w:val="000000"/>
        </w:rPr>
        <w:t>rognostic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33104">
        <w:rPr>
          <w:rFonts w:ascii="Book Antiqua" w:eastAsia="Book Antiqua" w:hAnsi="Book Antiqua" w:cs="Book Antiqua"/>
          <w:b/>
          <w:bCs/>
          <w:color w:val="000000"/>
        </w:rPr>
        <w:t>impact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incorporating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33104" w:rsidRPr="003A265A">
        <w:rPr>
          <w:rFonts w:ascii="Book Antiqua" w:eastAsia="Book Antiqua" w:hAnsi="Book Antiqua" w:cs="Book Antiqua"/>
          <w:b/>
          <w:bCs/>
          <w:color w:val="000000"/>
        </w:rPr>
        <w:t>lymphatic and/or blood vessel invasion (LBVI)</w:t>
      </w:r>
      <w:r w:rsidR="002331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status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into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type</w:t>
      </w:r>
      <w:r w:rsidR="00233104">
        <w:rPr>
          <w:rFonts w:ascii="Book Antiqua" w:eastAsia="Book Antiqua" w:hAnsi="Book Antiqua" w:cs="Book Antiqua"/>
          <w:b/>
          <w:bCs/>
          <w:color w:val="000000"/>
        </w:rPr>
        <w:t>s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III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IV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advanced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cancer.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233104" w:rsidRPr="00233104">
        <w:rPr>
          <w:rFonts w:ascii="Book Antiqua" w:eastAsia="Book Antiqua" w:hAnsi="Book Antiqua" w:cs="Book Antiqua"/>
          <w:color w:val="000000"/>
        </w:rPr>
        <w:t xml:space="preserve"> </w:t>
      </w:r>
      <w:r w:rsidR="00233104">
        <w:rPr>
          <w:rFonts w:ascii="Book Antiqua" w:eastAsia="Book Antiqua" w:hAnsi="Book Antiqua" w:cs="Book Antiqua"/>
          <w:color w:val="000000"/>
        </w:rPr>
        <w:t>type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233104">
        <w:rPr>
          <w:rFonts w:ascii="Book Antiqua" w:eastAsia="Book Antiqua" w:hAnsi="Book Antiqua" w:cs="Book Antiqua"/>
          <w:color w:val="000000"/>
        </w:rPr>
        <w:t xml:space="preserve">type </w:t>
      </w:r>
      <w:r>
        <w:rPr>
          <w:rFonts w:ascii="Book Antiqua" w:eastAsia="Book Antiqua" w:hAnsi="Book Antiqua" w:cs="Book Antiqua"/>
          <w:color w:val="000000"/>
        </w:rPr>
        <w:t>IV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LBVI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(-).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br w:type="page"/>
      </w:r>
      <w:r>
        <w:rPr>
          <w:noProof/>
          <w:lang w:eastAsia="zh-CN"/>
        </w:rPr>
        <w:lastRenderedPageBreak/>
        <w:drawing>
          <wp:inline distT="0" distB="0" distL="114300" distR="114300" wp14:anchorId="2E3759DE" wp14:editId="1C7F749D">
            <wp:extent cx="4415155" cy="3614420"/>
            <wp:effectExtent l="0" t="0" r="0" b="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430998" cy="3627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114300" distR="114300" wp14:anchorId="60A97224" wp14:editId="5F8CB760">
            <wp:extent cx="4287520" cy="3502025"/>
            <wp:effectExtent l="0" t="0" r="0" b="0"/>
            <wp:docPr id="1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314571" cy="352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noProof/>
          <w:lang w:eastAsia="zh-CN"/>
        </w:rPr>
        <w:lastRenderedPageBreak/>
        <w:drawing>
          <wp:inline distT="0" distB="0" distL="114300" distR="114300" wp14:anchorId="3463D816" wp14:editId="75658148">
            <wp:extent cx="4310380" cy="3648710"/>
            <wp:effectExtent l="0" t="0" r="0" b="0"/>
            <wp:docPr id="1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30859" cy="366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114300" distR="114300" wp14:anchorId="521D9753" wp14:editId="544321D8">
            <wp:extent cx="4228465" cy="3553460"/>
            <wp:effectExtent l="0" t="0" r="0" b="0"/>
            <wp:docPr id="1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40761" cy="3563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33104"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b/>
          <w:bCs/>
          <w:color w:val="000000"/>
        </w:rPr>
        <w:t>rognostic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significance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type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33104">
        <w:rPr>
          <w:rFonts w:ascii="Book Antiqua" w:eastAsia="Book Antiqua" w:hAnsi="Book Antiqua" w:cs="Book Antiqua"/>
          <w:b/>
          <w:bCs/>
          <w:color w:val="000000"/>
        </w:rPr>
        <w:t xml:space="preserve">with </w:t>
      </w:r>
      <w:r w:rsidR="00233104" w:rsidRPr="003A265A">
        <w:rPr>
          <w:rFonts w:ascii="Book Antiqua" w:eastAsia="Book Antiqua" w:hAnsi="Book Antiqua" w:cs="Book Antiqua"/>
          <w:b/>
          <w:bCs/>
          <w:color w:val="000000"/>
        </w:rPr>
        <w:t>lymphatic and/or blood vessel invasion (LBVI)</w:t>
      </w:r>
      <w:r w:rsidR="00233104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status</w:t>
      </w:r>
      <w:r w:rsidR="00233104">
        <w:rPr>
          <w:rFonts w:ascii="Book Antiqua" w:eastAsia="Book Antiqua" w:hAnsi="Book Antiqua" w:cs="Book Antiqua"/>
          <w:b/>
          <w:bCs/>
          <w:color w:val="000000"/>
        </w:rPr>
        <w:t xml:space="preserve"> among different </w:t>
      </w:r>
      <w:proofErr w:type="spellStart"/>
      <w:r w:rsidR="00233104">
        <w:rPr>
          <w:rFonts w:ascii="Book Antiqua" w:eastAsia="Book Antiqua" w:hAnsi="Book Antiqua" w:cs="Book Antiqua"/>
          <w:b/>
          <w:bCs/>
          <w:color w:val="000000"/>
        </w:rPr>
        <w:t>pT</w:t>
      </w:r>
      <w:proofErr w:type="spellEnd"/>
      <w:r w:rsidR="00233104">
        <w:rPr>
          <w:rFonts w:ascii="Book Antiqua" w:eastAsia="Book Antiqua" w:hAnsi="Book Antiqua" w:cs="Book Antiqua"/>
          <w:b/>
          <w:bCs/>
          <w:color w:val="000000"/>
        </w:rPr>
        <w:t xml:space="preserve"> stages of advanced gastric cancer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pT2;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pT3;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pT4a;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pT4b.</w:t>
      </w:r>
    </w:p>
    <w:p w:rsidR="009242FC" w:rsidRDefault="00F327D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br w:type="page"/>
      </w:r>
      <w:r>
        <w:rPr>
          <w:noProof/>
          <w:lang w:eastAsia="zh-CN"/>
        </w:rPr>
        <w:lastRenderedPageBreak/>
        <w:drawing>
          <wp:inline distT="0" distB="0" distL="114300" distR="114300" wp14:anchorId="0AB4CBDE" wp14:editId="54FDC223">
            <wp:extent cx="4277360" cy="3631565"/>
            <wp:effectExtent l="0" t="0" r="0" b="0"/>
            <wp:docPr id="1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84063" cy="363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114300" distR="114300" wp14:anchorId="260DA54A" wp14:editId="748AC2EC">
            <wp:extent cx="4201160" cy="3493135"/>
            <wp:effectExtent l="0" t="0" r="0" b="0"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214812" cy="350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noProof/>
          <w:lang w:eastAsia="zh-CN"/>
        </w:rPr>
        <w:lastRenderedPageBreak/>
        <w:drawing>
          <wp:inline distT="0" distB="0" distL="114300" distR="114300" wp14:anchorId="0A64DD09" wp14:editId="5A805B24">
            <wp:extent cx="4295775" cy="3605530"/>
            <wp:effectExtent l="0" t="0" r="0" b="0"/>
            <wp:docPr id="1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04207" cy="3612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</w:pPr>
      <w:r>
        <w:rPr>
          <w:noProof/>
          <w:lang w:eastAsia="zh-CN"/>
        </w:rPr>
        <w:drawing>
          <wp:inline distT="0" distB="0" distL="114300" distR="114300" wp14:anchorId="093548C0" wp14:editId="5C34AAF7">
            <wp:extent cx="4245610" cy="3536315"/>
            <wp:effectExtent l="0" t="0" r="0" b="0"/>
            <wp:docPr id="1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252663" cy="354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2FC" w:rsidRDefault="00F327D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5FDA"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b/>
          <w:bCs/>
          <w:color w:val="000000"/>
        </w:rPr>
        <w:t>rognostic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significance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Borrmann</w:t>
      </w:r>
      <w:proofErr w:type="spellEnd"/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type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5FDA">
        <w:rPr>
          <w:rFonts w:ascii="Book Antiqua" w:eastAsia="Book Antiqua" w:hAnsi="Book Antiqua" w:cs="Book Antiqua"/>
          <w:b/>
          <w:bCs/>
          <w:color w:val="000000"/>
        </w:rPr>
        <w:t xml:space="preserve">with </w:t>
      </w:r>
      <w:r w:rsidR="00055FDA" w:rsidRPr="003A265A">
        <w:rPr>
          <w:rFonts w:ascii="Book Antiqua" w:eastAsia="Book Antiqua" w:hAnsi="Book Antiqua" w:cs="Book Antiqua"/>
          <w:b/>
          <w:bCs/>
          <w:color w:val="000000"/>
        </w:rPr>
        <w:t>lymphatic and/or blood vessel invasion (LBVI)</w:t>
      </w:r>
      <w:r w:rsidR="00055F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status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5FDA"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advanced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gastric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055FDA" w:rsidRPr="00055F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5FDA">
        <w:rPr>
          <w:rFonts w:ascii="Book Antiqua" w:eastAsia="Book Antiqua" w:hAnsi="Book Antiqua" w:cs="Book Antiqua"/>
          <w:b/>
          <w:bCs/>
          <w:color w:val="000000"/>
        </w:rPr>
        <w:t>at different locations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third;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D: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 w:rsidR="00055FDA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verlapping</w:t>
      </w:r>
      <w:r w:rsidR="00CB6B6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</w:p>
    <w:p w:rsidR="009242FC" w:rsidRDefault="00F327DF">
      <w:pPr>
        <w:widowControl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Correlation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055FDA">
        <w:rPr>
          <w:rFonts w:ascii="Book Antiqua" w:eastAsia="Book Antiqua" w:hAnsi="Book Antiqua" w:cs="Book Antiqua"/>
          <w:b/>
          <w:bCs/>
          <w:color w:val="000000"/>
        </w:rPr>
        <w:t xml:space="preserve"> of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clinicopathological</w:t>
      </w:r>
      <w:proofErr w:type="spellEnd"/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characteristics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CB6B6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5FDA" w:rsidRPr="003A265A">
        <w:rPr>
          <w:rFonts w:ascii="Book Antiqua" w:eastAsia="Book Antiqua" w:hAnsi="Book Antiqua" w:cs="Book Antiqua"/>
          <w:b/>
          <w:bCs/>
          <w:color w:val="000000"/>
        </w:rPr>
        <w:t>lymphatic and/or blood vessel invasion</w:t>
      </w:r>
      <w:r w:rsidR="00055FDA" w:rsidDel="00055F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55FDA">
        <w:rPr>
          <w:rFonts w:ascii="Book Antiqua" w:eastAsia="Book Antiqua" w:hAnsi="Book Antiqua" w:cs="Book Antiqua"/>
          <w:b/>
          <w:bCs/>
          <w:color w:val="000000"/>
        </w:rPr>
        <w:t>(</w:t>
      </w:r>
      <w:r w:rsidR="00055FDA" w:rsidRPr="003A265A">
        <w:rPr>
          <w:rFonts w:ascii="Book Antiqua" w:eastAsia="Book Antiqua" w:hAnsi="Book Antiqua" w:cs="Book Antiqua"/>
          <w:b/>
          <w:bCs/>
          <w:color w:val="000000"/>
        </w:rPr>
        <w:t>LBVI</w:t>
      </w:r>
      <w:r w:rsidR="00055FDA">
        <w:rPr>
          <w:rFonts w:ascii="Book Antiqua" w:eastAsia="Book Antiqua" w:hAnsi="Book Antiqua" w:cs="Book Antiqua"/>
          <w:b/>
          <w:bCs/>
          <w:color w:val="000000"/>
        </w:rPr>
        <w:t>) in advanced gastric cancer</w:t>
      </w:r>
    </w:p>
    <w:tbl>
      <w:tblPr>
        <w:tblStyle w:val="a8"/>
        <w:tblW w:w="988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0"/>
        <w:gridCol w:w="2348"/>
        <w:gridCol w:w="1389"/>
        <w:gridCol w:w="1089"/>
      </w:tblGrid>
      <w:tr w:rsidR="009242FC">
        <w:trPr>
          <w:trHeight w:val="425"/>
        </w:trPr>
        <w:tc>
          <w:tcPr>
            <w:tcW w:w="29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</w:rPr>
              <w:t>Variable</w:t>
            </w:r>
          </w:p>
        </w:tc>
        <w:tc>
          <w:tcPr>
            <w:tcW w:w="4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2FC" w:rsidRDefault="00055FDA">
            <w:pPr>
              <w:spacing w:line="360" w:lineRule="auto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</w:rPr>
              <w:t>LVBI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/>
                <w:bCs/>
                <w:color w:val="000000"/>
                <w:vertAlign w:val="superscript"/>
              </w:rPr>
            </w:pPr>
            <w:r>
              <w:rPr>
                <w:rFonts w:ascii="Book Antiqua" w:eastAsia="Book Antiqua" w:hAnsi="Book Antiqua" w:cs="Book Antiqua"/>
                <w:b/>
                <w:bCs/>
                <w:i/>
                <w:iCs/>
                <w:color w:val="000000"/>
              </w:rPr>
              <w:t>χ</w:t>
            </w:r>
            <w:r>
              <w:rPr>
                <w:rFonts w:ascii="Book Antiqua" w:eastAsia="Book Antiqua" w:hAnsi="Book Antiqua" w:cs="Book Antiqua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bCs/>
                <w:i/>
                <w:color w:val="000000"/>
              </w:rPr>
              <w:t>P</w:t>
            </w:r>
            <w:r w:rsidR="00CB6B61">
              <w:rPr>
                <w:rFonts w:ascii="Book Antiqua" w:eastAsia="Book Antiqua" w:hAnsi="Book Antiqua" w:cs="Book Antiqua"/>
                <w:b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color w:val="000000"/>
              </w:rPr>
              <w:t>value</w:t>
            </w:r>
          </w:p>
        </w:tc>
      </w:tr>
      <w:tr w:rsidR="009242FC">
        <w:trPr>
          <w:trHeight w:val="425"/>
        </w:trPr>
        <w:tc>
          <w:tcPr>
            <w:tcW w:w="29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</w:rPr>
              <w:t>Presence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/>
                <w:bCs/>
                <w:color w:val="000000"/>
              </w:rPr>
              <w:t>Absence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/>
                <w:bCs/>
                <w:color w:val="000000"/>
                <w:vertAlign w:val="superscript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Gender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0.011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0.916</w:t>
            </w: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Male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330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(74.7)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1609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(74.5)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Female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112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(25.3)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553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(25.5)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Age</w:t>
            </w:r>
            <w:r w:rsidR="00055FDA">
              <w:rPr>
                <w:rFonts w:ascii="Book Antiqua" w:eastAsia="Book Antiqua" w:hAnsi="Book Antiqua" w:cs="Book Antiqua"/>
                <w:bCs/>
                <w:color w:val="000000"/>
              </w:rPr>
              <w:t xml:space="preserve"> (</w:t>
            </w:r>
            <w:proofErr w:type="spellStart"/>
            <w:r w:rsidR="00055FDA">
              <w:rPr>
                <w:rFonts w:ascii="Book Antiqua" w:eastAsia="Book Antiqua" w:hAnsi="Book Antiqua" w:cs="Book Antiqua"/>
                <w:bCs/>
                <w:color w:val="000000"/>
              </w:rPr>
              <w:t>yr</w:t>
            </w:r>
            <w:proofErr w:type="spellEnd"/>
            <w:r w:rsidR="00055FDA">
              <w:rPr>
                <w:rFonts w:ascii="Book Antiqua" w:eastAsia="Book Antiqua" w:hAnsi="Book Antiqua" w:cs="Book Antiqua"/>
                <w:bCs/>
                <w:color w:val="000000"/>
              </w:rPr>
              <w:t>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2.200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0.138</w:t>
            </w: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&lt;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233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(52.7)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1056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(48.8)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≥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60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209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(47.3)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1106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(51.2)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Cs/>
                <w:color w:val="000000"/>
              </w:rPr>
              <w:t>Borrmann</w:t>
            </w:r>
            <w:proofErr w:type="spellEnd"/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type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17.294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0.001</w:t>
            </w: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17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(3.8)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106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(4.9)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II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95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(21.5)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369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(17.1)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III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250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(56.6)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1413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(65.4)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IV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80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(18.1)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274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(12.7)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Tumor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location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33.630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&lt;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0.001</w:t>
            </w: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Upper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third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28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(6.3)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273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(12.6)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Middle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third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62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(14.0)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339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(15.7)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Lower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third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220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(49.8)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1135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(52.5)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Whole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stomach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132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(29.9)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415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(19.2)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Tumor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size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(mm)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16.077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&lt;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0.001</w:t>
            </w: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&lt;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118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(26.7)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793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(36.7)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≥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50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324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(73.3)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1369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(63.3)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Histologic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grade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15.084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&lt;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0.001</w:t>
            </w: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Well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129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(29.2)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843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(39.0)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Poor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313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(70.8)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1319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(61.0)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Cs/>
                <w:color w:val="000000"/>
              </w:rPr>
              <w:t>pT</w:t>
            </w:r>
            <w:proofErr w:type="spellEnd"/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category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213.269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&lt;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0.001</w:t>
            </w: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T2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29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(6.6)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294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(13.6)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T3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212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(48.0)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358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(16.6)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lastRenderedPageBreak/>
              <w:t>T4a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171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(38.7)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1269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(58.7)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T4b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30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(6.8)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241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(11.1)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proofErr w:type="spellStart"/>
            <w:r>
              <w:rPr>
                <w:rFonts w:ascii="Book Antiqua" w:eastAsia="Book Antiqua" w:hAnsi="Book Antiqua" w:cs="Book Antiqua"/>
                <w:bCs/>
                <w:color w:val="000000"/>
              </w:rPr>
              <w:t>pN</w:t>
            </w:r>
            <w:proofErr w:type="spellEnd"/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category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96.976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&lt;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0.001</w:t>
            </w: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N0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44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(10.0)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522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(24.1)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N1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57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(12.9)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409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(18.9)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N2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95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(21.5)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529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(24.5)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N3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246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(55.7)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702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(32.5)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Surgical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approach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37.183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&lt;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0.001</w:t>
            </w: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Proximal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gastrectomy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23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(5.2)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211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(9.8)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Distal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gastrectomy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235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(53.2)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1351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(62.5)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Total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gastrectomy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184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(41.6)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600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(27.8)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Combined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resection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1.251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0.263</w:t>
            </w: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Presence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19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(4.3)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70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(3.2)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  <w:tr w:rsidR="009242FC">
        <w:trPr>
          <w:trHeight w:val="425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FC" w:rsidRDefault="00F327DF">
            <w:pPr>
              <w:spacing w:line="360" w:lineRule="auto"/>
              <w:ind w:firstLineChars="100" w:firstLine="240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Absence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423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(95.7)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  <w:r>
              <w:rPr>
                <w:rFonts w:ascii="Book Antiqua" w:eastAsia="Book Antiqua" w:hAnsi="Book Antiqua" w:cs="Book Antiqua"/>
                <w:bCs/>
                <w:color w:val="000000"/>
              </w:rPr>
              <w:t>2092</w:t>
            </w:r>
            <w:r w:rsidR="00CB6B61">
              <w:rPr>
                <w:rFonts w:ascii="Book Antiqua" w:eastAsia="Book Antiqua" w:hAnsi="Book Antiqua" w:cs="Book Antiqua"/>
                <w:bCs/>
                <w:color w:val="000000"/>
              </w:rPr>
              <w:t xml:space="preserve"> </w:t>
            </w:r>
            <w:r>
              <w:rPr>
                <w:rFonts w:ascii="Book Antiqua" w:eastAsia="Book Antiqua" w:hAnsi="Book Antiqua" w:cs="Book Antiqua"/>
                <w:bCs/>
                <w:color w:val="000000"/>
              </w:rPr>
              <w:t>(96.8)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FC" w:rsidRDefault="009242FC">
            <w:pPr>
              <w:spacing w:line="360" w:lineRule="auto"/>
              <w:rPr>
                <w:rFonts w:ascii="Book Antiqua" w:eastAsia="Book Antiqua" w:hAnsi="Book Antiqua" w:cs="Book Antiqua"/>
                <w:bCs/>
                <w:color w:val="000000"/>
              </w:rPr>
            </w:pPr>
          </w:p>
        </w:tc>
      </w:tr>
    </w:tbl>
    <w:p w:rsidR="009242FC" w:rsidRDefault="009242FC">
      <w:pPr>
        <w:widowControl w:val="0"/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:rsidR="009242FC" w:rsidRDefault="009242FC">
      <w:pPr>
        <w:widowControl w:val="0"/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</w:p>
    <w:p w:rsidR="009242FC" w:rsidRDefault="00F327DF">
      <w:pPr>
        <w:widowControl w:val="0"/>
        <w:spacing w:line="360" w:lineRule="auto"/>
        <w:jc w:val="both"/>
        <w:rPr>
          <w:rFonts w:ascii="Book Antiqua" w:eastAsiaTheme="minorEastAsia" w:hAnsi="Book Antiqua" w:cs="Book Antiqua"/>
          <w:b/>
          <w:bCs/>
          <w:color w:val="000000"/>
          <w:lang w:eastAsia="zh-CN"/>
        </w:rPr>
      </w:pPr>
      <w:r>
        <w:rPr>
          <w:rFonts w:ascii="Book Antiqua" w:eastAsiaTheme="minorEastAsia" w:hAnsi="Book Antiqua" w:cs="Book Antiqua"/>
          <w:color w:val="000000"/>
          <w:lang w:eastAsia="zh-CN"/>
        </w:rPr>
        <w:br w:type="page"/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lastRenderedPageBreak/>
        <w:t>Table</w:t>
      </w:r>
      <w:r w:rsidR="00CB6B61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t>2</w:t>
      </w:r>
      <w:r w:rsidR="00CB6B61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proofErr w:type="spellStart"/>
      <w:r w:rsidR="00055FDA">
        <w:rPr>
          <w:rFonts w:ascii="Book Antiqua" w:eastAsiaTheme="minorEastAsia" w:hAnsi="Book Antiqua" w:cs="Book Antiqua"/>
          <w:b/>
          <w:bCs/>
          <w:color w:val="000000"/>
          <w:lang w:eastAsia="zh-CN"/>
        </w:rPr>
        <w:t>C</w:t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t>linicopathological</w:t>
      </w:r>
      <w:proofErr w:type="spellEnd"/>
      <w:r w:rsidR="00CB6B61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t>characteristics</w:t>
      </w:r>
      <w:r w:rsidR="00CB6B61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t>and</w:t>
      </w:r>
      <w:r w:rsidR="00CB6B61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t>survival</w:t>
      </w:r>
      <w:r w:rsidR="00CB6B61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t>of</w:t>
      </w:r>
      <w:r w:rsidR="00CB6B61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t>2604</w:t>
      </w:r>
      <w:r w:rsidR="00CB6B61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t>patients</w:t>
      </w:r>
      <w:r w:rsidR="00CB6B61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t>with</w:t>
      </w:r>
      <w:r w:rsidR="00CB6B61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t>advanced</w:t>
      </w:r>
      <w:r w:rsidR="00CB6B61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t>gastric</w:t>
      </w:r>
      <w:r w:rsidR="00CB6B61">
        <w:rPr>
          <w:rFonts w:ascii="Book Antiqua" w:eastAsiaTheme="minorEastAsia" w:hAnsi="Book Antiqua" w:cs="Book Antiqua"/>
          <w:b/>
          <w:bCs/>
          <w:color w:val="000000"/>
          <w:lang w:eastAsia="zh-CN"/>
        </w:rPr>
        <w:t xml:space="preserve"> </w:t>
      </w:r>
      <w:r>
        <w:rPr>
          <w:rFonts w:ascii="Book Antiqua" w:eastAsiaTheme="minorEastAsia" w:hAnsi="Book Antiqua" w:cs="Book Antiqua"/>
          <w:b/>
          <w:bCs/>
          <w:color w:val="000000"/>
          <w:lang w:eastAsia="zh-CN"/>
        </w:rPr>
        <w:t>cancer</w:t>
      </w:r>
    </w:p>
    <w:tbl>
      <w:tblPr>
        <w:tblStyle w:val="a8"/>
        <w:tblW w:w="946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719"/>
        <w:gridCol w:w="2377"/>
        <w:gridCol w:w="1245"/>
      </w:tblGrid>
      <w:tr w:rsidR="009242FC" w:rsidTr="00CF3B08">
        <w:trPr>
          <w:trHeight w:val="284"/>
        </w:trPr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>Variable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>Patient</w:t>
            </w:r>
            <w:r w:rsidR="00CB6B61"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 xml:space="preserve"> </w:t>
            </w:r>
            <w:r w:rsidR="00055FDA"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>number</w:t>
            </w:r>
            <w:r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>,</w:t>
            </w:r>
            <w:r w:rsidR="00CB6B61"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b/>
                <w:bCs/>
                <w:i/>
                <w:color w:val="000000"/>
                <w:lang w:eastAsia="zh-CN"/>
              </w:rPr>
              <w:t>n</w:t>
            </w:r>
            <w:r w:rsidR="00CB6B61"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>(%)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>Survival</w:t>
            </w:r>
            <w:r w:rsidR="00CB6B61"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>period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b/>
                <w:bCs/>
                <w:i/>
                <w:color w:val="000000"/>
                <w:lang w:eastAsia="zh-CN"/>
              </w:rPr>
              <w:t>P</w:t>
            </w:r>
            <w:r w:rsidR="00CB6B61"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b/>
                <w:bCs/>
                <w:color w:val="000000"/>
                <w:lang w:eastAsia="zh-CN"/>
              </w:rPr>
              <w:t>value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Gender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0.619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Male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1939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(74.4)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Female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665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(25.6)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Age</w:t>
            </w:r>
            <w:r w:rsidR="00055FDA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(</w:t>
            </w:r>
            <w:proofErr w:type="spellStart"/>
            <w:r w:rsidR="00055FDA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yr</w:t>
            </w:r>
            <w:proofErr w:type="spellEnd"/>
            <w:r w:rsidR="00055FDA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)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0.705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&lt;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60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1289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(49.6)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≥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60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1314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(50.4)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055FDA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L</w:t>
            </w:r>
            <w:r w:rsidRPr="00055FDA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ymphatic and/or blood vessel invasion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&lt;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0.001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Presence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442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(17)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Absence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2162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(83)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proofErr w:type="spellStart"/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Borrmann</w:t>
            </w:r>
            <w:proofErr w:type="spellEnd"/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type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&lt;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0.001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I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123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(4.7)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II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464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(17.8)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45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III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1663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(63.9)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IV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354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(13.6)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Tumor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location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&lt;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0.001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Upper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third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301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(11.6)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Middle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third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401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(15.4)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Lower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third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1355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(52)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Whole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stomach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547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(21)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Tumor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size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(mm)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&lt;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0.001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&lt;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50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911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(35)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45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≥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50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1693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(65)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Histologic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grade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&lt;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0.001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Well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972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(37.3)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40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Poor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1632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(62.7)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proofErr w:type="spellStart"/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lastRenderedPageBreak/>
              <w:t>pT</w:t>
            </w:r>
            <w:proofErr w:type="spellEnd"/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category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&lt;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0.001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T2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323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(12.4)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T3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570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(21.9)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T4a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1440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(51.3)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T4b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271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(10.4)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proofErr w:type="spellStart"/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pN</w:t>
            </w:r>
            <w:proofErr w:type="spellEnd"/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category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&lt;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0.001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N0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566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(21.7)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60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N1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466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(17.9)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45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N2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624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(24)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N3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948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(36.4)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Surgical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approach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&lt;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0.001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Proximal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gastrectomy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234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(9)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Distal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gastrectomy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1586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(60.9)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Total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gastrectomy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784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(30.1)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Radical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 w:rsidR="00055FDA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surgery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&lt;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0.001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R0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2125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(81.7)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39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R1/R2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479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(18.3)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Combined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resection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&lt;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0.001</w:t>
            </w: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Presence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89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(3.4)</w:t>
            </w: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  <w:tr w:rsidR="009242FC" w:rsidTr="00CF3B08">
        <w:trPr>
          <w:trHeight w:val="284"/>
        </w:trPr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FC" w:rsidRDefault="00F327DF" w:rsidP="00CF3B08">
            <w:pPr>
              <w:spacing w:line="360" w:lineRule="auto"/>
              <w:ind w:firstLineChars="100" w:firstLine="240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Absence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2125</w:t>
            </w:r>
            <w:r w:rsidR="00CB6B61">
              <w:rPr>
                <w:rFonts w:ascii="Book Antiqua" w:eastAsiaTheme="minorEastAsia" w:hAnsi="Book Antiqua" w:cs="Book Antiqua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(96.6)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FC" w:rsidRDefault="00F327DF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42FC" w:rsidRDefault="009242FC" w:rsidP="00CF3B08">
            <w:pPr>
              <w:spacing w:line="360" w:lineRule="auto"/>
              <w:rPr>
                <w:rFonts w:ascii="Book Antiqua" w:eastAsiaTheme="minorEastAsia" w:hAnsi="Book Antiqua" w:cs="Book Antiqua"/>
                <w:color w:val="000000"/>
                <w:lang w:eastAsia="zh-CN"/>
              </w:rPr>
            </w:pPr>
          </w:p>
        </w:tc>
      </w:tr>
    </w:tbl>
    <w:p w:rsidR="009242FC" w:rsidRDefault="009242FC">
      <w:pPr>
        <w:widowControl w:val="0"/>
        <w:spacing w:line="360" w:lineRule="auto"/>
        <w:jc w:val="both"/>
        <w:rPr>
          <w:rFonts w:ascii="Book Antiqua" w:eastAsiaTheme="minorEastAsia" w:hAnsi="Book Antiqua" w:cs="Book Antiqua"/>
          <w:color w:val="000000"/>
          <w:lang w:eastAsia="zh-CN"/>
        </w:rPr>
      </w:pPr>
    </w:p>
    <w:p w:rsidR="009242FC" w:rsidRDefault="00F327DF">
      <w:pPr>
        <w:widowControl w:val="0"/>
        <w:spacing w:line="360" w:lineRule="auto"/>
        <w:jc w:val="both"/>
        <w:rPr>
          <w:rFonts w:ascii="Book Antiqua" w:hAnsi="Book Antiqua" w:cs="Book Antiqua"/>
          <w:b/>
          <w:bCs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br w:type="page"/>
      </w:r>
      <w:r>
        <w:rPr>
          <w:rFonts w:ascii="Book Antiqua" w:hAnsi="Book Antiqua" w:cs="Book Antiqua"/>
          <w:b/>
          <w:bCs/>
          <w:lang w:eastAsia="zh-CN"/>
        </w:rPr>
        <w:lastRenderedPageBreak/>
        <w:t>Table</w:t>
      </w:r>
      <w:r w:rsidR="00CB6B61">
        <w:rPr>
          <w:rFonts w:ascii="Book Antiqua" w:hAnsi="Book Antiqua" w:cs="Book Antiqua"/>
          <w:b/>
          <w:bCs/>
          <w:lang w:eastAsia="zh-CN"/>
        </w:rPr>
        <w:t xml:space="preserve"> </w:t>
      </w:r>
      <w:r>
        <w:rPr>
          <w:rFonts w:ascii="Book Antiqua" w:hAnsi="Book Antiqua" w:cs="Book Antiqua"/>
          <w:b/>
          <w:bCs/>
          <w:lang w:eastAsia="zh-CN"/>
        </w:rPr>
        <w:t>3</w:t>
      </w:r>
      <w:r w:rsidR="00CB6B61">
        <w:rPr>
          <w:rFonts w:ascii="Book Antiqua" w:hAnsi="Book Antiqua" w:cs="Book Antiqua"/>
          <w:b/>
          <w:bCs/>
          <w:lang w:eastAsia="zh-CN"/>
        </w:rPr>
        <w:t xml:space="preserve"> </w:t>
      </w:r>
      <w:r>
        <w:rPr>
          <w:rFonts w:ascii="Book Antiqua" w:hAnsi="Book Antiqua" w:cs="Book Antiqua"/>
          <w:b/>
          <w:bCs/>
          <w:lang w:eastAsia="zh-CN"/>
        </w:rPr>
        <w:t>Univariate</w:t>
      </w:r>
      <w:r w:rsidR="00CB6B61">
        <w:rPr>
          <w:rFonts w:ascii="Book Antiqua" w:hAnsi="Book Antiqua" w:cs="Book Antiqua"/>
          <w:b/>
          <w:bCs/>
          <w:lang w:eastAsia="zh-CN"/>
        </w:rPr>
        <w:t xml:space="preserve"> </w:t>
      </w:r>
      <w:r>
        <w:rPr>
          <w:rFonts w:ascii="Book Antiqua" w:hAnsi="Book Antiqua" w:cs="Book Antiqua"/>
          <w:b/>
          <w:bCs/>
          <w:lang w:eastAsia="zh-CN"/>
        </w:rPr>
        <w:t>and</w:t>
      </w:r>
      <w:r w:rsidR="00CB6B61">
        <w:rPr>
          <w:rFonts w:ascii="Book Antiqua" w:hAnsi="Book Antiqua" w:cs="Book Antiqua"/>
          <w:b/>
          <w:bCs/>
          <w:lang w:eastAsia="zh-CN"/>
        </w:rPr>
        <w:t xml:space="preserve"> </w:t>
      </w:r>
      <w:r>
        <w:rPr>
          <w:rFonts w:ascii="Book Antiqua" w:hAnsi="Book Antiqua" w:cs="Book Antiqua"/>
          <w:b/>
          <w:bCs/>
          <w:lang w:eastAsia="zh-CN"/>
        </w:rPr>
        <w:t>multivariate</w:t>
      </w:r>
      <w:r w:rsidR="00CB6B61">
        <w:rPr>
          <w:rFonts w:ascii="Book Antiqua" w:hAnsi="Book Antiqua" w:cs="Book Antiqua"/>
          <w:b/>
          <w:bCs/>
          <w:lang w:eastAsia="zh-CN"/>
        </w:rPr>
        <w:t xml:space="preserve"> </w:t>
      </w:r>
      <w:r w:rsidR="00055FDA">
        <w:rPr>
          <w:rFonts w:ascii="Book Antiqua" w:hAnsi="Book Antiqua" w:cs="Book Antiqua"/>
          <w:b/>
          <w:bCs/>
          <w:lang w:eastAsia="zh-CN"/>
        </w:rPr>
        <w:t xml:space="preserve">analyses </w:t>
      </w:r>
      <w:r>
        <w:rPr>
          <w:rFonts w:ascii="Book Antiqua" w:hAnsi="Book Antiqua" w:cs="Book Antiqua"/>
          <w:b/>
          <w:bCs/>
          <w:lang w:eastAsia="zh-CN"/>
        </w:rPr>
        <w:t>of</w:t>
      </w:r>
      <w:r w:rsidR="00CB6B61">
        <w:rPr>
          <w:rFonts w:ascii="Book Antiqua" w:hAnsi="Book Antiqua" w:cs="Book Antiqua"/>
          <w:b/>
          <w:bCs/>
          <w:lang w:eastAsia="zh-CN"/>
        </w:rPr>
        <w:t xml:space="preserve"> </w:t>
      </w:r>
      <w:r>
        <w:rPr>
          <w:rFonts w:ascii="Book Antiqua" w:hAnsi="Book Antiqua" w:cs="Book Antiqua"/>
          <w:b/>
          <w:bCs/>
          <w:lang w:eastAsia="zh-CN"/>
        </w:rPr>
        <w:t>postoperative</w:t>
      </w:r>
      <w:r w:rsidR="00CB6B61">
        <w:rPr>
          <w:rFonts w:ascii="Book Antiqua" w:hAnsi="Book Antiqua" w:cs="Book Antiqua"/>
          <w:b/>
          <w:bCs/>
          <w:lang w:eastAsia="zh-CN"/>
        </w:rPr>
        <w:t xml:space="preserve"> </w:t>
      </w:r>
      <w:r>
        <w:rPr>
          <w:rFonts w:ascii="Book Antiqua" w:hAnsi="Book Antiqua" w:cs="Book Antiqua"/>
          <w:b/>
          <w:bCs/>
          <w:lang w:eastAsia="zh-CN"/>
        </w:rPr>
        <w:t>prognostic</w:t>
      </w:r>
      <w:r w:rsidR="00CB6B61">
        <w:rPr>
          <w:rFonts w:ascii="Book Antiqua" w:hAnsi="Book Antiqua" w:cs="Book Antiqua"/>
          <w:b/>
          <w:bCs/>
          <w:lang w:eastAsia="zh-CN"/>
        </w:rPr>
        <w:t xml:space="preserve"> </w:t>
      </w:r>
      <w:r>
        <w:rPr>
          <w:rFonts w:ascii="Book Antiqua" w:hAnsi="Book Antiqua" w:cs="Book Antiqua"/>
          <w:b/>
          <w:bCs/>
          <w:lang w:eastAsia="zh-CN"/>
        </w:rPr>
        <w:t>factors</w:t>
      </w:r>
      <w:r w:rsidR="00CB6B61">
        <w:rPr>
          <w:rFonts w:ascii="Book Antiqua" w:hAnsi="Book Antiqua" w:cs="Book Antiqua"/>
          <w:b/>
          <w:bCs/>
          <w:lang w:eastAsia="zh-CN"/>
        </w:rPr>
        <w:t xml:space="preserve"> </w:t>
      </w:r>
      <w:r w:rsidR="00055FDA">
        <w:rPr>
          <w:rFonts w:ascii="Book Antiqua" w:hAnsi="Book Antiqua" w:cs="Book Antiqua"/>
          <w:b/>
          <w:bCs/>
          <w:lang w:eastAsia="zh-CN"/>
        </w:rPr>
        <w:t>for</w:t>
      </w:r>
      <w:r w:rsidR="00CB6B61">
        <w:rPr>
          <w:rFonts w:ascii="Book Antiqua" w:hAnsi="Book Antiqua" w:cs="Book Antiqua"/>
          <w:b/>
          <w:bCs/>
          <w:lang w:eastAsia="zh-CN"/>
        </w:rPr>
        <w:t xml:space="preserve"> </w:t>
      </w:r>
      <w:r>
        <w:rPr>
          <w:rFonts w:ascii="Book Antiqua" w:hAnsi="Book Antiqua" w:cs="Book Antiqua"/>
          <w:b/>
          <w:bCs/>
          <w:lang w:eastAsia="zh-CN"/>
        </w:rPr>
        <w:t>advanced</w:t>
      </w:r>
      <w:r w:rsidR="00CB6B61">
        <w:rPr>
          <w:rFonts w:ascii="Book Antiqua" w:hAnsi="Book Antiqua" w:cs="Book Antiqua"/>
          <w:b/>
          <w:bCs/>
          <w:lang w:eastAsia="zh-CN"/>
        </w:rPr>
        <w:t xml:space="preserve"> </w:t>
      </w:r>
      <w:r>
        <w:rPr>
          <w:rFonts w:ascii="Book Antiqua" w:hAnsi="Book Antiqua" w:cs="Book Antiqua"/>
          <w:b/>
          <w:bCs/>
          <w:lang w:eastAsia="zh-CN"/>
        </w:rPr>
        <w:t>gastric</w:t>
      </w:r>
      <w:r w:rsidR="00CB6B61">
        <w:rPr>
          <w:rFonts w:ascii="Book Antiqua" w:hAnsi="Book Antiqua" w:cs="Book Antiqua"/>
          <w:b/>
          <w:bCs/>
          <w:lang w:eastAsia="zh-CN"/>
        </w:rPr>
        <w:t xml:space="preserve"> </w:t>
      </w:r>
      <w:r>
        <w:rPr>
          <w:rFonts w:ascii="Book Antiqua" w:hAnsi="Book Antiqua" w:cs="Book Antiqua"/>
          <w:b/>
          <w:bCs/>
          <w:lang w:eastAsia="zh-CN"/>
        </w:rPr>
        <w:t>cancer</w:t>
      </w:r>
    </w:p>
    <w:tbl>
      <w:tblPr>
        <w:tblStyle w:val="a8"/>
        <w:tblpPr w:leftFromText="180" w:rightFromText="180" w:vertAnchor="text" w:horzAnchor="page" w:tblpXSpec="center" w:tblpY="157"/>
        <w:tblOverlap w:val="never"/>
        <w:tblW w:w="927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2576"/>
        <w:gridCol w:w="1041"/>
        <w:gridCol w:w="2430"/>
        <w:gridCol w:w="1215"/>
      </w:tblGrid>
      <w:tr w:rsidR="009242FC">
        <w:trPr>
          <w:trHeight w:val="283"/>
          <w:jc w:val="center"/>
        </w:trPr>
        <w:tc>
          <w:tcPr>
            <w:tcW w:w="2010" w:type="dxa"/>
            <w:vMerge w:val="restart"/>
            <w:tcBorders>
              <w:bottom w:val="single" w:sz="4" w:space="0" w:color="auto"/>
            </w:tcBorders>
          </w:tcPr>
          <w:p w:rsidR="009242FC" w:rsidRDefault="009242FC">
            <w:pPr>
              <w:spacing w:line="360" w:lineRule="auto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3617" w:type="dxa"/>
            <w:gridSpan w:val="2"/>
            <w:tcBorders>
              <w:bottom w:val="single" w:sz="4" w:space="0" w:color="auto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b/>
                <w:bCs/>
                <w:lang w:eastAsia="zh-CN"/>
              </w:rPr>
            </w:pPr>
            <w:r>
              <w:rPr>
                <w:rFonts w:ascii="Book Antiqua" w:hAnsi="Book Antiqua" w:cs="Book Antiqua"/>
                <w:b/>
                <w:bCs/>
                <w:lang w:eastAsia="zh-CN"/>
              </w:rPr>
              <w:t>Univariate</w:t>
            </w:r>
            <w:r w:rsidR="00CB6B61">
              <w:rPr>
                <w:rFonts w:ascii="Book Antiqua" w:hAnsi="Book Antiqua" w:cs="Book Antiqu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lang w:eastAsia="zh-CN"/>
              </w:rPr>
              <w:t>analysis</w:t>
            </w: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</w:tcPr>
          <w:p w:rsidR="009242FC" w:rsidRDefault="00F327DF">
            <w:pPr>
              <w:widowControl/>
              <w:spacing w:line="360" w:lineRule="auto"/>
              <w:jc w:val="center"/>
              <w:rPr>
                <w:rFonts w:ascii="Book Antiqua" w:hAnsi="Book Antiqua" w:cs="Book Antiqua"/>
                <w:b/>
                <w:bCs/>
                <w:lang w:eastAsia="zh-CN"/>
              </w:rPr>
            </w:pPr>
            <w:r>
              <w:rPr>
                <w:rFonts w:ascii="Book Antiqua" w:eastAsia="ArialNarrow-Bold" w:hAnsi="Book Antiqua" w:cs="Book Antiqua"/>
                <w:b/>
                <w:bCs/>
                <w:color w:val="000000"/>
                <w:lang w:eastAsia="zh-CN" w:bidi="ar"/>
              </w:rPr>
              <w:t>Multivariate</w:t>
            </w:r>
            <w:r w:rsidR="00CB6B61">
              <w:rPr>
                <w:rFonts w:ascii="Book Antiqua" w:eastAsia="ArialNarrow-Bold" w:hAnsi="Book Antiqua" w:cs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ArialNarrow-Bold" w:hAnsi="Book Antiqua" w:cs="Book Antiqua"/>
                <w:b/>
                <w:bCs/>
                <w:color w:val="000000"/>
                <w:lang w:eastAsia="zh-CN" w:bidi="ar"/>
              </w:rPr>
              <w:t>analysis</w:t>
            </w:r>
          </w:p>
        </w:tc>
      </w:tr>
      <w:tr w:rsidR="009242FC">
        <w:trPr>
          <w:trHeight w:val="283"/>
          <w:jc w:val="center"/>
        </w:trPr>
        <w:tc>
          <w:tcPr>
            <w:tcW w:w="20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242FC" w:rsidRDefault="009242FC">
            <w:pPr>
              <w:spacing w:line="360" w:lineRule="auto"/>
              <w:rPr>
                <w:rFonts w:ascii="Book Antiqua" w:hAnsi="Book Antiqua" w:cs="Book Antiqua"/>
                <w:b/>
                <w:bCs/>
              </w:rPr>
            </w:pP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b/>
                <w:bCs/>
                <w:lang w:eastAsia="zh-CN"/>
              </w:rPr>
            </w:pPr>
            <w:r>
              <w:rPr>
                <w:rFonts w:ascii="Book Antiqua" w:hAnsi="Book Antiqua" w:cs="Book Antiqua"/>
                <w:b/>
                <w:bCs/>
                <w:lang w:eastAsia="zh-CN"/>
              </w:rPr>
              <w:t>HR</w:t>
            </w:r>
            <w:r w:rsidR="00CB6B61">
              <w:rPr>
                <w:rFonts w:ascii="Book Antiqua" w:hAnsi="Book Antiqua" w:cs="Book Antiqua" w:hint="eastAsi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lang w:eastAsia="zh-CN"/>
              </w:rPr>
              <w:t>(95%CI)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9242FC" w:rsidRDefault="00F327DF">
            <w:pPr>
              <w:widowControl/>
              <w:spacing w:line="360" w:lineRule="auto"/>
              <w:jc w:val="center"/>
              <w:rPr>
                <w:rFonts w:ascii="Book Antiqua" w:eastAsiaTheme="minorEastAsia" w:hAnsi="Book Antiqua" w:cs="Book Antiqua"/>
                <w:b/>
                <w:bCs/>
                <w:lang w:eastAsia="zh-CN"/>
              </w:rPr>
            </w:pPr>
            <w:r>
              <w:rPr>
                <w:rFonts w:ascii="Book Antiqua" w:eastAsia="VdsxptSTIX-Italic" w:hAnsi="Book Antiqua" w:cs="Book Antiqua"/>
                <w:b/>
                <w:bCs/>
                <w:i/>
                <w:color w:val="000000"/>
                <w:lang w:eastAsia="zh-CN" w:bidi="ar"/>
              </w:rPr>
              <w:t>P</w:t>
            </w:r>
            <w:r w:rsidR="00CB6B61">
              <w:rPr>
                <w:rFonts w:ascii="Book Antiqua" w:eastAsia="KrwcykSTIX-Regular" w:hAnsi="Book Antiqua" w:cs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KrwcykSTIX-Regular" w:hAnsi="Book Antiqua" w:cs="Book Antiqua"/>
                <w:b/>
                <w:bCs/>
                <w:color w:val="000000"/>
                <w:lang w:eastAsia="zh-CN" w:bidi="ar"/>
              </w:rPr>
              <w:t>value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b/>
                <w:bCs/>
                <w:lang w:eastAsia="zh-CN"/>
              </w:rPr>
            </w:pPr>
            <w:r>
              <w:rPr>
                <w:rFonts w:ascii="Book Antiqua" w:hAnsi="Book Antiqua" w:cs="Book Antiqua"/>
                <w:b/>
                <w:bCs/>
                <w:lang w:eastAsia="zh-CN"/>
              </w:rPr>
              <w:t>HR</w:t>
            </w:r>
            <w:r w:rsidR="00CB6B61">
              <w:rPr>
                <w:rFonts w:ascii="Book Antiqua" w:hAnsi="Book Antiqua" w:cs="Book Antiqua" w:hint="eastAsia"/>
                <w:b/>
                <w:bCs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b/>
                <w:bCs/>
                <w:lang w:eastAsia="zh-CN"/>
              </w:rPr>
              <w:t>(95%CI)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9242FC" w:rsidRDefault="00F327DF">
            <w:pPr>
              <w:widowControl/>
              <w:spacing w:line="360" w:lineRule="auto"/>
              <w:jc w:val="center"/>
              <w:rPr>
                <w:rFonts w:ascii="Book Antiqua" w:eastAsiaTheme="minorEastAsia" w:hAnsi="Book Antiqua" w:cs="Book Antiqua"/>
                <w:b/>
                <w:bCs/>
                <w:lang w:eastAsia="zh-CN"/>
              </w:rPr>
            </w:pPr>
            <w:r>
              <w:rPr>
                <w:rFonts w:ascii="Book Antiqua" w:eastAsia="VdsxptSTIX-Italic" w:hAnsi="Book Antiqua" w:cs="Book Antiqua"/>
                <w:b/>
                <w:bCs/>
                <w:i/>
                <w:color w:val="000000"/>
                <w:lang w:eastAsia="zh-CN" w:bidi="ar"/>
              </w:rPr>
              <w:t>P</w:t>
            </w:r>
            <w:r w:rsidR="00CB6B61">
              <w:rPr>
                <w:rFonts w:ascii="Book Antiqua" w:eastAsia="KrwcykSTIX-Regular" w:hAnsi="Book Antiqua" w:cs="Book Antiqua"/>
                <w:b/>
                <w:bCs/>
                <w:color w:val="000000"/>
                <w:lang w:eastAsia="zh-CN" w:bidi="ar"/>
              </w:rPr>
              <w:t xml:space="preserve"> </w:t>
            </w:r>
            <w:r>
              <w:rPr>
                <w:rFonts w:ascii="Book Antiqua" w:eastAsia="KrwcykSTIX-Regular" w:hAnsi="Book Antiqua" w:cs="Book Antiqua"/>
                <w:b/>
                <w:bCs/>
                <w:color w:val="000000"/>
                <w:lang w:eastAsia="zh-CN" w:bidi="ar"/>
              </w:rPr>
              <w:t>value</w:t>
            </w:r>
          </w:p>
        </w:tc>
      </w:tr>
      <w:tr w:rsidR="009242FC">
        <w:trPr>
          <w:trHeight w:val="283"/>
          <w:jc w:val="center"/>
        </w:trPr>
        <w:tc>
          <w:tcPr>
            <w:tcW w:w="2010" w:type="dxa"/>
            <w:tcBorders>
              <w:top w:val="single" w:sz="4" w:space="0" w:color="auto"/>
              <w:tl2br w:val="nil"/>
              <w:tr2bl w:val="nil"/>
            </w:tcBorders>
          </w:tcPr>
          <w:p w:rsidR="009242FC" w:rsidRDefault="00F327DF">
            <w:pPr>
              <w:spacing w:line="360" w:lineRule="auto"/>
              <w:rPr>
                <w:rFonts w:ascii="Book Antiqu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Gender</w:t>
            </w:r>
          </w:p>
        </w:tc>
        <w:tc>
          <w:tcPr>
            <w:tcW w:w="2576" w:type="dxa"/>
            <w:tcBorders>
              <w:top w:val="single" w:sz="4" w:space="0" w:color="auto"/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1.027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(0.925-1.139)</w:t>
            </w:r>
          </w:p>
        </w:tc>
        <w:tc>
          <w:tcPr>
            <w:tcW w:w="1041" w:type="dxa"/>
            <w:tcBorders>
              <w:top w:val="single" w:sz="4" w:space="0" w:color="auto"/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0.619</w:t>
            </w:r>
          </w:p>
        </w:tc>
        <w:tc>
          <w:tcPr>
            <w:tcW w:w="2430" w:type="dxa"/>
            <w:tcBorders>
              <w:top w:val="single" w:sz="4" w:space="0" w:color="auto"/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-</w:t>
            </w:r>
          </w:p>
        </w:tc>
      </w:tr>
      <w:tr w:rsidR="009242FC">
        <w:trPr>
          <w:trHeight w:val="283"/>
          <w:jc w:val="center"/>
        </w:trPr>
        <w:tc>
          <w:tcPr>
            <w:tcW w:w="201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Age</w:t>
            </w:r>
          </w:p>
        </w:tc>
        <w:tc>
          <w:tcPr>
            <w:tcW w:w="2576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0.983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(0.898-1.076)</w:t>
            </w:r>
          </w:p>
        </w:tc>
        <w:tc>
          <w:tcPr>
            <w:tcW w:w="1041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0.705</w:t>
            </w:r>
          </w:p>
        </w:tc>
        <w:tc>
          <w:tcPr>
            <w:tcW w:w="243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-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-</w:t>
            </w:r>
          </w:p>
        </w:tc>
      </w:tr>
      <w:tr w:rsidR="009242FC">
        <w:trPr>
          <w:trHeight w:val="283"/>
          <w:jc w:val="center"/>
        </w:trPr>
        <w:tc>
          <w:tcPr>
            <w:tcW w:w="2010" w:type="dxa"/>
            <w:tcBorders>
              <w:tl2br w:val="nil"/>
              <w:tr2bl w:val="nil"/>
            </w:tcBorders>
          </w:tcPr>
          <w:p w:rsidR="009242FC" w:rsidRDefault="007B691D">
            <w:pPr>
              <w:spacing w:line="360" w:lineRule="auto"/>
              <w:rPr>
                <w:rFonts w:ascii="Book Antiqua" w:hAnsi="Book Antiqua" w:cs="Book Antiqua"/>
                <w:lang w:eastAsia="zh-CN"/>
              </w:rPr>
            </w:pPr>
            <w:r>
              <w:rPr>
                <w:rFonts w:ascii="Book Antiqua" w:eastAsiaTheme="minorEastAsia" w:hAnsi="Book Antiqua" w:cs="Book Antiqua"/>
                <w:color w:val="000000"/>
                <w:lang w:eastAsia="zh-CN"/>
              </w:rPr>
              <w:t>L</w:t>
            </w:r>
            <w:r w:rsidRPr="00055FDA">
              <w:rPr>
                <w:rFonts w:ascii="Book Antiqua" w:eastAsiaTheme="minorEastAsia" w:hAnsi="Book Antiqua" w:cs="Book Antiqua"/>
                <w:color w:val="000000"/>
                <w:lang w:eastAsia="zh-CN"/>
              </w:rPr>
              <w:t>ymphatic and/or blood vessel invasion</w:t>
            </w:r>
          </w:p>
        </w:tc>
        <w:tc>
          <w:tcPr>
            <w:tcW w:w="2576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0.733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(0.653-0.823)</w:t>
            </w:r>
          </w:p>
        </w:tc>
        <w:tc>
          <w:tcPr>
            <w:tcW w:w="1041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  <w:tc>
          <w:tcPr>
            <w:tcW w:w="243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0.869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(0.770-0.981)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</w:tr>
      <w:tr w:rsidR="009242FC">
        <w:trPr>
          <w:trHeight w:val="283"/>
          <w:jc w:val="center"/>
        </w:trPr>
        <w:tc>
          <w:tcPr>
            <w:tcW w:w="201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rPr>
                <w:rFonts w:ascii="Book Antiqua" w:hAnsi="Book Antiqua" w:cs="Book Antiqua"/>
                <w:lang w:eastAsia="zh-CN"/>
              </w:rPr>
            </w:pPr>
            <w:proofErr w:type="spellStart"/>
            <w:r>
              <w:rPr>
                <w:rFonts w:ascii="Book Antiqua" w:hAnsi="Book Antiqua" w:cs="Book Antiqua"/>
                <w:lang w:eastAsia="zh-CN"/>
              </w:rPr>
              <w:t>Borrmann</w:t>
            </w:r>
            <w:proofErr w:type="spellEnd"/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type</w:t>
            </w:r>
          </w:p>
        </w:tc>
        <w:tc>
          <w:tcPr>
            <w:tcW w:w="2576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1.591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(1.481-1.710)</w:t>
            </w:r>
          </w:p>
        </w:tc>
        <w:tc>
          <w:tcPr>
            <w:tcW w:w="1041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  <w:tc>
          <w:tcPr>
            <w:tcW w:w="243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1.217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(1.130-1.312)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0.023</w:t>
            </w:r>
          </w:p>
        </w:tc>
      </w:tr>
      <w:tr w:rsidR="009242FC">
        <w:trPr>
          <w:trHeight w:val="283"/>
          <w:jc w:val="center"/>
        </w:trPr>
        <w:tc>
          <w:tcPr>
            <w:tcW w:w="201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Tumor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location</w:t>
            </w:r>
          </w:p>
        </w:tc>
        <w:tc>
          <w:tcPr>
            <w:tcW w:w="2576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1.120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(1.061-1.183)</w:t>
            </w:r>
          </w:p>
        </w:tc>
        <w:tc>
          <w:tcPr>
            <w:tcW w:w="1041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  <w:tc>
          <w:tcPr>
            <w:tcW w:w="243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0.990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(0.940-1.043)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0.718</w:t>
            </w:r>
          </w:p>
        </w:tc>
      </w:tr>
      <w:tr w:rsidR="009242FC">
        <w:trPr>
          <w:trHeight w:val="280"/>
          <w:jc w:val="center"/>
        </w:trPr>
        <w:tc>
          <w:tcPr>
            <w:tcW w:w="201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Tumor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size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(mm)</w:t>
            </w:r>
          </w:p>
        </w:tc>
        <w:tc>
          <w:tcPr>
            <w:tcW w:w="2576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1.842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(1.667-2.036)</w:t>
            </w:r>
          </w:p>
        </w:tc>
        <w:tc>
          <w:tcPr>
            <w:tcW w:w="1041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  <w:tc>
          <w:tcPr>
            <w:tcW w:w="243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1.149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(1.031-1.280)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0.012</w:t>
            </w:r>
          </w:p>
        </w:tc>
      </w:tr>
      <w:tr w:rsidR="009242FC">
        <w:trPr>
          <w:trHeight w:val="283"/>
          <w:jc w:val="center"/>
        </w:trPr>
        <w:tc>
          <w:tcPr>
            <w:tcW w:w="201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Histologic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grade</w:t>
            </w:r>
          </w:p>
        </w:tc>
        <w:tc>
          <w:tcPr>
            <w:tcW w:w="2576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1.248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(1.135-1.372)</w:t>
            </w:r>
          </w:p>
        </w:tc>
        <w:tc>
          <w:tcPr>
            <w:tcW w:w="1041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  <w:tc>
          <w:tcPr>
            <w:tcW w:w="243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1.021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(0.927-1.125)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0.667</w:t>
            </w:r>
          </w:p>
        </w:tc>
      </w:tr>
      <w:tr w:rsidR="009242FC">
        <w:trPr>
          <w:trHeight w:val="283"/>
          <w:jc w:val="center"/>
        </w:trPr>
        <w:tc>
          <w:tcPr>
            <w:tcW w:w="201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Theme="minorEastAsia" w:hAnsi="Book Antiqua" w:cs="Book Antiqua"/>
                <w:lang w:eastAsia="zh-CN"/>
              </w:rPr>
            </w:pPr>
            <w:proofErr w:type="spellStart"/>
            <w:r>
              <w:rPr>
                <w:rFonts w:ascii="Book Antiqua" w:hAnsi="Book Antiqua" w:cs="Book Antiqua"/>
                <w:lang w:eastAsia="zh-CN"/>
              </w:rPr>
              <w:t>pT</w:t>
            </w:r>
            <w:proofErr w:type="spellEnd"/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category</w:t>
            </w:r>
          </w:p>
        </w:tc>
        <w:tc>
          <w:tcPr>
            <w:tcW w:w="2576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1.413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(1.334-1.497)</w:t>
            </w:r>
          </w:p>
        </w:tc>
        <w:tc>
          <w:tcPr>
            <w:tcW w:w="1041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  <w:tc>
          <w:tcPr>
            <w:tcW w:w="243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1.180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(1.180-1.258)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</w:tr>
      <w:tr w:rsidR="009242FC">
        <w:trPr>
          <w:trHeight w:val="283"/>
          <w:jc w:val="center"/>
        </w:trPr>
        <w:tc>
          <w:tcPr>
            <w:tcW w:w="201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Theme="minorEastAsia" w:hAnsi="Book Antiqua" w:cs="Book Antiqua"/>
                <w:lang w:eastAsia="zh-CN"/>
              </w:rPr>
            </w:pPr>
            <w:proofErr w:type="spellStart"/>
            <w:r>
              <w:rPr>
                <w:rFonts w:ascii="Book Antiqua" w:hAnsi="Book Antiqua" w:cs="Book Antiqua"/>
                <w:lang w:eastAsia="zh-CN"/>
              </w:rPr>
              <w:t>pN</w:t>
            </w:r>
            <w:proofErr w:type="spellEnd"/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category</w:t>
            </w:r>
          </w:p>
        </w:tc>
        <w:tc>
          <w:tcPr>
            <w:tcW w:w="2576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1.622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(1.553-1.694)</w:t>
            </w:r>
          </w:p>
        </w:tc>
        <w:tc>
          <w:tcPr>
            <w:tcW w:w="1041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  <w:tc>
          <w:tcPr>
            <w:tcW w:w="243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1.447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(1.382-1.515)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</w:tr>
      <w:tr w:rsidR="009242FC">
        <w:trPr>
          <w:trHeight w:val="301"/>
          <w:jc w:val="center"/>
        </w:trPr>
        <w:tc>
          <w:tcPr>
            <w:tcW w:w="201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rPr>
                <w:rFonts w:ascii="Book Antiqu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Surgical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approach</w:t>
            </w:r>
          </w:p>
        </w:tc>
        <w:tc>
          <w:tcPr>
            <w:tcW w:w="2576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1.474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(1.360-1.598)</w:t>
            </w:r>
          </w:p>
        </w:tc>
        <w:tc>
          <w:tcPr>
            <w:tcW w:w="1041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  <w:tc>
          <w:tcPr>
            <w:tcW w:w="243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1.076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(0.988-1.172)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0.094</w:t>
            </w:r>
          </w:p>
        </w:tc>
      </w:tr>
      <w:tr w:rsidR="009242FC">
        <w:trPr>
          <w:trHeight w:val="283"/>
          <w:jc w:val="center"/>
        </w:trPr>
        <w:tc>
          <w:tcPr>
            <w:tcW w:w="2010" w:type="dxa"/>
            <w:tcBorders>
              <w:tl2br w:val="nil"/>
              <w:tr2bl w:val="nil"/>
            </w:tcBorders>
          </w:tcPr>
          <w:p w:rsidR="009242FC" w:rsidRDefault="00F327DF" w:rsidP="002C7F40">
            <w:pPr>
              <w:spacing w:line="360" w:lineRule="auto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Radical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 w:rsidR="007B691D">
              <w:rPr>
                <w:rFonts w:ascii="Book Antiqua" w:hAnsi="Book Antiqua" w:cs="Book Antiqua"/>
                <w:lang w:eastAsia="zh-CN"/>
              </w:rPr>
              <w:t>surgery</w:t>
            </w:r>
          </w:p>
        </w:tc>
        <w:tc>
          <w:tcPr>
            <w:tcW w:w="2576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2.906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(2.607-3.239)</w:t>
            </w:r>
          </w:p>
        </w:tc>
        <w:tc>
          <w:tcPr>
            <w:tcW w:w="1041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  <w:tc>
          <w:tcPr>
            <w:tcW w:w="243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2.029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(1.810-2.276)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</w:tr>
      <w:tr w:rsidR="009242FC">
        <w:trPr>
          <w:trHeight w:val="283"/>
          <w:jc w:val="center"/>
        </w:trPr>
        <w:tc>
          <w:tcPr>
            <w:tcW w:w="201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Combined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resection</w:t>
            </w:r>
          </w:p>
        </w:tc>
        <w:tc>
          <w:tcPr>
            <w:tcW w:w="2576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0.641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(0.508-0.809)</w:t>
            </w:r>
          </w:p>
        </w:tc>
        <w:tc>
          <w:tcPr>
            <w:tcW w:w="1041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 w:hint="eastAsia"/>
                <w:lang w:eastAsia="zh-CN"/>
              </w:rPr>
              <w:t>&lt;</w:t>
            </w:r>
            <w:r w:rsidR="00CB6B61">
              <w:rPr>
                <w:rFonts w:ascii="Book Antiqua" w:hAnsi="Book Antiqua" w:cs="Book Antiqua" w:hint="eastAsi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0.001</w:t>
            </w:r>
          </w:p>
        </w:tc>
        <w:tc>
          <w:tcPr>
            <w:tcW w:w="2430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0.859</w:t>
            </w:r>
            <w:r w:rsidR="00CB6B61">
              <w:rPr>
                <w:rFonts w:ascii="Book Antiqua" w:hAnsi="Book Antiqua" w:cs="Book Antiqua"/>
                <w:lang w:eastAsia="zh-CN"/>
              </w:rPr>
              <w:t xml:space="preserve"> </w:t>
            </w:r>
            <w:r>
              <w:rPr>
                <w:rFonts w:ascii="Book Antiqua" w:hAnsi="Book Antiqua" w:cs="Book Antiqua"/>
                <w:lang w:eastAsia="zh-CN"/>
              </w:rPr>
              <w:t>(0.677-1.090)</w:t>
            </w:r>
          </w:p>
        </w:tc>
        <w:tc>
          <w:tcPr>
            <w:tcW w:w="1215" w:type="dxa"/>
            <w:tcBorders>
              <w:tl2br w:val="nil"/>
              <w:tr2bl w:val="nil"/>
            </w:tcBorders>
          </w:tcPr>
          <w:p w:rsidR="009242FC" w:rsidRDefault="00F327DF">
            <w:pPr>
              <w:spacing w:line="360" w:lineRule="auto"/>
              <w:jc w:val="center"/>
              <w:rPr>
                <w:rFonts w:ascii="Book Antiqua" w:eastAsiaTheme="minorEastAsia" w:hAnsi="Book Antiqua" w:cs="Book Antiqua"/>
                <w:lang w:eastAsia="zh-CN"/>
              </w:rPr>
            </w:pPr>
            <w:r>
              <w:rPr>
                <w:rFonts w:ascii="Book Antiqua" w:hAnsi="Book Antiqua" w:cs="Book Antiqua"/>
                <w:lang w:eastAsia="zh-CN"/>
              </w:rPr>
              <w:t>0.212</w:t>
            </w:r>
          </w:p>
        </w:tc>
      </w:tr>
    </w:tbl>
    <w:p w:rsidR="009242FC" w:rsidRDefault="009242FC">
      <w:pPr>
        <w:spacing w:line="360" w:lineRule="auto"/>
        <w:jc w:val="both"/>
      </w:pPr>
    </w:p>
    <w:sectPr w:rsidR="00924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8BC" w:rsidRDefault="000778BC">
      <w:r>
        <w:separator/>
      </w:r>
    </w:p>
  </w:endnote>
  <w:endnote w:type="continuationSeparator" w:id="0">
    <w:p w:rsidR="000778BC" w:rsidRDefault="00077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Narrow-Bold">
    <w:altName w:val="Segoe Print"/>
    <w:charset w:val="00"/>
    <w:family w:val="auto"/>
    <w:pitch w:val="default"/>
  </w:font>
  <w:font w:name="VdsxptSTIX-Italic">
    <w:altName w:val="Segoe Print"/>
    <w:charset w:val="00"/>
    <w:family w:val="auto"/>
    <w:pitch w:val="default"/>
  </w:font>
  <w:font w:name="KrwcykSTIX-Regular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39" w:rsidRDefault="00077C39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158792"/>
      <w:docPartObj>
        <w:docPartGallery w:val="AutoText"/>
      </w:docPartObj>
    </w:sdtPr>
    <w:sdtEndPr>
      <w:rPr>
        <w:sz w:val="24"/>
        <w:szCs w:val="24"/>
      </w:rPr>
    </w:sdtEndPr>
    <w:sdtContent>
      <w:sdt>
        <w:sdtPr>
          <w:id w:val="-1705238520"/>
          <w:docPartObj>
            <w:docPartGallery w:val="AutoText"/>
          </w:docPartObj>
        </w:sdtPr>
        <w:sdtEndPr>
          <w:rPr>
            <w:sz w:val="24"/>
            <w:szCs w:val="24"/>
          </w:rPr>
        </w:sdtEndPr>
        <w:sdtContent>
          <w:p w:rsidR="00077C39" w:rsidRDefault="00077C39">
            <w:pPr>
              <w:pStyle w:val="a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zh-CN" w:eastAsia="zh-CN"/>
              </w:rPr>
              <w:t xml:space="preserve">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</w:rPr>
              <w:instrText>PAGE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2C7F40">
              <w:rPr>
                <w:bCs/>
                <w:noProof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  <w:lang w:val="zh-CN" w:eastAsia="zh-CN"/>
              </w:rPr>
              <w:t xml:space="preserve"> </w:t>
            </w:r>
            <w:r>
              <w:rPr>
                <w:sz w:val="24"/>
                <w:szCs w:val="24"/>
                <w:lang w:val="zh-CN" w:eastAsia="zh-CN"/>
              </w:rPr>
              <w:t xml:space="preserve">/ </w:t>
            </w:r>
            <w:r>
              <w:rPr>
                <w:bCs/>
                <w:sz w:val="24"/>
                <w:szCs w:val="24"/>
              </w:rPr>
              <w:fldChar w:fldCharType="begin"/>
            </w:r>
            <w:r>
              <w:rPr>
                <w:bCs/>
                <w:sz w:val="24"/>
                <w:szCs w:val="24"/>
              </w:rPr>
              <w:instrText>NUMPAGES</w:instrText>
            </w:r>
            <w:r>
              <w:rPr>
                <w:bCs/>
                <w:sz w:val="24"/>
                <w:szCs w:val="24"/>
              </w:rPr>
              <w:fldChar w:fldCharType="separate"/>
            </w:r>
            <w:r w:rsidR="002C7F40">
              <w:rPr>
                <w:bCs/>
                <w:noProof/>
                <w:sz w:val="24"/>
                <w:szCs w:val="24"/>
              </w:rPr>
              <w:t>33</w:t>
            </w:r>
            <w:r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7C39" w:rsidRDefault="00077C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8BC" w:rsidRDefault="000778BC">
      <w:r>
        <w:separator/>
      </w:r>
    </w:p>
  </w:footnote>
  <w:footnote w:type="continuationSeparator" w:id="0">
    <w:p w:rsidR="000778BC" w:rsidRDefault="00077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39" w:rsidRDefault="00077C39">
    <w:pPr>
      <w:pStyle w:val="a6"/>
      <w:jc w:val="right"/>
      <w:rPr>
        <w:sz w:val="24"/>
        <w:szCs w:val="24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ang Tianqi">
    <w15:presenceInfo w15:providerId="Windows Live" w15:userId="9e0b373927184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bordersDoNotSurroundHeader/>
  <w:bordersDoNotSurroundFooter/>
  <w:proofState w:spelling="clean" w:grammar="clean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A4B33C52-651D-4413-B628-9F38C68F9169}"/>
    <w:docVar w:name="KY_MEDREF_VERSION" w:val="3"/>
  </w:docVars>
  <w:rsids>
    <w:rsidRoot w:val="00A77B3E"/>
    <w:rsid w:val="00016950"/>
    <w:rsid w:val="00046873"/>
    <w:rsid w:val="00047250"/>
    <w:rsid w:val="00055FDA"/>
    <w:rsid w:val="000778BC"/>
    <w:rsid w:val="00077C39"/>
    <w:rsid w:val="000F301D"/>
    <w:rsid w:val="000F3FDB"/>
    <w:rsid w:val="000F72E1"/>
    <w:rsid w:val="001221EB"/>
    <w:rsid w:val="00187C93"/>
    <w:rsid w:val="001D276A"/>
    <w:rsid w:val="002162BE"/>
    <w:rsid w:val="00220796"/>
    <w:rsid w:val="00220A5C"/>
    <w:rsid w:val="00233104"/>
    <w:rsid w:val="002407E9"/>
    <w:rsid w:val="00243B0A"/>
    <w:rsid w:val="00256C4B"/>
    <w:rsid w:val="0026432D"/>
    <w:rsid w:val="00290DC2"/>
    <w:rsid w:val="002937BC"/>
    <w:rsid w:val="002C7F40"/>
    <w:rsid w:val="002D0AFE"/>
    <w:rsid w:val="002D4633"/>
    <w:rsid w:val="0032263F"/>
    <w:rsid w:val="00356B5D"/>
    <w:rsid w:val="0036032A"/>
    <w:rsid w:val="00387309"/>
    <w:rsid w:val="003A265A"/>
    <w:rsid w:val="003A3838"/>
    <w:rsid w:val="004207D8"/>
    <w:rsid w:val="00445874"/>
    <w:rsid w:val="004561E9"/>
    <w:rsid w:val="00473D7E"/>
    <w:rsid w:val="0047526D"/>
    <w:rsid w:val="00496651"/>
    <w:rsid w:val="004C4CA9"/>
    <w:rsid w:val="004F7613"/>
    <w:rsid w:val="0055429F"/>
    <w:rsid w:val="00562CFE"/>
    <w:rsid w:val="00566AFD"/>
    <w:rsid w:val="005918A3"/>
    <w:rsid w:val="00596C4B"/>
    <w:rsid w:val="005D2736"/>
    <w:rsid w:val="005F1732"/>
    <w:rsid w:val="00613557"/>
    <w:rsid w:val="00633888"/>
    <w:rsid w:val="00694F1C"/>
    <w:rsid w:val="006C01EA"/>
    <w:rsid w:val="006E5795"/>
    <w:rsid w:val="006F169A"/>
    <w:rsid w:val="00705C5D"/>
    <w:rsid w:val="00713BC5"/>
    <w:rsid w:val="00732983"/>
    <w:rsid w:val="00744A42"/>
    <w:rsid w:val="007909F8"/>
    <w:rsid w:val="007A230B"/>
    <w:rsid w:val="007B691D"/>
    <w:rsid w:val="007C640E"/>
    <w:rsid w:val="007D2DD5"/>
    <w:rsid w:val="00800411"/>
    <w:rsid w:val="008023B6"/>
    <w:rsid w:val="008245B0"/>
    <w:rsid w:val="00842EB8"/>
    <w:rsid w:val="00850D8A"/>
    <w:rsid w:val="00865A01"/>
    <w:rsid w:val="00875681"/>
    <w:rsid w:val="008830F5"/>
    <w:rsid w:val="008C2266"/>
    <w:rsid w:val="00905026"/>
    <w:rsid w:val="009242FC"/>
    <w:rsid w:val="009979BE"/>
    <w:rsid w:val="009A03E8"/>
    <w:rsid w:val="009A358E"/>
    <w:rsid w:val="009B7C23"/>
    <w:rsid w:val="00A2503C"/>
    <w:rsid w:val="00A257B6"/>
    <w:rsid w:val="00A5302E"/>
    <w:rsid w:val="00A6381F"/>
    <w:rsid w:val="00A77B3E"/>
    <w:rsid w:val="00AA4F2F"/>
    <w:rsid w:val="00AB7139"/>
    <w:rsid w:val="00AD29EF"/>
    <w:rsid w:val="00B17184"/>
    <w:rsid w:val="00B26B92"/>
    <w:rsid w:val="00B57A6A"/>
    <w:rsid w:val="00B84AC7"/>
    <w:rsid w:val="00BE16EF"/>
    <w:rsid w:val="00BE184B"/>
    <w:rsid w:val="00C55058"/>
    <w:rsid w:val="00CA2A55"/>
    <w:rsid w:val="00CB6B61"/>
    <w:rsid w:val="00CD70A4"/>
    <w:rsid w:val="00CE101C"/>
    <w:rsid w:val="00CF3B08"/>
    <w:rsid w:val="00CF4B71"/>
    <w:rsid w:val="00CF78E4"/>
    <w:rsid w:val="00D4342A"/>
    <w:rsid w:val="00D52C48"/>
    <w:rsid w:val="00D837B0"/>
    <w:rsid w:val="00E07803"/>
    <w:rsid w:val="00E31986"/>
    <w:rsid w:val="00E86A95"/>
    <w:rsid w:val="00EA2314"/>
    <w:rsid w:val="00EC53BE"/>
    <w:rsid w:val="00EC60DA"/>
    <w:rsid w:val="00EE559F"/>
    <w:rsid w:val="00EF0C65"/>
    <w:rsid w:val="00F10E3A"/>
    <w:rsid w:val="00F20D8B"/>
    <w:rsid w:val="00F31731"/>
    <w:rsid w:val="00F327DF"/>
    <w:rsid w:val="00F35725"/>
    <w:rsid w:val="00F47845"/>
    <w:rsid w:val="00F70A81"/>
    <w:rsid w:val="00F74286"/>
    <w:rsid w:val="00F936DE"/>
    <w:rsid w:val="00FD191A"/>
    <w:rsid w:val="0CB626C8"/>
    <w:rsid w:val="1037712D"/>
    <w:rsid w:val="1D9B12DE"/>
    <w:rsid w:val="26C97B80"/>
    <w:rsid w:val="3B116EC8"/>
    <w:rsid w:val="5D69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rFonts w:eastAsia="Times New Roman"/>
      <w:sz w:val="18"/>
      <w:szCs w:val="18"/>
      <w:lang w:eastAsia="en-US"/>
    </w:rPr>
  </w:style>
  <w:style w:type="character" w:customStyle="1" w:styleId="Char1">
    <w:name w:val="页脚 Char"/>
    <w:basedOn w:val="a0"/>
    <w:link w:val="a5"/>
    <w:uiPriority w:val="99"/>
    <w:qFormat/>
    <w:rPr>
      <w:rFonts w:eastAsia="Times New Roman"/>
      <w:sz w:val="18"/>
      <w:szCs w:val="18"/>
      <w:lang w:eastAsia="en-US"/>
    </w:rPr>
  </w:style>
  <w:style w:type="character" w:customStyle="1" w:styleId="Char">
    <w:name w:val="批注文字 Char"/>
    <w:basedOn w:val="a0"/>
    <w:link w:val="a3"/>
    <w:qFormat/>
    <w:rPr>
      <w:rFonts w:eastAsia="Times New Roman"/>
      <w:sz w:val="24"/>
      <w:szCs w:val="24"/>
      <w:lang w:eastAsia="en-US"/>
    </w:rPr>
  </w:style>
  <w:style w:type="character" w:customStyle="1" w:styleId="Char3">
    <w:name w:val="批注主题 Char"/>
    <w:basedOn w:val="Char"/>
    <w:link w:val="a7"/>
    <w:rPr>
      <w:rFonts w:eastAsia="Times New Roman"/>
      <w:b/>
      <w:bCs/>
      <w:sz w:val="24"/>
      <w:szCs w:val="24"/>
      <w:lang w:eastAsia="en-US"/>
    </w:rPr>
  </w:style>
  <w:style w:type="character" w:customStyle="1" w:styleId="Char0">
    <w:name w:val="批注框文本 Char"/>
    <w:basedOn w:val="a0"/>
    <w:link w:val="a4"/>
    <w:qFormat/>
    <w:rPr>
      <w:rFonts w:eastAsia="Times New Roman"/>
      <w:sz w:val="18"/>
      <w:szCs w:val="18"/>
      <w:lang w:eastAsia="en-US"/>
    </w:rPr>
  </w:style>
  <w:style w:type="paragraph" w:styleId="aa">
    <w:name w:val="Revision"/>
    <w:hidden/>
    <w:uiPriority w:val="99"/>
    <w:semiHidden/>
    <w:rsid w:val="002C7F40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</w:style>
  <w:style w:type="paragraph" w:styleId="a4">
    <w:name w:val="Balloon Text"/>
    <w:basedOn w:val="a"/>
    <w:link w:val="Char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Pr>
      <w:b/>
      <w:bCs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rFonts w:eastAsia="Times New Roman"/>
      <w:sz w:val="18"/>
      <w:szCs w:val="18"/>
      <w:lang w:eastAsia="en-US"/>
    </w:rPr>
  </w:style>
  <w:style w:type="character" w:customStyle="1" w:styleId="Char1">
    <w:name w:val="页脚 Char"/>
    <w:basedOn w:val="a0"/>
    <w:link w:val="a5"/>
    <w:uiPriority w:val="99"/>
    <w:qFormat/>
    <w:rPr>
      <w:rFonts w:eastAsia="Times New Roman"/>
      <w:sz w:val="18"/>
      <w:szCs w:val="18"/>
      <w:lang w:eastAsia="en-US"/>
    </w:rPr>
  </w:style>
  <w:style w:type="character" w:customStyle="1" w:styleId="Char">
    <w:name w:val="批注文字 Char"/>
    <w:basedOn w:val="a0"/>
    <w:link w:val="a3"/>
    <w:qFormat/>
    <w:rPr>
      <w:rFonts w:eastAsia="Times New Roman"/>
      <w:sz w:val="24"/>
      <w:szCs w:val="24"/>
      <w:lang w:eastAsia="en-US"/>
    </w:rPr>
  </w:style>
  <w:style w:type="character" w:customStyle="1" w:styleId="Char3">
    <w:name w:val="批注主题 Char"/>
    <w:basedOn w:val="Char"/>
    <w:link w:val="a7"/>
    <w:rPr>
      <w:rFonts w:eastAsia="Times New Roman"/>
      <w:b/>
      <w:bCs/>
      <w:sz w:val="24"/>
      <w:szCs w:val="24"/>
      <w:lang w:eastAsia="en-US"/>
    </w:rPr>
  </w:style>
  <w:style w:type="character" w:customStyle="1" w:styleId="Char0">
    <w:name w:val="批注框文本 Char"/>
    <w:basedOn w:val="a0"/>
    <w:link w:val="a4"/>
    <w:qFormat/>
    <w:rPr>
      <w:rFonts w:eastAsia="Times New Roman"/>
      <w:sz w:val="18"/>
      <w:szCs w:val="18"/>
      <w:lang w:eastAsia="en-US"/>
    </w:rPr>
  </w:style>
  <w:style w:type="paragraph" w:styleId="aa">
    <w:name w:val="Revision"/>
    <w:hidden/>
    <w:uiPriority w:val="99"/>
    <w:semiHidden/>
    <w:rsid w:val="002C7F40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33</Pages>
  <Words>5717</Words>
  <Characters>32588</Characters>
  <Application>Microsoft Office Word</Application>
  <DocSecurity>0</DocSecurity>
  <Lines>271</Lines>
  <Paragraphs>76</Paragraphs>
  <ScaleCrop>false</ScaleCrop>
  <Company/>
  <LinksUpToDate>false</LinksUpToDate>
  <CharactersWithSpaces>38229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Jin-Lei Wang</cp:lastModifiedBy>
  <cp:revision>15</cp:revision>
  <dcterms:created xsi:type="dcterms:W3CDTF">2020-09-01T08:36:00Z</dcterms:created>
  <dcterms:modified xsi:type="dcterms:W3CDTF">2020-09-02T09:54:00Z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