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9EF9" w14:textId="764A07A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A5B6990" w14:textId="72DA34E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57120</w:t>
      </w:r>
    </w:p>
    <w:p w14:paraId="3FED6825" w14:textId="1A6B0913" w:rsidR="00034740" w:rsidRDefault="008D56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93"/>
      <w:bookmarkStart w:id="1" w:name="OLE_LINK92"/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0"/>
      <w:bookmarkEnd w:id="1"/>
    </w:p>
    <w:p w14:paraId="11C11B13" w14:textId="77777777" w:rsidR="00034740" w:rsidRDefault="00034740">
      <w:pPr>
        <w:spacing w:line="360" w:lineRule="auto"/>
        <w:jc w:val="both"/>
      </w:pPr>
    </w:p>
    <w:p w14:paraId="38387441" w14:textId="57BC7F3E" w:rsidR="00034740" w:rsidRDefault="008D562F">
      <w:pPr>
        <w:spacing w:line="360" w:lineRule="auto"/>
        <w:jc w:val="both"/>
        <w:rPr>
          <w:lang w:eastAsia="zh-CN"/>
        </w:rPr>
      </w:pPr>
      <w:bookmarkStart w:id="2" w:name="OLE_LINK2"/>
      <w:bookmarkStart w:id="3" w:name="OLE_LINK87"/>
      <w:bookmarkStart w:id="4" w:name="OLE_LINK3"/>
      <w:bookmarkStart w:id="5" w:name="OLE_LINK2163"/>
      <w:proofErr w:type="spellStart"/>
      <w:r>
        <w:rPr>
          <w:rFonts w:ascii="Book Antiqua" w:eastAsia="Book Antiqua" w:hAnsi="Book Antiqua" w:cs="Book Antiqua"/>
          <w:b/>
          <w:color w:val="000000"/>
        </w:rPr>
        <w:t>Fanconi</w:t>
      </w:r>
      <w:proofErr w:type="spellEnd"/>
      <w:r>
        <w:rPr>
          <w:rFonts w:ascii="Book Antiqua" w:eastAsia="Book Antiqua" w:hAnsi="Book Antiqua" w:cs="Book Antiqua"/>
          <w:b/>
          <w:color w:val="000000"/>
        </w:rPr>
        <w:t>-Bickel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syndrome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infant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cytomegalovirus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infection: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" w:name="OLE_LINK2161"/>
      <w:bookmarkStart w:id="7" w:name="OLE_LINK2162"/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b/>
          <w:color w:val="000000"/>
        </w:rPr>
        <w:t xml:space="preserve">the </w:t>
      </w:r>
      <w:r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2"/>
    <w:bookmarkEnd w:id="3"/>
    <w:bookmarkEnd w:id="4"/>
    <w:bookmarkEnd w:id="5"/>
    <w:bookmarkEnd w:id="6"/>
    <w:bookmarkEnd w:id="7"/>
    <w:p w14:paraId="68D0BEF9" w14:textId="77777777" w:rsidR="00034740" w:rsidRDefault="00034740">
      <w:pPr>
        <w:spacing w:line="360" w:lineRule="auto"/>
        <w:jc w:val="both"/>
      </w:pPr>
    </w:p>
    <w:p w14:paraId="2B3B3CBC" w14:textId="7A83F3D6" w:rsidR="00034740" w:rsidRDefault="008D56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LJ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4D452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8" w:name="OLE_LINK89"/>
      <w:bookmarkStart w:id="9" w:name="OLE_LINK88"/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bookmarkEnd w:id="8"/>
      <w:bookmarkEnd w:id="9"/>
    </w:p>
    <w:p w14:paraId="1A95CFD1" w14:textId="77777777" w:rsidR="00034740" w:rsidRDefault="00034740">
      <w:pPr>
        <w:spacing w:line="360" w:lineRule="auto"/>
        <w:jc w:val="both"/>
      </w:pPr>
    </w:p>
    <w:p w14:paraId="00523E66" w14:textId="68E98F3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Li-Jing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Mao-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Li-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Lan</w:t>
      </w:r>
      <w:proofErr w:type="gram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</w:p>
    <w:p w14:paraId="6E308EBE" w14:textId="77777777" w:rsidR="00034740" w:rsidRDefault="00034740">
      <w:pPr>
        <w:spacing w:line="360" w:lineRule="auto"/>
        <w:jc w:val="both"/>
      </w:pPr>
    </w:p>
    <w:p w14:paraId="57E0F800" w14:textId="756A511A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Li-Jing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Mao-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4853" w:rsidRPr="0059132F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610091,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90"/>
      <w:bookmarkStart w:id="11" w:name="OLE_LINK91"/>
      <w:r>
        <w:rPr>
          <w:rFonts w:ascii="Book Antiqua" w:eastAsia="Book Antiqua" w:hAnsi="Book Antiqua" w:cs="Book Antiqua"/>
          <w:color w:val="000000"/>
        </w:rPr>
        <w:t>China</w:t>
      </w:r>
      <w:bookmarkEnd w:id="10"/>
      <w:bookmarkEnd w:id="11"/>
    </w:p>
    <w:p w14:paraId="6C96EC4B" w14:textId="77777777" w:rsidR="00034740" w:rsidRDefault="00034740">
      <w:pPr>
        <w:spacing w:line="360" w:lineRule="auto"/>
        <w:jc w:val="both"/>
      </w:pPr>
    </w:p>
    <w:p w14:paraId="74F3E058" w14:textId="462A23A5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LJ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ML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Du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E48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LJ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XL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452F">
        <w:rPr>
          <w:rFonts w:ascii="Book Antiqua" w:eastAsia="Book Antiqua" w:hAnsi="Book Antiqua" w:cs="Book Antiqua"/>
          <w:color w:val="000000"/>
        </w:rPr>
        <w:t>; a</w:t>
      </w:r>
      <w:r>
        <w:rPr>
          <w:rFonts w:ascii="Book Antiqua" w:eastAsia="Book Antiqua" w:hAnsi="Book Antiqua" w:cs="Book Antiqua"/>
          <w:color w:val="000000"/>
        </w:rPr>
        <w:t>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version</w:t>
      </w:r>
      <w:proofErr w:type="gram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4AF28DC6" w14:textId="77777777" w:rsidR="00034740" w:rsidRDefault="00034740">
      <w:pPr>
        <w:spacing w:line="360" w:lineRule="auto"/>
        <w:jc w:val="both"/>
      </w:pPr>
    </w:p>
    <w:p w14:paraId="5635BDDE" w14:textId="430BFCA5" w:rsidR="00034740" w:rsidRDefault="008D562F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Li-Jing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Riyue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610091,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proofErr w:type="gram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xionglijing1985@qq.com</w:t>
      </w:r>
    </w:p>
    <w:p w14:paraId="66C1DECA" w14:textId="77777777" w:rsidR="00034740" w:rsidRDefault="00034740">
      <w:pPr>
        <w:spacing w:line="360" w:lineRule="auto"/>
        <w:jc w:val="both"/>
      </w:pPr>
    </w:p>
    <w:p w14:paraId="368CCFDD" w14:textId="77D3FEB8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30F1B04" w14:textId="3E454A1A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058C381B" w14:textId="318B5946" w:rsidR="00034740" w:rsidRPr="000E742E" w:rsidRDefault="008D562F" w:rsidP="000E742E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_Hlk50781202"/>
      <w:r w:rsidR="000E742E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0E742E">
        <w:rPr>
          <w:rFonts w:ascii="Book Antiqua" w:hAnsi="Book Antiqua" w:cs="Arial"/>
          <w:color w:val="000000" w:themeColor="text1"/>
          <w:shd w:val="clear" w:color="auto" w:fill="FFFFFF"/>
        </w:rPr>
        <w:t>6</w:t>
      </w:r>
      <w:r w:rsidR="000E742E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  <w:bookmarkEnd w:id="12"/>
    </w:p>
    <w:p w14:paraId="6F511A81" w14:textId="216141D2" w:rsidR="00034740" w:rsidRPr="00011F28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11F28" w:rsidRPr="00011F28">
        <w:rPr>
          <w:rFonts w:ascii="Book Antiqua" w:eastAsia="Book Antiqua" w:hAnsi="Book Antiqua" w:cs="Book Antiqua"/>
          <w:bCs/>
          <w:color w:val="000000"/>
        </w:rPr>
        <w:t>November 6, 2020</w:t>
      </w:r>
    </w:p>
    <w:p w14:paraId="1572B7A2" w14:textId="77777777" w:rsidR="00034740" w:rsidRDefault="00034740">
      <w:pPr>
        <w:spacing w:line="360" w:lineRule="auto"/>
        <w:jc w:val="both"/>
        <w:sectPr w:rsidR="0003474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B8390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F3109F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2D1470E" w14:textId="70C7BC07" w:rsidR="00034740" w:rsidRDefault="008D562F">
      <w:pPr>
        <w:spacing w:line="360" w:lineRule="auto"/>
        <w:jc w:val="both"/>
      </w:pPr>
      <w:bookmarkStart w:id="13" w:name="OLE_LINK1"/>
      <w:proofErr w:type="spellStart"/>
      <w:r>
        <w:rPr>
          <w:rFonts w:ascii="Book Antiqua" w:eastAsia="Book Antiqua" w:hAnsi="Book Antiqua" w:cs="Book Antiqua"/>
          <w:color w:val="000000"/>
        </w:rPr>
        <w:t>Fanconi</w:t>
      </w:r>
      <w:proofErr w:type="spellEnd"/>
      <w:r>
        <w:rPr>
          <w:rFonts w:ascii="Book Antiqua" w:eastAsia="Book Antiqua" w:hAnsi="Book Antiqua" w:cs="Book Antiqua"/>
          <w:color w:val="000000"/>
        </w:rPr>
        <w:t>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(FBS)</w:t>
      </w:r>
      <w:bookmarkEnd w:id="13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22"/>
      <w:bookmarkStart w:id="15" w:name="OLE_LINK21"/>
      <w:bookmarkStart w:id="16" w:name="OLE_LINK20"/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14"/>
      <w:bookmarkEnd w:id="15"/>
      <w:bookmarkEnd w:id="16"/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(GLUT2).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019FACC5" w14:textId="77777777" w:rsidR="00034740" w:rsidRDefault="00034740">
      <w:pPr>
        <w:spacing w:line="360" w:lineRule="auto"/>
        <w:jc w:val="both"/>
      </w:pPr>
    </w:p>
    <w:p w14:paraId="65B3BC62" w14:textId="66C94E9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3B4EEBFF" w14:textId="5EC93A9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color w:val="000000"/>
        </w:rPr>
        <w:t xml:space="preserve">report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7-mo-old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hypophosphatemia,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rickets,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ganciclovir,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alanine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aminotransferase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c.416delC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(p.A139Vfs*3),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CE485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stature.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found,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45D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5DC06642" w14:textId="77777777" w:rsidR="00034740" w:rsidRDefault="00034740">
      <w:pPr>
        <w:spacing w:line="360" w:lineRule="auto"/>
        <w:jc w:val="both"/>
      </w:pPr>
    </w:p>
    <w:p w14:paraId="391FDCE6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66A451D" w14:textId="48F8882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05EA300C" w14:textId="77777777" w:rsidR="00034740" w:rsidRDefault="00034740">
      <w:pPr>
        <w:spacing w:line="360" w:lineRule="auto"/>
        <w:jc w:val="both"/>
      </w:pPr>
    </w:p>
    <w:p w14:paraId="0441ECEB" w14:textId="32076C49" w:rsidR="00034740" w:rsidRDefault="008D56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94"/>
      <w:bookmarkStart w:id="18" w:name="OLE_LINK95"/>
      <w:proofErr w:type="spellStart"/>
      <w:r>
        <w:rPr>
          <w:rFonts w:ascii="Book Antiqua" w:eastAsia="Book Antiqua" w:hAnsi="Book Antiqua" w:cs="Book Antiqua"/>
          <w:color w:val="000000"/>
        </w:rPr>
        <w:t>Fanconi</w:t>
      </w:r>
      <w:proofErr w:type="spellEnd"/>
      <w:r>
        <w:rPr>
          <w:rFonts w:ascii="Book Antiqua" w:eastAsia="Book Antiqua" w:hAnsi="Book Antiqua" w:cs="Book Antiqua"/>
          <w:color w:val="000000"/>
        </w:rPr>
        <w:t>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97"/>
      <w:bookmarkStart w:id="20" w:name="OLE_LINK96"/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98"/>
      <w:bookmarkStart w:id="22" w:name="OLE_LINK99"/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21"/>
      <w:bookmarkEnd w:id="22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00"/>
      <w:bookmarkStart w:id="24" w:name="OLE_LINK101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hildren</w:t>
      </w:r>
      <w:bookmarkEnd w:id="23"/>
      <w:bookmarkEnd w:id="24"/>
      <w:r>
        <w:rPr>
          <w:rFonts w:ascii="Book Antiqua" w:eastAsia="Book Antiqua" w:hAnsi="Book Antiqua" w:cs="Book Antiqua"/>
          <w:color w:val="000000"/>
        </w:rPr>
        <w:t>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03"/>
      <w:bookmarkStart w:id="26" w:name="OLE_LINK102"/>
      <w:r>
        <w:rPr>
          <w:rFonts w:ascii="Book Antiqua" w:eastAsia="Book Antiqua" w:hAnsi="Book Antiqua" w:cs="Book Antiqua"/>
          <w:color w:val="000000"/>
        </w:rPr>
        <w:t>Chinese</w:t>
      </w:r>
    </w:p>
    <w:bookmarkEnd w:id="25"/>
    <w:bookmarkEnd w:id="26"/>
    <w:p w14:paraId="702A9B75" w14:textId="77777777" w:rsidR="00034740" w:rsidRDefault="00034740">
      <w:pPr>
        <w:spacing w:line="360" w:lineRule="auto"/>
        <w:jc w:val="both"/>
      </w:pPr>
    </w:p>
    <w:p w14:paraId="2D9AB82A" w14:textId="69C8F057" w:rsidR="00034740" w:rsidRDefault="008D562F">
      <w:pPr>
        <w:spacing w:line="360" w:lineRule="auto"/>
        <w:jc w:val="both"/>
      </w:pPr>
      <w:bookmarkStart w:id="27" w:name="OLE_LINK106"/>
      <w:bookmarkStart w:id="28" w:name="OLE_LINK107"/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XL.</w:t>
      </w:r>
      <w:proofErr w:type="gram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Fanconi</w:t>
      </w:r>
      <w:proofErr w:type="spellEnd"/>
      <w:r>
        <w:rPr>
          <w:rFonts w:ascii="Book Antiqua" w:eastAsia="Book Antiqua" w:hAnsi="Book Antiqua" w:cs="Book Antiqua"/>
          <w:color w:val="000000"/>
        </w:rPr>
        <w:t>-Bickel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review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3061F" w:rsidRPr="0093061F"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the </w:t>
      </w:r>
      <w:r w:rsidR="0093061F" w:rsidRPr="0093061F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011F28" w:rsidRPr="00011F28">
        <w:rPr>
          <w:rFonts w:ascii="Book Antiqua" w:eastAsia="Book Antiqua" w:hAnsi="Book Antiqua" w:cs="Book Antiqua"/>
          <w:color w:val="000000"/>
        </w:rPr>
        <w:t xml:space="preserve">8(21): </w:t>
      </w:r>
      <w:r w:rsidR="00011F28">
        <w:rPr>
          <w:rFonts w:ascii="Book Antiqua" w:eastAsia="Book Antiqua" w:hAnsi="Book Antiqua" w:cs="Book Antiqua"/>
          <w:color w:val="000000"/>
        </w:rPr>
        <w:t>5467-5473</w:t>
      </w:r>
      <w:r w:rsidR="00011F28" w:rsidRPr="00011F28">
        <w:rPr>
          <w:rFonts w:ascii="Book Antiqua" w:eastAsia="Book Antiqua" w:hAnsi="Book Antiqua" w:cs="Book Antiqua"/>
          <w:color w:val="000000"/>
        </w:rPr>
        <w:t xml:space="preserve"> URL: https://www.wjgnet.com/2307-8960/full/v8/i21/</w:t>
      </w:r>
      <w:r w:rsidR="00011F28">
        <w:rPr>
          <w:rFonts w:ascii="Book Antiqua" w:eastAsia="Book Antiqua" w:hAnsi="Book Antiqua" w:cs="Book Antiqua"/>
          <w:color w:val="000000"/>
        </w:rPr>
        <w:t>5467</w:t>
      </w:r>
      <w:r w:rsidR="00011F28" w:rsidRPr="00011F28">
        <w:rPr>
          <w:rFonts w:ascii="Book Antiqua" w:eastAsia="Book Antiqua" w:hAnsi="Book Antiqua" w:cs="Book Antiqua"/>
          <w:color w:val="000000"/>
        </w:rPr>
        <w:t xml:space="preserve">.htm DOI: </w:t>
      </w:r>
      <w:bookmarkStart w:id="29" w:name="_GoBack"/>
      <w:r w:rsidR="00011F28" w:rsidRPr="00011F28">
        <w:rPr>
          <w:rFonts w:ascii="Book Antiqua" w:eastAsia="Book Antiqua" w:hAnsi="Book Antiqua" w:cs="Book Antiqua"/>
          <w:color w:val="000000"/>
        </w:rPr>
        <w:t>https://dx.doi.org/10.12998/wjcc.v8.i21.</w:t>
      </w:r>
      <w:r w:rsidR="00011F28">
        <w:rPr>
          <w:rFonts w:ascii="Book Antiqua" w:eastAsia="Book Antiqua" w:hAnsi="Book Antiqua" w:cs="Book Antiqua"/>
          <w:color w:val="000000"/>
        </w:rPr>
        <w:t>5467</w:t>
      </w:r>
      <w:bookmarkEnd w:id="29"/>
    </w:p>
    <w:bookmarkEnd w:id="27"/>
    <w:bookmarkEnd w:id="28"/>
    <w:p w14:paraId="2397E306" w14:textId="77777777" w:rsidR="00034740" w:rsidRDefault="00034740">
      <w:pPr>
        <w:spacing w:line="360" w:lineRule="auto"/>
        <w:jc w:val="both"/>
      </w:pPr>
    </w:p>
    <w:p w14:paraId="14ED26C3" w14:textId="6C493D5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105"/>
      <w:bookmarkStart w:id="31" w:name="OLE_LINK104"/>
      <w:proofErr w:type="spellStart"/>
      <w:r>
        <w:rPr>
          <w:rFonts w:ascii="Book Antiqua" w:eastAsia="Book Antiqua" w:hAnsi="Book Antiqua" w:cs="Book Antiqua"/>
          <w:color w:val="000000"/>
        </w:rPr>
        <w:t>Fanconi</w:t>
      </w:r>
      <w:proofErr w:type="spellEnd"/>
      <w:r>
        <w:rPr>
          <w:rFonts w:ascii="Book Antiqua" w:eastAsia="Book Antiqua" w:hAnsi="Book Antiqua" w:cs="Book Antiqua"/>
          <w:color w:val="000000"/>
        </w:rPr>
        <w:t>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(FBS)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bookmarkEnd w:id="30"/>
      <w:bookmarkEnd w:id="31"/>
    </w:p>
    <w:p w14:paraId="68F4C88D" w14:textId="77777777" w:rsidR="00034740" w:rsidRDefault="00034740">
      <w:pPr>
        <w:spacing w:line="360" w:lineRule="auto"/>
        <w:jc w:val="both"/>
      </w:pPr>
    </w:p>
    <w:p w14:paraId="11BEAE87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B3A3AB2" w14:textId="1F1C1BE1" w:rsidR="00034740" w:rsidRDefault="008D56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Fanconi</w:t>
      </w:r>
      <w:proofErr w:type="spellEnd"/>
      <w:r>
        <w:rPr>
          <w:rFonts w:ascii="Book Antiqua" w:eastAsia="Book Antiqua" w:hAnsi="Book Antiqua" w:cs="Book Antiqua"/>
          <w:color w:val="000000"/>
        </w:rPr>
        <w:t>–Bickel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(FBS),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(OMIM227810),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Fanconi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Bickel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1949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(GLUT2).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</w:t>
      </w:r>
      <w:proofErr w:type="spellEnd"/>
      <w:r>
        <w:rPr>
          <w:rFonts w:ascii="Book Antiqua" w:eastAsia="Book Antiqua" w:hAnsi="Book Antiqua" w:cs="Book Antiqua"/>
          <w:color w:val="000000"/>
        </w:rPr>
        <w:t>-renal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accumulation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mainly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hypophosphatemia,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rickets,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>40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3-12]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cytomegalovirus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(CMV)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5D53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7B16A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16AD">
        <w:rPr>
          <w:rFonts w:ascii="Book Antiqua" w:eastAsia="Book Antiqua" w:hAnsi="Book Antiqua" w:cs="Book Antiqua"/>
          <w:color w:val="000000"/>
        </w:rPr>
        <w:t xml:space="preserve"> 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F</w:t>
      </w:r>
      <w:r w:rsidR="00945D53">
        <w:rPr>
          <w:rFonts w:ascii="Book Antiqua" w:eastAsia="Book Antiqua" w:hAnsi="Book Antiqua" w:cs="Book Antiqua"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63EAADB5" w14:textId="77777777" w:rsidR="00034740" w:rsidRDefault="00034740">
      <w:pPr>
        <w:spacing w:line="360" w:lineRule="auto"/>
        <w:jc w:val="both"/>
      </w:pPr>
    </w:p>
    <w:p w14:paraId="3D16D9F0" w14:textId="632BE63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0B39638" w14:textId="54931F6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496A780" w14:textId="4A6965B3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-old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gramEnd"/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52A4CC70" w14:textId="77777777" w:rsidR="00034740" w:rsidRDefault="00034740">
      <w:pPr>
        <w:spacing w:line="360" w:lineRule="auto"/>
        <w:jc w:val="both"/>
      </w:pPr>
    </w:p>
    <w:p w14:paraId="1743D71B" w14:textId="4157A01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9FE84C" w14:textId="698429D5" w:rsidR="00034740" w:rsidRDefault="008D562F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Two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hAnsi="Book Antiqua" w:cs="Book Antiqua" w:hint="eastAsia"/>
          <w:color w:val="000000"/>
          <w:lang w:eastAsia="zh-CN"/>
        </w:rPr>
        <w:t>nths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5D53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30C6354D" w14:textId="77777777" w:rsidR="00034740" w:rsidRDefault="00034740">
      <w:pPr>
        <w:spacing w:line="360" w:lineRule="auto"/>
        <w:jc w:val="both"/>
      </w:pPr>
    </w:p>
    <w:p w14:paraId="3EF78617" w14:textId="029C0B4D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E00642" w14:textId="42E5D285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945D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055CED05" w14:textId="77777777" w:rsidR="00034740" w:rsidRDefault="00034740">
      <w:pPr>
        <w:spacing w:line="360" w:lineRule="auto"/>
        <w:jc w:val="both"/>
      </w:pPr>
    </w:p>
    <w:p w14:paraId="58FD8087" w14:textId="2969D18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0389F3A" w14:textId="359189E9" w:rsidR="00034740" w:rsidRDefault="0094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7B16AD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moderate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jaundice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palpable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5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below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costal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margin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宋体" w:hAnsi="Book Antiqua" w:cs="Book Antiqua" w:hint="eastAsia"/>
          <w:color w:val="000000"/>
          <w:lang w:eastAsia="zh-CN"/>
        </w:rPr>
        <w:t>(</w:t>
      </w:r>
      <w:r w:rsidR="004D452F">
        <w:rPr>
          <w:rFonts w:ascii="Book Antiqua" w:eastAsia="宋体" w:hAnsi="Book Antiqua" w:cs="Book Antiqua"/>
          <w:color w:val="000000"/>
          <w:lang w:eastAsia="zh-CN"/>
        </w:rPr>
        <w:t>F</w:t>
      </w:r>
      <w:r w:rsidR="008D562F">
        <w:rPr>
          <w:rFonts w:ascii="Book Antiqua" w:eastAsia="宋体" w:hAnsi="Book Antiqua" w:cs="Book Antiqua" w:hint="eastAsia"/>
          <w:color w:val="000000"/>
          <w:lang w:eastAsia="zh-CN"/>
        </w:rPr>
        <w:t>igure</w:t>
      </w:r>
      <w:r w:rsidR="004D452F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8D562F">
        <w:rPr>
          <w:rFonts w:ascii="Book Antiqua" w:eastAsia="宋体" w:hAnsi="Book Antiqua" w:cs="Book Antiqua" w:hint="eastAsia"/>
          <w:color w:val="000000"/>
          <w:lang w:eastAsia="zh-CN"/>
        </w:rPr>
        <w:t>1)</w:t>
      </w:r>
      <w:r w:rsidR="008D562F"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5.0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kg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(&lt;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-2SD)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54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(&lt;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-3SD)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examination.</w:t>
      </w:r>
    </w:p>
    <w:p w14:paraId="674121ED" w14:textId="77777777" w:rsidR="00034740" w:rsidRDefault="00034740">
      <w:pPr>
        <w:spacing w:line="360" w:lineRule="auto"/>
        <w:jc w:val="both"/>
      </w:pPr>
    </w:p>
    <w:p w14:paraId="48BF613B" w14:textId="1A064AE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101EFFE" w14:textId="7077961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45D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gamma-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glutamyl</w:t>
      </w:r>
      <w:proofErr w:type="spellEnd"/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transpeptidase</w:t>
      </w:r>
      <w:proofErr w:type="spellEnd"/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(γ-GT)</w:t>
      </w:r>
      <w:r w:rsidR="00945D5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-fetoprotein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(direct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(2.01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hypophosphatemia.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(+++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D452F"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++++),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0.415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CMV-IgM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U/mL</w:t>
      </w:r>
      <w:r w:rsidR="00945D53">
        <w:rPr>
          <w:rFonts w:ascii="Book Antiqua" w:eastAsia="Book Antiqua" w:hAnsi="Book Antiqua" w:cs="Book Antiqua"/>
          <w:color w:val="000000"/>
        </w:rPr>
        <w:t xml:space="preserve">) and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CMV-DNA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/>
          <w:color w:val="000000"/>
        </w:rPr>
        <w:t>×</w:t>
      </w:r>
      <w:r w:rsidR="004D452F">
        <w:rPr>
          <w:rFonts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</w:t>
      </w:r>
      <w:r w:rsidR="004D452F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copies/m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).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ceruloplasmin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</w:p>
    <w:p w14:paraId="7260E220" w14:textId="77777777" w:rsidR="00034740" w:rsidRDefault="00034740">
      <w:pPr>
        <w:spacing w:line="360" w:lineRule="auto"/>
        <w:jc w:val="both"/>
      </w:pPr>
    </w:p>
    <w:p w14:paraId="09CFD366" w14:textId="55840BCE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D45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4EDA795" w14:textId="7CD9E8D8" w:rsidR="00034740" w:rsidRDefault="0094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8D562F">
        <w:rPr>
          <w:rFonts w:ascii="Book Antiqua" w:eastAsia="Book Antiqua" w:hAnsi="Book Antiqua" w:cs="Book Antiqua"/>
          <w:color w:val="000000"/>
        </w:rPr>
        <w:t>ontrast-enhanced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computed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tomography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confirmed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presence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decreased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density.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evidence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morphological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abnormality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kidney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8D562F">
        <w:rPr>
          <w:rFonts w:ascii="Book Antiqua" w:eastAsia="Book Antiqua" w:hAnsi="Book Antiqua" w:cs="Book Antiqua"/>
          <w:color w:val="000000"/>
        </w:rPr>
        <w:t>organs.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2C42A319" w14:textId="77777777" w:rsidR="00034740" w:rsidRDefault="00034740">
      <w:pPr>
        <w:spacing w:line="360" w:lineRule="auto"/>
        <w:jc w:val="both"/>
      </w:pPr>
    </w:p>
    <w:p w14:paraId="1377B0C1" w14:textId="50EDD47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71C49834" w14:textId="02DA5298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5D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given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2-wk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ganciclovir,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medium-chain</w:t>
      </w:r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triglyceride</w:t>
      </w:r>
      <w:r>
        <w:rPr>
          <w:rFonts w:ascii="Book Antiqua" w:eastAsia="Book Antiqua" w:hAnsi="Book Antiqua" w:cs="Book Antiqua"/>
          <w:color w:val="000000"/>
        </w:rPr>
        <w:t>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Two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hAnsi="Book Antiqua" w:cs="Book Antiqua" w:hint="eastAsia"/>
          <w:color w:val="000000"/>
          <w:lang w:eastAsia="zh-CN"/>
        </w:rPr>
        <w:t>ee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congenital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1E0FF6A8" w14:textId="77777777" w:rsidR="00034740" w:rsidRDefault="00034740">
      <w:pPr>
        <w:spacing w:line="360" w:lineRule="auto"/>
        <w:jc w:val="both"/>
      </w:pPr>
    </w:p>
    <w:p w14:paraId="657656EF" w14:textId="6116841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7F1E8BE" w14:textId="47B47284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c.416delC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(p.A139Vfs*3),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45D53">
        <w:rPr>
          <w:rFonts w:ascii="Book Antiqua" w:eastAsia="Book Antiqua" w:hAnsi="Book Antiqua" w:cs="Book Antiqua"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667A734C" w14:textId="77777777" w:rsidR="00034740" w:rsidRDefault="00034740">
      <w:pPr>
        <w:spacing w:line="360" w:lineRule="auto"/>
        <w:jc w:val="both"/>
      </w:pPr>
    </w:p>
    <w:p w14:paraId="02A6263F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B15E720" w14:textId="1888E0D8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52507EDC" w14:textId="77777777" w:rsidR="00034740" w:rsidRDefault="00034740">
      <w:pPr>
        <w:spacing w:line="360" w:lineRule="auto"/>
        <w:jc w:val="both"/>
      </w:pPr>
    </w:p>
    <w:p w14:paraId="751F8C4B" w14:textId="12D3C8A1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D45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656194C" w14:textId="538E6ED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4D452F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D452F"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score: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401562C8" w14:textId="77777777" w:rsidR="00034740" w:rsidRDefault="00034740">
      <w:pPr>
        <w:spacing w:line="360" w:lineRule="auto"/>
        <w:jc w:val="both"/>
      </w:pPr>
    </w:p>
    <w:p w14:paraId="0F7B7B42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F345C56" w14:textId="4303B1D9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CMV-DNA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acquired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postnatally.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ganciclovir.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alanine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6"/>
          <w:rFonts w:ascii="Book Antiqua" w:eastAsia="Book Antiqua" w:hAnsi="Book Antiqua" w:cs="Book Antiqua"/>
          <w:color w:val="000000"/>
          <w:shd w:val="clear" w:color="auto" w:fill="FFFFFF"/>
        </w:rPr>
        <w:t>aminotransferase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452F">
        <w:rPr>
          <w:rStyle w:val="15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Perinatally</w:t>
      </w:r>
      <w:proofErr w:type="spellEnd"/>
      <w:r w:rsidR="00945D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seroprevalence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96.2%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diseases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945D53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CMV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66C6FC0C" w14:textId="7FCAACCB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hyperglycosuria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7-mo-old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GSD-I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Bahíllo-Curieses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polyuria,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glycosuria</w:t>
      </w:r>
      <w:r w:rsidR="00945D53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hyperglucemia</w:t>
      </w:r>
      <w:proofErr w:type="spell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7AC04A06" w14:textId="386CFE9D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straightforward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Santer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14]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Pr="0059132F">
        <w:rPr>
          <w:rFonts w:ascii="Book Antiqua" w:eastAsia="Book Antiqua" w:hAnsi="Book Antiqua" w:cs="Book Antiqua"/>
          <w:i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frameshift,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7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splice-site)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acidosis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17]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3DE4B713" w14:textId="42F7C715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Pr="0059132F">
        <w:rPr>
          <w:rFonts w:ascii="Book Antiqua" w:eastAsia="Book Antiqua" w:hAnsi="Book Antiqua" w:cs="Book Antiqua"/>
          <w:i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frame-shift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indels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p.R310X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doll-like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hepatomegaly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46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Enogieru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et</w:t>
      </w:r>
      <w:r w:rsidR="004D452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21]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17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substrate-binding,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hindrance,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majority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Pr="0059132F">
        <w:rPr>
          <w:rFonts w:ascii="Book Antiqua" w:eastAsia="Book Antiqua" w:hAnsi="Book Antiqua" w:cs="Book Antiqua"/>
          <w:i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were associated with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0A502727" w14:textId="6F33B75F" w:rsidR="00034740" w:rsidRDefault="008D56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majority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after treatment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including </w:t>
      </w:r>
      <w:r>
        <w:rPr>
          <w:rFonts w:ascii="Book Antiqua" w:eastAsia="Book Antiqua" w:hAnsi="Book Antiqua" w:cs="Book Antiqua"/>
          <w:color w:val="000000"/>
        </w:rPr>
        <w:t>bone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hepatocelluar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18,22,23]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catch-</w:t>
      </w:r>
      <w:r>
        <w:rPr>
          <w:rFonts w:ascii="Book Antiqua" w:eastAsia="Book Antiqua" w:hAnsi="Book Antiqua" w:cs="Book Antiqua"/>
          <w:color w:val="000000"/>
        </w:rPr>
        <w:t>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uncooked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cornstarch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range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problems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SLC2A2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27-31]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9465D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1-18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 xml:space="preserve">The majority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hypophosphatemic</w:t>
      </w:r>
      <w:proofErr w:type="spellEnd"/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ricket</w:t>
      </w:r>
      <w:proofErr w:type="spellEnd"/>
      <w:r w:rsidR="004D452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thrive,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glucosuria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</w:t>
      </w:r>
      <w:r w:rsidR="0049465D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49465D">
        <w:rPr>
          <w:rFonts w:ascii="Book Antiqua" w:eastAsia="Book Antiqua" w:hAnsi="Book Antiqua" w:cs="Book Antiqua"/>
          <w:color w:val="000000"/>
        </w:rPr>
        <w:t xml:space="preserve"> 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to have</w:t>
      </w:r>
      <w:r w:rsidR="004946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49465D" w:rsidRPr="0049465D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mutation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4D45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inherited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9465D">
        <w:rPr>
          <w:rFonts w:ascii="Book Antiqua" w:eastAsia="Book Antiqua" w:hAnsi="Book Antiqua" w:cs="Book Antiqua"/>
          <w:color w:val="000000"/>
        </w:rPr>
        <w:t>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 w:rsidR="0049465D">
        <w:rPr>
          <w:rFonts w:ascii="Book Antiqua" w:eastAsia="Book Antiqua" w:hAnsi="Book Antiqua" w:cs="Book Antiqua"/>
          <w:color w:val="000000"/>
        </w:rPr>
        <w:t>to be dead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disturbance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FAAF14" w14:textId="77777777" w:rsidR="00034740" w:rsidRDefault="00034740">
      <w:pPr>
        <w:spacing w:line="360" w:lineRule="auto"/>
        <w:jc w:val="both"/>
      </w:pPr>
    </w:p>
    <w:p w14:paraId="0F1B56AE" w14:textId="7777777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D8FE78" w14:textId="11EC95E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6DA71057" w14:textId="77777777" w:rsidR="00034740" w:rsidRDefault="00034740">
      <w:pPr>
        <w:spacing w:line="360" w:lineRule="auto"/>
        <w:jc w:val="both"/>
      </w:pPr>
    </w:p>
    <w:p w14:paraId="3D2AD623" w14:textId="77777777" w:rsidR="00034740" w:rsidRDefault="008D562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F65D25C" w14:textId="101439F1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bookmarkStart w:id="32" w:name="OLE_LINK8"/>
      <w:bookmarkStart w:id="33" w:name="OLE_LINK7"/>
      <w:proofErr w:type="gramStart"/>
      <w:r>
        <w:rPr>
          <w:rFonts w:ascii="Book Antiqua" w:eastAsia="宋体" w:hAnsi="Book Antiqua"/>
          <w:color w:val="000000"/>
        </w:rPr>
        <w:t>1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Fanconi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G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[Chronic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aminoaciduria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(amino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acid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diabetes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nephrotic-</w:t>
      </w:r>
      <w:proofErr w:type="spellStart"/>
      <w:r>
        <w:rPr>
          <w:rFonts w:ascii="Book Antiqua" w:eastAsia="宋体" w:hAnsi="Book Antiqua"/>
          <w:color w:val="000000"/>
        </w:rPr>
        <w:t>glucosuric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dwarfism)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glycogen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storage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cystine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disease].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Helv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Paediatr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Acta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1949;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359-396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</w:t>
      </w:r>
      <w:bookmarkStart w:id="34" w:name="OLE_LINK10"/>
      <w:bookmarkStart w:id="35" w:name="OLE_LINK11"/>
      <w:r>
        <w:rPr>
          <w:rFonts w:ascii="Book Antiqua" w:eastAsia="宋体" w:hAnsi="Book Antiqua"/>
          <w:color w:val="000000"/>
        </w:rPr>
        <w:t>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15397919</w:t>
      </w:r>
      <w:bookmarkEnd w:id="34"/>
      <w:bookmarkEnd w:id="35"/>
      <w:r>
        <w:rPr>
          <w:rFonts w:ascii="Book Antiqua" w:eastAsia="宋体" w:hAnsi="Book Antiqua"/>
          <w:color w:val="000000"/>
        </w:rPr>
        <w:t>]</w:t>
      </w:r>
    </w:p>
    <w:p w14:paraId="7043DE7F" w14:textId="735E9938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Santer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Schneppenheim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Dombrowski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Götze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Steinmann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Schaub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for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liver-type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glucose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transporter,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Nat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1997;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17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324-326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9354798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10.1038/ng1197-324]</w:t>
      </w:r>
    </w:p>
    <w:p w14:paraId="76BBAE7C" w14:textId="4E5B53B4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Mohandas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Nair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K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Sakamoto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Jagadeesh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Nampoothiri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79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112-114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21327337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10.1007/s12098-011-0373-5]</w:t>
      </w:r>
    </w:p>
    <w:p w14:paraId="1921D119" w14:textId="1EB5FDA6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lastRenderedPageBreak/>
        <w:t>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Sakamoto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O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Ogawa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Ohura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Igarashi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Matsubara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Narisawa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Iinuma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analysis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2000;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48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586-589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11044475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10.1203/00006450-200011000-00005]</w:t>
      </w:r>
    </w:p>
    <w:p w14:paraId="415F5DE9" w14:textId="181B21EB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Al-</w:t>
      </w:r>
      <w:proofErr w:type="spellStart"/>
      <w:r>
        <w:rPr>
          <w:rFonts w:ascii="Book Antiqua" w:eastAsia="宋体" w:hAnsi="Book Antiqua"/>
          <w:b/>
          <w:bCs/>
          <w:color w:val="000000"/>
        </w:rPr>
        <w:t>Haggar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Sakamoto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Shaltout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El-</w:t>
      </w:r>
      <w:proofErr w:type="spellStart"/>
      <w:r>
        <w:rPr>
          <w:rFonts w:ascii="Book Antiqua" w:eastAsia="宋体" w:hAnsi="Book Antiqua"/>
          <w:color w:val="000000"/>
        </w:rPr>
        <w:t>Hawary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Wahba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Abdel-</w:t>
      </w:r>
      <w:proofErr w:type="spellStart"/>
      <w:r>
        <w:rPr>
          <w:rFonts w:ascii="Book Antiqua" w:eastAsia="宋体" w:hAnsi="Book Antiqua"/>
          <w:color w:val="000000"/>
        </w:rPr>
        <w:t>Hadi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Causing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Distinguished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Form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Tubular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Acidosis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Unrelated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Egyptian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Families.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Case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Rep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Nephrol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2011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754369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24533196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10.1155/2011/754369]</w:t>
      </w:r>
    </w:p>
    <w:p w14:paraId="02A28578" w14:textId="63DB021A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6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Abbasi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F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Azizi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Javaheri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Mosallanejad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Ebrahim-Habibi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Ghafouri-Fard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Segregation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homozygous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nucleotide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deletion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family.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557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103-105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25523092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10.1016/j.gene.2014.12.024]</w:t>
      </w:r>
    </w:p>
    <w:p w14:paraId="2FE70D8F" w14:textId="04A8E756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proofErr w:type="gramStart"/>
      <w:r>
        <w:rPr>
          <w:rFonts w:ascii="Book Antiqua" w:eastAsia="宋体" w:hAnsi="Book Antiqua"/>
          <w:color w:val="000000"/>
        </w:rPr>
        <w:t>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Su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Z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QL,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HM.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cases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first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report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from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China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Endocrinol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Metab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749-753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</w:t>
      </w:r>
      <w:bookmarkStart w:id="36" w:name="OLE_LINK12"/>
      <w:bookmarkStart w:id="37" w:name="OLE_LINK13"/>
      <w:r>
        <w:rPr>
          <w:rFonts w:ascii="Book Antiqua" w:eastAsia="宋体" w:hAnsi="Book Antiqua"/>
          <w:color w:val="000000"/>
        </w:rPr>
        <w:t>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22145468</w:t>
      </w:r>
      <w:bookmarkEnd w:id="36"/>
      <w:bookmarkEnd w:id="37"/>
      <w:r>
        <w:rPr>
          <w:rFonts w:ascii="Book Antiqua" w:eastAsia="宋体" w:hAnsi="Book Antiqua"/>
          <w:color w:val="000000"/>
        </w:rPr>
        <w:t>]</w:t>
      </w:r>
    </w:p>
    <w:p w14:paraId="4DFFECEF" w14:textId="5EB4F38C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Al-</w:t>
      </w:r>
      <w:proofErr w:type="spellStart"/>
      <w:r>
        <w:rPr>
          <w:rFonts w:ascii="Book Antiqua" w:eastAsia="宋体" w:hAnsi="Book Antiqua"/>
          <w:b/>
          <w:bCs/>
          <w:color w:val="000000"/>
        </w:rPr>
        <w:t>Haggar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gramStart"/>
      <w:r>
        <w:rPr>
          <w:rFonts w:ascii="Book Antiqua" w:eastAsia="宋体" w:hAnsi="Book Antiqua"/>
          <w:color w:val="000000"/>
        </w:rPr>
        <w:t>syndrome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example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marked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allelic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heterogeneity.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World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Nephrol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63-68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24175243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10.5527/wjn.v1.i3.63]</w:t>
      </w:r>
    </w:p>
    <w:p w14:paraId="6E317054" w14:textId="4BBB1AE0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9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Kehar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Bijarnia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Ellard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Houghton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Saxena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Verma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IC,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Wadhwa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-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2014;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81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1237-1239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24912437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10.1007/s12098-014-1487-3]</w:t>
      </w:r>
    </w:p>
    <w:p w14:paraId="79AF28BE" w14:textId="5E4E6EE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10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Şeker</w:t>
      </w:r>
      <w:proofErr w:type="spellEnd"/>
      <w:r>
        <w:rPr>
          <w:rFonts w:ascii="Book Antiqua" w:eastAsia="宋体" w:hAnsi="Book Antiqua"/>
          <w:b/>
          <w:bCs/>
          <w:color w:val="000000"/>
        </w:rPr>
        <w:t>-Yılmaz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B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Kör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Bulut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FD,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Yüksel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Karabay-Bayazıt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Topaloğlu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AK,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Ceylaner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Önenli-Mungan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Impaired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glucose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tolerance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Eight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Turk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434-441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29624224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10.24953/turkjped.2017.04.010]</w:t>
      </w:r>
    </w:p>
    <w:p w14:paraId="4FBB0652" w14:textId="01C17525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Shah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Rao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Parikh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Sophia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Khalid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Hypercalciuria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due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2016;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53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829-830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27771652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10.1007/s13312-016-0939-4]</w:t>
      </w:r>
    </w:p>
    <w:p w14:paraId="54EE5706" w14:textId="2E38A8B7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12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Amita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Srivastava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Mandal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Phadke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SR.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Another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Novel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Indian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84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236-237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27738794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10.1007/s12098-016-2236-6]</w:t>
      </w:r>
    </w:p>
    <w:p w14:paraId="568D55D9" w14:textId="23C30253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lastRenderedPageBreak/>
        <w:t>13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Wang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Jia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Amin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MM,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Bialek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Dollard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Cohort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study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maternal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cytomegalovirus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seroprevalence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prevalence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clinical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manifestations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congenital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infection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China.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Medicine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(Baltimore)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2017;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96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e6007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28151899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10.1097/MD.0000000000006007]</w:t>
      </w:r>
    </w:p>
    <w:p w14:paraId="0723496A" w14:textId="1E500CD1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Riva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Ghisalberti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Parini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Furlan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Bettinelli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Somaschini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neonatal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onset.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Perinatol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2004;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322-323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15116130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10.1038/sj.jp.7211092]</w:t>
      </w:r>
    </w:p>
    <w:p w14:paraId="6FC42A57" w14:textId="5DB782E7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15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Bahíllo-Curieses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MP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Garrote-</w:t>
      </w:r>
      <w:proofErr w:type="spellStart"/>
      <w:r>
        <w:rPr>
          <w:rFonts w:ascii="Book Antiqua" w:eastAsia="宋体" w:hAnsi="Book Antiqua"/>
          <w:color w:val="000000"/>
        </w:rPr>
        <w:t>Molpeceres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Miñambres</w:t>
      </w:r>
      <w:proofErr w:type="spellEnd"/>
      <w:r>
        <w:rPr>
          <w:rFonts w:ascii="Book Antiqua" w:eastAsia="宋体" w:hAnsi="Book Antiqua"/>
          <w:color w:val="000000"/>
        </w:rPr>
        <w:t>-Rodríguez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Real-</w:t>
      </w:r>
      <w:proofErr w:type="spellStart"/>
      <w:r>
        <w:rPr>
          <w:rFonts w:ascii="Book Antiqua" w:eastAsia="宋体" w:hAnsi="Book Antiqua"/>
          <w:color w:val="000000"/>
        </w:rPr>
        <w:t>Llorente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MR,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Tobar-Mideros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Rellán</w:t>
      </w:r>
      <w:proofErr w:type="spellEnd"/>
      <w:r>
        <w:rPr>
          <w:rFonts w:ascii="Book Antiqua" w:eastAsia="宋体" w:hAnsi="Book Antiqua"/>
          <w:color w:val="000000"/>
        </w:rPr>
        <w:t>-Rodríguez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Glycosuria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hyperglycemia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neonatal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period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first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clinical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sign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Diabetes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2018;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180-183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28493372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10.1111/pedi.12531]</w:t>
      </w:r>
    </w:p>
    <w:p w14:paraId="53994CB5" w14:textId="2E61AD0E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16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Santer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R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Groth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Kinner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Dombrowski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Berry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GT,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Brodehl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Leonard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JV,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Moses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Norgren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Skovby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Schneppenheim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Steinmann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Schaub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gramStart"/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spectrum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facilitative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glucose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transporter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(GLUT2)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Hum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2002;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110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21-29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11810292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10.1007/s00439-001-0638-6]</w:t>
      </w:r>
    </w:p>
    <w:p w14:paraId="3B209465" w14:textId="52FBC2A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17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Mihout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F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Devuyst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Bensman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Brocheriou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Ridel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Wagner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Mohebbi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Boffa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JJ,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Plaisier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Ronco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Acute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metabolic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acidosis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GLUT2-deficient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new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pathophysiology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insights.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Nephrol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Dial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Transplant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2014;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29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Suppl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iv113-iv116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25165176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10.1093/</w:t>
      </w:r>
      <w:proofErr w:type="spellStart"/>
      <w:r>
        <w:rPr>
          <w:rFonts w:ascii="Book Antiqua" w:eastAsia="宋体" w:hAnsi="Book Antiqua"/>
          <w:color w:val="000000"/>
        </w:rPr>
        <w:t>ndt</w:t>
      </w:r>
      <w:proofErr w:type="spellEnd"/>
      <w:r>
        <w:rPr>
          <w:rFonts w:ascii="Book Antiqua" w:eastAsia="宋体" w:hAnsi="Book Antiqua"/>
          <w:color w:val="000000"/>
        </w:rPr>
        <w:t>/gfu018]</w:t>
      </w:r>
    </w:p>
    <w:p w14:paraId="6BE9BBF5" w14:textId="2C913E21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18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Pogoriler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J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O'Neill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Voss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SD,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Shamberger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Perez-</w:t>
      </w:r>
      <w:proofErr w:type="spellStart"/>
      <w:r>
        <w:rPr>
          <w:rFonts w:ascii="Book Antiqua" w:eastAsia="宋体" w:hAnsi="Book Antiqua"/>
          <w:color w:val="000000"/>
        </w:rPr>
        <w:t>Atayde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AR.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Hepatocellular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Carcinoma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Dev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Pathol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2018;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21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84-90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28382841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10.1177/1093526617693540]</w:t>
      </w:r>
    </w:p>
    <w:p w14:paraId="00DC9AF9" w14:textId="51992A7F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19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Fridman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E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Zeharia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Markus-</w:t>
      </w:r>
      <w:proofErr w:type="spellStart"/>
      <w:r>
        <w:rPr>
          <w:rFonts w:ascii="Book Antiqua" w:eastAsia="宋体" w:hAnsi="Book Antiqua"/>
          <w:color w:val="000000"/>
        </w:rPr>
        <w:t>Eidlitz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Haimi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Cohen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Phenotypic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variability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fanconi-bickel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identical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JIMD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Rep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15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95-104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24718840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10.1007/8904_2014_303]</w:t>
      </w:r>
    </w:p>
    <w:p w14:paraId="2A31E467" w14:textId="1C2D2F49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lastRenderedPageBreak/>
        <w:t>20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Dweikat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IM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Alawneh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Bahar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SF,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Sultan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MI.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two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Palestinian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children: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marked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phenotypic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variability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identical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BMC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Res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Notes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2016;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387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27487919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10.1186/s13104-016-2184-2]</w:t>
      </w:r>
    </w:p>
    <w:p w14:paraId="571401C2" w14:textId="07311F2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21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Enogieru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OJ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Ung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PMU,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Yee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SW,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Schlessinger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Giacomini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Functional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structural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analysis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rare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variants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associated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metabolic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traits.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Hum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Mutat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2019;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40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983-995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30950137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10.1002/humu.23758]</w:t>
      </w:r>
    </w:p>
    <w:p w14:paraId="3594599D" w14:textId="7696FEE2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proofErr w:type="gramStart"/>
      <w:r>
        <w:rPr>
          <w:rFonts w:ascii="Book Antiqua" w:eastAsia="宋体" w:hAnsi="Book Antiqua"/>
          <w:color w:val="000000"/>
        </w:rPr>
        <w:t>22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Berry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GT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Baker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Kaplan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Witzleben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Diabetes-like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glomerular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disease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Pediatr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Nephrol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1995;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287-291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7632512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10.1007/BF02254185]</w:t>
      </w:r>
    </w:p>
    <w:p w14:paraId="173EAE02" w14:textId="45128E4C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23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Karamizadeh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Z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Saki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Imanieh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MH,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Zahmatkeshan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Fardaee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gramStart"/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new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liver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failure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pseudotumour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cerebri</w:t>
      </w:r>
      <w:proofErr w:type="spellEnd"/>
      <w:r>
        <w:rPr>
          <w:rFonts w:ascii="Book Antiqua" w:eastAsia="宋体" w:hAnsi="Book Antiqua"/>
          <w:color w:val="000000"/>
        </w:rPr>
        <w:t>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2012;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91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359-361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23271022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10.1007/s12041-012-0198-7]</w:t>
      </w:r>
    </w:p>
    <w:p w14:paraId="5AA651A0" w14:textId="692BDDA5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Lee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PJ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Van't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Hoff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WG,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Leonard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JV.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gramStart"/>
      <w:r>
        <w:rPr>
          <w:rFonts w:ascii="Book Antiqua" w:eastAsia="宋体" w:hAnsi="Book Antiqua"/>
          <w:color w:val="000000"/>
        </w:rPr>
        <w:t>Catch-up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growth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uncooked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cornstarch.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Inherit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Metab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1995;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18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153-156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7564233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10.1007/BF00711753]</w:t>
      </w:r>
    </w:p>
    <w:p w14:paraId="39964B3B" w14:textId="598F3F08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25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b/>
          <w:bCs/>
          <w:color w:val="000000"/>
        </w:rPr>
        <w:t>Pennisi</w:t>
      </w:r>
      <w:proofErr w:type="spellEnd"/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A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Maranda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Benoist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JF,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Baudouin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V,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Rigal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Pichard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Santer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Romana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Lepri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Novelli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Ogier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de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Baulny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Dionisi</w:t>
      </w:r>
      <w:proofErr w:type="spellEnd"/>
      <w:r>
        <w:rPr>
          <w:rFonts w:ascii="Book Antiqua" w:eastAsia="宋体" w:hAnsi="Book Antiqua"/>
          <w:color w:val="000000"/>
        </w:rPr>
        <w:t>-Vici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Schiff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Nocturnal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enteral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nutrition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therapeutic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for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growth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failure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Inherit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Metab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2020;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43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540-548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31816104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10.1002/jimd.12203]</w:t>
      </w:r>
    </w:p>
    <w:p w14:paraId="55D0E3AF" w14:textId="3704F57E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Pena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L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Charrow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J.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report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life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history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successful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pregnancy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affected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patient.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Am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J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Med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Genet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155A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415-417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21271664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10.1002/ajmg.a.33822]</w:t>
      </w:r>
    </w:p>
    <w:p w14:paraId="49BB94D4" w14:textId="363545B3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  <w:color w:val="000000"/>
        </w:rPr>
        <w:t>27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Wang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W</w:t>
      </w:r>
      <w:r>
        <w:rPr>
          <w:rFonts w:ascii="Book Antiqua" w:eastAsia="宋体" w:hAnsi="Book Antiqua"/>
          <w:color w:val="000000"/>
        </w:rPr>
        <w:t>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Wei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Song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HM,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Qiu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ZQ,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LJ,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Tang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XY.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gramStart"/>
      <w:r>
        <w:rPr>
          <w:rFonts w:ascii="Book Antiqua" w:eastAsia="宋体" w:hAnsi="Book Antiqua"/>
          <w:color w:val="000000"/>
        </w:rPr>
        <w:t>[SLC2A2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analysis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three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Chinese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children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</w:t>
      </w:r>
      <w:proofErr w:type="spellEnd"/>
      <w:r>
        <w:rPr>
          <w:rFonts w:ascii="Book Antiqua" w:eastAsia="宋体" w:hAnsi="Book Antiqua"/>
          <w:color w:val="000000"/>
        </w:rPr>
        <w:t>-Bickel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syndrome].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Zhongguo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Dang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r>
        <w:rPr>
          <w:rFonts w:ascii="Book Antiqua" w:eastAsia="宋体" w:hAnsi="Book Antiqua"/>
          <w:i/>
          <w:iCs/>
          <w:color w:val="000000"/>
        </w:rPr>
        <w:t>Dai</w:t>
      </w:r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Er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Ke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Za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Zhi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2015;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17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362-366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25919556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10.7499/j.issn.1008-8830.2015.04.014]</w:t>
      </w:r>
    </w:p>
    <w:p w14:paraId="3C496434" w14:textId="64E988B0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4D452F">
        <w:rPr>
          <w:rFonts w:ascii="Book Antiqua" w:eastAsia="宋体" w:hAnsi="Book Antiqua"/>
          <w:highlight w:val="yellow"/>
        </w:rPr>
        <w:t>28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Dai</w:t>
      </w:r>
      <w:r w:rsidR="004D452F" w:rsidRPr="004D452F">
        <w:rPr>
          <w:rFonts w:ascii="Book Antiqua" w:eastAsia="宋体" w:hAnsi="Book Antiqua"/>
          <w:b/>
          <w:bCs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YE,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Liu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QQ,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Shi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proofErr w:type="spellStart"/>
      <w:proofErr w:type="gramStart"/>
      <w:r w:rsidRPr="004D452F">
        <w:rPr>
          <w:rFonts w:ascii="Book Antiqua" w:eastAsia="宋体" w:hAnsi="Book Antiqua"/>
          <w:highlight w:val="yellow"/>
        </w:rPr>
        <w:t>Gu</w:t>
      </w:r>
      <w:proofErr w:type="spellEnd"/>
      <w:proofErr w:type="gramEnd"/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W,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Ni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SN.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proofErr w:type="gramStart"/>
      <w:r w:rsidRPr="004D452F">
        <w:rPr>
          <w:rFonts w:ascii="Book Antiqua" w:eastAsia="宋体" w:hAnsi="Book Antiqua" w:hint="eastAsia"/>
          <w:highlight w:val="yellow"/>
          <w:lang w:eastAsia="zh-CN"/>
        </w:rPr>
        <w:t>C</w:t>
      </w:r>
      <w:r w:rsidRPr="004D452F">
        <w:rPr>
          <w:rFonts w:ascii="Book Antiqua" w:eastAsia="宋体" w:hAnsi="Book Antiqua"/>
          <w:highlight w:val="yellow"/>
        </w:rPr>
        <w:t>ase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report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proofErr w:type="spellStart"/>
      <w:r w:rsidRPr="004D452F">
        <w:rPr>
          <w:rFonts w:ascii="Book Antiqua" w:eastAsia="宋体" w:hAnsi="Book Antiqua"/>
          <w:highlight w:val="yellow"/>
        </w:rPr>
        <w:t>Fanconi</w:t>
      </w:r>
      <w:proofErr w:type="spellEnd"/>
      <w:r w:rsidRPr="004D452F">
        <w:rPr>
          <w:rFonts w:ascii="Book Antiqua" w:eastAsia="宋体" w:hAnsi="Book Antiqua"/>
          <w:highlight w:val="yellow"/>
        </w:rPr>
        <w:t>-Bickel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syndrome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and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its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clinical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feature.</w:t>
      </w:r>
      <w:proofErr w:type="gramEnd"/>
      <w:r w:rsidR="004D452F" w:rsidRPr="004D452F">
        <w:rPr>
          <w:rFonts w:ascii="Book Antiqua" w:eastAsia="宋体" w:hAnsi="Book Antiqua"/>
          <w:highlight w:val="yellow"/>
        </w:rPr>
        <w:t xml:space="preserve"> </w:t>
      </w:r>
      <w:proofErr w:type="gramStart"/>
      <w:r w:rsidRPr="004D452F">
        <w:rPr>
          <w:rFonts w:ascii="Book Antiqua" w:eastAsia="宋体" w:hAnsi="Book Antiqua"/>
          <w:highlight w:val="yellow"/>
        </w:rPr>
        <w:t>Annual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Congress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Pediatric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Society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;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Zhejiang,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China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.</w:t>
      </w:r>
      <w:proofErr w:type="gramEnd"/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2012:</w:t>
      </w:r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408</w:t>
      </w:r>
    </w:p>
    <w:p w14:paraId="6695FAE7" w14:textId="258DDCDF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>
        <w:rPr>
          <w:rFonts w:ascii="Book Antiqua" w:eastAsia="宋体" w:hAnsi="Book Antiqua"/>
          <w:color w:val="000000"/>
        </w:rPr>
        <w:lastRenderedPageBreak/>
        <w:t>29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Su</w:t>
      </w:r>
      <w:r w:rsidR="004D452F">
        <w:rPr>
          <w:rFonts w:ascii="Book Antiqua" w:eastAsia="宋体" w:hAnsi="Book Antiqua"/>
          <w:b/>
          <w:bCs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Z,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Li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YH,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Du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ML,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HM,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Zheng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PM.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Clinical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characteristics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of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children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fanconi-bickel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syndrome.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J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Sun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color w:val="000000"/>
        </w:rPr>
        <w:t>Yat</w:t>
      </w:r>
      <w:proofErr w:type="spellEnd"/>
      <w:r>
        <w:rPr>
          <w:rFonts w:ascii="Book Antiqua" w:eastAsia="宋体" w:hAnsi="Book Antiqua"/>
          <w:i/>
          <w:color w:val="000000"/>
        </w:rPr>
        <w:t>-Sen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color w:val="000000"/>
        </w:rPr>
        <w:t>Univ</w:t>
      </w:r>
      <w:proofErr w:type="spellEnd"/>
      <w:r w:rsidR="004D452F">
        <w:rPr>
          <w:rFonts w:ascii="Book Antiqua" w:eastAsia="宋体" w:hAnsi="Book Antiqua"/>
          <w:i/>
          <w:color w:val="000000"/>
        </w:rPr>
        <w:t xml:space="preserve"> </w:t>
      </w:r>
      <w:r>
        <w:rPr>
          <w:rFonts w:ascii="Book Antiqua" w:eastAsia="宋体" w:hAnsi="Book Antiqua"/>
          <w:i/>
          <w:color w:val="000000"/>
        </w:rPr>
        <w:t>(Med</w:t>
      </w:r>
      <w:r w:rsidR="004D452F">
        <w:rPr>
          <w:rFonts w:ascii="Book Antiqua" w:eastAsia="宋体" w:hAnsi="Book Antiqua"/>
          <w:i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color w:val="000000"/>
        </w:rPr>
        <w:t>Sci</w:t>
      </w:r>
      <w:proofErr w:type="spellEnd"/>
      <w:r>
        <w:rPr>
          <w:rFonts w:ascii="Book Antiqua" w:eastAsia="宋体" w:hAnsi="Book Antiqua"/>
          <w:i/>
          <w:color w:val="000000"/>
        </w:rPr>
        <w:t>)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2011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color w:val="000000"/>
        </w:rPr>
        <w:t>32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bookmarkStart w:id="38" w:name="OLE_LINK14"/>
      <w:bookmarkStart w:id="39" w:name="OLE_LINK15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557-560</w:t>
      </w:r>
      <w:r w:rsidR="004D452F"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[DOI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/>
          <w:color w:val="000000"/>
        </w:rPr>
        <w:t>10.1007/s12583-011-0153-1</w:t>
      </w:r>
      <w:bookmarkEnd w:id="38"/>
      <w:bookmarkEnd w:id="39"/>
      <w:r>
        <w:rPr>
          <w:rFonts w:ascii="Book Antiqua" w:eastAsia="宋体" w:hAnsi="Book Antiqua" w:hint="eastAsia"/>
          <w:color w:val="000000"/>
          <w:lang w:eastAsia="zh-CN"/>
        </w:rPr>
        <w:t>]</w:t>
      </w:r>
    </w:p>
    <w:p w14:paraId="22C74BDB" w14:textId="0DA0F49D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4D452F">
        <w:rPr>
          <w:rFonts w:ascii="Book Antiqua" w:eastAsia="宋体" w:hAnsi="Book Antiqua"/>
          <w:highlight w:val="yellow"/>
        </w:rPr>
        <w:t>30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Zhao</w:t>
      </w:r>
      <w:r w:rsidR="004D452F" w:rsidRPr="004D452F">
        <w:rPr>
          <w:rFonts w:ascii="Book Antiqua" w:eastAsia="宋体" w:hAnsi="Book Antiqua"/>
          <w:b/>
          <w:bCs/>
          <w:highlight w:val="yellow"/>
        </w:rPr>
        <w:t xml:space="preserve"> </w:t>
      </w:r>
      <w:r w:rsidRPr="004D452F">
        <w:rPr>
          <w:rFonts w:ascii="Book Antiqua" w:eastAsia="宋体" w:hAnsi="Book Antiqua"/>
          <w:b/>
          <w:bCs/>
          <w:highlight w:val="yellow"/>
        </w:rPr>
        <w:t>ZH</w:t>
      </w:r>
      <w:r w:rsidRPr="004D452F">
        <w:rPr>
          <w:rFonts w:ascii="Book Antiqua" w:eastAsia="宋体" w:hAnsi="Book Antiqua"/>
          <w:highlight w:val="yellow"/>
        </w:rPr>
        <w:t>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Luo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FH,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Shen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SX,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proofErr w:type="spellStart"/>
      <w:r w:rsidRPr="004D452F">
        <w:rPr>
          <w:rFonts w:ascii="Book Antiqua" w:eastAsia="宋体" w:hAnsi="Book Antiqua"/>
          <w:highlight w:val="yellow"/>
        </w:rPr>
        <w:t>Zhi</w:t>
      </w:r>
      <w:proofErr w:type="spellEnd"/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DJ,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Ye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R,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Lu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Cheng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RQ,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Zheng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ZQ,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Zhang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MY,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XJ,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Chen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LQ.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A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case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glycogen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storage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disease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XI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presented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neonate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onset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diabetes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mellitus.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proofErr w:type="gramStart"/>
      <w:r w:rsidRPr="004D452F">
        <w:rPr>
          <w:rFonts w:ascii="Book Antiqua" w:eastAsia="宋体" w:hAnsi="Book Antiqua"/>
          <w:highlight w:val="yellow"/>
        </w:rPr>
        <w:t>16</w:t>
      </w:r>
      <w:r w:rsidRPr="004D452F">
        <w:rPr>
          <w:rFonts w:ascii="Book Antiqua" w:eastAsia="宋体" w:hAnsi="Book Antiqua"/>
          <w:highlight w:val="yellow"/>
          <w:vertAlign w:val="superscript"/>
        </w:rPr>
        <w:t>th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National</w:t>
      </w:r>
      <w:r w:rsidR="004D452F" w:rsidRPr="004D452F">
        <w:rPr>
          <w:rFonts w:ascii="Book Antiqua" w:eastAsia="宋体" w:hAnsi="Book Antiqua"/>
          <w:highlight w:val="yellow"/>
        </w:rPr>
        <w:t xml:space="preserve"> C</w:t>
      </w:r>
      <w:r w:rsidRPr="004D452F">
        <w:rPr>
          <w:rFonts w:ascii="Book Antiqua" w:eastAsia="宋体" w:hAnsi="Book Antiqua"/>
          <w:highlight w:val="yellow"/>
        </w:rPr>
        <w:t>ongress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of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Chinese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Medical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Association,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Diabetes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Society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;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Zhejiang,</w:t>
      </w:r>
      <w:r w:rsidR="004D452F" w:rsidRPr="004D452F">
        <w:rPr>
          <w:rFonts w:ascii="Book Antiqua" w:eastAsia="宋体" w:hAnsi="Book Antiqua"/>
          <w:highlight w:val="yellow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China</w:t>
      </w:r>
      <w:r w:rsidRPr="004D452F">
        <w:rPr>
          <w:rFonts w:ascii="Book Antiqua" w:eastAsia="宋体" w:hAnsi="Book Antiqua" w:hint="eastAsia"/>
          <w:highlight w:val="yellow"/>
          <w:lang w:eastAsia="zh-CN"/>
        </w:rPr>
        <w:t>.</w:t>
      </w:r>
      <w:proofErr w:type="gramEnd"/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bCs/>
          <w:highlight w:val="yellow"/>
        </w:rPr>
        <w:t>2012</w:t>
      </w:r>
      <w:r w:rsidRPr="004D452F">
        <w:rPr>
          <w:rFonts w:ascii="Book Antiqua" w:eastAsia="宋体" w:hAnsi="Book Antiqua"/>
          <w:highlight w:val="yellow"/>
        </w:rPr>
        <w:t>:</w:t>
      </w:r>
      <w:r w:rsidR="004D452F" w:rsidRPr="004D452F">
        <w:rPr>
          <w:rFonts w:ascii="Book Antiqua" w:eastAsia="宋体" w:hAnsi="Book Antiqua" w:hint="eastAsia"/>
          <w:highlight w:val="yellow"/>
          <w:lang w:eastAsia="zh-CN"/>
        </w:rPr>
        <w:t xml:space="preserve"> </w:t>
      </w:r>
      <w:r w:rsidRPr="004D452F">
        <w:rPr>
          <w:rFonts w:ascii="Book Antiqua" w:eastAsia="宋体" w:hAnsi="Book Antiqua"/>
          <w:highlight w:val="yellow"/>
        </w:rPr>
        <w:t>172-173</w:t>
      </w:r>
    </w:p>
    <w:p w14:paraId="52B5E587" w14:textId="32BDD955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>
        <w:rPr>
          <w:rFonts w:ascii="Book Antiqua" w:eastAsia="宋体" w:hAnsi="Book Antiqua"/>
        </w:rPr>
        <w:t>31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  <w:b/>
          <w:bCs/>
        </w:rPr>
        <w:t>Shi</w:t>
      </w:r>
      <w:r w:rsidR="004D452F">
        <w:rPr>
          <w:rFonts w:ascii="Book Antiqua" w:eastAsia="宋体" w:hAnsi="Book Antiqua"/>
          <w:b/>
          <w:bCs/>
        </w:rPr>
        <w:t xml:space="preserve"> </w:t>
      </w:r>
      <w:r>
        <w:rPr>
          <w:rFonts w:ascii="Book Antiqua" w:eastAsia="宋体" w:hAnsi="Book Antiqua"/>
          <w:b/>
          <w:bCs/>
        </w:rPr>
        <w:t>PP</w:t>
      </w:r>
      <w:r>
        <w:rPr>
          <w:rFonts w:ascii="Book Antiqua" w:eastAsia="宋体" w:hAnsi="Book Antiqua"/>
        </w:rPr>
        <w:t>,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Wang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M,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Dou</w:t>
      </w:r>
      <w:r w:rsidR="004D452F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WJ.</w:t>
      </w:r>
      <w:r w:rsidR="004D452F">
        <w:rPr>
          <w:rFonts w:ascii="Book Antiqua" w:eastAsia="宋体" w:hAnsi="Book Antiqua"/>
        </w:rPr>
        <w:t xml:space="preserve"> </w:t>
      </w:r>
      <w:proofErr w:type="gramStart"/>
      <w:r>
        <w:rPr>
          <w:rFonts w:ascii="Book Antiqua" w:eastAsia="宋体" w:hAnsi="Book Antiqua"/>
        </w:rPr>
        <w:t>[</w:t>
      </w:r>
      <w:proofErr w:type="spellStart"/>
      <w:r>
        <w:rPr>
          <w:rFonts w:ascii="Book Antiqua" w:eastAsia="宋体" w:hAnsi="Book Antiqua"/>
        </w:rPr>
        <w:t>Fanconi</w:t>
      </w:r>
      <w:proofErr w:type="spellEnd"/>
      <w:r>
        <w:rPr>
          <w:rFonts w:ascii="Book Antiqua" w:eastAsia="宋体" w:hAnsi="Book Antiqua"/>
        </w:rPr>
        <w:t>-Bi</w:t>
      </w:r>
      <w:r>
        <w:rPr>
          <w:rFonts w:ascii="Book Antiqua" w:eastAsia="宋体" w:hAnsi="Book Antiqua"/>
          <w:color w:val="000000"/>
        </w:rPr>
        <w:t>ckel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syndrome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with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SLC2A2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gene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mutation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in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child].</w:t>
      </w:r>
      <w:proofErr w:type="gramEnd"/>
      <w:r w:rsidR="004D452F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Zhonghua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Er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Ke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Za</w:t>
      </w:r>
      <w:proofErr w:type="spellEnd"/>
      <w:r w:rsidR="004D452F">
        <w:rPr>
          <w:rFonts w:ascii="Book Antiqua" w:eastAsia="宋体" w:hAnsi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i/>
          <w:iCs/>
          <w:color w:val="000000"/>
        </w:rPr>
        <w:t>Zhi</w:t>
      </w:r>
      <w:proofErr w:type="spellEnd"/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2018;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b/>
          <w:bCs/>
          <w:color w:val="000000"/>
        </w:rPr>
        <w:t>56</w:t>
      </w:r>
      <w:r>
        <w:rPr>
          <w:rFonts w:ascii="Book Antiqua" w:eastAsia="宋体" w:hAnsi="Book Antiqua"/>
          <w:color w:val="000000"/>
        </w:rPr>
        <w:t>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65-66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[PMID: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29343004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DOI:</w:t>
      </w:r>
      <w:r w:rsidR="004D452F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10.3760/cma.j.issn.0578-1310.2018.01.019]</w:t>
      </w:r>
      <w:bookmarkEnd w:id="32"/>
      <w:bookmarkEnd w:id="33"/>
    </w:p>
    <w:p w14:paraId="27334522" w14:textId="77777777" w:rsidR="00034740" w:rsidRDefault="00034740">
      <w:pPr>
        <w:spacing w:line="360" w:lineRule="auto"/>
        <w:ind w:hanging="210"/>
        <w:jc w:val="both"/>
        <w:sectPr w:rsidR="000347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00210" w14:textId="77777777" w:rsidR="00034740" w:rsidRDefault="008D562F" w:rsidP="004D45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8C226A" w14:textId="549A60D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39110710" w14:textId="77777777" w:rsidR="00034740" w:rsidRDefault="00034740">
      <w:pPr>
        <w:spacing w:line="360" w:lineRule="auto"/>
        <w:jc w:val="both"/>
      </w:pPr>
    </w:p>
    <w:p w14:paraId="5D48C063" w14:textId="74DD74D2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9465D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</w:p>
    <w:p w14:paraId="4B096C0F" w14:textId="77777777" w:rsidR="00034740" w:rsidRDefault="00034740">
      <w:pPr>
        <w:spacing w:line="360" w:lineRule="auto"/>
        <w:jc w:val="both"/>
      </w:pPr>
    </w:p>
    <w:p w14:paraId="438349F9" w14:textId="4E3B29C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4D452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Checklist.</w:t>
      </w:r>
    </w:p>
    <w:p w14:paraId="1EB9BD16" w14:textId="77777777" w:rsidR="00034740" w:rsidRDefault="00034740">
      <w:pPr>
        <w:spacing w:line="360" w:lineRule="auto"/>
        <w:jc w:val="both"/>
      </w:pPr>
    </w:p>
    <w:p w14:paraId="5697B07C" w14:textId="1C87A83A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45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45A676E" w14:textId="77777777" w:rsidR="00034740" w:rsidRDefault="00034740">
      <w:pPr>
        <w:spacing w:line="360" w:lineRule="auto"/>
        <w:jc w:val="both"/>
      </w:pPr>
    </w:p>
    <w:p w14:paraId="6B3EAD64" w14:textId="55BFDB9B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D452F">
        <w:rPr>
          <w:rFonts w:ascii="Book Antiqua" w:eastAsia="Book Antiqua" w:hAnsi="Book Antiqua" w:cs="Book Antiqua"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5E8ECBA3" w14:textId="77777777" w:rsidR="00034740" w:rsidRDefault="0003474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727253A" w14:textId="4EE4AC38" w:rsidR="00034740" w:rsidRPr="004D452F" w:rsidRDefault="008D56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452F">
        <w:rPr>
          <w:rFonts w:ascii="Book Antiqua" w:hAnsi="Book Antiqua" w:cs="Book Antiqua"/>
          <w:color w:val="000000"/>
          <w:lang w:eastAsia="zh-CN"/>
        </w:rPr>
        <w:t xml:space="preserve">; and </w:t>
      </w:r>
      <w:r w:rsidR="004D452F" w:rsidRPr="004D452F">
        <w:rPr>
          <w:rFonts w:ascii="Book Antiqua" w:hAnsi="Book Antiqua" w:cs="Book Antiqua"/>
          <w:color w:val="000000"/>
          <w:lang w:eastAsia="zh-CN"/>
        </w:rPr>
        <w:t>Group of Pediatric Digestive Endoscopy, Chinese Medical Doctor Association</w:t>
      </w:r>
      <w:r w:rsidR="004D452F">
        <w:rPr>
          <w:rFonts w:ascii="Book Antiqua" w:hAnsi="Book Antiqua" w:cs="Book Antiqua"/>
          <w:color w:val="000000"/>
          <w:lang w:eastAsia="zh-CN"/>
        </w:rPr>
        <w:t>.</w:t>
      </w:r>
    </w:p>
    <w:p w14:paraId="23CBE2F6" w14:textId="77777777" w:rsidR="00034740" w:rsidRDefault="00034740">
      <w:pPr>
        <w:spacing w:line="360" w:lineRule="auto"/>
        <w:jc w:val="both"/>
      </w:pPr>
    </w:p>
    <w:p w14:paraId="5FCEB661" w14:textId="1D582916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8379E3A" w14:textId="04A7BD19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28BDDBA2" w14:textId="61287BE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69F910C" w14:textId="77777777" w:rsidR="00034740" w:rsidRDefault="00034740">
      <w:pPr>
        <w:spacing w:line="360" w:lineRule="auto"/>
        <w:jc w:val="both"/>
      </w:pPr>
    </w:p>
    <w:p w14:paraId="028C3FDF" w14:textId="1AB464FC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0" w:name="OLE_LINK1952"/>
      <w:bookmarkStart w:id="41" w:name="OLE_LINK1953"/>
      <w:bookmarkStart w:id="42" w:name="OLE_LINK2066"/>
      <w:bookmarkStart w:id="43" w:name="OLE_LINK2362"/>
      <w:bookmarkStart w:id="44" w:name="OLE_LINK2043"/>
      <w:bookmarkStart w:id="45" w:name="OLE_LINK2319"/>
      <w:bookmarkStart w:id="46" w:name="OLE_LINK2146"/>
      <w:r w:rsidR="004D452F" w:rsidRPr="00E700C2">
        <w:rPr>
          <w:rFonts w:ascii="Book Antiqua" w:eastAsia="微软雅黑" w:hAnsi="Book Antiqua" w:cs="宋体"/>
        </w:rPr>
        <w:t>Medicine, research and experimental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597AFE90" w14:textId="5E5BD2A3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E84CF20" w14:textId="5BC98A87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0AF64A" w14:textId="43047E8E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972B6E" w14:textId="393154A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D69FDCB" w14:textId="6FA54810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3A1EA0" w14:textId="171CB133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EB5BDB5" w14:textId="4A03CC9F" w:rsidR="00034740" w:rsidRDefault="008D56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D3BC3EF" w14:textId="77777777" w:rsidR="00034740" w:rsidRDefault="00034740">
      <w:pPr>
        <w:spacing w:line="360" w:lineRule="auto"/>
        <w:jc w:val="both"/>
      </w:pPr>
    </w:p>
    <w:p w14:paraId="08D89958" w14:textId="6ED79286" w:rsidR="00034740" w:rsidRDefault="008D56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Gonzalez-</w:t>
      </w:r>
      <w:proofErr w:type="spellStart"/>
      <w:r>
        <w:rPr>
          <w:rFonts w:ascii="Book Antiqua" w:eastAsia="Book Antiqua" w:hAnsi="Book Antiqua" w:cs="Book Antiqua"/>
          <w:color w:val="000000"/>
        </w:rPr>
        <w:t>Granado</w:t>
      </w:r>
      <w:proofErr w:type="spellEnd"/>
      <w:r w:rsidR="004D45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D452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465D" w:rsidRPr="007B16AD">
        <w:rPr>
          <w:rFonts w:ascii="Book Antiqua" w:eastAsia="Book Antiqua" w:hAnsi="Book Antiqua" w:cs="Book Antiqua"/>
          <w:color w:val="000000"/>
        </w:rPr>
        <w:t>Wang TQ</w:t>
      </w:r>
      <w:r w:rsidR="004946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D452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87F7F8F" w14:textId="256C5FEF" w:rsidR="00034740" w:rsidRDefault="008D562F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bookmarkStart w:id="47" w:name="OLE_LINK17"/>
      <w:bookmarkStart w:id="48" w:name="OLE_LINK16"/>
      <w:r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4D452F">
        <w:rPr>
          <w:rFonts w:ascii="Book Antiqua" w:hAnsi="Book Antiqua" w:cs="Book Antiqua"/>
          <w:b/>
          <w:color w:val="000000"/>
          <w:lang w:eastAsia="zh-CN"/>
        </w:rPr>
        <w:t xml:space="preserve"> L</w:t>
      </w:r>
      <w:r>
        <w:rPr>
          <w:rFonts w:ascii="Book Antiqua" w:hAnsi="Book Antiqua" w:cs="Book Antiqua"/>
          <w:b/>
          <w:color w:val="000000"/>
          <w:lang w:eastAsia="zh-CN"/>
        </w:rPr>
        <w:t>egends</w:t>
      </w:r>
    </w:p>
    <w:p w14:paraId="4E4D92CD" w14:textId="77777777" w:rsidR="00CF75C5" w:rsidRDefault="00CF75C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>
        <w:rPr>
          <w:noProof/>
          <w:lang w:eastAsia="zh-CN"/>
        </w:rPr>
        <w:drawing>
          <wp:inline distT="0" distB="0" distL="0" distR="0" wp14:anchorId="05DCF6A7" wp14:editId="08EF06FD">
            <wp:extent cx="5486400" cy="411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3983" w14:textId="03DECDEC" w:rsidR="004D452F" w:rsidRDefault="004D45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  <w:sectPr w:rsidR="004D45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宋体" w:hAnsi="Book Antiqua"/>
          <w:b/>
          <w:kern w:val="2"/>
          <w:lang w:eastAsia="zh-CN"/>
        </w:rPr>
        <w:t>F</w:t>
      </w:r>
      <w:r>
        <w:rPr>
          <w:rFonts w:ascii="Book Antiqua" w:eastAsia="宋体" w:hAnsi="Book Antiqua" w:hint="eastAsia"/>
          <w:b/>
          <w:kern w:val="2"/>
          <w:lang w:eastAsia="zh-CN"/>
        </w:rPr>
        <w:t>i</w:t>
      </w:r>
      <w:r>
        <w:rPr>
          <w:rFonts w:ascii="Book Antiqua" w:eastAsia="宋体" w:hAnsi="Book Antiqua"/>
          <w:b/>
          <w:kern w:val="2"/>
          <w:lang w:eastAsia="zh-CN"/>
        </w:rPr>
        <w:t xml:space="preserve">gure 1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A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7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spellStart"/>
      <w:r w:rsidR="00CF75C5" w:rsidRPr="00CF75C5">
        <w:rPr>
          <w:rFonts w:ascii="Book Antiqua" w:eastAsia="宋体" w:hAnsi="Book Antiqua"/>
          <w:b/>
          <w:kern w:val="2"/>
          <w:lang w:eastAsia="zh-CN"/>
        </w:rPr>
        <w:t>mo</w:t>
      </w:r>
      <w:proofErr w:type="spellEnd"/>
      <w:r w:rsidR="00CF75C5" w:rsidRPr="00CF75C5">
        <w:rPr>
          <w:rFonts w:ascii="Book Antiqua" w:eastAsia="宋体" w:hAnsi="Book Antiqua"/>
          <w:b/>
          <w:kern w:val="2"/>
          <w:lang w:eastAsia="zh-CN"/>
        </w:rPr>
        <w:t>-old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girl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49465D" w:rsidRPr="00CF75C5">
        <w:rPr>
          <w:rFonts w:ascii="Book Antiqua" w:eastAsia="宋体" w:hAnsi="Book Antiqua"/>
          <w:b/>
          <w:kern w:val="2"/>
          <w:lang w:eastAsia="zh-CN"/>
        </w:rPr>
        <w:t>present</w:t>
      </w:r>
      <w:r w:rsidR="0049465D">
        <w:rPr>
          <w:rFonts w:ascii="Book Antiqua" w:eastAsia="宋体" w:hAnsi="Book Antiqua"/>
          <w:b/>
          <w:kern w:val="2"/>
          <w:lang w:eastAsia="zh-CN"/>
        </w:rPr>
        <w:t xml:space="preserve">ing with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obvious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abdominal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distension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with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moderate</w:t>
      </w:r>
      <w:r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="00CF75C5" w:rsidRPr="00CF75C5">
        <w:rPr>
          <w:rFonts w:ascii="Book Antiqua" w:eastAsia="宋体" w:hAnsi="Book Antiqua"/>
          <w:b/>
          <w:kern w:val="2"/>
          <w:lang w:eastAsia="zh-CN"/>
        </w:rPr>
        <w:t>jaundice</w:t>
      </w:r>
      <w:r w:rsidR="00CF75C5">
        <w:rPr>
          <w:rFonts w:ascii="Book Antiqua" w:eastAsia="宋体" w:hAnsi="Book Antiqua" w:hint="eastAsia"/>
          <w:b/>
          <w:kern w:val="2"/>
          <w:lang w:eastAsia="zh-CN"/>
        </w:rPr>
        <w:t>.</w:t>
      </w:r>
    </w:p>
    <w:p w14:paraId="11059413" w14:textId="48E04B2E" w:rsidR="00034740" w:rsidRDefault="008D562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1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spellStart"/>
      <w:r>
        <w:rPr>
          <w:rFonts w:ascii="Book Antiqua" w:eastAsia="宋体" w:hAnsi="Book Antiqua"/>
          <w:b/>
          <w:kern w:val="2"/>
          <w:lang w:eastAsia="zh-CN"/>
        </w:rPr>
        <w:t>Fanconi</w:t>
      </w:r>
      <w:proofErr w:type="spellEnd"/>
      <w:r>
        <w:rPr>
          <w:rFonts w:ascii="Book Antiqua" w:eastAsia="宋体" w:hAnsi="Book Antiqua"/>
          <w:b/>
          <w:kern w:val="2"/>
          <w:lang w:eastAsia="zh-CN"/>
        </w:rPr>
        <w:t>-Bickel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syndrome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cases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in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China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with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different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glucose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transporter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protein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2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/>
          <w:b/>
          <w:kern w:val="2"/>
          <w:lang w:eastAsia="zh-CN"/>
        </w:rPr>
        <w:t>mutations</w:t>
      </w:r>
      <w:r w:rsidR="004D452F">
        <w:rPr>
          <w:rFonts w:ascii="Book Antiqua" w:eastAsia="宋体" w:hAnsi="Book Antiqua"/>
          <w:b/>
          <w:kern w:val="2"/>
          <w:lang w:eastAsia="zh-CN"/>
        </w:rPr>
        <w:t xml:space="preserve"> </w:t>
      </w:r>
    </w:p>
    <w:tbl>
      <w:tblPr>
        <w:tblW w:w="5892" w:type="pct"/>
        <w:tblLook w:val="04A0" w:firstRow="1" w:lastRow="0" w:firstColumn="1" w:lastColumn="0" w:noHBand="0" w:noVBand="1"/>
      </w:tblPr>
      <w:tblGrid>
        <w:gridCol w:w="1284"/>
        <w:gridCol w:w="1203"/>
        <w:gridCol w:w="1450"/>
        <w:gridCol w:w="1984"/>
        <w:gridCol w:w="2410"/>
        <w:gridCol w:w="2267"/>
        <w:gridCol w:w="1842"/>
        <w:gridCol w:w="3087"/>
      </w:tblGrid>
      <w:tr w:rsidR="004D452F" w14:paraId="2DAF0B30" w14:textId="77777777" w:rsidTr="004D452F">
        <w:tc>
          <w:tcPr>
            <w:tcW w:w="413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0E48F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Patient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8D52DC" w14:textId="3BDF183B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Age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(</w:t>
            </w:r>
            <w:proofErr w:type="spellStart"/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mo</w:t>
            </w:r>
            <w:proofErr w:type="spellEnd"/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)</w:t>
            </w:r>
          </w:p>
        </w:tc>
        <w:tc>
          <w:tcPr>
            <w:tcW w:w="467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B0916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Gender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C7AB5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Patient</w:t>
            </w:r>
          </w:p>
        </w:tc>
        <w:tc>
          <w:tcPr>
            <w:tcW w:w="730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05BB11" w14:textId="4C626AC5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Mutation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in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mother</w:t>
            </w:r>
          </w:p>
        </w:tc>
        <w:tc>
          <w:tcPr>
            <w:tcW w:w="593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E6626E" w14:textId="68804EAF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Mutation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in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father</w:t>
            </w:r>
          </w:p>
        </w:tc>
        <w:tc>
          <w:tcPr>
            <w:tcW w:w="994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5AD51F" w14:textId="42F179F0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Mutation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type</w:t>
            </w:r>
          </w:p>
        </w:tc>
      </w:tr>
      <w:tr w:rsidR="004D452F" w14:paraId="0B994255" w14:textId="77777777" w:rsidTr="004D452F">
        <w:trPr>
          <w:trHeight w:val="90"/>
        </w:trPr>
        <w:tc>
          <w:tcPr>
            <w:tcW w:w="413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4CECE8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94A29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0EE47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60178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/>
                <w:b/>
                <w:kern w:val="2"/>
                <w:lang w:eastAsia="zh-CN"/>
              </w:rPr>
              <w:t>Mutation</w:t>
            </w:r>
          </w:p>
        </w:tc>
        <w:tc>
          <w:tcPr>
            <w:tcW w:w="7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727B05" w14:textId="14143164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Amino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acid</w:t>
            </w:r>
            <w:r w:rsidR="004D452F">
              <w:rPr>
                <w:rFonts w:ascii="Book Antiqua" w:eastAsia="AdvOT7d6df7ab . I" w:hAnsi="Book 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b/>
                <w:kern w:val="2"/>
                <w:lang w:eastAsia="zh-CN"/>
              </w:rPr>
              <w:t>change</w:t>
            </w:r>
          </w:p>
        </w:tc>
        <w:tc>
          <w:tcPr>
            <w:tcW w:w="730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E62969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CF7CA2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ED246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b/>
                <w:kern w:val="2"/>
                <w:lang w:eastAsia="zh-CN"/>
              </w:rPr>
            </w:pPr>
          </w:p>
        </w:tc>
      </w:tr>
      <w:tr w:rsidR="004D452F" w14:paraId="41CBE21F" w14:textId="77777777" w:rsidTr="004D452F">
        <w:tc>
          <w:tcPr>
            <w:tcW w:w="413" w:type="pct"/>
            <w:tcBorders>
              <w:top w:val="single" w:sz="4" w:space="0" w:color="000000" w:themeColor="text1"/>
            </w:tcBorders>
            <w:vAlign w:val="center"/>
          </w:tcPr>
          <w:p w14:paraId="119266F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bookmarkStart w:id="49" w:name="OLE_LINK4" w:colFirst="6" w:colLast="6"/>
            <w:r>
              <w:rPr>
                <w:rFonts w:ascii="Book Antiqua" w:eastAsia="AdvOT7d6df7ab . I" w:hAnsi="Book Antiqua"/>
                <w:kern w:val="2"/>
                <w:lang w:eastAsia="zh-CN"/>
              </w:rPr>
              <w:t>1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tcBorders>
              <w:top w:val="single" w:sz="4" w:space="0" w:color="000000" w:themeColor="text1"/>
            </w:tcBorders>
            <w:vAlign w:val="center"/>
          </w:tcPr>
          <w:p w14:paraId="38859C8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12</w:t>
            </w:r>
          </w:p>
        </w:tc>
        <w:tc>
          <w:tcPr>
            <w:tcW w:w="467" w:type="pct"/>
            <w:tcBorders>
              <w:top w:val="single" w:sz="4" w:space="0" w:color="000000" w:themeColor="text1"/>
            </w:tcBorders>
            <w:vAlign w:val="center"/>
          </w:tcPr>
          <w:p w14:paraId="78D3A03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tcBorders>
              <w:top w:val="single" w:sz="4" w:space="0" w:color="000000" w:themeColor="text1"/>
            </w:tcBorders>
            <w:vAlign w:val="center"/>
          </w:tcPr>
          <w:p w14:paraId="69B74E40" w14:textId="527616CF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c.1068+5G&gt;C</w:t>
            </w:r>
          </w:p>
        </w:tc>
        <w:tc>
          <w:tcPr>
            <w:tcW w:w="776" w:type="pct"/>
            <w:tcBorders>
              <w:top w:val="single" w:sz="4" w:space="0" w:color="000000" w:themeColor="text1"/>
            </w:tcBorders>
            <w:vAlign w:val="center"/>
          </w:tcPr>
          <w:p w14:paraId="3841E476" w14:textId="77C857FF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730" w:type="pct"/>
            <w:tcBorders>
              <w:top w:val="single" w:sz="4" w:space="0" w:color="000000" w:themeColor="text1"/>
            </w:tcBorders>
            <w:vAlign w:val="center"/>
          </w:tcPr>
          <w:p w14:paraId="52E65C55" w14:textId="59AD529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C.1068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+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5G&gt;C</w:t>
            </w:r>
          </w:p>
        </w:tc>
        <w:tc>
          <w:tcPr>
            <w:tcW w:w="593" w:type="pct"/>
            <w:tcBorders>
              <w:top w:val="single" w:sz="4" w:space="0" w:color="000000" w:themeColor="text1"/>
            </w:tcBorders>
            <w:vAlign w:val="center"/>
          </w:tcPr>
          <w:p w14:paraId="6A70FE1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994" w:type="pct"/>
            <w:tcBorders>
              <w:top w:val="single" w:sz="4" w:space="0" w:color="000000" w:themeColor="text1"/>
            </w:tcBorders>
            <w:vAlign w:val="center"/>
          </w:tcPr>
          <w:p w14:paraId="0BCFE68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S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plice-site</w:t>
            </w:r>
          </w:p>
        </w:tc>
      </w:tr>
      <w:bookmarkEnd w:id="49"/>
      <w:tr w:rsidR="004D452F" w14:paraId="71C005A4" w14:textId="77777777" w:rsidTr="004D452F">
        <w:tc>
          <w:tcPr>
            <w:tcW w:w="413" w:type="pct"/>
            <w:vAlign w:val="center"/>
          </w:tcPr>
          <w:p w14:paraId="45AE9C9F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2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Align w:val="center"/>
          </w:tcPr>
          <w:p w14:paraId="56BB660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9</w:t>
            </w:r>
          </w:p>
        </w:tc>
        <w:tc>
          <w:tcPr>
            <w:tcW w:w="467" w:type="pct"/>
            <w:vAlign w:val="center"/>
          </w:tcPr>
          <w:p w14:paraId="6E46652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1DA342A4" w14:textId="597B9CD4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c.1194T&gt;A</w:t>
            </w:r>
          </w:p>
        </w:tc>
        <w:tc>
          <w:tcPr>
            <w:tcW w:w="776" w:type="pct"/>
            <w:vAlign w:val="center"/>
          </w:tcPr>
          <w:p w14:paraId="1B404D5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p.Tyr398X</w:t>
            </w:r>
          </w:p>
        </w:tc>
        <w:tc>
          <w:tcPr>
            <w:tcW w:w="730" w:type="pct"/>
            <w:vAlign w:val="center"/>
          </w:tcPr>
          <w:p w14:paraId="0CE3F28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593" w:type="pct"/>
            <w:vAlign w:val="center"/>
          </w:tcPr>
          <w:p w14:paraId="1FDCCCF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994" w:type="pct"/>
            <w:vAlign w:val="center"/>
          </w:tcPr>
          <w:p w14:paraId="74AED22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N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onsense</w:t>
            </w:r>
          </w:p>
        </w:tc>
      </w:tr>
      <w:tr w:rsidR="004D452F" w14:paraId="6607A960" w14:textId="77777777" w:rsidTr="004D452F">
        <w:tc>
          <w:tcPr>
            <w:tcW w:w="413" w:type="pct"/>
            <w:vMerge w:val="restart"/>
            <w:vAlign w:val="center"/>
          </w:tcPr>
          <w:p w14:paraId="6EA553B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3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5788BBE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17</w:t>
            </w:r>
          </w:p>
        </w:tc>
        <w:tc>
          <w:tcPr>
            <w:tcW w:w="467" w:type="pct"/>
            <w:vMerge w:val="restart"/>
            <w:vAlign w:val="center"/>
          </w:tcPr>
          <w:p w14:paraId="339CE6C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254E4F0A" w14:textId="66F1F443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c.380C&gt;A</w:t>
            </w:r>
          </w:p>
        </w:tc>
        <w:tc>
          <w:tcPr>
            <w:tcW w:w="776" w:type="pct"/>
            <w:vAlign w:val="center"/>
          </w:tcPr>
          <w:p w14:paraId="483AF7F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p.Ala127Asp</w:t>
            </w:r>
          </w:p>
        </w:tc>
        <w:tc>
          <w:tcPr>
            <w:tcW w:w="730" w:type="pct"/>
            <w:vAlign w:val="center"/>
          </w:tcPr>
          <w:p w14:paraId="1946B31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485056D6" w14:textId="6C66CC79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c.380C&gt;A</w:t>
            </w:r>
          </w:p>
        </w:tc>
        <w:tc>
          <w:tcPr>
            <w:tcW w:w="994" w:type="pct"/>
            <w:vAlign w:val="center"/>
          </w:tcPr>
          <w:p w14:paraId="4D202A6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M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issense</w:t>
            </w:r>
          </w:p>
        </w:tc>
      </w:tr>
      <w:tr w:rsidR="004D452F" w14:paraId="5742E4C7" w14:textId="77777777" w:rsidTr="004D452F">
        <w:trPr>
          <w:trHeight w:val="929"/>
        </w:trPr>
        <w:tc>
          <w:tcPr>
            <w:tcW w:w="413" w:type="pct"/>
            <w:vMerge/>
            <w:vAlign w:val="center"/>
          </w:tcPr>
          <w:p w14:paraId="4EF9C0A9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5E60E5BD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465A7567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1756BFEB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c.970dupT</w:t>
            </w:r>
          </w:p>
        </w:tc>
        <w:tc>
          <w:tcPr>
            <w:tcW w:w="776" w:type="pct"/>
            <w:vAlign w:val="center"/>
          </w:tcPr>
          <w:p w14:paraId="760D697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p.324TyrfsX392</w:t>
            </w:r>
          </w:p>
        </w:tc>
        <w:tc>
          <w:tcPr>
            <w:tcW w:w="730" w:type="pct"/>
            <w:vAlign w:val="center"/>
          </w:tcPr>
          <w:p w14:paraId="7B94FFC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1E2582F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994" w:type="pct"/>
            <w:vAlign w:val="center"/>
          </w:tcPr>
          <w:p w14:paraId="201EC39B" w14:textId="076D58D4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Tahoma" w:hAnsi="Book Antiqua"/>
                <w:kern w:val="2"/>
                <w:lang w:eastAsia="zh-CN"/>
              </w:rPr>
            </w:pPr>
            <w:r>
              <w:rPr>
                <w:rFonts w:ascii="Book Antiqua" w:eastAsia="Tahoma" w:hAnsi="Book Antiqua"/>
                <w:kern w:val="2"/>
                <w:lang w:eastAsia="zh-CN"/>
              </w:rPr>
              <w:t>Repeat</w:t>
            </w:r>
            <w:r>
              <w:rPr>
                <w:rFonts w:ascii="Book Antiqua" w:eastAsia="宋体" w:hAnsi="Book Antiqua"/>
                <w:kern w:val="2"/>
                <w:lang w:eastAsia="zh-CN"/>
              </w:rPr>
              <w:t>(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de</w:t>
            </w:r>
            <w:r w:rsidR="004D452F">
              <w:rPr>
                <w:rFonts w:ascii="Book Antiqua" w:eastAsia="TimesNewRomanPSMT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novo</w:t>
            </w:r>
            <w:r>
              <w:rPr>
                <w:rFonts w:ascii="Book Antiqua" w:eastAsia="宋体" w:hAnsi="Book Antiqua"/>
                <w:kern w:val="2"/>
                <w:lang w:eastAsia="zh-CN"/>
              </w:rPr>
              <w:t>)</w:t>
            </w:r>
          </w:p>
        </w:tc>
      </w:tr>
      <w:tr w:rsidR="004D452F" w14:paraId="0A90D1D3" w14:textId="77777777" w:rsidTr="004D452F">
        <w:tc>
          <w:tcPr>
            <w:tcW w:w="413" w:type="pct"/>
            <w:vMerge w:val="restart"/>
            <w:vAlign w:val="center"/>
          </w:tcPr>
          <w:p w14:paraId="3C4F8D7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4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8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52F31301" w14:textId="4A624986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467" w:type="pct"/>
            <w:vMerge w:val="restart"/>
            <w:vAlign w:val="center"/>
          </w:tcPr>
          <w:p w14:paraId="522CE21B" w14:textId="47B22488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639" w:type="pct"/>
            <w:vAlign w:val="center"/>
          </w:tcPr>
          <w:p w14:paraId="1EEB105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c.380insTC</w:t>
            </w:r>
          </w:p>
        </w:tc>
        <w:tc>
          <w:tcPr>
            <w:tcW w:w="776" w:type="pct"/>
            <w:vAlign w:val="center"/>
          </w:tcPr>
          <w:p w14:paraId="3ADF5823" w14:textId="100F590E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730" w:type="pct"/>
            <w:vAlign w:val="center"/>
          </w:tcPr>
          <w:p w14:paraId="254511D4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65C9C70F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c.380insTC</w:t>
            </w:r>
          </w:p>
        </w:tc>
        <w:tc>
          <w:tcPr>
            <w:tcW w:w="994" w:type="pct"/>
            <w:vMerge w:val="restart"/>
            <w:vAlign w:val="center"/>
          </w:tcPr>
          <w:p w14:paraId="08E66A8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</w:tr>
      <w:tr w:rsidR="004D452F" w14:paraId="56FF46DA" w14:textId="77777777" w:rsidTr="004D452F">
        <w:tc>
          <w:tcPr>
            <w:tcW w:w="413" w:type="pct"/>
            <w:vMerge/>
            <w:vAlign w:val="center"/>
          </w:tcPr>
          <w:p w14:paraId="70CE41E6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33C301E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5B2BC8D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39C3B69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c.1313insT</w:t>
            </w:r>
          </w:p>
        </w:tc>
        <w:tc>
          <w:tcPr>
            <w:tcW w:w="776" w:type="pct"/>
            <w:vAlign w:val="center"/>
          </w:tcPr>
          <w:p w14:paraId="2441AA2F" w14:textId="78E88A5A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Not</w:t>
            </w:r>
            <w:r w:rsidR="004D452F">
              <w:rPr>
                <w:rFonts w:ascii="Book Antiqua" w:eastAsia="AdvOT7d6df7ab . I" w:hAnsi="Book 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stated</w:t>
            </w:r>
          </w:p>
        </w:tc>
        <w:tc>
          <w:tcPr>
            <w:tcW w:w="730" w:type="pct"/>
            <w:vAlign w:val="center"/>
          </w:tcPr>
          <w:p w14:paraId="062A9E4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c.1313insT</w:t>
            </w:r>
          </w:p>
        </w:tc>
        <w:tc>
          <w:tcPr>
            <w:tcW w:w="593" w:type="pct"/>
            <w:vAlign w:val="center"/>
          </w:tcPr>
          <w:p w14:paraId="2C079F8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994" w:type="pct"/>
            <w:vMerge/>
            <w:vAlign w:val="center"/>
          </w:tcPr>
          <w:p w14:paraId="3B80CB2D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1DE6D230" w14:textId="77777777" w:rsidTr="004D452F">
        <w:tc>
          <w:tcPr>
            <w:tcW w:w="413" w:type="pct"/>
            <w:vMerge w:val="restart"/>
            <w:vAlign w:val="center"/>
          </w:tcPr>
          <w:p w14:paraId="1A4DFA4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5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9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3C88456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12</w:t>
            </w:r>
          </w:p>
        </w:tc>
        <w:tc>
          <w:tcPr>
            <w:tcW w:w="467" w:type="pct"/>
            <w:vMerge w:val="restart"/>
            <w:vAlign w:val="center"/>
          </w:tcPr>
          <w:p w14:paraId="52DB2355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3BE76672" w14:textId="103469E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c.682C&gt;T</w:t>
            </w:r>
          </w:p>
        </w:tc>
        <w:tc>
          <w:tcPr>
            <w:tcW w:w="776" w:type="pct"/>
            <w:vAlign w:val="center"/>
          </w:tcPr>
          <w:p w14:paraId="3751F2D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p.Arg228X</w:t>
            </w:r>
          </w:p>
        </w:tc>
        <w:tc>
          <w:tcPr>
            <w:tcW w:w="730" w:type="pct"/>
            <w:vAlign w:val="center"/>
          </w:tcPr>
          <w:p w14:paraId="5DDDEA43" w14:textId="05155FA2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c.682C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&gt;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T</w:t>
            </w:r>
          </w:p>
        </w:tc>
        <w:tc>
          <w:tcPr>
            <w:tcW w:w="593" w:type="pct"/>
            <w:vAlign w:val="center"/>
          </w:tcPr>
          <w:p w14:paraId="2570E31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994" w:type="pct"/>
            <w:vMerge w:val="restart"/>
            <w:vAlign w:val="center"/>
          </w:tcPr>
          <w:p w14:paraId="76C569AF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TimesNewRomanPSMT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N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onsense</w:t>
            </w:r>
          </w:p>
          <w:p w14:paraId="0E74477A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16625871" w14:textId="77777777" w:rsidTr="004D452F">
        <w:tc>
          <w:tcPr>
            <w:tcW w:w="413" w:type="pct"/>
            <w:vMerge/>
            <w:vAlign w:val="center"/>
          </w:tcPr>
          <w:p w14:paraId="3B1A3E2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78CE1E6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16721C68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32B88F55" w14:textId="6523074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c.1185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&gt;A</w:t>
            </w:r>
          </w:p>
        </w:tc>
        <w:tc>
          <w:tcPr>
            <w:tcW w:w="776" w:type="pct"/>
            <w:vAlign w:val="center"/>
          </w:tcPr>
          <w:p w14:paraId="6D5F89A4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p.Trp395X</w:t>
            </w:r>
          </w:p>
        </w:tc>
        <w:tc>
          <w:tcPr>
            <w:tcW w:w="730" w:type="pct"/>
            <w:vAlign w:val="center"/>
          </w:tcPr>
          <w:p w14:paraId="053049A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Align w:val="center"/>
          </w:tcPr>
          <w:p w14:paraId="28861C87" w14:textId="47539893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c.1185G&gt;A</w:t>
            </w:r>
          </w:p>
        </w:tc>
        <w:tc>
          <w:tcPr>
            <w:tcW w:w="994" w:type="pct"/>
            <w:vMerge/>
            <w:vAlign w:val="center"/>
          </w:tcPr>
          <w:p w14:paraId="3C013BDD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0A92D1C3" w14:textId="77777777" w:rsidTr="004D452F">
        <w:tc>
          <w:tcPr>
            <w:tcW w:w="413" w:type="pct"/>
            <w:vMerge w:val="restart"/>
            <w:vAlign w:val="center"/>
          </w:tcPr>
          <w:p w14:paraId="55E7A1A5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6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[2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9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3231126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11</w:t>
            </w:r>
          </w:p>
        </w:tc>
        <w:tc>
          <w:tcPr>
            <w:tcW w:w="467" w:type="pct"/>
            <w:vMerge w:val="restart"/>
            <w:vAlign w:val="center"/>
          </w:tcPr>
          <w:p w14:paraId="1F9CD77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Male</w:t>
            </w:r>
          </w:p>
        </w:tc>
        <w:tc>
          <w:tcPr>
            <w:tcW w:w="639" w:type="pct"/>
            <w:vAlign w:val="center"/>
          </w:tcPr>
          <w:p w14:paraId="5F037B80" w14:textId="46E93BE6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c.196G&gt;A</w:t>
            </w:r>
          </w:p>
        </w:tc>
        <w:tc>
          <w:tcPr>
            <w:tcW w:w="776" w:type="pct"/>
            <w:vAlign w:val="center"/>
          </w:tcPr>
          <w:p w14:paraId="23A5B3F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p.Glu66X</w:t>
            </w:r>
          </w:p>
        </w:tc>
        <w:tc>
          <w:tcPr>
            <w:tcW w:w="730" w:type="pct"/>
            <w:vAlign w:val="center"/>
          </w:tcPr>
          <w:p w14:paraId="26F5FC19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None</w:t>
            </w:r>
          </w:p>
        </w:tc>
        <w:tc>
          <w:tcPr>
            <w:tcW w:w="593" w:type="pct"/>
            <w:vMerge w:val="restart"/>
            <w:vAlign w:val="center"/>
          </w:tcPr>
          <w:p w14:paraId="45D51E1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Unknown</w:t>
            </w:r>
          </w:p>
        </w:tc>
        <w:tc>
          <w:tcPr>
            <w:tcW w:w="994" w:type="pct"/>
            <w:vMerge w:val="restart"/>
            <w:vAlign w:val="center"/>
          </w:tcPr>
          <w:p w14:paraId="1BF0AF2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TimesNewRomanPSMT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N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onsense</w:t>
            </w:r>
          </w:p>
          <w:p w14:paraId="7B7D221E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4A231FAC" w14:textId="77777777" w:rsidTr="004D452F">
        <w:trPr>
          <w:trHeight w:val="438"/>
        </w:trPr>
        <w:tc>
          <w:tcPr>
            <w:tcW w:w="413" w:type="pct"/>
            <w:vMerge/>
            <w:vAlign w:val="center"/>
          </w:tcPr>
          <w:p w14:paraId="3D85D8DE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14:paraId="52DD8ADF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vAlign w:val="center"/>
          </w:tcPr>
          <w:p w14:paraId="18257F21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vAlign w:val="center"/>
          </w:tcPr>
          <w:p w14:paraId="718AE0F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c.1117delA</w:t>
            </w:r>
          </w:p>
        </w:tc>
        <w:tc>
          <w:tcPr>
            <w:tcW w:w="776" w:type="pct"/>
            <w:vAlign w:val="center"/>
          </w:tcPr>
          <w:p w14:paraId="77E5449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p.Met373X</w:t>
            </w:r>
          </w:p>
        </w:tc>
        <w:tc>
          <w:tcPr>
            <w:tcW w:w="730" w:type="pct"/>
            <w:vAlign w:val="center"/>
          </w:tcPr>
          <w:p w14:paraId="31860FA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c.1117delA</w:t>
            </w:r>
          </w:p>
        </w:tc>
        <w:tc>
          <w:tcPr>
            <w:tcW w:w="593" w:type="pct"/>
            <w:vMerge/>
            <w:vAlign w:val="center"/>
          </w:tcPr>
          <w:p w14:paraId="7F12702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994" w:type="pct"/>
            <w:vMerge/>
            <w:vAlign w:val="center"/>
          </w:tcPr>
          <w:p w14:paraId="01663C47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</w:tr>
      <w:tr w:rsidR="004D452F" w14:paraId="0869F244" w14:textId="77777777" w:rsidTr="004D452F">
        <w:trPr>
          <w:trHeight w:val="443"/>
        </w:trPr>
        <w:tc>
          <w:tcPr>
            <w:tcW w:w="413" w:type="pct"/>
            <w:vAlign w:val="center"/>
          </w:tcPr>
          <w:p w14:paraId="4082E5F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7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30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Align w:val="center"/>
          </w:tcPr>
          <w:p w14:paraId="78BC5FC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</w:t>
            </w:r>
          </w:p>
        </w:tc>
        <w:tc>
          <w:tcPr>
            <w:tcW w:w="467" w:type="pct"/>
            <w:vAlign w:val="center"/>
          </w:tcPr>
          <w:p w14:paraId="6DB2966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7741C4A9" w14:textId="33B8641D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c.609T&gt;A</w:t>
            </w:r>
          </w:p>
        </w:tc>
        <w:tc>
          <w:tcPr>
            <w:tcW w:w="776" w:type="pct"/>
            <w:vAlign w:val="center"/>
          </w:tcPr>
          <w:p w14:paraId="31228B58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p.Ser203Arg</w:t>
            </w:r>
          </w:p>
        </w:tc>
        <w:tc>
          <w:tcPr>
            <w:tcW w:w="730" w:type="pct"/>
            <w:vAlign w:val="center"/>
          </w:tcPr>
          <w:p w14:paraId="154883DE" w14:textId="0003B631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c.609T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&gt;</w:t>
            </w:r>
            <w:r w:rsidR="004D452F">
              <w:rPr>
                <w:rFonts w:ascii="Book Antiqua" w:eastAsia="AdvOT7d6df7ab . I" w:hAnsi="Book 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A</w:t>
            </w:r>
          </w:p>
        </w:tc>
        <w:tc>
          <w:tcPr>
            <w:tcW w:w="593" w:type="pct"/>
            <w:vAlign w:val="center"/>
          </w:tcPr>
          <w:p w14:paraId="19F78769" w14:textId="4627387E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c.609T&gt;A</w:t>
            </w:r>
          </w:p>
        </w:tc>
        <w:tc>
          <w:tcPr>
            <w:tcW w:w="994" w:type="pct"/>
            <w:vAlign w:val="center"/>
          </w:tcPr>
          <w:p w14:paraId="48127D9E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TimesNewRomanPSMT" w:hAnsi="Book Antiqua" w:hint="eastAsia"/>
                <w:kern w:val="2"/>
                <w:lang w:eastAsia="zh-CN"/>
              </w:rPr>
              <w:t>M</w:t>
            </w:r>
            <w:r>
              <w:rPr>
                <w:rFonts w:ascii="Book Antiqua" w:eastAsia="TimesNewRomanPSMT" w:hAnsi="Book Antiqua"/>
                <w:kern w:val="2"/>
                <w:lang w:eastAsia="zh-CN"/>
              </w:rPr>
              <w:t>issense</w:t>
            </w:r>
          </w:p>
        </w:tc>
      </w:tr>
      <w:tr w:rsidR="004D452F" w14:paraId="1B4EF9E9" w14:textId="77777777" w:rsidTr="004D452F">
        <w:tc>
          <w:tcPr>
            <w:tcW w:w="413" w:type="pct"/>
            <w:vAlign w:val="center"/>
          </w:tcPr>
          <w:p w14:paraId="637FC25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8</w:t>
            </w:r>
          </w:p>
        </w:tc>
        <w:tc>
          <w:tcPr>
            <w:tcW w:w="387" w:type="pct"/>
            <w:vAlign w:val="center"/>
          </w:tcPr>
          <w:p w14:paraId="374F60D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6</w:t>
            </w:r>
          </w:p>
        </w:tc>
        <w:tc>
          <w:tcPr>
            <w:tcW w:w="467" w:type="pct"/>
            <w:vAlign w:val="center"/>
          </w:tcPr>
          <w:p w14:paraId="7B420A43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2F90B27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c.416delC</w:t>
            </w:r>
          </w:p>
        </w:tc>
        <w:tc>
          <w:tcPr>
            <w:tcW w:w="776" w:type="pct"/>
            <w:vAlign w:val="center"/>
          </w:tcPr>
          <w:p w14:paraId="5D1B3819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p.A139Vfs*3</w:t>
            </w:r>
          </w:p>
        </w:tc>
        <w:tc>
          <w:tcPr>
            <w:tcW w:w="730" w:type="pct"/>
            <w:vAlign w:val="center"/>
          </w:tcPr>
          <w:p w14:paraId="7844121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c.416delC</w:t>
            </w:r>
          </w:p>
        </w:tc>
        <w:tc>
          <w:tcPr>
            <w:tcW w:w="593" w:type="pct"/>
            <w:vAlign w:val="center"/>
          </w:tcPr>
          <w:p w14:paraId="6677C61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c.416delC</w:t>
            </w:r>
          </w:p>
        </w:tc>
        <w:tc>
          <w:tcPr>
            <w:tcW w:w="994" w:type="pct"/>
            <w:vAlign w:val="center"/>
          </w:tcPr>
          <w:p w14:paraId="1BF82FD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 w:hint="eastAsia"/>
                <w:kern w:val="2"/>
                <w:lang w:eastAsia="zh-CN"/>
              </w:rPr>
              <w:t>F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rameshift</w:t>
            </w:r>
          </w:p>
        </w:tc>
      </w:tr>
      <w:tr w:rsidR="004D452F" w14:paraId="4075517A" w14:textId="77777777" w:rsidTr="004D452F">
        <w:tc>
          <w:tcPr>
            <w:tcW w:w="413" w:type="pct"/>
            <w:vMerge w:val="restart"/>
            <w:vAlign w:val="center"/>
          </w:tcPr>
          <w:p w14:paraId="3FD60DBA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9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/>
                <w:kern w:val="2"/>
                <w:vertAlign w:val="superscript"/>
                <w:lang w:eastAsia="zh-CN"/>
              </w:rPr>
              <w:t>31</w:t>
            </w:r>
            <w:r>
              <w:rPr>
                <w:rFonts w:ascii="Book Antiqua" w:eastAsia="AdvOT7d6df7ab . I" w:hAnsi="Book Antiqua"/>
                <w:kern w:val="2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vMerge w:val="restart"/>
            <w:vAlign w:val="center"/>
          </w:tcPr>
          <w:p w14:paraId="11D9674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18</w:t>
            </w:r>
          </w:p>
        </w:tc>
        <w:tc>
          <w:tcPr>
            <w:tcW w:w="467" w:type="pct"/>
            <w:vMerge w:val="restart"/>
            <w:vAlign w:val="center"/>
          </w:tcPr>
          <w:p w14:paraId="5C5AAB16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Female</w:t>
            </w:r>
          </w:p>
        </w:tc>
        <w:tc>
          <w:tcPr>
            <w:tcW w:w="639" w:type="pct"/>
            <w:vAlign w:val="center"/>
          </w:tcPr>
          <w:p w14:paraId="1D62449C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c.1134_1137del</w:t>
            </w:r>
          </w:p>
        </w:tc>
        <w:tc>
          <w:tcPr>
            <w:tcW w:w="776" w:type="pct"/>
            <w:vAlign w:val="center"/>
          </w:tcPr>
          <w:p w14:paraId="5DEED170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p.V378fs</w:t>
            </w:r>
          </w:p>
        </w:tc>
        <w:tc>
          <w:tcPr>
            <w:tcW w:w="730" w:type="pct"/>
            <w:vAlign w:val="center"/>
          </w:tcPr>
          <w:p w14:paraId="2DE59B71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c.1134_1137del</w:t>
            </w:r>
          </w:p>
        </w:tc>
        <w:tc>
          <w:tcPr>
            <w:tcW w:w="593" w:type="pct"/>
            <w:vAlign w:val="center"/>
          </w:tcPr>
          <w:p w14:paraId="5C890B2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-</w:t>
            </w:r>
          </w:p>
        </w:tc>
        <w:tc>
          <w:tcPr>
            <w:tcW w:w="994" w:type="pct"/>
            <w:vAlign w:val="center"/>
          </w:tcPr>
          <w:p w14:paraId="107DAD7D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 w:hint="eastAsia"/>
                <w:kern w:val="2"/>
                <w:lang w:eastAsia="zh-CN"/>
              </w:rPr>
              <w:t>F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rameshift</w:t>
            </w:r>
          </w:p>
        </w:tc>
      </w:tr>
      <w:tr w:rsidR="004D452F" w14:paraId="425983BA" w14:textId="77777777" w:rsidTr="004D452F">
        <w:tc>
          <w:tcPr>
            <w:tcW w:w="413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6FC39095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C8E871C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467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2E21510" w14:textId="77777777" w:rsidR="00034740" w:rsidRDefault="00034740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</w:p>
        </w:tc>
        <w:tc>
          <w:tcPr>
            <w:tcW w:w="639" w:type="pct"/>
            <w:tcBorders>
              <w:bottom w:val="single" w:sz="4" w:space="0" w:color="000000" w:themeColor="text1"/>
            </w:tcBorders>
            <w:vAlign w:val="center"/>
          </w:tcPr>
          <w:p w14:paraId="764EE31F" w14:textId="5849B812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c.2T&gt;C</w:t>
            </w:r>
          </w:p>
        </w:tc>
        <w:tc>
          <w:tcPr>
            <w:tcW w:w="776" w:type="pct"/>
            <w:tcBorders>
              <w:bottom w:val="single" w:sz="4" w:space="0" w:color="000000" w:themeColor="text1"/>
            </w:tcBorders>
            <w:vAlign w:val="center"/>
          </w:tcPr>
          <w:p w14:paraId="4B6C1412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p.M1T</w:t>
            </w:r>
          </w:p>
        </w:tc>
        <w:tc>
          <w:tcPr>
            <w:tcW w:w="730" w:type="pct"/>
            <w:tcBorders>
              <w:bottom w:val="single" w:sz="4" w:space="0" w:color="000000" w:themeColor="text1"/>
            </w:tcBorders>
            <w:vAlign w:val="center"/>
          </w:tcPr>
          <w:p w14:paraId="0C4AE177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-</w:t>
            </w:r>
          </w:p>
        </w:tc>
        <w:tc>
          <w:tcPr>
            <w:tcW w:w="593" w:type="pct"/>
            <w:tcBorders>
              <w:bottom w:val="single" w:sz="4" w:space="0" w:color="000000" w:themeColor="text1"/>
            </w:tcBorders>
            <w:vAlign w:val="center"/>
          </w:tcPr>
          <w:p w14:paraId="2FB84D6D" w14:textId="7F47E068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/>
                <w:kern w:val="2"/>
                <w:lang w:eastAsia="zh-CN"/>
              </w:rPr>
              <w:t>c.2T&gt;C</w:t>
            </w:r>
          </w:p>
        </w:tc>
        <w:tc>
          <w:tcPr>
            <w:tcW w:w="994" w:type="pct"/>
            <w:tcBorders>
              <w:bottom w:val="single" w:sz="4" w:space="0" w:color="000000" w:themeColor="text1"/>
            </w:tcBorders>
            <w:vAlign w:val="center"/>
          </w:tcPr>
          <w:p w14:paraId="4C7F151B" w14:textId="77777777" w:rsidR="00034740" w:rsidRDefault="008D562F" w:rsidP="004D452F">
            <w:pPr>
              <w:keepLines/>
              <w:widowControl w:val="0"/>
              <w:overflowPunct w:val="0"/>
              <w:adjustRightInd w:val="0"/>
              <w:snapToGrid w:val="0"/>
              <w:spacing w:line="360" w:lineRule="auto"/>
              <w:jc w:val="both"/>
              <w:rPr>
                <w:rFonts w:ascii="Book Antiqua" w:eastAsia="AdvOT7d6df7ab . I" w:hAnsi="Book Antiqua"/>
                <w:kern w:val="2"/>
                <w:lang w:eastAsia="zh-CN"/>
              </w:rPr>
            </w:pPr>
            <w:r>
              <w:rPr>
                <w:rFonts w:ascii="Book Antiqua" w:eastAsia="AdvOT7d6df7ab . I" w:hAnsi="Book Antiqua" w:hint="eastAsia"/>
                <w:kern w:val="2"/>
                <w:lang w:eastAsia="zh-CN"/>
              </w:rPr>
              <w:t>M</w:t>
            </w:r>
            <w:r>
              <w:rPr>
                <w:rFonts w:ascii="Book Antiqua" w:eastAsia="AdvOT7d6df7ab . I" w:hAnsi="Book Antiqua"/>
                <w:kern w:val="2"/>
                <w:lang w:eastAsia="zh-CN"/>
              </w:rPr>
              <w:t>issense</w:t>
            </w:r>
          </w:p>
        </w:tc>
      </w:tr>
      <w:bookmarkEnd w:id="47"/>
      <w:bookmarkEnd w:id="48"/>
    </w:tbl>
    <w:p w14:paraId="55505515" w14:textId="77777777" w:rsidR="00034740" w:rsidRDefault="000347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034740" w:rsidSect="004D452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7BB65" w14:textId="77777777" w:rsidR="003539E3" w:rsidRDefault="003539E3">
      <w:r>
        <w:separator/>
      </w:r>
    </w:p>
  </w:endnote>
  <w:endnote w:type="continuationSeparator" w:id="0">
    <w:p w14:paraId="2A3AD89A" w14:textId="77777777" w:rsidR="003539E3" w:rsidRDefault="0035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7d6df7ab . 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等线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24916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14:paraId="1EF34827" w14:textId="12158F73" w:rsidR="00034740" w:rsidRDefault="004D452F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 w:rsidR="008D562F">
              <w:rPr>
                <w:b/>
                <w:bCs/>
                <w:sz w:val="24"/>
                <w:szCs w:val="24"/>
              </w:rPr>
              <w:fldChar w:fldCharType="begin"/>
            </w:r>
            <w:r w:rsidR="008D562F">
              <w:rPr>
                <w:b/>
                <w:bCs/>
              </w:rPr>
              <w:instrText>PAGE</w:instrText>
            </w:r>
            <w:r w:rsidR="008D562F">
              <w:rPr>
                <w:b/>
                <w:bCs/>
                <w:sz w:val="24"/>
                <w:szCs w:val="24"/>
              </w:rPr>
              <w:fldChar w:fldCharType="separate"/>
            </w:r>
            <w:r w:rsidR="00011F28">
              <w:rPr>
                <w:b/>
                <w:bCs/>
                <w:noProof/>
              </w:rPr>
              <w:t>3</w:t>
            </w:r>
            <w:r w:rsidR="008D562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8D562F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8D562F">
              <w:rPr>
                <w:b/>
                <w:bCs/>
                <w:sz w:val="24"/>
                <w:szCs w:val="24"/>
              </w:rPr>
              <w:fldChar w:fldCharType="begin"/>
            </w:r>
            <w:r w:rsidR="008D562F">
              <w:rPr>
                <w:b/>
                <w:bCs/>
              </w:rPr>
              <w:instrText>NUMPAGES</w:instrText>
            </w:r>
            <w:r w:rsidR="008D562F">
              <w:rPr>
                <w:b/>
                <w:bCs/>
                <w:sz w:val="24"/>
                <w:szCs w:val="24"/>
              </w:rPr>
              <w:fldChar w:fldCharType="separate"/>
            </w:r>
            <w:r w:rsidR="00011F28">
              <w:rPr>
                <w:b/>
                <w:bCs/>
                <w:noProof/>
              </w:rPr>
              <w:t>18</w:t>
            </w:r>
            <w:r w:rsidR="008D56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3B5AA" w14:textId="77777777" w:rsidR="00034740" w:rsidRDefault="000347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99A5" w14:textId="77777777" w:rsidR="003539E3" w:rsidRDefault="003539E3">
      <w:r>
        <w:separator/>
      </w:r>
    </w:p>
  </w:footnote>
  <w:footnote w:type="continuationSeparator" w:id="0">
    <w:p w14:paraId="0BA81B71" w14:textId="77777777" w:rsidR="003539E3" w:rsidRDefault="0035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4D243" w14:textId="77777777" w:rsidR="004D452F" w:rsidRDefault="004D45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F28"/>
    <w:rsid w:val="00034740"/>
    <w:rsid w:val="00080039"/>
    <w:rsid w:val="0009101C"/>
    <w:rsid w:val="000B2489"/>
    <w:rsid w:val="000C1296"/>
    <w:rsid w:val="000E0122"/>
    <w:rsid w:val="000E742E"/>
    <w:rsid w:val="00121752"/>
    <w:rsid w:val="00123D87"/>
    <w:rsid w:val="001278C6"/>
    <w:rsid w:val="00131F20"/>
    <w:rsid w:val="00162388"/>
    <w:rsid w:val="0018620F"/>
    <w:rsid w:val="00195A87"/>
    <w:rsid w:val="001F132A"/>
    <w:rsid w:val="00200E2A"/>
    <w:rsid w:val="00236ABB"/>
    <w:rsid w:val="00254148"/>
    <w:rsid w:val="00290663"/>
    <w:rsid w:val="002A26DA"/>
    <w:rsid w:val="002E1F01"/>
    <w:rsid w:val="002E38DA"/>
    <w:rsid w:val="002E522C"/>
    <w:rsid w:val="003539E3"/>
    <w:rsid w:val="00391B8E"/>
    <w:rsid w:val="003A35A6"/>
    <w:rsid w:val="003A3A81"/>
    <w:rsid w:val="003A72B3"/>
    <w:rsid w:val="003C1401"/>
    <w:rsid w:val="003C4B69"/>
    <w:rsid w:val="003D603D"/>
    <w:rsid w:val="004019BA"/>
    <w:rsid w:val="0040229C"/>
    <w:rsid w:val="0049465D"/>
    <w:rsid w:val="00497F5B"/>
    <w:rsid w:val="004C4ACB"/>
    <w:rsid w:val="004D05B8"/>
    <w:rsid w:val="004D452F"/>
    <w:rsid w:val="004F17DD"/>
    <w:rsid w:val="00516F05"/>
    <w:rsid w:val="00541894"/>
    <w:rsid w:val="0058506C"/>
    <w:rsid w:val="0059132F"/>
    <w:rsid w:val="005A4E8A"/>
    <w:rsid w:val="005D60F7"/>
    <w:rsid w:val="00606AC5"/>
    <w:rsid w:val="00636489"/>
    <w:rsid w:val="006951DC"/>
    <w:rsid w:val="006A19E8"/>
    <w:rsid w:val="00740120"/>
    <w:rsid w:val="00761B78"/>
    <w:rsid w:val="00797331"/>
    <w:rsid w:val="007B16AD"/>
    <w:rsid w:val="007E6EE3"/>
    <w:rsid w:val="00841D1B"/>
    <w:rsid w:val="0086176A"/>
    <w:rsid w:val="008D562F"/>
    <w:rsid w:val="008E392A"/>
    <w:rsid w:val="00910406"/>
    <w:rsid w:val="0093061F"/>
    <w:rsid w:val="00945D53"/>
    <w:rsid w:val="00994701"/>
    <w:rsid w:val="009C031B"/>
    <w:rsid w:val="009C5A85"/>
    <w:rsid w:val="00A216BA"/>
    <w:rsid w:val="00A64A83"/>
    <w:rsid w:val="00A77B3E"/>
    <w:rsid w:val="00AF6873"/>
    <w:rsid w:val="00B56045"/>
    <w:rsid w:val="00B92BB0"/>
    <w:rsid w:val="00BC77C5"/>
    <w:rsid w:val="00BD535A"/>
    <w:rsid w:val="00BE3343"/>
    <w:rsid w:val="00C85A90"/>
    <w:rsid w:val="00C94F25"/>
    <w:rsid w:val="00C96357"/>
    <w:rsid w:val="00CA2A55"/>
    <w:rsid w:val="00CE2E9C"/>
    <w:rsid w:val="00CE4853"/>
    <w:rsid w:val="00CF75C5"/>
    <w:rsid w:val="00D14FC3"/>
    <w:rsid w:val="00D67B83"/>
    <w:rsid w:val="00D73248"/>
    <w:rsid w:val="00F002DB"/>
    <w:rsid w:val="00F554AF"/>
    <w:rsid w:val="00F6639D"/>
    <w:rsid w:val="00FA1C08"/>
    <w:rsid w:val="24DE61CF"/>
    <w:rsid w:val="63E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E7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16"/>
    <w:basedOn w:val="a0"/>
  </w:style>
  <w:style w:type="character" w:customStyle="1" w:styleId="15">
    <w:name w:val="15"/>
    <w:basedOn w:val="a0"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rsid w:val="00CF75C5"/>
    <w:rPr>
      <w:sz w:val="18"/>
      <w:szCs w:val="18"/>
    </w:rPr>
  </w:style>
  <w:style w:type="character" w:customStyle="1" w:styleId="Char1">
    <w:name w:val="批注框文本 Char"/>
    <w:basedOn w:val="a0"/>
    <w:link w:val="a5"/>
    <w:rsid w:val="00CF75C5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16"/>
    <w:basedOn w:val="a0"/>
  </w:style>
  <w:style w:type="character" w:customStyle="1" w:styleId="15">
    <w:name w:val="15"/>
    <w:basedOn w:val="a0"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rsid w:val="00CF75C5"/>
    <w:rPr>
      <w:sz w:val="18"/>
      <w:szCs w:val="18"/>
    </w:rPr>
  </w:style>
  <w:style w:type="character" w:customStyle="1" w:styleId="Char1">
    <w:name w:val="批注框文本 Char"/>
    <w:basedOn w:val="a0"/>
    <w:link w:val="a5"/>
    <w:rsid w:val="00CF75C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3775</Words>
  <Characters>21522</Characters>
  <Application>Microsoft Office Word</Application>
  <DocSecurity>0</DocSecurity>
  <Lines>179</Lines>
  <Paragraphs>50</Paragraphs>
  <ScaleCrop>false</ScaleCrop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邢燕霞</cp:lastModifiedBy>
  <cp:revision>6</cp:revision>
  <dcterms:created xsi:type="dcterms:W3CDTF">2020-10-07T12:33:00Z</dcterms:created>
  <dcterms:modified xsi:type="dcterms:W3CDTF">2020-11-04T11:26:00Z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