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2BC6"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Name of Journal: </w:t>
      </w:r>
      <w:r w:rsidRPr="00CF7FD4">
        <w:rPr>
          <w:rFonts w:ascii="Book Antiqua" w:eastAsia="Book Antiqua" w:hAnsi="Book Antiqua" w:cs="Book Antiqua"/>
          <w:i/>
          <w:color w:val="000000"/>
        </w:rPr>
        <w:t>World Journal of Cardiology</w:t>
      </w:r>
    </w:p>
    <w:p w14:paraId="0B081869"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NO: </w:t>
      </w:r>
      <w:r w:rsidRPr="00CF7FD4">
        <w:rPr>
          <w:rFonts w:ascii="Book Antiqua" w:eastAsia="Book Antiqua" w:hAnsi="Book Antiqua" w:cs="Book Antiqua"/>
          <w:color w:val="000000"/>
        </w:rPr>
        <w:t>57673</w:t>
      </w:r>
    </w:p>
    <w:p w14:paraId="509D209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Type: </w:t>
      </w:r>
      <w:r w:rsidRPr="00CF7FD4">
        <w:rPr>
          <w:rFonts w:ascii="Book Antiqua" w:eastAsia="Book Antiqua" w:hAnsi="Book Antiqua" w:cs="Book Antiqua"/>
          <w:color w:val="000000"/>
        </w:rPr>
        <w:t>ORIGINAL ARTICLE</w:t>
      </w:r>
    </w:p>
    <w:p w14:paraId="36F79C97" w14:textId="77777777" w:rsidR="00A77B3E" w:rsidRPr="00CF7FD4" w:rsidRDefault="00A77B3E" w:rsidP="00CF7FD4">
      <w:pPr>
        <w:snapToGrid w:val="0"/>
        <w:spacing w:line="360" w:lineRule="auto"/>
        <w:jc w:val="both"/>
      </w:pPr>
    </w:p>
    <w:p w14:paraId="543F29FE"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Clinical Trials Study</w:t>
      </w:r>
    </w:p>
    <w:p w14:paraId="163AC6A6"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Endothelial progenitor cells mobilization after maximal exercise according to heart failure severity</w:t>
      </w:r>
    </w:p>
    <w:p w14:paraId="67E38BD2" w14:textId="77777777" w:rsidR="00A77B3E" w:rsidRPr="00CF7FD4" w:rsidRDefault="00A77B3E" w:rsidP="00CF7FD4">
      <w:pPr>
        <w:snapToGrid w:val="0"/>
        <w:spacing w:line="360" w:lineRule="auto"/>
        <w:jc w:val="both"/>
      </w:pPr>
    </w:p>
    <w:p w14:paraId="1F77D600" w14:textId="15DA8A44" w:rsidR="00A77B3E" w:rsidRPr="00CF7FD4" w:rsidRDefault="00C003F4" w:rsidP="00CF7FD4">
      <w:pPr>
        <w:snapToGrid w:val="0"/>
        <w:spacing w:line="360" w:lineRule="auto"/>
        <w:jc w:val="both"/>
      </w:pPr>
      <w:r w:rsidRPr="00CF7FD4">
        <w:rPr>
          <w:rFonts w:ascii="Book Antiqua" w:eastAsia="Book Antiqua" w:hAnsi="Book Antiqua" w:cs="Book Antiqua"/>
          <w:color w:val="000000"/>
        </w:rPr>
        <w:t xml:space="preserve">Kourek C </w:t>
      </w:r>
      <w:r w:rsidRPr="00CF7FD4">
        <w:rPr>
          <w:rFonts w:ascii="Book Antiqua" w:eastAsia="Book Antiqua" w:hAnsi="Book Antiqua" w:cs="Book Antiqua"/>
          <w:i/>
          <w:iCs/>
          <w:color w:val="000000"/>
        </w:rPr>
        <w:t>et al</w:t>
      </w:r>
      <w:r w:rsidRPr="00CF7FD4">
        <w:rPr>
          <w:rFonts w:ascii="Book Antiqua" w:eastAsia="Book Antiqua" w:hAnsi="Book Antiqua" w:cs="Book Antiqua"/>
          <w:color w:val="000000"/>
        </w:rPr>
        <w:t xml:space="preserve">. </w:t>
      </w:r>
      <w:r w:rsidR="002045B7" w:rsidRPr="00CF7FD4">
        <w:rPr>
          <w:rFonts w:ascii="Book Antiqua" w:eastAsia="Book Antiqua" w:hAnsi="Book Antiqua" w:cs="Book Antiqua"/>
          <w:color w:val="000000"/>
        </w:rPr>
        <w:t>EPCs mobilization after exercise in CHF</w:t>
      </w:r>
    </w:p>
    <w:p w14:paraId="53598841" w14:textId="77777777" w:rsidR="00A77B3E" w:rsidRPr="00CF7FD4" w:rsidRDefault="00A77B3E" w:rsidP="00CF7FD4">
      <w:pPr>
        <w:snapToGrid w:val="0"/>
        <w:spacing w:line="360" w:lineRule="auto"/>
        <w:jc w:val="both"/>
      </w:pPr>
    </w:p>
    <w:p w14:paraId="2CCCFFA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Christos Kourek, Eleftherios Karatzanos, Katherina Psarra, Georgios Georgiopoulos, Dimitrios Delis, Vasiliki Linardatou, Gerasimos Gavrielatos, Costas Papadopoulos, Serafim Nanas, Stavros Dimopoulos</w:t>
      </w:r>
    </w:p>
    <w:p w14:paraId="4F79766D" w14:textId="77777777" w:rsidR="00A77B3E" w:rsidRPr="00CF7FD4" w:rsidRDefault="00A77B3E" w:rsidP="00CF7FD4">
      <w:pPr>
        <w:snapToGrid w:val="0"/>
        <w:spacing w:line="360" w:lineRule="auto"/>
        <w:jc w:val="both"/>
      </w:pPr>
    </w:p>
    <w:p w14:paraId="01C100A1" w14:textId="6FAF41D5"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Christos Kourek, Eleftherios Karatzanos, Dimitrios Delis, Vasiliki Linardatou, Serafim Nanas, </w:t>
      </w:r>
      <w:r w:rsidR="00C003F4" w:rsidRPr="00CF7FD4">
        <w:rPr>
          <w:rFonts w:ascii="Book Antiqua" w:eastAsia="Book Antiqua" w:hAnsi="Book Antiqua" w:cs="Book Antiqua"/>
          <w:color w:val="000000"/>
        </w:rPr>
        <w:t xml:space="preserve">Department of </w:t>
      </w:r>
      <w:r w:rsidRPr="00CF7FD4">
        <w:rPr>
          <w:rFonts w:ascii="Book Antiqua" w:eastAsia="Book Antiqua" w:hAnsi="Book Antiqua" w:cs="Book Antiqua"/>
          <w:color w:val="000000"/>
        </w:rPr>
        <w:t>Clinical Ergospirometry, Exercise &amp; Rehabilitation Laboratory, Evaggelismos Hospital, Athens 10676, Greece</w:t>
      </w:r>
    </w:p>
    <w:p w14:paraId="6441C979" w14:textId="77777777" w:rsidR="00A77B3E" w:rsidRPr="00CF7FD4" w:rsidRDefault="00A77B3E" w:rsidP="00CF7FD4">
      <w:pPr>
        <w:snapToGrid w:val="0"/>
        <w:spacing w:line="360" w:lineRule="auto"/>
        <w:jc w:val="both"/>
      </w:pPr>
    </w:p>
    <w:p w14:paraId="4ADB0E83"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Katherina Psarra, </w:t>
      </w:r>
      <w:r w:rsidRPr="00CF7FD4">
        <w:rPr>
          <w:rFonts w:ascii="Book Antiqua" w:eastAsia="Book Antiqua" w:hAnsi="Book Antiqua" w:cs="Book Antiqua"/>
          <w:color w:val="000000"/>
        </w:rPr>
        <w:t>Immunology and Histocompatibility Department, Evaggelismos Hospital, Athens 10676, Greece</w:t>
      </w:r>
    </w:p>
    <w:p w14:paraId="50C8831E" w14:textId="77777777" w:rsidR="00A77B3E" w:rsidRPr="00CF7FD4" w:rsidRDefault="00A77B3E" w:rsidP="00CF7FD4">
      <w:pPr>
        <w:snapToGrid w:val="0"/>
        <w:spacing w:line="360" w:lineRule="auto"/>
        <w:jc w:val="both"/>
      </w:pPr>
    </w:p>
    <w:p w14:paraId="375AF356" w14:textId="0DF8AE30"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Georgios Georgiopoulos, </w:t>
      </w:r>
      <w:r w:rsidRPr="00CF7FD4">
        <w:rPr>
          <w:rFonts w:ascii="Book Antiqua" w:eastAsia="Book Antiqua" w:hAnsi="Book Antiqua" w:cs="Book Antiqua"/>
          <w:color w:val="000000"/>
        </w:rPr>
        <w:t>Department of Clinical Therapeutics, Alexandra Hospital, Athens 11528, Greece</w:t>
      </w:r>
    </w:p>
    <w:p w14:paraId="3735F120" w14:textId="77777777" w:rsidR="00A77B3E" w:rsidRPr="00CF7FD4" w:rsidRDefault="00A77B3E" w:rsidP="00CF7FD4">
      <w:pPr>
        <w:snapToGrid w:val="0"/>
        <w:spacing w:line="360" w:lineRule="auto"/>
        <w:jc w:val="both"/>
      </w:pPr>
    </w:p>
    <w:p w14:paraId="2B702C06"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Gerasimos Gavrielatos, </w:t>
      </w:r>
      <w:r w:rsidRPr="00CF7FD4">
        <w:rPr>
          <w:rFonts w:ascii="Book Antiqua" w:eastAsia="Book Antiqua" w:hAnsi="Book Antiqua" w:cs="Book Antiqua"/>
          <w:color w:val="000000"/>
        </w:rPr>
        <w:t>Department of Cardiology, Tzaneio General Hospital of Piraeus, Piraeus 18536, Greece</w:t>
      </w:r>
    </w:p>
    <w:p w14:paraId="09559C07" w14:textId="77777777" w:rsidR="00A77B3E" w:rsidRPr="00CF7FD4" w:rsidRDefault="00A77B3E" w:rsidP="00CF7FD4">
      <w:pPr>
        <w:snapToGrid w:val="0"/>
        <w:spacing w:line="360" w:lineRule="auto"/>
        <w:jc w:val="both"/>
      </w:pPr>
    </w:p>
    <w:p w14:paraId="344F74B6"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Costas Papadopoulos, </w:t>
      </w:r>
      <w:r w:rsidRPr="00CF7FD4">
        <w:rPr>
          <w:rFonts w:ascii="Book Antiqua" w:eastAsia="Book Antiqua" w:hAnsi="Book Antiqua" w:cs="Book Antiqua"/>
          <w:color w:val="000000"/>
        </w:rPr>
        <w:t>2</w:t>
      </w:r>
      <w:r w:rsidRPr="00CF7FD4">
        <w:rPr>
          <w:rFonts w:ascii="Book Antiqua" w:eastAsia="Book Antiqua" w:hAnsi="Book Antiqua" w:cs="Book Antiqua"/>
          <w:color w:val="000000"/>
          <w:vertAlign w:val="superscript"/>
        </w:rPr>
        <w:t>nd</w:t>
      </w:r>
      <w:r w:rsidRPr="00CF7FD4">
        <w:rPr>
          <w:rFonts w:ascii="Book Antiqua" w:eastAsia="Book Antiqua" w:hAnsi="Book Antiqua" w:cs="Book Antiqua"/>
          <w:color w:val="000000"/>
        </w:rPr>
        <w:t xml:space="preserve"> Cardiology Department, Korgialenio-Benakio Red Cross Hospital, Athens 11526, Greece</w:t>
      </w:r>
    </w:p>
    <w:p w14:paraId="673D3E7C" w14:textId="77777777" w:rsidR="00A77B3E" w:rsidRPr="00CF7FD4" w:rsidRDefault="00A77B3E" w:rsidP="00CF7FD4">
      <w:pPr>
        <w:snapToGrid w:val="0"/>
        <w:spacing w:line="360" w:lineRule="auto"/>
        <w:jc w:val="both"/>
      </w:pPr>
    </w:p>
    <w:p w14:paraId="3393091E"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lastRenderedPageBreak/>
        <w:t xml:space="preserve">Stavros Dimopoulos, </w:t>
      </w:r>
      <w:r w:rsidRPr="00CF7FD4">
        <w:rPr>
          <w:rFonts w:ascii="Book Antiqua" w:eastAsia="Book Antiqua" w:hAnsi="Book Antiqua" w:cs="Book Antiqua"/>
          <w:color w:val="000000"/>
        </w:rPr>
        <w:t>Cardiac Surgery Intensive Care Unit, Onassis Cardiac Surgery Center, Athens 17674, Greece</w:t>
      </w:r>
    </w:p>
    <w:p w14:paraId="2AD19738" w14:textId="77777777" w:rsidR="00A77B3E" w:rsidRPr="00CF7FD4" w:rsidRDefault="00A77B3E" w:rsidP="00CF7FD4">
      <w:pPr>
        <w:snapToGrid w:val="0"/>
        <w:spacing w:line="360" w:lineRule="auto"/>
        <w:jc w:val="both"/>
      </w:pPr>
    </w:p>
    <w:p w14:paraId="45A31895" w14:textId="16D85A7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Author contributions: </w:t>
      </w:r>
      <w:r w:rsidRPr="00CF7FD4">
        <w:rPr>
          <w:rFonts w:ascii="Book Antiqua" w:eastAsia="Book Antiqua" w:hAnsi="Book Antiqua" w:cs="Book Antiqua"/>
          <w:color w:val="000000"/>
        </w:rPr>
        <w:t>Karatzanos E, Nanas S and Dimopoulos S contributed to the conception and design of the study</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Kourek C, Delis D, Linardatou V, Gavrielatos G and Papadopoulos C contributed to the acquisition and interpretation of data</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Kourek C, Karatzanos E, Georgiopoulos G and Psarra K performed the analysis</w:t>
      </w:r>
      <w:r w:rsidR="00C003F4"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Kourek C drafted the manuscript</w:t>
      </w:r>
      <w:r w:rsid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CF7FD4">
        <w:rPr>
          <w:rFonts w:ascii="Book Antiqua" w:eastAsia="Book Antiqua" w:hAnsi="Book Antiqua" w:cs="Book Antiqua"/>
          <w:color w:val="000000"/>
        </w:rPr>
        <w:t>A</w:t>
      </w:r>
      <w:r w:rsidRPr="00CF7FD4">
        <w:rPr>
          <w:rFonts w:ascii="Book Antiqua" w:eastAsia="Book Antiqua" w:hAnsi="Book Antiqua" w:cs="Book Antiqua"/>
          <w:color w:val="000000"/>
        </w:rPr>
        <w:t>ll authors contributed equally to the critical revision, editing and approval of the final version of the manuscript.</w:t>
      </w:r>
    </w:p>
    <w:p w14:paraId="1CF2F2C8" w14:textId="77777777" w:rsidR="00A77B3E" w:rsidRPr="00CF7FD4" w:rsidRDefault="00A77B3E" w:rsidP="00CF7FD4">
      <w:pPr>
        <w:snapToGrid w:val="0"/>
        <w:spacing w:line="360" w:lineRule="auto"/>
        <w:jc w:val="both"/>
      </w:pPr>
    </w:p>
    <w:p w14:paraId="7963EFE5" w14:textId="6118C498"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Supported by </w:t>
      </w:r>
      <w:r w:rsidRPr="00CF7FD4">
        <w:rPr>
          <w:rFonts w:ascii="Book Antiqua" w:eastAsia="Book Antiqua" w:hAnsi="Book Antiqua" w:cs="Book Antiqua"/>
          <w:color w:val="000000"/>
        </w:rPr>
        <w:t>Greece and the European Union (European Social Fund</w:t>
      </w:r>
      <w:r w:rsidR="00C67599" w:rsidRPr="00CF7FD4">
        <w:rPr>
          <w:rFonts w:ascii="Book Antiqua" w:eastAsia="Book Antiqua" w:hAnsi="Book Antiqua" w:cs="Book Antiqua"/>
          <w:color w:val="000000"/>
        </w:rPr>
        <w:t>-ESF</w:t>
      </w:r>
      <w:r w:rsidRPr="00CF7FD4">
        <w:rPr>
          <w:rFonts w:ascii="Book Antiqua" w:eastAsia="Book Antiqua" w:hAnsi="Book Antiqua" w:cs="Book Antiqua"/>
          <w:color w:val="000000"/>
        </w:rPr>
        <w:t xml:space="preserve">) through the Operational </w:t>
      </w:r>
      <w:proofErr w:type="spellStart"/>
      <w:r w:rsidRPr="00CF7FD4">
        <w:rPr>
          <w:rFonts w:ascii="Book Antiqua" w:eastAsia="Book Antiqua" w:hAnsi="Book Antiqua" w:cs="Book Antiqua"/>
          <w:color w:val="000000"/>
        </w:rPr>
        <w:t>Programme</w:t>
      </w:r>
      <w:proofErr w:type="spellEnd"/>
      <w:r w:rsidRPr="00CF7FD4">
        <w:rPr>
          <w:rFonts w:ascii="Book Antiqua" w:eastAsia="Book Antiqua" w:hAnsi="Book Antiqua" w:cs="Book Antiqua"/>
          <w:color w:val="000000"/>
        </w:rPr>
        <w:t xml:space="preserve"> </w:t>
      </w:r>
      <w:r w:rsidR="00CF7FD4">
        <w:rPr>
          <w:rFonts w:ascii="Book Antiqua" w:eastAsia="Yu Gothic" w:hAnsi="Book Antiqua" w:cs="Book Antiqua"/>
          <w:color w:val="000000"/>
        </w:rPr>
        <w:t>“</w:t>
      </w:r>
      <w:r w:rsidRPr="00CF7FD4">
        <w:rPr>
          <w:rFonts w:ascii="Book Antiqua" w:eastAsia="Book Antiqua" w:hAnsi="Book Antiqua" w:cs="Book Antiqua"/>
          <w:color w:val="000000"/>
        </w:rPr>
        <w:t>Human Resources Development, Education and Lifelong Learning</w:t>
      </w:r>
      <w:r w:rsidR="00CF7FD4">
        <w:rPr>
          <w:rFonts w:ascii="Book Antiqua" w:eastAsia="Book Antiqua" w:hAnsi="Book Antiqua" w:cs="Book Antiqua"/>
          <w:color w:val="000000"/>
        </w:rPr>
        <w:t>”</w:t>
      </w:r>
      <w:r w:rsidR="004C3F4C"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in the context of the project “Strengthening Human Resources Research Potential </w:t>
      </w:r>
      <w:r w:rsidRPr="00CF7FD4">
        <w:rPr>
          <w:rFonts w:ascii="Book Antiqua" w:eastAsia="Book Antiqua" w:hAnsi="Book Antiqua" w:cs="Book Antiqua"/>
          <w:i/>
          <w:iCs/>
          <w:color w:val="000000"/>
        </w:rPr>
        <w:t>via</w:t>
      </w:r>
      <w:r w:rsidRPr="00CF7FD4">
        <w:rPr>
          <w:rFonts w:ascii="Book Antiqua" w:eastAsia="Book Antiqua" w:hAnsi="Book Antiqua" w:cs="Book Antiqua"/>
          <w:color w:val="000000"/>
        </w:rPr>
        <w:t xml:space="preserve"> Doctorate Research” (MIS-5000432), implemented by the State Scholarships Foundation (ΙΚΥ)</w:t>
      </w:r>
      <w:r w:rsidR="00551979" w:rsidRPr="00CF7FD4">
        <w:rPr>
          <w:rFonts w:ascii="Book Antiqua" w:eastAsia="Book Antiqua" w:hAnsi="Book Antiqua" w:cs="Book Antiqua"/>
          <w:color w:val="000000"/>
        </w:rPr>
        <w:t>; and the special account for research grants of the National and Kapodistrian University of Athens, Athens, Greece.</w:t>
      </w:r>
    </w:p>
    <w:p w14:paraId="09F70C1F" w14:textId="77777777" w:rsidR="00A77B3E" w:rsidRPr="00CF7FD4" w:rsidRDefault="00A77B3E" w:rsidP="00CF7FD4">
      <w:pPr>
        <w:snapToGrid w:val="0"/>
        <w:spacing w:line="360" w:lineRule="auto"/>
        <w:jc w:val="both"/>
      </w:pPr>
    </w:p>
    <w:p w14:paraId="6598B256"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Corresponding author: Stavros Dimopoulos, MD, PhD, Doctor, Postdoc, Research Scientist, Senior Researcher, Staff Physician, </w:t>
      </w:r>
      <w:r w:rsidRPr="00CF7FD4">
        <w:rPr>
          <w:rFonts w:ascii="Book Antiqua" w:eastAsia="Book Antiqua" w:hAnsi="Book Antiqua" w:cs="Book Antiqua"/>
          <w:color w:val="000000"/>
        </w:rPr>
        <w:t>Cardiac Surgery Intensive Care Unit, Onassis Cardiac Surgery Center, No. 356 L. Syggrou, Athens 17674, Greece. stdimop@gmail.com</w:t>
      </w:r>
    </w:p>
    <w:p w14:paraId="2DFE8C79" w14:textId="77777777" w:rsidR="00A77B3E" w:rsidRPr="00CF7FD4" w:rsidRDefault="00A77B3E" w:rsidP="00CF7FD4">
      <w:pPr>
        <w:snapToGrid w:val="0"/>
        <w:spacing w:line="360" w:lineRule="auto"/>
        <w:jc w:val="both"/>
      </w:pPr>
    </w:p>
    <w:p w14:paraId="195FC1C5"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Received: </w:t>
      </w:r>
      <w:r w:rsidRPr="00CF7FD4">
        <w:rPr>
          <w:rFonts w:ascii="Book Antiqua" w:eastAsia="Book Antiqua" w:hAnsi="Book Antiqua" w:cs="Book Antiqua"/>
          <w:color w:val="000000"/>
        </w:rPr>
        <w:t>June 24, 2020</w:t>
      </w:r>
    </w:p>
    <w:p w14:paraId="099964CF"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Revised: </w:t>
      </w:r>
      <w:r w:rsidRPr="00CF7FD4">
        <w:rPr>
          <w:rFonts w:ascii="Book Antiqua" w:eastAsia="Book Antiqua" w:hAnsi="Book Antiqua" w:cs="Book Antiqua"/>
          <w:color w:val="000000"/>
        </w:rPr>
        <w:t>July 28, 2020</w:t>
      </w:r>
    </w:p>
    <w:p w14:paraId="5CBCFC30" w14:textId="026F429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Accepted: </w:t>
      </w:r>
      <w:r w:rsidR="00704305" w:rsidRPr="00CF7FD4">
        <w:rPr>
          <w:rFonts w:ascii="Book Antiqua" w:eastAsia="Book Antiqua" w:hAnsi="Book Antiqua" w:cs="Book Antiqua"/>
          <w:bCs/>
          <w:color w:val="000000"/>
        </w:rPr>
        <w:t>October 5, 2020</w:t>
      </w:r>
    </w:p>
    <w:p w14:paraId="5923B6F8"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Published online: </w:t>
      </w:r>
    </w:p>
    <w:p w14:paraId="4A2F39C2" w14:textId="77777777" w:rsidR="00A77B3E" w:rsidRPr="00CF7FD4" w:rsidRDefault="00A77B3E" w:rsidP="00CF7FD4">
      <w:pPr>
        <w:snapToGrid w:val="0"/>
        <w:spacing w:line="360" w:lineRule="auto"/>
        <w:jc w:val="both"/>
        <w:sectPr w:rsidR="00A77B3E" w:rsidRPr="00CF7FD4">
          <w:footerReference w:type="default" r:id="rId7"/>
          <w:pgSz w:w="12240" w:h="15840"/>
          <w:pgMar w:top="1440" w:right="1440" w:bottom="1440" w:left="1440" w:header="720" w:footer="720" w:gutter="0"/>
          <w:cols w:space="720"/>
          <w:docGrid w:linePitch="360"/>
        </w:sectPr>
      </w:pPr>
    </w:p>
    <w:p w14:paraId="10C7B660"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Abstract</w:t>
      </w:r>
    </w:p>
    <w:p w14:paraId="58AC2DC2"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BACKGROUND</w:t>
      </w:r>
    </w:p>
    <w:p w14:paraId="60643DBF" w14:textId="74299A16" w:rsidR="00A77B3E" w:rsidRPr="00CF7FD4" w:rsidRDefault="002045B7" w:rsidP="00CF7FD4">
      <w:pPr>
        <w:snapToGrid w:val="0"/>
        <w:spacing w:line="360" w:lineRule="auto"/>
        <w:jc w:val="both"/>
      </w:pPr>
      <w:r w:rsidRPr="00CF7FD4">
        <w:rPr>
          <w:rFonts w:ascii="Book Antiqua" w:eastAsia="Book Antiqua" w:hAnsi="Book Antiqua" w:cs="Book Antiqua"/>
          <w:color w:val="000000"/>
        </w:rPr>
        <w:t>Vascular endothelial dysfunction is an underlying pathophysiological feature of chronic heart failure (CHF). Patients with CHF are characterized by impaired vasodilation and inflammation of the vascular endothelium. They also have low levels of endothelial progenitor cells (EPCs). EPCs are bone marrow derived cells involved in endothelium regeneration, homeostasis</w:t>
      </w:r>
      <w:r w:rsidR="00D979FC"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neovascularization. Exercise has been shown to improve vasodilation and stimulate the mobilization of EPCs in healthy people and patients with cardiovascular comorbidities. However, the effects of exercise on EPCs in different stages of CHF remain under investigation.</w:t>
      </w:r>
    </w:p>
    <w:p w14:paraId="00A1B32A" w14:textId="77777777" w:rsidR="00A77B3E" w:rsidRPr="00CF7FD4" w:rsidRDefault="00A77B3E" w:rsidP="00CF7FD4">
      <w:pPr>
        <w:snapToGrid w:val="0"/>
        <w:spacing w:line="360" w:lineRule="auto"/>
        <w:jc w:val="both"/>
      </w:pPr>
    </w:p>
    <w:p w14:paraId="5662FF8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AIM</w:t>
      </w:r>
    </w:p>
    <w:p w14:paraId="2EF139B5"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To evaluate the effect of a symptom-limited maximal cardiopulmonary exercise testing (CPET) on EPCs in CHF patients of different severity.</w:t>
      </w:r>
    </w:p>
    <w:p w14:paraId="773F9005" w14:textId="77777777" w:rsidR="00A77B3E" w:rsidRPr="00CF7FD4" w:rsidRDefault="00A77B3E" w:rsidP="00CF7FD4">
      <w:pPr>
        <w:snapToGrid w:val="0"/>
        <w:spacing w:line="360" w:lineRule="auto"/>
        <w:jc w:val="both"/>
      </w:pPr>
    </w:p>
    <w:p w14:paraId="5C8503A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METHODS</w:t>
      </w:r>
    </w:p>
    <w:p w14:paraId="75EA16F9" w14:textId="604DBDC2" w:rsidR="00A77B3E" w:rsidRPr="00CF7FD4" w:rsidRDefault="002045B7" w:rsidP="00CF7FD4">
      <w:pPr>
        <w:snapToGrid w:val="0"/>
        <w:spacing w:line="360" w:lineRule="auto"/>
        <w:jc w:val="both"/>
      </w:pPr>
      <w:r w:rsidRPr="00CF7FD4">
        <w:rPr>
          <w:rFonts w:ascii="Book Antiqua" w:eastAsia="Book Antiqua" w:hAnsi="Book Antiqua" w:cs="Book Antiqua"/>
          <w:color w:val="000000"/>
        </w:rPr>
        <w:t>Forty</w:t>
      </w:r>
      <w:r w:rsidR="003F192B"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nine consecutive patients (41 males) with stable </w:t>
      </w:r>
      <w:r w:rsidR="003F192B" w:rsidRPr="00CF7FD4">
        <w:rPr>
          <w:rFonts w:ascii="Book Antiqua" w:eastAsia="Book Antiqua" w:hAnsi="Book Antiqua" w:cs="Book Antiqua"/>
          <w:color w:val="000000"/>
        </w:rPr>
        <w:t>C</w:t>
      </w:r>
      <w:r w:rsidRPr="00CF7FD4">
        <w:rPr>
          <w:rFonts w:ascii="Book Antiqua" w:eastAsia="Book Antiqua" w:hAnsi="Book Antiqua" w:cs="Book Antiqua"/>
          <w:color w:val="000000"/>
        </w:rPr>
        <w:t>HF [</w:t>
      </w:r>
      <w:r w:rsidR="003F192B" w:rsidRPr="00CF7FD4">
        <w:rPr>
          <w:rFonts w:ascii="Book Antiqua" w:eastAsia="Book Antiqua" w:hAnsi="Book Antiqua" w:cs="Book Antiqua"/>
          <w:color w:val="000000"/>
        </w:rPr>
        <w:t>m</w:t>
      </w:r>
      <w:r w:rsidRPr="00CF7FD4">
        <w:rPr>
          <w:rFonts w:ascii="Book Antiqua" w:eastAsia="Book Antiqua" w:hAnsi="Book Antiqua" w:cs="Book Antiqua"/>
          <w:color w:val="000000"/>
        </w:rPr>
        <w:t xml:space="preserve">ean age (years): 56 ± 10, </w:t>
      </w:r>
      <w:r w:rsidR="00456F5A" w:rsidRPr="00CF7FD4">
        <w:rPr>
          <w:rFonts w:ascii="Book Antiqua" w:eastAsia="Book Antiqua" w:hAnsi="Book Antiqua" w:cs="Book Antiqua"/>
          <w:color w:val="000000"/>
        </w:rPr>
        <w:t>ejection fraction</w:t>
      </w:r>
      <w:r w:rsidRPr="00CF7FD4">
        <w:rPr>
          <w:rFonts w:ascii="Book Antiqua" w:eastAsia="Book Antiqua" w:hAnsi="Book Antiqua" w:cs="Book Antiqua"/>
          <w:color w:val="000000"/>
        </w:rPr>
        <w:t xml:space="preserve"> (</w:t>
      </w:r>
      <w:r w:rsidR="00456F5A" w:rsidRPr="00CF7FD4">
        <w:rPr>
          <w:rFonts w:ascii="Book Antiqua" w:eastAsia="Book Antiqua" w:hAnsi="Book Antiqua" w:cs="Book Antiqua"/>
          <w:color w:val="000000"/>
        </w:rPr>
        <w:t xml:space="preserve">EF, </w:t>
      </w:r>
      <w:r w:rsidRPr="00CF7FD4">
        <w:rPr>
          <w:rFonts w:ascii="Book Antiqua" w:eastAsia="Book Antiqua" w:hAnsi="Book Antiqua" w:cs="Book Antiqua"/>
          <w:color w:val="000000"/>
        </w:rPr>
        <w:t xml:space="preserve">%): 32 ± 8, </w:t>
      </w:r>
      <w:r w:rsidR="003F192B" w:rsidRPr="00CF7FD4">
        <w:rPr>
          <w:rFonts w:ascii="Book Antiqua" w:eastAsia="Book Antiqua" w:hAnsi="Book Antiqua" w:cs="Book Antiqua"/>
          <w:color w:val="000000"/>
        </w:rPr>
        <w:t>p</w:t>
      </w:r>
      <w:r w:rsidRPr="00CF7FD4">
        <w:rPr>
          <w:rFonts w:ascii="Book Antiqua" w:eastAsia="Book Antiqua" w:hAnsi="Book Antiqua" w:cs="Book Antiqua"/>
          <w:color w:val="000000"/>
        </w:rPr>
        <w:t xml:space="preserve">eak </w:t>
      </w:r>
      <w:r w:rsidR="00883B76" w:rsidRPr="00CF7FD4">
        <w:rPr>
          <w:rFonts w:ascii="Book Antiqua" w:eastAsia="Book Antiqua" w:hAnsi="Book Antiqua" w:cs="Book Antiqua"/>
          <w:color w:val="000000"/>
        </w:rPr>
        <w:t xml:space="preserve">oxygen uptake </w:t>
      </w:r>
      <w:r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VO</w:t>
      </w:r>
      <w:r w:rsidR="00883B76" w:rsidRPr="00CF7FD4">
        <w:rPr>
          <w:rFonts w:ascii="Book Antiqua" w:eastAsia="Book Antiqua" w:hAnsi="Book Antiqua" w:cs="Book Antiqua"/>
          <w:color w:val="000000"/>
          <w:vertAlign w:val="subscript"/>
        </w:rPr>
        <w:t>2</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m</w:t>
      </w:r>
      <w:r w:rsidR="003F192B" w:rsidRPr="00CF7FD4">
        <w:rPr>
          <w:rFonts w:ascii="Book Antiqua" w:eastAsia="Book Antiqua" w:hAnsi="Book Antiqua" w:cs="Book Antiqua"/>
          <w:color w:val="000000"/>
        </w:rPr>
        <w:t>L</w:t>
      </w:r>
      <w:r w:rsidRPr="00CF7FD4">
        <w:rPr>
          <w:rFonts w:ascii="Book Antiqua" w:eastAsia="Book Antiqua" w:hAnsi="Book Antiqua" w:cs="Book Antiqua"/>
          <w:color w:val="000000"/>
        </w:rPr>
        <w:t xml:space="preserve">/kg/min): 18.1 ± 4.4] underwent a CPET on a cycle ergometer. Venous blood was sampled before and after CPET. Five circulating endothelial populations were quantified by flow cytometry: </w:t>
      </w:r>
      <w:r w:rsidR="00D979FC"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subgroups of EPCs </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w:t>
      </w:r>
      <w:r w:rsidR="00525A27" w:rsidRPr="00CF7FD4">
        <w:rPr>
          <w:rFonts w:ascii="Book Antiqua" w:eastAsia="Book Antiqua" w:hAnsi="Book Antiqua" w:cs="Book Antiqua"/>
          <w:color w:val="000000"/>
        </w:rPr>
        <w:t>vascular endothelial growth factor receptor 2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w:t>
      </w:r>
      <w:r w:rsidR="00D979FC"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subgroups of circulating endothelial cells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Patients were divided in two groups of severity according to the median value of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(18.0 mL/kg/min), predicted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(65.5%)</w:t>
      </w:r>
      <w:r w:rsidRPr="00CF7FD4">
        <w:rPr>
          <w:rFonts w:ascii="Book Antiqua" w:eastAsia="Book Antiqua" w:hAnsi="Book Antiqua" w:cs="Book Antiqua"/>
          <w:color w:val="000000"/>
          <w:vertAlign w:val="subscript"/>
        </w:rPr>
        <w:t>,</w:t>
      </w:r>
      <w:r w:rsidRPr="00CF7FD4">
        <w:rPr>
          <w:rFonts w:ascii="Book Antiqua" w:eastAsia="Book Antiqua" w:hAnsi="Book Antiqua" w:cs="Book Antiqua"/>
          <w:color w:val="000000"/>
        </w:rPr>
        <w:t xml:space="preserve"> </w:t>
      </w:r>
      <w:r w:rsidR="00FC5434" w:rsidRPr="00CF7FD4">
        <w:rPr>
          <w:rFonts w:ascii="Book Antiqua" w:eastAsia="Book Antiqua" w:hAnsi="Book Antiqua" w:cs="Book Antiqua"/>
          <w:color w:val="000000"/>
        </w:rPr>
        <w:t>ventilation</w:t>
      </w:r>
      <w:r w:rsidRPr="00CF7FD4">
        <w:rPr>
          <w:rFonts w:ascii="Book Antiqua" w:eastAsia="Book Antiqua" w:hAnsi="Book Antiqua" w:cs="Book Antiqua"/>
          <w:color w:val="000000"/>
        </w:rPr>
        <w:t>/</w:t>
      </w:r>
      <w:r w:rsidR="00F42752" w:rsidRPr="00CF7FD4">
        <w:rPr>
          <w:rFonts w:ascii="Book Antiqua" w:eastAsia="Book Antiqua" w:hAnsi="Book Antiqua" w:cs="Book Antiqua"/>
          <w:color w:val="000000"/>
        </w:rPr>
        <w:t>carbon dioxide output</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slope (32.5)</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and EF (reduced and mid-ranged EF). EPCs values are expressed as median (25th-75th percentiles) in cells</w:t>
      </w:r>
      <w:r w:rsidR="00120963" w:rsidRPr="00CF7FD4">
        <w:rPr>
          <w:rFonts w:ascii="Book Antiqua" w:eastAsia="Book Antiqua" w:hAnsi="Book Antiqua" w:cs="Book Antiqua"/>
          <w:color w:val="000000"/>
        </w:rPr>
        <w:t>/</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enucleated cells.</w:t>
      </w:r>
    </w:p>
    <w:p w14:paraId="30805195" w14:textId="77777777" w:rsidR="00A77B3E" w:rsidRPr="00CF7FD4" w:rsidRDefault="00A77B3E" w:rsidP="00CF7FD4">
      <w:pPr>
        <w:snapToGrid w:val="0"/>
        <w:spacing w:line="360" w:lineRule="auto"/>
        <w:jc w:val="both"/>
      </w:pPr>
    </w:p>
    <w:p w14:paraId="45C6962C"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RESULTS</w:t>
      </w:r>
    </w:p>
    <w:p w14:paraId="6E7BF60A" w14:textId="0FEAC62A"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Patients with lower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60 (25-76)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90 (70-103)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 xml:space="preserve">[pre CPET: 1 (1-4)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5 (3-8)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186 (141-361)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488 (247-658)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2 (1-2)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3 (2-5)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w:t>
      </w:r>
      <w:r w:rsidR="00AE775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patients with higher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 xml:space="preserve">[pre CPET: 42 (19-73)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90 (39-118)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2 (1-3)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6 (3-9)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10 (7-18)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14 (10-19)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0.01],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[pre CPET: 218 (158-247)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311 (254-569)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[pre CPET: 1 (1-2)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post CPET: 4 (2-6) cells/10</w:t>
      </w:r>
      <w:r w:rsidRPr="00CF7FD4">
        <w:rPr>
          <w:rFonts w:ascii="Book Antiqua" w:eastAsia="Book Antiqua" w:hAnsi="Book Antiqua" w:cs="Book Antiqua"/>
          <w:color w:val="000000"/>
          <w:vertAlign w:val="superscript"/>
        </w:rPr>
        <w:t xml:space="preserve">6 </w:t>
      </w:r>
      <w:r w:rsidRPr="00CF7FD4">
        <w:rPr>
          <w:rFonts w:ascii="Book Antiqua" w:eastAsia="Book Antiqua" w:hAnsi="Book Antiqua" w:cs="Book Antiqua"/>
          <w:color w:val="000000"/>
        </w:rPr>
        <w:t xml:space="preserve">enucleated cells,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0.001]. </w:t>
      </w:r>
      <w:r w:rsidR="00AE775F" w:rsidRPr="00CF7FD4">
        <w:rPr>
          <w:rFonts w:ascii="Book Antiqua" w:eastAsia="Book Antiqua" w:hAnsi="Book Antiqua" w:cs="Book Antiqua"/>
          <w:color w:val="000000"/>
        </w:rPr>
        <w:t>A s</w:t>
      </w:r>
      <w:r w:rsidRPr="00CF7FD4">
        <w:rPr>
          <w:rFonts w:ascii="Book Antiqua" w:eastAsia="Book Antiqua" w:hAnsi="Book Antiqua" w:cs="Book Antiqua"/>
          <w:color w:val="000000"/>
        </w:rPr>
        <w:t xml:space="preserve">imilar increase in the mobilization of at least </w:t>
      </w:r>
      <w:r w:rsidR="00893483"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out of </w:t>
      </w:r>
      <w:r w:rsidR="00893483"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cellular populations was observed after maximal exercise within each severity group regarding predicted peak, </w:t>
      </w:r>
      <w:r w:rsidR="00893483" w:rsidRPr="00CF7FD4">
        <w:rPr>
          <w:rFonts w:ascii="Book Antiqua" w:eastAsia="Book Antiqua" w:hAnsi="Book Antiqua" w:cs="Book Antiqua"/>
          <w:color w:val="000000"/>
        </w:rPr>
        <w:t>ventilation/carbon dioxide output</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slope and EF as well (</w:t>
      </w:r>
      <w:r w:rsidR="008762E3"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0.05). However, there were no statistical</w:t>
      </w:r>
      <w:r w:rsidR="00E931C2" w:rsidRPr="00CF7FD4">
        <w:rPr>
          <w:rFonts w:ascii="Book Antiqua" w:eastAsia="Book Antiqua" w:hAnsi="Book Antiqua" w:cs="Book Antiqua"/>
          <w:color w:val="000000"/>
        </w:rPr>
        <w:t>ly</w:t>
      </w:r>
      <w:r w:rsidRPr="00CF7FD4">
        <w:rPr>
          <w:rFonts w:ascii="Book Antiqua" w:eastAsia="Book Antiqua" w:hAnsi="Book Antiqua" w:cs="Book Antiqua"/>
          <w:color w:val="000000"/>
        </w:rPr>
        <w:t xml:space="preserve"> significant differences in the mobilization of endothelial cellular populations between severity groups in each comparison (</w:t>
      </w:r>
      <w:r w:rsidR="008762E3"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&gt; 0.05).</w:t>
      </w:r>
    </w:p>
    <w:p w14:paraId="249AD898" w14:textId="77777777" w:rsidR="00A77B3E" w:rsidRPr="00CF7FD4" w:rsidRDefault="00A77B3E" w:rsidP="00CF7FD4">
      <w:pPr>
        <w:snapToGrid w:val="0"/>
        <w:spacing w:line="360" w:lineRule="auto"/>
        <w:jc w:val="both"/>
      </w:pPr>
    </w:p>
    <w:p w14:paraId="6373F58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CONCLUSION</w:t>
      </w:r>
    </w:p>
    <w:p w14:paraId="729FA36B" w14:textId="6B423F4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Our study has shown an increased EPCs and </w:t>
      </w:r>
      <w:r w:rsidR="00893483" w:rsidRPr="00CF7FD4">
        <w:rPr>
          <w:rFonts w:ascii="Book Antiqua" w:eastAsia="Book Antiqua" w:hAnsi="Book Antiqua" w:cs="Book Antiqua"/>
          <w:color w:val="000000"/>
        </w:rPr>
        <w:t xml:space="preserve">circulating endothelial cells </w:t>
      </w:r>
      <w:r w:rsidRPr="00CF7FD4">
        <w:rPr>
          <w:rFonts w:ascii="Book Antiqua" w:eastAsia="Book Antiqua" w:hAnsi="Book Antiqua" w:cs="Book Antiqua"/>
          <w:color w:val="000000"/>
        </w:rPr>
        <w:t xml:space="preserve">mobilization after maximal exercise in CHF patients, but this increase was not associated with syndrome severity. </w:t>
      </w:r>
      <w:r w:rsidR="00AE775F" w:rsidRPr="00CF7FD4">
        <w:rPr>
          <w:rFonts w:ascii="Book Antiqua" w:eastAsia="Book Antiqua" w:hAnsi="Book Antiqua" w:cs="Book Antiqua"/>
          <w:color w:val="000000"/>
        </w:rPr>
        <w:t>F</w:t>
      </w:r>
      <w:r w:rsidRPr="00CF7FD4">
        <w:rPr>
          <w:rFonts w:ascii="Book Antiqua" w:eastAsia="Book Antiqua" w:hAnsi="Book Antiqua" w:cs="Book Antiqua"/>
          <w:color w:val="000000"/>
        </w:rPr>
        <w:t>urther investigation</w:t>
      </w:r>
      <w:r w:rsidR="00AE775F" w:rsidRPr="00CF7FD4">
        <w:rPr>
          <w:rFonts w:ascii="Book Antiqua" w:eastAsia="Book Antiqua" w:hAnsi="Book Antiqua" w:cs="Book Antiqua"/>
          <w:color w:val="000000"/>
        </w:rPr>
        <w:t>, however,</w:t>
      </w:r>
      <w:r w:rsidRPr="00CF7FD4">
        <w:rPr>
          <w:rFonts w:ascii="Book Antiqua" w:eastAsia="Book Antiqua" w:hAnsi="Book Antiqua" w:cs="Book Antiqua"/>
          <w:color w:val="000000"/>
        </w:rPr>
        <w:t xml:space="preserve"> is needed.</w:t>
      </w:r>
    </w:p>
    <w:p w14:paraId="714D3C79" w14:textId="77777777" w:rsidR="00A77B3E" w:rsidRPr="00CF7FD4" w:rsidRDefault="00A77B3E" w:rsidP="00CF7FD4">
      <w:pPr>
        <w:snapToGrid w:val="0"/>
        <w:spacing w:line="360" w:lineRule="auto"/>
        <w:jc w:val="both"/>
      </w:pPr>
    </w:p>
    <w:p w14:paraId="3B15F0DB"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Key Words: </w:t>
      </w:r>
      <w:r w:rsidRPr="00CF7FD4">
        <w:rPr>
          <w:rFonts w:ascii="Book Antiqua" w:eastAsia="Book Antiqua" w:hAnsi="Book Antiqua" w:cs="Book Antiqua"/>
          <w:color w:val="000000"/>
        </w:rPr>
        <w:t>Chronic heart failure; Endothelial progenitor cells; Circulating endothelial cells; Maximal exercise; Cardiopulmonary exercise testing; Severity</w:t>
      </w:r>
    </w:p>
    <w:p w14:paraId="53C5E7FC" w14:textId="77777777" w:rsidR="00A77B3E" w:rsidRPr="00CF7FD4" w:rsidRDefault="00A77B3E" w:rsidP="00CF7FD4">
      <w:pPr>
        <w:snapToGrid w:val="0"/>
        <w:spacing w:line="360" w:lineRule="auto"/>
        <w:jc w:val="both"/>
      </w:pPr>
    </w:p>
    <w:p w14:paraId="6A6193FF"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Kourek C, Karatzanos E, Psarra K, Georgiopoulos G, Delis D, Linardatou V, Gavrielatos G, Papadopoulos C, Nanas S, Dimopoulos S. Endothelial progenitor cells mobilization after maximal exercise according to heart failure severity. </w:t>
      </w:r>
      <w:r w:rsidRPr="00CF7FD4">
        <w:rPr>
          <w:rFonts w:ascii="Book Antiqua" w:eastAsia="Book Antiqua" w:hAnsi="Book Antiqua" w:cs="Book Antiqua"/>
          <w:i/>
          <w:iCs/>
          <w:color w:val="000000"/>
        </w:rPr>
        <w:t>World J Cardiol</w:t>
      </w:r>
      <w:r w:rsidRPr="00CF7FD4">
        <w:rPr>
          <w:rFonts w:ascii="Book Antiqua" w:eastAsia="Book Antiqua" w:hAnsi="Book Antiqua" w:cs="Book Antiqua"/>
          <w:color w:val="000000"/>
        </w:rPr>
        <w:t xml:space="preserve"> 2020; In press</w:t>
      </w:r>
    </w:p>
    <w:p w14:paraId="3C779B97" w14:textId="77777777" w:rsidR="00A77B3E" w:rsidRPr="00CF7FD4" w:rsidRDefault="00A77B3E" w:rsidP="00CF7FD4">
      <w:pPr>
        <w:snapToGrid w:val="0"/>
        <w:spacing w:line="360" w:lineRule="auto"/>
        <w:jc w:val="both"/>
      </w:pPr>
    </w:p>
    <w:p w14:paraId="296FCCF7" w14:textId="1E5E68A5"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Core Tip: </w:t>
      </w:r>
      <w:r w:rsidRPr="00CF7FD4">
        <w:rPr>
          <w:rFonts w:ascii="Book Antiqua" w:eastAsia="Book Antiqua" w:hAnsi="Book Antiqua" w:cs="Book Antiqua"/>
          <w:color w:val="000000"/>
        </w:rPr>
        <w:t xml:space="preserve">Vascular endothelial dysfunction is an underlying pathophysiological feature of chronic heart failure (CHF). Exercise has been proven to increase the mobilization of endothelial progenitor cells (EPCs), </w:t>
      </w:r>
      <w:r w:rsidR="00AE775F" w:rsidRPr="00CF7FD4">
        <w:rPr>
          <w:rFonts w:ascii="Book Antiqua" w:eastAsia="Book Antiqua" w:hAnsi="Book Antiqua" w:cs="Book Antiqua"/>
          <w:color w:val="000000"/>
        </w:rPr>
        <w:t xml:space="preserve">which are </w:t>
      </w:r>
      <w:r w:rsidRPr="00CF7FD4">
        <w:rPr>
          <w:rFonts w:ascii="Book Antiqua" w:eastAsia="Book Antiqua" w:hAnsi="Book Antiqua" w:cs="Book Antiqua"/>
          <w:color w:val="000000"/>
        </w:rPr>
        <w:t>involved in vascular endothelial restoration and neo-vascularization, in healthy people and patients with co-morbidities. However, the effect of exercise on EPCs in patients with CHF of different severity remains unknown. In the present study, we compared the mobilization of EPCs in CHF patients of different severity, according to functional markers, after a symptom-limited cardiopulmonary exercise testing. No differences were found between severity groups, indicating thus the beneficial effect of exercise in these patients.</w:t>
      </w:r>
    </w:p>
    <w:p w14:paraId="4116E2B7" w14:textId="59D8285C" w:rsidR="00A77B3E" w:rsidRPr="00CF7FD4" w:rsidRDefault="00CB1DE0" w:rsidP="00CF7FD4">
      <w:pPr>
        <w:snapToGrid w:val="0"/>
        <w:spacing w:line="360" w:lineRule="auto"/>
        <w:jc w:val="both"/>
      </w:pPr>
      <w:r w:rsidRPr="00CF7FD4">
        <w:rPr>
          <w:rFonts w:ascii="Book Antiqua" w:eastAsia="Book Antiqua" w:hAnsi="Book Antiqua" w:cs="Book Antiqua"/>
          <w:b/>
          <w:caps/>
          <w:color w:val="000000"/>
          <w:u w:val="single"/>
        </w:rPr>
        <w:br w:type="page"/>
      </w:r>
      <w:r w:rsidR="002045B7" w:rsidRPr="00CF7FD4">
        <w:rPr>
          <w:rFonts w:ascii="Book Antiqua" w:eastAsia="Book Antiqua" w:hAnsi="Book Antiqua" w:cs="Book Antiqua"/>
          <w:b/>
          <w:caps/>
          <w:color w:val="000000"/>
          <w:u w:val="single"/>
        </w:rPr>
        <w:lastRenderedPageBreak/>
        <w:t>INTRODUCTION</w:t>
      </w:r>
    </w:p>
    <w:p w14:paraId="26046F28" w14:textId="0E470661" w:rsidR="00A77B3E" w:rsidRPr="00CF7FD4" w:rsidRDefault="002045B7" w:rsidP="00CF7FD4">
      <w:pPr>
        <w:snapToGrid w:val="0"/>
        <w:spacing w:line="360" w:lineRule="auto"/>
        <w:jc w:val="both"/>
      </w:pPr>
      <w:r w:rsidRPr="00CF7FD4">
        <w:rPr>
          <w:rFonts w:ascii="Book Antiqua" w:eastAsia="Book Antiqua" w:hAnsi="Book Antiqua" w:cs="Book Antiqua"/>
          <w:color w:val="000000"/>
        </w:rPr>
        <w:t>Chronic heart failure (CHF) is a multifactorial clinical syndrome with an incidence between 1% and 2% per year in developed countries in all age categories, while increasing</w:t>
      </w:r>
      <w:r w:rsidR="00AE775F" w:rsidRPr="00CF7FD4">
        <w:rPr>
          <w:rFonts w:ascii="Book Antiqua" w:eastAsia="Book Antiqua" w:hAnsi="Book Antiqua" w:cs="Book Antiqua"/>
          <w:color w:val="000000"/>
        </w:rPr>
        <w:t xml:space="preserve"> to</w:t>
      </w:r>
      <w:r w:rsidRPr="00CF7FD4">
        <w:rPr>
          <w:rFonts w:ascii="Book Antiqua" w:eastAsia="Book Antiqua" w:hAnsi="Book Antiqua" w:cs="Book Antiqua"/>
          <w:color w:val="000000"/>
        </w:rPr>
        <w:t xml:space="preserve"> &gt;</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10% in the age category &gt;</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70 years</w:t>
      </w:r>
      <w:r w:rsidR="00456F5A" w:rsidRPr="00CF7FD4">
        <w:rPr>
          <w:rFonts w:ascii="Book Antiqua" w:eastAsia="Book Antiqua" w:hAnsi="Book Antiqua" w:cs="Book Antiqua"/>
          <w:color w:val="000000"/>
          <w:vertAlign w:val="superscript"/>
        </w:rPr>
        <w:t>[1]</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Prognosis of patients with CHF is poor as the survival rates do not exceed 50% within 4 years and 26.7% within 10 years from the diagnosis</w:t>
      </w:r>
      <w:r w:rsidR="00456F5A" w:rsidRPr="00CF7FD4">
        <w:rPr>
          <w:rFonts w:ascii="Book Antiqua" w:eastAsia="Book Antiqua" w:hAnsi="Book Antiqua" w:cs="Book Antiqua"/>
          <w:color w:val="000000"/>
          <w:vertAlign w:val="superscript"/>
        </w:rPr>
        <w:t>[2,3]</w:t>
      </w:r>
      <w:r w:rsidRPr="00CF7FD4">
        <w:rPr>
          <w:rFonts w:ascii="Book Antiqua" w:eastAsia="Book Antiqua" w:hAnsi="Book Antiqua" w:cs="Book Antiqua"/>
          <w:color w:val="000000"/>
        </w:rPr>
        <w:t>.</w:t>
      </w:r>
    </w:p>
    <w:p w14:paraId="132921DC" w14:textId="67839569"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 characteristic pathophysiological feature of CHF is vascular endothelial </w:t>
      </w:r>
      <w:proofErr w:type="gramStart"/>
      <w:r w:rsidRPr="00CF7FD4">
        <w:rPr>
          <w:rFonts w:ascii="Book Antiqua" w:eastAsia="Book Antiqua" w:hAnsi="Book Antiqua" w:cs="Book Antiqua"/>
          <w:color w:val="000000"/>
        </w:rPr>
        <w:t>dysfunction</w:t>
      </w:r>
      <w:r w:rsidR="00456F5A"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4</w:t>
      </w:r>
      <w:r w:rsidR="00456F5A"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microcirculation abnormalities associated with CHF severity</w:t>
      </w:r>
      <w:r w:rsidR="00456F5A" w:rsidRPr="00CF7FD4">
        <w:rPr>
          <w:rFonts w:ascii="Book Antiqua" w:eastAsia="Book Antiqua" w:hAnsi="Book Antiqua" w:cs="Book Antiqua"/>
          <w:color w:val="000000"/>
          <w:vertAlign w:val="superscript"/>
        </w:rPr>
        <w:t>[5]</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Systemic inflammation caused by secretion of cytokines leads to disruption of the vascular endothelial barrier and causes acute endothelitis</w:t>
      </w:r>
      <w:r w:rsidR="00456F5A"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Vessels show impaired vasodilation due to increased degradation and reduced bioavailability of the nitric oxide (NO)</w:t>
      </w:r>
      <w:r w:rsidR="00456F5A" w:rsidRPr="00CF7FD4">
        <w:rPr>
          <w:rFonts w:ascii="Book Antiqua" w:eastAsia="Book Antiqua" w:hAnsi="Book Antiqua" w:cs="Book Antiqua"/>
          <w:color w:val="000000"/>
          <w:vertAlign w:val="superscript"/>
        </w:rPr>
        <w:t>[6,7]</w:t>
      </w:r>
      <w:r w:rsidRPr="00CF7FD4">
        <w:rPr>
          <w:rFonts w:ascii="Book Antiqua" w:eastAsia="Book Antiqua" w:hAnsi="Book Antiqua" w:cs="Book Antiqua"/>
          <w:color w:val="000000"/>
        </w:rPr>
        <w:t>.</w:t>
      </w:r>
    </w:p>
    <w:p w14:paraId="2C049D9C" w14:textId="5F11509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Exercise has a beneficial impact in the function of the vascular endothelium. It has been shown that it suppresses the generation of free radicals and oxidative stress, increases the bioavailability of NO and induces vasodilation, thereby improving the aerobic </w:t>
      </w:r>
      <w:proofErr w:type="gramStart"/>
      <w:r w:rsidRPr="00CF7FD4">
        <w:rPr>
          <w:rFonts w:ascii="Book Antiqua" w:eastAsia="Book Antiqua" w:hAnsi="Book Antiqua" w:cs="Book Antiqua"/>
          <w:color w:val="000000"/>
        </w:rPr>
        <w:t>capacity</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8,9]</w:t>
      </w:r>
      <w:r w:rsidRPr="00CF7FD4">
        <w:rPr>
          <w:rFonts w:ascii="Book Antiqua" w:eastAsia="Book Antiqua" w:hAnsi="Book Antiqua" w:cs="Book Antiqua"/>
          <w:color w:val="000000"/>
        </w:rPr>
        <w:t xml:space="preserve">. Endothelial progenitor cells (EPCs) have been proven to be involved in the shielding of vascular protection, the restoring of dysfunctional and injured endothelium, the promotion of angiogenesis and the regulation of vascular </w:t>
      </w:r>
      <w:proofErr w:type="gramStart"/>
      <w:r w:rsidRPr="00CF7FD4">
        <w:rPr>
          <w:rFonts w:ascii="Book Antiqua" w:eastAsia="Book Antiqua" w:hAnsi="Book Antiqua" w:cs="Book Antiqua"/>
          <w:color w:val="000000"/>
        </w:rPr>
        <w:t>homeostasis</w:t>
      </w:r>
      <w:r w:rsidR="00456F5A" w:rsidRPr="00CF7FD4">
        <w:rPr>
          <w:rFonts w:ascii="Book Antiqua" w:eastAsia="Book Antiqua" w:hAnsi="Book Antiqua" w:cs="Book Antiqua"/>
          <w:color w:val="000000"/>
          <w:vertAlign w:val="superscript"/>
        </w:rPr>
        <w:t>[</w:t>
      </w:r>
      <w:proofErr w:type="gramEnd"/>
      <w:r w:rsidR="00456F5A" w:rsidRPr="00CF7FD4">
        <w:rPr>
          <w:rFonts w:ascii="Book Antiqua" w:eastAsia="Book Antiqua" w:hAnsi="Book Antiqua" w:cs="Book Antiqua"/>
          <w:color w:val="000000"/>
          <w:vertAlign w:val="superscript"/>
        </w:rPr>
        <w:t>10,11]</w:t>
      </w:r>
      <w:r w:rsidRPr="00CF7FD4">
        <w:rPr>
          <w:rFonts w:ascii="Book Antiqua" w:eastAsia="Book Antiqua" w:hAnsi="Book Antiqua" w:cs="Book Antiqua"/>
          <w:color w:val="000000"/>
        </w:rPr>
        <w:t>. The level of EPCs seem to predict the occurrence of</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events and death from</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causes and may help to identify patients at increased</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cardiovascular</w:t>
      </w:r>
      <w:r w:rsidR="00456F5A"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risk</w:t>
      </w:r>
      <w:r w:rsidR="00456F5A" w:rsidRPr="00CF7FD4">
        <w:rPr>
          <w:rFonts w:ascii="Book Antiqua" w:eastAsia="Book Antiqua" w:hAnsi="Book Antiqua" w:cs="Book Antiqua"/>
          <w:color w:val="000000"/>
          <w:vertAlign w:val="superscript"/>
        </w:rPr>
        <w:t>[12]</w:t>
      </w:r>
      <w:r w:rsidRPr="00CF7FD4">
        <w:rPr>
          <w:rFonts w:ascii="Book Antiqua" w:eastAsia="Book Antiqua" w:hAnsi="Book Antiqua" w:cs="Book Antiqua"/>
          <w:color w:val="000000"/>
        </w:rPr>
        <w:t>. Low counts of EPCs have been shown to be strongly and independently predictive of mortality in patients with cardiovascular comorbidities</w:t>
      </w:r>
      <w:r w:rsidR="00456F5A" w:rsidRPr="00CF7FD4">
        <w:rPr>
          <w:rFonts w:ascii="Book Antiqua" w:eastAsia="Book Antiqua" w:hAnsi="Book Antiqua" w:cs="Book Antiqua"/>
          <w:color w:val="000000"/>
          <w:vertAlign w:val="superscript"/>
        </w:rPr>
        <w:t>[13]</w:t>
      </w:r>
      <w:r w:rsidRPr="00CF7FD4">
        <w:rPr>
          <w:rFonts w:ascii="Book Antiqua" w:eastAsia="Book Antiqua" w:hAnsi="Book Antiqua" w:cs="Book Antiqua"/>
          <w:color w:val="000000"/>
        </w:rPr>
        <w:t>.</w:t>
      </w:r>
    </w:p>
    <w:p w14:paraId="481F3559" w14:textId="5CE2E25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Regular aerobic exercise induces the mobilization of EPCs from the bone marrow, not only in </w:t>
      </w:r>
      <w:r w:rsidR="00AE775F"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healthy population but also in populations with comorbidities and increased risk factors</w:t>
      </w:r>
      <w:r w:rsidR="00456F5A" w:rsidRPr="00CF7FD4">
        <w:rPr>
          <w:rFonts w:ascii="Book Antiqua" w:eastAsia="Book Antiqua" w:hAnsi="Book Antiqua" w:cs="Book Antiqua"/>
          <w:color w:val="000000"/>
          <w:vertAlign w:val="superscript"/>
        </w:rPr>
        <w:t>[14,15]</w:t>
      </w:r>
      <w:r w:rsidRPr="00CF7FD4">
        <w:rPr>
          <w:rFonts w:ascii="Book Antiqua" w:eastAsia="Book Antiqua" w:hAnsi="Book Antiqua" w:cs="Book Antiqua"/>
          <w:color w:val="000000"/>
        </w:rPr>
        <w:t>. However, the effect of maximal exercise on EPCs in patients with CHF, and especially in patients of different severity, remains under investigation.</w:t>
      </w:r>
    </w:p>
    <w:p w14:paraId="704E82B4" w14:textId="364D6C6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We hypothesized that maximal exercise has </w:t>
      </w:r>
      <w:r w:rsidR="00AE775F" w:rsidRPr="00CF7FD4">
        <w:rPr>
          <w:rFonts w:ascii="Book Antiqua" w:eastAsia="Book Antiqua" w:hAnsi="Book Antiqua" w:cs="Book Antiqua"/>
          <w:color w:val="000000"/>
        </w:rPr>
        <w:t xml:space="preserve">a </w:t>
      </w:r>
      <w:r w:rsidRPr="00CF7FD4">
        <w:rPr>
          <w:rFonts w:ascii="Book Antiqua" w:eastAsia="Book Antiqua" w:hAnsi="Book Antiqua" w:cs="Book Antiqua"/>
          <w:color w:val="000000"/>
        </w:rPr>
        <w:t xml:space="preserve">beneficial effect on vascular endothelial function in patients with CHF irrespectively of their severity. The aim of the study was </w:t>
      </w:r>
      <w:r w:rsidRPr="00CF7FD4">
        <w:rPr>
          <w:rFonts w:ascii="Book Antiqua" w:eastAsia="Book Antiqua" w:hAnsi="Book Antiqua" w:cs="Book Antiqua"/>
          <w:color w:val="000000"/>
        </w:rPr>
        <w:lastRenderedPageBreak/>
        <w:t>to assess, quantify and compare the acute mobilization of EPCs after maximal exercise in patients with CHF of both lower and higher severity.</w:t>
      </w:r>
    </w:p>
    <w:p w14:paraId="0EF91866" w14:textId="77777777" w:rsidR="00A77B3E" w:rsidRPr="00CF7FD4" w:rsidRDefault="00A77B3E" w:rsidP="00CF7FD4">
      <w:pPr>
        <w:snapToGrid w:val="0"/>
        <w:spacing w:line="360" w:lineRule="auto"/>
        <w:jc w:val="both"/>
      </w:pPr>
    </w:p>
    <w:p w14:paraId="0529AED7"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MATERIALS AND METHODS</w:t>
      </w:r>
    </w:p>
    <w:p w14:paraId="2B2520E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Study design</w:t>
      </w:r>
    </w:p>
    <w:p w14:paraId="4A6C43F7" w14:textId="71D80367" w:rsidR="00A77B3E"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color w:val="000000"/>
        </w:rPr>
        <w:t xml:space="preserve">This interventional clinical study was conducted in accordance with the Declaration of Helsinki and approved by the Administration Board and the Ethics Committee of “Evaggelismos General Hospital” in Athens, Greece (Approval </w:t>
      </w:r>
      <w:r w:rsidR="00456F5A" w:rsidRPr="00CF7FD4">
        <w:rPr>
          <w:rFonts w:ascii="Book Antiqua" w:eastAsia="Book Antiqua" w:hAnsi="Book Antiqua" w:cs="Book Antiqua"/>
          <w:color w:val="000000"/>
        </w:rPr>
        <w:t>No.</w:t>
      </w:r>
      <w:r w:rsidRPr="00CF7FD4">
        <w:rPr>
          <w:rFonts w:ascii="Book Antiqua" w:eastAsia="Book Antiqua" w:hAnsi="Book Antiqua" w:cs="Book Antiqua"/>
          <w:color w:val="000000"/>
        </w:rPr>
        <w:t xml:space="preserve"> 117/3-7-2017). All of the patients signed an informed consent form in order to participate in the study. This is a post-hoc analysis study of a previous conducted research study published recently aiming to assess EPCs mobilization after exercise in patients with CHF</w:t>
      </w:r>
      <w:r w:rsidR="00456F5A" w:rsidRPr="00CF7FD4">
        <w:rPr>
          <w:rFonts w:ascii="Book Antiqua" w:eastAsia="Book Antiqua" w:hAnsi="Book Antiqua" w:cs="Book Antiqua"/>
          <w:color w:val="000000"/>
          <w:vertAlign w:val="superscript"/>
        </w:rPr>
        <w:t>[16]</w:t>
      </w:r>
      <w:r w:rsidRPr="00CF7FD4">
        <w:rPr>
          <w:rFonts w:ascii="Book Antiqua" w:eastAsia="Book Antiqua" w:hAnsi="Book Antiqua" w:cs="Book Antiqua"/>
          <w:color w:val="000000"/>
        </w:rPr>
        <w:t>. Patients were referred for assessment to the “Clinical Ergospirometry, Exercise and Rehabilitation Laboratory” of “Evaggelismos General Hospital” by heart failure outpatient clinics of Athens. The diagnosis of CHF was based on personal history forms, clinical evaluation and laboratory testing of every patient.</w:t>
      </w:r>
    </w:p>
    <w:p w14:paraId="07076BCD" w14:textId="77777777" w:rsidR="00456F5A" w:rsidRPr="00CF7FD4" w:rsidRDefault="00456F5A" w:rsidP="00CF7FD4">
      <w:pPr>
        <w:snapToGrid w:val="0"/>
        <w:spacing w:line="360" w:lineRule="auto"/>
        <w:jc w:val="both"/>
      </w:pPr>
    </w:p>
    <w:p w14:paraId="367832D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Patients</w:t>
      </w:r>
    </w:p>
    <w:p w14:paraId="3C4379B0" w14:textId="53455495"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The population of the study consisted of 49 consecutive patients with stable CHF and a reduced or mid-ranged ejection fraction (EF) who underwent a single session of symptom limited maximal cardiopulmonary exercise testing (CPET) on an electromagnetically braked cycle ergometer (Ergoline 800; </w:t>
      </w:r>
      <w:proofErr w:type="spellStart"/>
      <w:r w:rsidRPr="00CF7FD4">
        <w:rPr>
          <w:rFonts w:ascii="Book Antiqua" w:eastAsia="Book Antiqua" w:hAnsi="Book Antiqua" w:cs="Book Antiqua"/>
          <w:color w:val="000000"/>
        </w:rPr>
        <w:t>SensorMedics</w:t>
      </w:r>
      <w:proofErr w:type="spellEnd"/>
      <w:r w:rsidRPr="00CF7FD4">
        <w:rPr>
          <w:rFonts w:ascii="Book Antiqua" w:eastAsia="Book Antiqua" w:hAnsi="Book Antiqua" w:cs="Book Antiqua"/>
          <w:color w:val="000000"/>
        </w:rPr>
        <w:t xml:space="preserve"> Corporation, Anaheim, </w:t>
      </w:r>
      <w:r w:rsidR="00525A27" w:rsidRPr="00CF7FD4">
        <w:rPr>
          <w:rFonts w:ascii="Book Antiqua" w:eastAsia="Book Antiqua" w:hAnsi="Book Antiqua" w:cs="Book Antiqua"/>
          <w:color w:val="000000"/>
        </w:rPr>
        <w:t>CA, United States</w:t>
      </w:r>
      <w:r w:rsidRPr="00CF7FD4">
        <w:rPr>
          <w:rFonts w:ascii="Book Antiqua" w:eastAsia="Book Antiqua" w:hAnsi="Book Antiqua" w:cs="Book Antiqua"/>
          <w:color w:val="000000"/>
        </w:rPr>
        <w:t>). Inclusion criteria were stable CHF at maximum tolerated medication and EF</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49%. Exclusion criteria were severe valvulopathy, uncontrolled arterial hypertension, severe chronic obstructive pulmonary disease, severe peripheral angiopathy, neuromuscular diseases and contraindications for maximum cardiopulmonary stress testing</w:t>
      </w:r>
      <w:r w:rsidR="00883B76" w:rsidRPr="00CF7FD4">
        <w:rPr>
          <w:rFonts w:ascii="Book Antiqua" w:eastAsia="Book Antiqua" w:hAnsi="Book Antiqua" w:cs="Book Antiqua"/>
          <w:color w:val="000000"/>
          <w:vertAlign w:val="superscript"/>
        </w:rPr>
        <w:t>[17]</w:t>
      </w:r>
      <w:r w:rsidRPr="00CF7FD4">
        <w:rPr>
          <w:rFonts w:ascii="Book Antiqua" w:eastAsia="Book Antiqua" w:hAnsi="Book Antiqua" w:cs="Book Antiqua"/>
          <w:color w:val="000000"/>
        </w:rPr>
        <w:t>.</w:t>
      </w:r>
    </w:p>
    <w:p w14:paraId="03A01A07" w14:textId="10A300F8"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Patients were divided in groups according </w:t>
      </w:r>
      <w:r w:rsidR="00525A27" w:rsidRPr="00CF7FD4">
        <w:rPr>
          <w:rFonts w:ascii="Book Antiqua" w:eastAsia="Book Antiqua" w:hAnsi="Book Antiqua" w:cs="Book Antiqua"/>
          <w:color w:val="000000"/>
        </w:rPr>
        <w:t>to</w:t>
      </w:r>
      <w:r w:rsidRPr="00CF7FD4">
        <w:rPr>
          <w:rFonts w:ascii="Book Antiqua" w:eastAsia="Book Antiqua" w:hAnsi="Book Antiqua" w:cs="Book Antiqua"/>
          <w:color w:val="000000"/>
        </w:rPr>
        <w:t xml:space="preserve"> syndrome severity. CPET ind</w:t>
      </w:r>
      <w:r w:rsidR="00AD1CFF" w:rsidRPr="00CF7FD4">
        <w:rPr>
          <w:rFonts w:ascii="Book Antiqua" w:eastAsia="Book Antiqua" w:hAnsi="Book Antiqua" w:cs="Book Antiqua"/>
          <w:color w:val="000000"/>
        </w:rPr>
        <w:t>ices</w:t>
      </w:r>
      <w:r w:rsidRPr="00CF7FD4">
        <w:rPr>
          <w:rFonts w:ascii="Book Antiqua" w:eastAsia="Book Antiqua" w:hAnsi="Book Antiqua" w:cs="Book Antiqua"/>
          <w:color w:val="000000"/>
        </w:rPr>
        <w:t xml:space="preserve"> </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peak </w:t>
      </w:r>
      <w:r w:rsidR="00883B76" w:rsidRPr="00CF7FD4">
        <w:rPr>
          <w:rFonts w:ascii="Book Antiqua" w:eastAsia="Book Antiqua" w:hAnsi="Book Antiqua" w:cs="Book Antiqua"/>
          <w:color w:val="000000"/>
        </w:rPr>
        <w:t>oxygen uptake (</w:t>
      </w:r>
      <w:r w:rsidRPr="00CF7FD4">
        <w:rPr>
          <w:rFonts w:ascii="Book Antiqua" w:eastAsia="Book Antiqua" w:hAnsi="Book Antiqua" w:cs="Book Antiqua"/>
          <w:color w:val="000000"/>
        </w:rPr>
        <w:t>VO</w:t>
      </w:r>
      <w:r w:rsidRPr="00CF7FD4">
        <w:rPr>
          <w:rFonts w:ascii="Book Antiqua" w:eastAsia="Book Antiqua" w:hAnsi="Book Antiqua" w:cs="Book Antiqua"/>
          <w:color w:val="000000"/>
          <w:vertAlign w:val="subscript"/>
        </w:rPr>
        <w:t>2</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FC5434" w:rsidRPr="00CF7FD4">
        <w:rPr>
          <w:rFonts w:ascii="Book Antiqua" w:eastAsia="Book Antiqua" w:hAnsi="Book Antiqua" w:cs="Book Antiqua"/>
          <w:color w:val="000000"/>
        </w:rPr>
        <w:t>ventilation (</w:t>
      </w:r>
      <w:r w:rsidRPr="00CF7FD4">
        <w:rPr>
          <w:rFonts w:ascii="Book Antiqua" w:eastAsia="Book Antiqua" w:hAnsi="Book Antiqua" w:cs="Book Antiqua"/>
          <w:color w:val="000000"/>
        </w:rPr>
        <w:t>VE</w:t>
      </w:r>
      <w:r w:rsidR="00FC5434" w:rsidRPr="00CF7FD4">
        <w:rPr>
          <w:rFonts w:ascii="Book Antiqua" w:eastAsia="Book Antiqua" w:hAnsi="Book Antiqua" w:cs="Book Antiqua"/>
          <w:color w:val="000000"/>
        </w:rPr>
        <w:t>)</w:t>
      </w:r>
      <w:r w:rsidRPr="00CF7FD4">
        <w:rPr>
          <w:rFonts w:ascii="Book Antiqua" w:eastAsia="Book Antiqua" w:hAnsi="Book Antiqua" w:cs="Book Antiqua"/>
          <w:color w:val="000000"/>
        </w:rPr>
        <w:t>/</w:t>
      </w:r>
      <w:r w:rsidR="00F42752" w:rsidRPr="00CF7FD4">
        <w:rPr>
          <w:rFonts w:ascii="Book Antiqua" w:eastAsia="Book Antiqua" w:hAnsi="Book Antiqua" w:cs="Book Antiqua"/>
          <w:color w:val="000000"/>
        </w:rPr>
        <w:t>carbon dioxide output (</w:t>
      </w:r>
      <w:r w:rsidRPr="00CF7FD4">
        <w:rPr>
          <w:rFonts w:ascii="Book Antiqua" w:eastAsia="Book Antiqua" w:hAnsi="Book Antiqua" w:cs="Book Antiqua"/>
          <w:color w:val="000000"/>
        </w:rPr>
        <w:t>VCO</w:t>
      </w:r>
      <w:r w:rsidRPr="00CF7FD4">
        <w:rPr>
          <w:rFonts w:ascii="Book Antiqua" w:eastAsia="Book Antiqua" w:hAnsi="Book Antiqua" w:cs="Book Antiqua"/>
          <w:color w:val="000000"/>
          <w:vertAlign w:val="subscript"/>
        </w:rPr>
        <w:t>2</w:t>
      </w:r>
      <w:r w:rsidR="00F42752" w:rsidRPr="00CF7FD4">
        <w:rPr>
          <w:rFonts w:ascii="Book Antiqua" w:eastAsia="Book Antiqua" w:hAnsi="Book Antiqua" w:cs="Book Antiqua"/>
          <w:color w:val="000000"/>
        </w:rPr>
        <w:t>)</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were used in order to divide these patients in two groups for each parameter. </w:t>
      </w:r>
      <w:r w:rsidRPr="00CF7FD4">
        <w:rPr>
          <w:rFonts w:ascii="Book Antiqua" w:eastAsia="Book Antiqua" w:hAnsi="Book Antiqua" w:cs="Book Antiqua"/>
          <w:color w:val="000000"/>
        </w:rPr>
        <w:lastRenderedPageBreak/>
        <w:t>Cut off values (medians) were set for each of these parameters; a value of 18.0 mL/kg/min was set for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a value of 65.5% for predicted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and a value of 32.5 for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The demographic and exercise characteristics between severity groups divided by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are </w:t>
      </w:r>
      <w:r w:rsidR="00525A27" w:rsidRPr="00CF7FD4">
        <w:rPr>
          <w:rFonts w:ascii="Book Antiqua" w:eastAsia="Book Antiqua" w:hAnsi="Book Antiqua" w:cs="Book Antiqua"/>
          <w:color w:val="000000"/>
        </w:rPr>
        <w:t xml:space="preserve">shown </w:t>
      </w:r>
      <w:r w:rsidRPr="00CF7FD4">
        <w:rPr>
          <w:rFonts w:ascii="Book Antiqua" w:eastAsia="Book Antiqua" w:hAnsi="Book Antiqua" w:cs="Book Antiqua"/>
          <w:color w:val="000000"/>
        </w:rPr>
        <w:t xml:space="preserve">in Table 1 and for the other parameters in Supplementary </w:t>
      </w:r>
      <w:r w:rsidR="00883B76" w:rsidRPr="00CF7FD4">
        <w:rPr>
          <w:rFonts w:ascii="Book Antiqua" w:eastAsia="Book Antiqua" w:hAnsi="Book Antiqua" w:cs="Book Antiqua"/>
          <w:color w:val="000000"/>
        </w:rPr>
        <w:t>T</w:t>
      </w:r>
      <w:r w:rsidRPr="00CF7FD4">
        <w:rPr>
          <w:rFonts w:ascii="Book Antiqua" w:eastAsia="Book Antiqua" w:hAnsi="Book Antiqua" w:cs="Book Antiqua"/>
          <w:color w:val="000000"/>
        </w:rPr>
        <w:t>ables 1-3.</w:t>
      </w:r>
    </w:p>
    <w:p w14:paraId="30131DCA" w14:textId="6F89D28F"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Patients were also divided in two groups according to their EF. The first group consisted of patients with CHF with a reduced EF (&lt;</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40%)</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the second group included patients with CHF with a mid-ranged EF (40</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-49%).</w:t>
      </w:r>
    </w:p>
    <w:p w14:paraId="686A9E67" w14:textId="77777777" w:rsidR="00A77B3E" w:rsidRPr="00CF7FD4" w:rsidRDefault="00A77B3E" w:rsidP="00CF7FD4">
      <w:pPr>
        <w:snapToGrid w:val="0"/>
        <w:spacing w:line="360" w:lineRule="auto"/>
        <w:jc w:val="both"/>
      </w:pPr>
    </w:p>
    <w:p w14:paraId="5D4BD552" w14:textId="6C40F6DC" w:rsidR="00A77B3E" w:rsidRPr="00CF7FD4" w:rsidRDefault="00883B76" w:rsidP="00CF7FD4">
      <w:pPr>
        <w:snapToGrid w:val="0"/>
        <w:spacing w:line="360" w:lineRule="auto"/>
        <w:jc w:val="both"/>
      </w:pPr>
      <w:r w:rsidRPr="00CF7FD4">
        <w:rPr>
          <w:rFonts w:ascii="Book Antiqua" w:eastAsia="Book Antiqua" w:hAnsi="Book Antiqua" w:cs="Book Antiqua"/>
          <w:b/>
          <w:bCs/>
          <w:i/>
          <w:iCs/>
          <w:color w:val="000000"/>
        </w:rPr>
        <w:t>CPET</w:t>
      </w:r>
    </w:p>
    <w:p w14:paraId="414386F3" w14:textId="53BB35B2"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Patient performed a ramp-incremental exercise test, using the Hansen </w:t>
      </w:r>
      <w:r w:rsidRPr="00CF7FD4">
        <w:rPr>
          <w:rFonts w:ascii="Book Antiqua" w:eastAsia="Book Antiqua" w:hAnsi="Book Antiqua" w:cs="Book Antiqua"/>
          <w:i/>
          <w:iCs/>
          <w:color w:val="000000"/>
        </w:rPr>
        <w:t>et al</w:t>
      </w:r>
      <w:r w:rsidR="00883B76" w:rsidRPr="00CF7FD4">
        <w:rPr>
          <w:rFonts w:ascii="Book Antiqua" w:eastAsia="Book Antiqua" w:hAnsi="Book Antiqua" w:cs="Book Antiqua"/>
          <w:color w:val="000000"/>
          <w:vertAlign w:val="superscript"/>
        </w:rPr>
        <w:t>[18]</w:t>
      </w:r>
      <w:r w:rsidRPr="00CF7FD4">
        <w:rPr>
          <w:rFonts w:ascii="Book Antiqua" w:eastAsia="Book Antiqua" w:hAnsi="Book Antiqua" w:cs="Book Antiqua"/>
          <w:color w:val="000000"/>
        </w:rPr>
        <w:t xml:space="preserve"> equation for individual work rate increments, so as to aim for a test of 8</w:t>
      </w:r>
      <w:r w:rsidR="00883B76" w:rsidRPr="00CF7FD4">
        <w:rPr>
          <w:rFonts w:ascii="Book Antiqua" w:eastAsia="Book Antiqua" w:hAnsi="Book Antiqua" w:cs="Book Antiqua"/>
          <w:color w:val="000000"/>
        </w:rPr>
        <w:t>-</w:t>
      </w:r>
      <w:r w:rsidRPr="00CF7FD4">
        <w:rPr>
          <w:rFonts w:ascii="Book Antiqua" w:eastAsia="Book Antiqua" w:hAnsi="Book Antiqua" w:cs="Book Antiqua"/>
          <w:color w:val="000000"/>
        </w:rPr>
        <w:t>12 min</w:t>
      </w:r>
      <w:r w:rsidR="00883B76"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duration. The nose of the patients was clamped</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breath</w:t>
      </w:r>
      <w:r w:rsidR="00525A27"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through a special mask with a low resistance valve and a known gas mixture. Breathing parameters such as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 were measured in each breath by the software</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their values were recorded at the monitor of the computer system (Vmax 229, Sensor Medics). The gas exchanges of each patient were also recorded in order to calculate more specific values such as resting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at peak exercise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predicted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at peak exercise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and VE/VCO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slope.</w:t>
      </w:r>
    </w:p>
    <w:p w14:paraId="569D0226" w14:textId="5FB17F3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All of the measurements were usually recorded in four time points; the first was for 2 min at rest (baseline values), the second for 2 min of unloaded pedaling before the beginning of the exercise, the third during exercise and the last for 5 min during the recovery point. A 12</w:t>
      </w:r>
      <w:r w:rsidR="00A37171" w:rsidRPr="00CF7FD4">
        <w:rPr>
          <w:rFonts w:ascii="Book Antiqua" w:eastAsia="Book Antiqua" w:hAnsi="Book Antiqua" w:cs="Book Antiqua"/>
          <w:color w:val="000000"/>
        </w:rPr>
        <w:t>-l</w:t>
      </w:r>
      <w:r w:rsidRPr="00CF7FD4">
        <w:rPr>
          <w:rFonts w:ascii="Book Antiqua" w:eastAsia="Book Antiqua" w:hAnsi="Book Antiqua" w:cs="Book Antiqua"/>
          <w:color w:val="000000"/>
        </w:rPr>
        <w:t xml:space="preserve">ead electrocardiogram system was also attached on the patient’s body in order to monitor the heart rate and the heart rhythm, a pulse oxymeter on the patient’s finger </w:t>
      </w:r>
      <w:r w:rsidR="00525A27" w:rsidRPr="00CF7FD4">
        <w:rPr>
          <w:rFonts w:ascii="Book Antiqua" w:eastAsia="Book Antiqua" w:hAnsi="Book Antiqua" w:cs="Book Antiqua"/>
          <w:color w:val="000000"/>
        </w:rPr>
        <w:t xml:space="preserve">measured </w:t>
      </w:r>
      <w:r w:rsidRPr="00CF7FD4">
        <w:rPr>
          <w:rFonts w:ascii="Book Antiqua" w:eastAsia="Book Antiqua" w:hAnsi="Book Antiqua" w:cs="Book Antiqua"/>
          <w:color w:val="000000"/>
        </w:rPr>
        <w:t xml:space="preserve">the saturation and blood pressure was measured very 2 min. The end point of the session was due to </w:t>
      </w:r>
      <w:r w:rsidR="00525A27" w:rsidRPr="00CF7FD4">
        <w:rPr>
          <w:rFonts w:ascii="Book Antiqua" w:eastAsia="Book Antiqua" w:hAnsi="Book Antiqua" w:cs="Book Antiqua"/>
          <w:color w:val="000000"/>
        </w:rPr>
        <w:t>electrocardiogram</w:t>
      </w:r>
      <w:r w:rsidR="00525A27" w:rsidRPr="00CF7FD4" w:rsidDel="00525A27">
        <w:rPr>
          <w:rFonts w:ascii="Book Antiqua" w:eastAsia="Book Antiqua" w:hAnsi="Book Antiqua" w:cs="Book Antiqua"/>
          <w:color w:val="000000"/>
        </w:rPr>
        <w:t xml:space="preserve"> </w:t>
      </w:r>
      <w:r w:rsidRPr="00CF7FD4">
        <w:rPr>
          <w:rFonts w:ascii="Book Antiqua" w:eastAsia="Book Antiqua" w:hAnsi="Book Antiqua" w:cs="Book Antiqua"/>
          <w:color w:val="000000"/>
        </w:rPr>
        <w:t>abnormal rhythm at the monitor, dyspnea or leg fatigue of the patient.</w:t>
      </w:r>
    </w:p>
    <w:p w14:paraId="60685EE5" w14:textId="7B4F21CB"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peak values for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 were calculated as the average of measurements made during the 20-s period before the end of </w:t>
      </w:r>
      <w:proofErr w:type="gramStart"/>
      <w:r w:rsidRPr="00CF7FD4">
        <w:rPr>
          <w:rFonts w:ascii="Book Antiqua" w:eastAsia="Book Antiqua" w:hAnsi="Book Antiqua" w:cs="Book Antiqua"/>
          <w:color w:val="000000"/>
        </w:rPr>
        <w:t>exercise</w:t>
      </w:r>
      <w:r w:rsidR="00A37171" w:rsidRPr="00CF7FD4">
        <w:rPr>
          <w:rFonts w:ascii="Book Antiqua" w:eastAsia="Book Antiqua" w:hAnsi="Book Antiqua" w:cs="Book Antiqua"/>
          <w:color w:val="000000"/>
          <w:vertAlign w:val="superscript"/>
        </w:rPr>
        <w:t>[</w:t>
      </w:r>
      <w:proofErr w:type="gramEnd"/>
      <w:r w:rsidR="00A37171" w:rsidRPr="00CF7FD4">
        <w:rPr>
          <w:rFonts w:ascii="Book Antiqua" w:eastAsia="Book Antiqua" w:hAnsi="Book Antiqua" w:cs="Book Antiqua"/>
          <w:color w:val="000000"/>
          <w:vertAlign w:val="superscript"/>
        </w:rPr>
        <w:t>19]</w:t>
      </w:r>
      <w:r w:rsidRPr="00CF7FD4">
        <w:rPr>
          <w:rFonts w:ascii="Book Antiqua" w:eastAsia="Book Antiqua" w:hAnsi="Book Antiqua" w:cs="Book Antiqua"/>
          <w:color w:val="000000"/>
        </w:rPr>
        <w:t xml:space="preserve">. Peak work rate </w:t>
      </w:r>
      <w:r w:rsidRPr="00CF7FD4">
        <w:rPr>
          <w:rFonts w:ascii="Book Antiqua" w:eastAsia="Book Antiqua" w:hAnsi="Book Antiqua" w:cs="Book Antiqua"/>
          <w:color w:val="000000"/>
        </w:rPr>
        <w:lastRenderedPageBreak/>
        <w:t xml:space="preserve">was defined as the highest work rate reached and maintained at a pedaling frequency of no less than 65 revolutions per min. The ventilatory response to exercise was calculated as the slope by linear regression of VE </w:t>
      </w:r>
      <w:r w:rsidRPr="00CF7FD4">
        <w:rPr>
          <w:rFonts w:ascii="Book Antiqua" w:eastAsia="Book Antiqua" w:hAnsi="Book Antiqua" w:cs="Book Antiqua"/>
          <w:i/>
          <w:iCs/>
          <w:color w:val="000000"/>
        </w:rPr>
        <w:t>vs</w:t>
      </w:r>
      <w:r w:rsidRPr="00CF7FD4">
        <w:rPr>
          <w:rFonts w:ascii="Book Antiqua" w:eastAsia="Book Antiqua" w:hAnsi="Book Antiqua" w:cs="Book Antiqua"/>
          <w:color w:val="000000"/>
        </w:rPr>
        <w:t xml:space="preserve"> 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from the beginning of exercise to anaerobic threshold, where the relationship was linear</w:t>
      </w:r>
      <w:r w:rsidR="00920582" w:rsidRPr="00CF7FD4">
        <w:rPr>
          <w:rFonts w:ascii="Book Antiqua" w:eastAsia="Book Antiqua" w:hAnsi="Book Antiqua" w:cs="Book Antiqua"/>
          <w:color w:val="000000"/>
          <w:vertAlign w:val="superscript"/>
        </w:rPr>
        <w:t>[19]</w:t>
      </w:r>
      <w:r w:rsidRPr="00CF7FD4">
        <w:rPr>
          <w:rFonts w:ascii="Book Antiqua" w:eastAsia="Book Antiqua" w:hAnsi="Book Antiqua" w:cs="Book Antiqua"/>
          <w:color w:val="000000"/>
        </w:rPr>
        <w:t>.</w:t>
      </w:r>
    </w:p>
    <w:p w14:paraId="1F0D5108" w14:textId="77777777" w:rsidR="00A77B3E" w:rsidRPr="00CF7FD4" w:rsidRDefault="00A77B3E" w:rsidP="00CF7FD4">
      <w:pPr>
        <w:snapToGrid w:val="0"/>
        <w:spacing w:line="360" w:lineRule="auto"/>
        <w:jc w:val="both"/>
      </w:pPr>
    </w:p>
    <w:p w14:paraId="5CEA7194"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Flow cytometry analyses</w:t>
      </w:r>
    </w:p>
    <w:p w14:paraId="29141428" w14:textId="2EEE7A93"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For evaluation of EPCs, </w:t>
      </w:r>
      <w:r w:rsidR="00920582" w:rsidRPr="00CF7FD4">
        <w:rPr>
          <w:rFonts w:ascii="Book Antiqua" w:eastAsia="Book Antiqua" w:hAnsi="Book Antiqua" w:cs="Book Antiqua"/>
          <w:color w:val="000000"/>
        </w:rPr>
        <w:t>b</w:t>
      </w:r>
      <w:r w:rsidRPr="00CF7FD4">
        <w:rPr>
          <w:rFonts w:ascii="Book Antiqua" w:eastAsia="Book Antiqua" w:hAnsi="Book Antiqua" w:cs="Book Antiqua"/>
          <w:color w:val="000000"/>
        </w:rPr>
        <w:t xml:space="preserve">lood samples were drawn from a peripheral vein of each patient, once before the CPET at rest and once just after the CPET. Venous blood was collected in ethylenediaminetetraacetic acid tubes. Blood samples were taken to the immunology laboratory within the first hour after the collection where they were measured with the use of flow cytometry. The protocol that we implemented was the Duda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920582" w:rsidRPr="00CF7FD4">
        <w:rPr>
          <w:rFonts w:ascii="Book Antiqua" w:eastAsia="Book Antiqua" w:hAnsi="Book Antiqua" w:cs="Book Antiqua"/>
          <w:color w:val="000000"/>
          <w:vertAlign w:val="superscript"/>
        </w:rPr>
        <w:t>[</w:t>
      </w:r>
      <w:proofErr w:type="gramEnd"/>
      <w:r w:rsidR="00920582" w:rsidRPr="00CF7FD4">
        <w:rPr>
          <w:rFonts w:ascii="Book Antiqua" w:eastAsia="Book Antiqua" w:hAnsi="Book Antiqua" w:cs="Book Antiqua"/>
          <w:color w:val="000000"/>
          <w:vertAlign w:val="superscript"/>
        </w:rPr>
        <w:t>20]</w:t>
      </w:r>
      <w:r w:rsidRPr="00CF7FD4">
        <w:rPr>
          <w:rFonts w:ascii="Book Antiqua" w:eastAsia="Book Antiqua" w:hAnsi="Book Antiqua" w:cs="Book Antiqua"/>
          <w:color w:val="000000"/>
        </w:rPr>
        <w:t xml:space="preserve"> protocol</w:t>
      </w:r>
      <w:r w:rsidR="00525A2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where </w:t>
      </w:r>
      <w:r w:rsidR="00525A27"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types of monoclonal antibodies were used; CD45, CD34, CD133 and </w:t>
      </w:r>
      <w:r w:rsidR="00525A27" w:rsidRPr="00CF7FD4">
        <w:rPr>
          <w:rFonts w:ascii="Book Antiqua" w:eastAsia="Book Antiqua" w:hAnsi="Book Antiqua" w:cs="Book Antiqua"/>
          <w:color w:val="000000"/>
        </w:rPr>
        <w:t>vascular endothelial growth factor receptor 2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525A27"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CD309). In the meantime, </w:t>
      </w:r>
      <w:r w:rsidR="00525A27"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different cellular populations, </w:t>
      </w:r>
      <w:r w:rsidR="00525A27"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subgroups of EPCs and </w:t>
      </w:r>
      <w:r w:rsidR="00525A27"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subgroups of circulating endothelial cells (CECs) were defined; these were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(EPCs subgroups),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(CECs subgroups).</w:t>
      </w:r>
    </w:p>
    <w:p w14:paraId="025610C3" w14:textId="50D1334A"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Four-color flow cytometry was performed in the Flow Cytometry Core Laboratory with BD FACSCantoII (Becton</w:t>
      </w:r>
      <w:r w:rsidR="00920582" w:rsidRPr="00CF7FD4">
        <w:rPr>
          <w:rFonts w:ascii="Book Antiqua" w:eastAsia="Book Antiqua" w:hAnsi="Book Antiqua" w:cs="Book Antiqua"/>
          <w:color w:val="000000"/>
        </w:rPr>
        <w:t>-</w:t>
      </w:r>
      <w:r w:rsidRPr="00CF7FD4">
        <w:rPr>
          <w:rFonts w:ascii="Book Antiqua" w:eastAsia="Book Antiqua" w:hAnsi="Book Antiqua" w:cs="Book Antiqua"/>
          <w:color w:val="000000"/>
        </w:rPr>
        <w:t>Dickinson</w:t>
      </w:r>
      <w:r w:rsidR="00525A27" w:rsidRPr="00CF7FD4">
        <w:rPr>
          <w:rFonts w:ascii="Book Antiqua" w:eastAsia="Book Antiqua" w:hAnsi="Book Antiqua" w:cs="Book Antiqua"/>
          <w:color w:val="000000"/>
        </w:rPr>
        <w:t>, Franklin Lakes, NJ, United States</w:t>
      </w:r>
      <w:r w:rsidRPr="00CF7FD4">
        <w:rPr>
          <w:rFonts w:ascii="Book Antiqua" w:eastAsia="Book Antiqua" w:hAnsi="Book Antiqua" w:cs="Book Antiqua"/>
          <w:color w:val="000000"/>
        </w:rPr>
        <w:t xml:space="preserve">) flow cytometer. Each analysis on the flow cytometer included </w:t>
      </w:r>
      <w:r w:rsidR="00920582" w:rsidRPr="00CF7FD4">
        <w:rPr>
          <w:rFonts w:ascii="Book Antiqua" w:eastAsia="Book Antiqua" w:hAnsi="Book Antiqua" w:cs="Book Antiqua"/>
          <w:color w:val="000000"/>
        </w:rPr>
        <w:t xml:space="preserve">1 × </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events. The number of EPCs was expressed as absolute number of cells</w:t>
      </w:r>
      <w:r w:rsidR="00F95E02" w:rsidRPr="00CF7FD4">
        <w:rPr>
          <w:rFonts w:ascii="Book Antiqua" w:eastAsia="Book Antiqua" w:hAnsi="Book Antiqua" w:cs="Book Antiqua"/>
          <w:color w:val="000000"/>
        </w:rPr>
        <w:t>/</w:t>
      </w:r>
      <w:r w:rsidRPr="00CF7FD4">
        <w:rPr>
          <w:rFonts w:ascii="Book Antiqua" w:eastAsia="Book Antiqua" w:hAnsi="Book Antiqua" w:cs="Book Antiqua"/>
          <w:color w:val="000000"/>
        </w:rPr>
        <w:t>10</w:t>
      </w:r>
      <w:r w:rsidRPr="00CF7FD4">
        <w:rPr>
          <w:rFonts w:ascii="Book Antiqua" w:eastAsia="Book Antiqua" w:hAnsi="Book Antiqua" w:cs="Book Antiqua"/>
          <w:color w:val="000000"/>
          <w:vertAlign w:val="superscript"/>
        </w:rPr>
        <w:t>6</w:t>
      </w:r>
      <w:r w:rsidRPr="00CF7FD4">
        <w:rPr>
          <w:rFonts w:ascii="Book Antiqua" w:eastAsia="Book Antiqua" w:hAnsi="Book Antiqua" w:cs="Book Antiqua"/>
          <w:color w:val="000000"/>
        </w:rPr>
        <w:t xml:space="preserve"> enucleated cells (Figure 1).</w:t>
      </w:r>
    </w:p>
    <w:p w14:paraId="3ACDAE3B" w14:textId="77777777" w:rsidR="00A77B3E" w:rsidRPr="00CF7FD4" w:rsidRDefault="00A77B3E" w:rsidP="00CF7FD4">
      <w:pPr>
        <w:snapToGrid w:val="0"/>
        <w:spacing w:line="360" w:lineRule="auto"/>
        <w:jc w:val="both"/>
      </w:pPr>
    </w:p>
    <w:p w14:paraId="7FA1D96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i/>
          <w:iCs/>
          <w:color w:val="000000"/>
        </w:rPr>
        <w:t>Statistical analyses</w:t>
      </w:r>
    </w:p>
    <w:p w14:paraId="7F1E8907" w14:textId="0788282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Patients </w:t>
      </w:r>
      <w:r w:rsidR="003736D9" w:rsidRPr="00CF7FD4">
        <w:rPr>
          <w:rFonts w:ascii="Book Antiqua" w:eastAsia="Book Antiqua" w:hAnsi="Book Antiqua" w:cs="Book Antiqua"/>
          <w:color w:val="000000"/>
        </w:rPr>
        <w:t xml:space="preserve">were </w:t>
      </w:r>
      <w:r w:rsidRPr="00CF7FD4">
        <w:rPr>
          <w:rFonts w:ascii="Book Antiqua" w:eastAsia="Book Antiqua" w:hAnsi="Book Antiqua" w:cs="Book Antiqua"/>
          <w:color w:val="000000"/>
        </w:rPr>
        <w:t>divided according to CHF severity based on CPET assessment</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results are presented according to severity groups. Descriptive characteristics are expressed as mean ±</w:t>
      </w:r>
      <w:r w:rsidR="00F95E02" w:rsidRPr="00CF7FD4">
        <w:rPr>
          <w:rFonts w:ascii="Book Antiqua" w:eastAsia="Book Antiqua" w:hAnsi="Book Antiqua" w:cs="Book Antiqua"/>
          <w:color w:val="000000"/>
        </w:rPr>
        <w:t xml:space="preserve"> </w:t>
      </w:r>
      <w:r w:rsidR="003736D9" w:rsidRPr="00CF7FD4">
        <w:rPr>
          <w:rFonts w:ascii="Book Antiqua" w:eastAsia="Book Antiqua" w:hAnsi="Book Antiqua" w:cs="Book Antiqua"/>
          <w:color w:val="000000"/>
        </w:rPr>
        <w:t>standard deviation</w:t>
      </w:r>
      <w:r w:rsidRPr="00CF7FD4">
        <w:rPr>
          <w:rFonts w:ascii="Book Antiqua" w:eastAsia="Book Antiqua" w:hAnsi="Book Antiqua" w:cs="Book Antiqua"/>
          <w:color w:val="000000"/>
        </w:rPr>
        <w:t xml:space="preserve"> while values of cellular populations belong to non-normal distribution</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are expressed in median (25</w:t>
      </w:r>
      <w:r w:rsidRPr="00CF7FD4">
        <w:rPr>
          <w:rFonts w:ascii="Book Antiqua" w:eastAsia="Book Antiqua" w:hAnsi="Book Antiqua" w:cs="Book Antiqua"/>
          <w:color w:val="000000"/>
          <w:vertAlign w:val="superscript"/>
        </w:rPr>
        <w:t>th</w:t>
      </w:r>
      <w:r w:rsidRPr="00CF7FD4">
        <w:rPr>
          <w:rFonts w:ascii="Book Antiqua" w:eastAsia="Book Antiqua" w:hAnsi="Book Antiqua" w:cs="Book Antiqua"/>
          <w:color w:val="000000"/>
        </w:rPr>
        <w:t>-75</w:t>
      </w:r>
      <w:r w:rsidRPr="00CF7FD4">
        <w:rPr>
          <w:rFonts w:ascii="Book Antiqua" w:eastAsia="Book Antiqua" w:hAnsi="Book Antiqua" w:cs="Book Antiqua"/>
          <w:color w:val="000000"/>
          <w:vertAlign w:val="superscript"/>
        </w:rPr>
        <w:t>th</w:t>
      </w:r>
      <w:r w:rsidRPr="00CF7FD4">
        <w:rPr>
          <w:rFonts w:ascii="Book Antiqua" w:eastAsia="Book Antiqua" w:hAnsi="Book Antiqua" w:cs="Book Antiqua"/>
          <w:color w:val="000000"/>
        </w:rPr>
        <w:t xml:space="preserve"> percentiles). All categorical variables are presented as absolute and percentage values. Normality of distribution was checked with the Shapiro-Wilk test. We used the Spearman’s correlation coefficient to </w:t>
      </w:r>
      <w:r w:rsidRPr="00CF7FD4">
        <w:rPr>
          <w:rFonts w:ascii="Book Antiqua" w:eastAsia="Book Antiqua" w:hAnsi="Book Antiqua" w:cs="Book Antiqua"/>
          <w:color w:val="000000"/>
        </w:rPr>
        <w:lastRenderedPageBreak/>
        <w:t>assess the direction and the magnitude of the association between the absolute and percentage differences of each endothelial cellular population and the values of CPET parameters and EF. Unpaired two sample Student</w:t>
      </w:r>
      <w:r w:rsidR="00920582" w:rsidRPr="00CF7FD4">
        <w:rPr>
          <w:rFonts w:ascii="Book Antiqua" w:eastAsia="Book Antiqua" w:hAnsi="Book Antiqua" w:cs="Book Antiqua"/>
          <w:color w:val="000000"/>
        </w:rPr>
        <w:t>’s</w:t>
      </w:r>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t</w:t>
      </w:r>
      <w:r w:rsidRPr="00CF7FD4">
        <w:rPr>
          <w:rFonts w:ascii="Book Antiqua" w:eastAsia="Book Antiqua" w:hAnsi="Book Antiqua" w:cs="Book Antiqua"/>
          <w:color w:val="000000"/>
        </w:rPr>
        <w:t xml:space="preserve"> test analyzed differences in demographics and CPET parameters between severity groups. Wilcoxon signed-rank test for non-parametric data analyzed differences between cellular populations within severity groups. Differences between severity groups were assessed with factorial analysis of variance (ANOVA) 2 × 2 (time × group). Dependent variables were transformed with the natural logarithm when deviating from normality prior to entering the ANOVA models. All tests were two-tailed</w:t>
      </w:r>
      <w:r w:rsidR="003736D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level of observed statistical significance was adjusted to 0.05. No adjustment for multiple comparisons was performed as ANOVA analyses assessed independent outcomes. Statistical analyses were performed with IBM SPSS 25 Statistics software</w:t>
      </w:r>
      <w:r w:rsidR="003736D9" w:rsidRPr="00CF7FD4">
        <w:rPr>
          <w:rFonts w:ascii="Book Antiqua" w:eastAsia="Book Antiqua" w:hAnsi="Book Antiqua" w:cs="Book Antiqua"/>
          <w:color w:val="000000"/>
        </w:rPr>
        <w:t xml:space="preserve"> (Armonk, NY, United States)</w:t>
      </w:r>
      <w:r w:rsidRPr="00CF7FD4">
        <w:rPr>
          <w:rFonts w:ascii="Book Antiqua" w:eastAsia="Book Antiqua" w:hAnsi="Book Antiqua" w:cs="Book Antiqua"/>
          <w:color w:val="000000"/>
        </w:rPr>
        <w:t>.</w:t>
      </w:r>
    </w:p>
    <w:p w14:paraId="517BC35C" w14:textId="77777777" w:rsidR="00A77B3E" w:rsidRPr="00CF7FD4" w:rsidRDefault="00A77B3E" w:rsidP="00CF7FD4">
      <w:pPr>
        <w:snapToGrid w:val="0"/>
        <w:spacing w:line="360" w:lineRule="auto"/>
        <w:jc w:val="both"/>
      </w:pPr>
    </w:p>
    <w:p w14:paraId="140276F8"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RESULTS</w:t>
      </w:r>
    </w:p>
    <w:p w14:paraId="3D9AB3B4" w14:textId="38875BB5" w:rsidR="00A77B3E" w:rsidRPr="00CF7FD4" w:rsidRDefault="002045B7" w:rsidP="00CF7FD4">
      <w:pPr>
        <w:snapToGrid w:val="0"/>
        <w:spacing w:line="360" w:lineRule="auto"/>
        <w:jc w:val="both"/>
      </w:pPr>
      <w:r w:rsidRPr="00CF7FD4">
        <w:rPr>
          <w:rFonts w:ascii="Book Antiqua" w:eastAsia="Book Antiqua" w:hAnsi="Book Antiqua" w:cs="Book Antiqua"/>
          <w:color w:val="000000"/>
        </w:rPr>
        <w:t>Both severity groups</w:t>
      </w:r>
      <w:r w:rsidR="00FB1155" w:rsidRPr="00CF7FD4">
        <w:rPr>
          <w:rFonts w:ascii="Book Antiqua" w:eastAsia="Book Antiqua" w:hAnsi="Book Antiqua" w:cs="Book Antiqua"/>
          <w:color w:val="000000"/>
        </w:rPr>
        <w:t>, which were</w:t>
      </w:r>
      <w:r w:rsidRPr="00CF7FD4">
        <w:rPr>
          <w:rFonts w:ascii="Book Antiqua" w:eastAsia="Book Antiqua" w:hAnsi="Book Antiqua" w:cs="Book Antiqua"/>
          <w:color w:val="000000"/>
        </w:rPr>
        <w:t xml:space="preserve"> divided according to the median value of peak VO</w:t>
      </w:r>
      <w:r w:rsidRPr="00CF7FD4">
        <w:rPr>
          <w:rFonts w:ascii="Book Antiqua" w:eastAsia="Book Antiqua" w:hAnsi="Book Antiqua" w:cs="Book Antiqua"/>
          <w:color w:val="000000"/>
          <w:vertAlign w:val="subscript"/>
        </w:rPr>
        <w:t>2</w:t>
      </w:r>
      <w:r w:rsidR="00FB1155"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increased the mobilization of their endothelial cellular populations after a symptom-limited </w:t>
      </w:r>
      <w:r w:rsidR="00883B76" w:rsidRPr="00CF7FD4">
        <w:rPr>
          <w:rFonts w:ascii="Book Antiqua" w:eastAsia="Book Antiqua" w:hAnsi="Book Antiqua" w:cs="Book Antiqua"/>
          <w:color w:val="000000"/>
        </w:rPr>
        <w:t>CPET</w:t>
      </w:r>
      <w:r w:rsidRPr="00CF7FD4">
        <w:rPr>
          <w:rFonts w:ascii="Book Antiqua" w:eastAsia="Book Antiqua" w:hAnsi="Book Antiqua" w:cs="Book Antiqua"/>
          <w:color w:val="000000"/>
        </w:rPr>
        <w:t xml:space="preserve"> (Table 2). In group 1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18.0 mL/kg/min),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b/>
          <w:bCs/>
          <w:color w:val="000000"/>
        </w:rPr>
        <w:t xml:space="preserve"> </w:t>
      </w:r>
      <w:r w:rsidRPr="00CF7FD4">
        <w:rPr>
          <w:rFonts w:ascii="Book Antiqua" w:eastAsia="Book Antiqua" w:hAnsi="Book Antiqua" w:cs="Book Antiqua"/>
          <w:color w:val="000000"/>
        </w:rPr>
        <w:t xml:space="preserve">≥ 18.0 mL/kg/min) all endothelial cellular populations increased (Table 2).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2 and Supplementary </w:t>
      </w:r>
      <w:r w:rsidR="00920582" w:rsidRPr="00CF7FD4">
        <w:rPr>
          <w:rFonts w:ascii="Book Antiqua" w:eastAsia="Book Antiqua" w:hAnsi="Book Antiqua" w:cs="Book Antiqua"/>
          <w:color w:val="000000"/>
        </w:rPr>
        <w:t>F</w:t>
      </w:r>
      <w:r w:rsidRPr="00CF7FD4">
        <w:rPr>
          <w:rFonts w:ascii="Book Antiqua" w:eastAsia="Book Antiqua" w:hAnsi="Book Antiqua" w:cs="Book Antiqua"/>
          <w:color w:val="000000"/>
        </w:rPr>
        <w:t xml:space="preserve">igure 1). Figure 2 </w:t>
      </w:r>
      <w:r w:rsidR="00FB1155" w:rsidRPr="00CF7FD4">
        <w:rPr>
          <w:rFonts w:ascii="Book Antiqua" w:eastAsia="Book Antiqua" w:hAnsi="Book Antiqua" w:cs="Book Antiqua"/>
          <w:color w:val="000000"/>
        </w:rPr>
        <w:t xml:space="preserve">shows </w:t>
      </w:r>
      <w:r w:rsidRPr="00CF7FD4">
        <w:rPr>
          <w:rFonts w:ascii="Book Antiqua" w:eastAsia="Book Antiqua" w:hAnsi="Book Antiqua" w:cs="Book Antiqua"/>
          <w:color w:val="000000"/>
        </w:rPr>
        <w:t xml:space="preserve">the difference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w:t>
      </w:r>
    </w:p>
    <w:p w14:paraId="72ECCF4A" w14:textId="3BD61242"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Regarding severity groups divided according to the median value of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 xml:space="preserve">increased the mobilization of their endothelial cellular populations after maximal CPET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4). In group 1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65.5%), all endothelial cellular populations increased</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65.5%) all endothelial cellular populations increased except for</w:t>
      </w:r>
      <w:r w:rsidR="00FB1155" w:rsidRPr="00CF7FD4">
        <w:rPr>
          <w:rFonts w:ascii="Book Antiqua" w:eastAsia="Book Antiqua" w:hAnsi="Book Antiqua" w:cs="Book Antiqua"/>
          <w:color w:val="000000"/>
        </w:rPr>
        <w:t xml:space="preserve"> the</w:t>
      </w:r>
      <w:r w:rsidRPr="00CF7FD4">
        <w:rPr>
          <w:rFonts w:ascii="Book Antiqua" w:eastAsia="Book Antiqua" w:hAnsi="Book Antiqua" w:cs="Book Antiqua"/>
          <w:color w:val="000000"/>
        </w:rPr>
        <w:t xml:space="preserve">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 xml:space="preserve">able 4). No differences in the mobilization of </w:t>
      </w:r>
      <w:r w:rsidRPr="00CF7FD4">
        <w:rPr>
          <w:rFonts w:ascii="Book Antiqua" w:eastAsia="Book Antiqua" w:hAnsi="Book Antiqua" w:cs="Book Antiqua"/>
          <w:color w:val="000000"/>
        </w:rPr>
        <w:lastRenderedPageBreak/>
        <w:t xml:space="preserve">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4).</w:t>
      </w:r>
    </w:p>
    <w:p w14:paraId="01D92DFE" w14:textId="1E87503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As far as severity groups divided according to the median value of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are concerned,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increased the mobilization of their endothelial cellular populations after maximal CPET (Table 3). In group 1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&lt; 32.5),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EPCs population</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32.5) all endothelial cellular populations increased (Table 3).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3).</w:t>
      </w:r>
    </w:p>
    <w:p w14:paraId="03C6102A" w14:textId="481CE01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Finally, for severity groups divided according to their EF, they both</w:t>
      </w:r>
      <w:r w:rsidRPr="00CF7FD4">
        <w:rPr>
          <w:rFonts w:ascii="Book Antiqua" w:eastAsia="Book Antiqua" w:hAnsi="Book Antiqua" w:cs="Book Antiqua"/>
          <w:color w:val="000000"/>
          <w:vertAlign w:val="subscript"/>
        </w:rPr>
        <w:t xml:space="preserve"> </w:t>
      </w:r>
      <w:r w:rsidRPr="00CF7FD4">
        <w:rPr>
          <w:rFonts w:ascii="Book Antiqua" w:eastAsia="Book Antiqua" w:hAnsi="Book Antiqua" w:cs="Book Antiqua"/>
          <w:color w:val="000000"/>
        </w:rPr>
        <w:t>increased the mobilization of their endothelial cellular populations after maximal CPET (Table 4). In group 1 (EF</w:t>
      </w:r>
      <w:r w:rsidRPr="00CF7FD4">
        <w:rPr>
          <w:rFonts w:ascii="Book Antiqua" w:eastAsia="Book Antiqua" w:hAnsi="Book Antiqua" w:cs="Book Antiqua"/>
          <w:b/>
          <w:bCs/>
          <w:color w:val="000000"/>
          <w:vertAlign w:val="subscript"/>
        </w:rPr>
        <w:t xml:space="preserve"> </w:t>
      </w:r>
      <w:r w:rsidRPr="00CF7FD4">
        <w:rPr>
          <w:rFonts w:ascii="Book Antiqua" w:eastAsia="Book Antiqua" w:hAnsi="Book Antiqua" w:cs="Book Antiqua"/>
          <w:color w:val="000000"/>
        </w:rPr>
        <w:t>&lt; 40%), all endothelial cellular populations increased</w:t>
      </w:r>
      <w:r w:rsidR="00FB115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in group 2 (EF</w:t>
      </w:r>
      <w:r w:rsidRPr="00CF7FD4">
        <w:rPr>
          <w:rFonts w:ascii="Book Antiqua" w:eastAsia="Book Antiqua" w:hAnsi="Book Antiqua" w:cs="Book Antiqua"/>
          <w:b/>
          <w:bCs/>
          <w:color w:val="000000"/>
          <w:vertAlign w:val="subscript"/>
        </w:rPr>
        <w:t xml:space="preserve"> </w:t>
      </w:r>
      <w:r w:rsidRPr="00CF7FD4">
        <w:rPr>
          <w:rFonts w:ascii="Book Antiqua" w:eastAsia="Book Antiqua" w:hAnsi="Book Antiqua" w:cs="Book Antiqua"/>
          <w:color w:val="000000"/>
        </w:rPr>
        <w:t xml:space="preserve">≥ 40%) all endothelial cellular populations increased except for </w:t>
      </w:r>
      <w:r w:rsidR="00FB1155" w:rsidRPr="00CF7FD4">
        <w:rPr>
          <w:rFonts w:ascii="Book Antiqua" w:eastAsia="Book Antiqua" w:hAnsi="Book Antiqua" w:cs="Book Antiqua"/>
          <w:color w:val="000000"/>
        </w:rPr>
        <w:t xml:space="preserve">the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population (Table 4). No differences in the mobilization of endothelial cellular populations between the </w:t>
      </w:r>
      <w:r w:rsidR="00FB1155"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severity groups were observed (Table 4).</w:t>
      </w:r>
    </w:p>
    <w:p w14:paraId="6066D926" w14:textId="460BECF4"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A positive correlation between percentage difference in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population and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was observed (</w:t>
      </w:r>
      <w:r w:rsidRPr="00CF7FD4">
        <w:rPr>
          <w:rFonts w:ascii="Book Antiqua" w:eastAsia="Book Antiqua" w:hAnsi="Book Antiqua" w:cs="Book Antiqua"/>
          <w:i/>
          <w:iCs/>
          <w:color w:val="000000"/>
        </w:rPr>
        <w:t>r</w:t>
      </w:r>
      <w:r w:rsidRPr="00CF7FD4">
        <w:rPr>
          <w:rFonts w:ascii="Book Antiqua" w:eastAsia="Book Antiqua" w:hAnsi="Book Antiqua" w:cs="Book Antiqua"/>
          <w:color w:val="000000"/>
        </w:rPr>
        <w:t xml:space="preserve"> = 0.341,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 0.017)</w:t>
      </w:r>
      <w:r w:rsidR="005519D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while the numeric difference in the same population tended</w:t>
      </w:r>
      <w:r w:rsidR="005519D7" w:rsidRPr="00CF7FD4">
        <w:rPr>
          <w:rFonts w:ascii="Book Antiqua" w:eastAsia="Book Antiqua" w:hAnsi="Book Antiqua" w:cs="Book Antiqua"/>
          <w:color w:val="000000"/>
        </w:rPr>
        <w:t xml:space="preserve"> also</w:t>
      </w:r>
      <w:r w:rsidRPr="00CF7FD4">
        <w:rPr>
          <w:rFonts w:ascii="Book Antiqua" w:eastAsia="Book Antiqua" w:hAnsi="Book Antiqua" w:cs="Book Antiqua"/>
          <w:color w:val="000000"/>
        </w:rPr>
        <w:t xml:space="preserve"> to correlate positively (</w:t>
      </w:r>
      <w:r w:rsidRPr="00CF7FD4">
        <w:rPr>
          <w:rFonts w:ascii="Book Antiqua" w:eastAsia="Book Antiqua" w:hAnsi="Book Antiqua" w:cs="Book Antiqua"/>
          <w:i/>
          <w:iCs/>
          <w:color w:val="000000"/>
        </w:rPr>
        <w:t>r</w:t>
      </w:r>
      <w:r w:rsidRPr="00CF7FD4">
        <w:rPr>
          <w:rFonts w:ascii="Book Antiqua" w:eastAsia="Book Antiqua" w:hAnsi="Book Antiqua" w:cs="Book Antiqua"/>
          <w:color w:val="000000"/>
        </w:rPr>
        <w:t xml:space="preserve"> = 0.252, </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 0.081, Supplementary </w:t>
      </w:r>
      <w:r w:rsidR="00920582" w:rsidRPr="00CF7FD4">
        <w:rPr>
          <w:rFonts w:ascii="Book Antiqua" w:eastAsia="Book Antiqua" w:hAnsi="Book Antiqua" w:cs="Book Antiqua"/>
          <w:color w:val="000000"/>
        </w:rPr>
        <w:t>T</w:t>
      </w:r>
      <w:r w:rsidRPr="00CF7FD4">
        <w:rPr>
          <w:rFonts w:ascii="Book Antiqua" w:eastAsia="Book Antiqua" w:hAnsi="Book Antiqua" w:cs="Book Antiqua"/>
          <w:color w:val="000000"/>
        </w:rPr>
        <w:t>able 5). We defined new groups of patients according to the median value of the percentage increase of each endothelial cellular population</w:t>
      </w:r>
      <w:r w:rsidR="00920582" w:rsidRPr="00CF7FD4">
        <w:rPr>
          <w:rFonts w:ascii="Book Antiqua" w:eastAsia="Book Antiqua" w:hAnsi="Book Antiqua" w:cs="Book Antiqua"/>
          <w:color w:val="000000"/>
        </w:rPr>
        <w:t>’</w:t>
      </w:r>
      <w:r w:rsidRPr="00CF7FD4">
        <w:rPr>
          <w:rFonts w:ascii="Book Antiqua" w:eastAsia="Book Antiqua" w:hAnsi="Book Antiqua" w:cs="Book Antiqua"/>
          <w:color w:val="000000"/>
        </w:rPr>
        <w:t>s mobilization. It was re</w:t>
      </w:r>
      <w:r w:rsidR="005519D7" w:rsidRPr="00CF7FD4">
        <w:rPr>
          <w:rFonts w:ascii="Book Antiqua" w:eastAsia="Book Antiqua" w:hAnsi="Book Antiqua" w:cs="Book Antiqua"/>
          <w:color w:val="000000"/>
        </w:rPr>
        <w:t>vealed</w:t>
      </w:r>
      <w:r w:rsidRPr="00CF7FD4">
        <w:rPr>
          <w:rFonts w:ascii="Book Antiqua" w:eastAsia="Book Antiqua" w:hAnsi="Book Antiqua" w:cs="Book Antiqua"/>
          <w:color w:val="000000"/>
        </w:rPr>
        <w:t xml:space="preserve"> that demographics and CPET ind</w:t>
      </w:r>
      <w:r w:rsidR="00AD1CFF" w:rsidRPr="00CF7FD4">
        <w:rPr>
          <w:rFonts w:ascii="Book Antiqua" w:eastAsia="Book Antiqua" w:hAnsi="Book Antiqua" w:cs="Book Antiqua"/>
          <w:color w:val="000000"/>
        </w:rPr>
        <w:t>ices</w:t>
      </w:r>
      <w:r w:rsidRPr="00CF7FD4">
        <w:rPr>
          <w:rFonts w:ascii="Book Antiqua" w:eastAsia="Book Antiqua" w:hAnsi="Book Antiqua" w:cs="Book Antiqua"/>
          <w:color w:val="000000"/>
        </w:rPr>
        <w:t xml:space="preserve"> did not differ between the </w:t>
      </w:r>
      <w:r w:rsidR="005519D7"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 for all endothelial cellular populations except for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EPCs. Patients with greater increase of this latter EPC population after exercise were younger, had higher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920582" w:rsidRPr="00CF7FD4">
        <w:rPr>
          <w:rFonts w:ascii="Book Antiqua" w:eastAsia="Book Antiqua" w:hAnsi="Book Antiqua" w:cs="Book Antiqua"/>
          <w:color w:val="000000"/>
        </w:rPr>
        <w:t>work rate</w:t>
      </w:r>
      <w:r w:rsidRPr="00CF7FD4">
        <w:rPr>
          <w:rFonts w:ascii="Book Antiqua" w:eastAsia="Book Antiqua" w:hAnsi="Book Antiqua" w:cs="Book Antiqua"/>
          <w:color w:val="000000"/>
        </w:rPr>
        <w:t xml:space="preserve"> peak and lower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(Supplementary Table 6).</w:t>
      </w:r>
    </w:p>
    <w:p w14:paraId="64A578FC" w14:textId="77777777" w:rsidR="00A77B3E" w:rsidRPr="00CF7FD4" w:rsidRDefault="00A77B3E" w:rsidP="00CF7FD4">
      <w:pPr>
        <w:snapToGrid w:val="0"/>
        <w:spacing w:line="360" w:lineRule="auto"/>
        <w:jc w:val="both"/>
      </w:pPr>
    </w:p>
    <w:p w14:paraId="3B1F4592"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DISCUSSION</w:t>
      </w:r>
    </w:p>
    <w:p w14:paraId="39BCCCB4" w14:textId="62B29123"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Our present study demonstrated that a symptom-limited maximal CPET exercise stimulates the mobilization of EPCs and CECs in patients with </w:t>
      </w:r>
      <w:r w:rsidR="00456F5A" w:rsidRPr="00CF7FD4">
        <w:rPr>
          <w:rFonts w:ascii="Book Antiqua" w:eastAsia="Book Antiqua" w:hAnsi="Book Antiqua" w:cs="Book Antiqua"/>
          <w:color w:val="000000"/>
        </w:rPr>
        <w:t>CHF</w:t>
      </w:r>
      <w:r w:rsidRPr="00CF7FD4">
        <w:rPr>
          <w:rFonts w:ascii="Book Antiqua" w:eastAsia="Book Antiqua" w:hAnsi="Book Antiqua" w:cs="Book Antiqua"/>
          <w:color w:val="000000"/>
          <w:shd w:val="clear" w:color="auto" w:fill="FFFFFF"/>
        </w:rPr>
        <w:t>. However</w:t>
      </w:r>
      <w:r w:rsidRPr="00CF7FD4">
        <w:rPr>
          <w:rFonts w:ascii="Book Antiqua" w:eastAsia="Book Antiqua" w:hAnsi="Book Antiqua" w:cs="Book Antiqua"/>
          <w:color w:val="000000"/>
        </w:rPr>
        <w:t>, the results of our study did not show any clear association of EPCs and CECs mobilization and CHF severity.</w:t>
      </w:r>
    </w:p>
    <w:p w14:paraId="1B05E6FD" w14:textId="528E37F0"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Attenuated endothelial function has been previously associated with decreased </w:t>
      </w:r>
      <w:proofErr w:type="gramStart"/>
      <w:r w:rsidRPr="00CF7FD4">
        <w:rPr>
          <w:rFonts w:ascii="Book Antiqua" w:eastAsia="Book Antiqua" w:hAnsi="Book Antiqua" w:cs="Book Antiqua"/>
          <w:color w:val="000000"/>
        </w:rPr>
        <w:t>EPCs</w:t>
      </w:r>
      <w:r w:rsidR="00920582"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21</w:t>
      </w:r>
      <w:r w:rsidR="00920582" w:rsidRPr="00CF7FD4">
        <w:rPr>
          <w:rFonts w:ascii="Book Antiqua" w:eastAsia="Book Antiqua" w:hAnsi="Book Antiqua" w:cs="Book Antiqua"/>
          <w:color w:val="000000"/>
          <w:vertAlign w:val="superscript"/>
        </w:rPr>
        <w:t>]</w:t>
      </w:r>
      <w:r w:rsidR="005F5AA0"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and EPCs have been linked to the repair mechanism of endothelial damage</w:t>
      </w:r>
      <w:r w:rsidR="00920582" w:rsidRPr="00CF7FD4">
        <w:rPr>
          <w:rFonts w:ascii="Book Antiqua" w:eastAsia="Book Antiqua" w:hAnsi="Book Antiqua" w:cs="Book Antiqua"/>
          <w:color w:val="000000"/>
          <w:vertAlign w:val="superscript"/>
        </w:rPr>
        <w:t>[10,11]</w:t>
      </w:r>
      <w:r w:rsidRPr="00CF7FD4">
        <w:rPr>
          <w:rFonts w:ascii="Book Antiqua" w:eastAsia="Book Antiqua" w:hAnsi="Book Antiqua" w:cs="Book Antiqua"/>
          <w:color w:val="000000"/>
        </w:rPr>
        <w:t>.</w:t>
      </w:r>
    </w:p>
    <w:p w14:paraId="4C7B4A55" w14:textId="6EEAC5C9"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To our knowledge only one single study has been conducted so far investigating the acute effect of maximal exercise on vascular endothelial function in patients with CHF and most specifically on the EPC </w:t>
      </w:r>
      <w:proofErr w:type="gramStart"/>
      <w:r w:rsidRPr="00CF7FD4">
        <w:rPr>
          <w:rFonts w:ascii="Book Antiqua" w:eastAsia="Book Antiqua" w:hAnsi="Book Antiqua" w:cs="Book Antiqua"/>
          <w:color w:val="000000"/>
        </w:rPr>
        <w:t>populations</w:t>
      </w:r>
      <w:r w:rsidR="00920582" w:rsidRPr="00CF7FD4">
        <w:rPr>
          <w:rFonts w:ascii="Book Antiqua" w:eastAsia="Book Antiqua" w:hAnsi="Book Antiqua" w:cs="Book Antiqua"/>
          <w:color w:val="000000"/>
          <w:vertAlign w:val="superscript"/>
        </w:rPr>
        <w:t>[</w:t>
      </w:r>
      <w:proofErr w:type="gramEnd"/>
      <w:r w:rsidR="00920582"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This was the study of </w:t>
      </w:r>
      <w:r w:rsidR="00920582" w:rsidRPr="00CF7FD4">
        <w:rPr>
          <w:rFonts w:ascii="Book Antiqua" w:eastAsia="Book Antiqua" w:hAnsi="Book Antiqua" w:cs="Book Antiqua"/>
          <w:color w:val="000000"/>
        </w:rPr>
        <w:t>Van Craenenbroeck</w:t>
      </w:r>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et al</w:t>
      </w:r>
      <w:r w:rsidR="00920582"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vertAlign w:val="superscript"/>
        </w:rPr>
        <w:t>22</w:t>
      </w:r>
      <w:r w:rsidR="00920582"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who has investigated the effect of a single exercise bout in reversing endothelial dysfunction in CHF patients. Although Van Craenenbroeck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have shown a significant improvement in circulating angiogenic cell migratory capacity after exercise, they did not notice a significant</w:t>
      </w:r>
      <w:r w:rsidR="005F5AA0" w:rsidRPr="00CF7FD4">
        <w:rPr>
          <w:rFonts w:ascii="Book Antiqua" w:eastAsia="Book Antiqua" w:hAnsi="Book Antiqua" w:cs="Book Antiqua"/>
          <w:color w:val="000000"/>
        </w:rPr>
        <w:t xml:space="preserve"> increase in</w:t>
      </w:r>
      <w:r w:rsidRPr="00CF7FD4">
        <w:rPr>
          <w:rFonts w:ascii="Book Antiqua" w:eastAsia="Book Antiqua" w:hAnsi="Book Antiqua" w:cs="Book Antiqua"/>
          <w:color w:val="000000"/>
        </w:rPr>
        <w:t xml:space="preserve"> EPCs. </w:t>
      </w:r>
      <w:r w:rsidR="005F5AA0" w:rsidRPr="00CF7FD4">
        <w:rPr>
          <w:rFonts w:ascii="Book Antiqua" w:eastAsia="Book Antiqua" w:hAnsi="Book Antiqua" w:cs="Book Antiqua"/>
          <w:color w:val="000000"/>
        </w:rPr>
        <w:t>In</w:t>
      </w:r>
      <w:r w:rsidRPr="00CF7FD4">
        <w:rPr>
          <w:rFonts w:ascii="Book Antiqua" w:eastAsia="Book Antiqua" w:hAnsi="Book Antiqua" w:cs="Book Antiqua"/>
          <w:color w:val="000000"/>
        </w:rPr>
        <w:t xml:space="preserve"> the present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extend previous findings showing that there is a significant EPCs mobilization after a symptom-limited maximal CPET in patients with CHF</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but there was no significant difference between CHF severity groups. </w:t>
      </w:r>
      <w:r w:rsidR="005F5AA0" w:rsidRPr="00CF7FD4">
        <w:rPr>
          <w:rFonts w:ascii="Book Antiqua" w:eastAsia="Book Antiqua" w:hAnsi="Book Antiqua" w:cs="Book Antiqua"/>
          <w:color w:val="000000"/>
        </w:rPr>
        <w:t>An</w:t>
      </w:r>
      <w:r w:rsidRPr="00CF7FD4">
        <w:rPr>
          <w:rFonts w:ascii="Book Antiqua" w:eastAsia="Book Antiqua" w:hAnsi="Book Antiqua" w:cs="Book Antiqua"/>
          <w:color w:val="000000"/>
        </w:rPr>
        <w:t xml:space="preserve"> explanation of these differences between the two studies may be the fact that we used different inclusion criteria and parameters for patient severity. In contrast with Van Craenenbroeck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who divided patients according to N</w:t>
      </w:r>
      <w:r w:rsidR="005F5AA0" w:rsidRPr="00CF7FD4">
        <w:rPr>
          <w:rFonts w:ascii="Book Antiqua" w:eastAsia="Book Antiqua" w:hAnsi="Book Antiqua" w:cs="Book Antiqua"/>
          <w:color w:val="000000"/>
        </w:rPr>
        <w:t>-terminal pro-brain natriuretic peptide</w:t>
      </w:r>
      <w:r w:rsidRPr="00CF7FD4">
        <w:rPr>
          <w:rFonts w:ascii="Book Antiqua" w:eastAsia="Book Antiqua" w:hAnsi="Book Antiqua" w:cs="Book Antiqua"/>
          <w:color w:val="000000"/>
        </w:rPr>
        <w:t xml:space="preserve"> levels, in our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divided patients according to strong prognostic indicators such as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and EF. Another possible explanation of the differences might be the methodology used in our study for the EPC quantification. In our study</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we have used a more analytic EPC quantification with </w:t>
      </w:r>
      <w:r w:rsidR="005F5AA0"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endothelial populations defined with the use of four monoclonal antibodies, whereas Van Craenenbroeck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22]</w:t>
      </w:r>
      <w:r w:rsidRPr="00CF7FD4">
        <w:rPr>
          <w:rFonts w:ascii="Book Antiqua" w:eastAsia="Book Antiqua" w:hAnsi="Book Antiqua" w:cs="Book Antiqua"/>
          <w:color w:val="000000"/>
        </w:rPr>
        <w:t xml:space="preserve"> used two populations of endothelial cells for their determination (defined as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/KDR</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progenitor cells).</w:t>
      </w:r>
    </w:p>
    <w:p w14:paraId="30DF713A" w14:textId="001BCD7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In a previous study from our </w:t>
      </w:r>
      <w:r w:rsidR="00EA22D7" w:rsidRPr="00CF7FD4">
        <w:rPr>
          <w:rFonts w:ascii="Book Antiqua" w:eastAsia="Book Antiqua" w:hAnsi="Book Antiqua" w:cs="Book Antiqua"/>
          <w:color w:val="000000"/>
        </w:rPr>
        <w:t>i</w:t>
      </w:r>
      <w:r w:rsidRPr="00CF7FD4">
        <w:rPr>
          <w:rFonts w:ascii="Book Antiqua" w:eastAsia="Book Antiqua" w:hAnsi="Book Antiqua" w:cs="Book Antiqua"/>
          <w:color w:val="000000"/>
        </w:rPr>
        <w:t xml:space="preserve">nstitute, Stefanou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Pr="00CF7FD4">
        <w:rPr>
          <w:rFonts w:ascii="Book Antiqua" w:eastAsia="Book Antiqua" w:hAnsi="Book Antiqua" w:cs="Book Antiqua"/>
          <w:color w:val="000000"/>
          <w:vertAlign w:val="superscript"/>
        </w:rPr>
        <w:t>23</w:t>
      </w:r>
      <w:r w:rsidR="00EA22D7"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quantified </w:t>
      </w:r>
      <w:r w:rsidR="005F5AA0"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populations of EPCs in critically ill patients with sepsis including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In that study, neuromuscular electrical </w:t>
      </w:r>
      <w:r w:rsidRPr="00CF7FD4">
        <w:rPr>
          <w:rFonts w:ascii="Book Antiqua" w:eastAsia="Book Antiqua" w:hAnsi="Book Antiqua" w:cs="Book Antiqua"/>
          <w:color w:val="000000"/>
        </w:rPr>
        <w:lastRenderedPageBreak/>
        <w:t xml:space="preserve">stimulation, considered as an alternative method of exercise, was applied to these patients showing that it could stimulate the mobilization of EPCs in all of the cellular populations mentioned. The findings of </w:t>
      </w:r>
      <w:r w:rsidR="005F5AA0" w:rsidRPr="00CF7FD4">
        <w:rPr>
          <w:rFonts w:ascii="Book Antiqua" w:eastAsia="Book Antiqua" w:hAnsi="Book Antiqua" w:cs="Book Antiqua"/>
          <w:color w:val="000000"/>
        </w:rPr>
        <w:t xml:space="preserve">the </w:t>
      </w:r>
      <w:proofErr w:type="spellStart"/>
      <w:r w:rsidRPr="00CF7FD4">
        <w:rPr>
          <w:rFonts w:ascii="Book Antiqua" w:eastAsia="Book Antiqua" w:hAnsi="Book Antiqua" w:cs="Book Antiqua"/>
          <w:color w:val="000000"/>
        </w:rPr>
        <w:t>Stefanou</w:t>
      </w:r>
      <w:proofErr w:type="spellEnd"/>
      <w:r w:rsidRPr="00CF7FD4">
        <w:rPr>
          <w:rFonts w:ascii="Book Antiqua" w:eastAsia="Book Antiqua" w:hAnsi="Book Antiqua" w:cs="Book Antiqua"/>
          <w:color w:val="000000"/>
        </w:rPr>
        <w:t xml:space="preserve"> </w:t>
      </w:r>
      <w:r w:rsidRPr="00CF7FD4">
        <w:rPr>
          <w:rFonts w:ascii="Book Antiqua" w:eastAsia="Book Antiqua" w:hAnsi="Book Antiqua" w:cs="Book Antiqua"/>
          <w:i/>
          <w:iCs/>
          <w:color w:val="000000"/>
        </w:rPr>
        <w:t xml:space="preserve">et </w:t>
      </w:r>
      <w:proofErr w:type="gramStart"/>
      <w:r w:rsidRPr="00CF7FD4">
        <w:rPr>
          <w:rFonts w:ascii="Book Antiqua" w:eastAsia="Book Antiqua" w:hAnsi="Book Antiqua" w:cs="Book Antiqua"/>
          <w:i/>
          <w:iCs/>
          <w:color w:val="000000"/>
        </w:rPr>
        <w:t>al</w:t>
      </w:r>
      <w:r w:rsidR="00EA22D7" w:rsidRPr="00CF7FD4">
        <w:rPr>
          <w:rFonts w:ascii="Book Antiqua" w:eastAsia="Book Antiqua" w:hAnsi="Book Antiqua" w:cs="Book Antiqua"/>
          <w:color w:val="000000"/>
          <w:vertAlign w:val="superscript"/>
        </w:rPr>
        <w:t>[</w:t>
      </w:r>
      <w:proofErr w:type="gramEnd"/>
      <w:r w:rsidR="00EA22D7" w:rsidRPr="00CF7FD4">
        <w:rPr>
          <w:rFonts w:ascii="Book Antiqua" w:eastAsia="Book Antiqua" w:hAnsi="Book Antiqua" w:cs="Book Antiqua"/>
          <w:color w:val="000000"/>
          <w:vertAlign w:val="superscript"/>
        </w:rPr>
        <w:t>23]</w:t>
      </w:r>
      <w:r w:rsidRPr="00CF7FD4">
        <w:rPr>
          <w:rFonts w:ascii="Book Antiqua" w:eastAsia="Book Antiqua" w:hAnsi="Book Antiqua" w:cs="Book Antiqua"/>
          <w:color w:val="000000"/>
        </w:rPr>
        <w:t xml:space="preserve"> study is in agreement with our findings as we also observed </w:t>
      </w:r>
      <w:r w:rsidRPr="00CF7FD4">
        <w:rPr>
          <w:rFonts w:ascii="Book Antiqua" w:eastAsia="Book Antiqua" w:hAnsi="Book Antiqua" w:cs="Book Antiqua"/>
          <w:color w:val="000000"/>
          <w:shd w:val="clear" w:color="auto" w:fill="FFFFFF"/>
        </w:rPr>
        <w:t>a mobilization of EPCs in all cellular populations after a single session of exercise training.</w:t>
      </w:r>
    </w:p>
    <w:p w14:paraId="07078974" w14:textId="194EB28E"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novel insight of our study, in comparison with previous studies, is the assessment of the acute mobilization of EPCs after maximal exercise according to CHF severity by using strong prognostic CPET parameters such as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VE/VCO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slope. An interesting finding from our study was that those patients who had a greater increase in a single EPCs population (</w:t>
      </w:r>
      <w:r w:rsidR="005F5AA0" w:rsidRPr="00162F0A">
        <w:rPr>
          <w:rFonts w:ascii="Book Antiqua" w:eastAsia="Book Antiqua" w:hAnsi="Book Antiqua" w:cs="Book Antiqua"/>
          <w:i/>
          <w:iCs/>
          <w:color w:val="000000"/>
        </w:rPr>
        <w:t>i.e.</w:t>
      </w:r>
      <w:r w:rsidR="005F5AA0"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cells population) were younger and had better CPET performance. The </w:t>
      </w:r>
      <w:r w:rsidR="005F5AA0" w:rsidRPr="00CF7FD4">
        <w:rPr>
          <w:rFonts w:ascii="Book Antiqua" w:eastAsia="Book Antiqua" w:hAnsi="Book Antiqua" w:cs="Book Antiqua"/>
          <w:color w:val="000000"/>
        </w:rPr>
        <w:t xml:space="preserve">underlying </w:t>
      </w:r>
      <w:r w:rsidRPr="00CF7FD4">
        <w:rPr>
          <w:rFonts w:ascii="Book Antiqua" w:eastAsia="Book Antiqua" w:hAnsi="Book Antiqua" w:cs="Book Antiqua"/>
          <w:color w:val="000000"/>
        </w:rPr>
        <w:t xml:space="preserve">mechanism of this finding cannot be </w:t>
      </w:r>
      <w:r w:rsidR="005F5AA0" w:rsidRPr="00CF7FD4">
        <w:rPr>
          <w:rFonts w:ascii="Book Antiqua" w:eastAsia="Book Antiqua" w:hAnsi="Book Antiqua" w:cs="Book Antiqua"/>
          <w:color w:val="000000"/>
        </w:rPr>
        <w:t xml:space="preserve">discerned </w:t>
      </w:r>
      <w:r w:rsidRPr="00CF7FD4">
        <w:rPr>
          <w:rFonts w:ascii="Book Antiqua" w:eastAsia="Book Antiqua" w:hAnsi="Book Antiqua" w:cs="Book Antiqua"/>
          <w:color w:val="000000"/>
        </w:rPr>
        <w:t>from the present study; secreting cytokines such as VEGF might interact more with this particular EPC population</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its secretion might be related with the degree of endothelium damage and the exercise stimuli. However, further study is needed to investigate this finding.</w:t>
      </w:r>
    </w:p>
    <w:p w14:paraId="4730D047" w14:textId="78A074DF"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The present study has also introduced a more analytic methodology to quantify and define EPCs and CECs compar</w:t>
      </w:r>
      <w:r w:rsidR="005F5AA0"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to previous studies. EPCs and CECs are being used as an index of the endothelium restoration potential and </w:t>
      </w:r>
      <w:r w:rsidR="005F5AA0" w:rsidRPr="00CF7FD4">
        <w:rPr>
          <w:rFonts w:ascii="Book Antiqua" w:eastAsia="Book Antiqua" w:hAnsi="Book Antiqua" w:cs="Book Antiqua"/>
          <w:color w:val="000000"/>
        </w:rPr>
        <w:t xml:space="preserve">to </w:t>
      </w:r>
      <w:r w:rsidRPr="00CF7FD4">
        <w:rPr>
          <w:rFonts w:ascii="Book Antiqua" w:eastAsia="Book Antiqua" w:hAnsi="Book Antiqua" w:cs="Book Antiqua"/>
          <w:color w:val="000000"/>
        </w:rPr>
        <w:t xml:space="preserve">reflect vascular endothelial </w:t>
      </w:r>
      <w:proofErr w:type="gramStart"/>
      <w:r w:rsidRPr="00CF7FD4">
        <w:rPr>
          <w:rFonts w:ascii="Book Antiqua" w:eastAsia="Book Antiqua" w:hAnsi="Book Antiqua" w:cs="Book Antiqua"/>
          <w:color w:val="000000"/>
        </w:rPr>
        <w:t>function</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10]</w:t>
      </w:r>
      <w:r w:rsidRPr="00CF7FD4">
        <w:rPr>
          <w:rFonts w:ascii="Book Antiqua" w:eastAsia="Book Antiqua" w:hAnsi="Book Antiqua" w:cs="Book Antiqua"/>
          <w:color w:val="000000"/>
        </w:rPr>
        <w:t xml:space="preserve">. In our study, a large number of endothelial cellular populations was defined and quantified: </w:t>
      </w:r>
      <w:r w:rsidR="005F5AA0" w:rsidRPr="00CF7FD4">
        <w:rPr>
          <w:rFonts w:ascii="Book Antiqua" w:eastAsia="Book Antiqua" w:hAnsi="Book Antiqua" w:cs="Book Antiqua"/>
          <w:color w:val="000000"/>
        </w:rPr>
        <w:t>Three</w:t>
      </w:r>
      <w:r w:rsidRPr="00CF7FD4">
        <w:rPr>
          <w:rFonts w:ascii="Book Antiqua" w:eastAsia="Book Antiqua" w:hAnsi="Book Antiqua" w:cs="Book Antiqua"/>
          <w:color w:val="000000"/>
        </w:rPr>
        <w:t xml:space="preserve"> groups of EPCs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and </w:t>
      </w:r>
      <w:r w:rsidR="005F5AA0" w:rsidRPr="00CF7FD4">
        <w:rPr>
          <w:rFonts w:ascii="Book Antiqua" w:eastAsia="Book Antiqua" w:hAnsi="Book Antiqua" w:cs="Book Antiqua"/>
          <w:color w:val="000000"/>
        </w:rPr>
        <w:t>two</w:t>
      </w:r>
      <w:r w:rsidRPr="00CF7FD4">
        <w:rPr>
          <w:rFonts w:ascii="Book Antiqua" w:eastAsia="Book Antiqua" w:hAnsi="Book Antiqua" w:cs="Book Antiqua"/>
          <w:color w:val="000000"/>
        </w:rPr>
        <w:t xml:space="preserve"> groups of CECs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broaden</w:t>
      </w:r>
      <w:r w:rsidR="005F5AA0" w:rsidRPr="00CF7FD4">
        <w:rPr>
          <w:rFonts w:ascii="Book Antiqua" w:eastAsia="Book Antiqua" w:hAnsi="Book Antiqua" w:cs="Book Antiqua"/>
          <w:color w:val="000000"/>
        </w:rPr>
        <w:t>ed</w:t>
      </w:r>
      <w:r w:rsidRPr="00CF7FD4">
        <w:rPr>
          <w:rFonts w:ascii="Book Antiqua" w:eastAsia="Book Antiqua" w:hAnsi="Book Antiqua" w:cs="Book Antiqua"/>
          <w:color w:val="000000"/>
        </w:rPr>
        <w:t xml:space="preserve"> our knowledge of the phenotype of endothelial cellular populations. Monoclonal antibodies such as CD45, CD34, CD133 and 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(CD309) are the most widely used for the definition of EPC and CEC </w:t>
      </w:r>
      <w:proofErr w:type="gramStart"/>
      <w:r w:rsidRPr="00CF7FD4">
        <w:rPr>
          <w:rFonts w:ascii="Book Antiqua" w:eastAsia="Book Antiqua" w:hAnsi="Book Antiqua" w:cs="Book Antiqua"/>
          <w:color w:val="000000"/>
        </w:rPr>
        <w:t>phenotypes</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20,24,25]</w:t>
      </w:r>
      <w:r w:rsidRPr="00CF7FD4">
        <w:rPr>
          <w:rFonts w:ascii="Book Antiqua" w:eastAsia="Book Antiqua" w:hAnsi="Book Antiqua" w:cs="Book Antiqua"/>
          <w:color w:val="000000"/>
        </w:rPr>
        <w:t>. Other monoclonal antibodies such as CD146, CD105 and CD144 have been previously used</w:t>
      </w:r>
      <w:r w:rsidR="005F5AA0" w:rsidRPr="00CF7FD4">
        <w:rPr>
          <w:rFonts w:ascii="Book Antiqua" w:eastAsia="Book Antiqua" w:hAnsi="Book Antiqua" w:cs="Book Antiqua"/>
          <w:color w:val="000000"/>
        </w:rPr>
        <w:t>, however,</w:t>
      </w:r>
      <w:r w:rsidRPr="00CF7FD4">
        <w:rPr>
          <w:rFonts w:ascii="Book Antiqua" w:eastAsia="Book Antiqua" w:hAnsi="Book Antiqua" w:cs="Book Antiqua"/>
          <w:color w:val="000000"/>
        </w:rPr>
        <w:t xml:space="preserve"> without providing more information or specialization in EPC or CEC </w:t>
      </w:r>
      <w:proofErr w:type="gramStart"/>
      <w:r w:rsidRPr="00CF7FD4">
        <w:rPr>
          <w:rFonts w:ascii="Book Antiqua" w:eastAsia="Book Antiqua" w:hAnsi="Book Antiqua" w:cs="Book Antiqua"/>
          <w:color w:val="000000"/>
        </w:rPr>
        <w:t>phenotypes</w:t>
      </w:r>
      <w:r w:rsidR="00CC292D" w:rsidRPr="00CF7FD4">
        <w:rPr>
          <w:rFonts w:ascii="Book Antiqua" w:eastAsia="Book Antiqua" w:hAnsi="Book Antiqua" w:cs="Book Antiqua"/>
          <w:color w:val="000000"/>
          <w:vertAlign w:val="superscript"/>
        </w:rPr>
        <w:t>[</w:t>
      </w:r>
      <w:proofErr w:type="gramEnd"/>
      <w:r w:rsidR="00CC292D" w:rsidRPr="00CF7FD4">
        <w:rPr>
          <w:rFonts w:ascii="Book Antiqua" w:eastAsia="Book Antiqua" w:hAnsi="Book Antiqua" w:cs="Book Antiqua"/>
          <w:color w:val="000000"/>
          <w:vertAlign w:val="superscript"/>
        </w:rPr>
        <w:t>24,26]</w:t>
      </w:r>
      <w:r w:rsidRPr="00CF7FD4">
        <w:rPr>
          <w:rFonts w:ascii="Book Antiqua" w:eastAsia="Book Antiqua" w:hAnsi="Book Antiqua" w:cs="Book Antiqua"/>
          <w:color w:val="000000"/>
        </w:rPr>
        <w:t>.</w:t>
      </w:r>
    </w:p>
    <w:p w14:paraId="36B302EB" w14:textId="036EC296"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CHF is characterized by increased inflammatory status, endothelial dysfunction and impaired microcirculation</w:t>
      </w:r>
      <w:r w:rsidR="005F5AA0"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which are crucially involved in development and progression </w:t>
      </w:r>
      <w:r w:rsidRPr="00CF7FD4">
        <w:rPr>
          <w:rFonts w:ascii="Book Antiqua" w:eastAsia="Book Antiqua" w:hAnsi="Book Antiqua" w:cs="Book Antiqua"/>
          <w:color w:val="000000"/>
        </w:rPr>
        <w:lastRenderedPageBreak/>
        <w:t>of the disease</w:t>
      </w:r>
      <w:r w:rsidR="00CC292D" w:rsidRPr="00CF7FD4">
        <w:rPr>
          <w:rFonts w:ascii="Book Antiqua" w:eastAsia="Book Antiqua" w:hAnsi="Book Antiqua" w:cs="Book Antiqua"/>
          <w:color w:val="000000"/>
          <w:vertAlign w:val="superscript"/>
        </w:rPr>
        <w:t>[27]</w:t>
      </w:r>
      <w:r w:rsidRPr="00CF7FD4">
        <w:rPr>
          <w:rFonts w:ascii="Book Antiqua" w:eastAsia="Book Antiqua" w:hAnsi="Book Antiqua" w:cs="Book Antiqua"/>
          <w:color w:val="000000"/>
        </w:rPr>
        <w:t>. Impaired endothelium dependent vasodilatation, in addition to impaired cardiac function, is a main determinant of exercise intolerance in patients with CHF, limiting physical exercise capacity and deteriorating peak aerobic capacity</w:t>
      </w:r>
      <w:r w:rsidR="00CC292D" w:rsidRPr="00CF7FD4">
        <w:rPr>
          <w:rFonts w:ascii="Book Antiqua" w:eastAsia="Book Antiqua" w:hAnsi="Book Antiqua" w:cs="Book Antiqua"/>
          <w:color w:val="000000"/>
          <w:vertAlign w:val="superscript"/>
        </w:rPr>
        <w:t>[6,7,27]</w:t>
      </w:r>
      <w:r w:rsidRPr="00CF7FD4">
        <w:rPr>
          <w:rFonts w:ascii="Book Antiqua" w:eastAsia="Book Antiqua" w:hAnsi="Book Antiqua" w:cs="Book Antiqua"/>
          <w:color w:val="000000"/>
        </w:rPr>
        <w:t>. Exercise has been reported to increase blood flow and shear stress, therefore increasing endothelial NOS activity and NO production and reducing inflammation</w:t>
      </w:r>
      <w:r w:rsidR="00CC292D" w:rsidRPr="00CF7FD4">
        <w:rPr>
          <w:rFonts w:ascii="Book Antiqua" w:eastAsia="Book Antiqua" w:hAnsi="Book Antiqua" w:cs="Book Antiqua"/>
          <w:color w:val="000000"/>
          <w:vertAlign w:val="superscript"/>
        </w:rPr>
        <w:t>[28]</w:t>
      </w:r>
      <w:r w:rsidRPr="00CF7FD4">
        <w:rPr>
          <w:rFonts w:ascii="Book Antiqua" w:eastAsia="Book Antiqua" w:hAnsi="Book Antiqua" w:cs="Book Antiqua"/>
          <w:color w:val="000000"/>
        </w:rPr>
        <w:t>. Patients with CHF usually have a different level of deterioration of their vascular endothelium. However, through the present study, exercise was shown to enhance the acute mobilization of EPCs and CECs in these patients in a similar beneficial way, irrespectively of their severity. Targeting endothelial dysfunction could be a breakthrough therapy as endothelial function is recognized as a crucial component underlying HF.</w:t>
      </w:r>
    </w:p>
    <w:p w14:paraId="0C83C405" w14:textId="3EB0858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Regarding the potential mechanisms of the mobilization of </w:t>
      </w:r>
      <w:r w:rsidR="00456F5A" w:rsidRPr="00CF7FD4">
        <w:rPr>
          <w:rFonts w:ascii="Book Antiqua" w:eastAsia="Book Antiqua" w:hAnsi="Book Antiqua" w:cs="Book Antiqua"/>
          <w:color w:val="000000"/>
        </w:rPr>
        <w:t>EPC</w:t>
      </w:r>
      <w:r w:rsidRPr="00CF7FD4">
        <w:rPr>
          <w:rFonts w:ascii="Book Antiqua" w:eastAsia="Book Antiqua" w:hAnsi="Book Antiqua" w:cs="Book Antiqua"/>
          <w:color w:val="000000"/>
        </w:rPr>
        <w:t xml:space="preserve">s, shear stress could be suggested as a triggering factor for their release after a symptom limited maximal CPET. Shear stress seems to upregulate the activity of endothelial </w:t>
      </w:r>
      <w:r w:rsidR="00456F5A" w:rsidRPr="00CF7FD4">
        <w:rPr>
          <w:rFonts w:ascii="Book Antiqua" w:eastAsia="Book Antiqua" w:hAnsi="Book Antiqua" w:cs="Book Antiqua"/>
          <w:color w:val="000000"/>
        </w:rPr>
        <w:t>NO</w:t>
      </w:r>
      <w:r w:rsidRPr="00CF7FD4">
        <w:rPr>
          <w:rFonts w:ascii="Book Antiqua" w:eastAsia="Book Antiqua" w:hAnsi="Book Antiqua" w:cs="Book Antiqua"/>
          <w:color w:val="000000"/>
        </w:rPr>
        <w:t xml:space="preserve"> synthase and increase the production of NO</w:t>
      </w:r>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 Moreover, the activation of ion, cation and stretch sensitive channels and a transient increase in intracellular Ca</w:t>
      </w:r>
      <w:r w:rsidRPr="00CF7FD4">
        <w:rPr>
          <w:rFonts w:ascii="Book Antiqua" w:eastAsia="Book Antiqua" w:hAnsi="Book Antiqua" w:cs="Book Antiqua"/>
          <w:color w:val="000000"/>
          <w:vertAlign w:val="superscript"/>
        </w:rPr>
        <w:t>2+</w:t>
      </w:r>
      <w:r w:rsidRPr="00CF7FD4">
        <w:rPr>
          <w:rFonts w:ascii="Book Antiqua" w:eastAsia="Book Antiqua" w:hAnsi="Book Antiqua" w:cs="Book Antiqua"/>
          <w:color w:val="000000"/>
        </w:rPr>
        <w:t xml:space="preserve"> have been observed in endothelial cells immediately after exposure to shear </w:t>
      </w:r>
      <w:proofErr w:type="gramStart"/>
      <w:r w:rsidRPr="00CF7FD4">
        <w:rPr>
          <w:rFonts w:ascii="Book Antiqua" w:eastAsia="Book Antiqua" w:hAnsi="Book Antiqua" w:cs="Book Antiqua"/>
          <w:color w:val="000000"/>
        </w:rPr>
        <w:t>stress</w:t>
      </w:r>
      <w:r w:rsidR="00517E3E" w:rsidRPr="00CF7FD4">
        <w:rPr>
          <w:rFonts w:ascii="Book Antiqua" w:eastAsia="Book Antiqua" w:hAnsi="Book Antiqua" w:cs="Book Antiqua"/>
          <w:color w:val="000000"/>
          <w:vertAlign w:val="superscript"/>
        </w:rPr>
        <w:t>[</w:t>
      </w:r>
      <w:proofErr w:type="gramEnd"/>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All these endothelial functions contribute to the amplified number and activity of circulating EPCs</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and they could play a role in signaling to the cell that it is under shear and eliciting a response</w:t>
      </w:r>
      <w:r w:rsidR="00517E3E" w:rsidRPr="00CF7FD4">
        <w:rPr>
          <w:rFonts w:ascii="Book Antiqua" w:eastAsia="Book Antiqua" w:hAnsi="Book Antiqua" w:cs="Book Antiqua"/>
          <w:color w:val="000000"/>
          <w:vertAlign w:val="superscript"/>
        </w:rPr>
        <w:t>[29,30]</w:t>
      </w:r>
      <w:r w:rsidRPr="00CF7FD4">
        <w:rPr>
          <w:rFonts w:ascii="Book Antiqua" w:eastAsia="Book Antiqua" w:hAnsi="Book Antiqua" w:cs="Book Antiqua"/>
          <w:color w:val="000000"/>
        </w:rPr>
        <w:t>.</w:t>
      </w:r>
    </w:p>
    <w:p w14:paraId="3603B4B5" w14:textId="1500337D"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 xml:space="preserve">Another possible mechanism </w:t>
      </w:r>
      <w:r w:rsidR="00AD1CFF" w:rsidRPr="00CF7FD4">
        <w:rPr>
          <w:rFonts w:ascii="Book Antiqua" w:eastAsia="Book Antiqua" w:hAnsi="Book Antiqua" w:cs="Book Antiqua"/>
          <w:color w:val="000000"/>
        </w:rPr>
        <w:t xml:space="preserve">that </w:t>
      </w:r>
      <w:r w:rsidRPr="00CF7FD4">
        <w:rPr>
          <w:rFonts w:ascii="Book Antiqua" w:eastAsia="Book Antiqua" w:hAnsi="Book Antiqua" w:cs="Book Antiqua"/>
          <w:color w:val="000000"/>
        </w:rPr>
        <w:t>may be suggested is the ischemic/hypoxic stimulus. Ischemic/hypoxic stimulus has been shown to increase EPCs count in short-term studies enrolling patients with cardiovascular disease</w:t>
      </w:r>
      <w:r w:rsidR="00517E3E"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vertAlign w:val="superscript"/>
        </w:rPr>
        <w:t>31</w:t>
      </w:r>
      <w:r w:rsidR="00517E3E"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xml:space="preserve"> and in patients with peripheral arterial occlusive disease</w:t>
      </w:r>
      <w:r w:rsidR="00517E3E" w:rsidRPr="00CF7FD4">
        <w:rPr>
          <w:rFonts w:ascii="Book Antiqua" w:eastAsia="Book Antiqua" w:hAnsi="Book Antiqua" w:cs="Book Antiqua"/>
          <w:color w:val="000000"/>
          <w:vertAlign w:val="superscript"/>
        </w:rPr>
        <w:t>[32]</w:t>
      </w:r>
      <w:r w:rsidRPr="00CF7FD4">
        <w:rPr>
          <w:rFonts w:ascii="Book Antiqua" w:eastAsia="Book Antiqua" w:hAnsi="Book Antiqua" w:cs="Book Antiqua"/>
          <w:color w:val="000000"/>
        </w:rPr>
        <w:t>. Exercise has the potential to induce hypoxic stimuli, as suggested by alterations in microcirculation indices during exercise sessions in healthy populations and patients with cardiovascular comorbidities</w:t>
      </w:r>
      <w:r w:rsidR="00517E3E" w:rsidRPr="00CF7FD4">
        <w:rPr>
          <w:rFonts w:ascii="Book Antiqua" w:eastAsia="Book Antiqua" w:hAnsi="Book Antiqua" w:cs="Book Antiqua"/>
          <w:color w:val="000000"/>
          <w:vertAlign w:val="superscript"/>
        </w:rPr>
        <w:t>[33,34]</w:t>
      </w:r>
      <w:r w:rsidRPr="00CF7FD4">
        <w:rPr>
          <w:rFonts w:ascii="Book Antiqua" w:eastAsia="Book Antiqua" w:hAnsi="Book Antiqua" w:cs="Book Antiqua"/>
          <w:color w:val="000000"/>
        </w:rPr>
        <w:t>. These mechanisms may relate to up-regulation of transcriptional factors, such as matrix metalloproteinases, stromal cell-derived factor 1 and vascular endothelial growth factor, which mediate processes to promote proliferative and migratory capacities of circulating EPCs</w:t>
      </w:r>
      <w:r w:rsidR="00517E3E" w:rsidRPr="00CF7FD4">
        <w:rPr>
          <w:rFonts w:ascii="Book Antiqua" w:eastAsia="Book Antiqua" w:hAnsi="Book Antiqua" w:cs="Book Antiqua"/>
          <w:color w:val="000000"/>
          <w:vertAlign w:val="superscript"/>
        </w:rPr>
        <w:t>[22,32,34]</w:t>
      </w:r>
      <w:r w:rsidRPr="00CF7FD4">
        <w:rPr>
          <w:rFonts w:ascii="Book Antiqua" w:eastAsia="Book Antiqua" w:hAnsi="Book Antiqua" w:cs="Book Antiqua"/>
          <w:color w:val="000000"/>
        </w:rPr>
        <w:t>.</w:t>
      </w:r>
    </w:p>
    <w:p w14:paraId="473842C5" w14:textId="50F0694C"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Our study had certain limitations. This was a post-hoc analysis study not designed to compare CHF groups</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making our analysis underpowered for group comparison. </w:t>
      </w:r>
      <w:r w:rsidRPr="00CF7FD4">
        <w:rPr>
          <w:rFonts w:ascii="Book Antiqua" w:eastAsia="Book Antiqua" w:hAnsi="Book Antiqua" w:cs="Book Antiqua"/>
          <w:color w:val="000000"/>
        </w:rPr>
        <w:lastRenderedPageBreak/>
        <w:t xml:space="preserve">However, this is the larger sample size tested and analyzed </w:t>
      </w:r>
      <w:r w:rsidR="00AD1CFF" w:rsidRPr="00CF7FD4">
        <w:rPr>
          <w:rFonts w:ascii="Book Antiqua" w:eastAsia="Book Antiqua" w:hAnsi="Book Antiqua" w:cs="Book Antiqua"/>
          <w:color w:val="000000"/>
        </w:rPr>
        <w:t>to date and provides</w:t>
      </w:r>
      <w:r w:rsidRPr="00CF7FD4">
        <w:rPr>
          <w:rFonts w:ascii="Book Antiqua" w:eastAsia="Book Antiqua" w:hAnsi="Book Antiqua" w:cs="Book Antiqua"/>
          <w:color w:val="000000"/>
        </w:rPr>
        <w:t xml:space="preserve"> significant results according to CHF severity. Our results cannot be generalized to all CHF population</w:t>
      </w:r>
      <w:r w:rsidR="00AD1CFF" w:rsidRPr="00CF7FD4">
        <w:rPr>
          <w:rFonts w:ascii="Book Antiqua" w:eastAsia="Book Antiqua" w:hAnsi="Book Antiqua" w:cs="Book Antiqua"/>
          <w:color w:val="000000"/>
        </w:rPr>
        <w:t>s</w:t>
      </w:r>
      <w:r w:rsidRPr="00CF7FD4">
        <w:rPr>
          <w:rFonts w:ascii="Book Antiqua" w:eastAsia="Book Antiqua" w:hAnsi="Book Antiqua" w:cs="Book Antiqua"/>
          <w:color w:val="000000"/>
        </w:rPr>
        <w:t>. We excluded patients with unstable and/or decompensated heart failure due to</w:t>
      </w:r>
      <w:r w:rsidR="00AD1CFF" w:rsidRPr="00CF7FD4">
        <w:rPr>
          <w:rFonts w:ascii="Book Antiqua" w:eastAsia="Book Antiqua" w:hAnsi="Book Antiqua" w:cs="Book Antiqua"/>
          <w:color w:val="000000"/>
        </w:rPr>
        <w:t xml:space="preserve"> the</w:t>
      </w:r>
      <w:r w:rsidRPr="00CF7FD4">
        <w:rPr>
          <w:rFonts w:ascii="Book Antiqua" w:eastAsia="Book Antiqua" w:hAnsi="Book Antiqua" w:cs="Book Antiqua"/>
          <w:color w:val="000000"/>
        </w:rPr>
        <w:t xml:space="preserve"> inability to perform maximal CPET </w:t>
      </w:r>
      <w:r w:rsidR="00AD1CFF" w:rsidRPr="00CF7FD4">
        <w:rPr>
          <w:rFonts w:ascii="Book Antiqua" w:eastAsia="Book Antiqua" w:hAnsi="Book Antiqua" w:cs="Book Antiqua"/>
          <w:color w:val="000000"/>
        </w:rPr>
        <w:t>,</w:t>
      </w:r>
      <w:r w:rsidRPr="00CF7FD4">
        <w:rPr>
          <w:rFonts w:ascii="Book Antiqua" w:eastAsia="Book Antiqua" w:hAnsi="Book Antiqua" w:cs="Book Antiqua"/>
          <w:color w:val="000000"/>
        </w:rPr>
        <w:t>and for this reason our findings cannot be applied in such cohort of patients.</w:t>
      </w:r>
    </w:p>
    <w:p w14:paraId="54665030" w14:textId="32047568" w:rsidR="00A77B3E" w:rsidRPr="00CF7FD4" w:rsidRDefault="002045B7" w:rsidP="00CF7FD4">
      <w:pPr>
        <w:snapToGrid w:val="0"/>
        <w:spacing w:line="360" w:lineRule="auto"/>
        <w:ind w:firstLineChars="100" w:firstLine="240"/>
        <w:jc w:val="both"/>
      </w:pPr>
      <w:r w:rsidRPr="00CF7FD4">
        <w:rPr>
          <w:rFonts w:ascii="Book Antiqua" w:eastAsia="Book Antiqua" w:hAnsi="Book Antiqua" w:cs="Book Antiqua"/>
          <w:color w:val="000000"/>
        </w:rPr>
        <w:t>On the other hand, our study broadens horizons for future fields of research. The function and role of each cellular population in the vascular endothelium, the relationship between cellular populations, local and systemic neurohumoral factors and cytokines or other vascular endothelium factors and exercise modalities (type, intensity, duration, volume) merits further investigation. Furthermore, other non-invasive methodologies reflecting endothelium function and microcirculation such as flow mediated dilation and near-infrared spectroscopy should be tested and investigated in relationship to EPC measurements to provide potential indirect evaluation of bone marrow response.</w:t>
      </w:r>
    </w:p>
    <w:p w14:paraId="6AF5A6FA" w14:textId="77777777" w:rsidR="00A77B3E" w:rsidRPr="00CF7FD4" w:rsidRDefault="00A77B3E" w:rsidP="00CF7FD4">
      <w:pPr>
        <w:snapToGrid w:val="0"/>
        <w:spacing w:line="360" w:lineRule="auto"/>
        <w:jc w:val="both"/>
      </w:pPr>
    </w:p>
    <w:p w14:paraId="6D13B1D7"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CONCLUSION</w:t>
      </w:r>
    </w:p>
    <w:p w14:paraId="039979AC" w14:textId="69EC4484" w:rsidR="00517E3E" w:rsidRPr="00CF7FD4" w:rsidRDefault="00517E3E" w:rsidP="00CF7FD4">
      <w:pPr>
        <w:snapToGrid w:val="0"/>
        <w:spacing w:line="360" w:lineRule="auto"/>
        <w:jc w:val="both"/>
      </w:pPr>
      <w:r w:rsidRPr="00CF7FD4">
        <w:rPr>
          <w:rFonts w:ascii="Book Antiqua" w:eastAsia="Book Antiqua" w:hAnsi="Book Antiqua" w:cs="Book Antiqua"/>
          <w:color w:val="000000"/>
        </w:rPr>
        <w:t>In conclusion, a single symptom-limited maximal CPET induces a significant mobilization of EPCs and CECs in CHF patients</w:t>
      </w:r>
      <w:r w:rsidR="00D15F29"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but there was no significant association with disease severity.</w:t>
      </w:r>
    </w:p>
    <w:p w14:paraId="69E2A885" w14:textId="77777777" w:rsidR="00A77B3E" w:rsidRPr="00CF7FD4" w:rsidRDefault="00A77B3E" w:rsidP="00CF7FD4">
      <w:pPr>
        <w:snapToGrid w:val="0"/>
        <w:spacing w:line="360" w:lineRule="auto"/>
        <w:jc w:val="both"/>
      </w:pPr>
    </w:p>
    <w:p w14:paraId="3767DA92" w14:textId="77777777" w:rsidR="00A77B3E" w:rsidRPr="00CF7FD4" w:rsidRDefault="002045B7" w:rsidP="00CF7FD4">
      <w:pPr>
        <w:snapToGrid w:val="0"/>
        <w:spacing w:line="360" w:lineRule="auto"/>
        <w:jc w:val="both"/>
      </w:pPr>
      <w:r w:rsidRPr="00CF7FD4">
        <w:rPr>
          <w:rFonts w:ascii="Book Antiqua" w:eastAsia="Book Antiqua" w:hAnsi="Book Antiqua" w:cs="Book Antiqua"/>
          <w:b/>
          <w:caps/>
          <w:color w:val="000000"/>
          <w:u w:val="single"/>
        </w:rPr>
        <w:t>ARTICLE HIGHLIGHTS</w:t>
      </w:r>
    </w:p>
    <w:p w14:paraId="2638EE3B"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background</w:t>
      </w:r>
    </w:p>
    <w:p w14:paraId="7118031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Vascular endothelial dysfunction is an underlying pathophysiological feature of chronic heart failure (CHF). Patients with CHF are characterized by impaired vasodilation and inflammation of the vascular endothelium. They also have low levels of endothelial progenitor cells (EPCs). EPCs have been used as an index of the endothelium restoration potential, therefore reflecting the vascular endothelial function. Exercise has a beneficial impact in the function of the vascular endothelium and EPCs.</w:t>
      </w:r>
    </w:p>
    <w:p w14:paraId="413B1891" w14:textId="77777777" w:rsidR="00A77B3E" w:rsidRPr="00CF7FD4" w:rsidRDefault="00A77B3E" w:rsidP="00CF7FD4">
      <w:pPr>
        <w:snapToGrid w:val="0"/>
        <w:spacing w:line="360" w:lineRule="auto"/>
        <w:jc w:val="both"/>
      </w:pPr>
    </w:p>
    <w:p w14:paraId="132A47B9"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lastRenderedPageBreak/>
        <w:t>Research motivation</w:t>
      </w:r>
    </w:p>
    <w:p w14:paraId="580E3DE7" w14:textId="7018E6BA" w:rsidR="00A77B3E" w:rsidRPr="00CF7FD4" w:rsidRDefault="002045B7" w:rsidP="00CF7FD4">
      <w:pPr>
        <w:snapToGrid w:val="0"/>
        <w:spacing w:line="360" w:lineRule="auto"/>
        <w:jc w:val="both"/>
      </w:pPr>
      <w:r w:rsidRPr="00CF7FD4">
        <w:rPr>
          <w:rFonts w:ascii="Book Antiqua" w:eastAsia="Book Antiqua" w:hAnsi="Book Antiqua" w:cs="Book Antiqua"/>
          <w:color w:val="000000"/>
        </w:rPr>
        <w:t>Despite the proven beneficial effect of exercise training in patients with cardiovascular comorbidities, the effect of maximal exercise on EPCs in patients with CHF, and especially in patients of different severity, remains under investigation.</w:t>
      </w:r>
    </w:p>
    <w:p w14:paraId="35699B83" w14:textId="77777777" w:rsidR="00A77B3E" w:rsidRPr="00CF7FD4" w:rsidRDefault="00A77B3E" w:rsidP="00CF7FD4">
      <w:pPr>
        <w:snapToGrid w:val="0"/>
        <w:spacing w:line="360" w:lineRule="auto"/>
        <w:jc w:val="both"/>
      </w:pPr>
    </w:p>
    <w:p w14:paraId="2F7FCD34"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objectives</w:t>
      </w:r>
    </w:p>
    <w:p w14:paraId="54F00AD9" w14:textId="416FCDFF" w:rsidR="00A77B3E" w:rsidRPr="00CF7FD4" w:rsidRDefault="002045B7" w:rsidP="00CF7FD4">
      <w:pPr>
        <w:snapToGrid w:val="0"/>
        <w:spacing w:line="360" w:lineRule="auto"/>
        <w:jc w:val="both"/>
      </w:pPr>
      <w:r w:rsidRPr="00CF7FD4">
        <w:rPr>
          <w:rFonts w:ascii="Book Antiqua" w:eastAsia="Book Antiqua" w:hAnsi="Book Antiqua" w:cs="Book Antiqua"/>
          <w:color w:val="000000"/>
        </w:rPr>
        <w:t>This study was conducted to assess, quantify and compare the acute mobilization of EPCs after maximal exercise in patients with CHF of both lower and higher severity.</w:t>
      </w:r>
    </w:p>
    <w:p w14:paraId="17DD0133" w14:textId="77777777" w:rsidR="00A77B3E" w:rsidRPr="00CF7FD4" w:rsidRDefault="00A77B3E" w:rsidP="00CF7FD4">
      <w:pPr>
        <w:snapToGrid w:val="0"/>
        <w:spacing w:line="360" w:lineRule="auto"/>
        <w:jc w:val="both"/>
      </w:pPr>
    </w:p>
    <w:p w14:paraId="1483B741"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methods</w:t>
      </w:r>
    </w:p>
    <w:p w14:paraId="1C19F528" w14:textId="1BC999A2"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Forty-nine consecutive patients with stable CHF underwent a </w:t>
      </w:r>
      <w:r w:rsidR="00712665" w:rsidRPr="00CF7FD4">
        <w:rPr>
          <w:rFonts w:ascii="Book Antiqua" w:eastAsia="Book Antiqua" w:hAnsi="Book Antiqua" w:cs="Book Antiqua"/>
          <w:color w:val="000000"/>
        </w:rPr>
        <w:t>cardiopulmonary exercise testing (CPET)</w:t>
      </w:r>
      <w:r w:rsidRPr="00CF7FD4">
        <w:rPr>
          <w:rFonts w:ascii="Book Antiqua" w:eastAsia="Book Antiqua" w:hAnsi="Book Antiqua" w:cs="Book Antiqua"/>
          <w:color w:val="000000"/>
        </w:rPr>
        <w:t xml:space="preserve"> on a cycle ergometer. Venous blood was sampled before and after CPET. Five circulating endothelial populations were quantified by flow cytometry. Patients were divided in two groups of severity according to the median value of peak </w:t>
      </w:r>
      <w:r w:rsidR="00712665" w:rsidRPr="00CF7FD4">
        <w:rPr>
          <w:rFonts w:ascii="Book Antiqua" w:eastAsia="Book Antiqua" w:hAnsi="Book Antiqua" w:cs="Book Antiqua"/>
          <w:color w:val="000000"/>
        </w:rPr>
        <w:t>oxygen uptake (VO</w:t>
      </w:r>
      <w:r w:rsidR="00712665" w:rsidRPr="00CF7FD4">
        <w:rPr>
          <w:rFonts w:ascii="Book Antiqua" w:eastAsia="Book Antiqua" w:hAnsi="Book Antiqua" w:cs="Book Antiqua"/>
          <w:color w:val="000000"/>
          <w:vertAlign w:val="subscript"/>
        </w:rPr>
        <w:t>2</w:t>
      </w:r>
      <w:r w:rsidR="00712665" w:rsidRPr="00CF7FD4">
        <w:rPr>
          <w:rFonts w:ascii="Book Antiqua" w:eastAsia="Book Antiqua" w:hAnsi="Book Antiqua" w:cs="Book Antiqua"/>
          <w:color w:val="000000"/>
        </w:rPr>
        <w:t>)</w:t>
      </w:r>
      <w:r w:rsidRPr="00CF7FD4">
        <w:rPr>
          <w:rFonts w:ascii="Book Antiqua" w:eastAsia="Book Antiqua" w:hAnsi="Book Antiqua" w:cs="Book Antiqua"/>
          <w:color w:val="000000"/>
        </w:rPr>
        <w:t>, predicted peak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w:t>
      </w:r>
      <w:r w:rsidR="00712665" w:rsidRPr="00CF7FD4">
        <w:rPr>
          <w:rFonts w:ascii="Book Antiqua" w:eastAsia="Book Antiqua" w:hAnsi="Book Antiqua" w:cs="Book Antiqua"/>
          <w:color w:val="000000"/>
        </w:rPr>
        <w:t>ventilation (VE)</w:t>
      </w:r>
      <w:r w:rsidRPr="00CF7FD4">
        <w:rPr>
          <w:rFonts w:ascii="Book Antiqua" w:eastAsia="Book Antiqua" w:hAnsi="Book Antiqua" w:cs="Book Antiqua"/>
          <w:color w:val="000000"/>
        </w:rPr>
        <w:t>/</w:t>
      </w:r>
      <w:r w:rsidR="00712665" w:rsidRPr="00CF7FD4">
        <w:rPr>
          <w:rFonts w:ascii="Book Antiqua" w:eastAsia="Book Antiqua" w:hAnsi="Book Antiqua" w:cs="Book Antiqua"/>
          <w:color w:val="000000"/>
        </w:rPr>
        <w:t>carbon dioxide output (VCO</w:t>
      </w:r>
      <w:r w:rsidR="00712665" w:rsidRPr="00CF7FD4">
        <w:rPr>
          <w:rFonts w:ascii="Book Antiqua" w:eastAsia="Book Antiqua" w:hAnsi="Book Antiqua" w:cs="Book Antiqua"/>
          <w:color w:val="000000"/>
          <w:vertAlign w:val="subscript"/>
        </w:rPr>
        <w:t>2</w:t>
      </w:r>
      <w:r w:rsidR="0071266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slope and </w:t>
      </w:r>
      <w:r w:rsidR="00712665" w:rsidRPr="00CF7FD4">
        <w:rPr>
          <w:rFonts w:ascii="Book Antiqua" w:eastAsia="Book Antiqua" w:hAnsi="Book Antiqua" w:cs="Book Antiqua"/>
          <w:color w:val="000000"/>
        </w:rPr>
        <w:t>ejection fraction (EF)</w:t>
      </w:r>
      <w:r w:rsidRPr="00CF7FD4">
        <w:rPr>
          <w:rFonts w:ascii="Book Antiqua" w:eastAsia="Book Antiqua" w:hAnsi="Book Antiqua" w:cs="Book Antiqua"/>
          <w:color w:val="000000"/>
        </w:rPr>
        <w:t>.</w:t>
      </w:r>
    </w:p>
    <w:p w14:paraId="2ADED061" w14:textId="77777777" w:rsidR="00A77B3E" w:rsidRPr="00CF7FD4" w:rsidRDefault="00A77B3E" w:rsidP="00CF7FD4">
      <w:pPr>
        <w:snapToGrid w:val="0"/>
        <w:spacing w:line="360" w:lineRule="auto"/>
        <w:jc w:val="both"/>
      </w:pPr>
    </w:p>
    <w:p w14:paraId="40ECF2B4"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results</w:t>
      </w:r>
    </w:p>
    <w:p w14:paraId="5D27B895" w14:textId="6A7E8094" w:rsidR="00A77B3E" w:rsidRPr="00CF7FD4" w:rsidRDefault="002045B7" w:rsidP="00CF7FD4">
      <w:pPr>
        <w:snapToGrid w:val="0"/>
        <w:spacing w:line="360" w:lineRule="auto"/>
        <w:jc w:val="both"/>
      </w:pPr>
      <w:r w:rsidRPr="00CF7FD4">
        <w:rPr>
          <w:rFonts w:ascii="Book Antiqua" w:eastAsia="Book Antiqua" w:hAnsi="Book Antiqua" w:cs="Book Antiqua"/>
          <w:color w:val="000000"/>
        </w:rPr>
        <w:t>Patients with lower peak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E525B5"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while patients with higher VO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increased the mobilization of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 xml:space="preserve">- </w:t>
      </w:r>
      <w:r w:rsidRPr="00CF7FD4">
        <w:rPr>
          <w:rFonts w:ascii="Book Antiqua" w:eastAsia="Book Antiqua" w:hAnsi="Book Antiqua" w:cs="Book Antiqua"/>
          <w:color w:val="000000"/>
        </w:rPr>
        <w:t>and CD34</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/CD45</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/CD133</w:t>
      </w:r>
      <w:r w:rsidRPr="00CF7FD4">
        <w:rPr>
          <w:rFonts w:ascii="Book Antiqua" w:eastAsia="Book Antiqua" w:hAnsi="Book Antiqua" w:cs="Book Antiqua"/>
          <w:color w:val="000000"/>
          <w:vertAlign w:val="superscript"/>
        </w:rPr>
        <w:t>-</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w:t>
      </w:r>
      <w:r w:rsidR="002013FB" w:rsidRPr="00CF7FD4">
        <w:rPr>
          <w:rFonts w:ascii="Book Antiqua" w:eastAsia="Book Antiqua" w:hAnsi="Book Antiqua" w:cs="Book Antiqua"/>
          <w:color w:val="000000"/>
        </w:rPr>
        <w:t>A s</w:t>
      </w:r>
      <w:r w:rsidRPr="00CF7FD4">
        <w:rPr>
          <w:rFonts w:ascii="Book Antiqua" w:eastAsia="Book Antiqua" w:hAnsi="Book Antiqua" w:cs="Book Antiqua"/>
          <w:color w:val="000000"/>
        </w:rPr>
        <w:t xml:space="preserve">imilar increase in the mobilization of at least </w:t>
      </w:r>
      <w:r w:rsidR="002013FB" w:rsidRPr="00CF7FD4">
        <w:rPr>
          <w:rFonts w:ascii="Book Antiqua" w:eastAsia="Book Antiqua" w:hAnsi="Book Antiqua" w:cs="Book Antiqua"/>
          <w:color w:val="000000"/>
        </w:rPr>
        <w:t>four</w:t>
      </w:r>
      <w:r w:rsidRPr="00CF7FD4">
        <w:rPr>
          <w:rFonts w:ascii="Book Antiqua" w:eastAsia="Book Antiqua" w:hAnsi="Book Antiqua" w:cs="Book Antiqua"/>
          <w:color w:val="000000"/>
        </w:rPr>
        <w:t xml:space="preserve"> out of </w:t>
      </w:r>
      <w:r w:rsidR="002013FB" w:rsidRPr="00CF7FD4">
        <w:rPr>
          <w:rFonts w:ascii="Book Antiqua" w:eastAsia="Book Antiqua" w:hAnsi="Book Antiqua" w:cs="Book Antiqua"/>
          <w:color w:val="000000"/>
        </w:rPr>
        <w:t>five</w:t>
      </w:r>
      <w:r w:rsidRPr="00CF7FD4">
        <w:rPr>
          <w:rFonts w:ascii="Book Antiqua" w:eastAsia="Book Antiqua" w:hAnsi="Book Antiqua" w:cs="Book Antiqua"/>
          <w:color w:val="000000"/>
        </w:rPr>
        <w:t xml:space="preserve"> cellular populations was observed after maximal exercise within each severity group regarding predicted peak, VE/VCO</w:t>
      </w:r>
      <w:r w:rsidRPr="00CF7FD4">
        <w:rPr>
          <w:rFonts w:ascii="Book Antiqua" w:eastAsia="Book Antiqua" w:hAnsi="Book Antiqua" w:cs="Book Antiqua"/>
          <w:color w:val="000000"/>
          <w:vertAlign w:val="subscript"/>
        </w:rPr>
        <w:t xml:space="preserve">2 </w:t>
      </w:r>
      <w:r w:rsidRPr="00CF7FD4">
        <w:rPr>
          <w:rFonts w:ascii="Book Antiqua" w:eastAsia="Book Antiqua" w:hAnsi="Book Antiqua" w:cs="Book Antiqua"/>
          <w:color w:val="000000"/>
        </w:rPr>
        <w:t>slope and EF, as well (</w:t>
      </w:r>
      <w:r w:rsidR="00712665"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0.05). However, there were no statistical</w:t>
      </w:r>
      <w:r w:rsidR="00712665" w:rsidRPr="00CF7FD4">
        <w:rPr>
          <w:rFonts w:ascii="Book Antiqua" w:eastAsia="Book Antiqua" w:hAnsi="Book Antiqua" w:cs="Book Antiqua"/>
          <w:color w:val="000000"/>
        </w:rPr>
        <w:t>ly</w:t>
      </w:r>
      <w:r w:rsidRPr="00CF7FD4">
        <w:rPr>
          <w:rFonts w:ascii="Book Antiqua" w:eastAsia="Book Antiqua" w:hAnsi="Book Antiqua" w:cs="Book Antiqua"/>
          <w:color w:val="000000"/>
        </w:rPr>
        <w:t xml:space="preserve"> significant differences in the mobilization of endothelial cellular populations between severity groups in each comparison (</w:t>
      </w:r>
      <w:r w:rsidR="00712665"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&gt; 0.05).</w:t>
      </w:r>
    </w:p>
    <w:p w14:paraId="57E11A1F" w14:textId="77777777" w:rsidR="00A77B3E" w:rsidRPr="00CF7FD4" w:rsidRDefault="00A77B3E" w:rsidP="00CF7FD4">
      <w:pPr>
        <w:snapToGrid w:val="0"/>
        <w:spacing w:line="360" w:lineRule="auto"/>
        <w:jc w:val="both"/>
      </w:pPr>
    </w:p>
    <w:p w14:paraId="71B409F9"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conclusions</w:t>
      </w:r>
    </w:p>
    <w:p w14:paraId="22EF992F" w14:textId="61745769"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Our study has shown an increased EPC and CEC mobilization after maximal exercise in CHF patients, but this increase was not associated with syndrome severity.</w:t>
      </w:r>
    </w:p>
    <w:p w14:paraId="5CD46023" w14:textId="77777777" w:rsidR="00A77B3E" w:rsidRPr="00CF7FD4" w:rsidRDefault="00A77B3E" w:rsidP="00CF7FD4">
      <w:pPr>
        <w:snapToGrid w:val="0"/>
        <w:spacing w:line="360" w:lineRule="auto"/>
        <w:jc w:val="both"/>
      </w:pPr>
    </w:p>
    <w:p w14:paraId="5A79042B" w14:textId="77777777" w:rsidR="00A77B3E" w:rsidRPr="00CF7FD4" w:rsidRDefault="002045B7" w:rsidP="00CF7FD4">
      <w:pPr>
        <w:snapToGrid w:val="0"/>
        <w:spacing w:line="360" w:lineRule="auto"/>
        <w:jc w:val="both"/>
      </w:pPr>
      <w:r w:rsidRPr="00CF7FD4">
        <w:rPr>
          <w:rFonts w:ascii="Book Antiqua" w:eastAsia="Book Antiqua" w:hAnsi="Book Antiqua" w:cs="Book Antiqua"/>
          <w:b/>
          <w:i/>
          <w:color w:val="000000"/>
        </w:rPr>
        <w:t>Research perspectives</w:t>
      </w:r>
    </w:p>
    <w:p w14:paraId="6FA1BD36" w14:textId="04ECCFD7" w:rsidR="00A77B3E" w:rsidRPr="00CF7FD4" w:rsidRDefault="00712665" w:rsidP="00CF7FD4">
      <w:pPr>
        <w:snapToGrid w:val="0"/>
        <w:spacing w:line="360" w:lineRule="auto"/>
        <w:jc w:val="both"/>
      </w:pPr>
      <w:r w:rsidRPr="00CF7FD4">
        <w:rPr>
          <w:rFonts w:ascii="Book Antiqua" w:eastAsia="Book Antiqua" w:hAnsi="Book Antiqua" w:cs="Book Antiqua"/>
          <w:color w:val="000000"/>
        </w:rPr>
        <w:t>EPC</w:t>
      </w:r>
      <w:r w:rsidR="002045B7" w:rsidRPr="00CF7FD4">
        <w:rPr>
          <w:rFonts w:ascii="Book Antiqua" w:eastAsia="Book Antiqua" w:hAnsi="Book Antiqua" w:cs="Book Antiqua"/>
          <w:color w:val="000000"/>
        </w:rPr>
        <w:t xml:space="preserve">s could be the cornerstone to the treatment of </w:t>
      </w:r>
      <w:r w:rsidRPr="00CF7FD4">
        <w:rPr>
          <w:rFonts w:ascii="Book Antiqua" w:eastAsia="Book Antiqua" w:hAnsi="Book Antiqua" w:cs="Book Antiqua"/>
          <w:color w:val="000000"/>
        </w:rPr>
        <w:t>CHF</w:t>
      </w:r>
      <w:r w:rsidR="002045B7" w:rsidRPr="00CF7FD4">
        <w:rPr>
          <w:rFonts w:ascii="Book Antiqua" w:eastAsia="Book Antiqua" w:hAnsi="Book Antiqua" w:cs="Book Antiqua"/>
          <w:color w:val="000000"/>
        </w:rPr>
        <w:t>. Understanding their possible mechanisms of action on vascular endothelial function through exercise would create innovative ideas regarding their distribution and proliferation in these patients in order to take advantage of their beneficial effects on the endothelium and reverse cardiac remodeling.</w:t>
      </w:r>
    </w:p>
    <w:p w14:paraId="2AE4A76C" w14:textId="77777777" w:rsidR="00A77B3E" w:rsidRPr="00CF7FD4" w:rsidRDefault="00A77B3E" w:rsidP="00CF7FD4">
      <w:pPr>
        <w:snapToGrid w:val="0"/>
        <w:spacing w:line="360" w:lineRule="auto"/>
        <w:jc w:val="both"/>
      </w:pPr>
    </w:p>
    <w:p w14:paraId="1AED060E"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REFERENCES</w:t>
      </w:r>
    </w:p>
    <w:p w14:paraId="120E162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 </w:t>
      </w:r>
      <w:proofErr w:type="spellStart"/>
      <w:r w:rsidRPr="00CF7FD4">
        <w:rPr>
          <w:rFonts w:ascii="Book Antiqua" w:eastAsia="Book Antiqua" w:hAnsi="Book Antiqua" w:cs="Book Antiqua"/>
          <w:b/>
          <w:bCs/>
          <w:color w:val="000000"/>
        </w:rPr>
        <w:t>Ceia</w:t>
      </w:r>
      <w:proofErr w:type="spellEnd"/>
      <w:r w:rsidRPr="00CF7FD4">
        <w:rPr>
          <w:rFonts w:ascii="Book Antiqua" w:eastAsia="Book Antiqua" w:hAnsi="Book Antiqua" w:cs="Book Antiqua"/>
          <w:b/>
          <w:bCs/>
          <w:color w:val="000000"/>
        </w:rPr>
        <w:t xml:space="preserve"> F</w:t>
      </w:r>
      <w:r w:rsidRPr="00CF7FD4">
        <w:rPr>
          <w:rFonts w:ascii="Book Antiqua" w:eastAsia="Book Antiqua" w:hAnsi="Book Antiqua" w:cs="Book Antiqua"/>
          <w:color w:val="000000"/>
        </w:rPr>
        <w:t xml:space="preserve">, Fonseca C, </w:t>
      </w:r>
      <w:proofErr w:type="spellStart"/>
      <w:r w:rsidRPr="00CF7FD4">
        <w:rPr>
          <w:rFonts w:ascii="Book Antiqua" w:eastAsia="Book Antiqua" w:hAnsi="Book Antiqua" w:cs="Book Antiqua"/>
          <w:color w:val="000000"/>
        </w:rPr>
        <w:t>Mota</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Morais</w:t>
      </w:r>
      <w:proofErr w:type="spellEnd"/>
      <w:r w:rsidRPr="00CF7FD4">
        <w:rPr>
          <w:rFonts w:ascii="Book Antiqua" w:eastAsia="Book Antiqua" w:hAnsi="Book Antiqua" w:cs="Book Antiqua"/>
          <w:color w:val="000000"/>
        </w:rPr>
        <w:t xml:space="preserve"> H, Matias F, de Sousa A, Oliveira A; EPICA Investigators. Prevalence of chronic heart failure in Southwestern Europe: the EPICA study. </w:t>
      </w:r>
      <w:r w:rsidRPr="00CF7FD4">
        <w:rPr>
          <w:rFonts w:ascii="Book Antiqua" w:eastAsia="Book Antiqua" w:hAnsi="Book Antiqua" w:cs="Book Antiqua"/>
          <w:i/>
          <w:iCs/>
          <w:color w:val="000000"/>
        </w:rPr>
        <w:t>Eur J Heart Fail</w:t>
      </w:r>
      <w:r w:rsidRPr="00CF7FD4">
        <w:rPr>
          <w:rFonts w:ascii="Book Antiqua" w:eastAsia="Book Antiqua" w:hAnsi="Book Antiqua" w:cs="Book Antiqua"/>
          <w:color w:val="000000"/>
        </w:rPr>
        <w:t xml:space="preserve"> 2002; </w:t>
      </w:r>
      <w:r w:rsidRPr="00CF7FD4">
        <w:rPr>
          <w:rFonts w:ascii="Book Antiqua" w:eastAsia="Book Antiqua" w:hAnsi="Book Antiqua" w:cs="Book Antiqua"/>
          <w:b/>
          <w:bCs/>
          <w:color w:val="000000"/>
        </w:rPr>
        <w:t>4</w:t>
      </w:r>
      <w:r w:rsidRPr="00CF7FD4">
        <w:rPr>
          <w:rFonts w:ascii="Book Antiqua" w:eastAsia="Book Antiqua" w:hAnsi="Book Antiqua" w:cs="Book Antiqua"/>
          <w:color w:val="000000"/>
        </w:rPr>
        <w:t>: 531-539 [PMID: 12167394 DOI: 10.1016/s1388-9842(02)00034-x]</w:t>
      </w:r>
    </w:p>
    <w:p w14:paraId="41740865"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 </w:t>
      </w:r>
      <w:r w:rsidRPr="00CF7FD4">
        <w:rPr>
          <w:rFonts w:ascii="Book Antiqua" w:eastAsia="Book Antiqua" w:hAnsi="Book Antiqua" w:cs="Book Antiqua"/>
          <w:b/>
          <w:bCs/>
          <w:color w:val="000000"/>
        </w:rPr>
        <w:t>Taylor CJ</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Roalfe</w:t>
      </w:r>
      <w:proofErr w:type="spellEnd"/>
      <w:r w:rsidRPr="00CF7FD4">
        <w:rPr>
          <w:rFonts w:ascii="Book Antiqua" w:eastAsia="Book Antiqua" w:hAnsi="Book Antiqua" w:cs="Book Antiqua"/>
          <w:color w:val="000000"/>
        </w:rPr>
        <w:t xml:space="preserve"> AK, Iles R, Hobbs FD. Ten-year prognosis of heart failure in the community: follow-up data from the Echocardiographic Heart of England Screening (ECHOES) study. </w:t>
      </w:r>
      <w:r w:rsidRPr="00CF7FD4">
        <w:rPr>
          <w:rFonts w:ascii="Book Antiqua" w:eastAsia="Book Antiqua" w:hAnsi="Book Antiqua" w:cs="Book Antiqua"/>
          <w:i/>
          <w:iCs/>
          <w:color w:val="000000"/>
        </w:rPr>
        <w:t>Eur J Heart Fail</w:t>
      </w:r>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14</w:t>
      </w:r>
      <w:r w:rsidRPr="00CF7FD4">
        <w:rPr>
          <w:rFonts w:ascii="Book Antiqua" w:eastAsia="Book Antiqua" w:hAnsi="Book Antiqua" w:cs="Book Antiqua"/>
          <w:color w:val="000000"/>
        </w:rPr>
        <w:t>: 176-184 [PMID: 22253455 DOI: 10.1093/</w:t>
      </w:r>
      <w:proofErr w:type="spellStart"/>
      <w:r w:rsidRPr="00CF7FD4">
        <w:rPr>
          <w:rFonts w:ascii="Book Antiqua" w:eastAsia="Book Antiqua" w:hAnsi="Book Antiqua" w:cs="Book Antiqua"/>
          <w:color w:val="000000"/>
        </w:rPr>
        <w:t>eurjhf</w:t>
      </w:r>
      <w:proofErr w:type="spellEnd"/>
      <w:r w:rsidRPr="00CF7FD4">
        <w:rPr>
          <w:rFonts w:ascii="Book Antiqua" w:eastAsia="Book Antiqua" w:hAnsi="Book Antiqua" w:cs="Book Antiqua"/>
          <w:color w:val="000000"/>
        </w:rPr>
        <w:t>/hfr170]</w:t>
      </w:r>
    </w:p>
    <w:p w14:paraId="1B72CFB4" w14:textId="2383D871"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 </w:t>
      </w:r>
      <w:proofErr w:type="spellStart"/>
      <w:r w:rsidRPr="00CF7FD4">
        <w:rPr>
          <w:rFonts w:ascii="Book Antiqua" w:eastAsia="Book Antiqua" w:hAnsi="Book Antiqua" w:cs="Book Antiqua"/>
          <w:b/>
          <w:bCs/>
          <w:color w:val="000000"/>
        </w:rPr>
        <w:t>Ponikowski</w:t>
      </w:r>
      <w:proofErr w:type="spellEnd"/>
      <w:r w:rsidRPr="00CF7FD4">
        <w:rPr>
          <w:rFonts w:ascii="Book Antiqua" w:eastAsia="Book Antiqua" w:hAnsi="Book Antiqua" w:cs="Book Antiqua"/>
          <w:b/>
          <w:bCs/>
          <w:color w:val="000000"/>
        </w:rPr>
        <w:t xml:space="preserve"> P</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Voors</w:t>
      </w:r>
      <w:proofErr w:type="spellEnd"/>
      <w:r w:rsidRPr="00CF7FD4">
        <w:rPr>
          <w:rFonts w:ascii="Book Antiqua" w:eastAsia="Book Antiqua" w:hAnsi="Book Antiqua" w:cs="Book Antiqua"/>
          <w:color w:val="000000"/>
        </w:rPr>
        <w:t xml:space="preserve"> AA, Anker SD, Bueno H, Cleland JG, Coats AJ, Falk V, </w:t>
      </w:r>
      <w:r w:rsidR="00B95D86" w:rsidRPr="00CF7FD4">
        <w:rPr>
          <w:rFonts w:ascii="Book Antiqua" w:eastAsia="Book Antiqua" w:hAnsi="Book Antiqua" w:cs="Book Antiqua"/>
          <w:color w:val="000000"/>
        </w:rPr>
        <w:t>González</w:t>
      </w:r>
      <w:r w:rsidRPr="00CF7FD4">
        <w:rPr>
          <w:rFonts w:ascii="Book Antiqua" w:eastAsia="Book Antiqua" w:hAnsi="Book Antiqua" w:cs="Book Antiqua"/>
          <w:color w:val="000000"/>
        </w:rPr>
        <w:t>-</w:t>
      </w:r>
      <w:proofErr w:type="spellStart"/>
      <w:r w:rsidRPr="00CF7FD4">
        <w:rPr>
          <w:rFonts w:ascii="Book Antiqua" w:eastAsia="Book Antiqua" w:hAnsi="Book Antiqua" w:cs="Book Antiqua"/>
          <w:color w:val="000000"/>
        </w:rPr>
        <w:t>Juanatey</w:t>
      </w:r>
      <w:proofErr w:type="spellEnd"/>
      <w:r w:rsidRPr="00CF7FD4">
        <w:rPr>
          <w:rFonts w:ascii="Book Antiqua" w:eastAsia="Book Antiqua" w:hAnsi="Book Antiqua" w:cs="Book Antiqua"/>
          <w:color w:val="000000"/>
        </w:rPr>
        <w:t xml:space="preserve"> JR, </w:t>
      </w:r>
      <w:proofErr w:type="spellStart"/>
      <w:r w:rsidRPr="00CF7FD4">
        <w:rPr>
          <w:rFonts w:ascii="Book Antiqua" w:eastAsia="Book Antiqua" w:hAnsi="Book Antiqua" w:cs="Book Antiqua"/>
          <w:color w:val="000000"/>
        </w:rPr>
        <w:t>Harjola</w:t>
      </w:r>
      <w:proofErr w:type="spellEnd"/>
      <w:r w:rsidRPr="00CF7FD4">
        <w:rPr>
          <w:rFonts w:ascii="Book Antiqua" w:eastAsia="Book Antiqua" w:hAnsi="Book Antiqua" w:cs="Book Antiqua"/>
          <w:color w:val="000000"/>
        </w:rPr>
        <w:t xml:space="preserve"> VP, </w:t>
      </w:r>
      <w:proofErr w:type="spellStart"/>
      <w:r w:rsidRPr="00CF7FD4">
        <w:rPr>
          <w:rFonts w:ascii="Book Antiqua" w:eastAsia="Book Antiqua" w:hAnsi="Book Antiqua" w:cs="Book Antiqua"/>
          <w:color w:val="000000"/>
        </w:rPr>
        <w:t>Jankowska</w:t>
      </w:r>
      <w:proofErr w:type="spellEnd"/>
      <w:r w:rsidRPr="00CF7FD4">
        <w:rPr>
          <w:rFonts w:ascii="Book Antiqua" w:eastAsia="Book Antiqua" w:hAnsi="Book Antiqua" w:cs="Book Antiqua"/>
          <w:color w:val="000000"/>
        </w:rPr>
        <w:t xml:space="preserve"> EA, Jessup M, Linde C, </w:t>
      </w:r>
      <w:proofErr w:type="spellStart"/>
      <w:r w:rsidRPr="00CF7FD4">
        <w:rPr>
          <w:rFonts w:ascii="Book Antiqua" w:eastAsia="Book Antiqua" w:hAnsi="Book Antiqua" w:cs="Book Antiqua"/>
          <w:color w:val="000000"/>
        </w:rPr>
        <w:t>Nihoyannopoulos</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Parissis</w:t>
      </w:r>
      <w:proofErr w:type="spellEnd"/>
      <w:r w:rsidRPr="00CF7FD4">
        <w:rPr>
          <w:rFonts w:ascii="Book Antiqua" w:eastAsia="Book Antiqua" w:hAnsi="Book Antiqua" w:cs="Book Antiqua"/>
          <w:color w:val="000000"/>
        </w:rPr>
        <w:t xml:space="preserve"> JT, </w:t>
      </w:r>
      <w:proofErr w:type="spellStart"/>
      <w:r w:rsidRPr="00CF7FD4">
        <w:rPr>
          <w:rFonts w:ascii="Book Antiqua" w:eastAsia="Book Antiqua" w:hAnsi="Book Antiqua" w:cs="Book Antiqua"/>
          <w:color w:val="000000"/>
        </w:rPr>
        <w:t>Pieske</w:t>
      </w:r>
      <w:proofErr w:type="spellEnd"/>
      <w:r w:rsidRPr="00CF7FD4">
        <w:rPr>
          <w:rFonts w:ascii="Book Antiqua" w:eastAsia="Book Antiqua" w:hAnsi="Book Antiqua" w:cs="Book Antiqua"/>
          <w:color w:val="000000"/>
        </w:rPr>
        <w:t xml:space="preserve"> B, Riley JP, </w:t>
      </w:r>
      <w:proofErr w:type="spellStart"/>
      <w:r w:rsidRPr="00CF7FD4">
        <w:rPr>
          <w:rFonts w:ascii="Book Antiqua" w:eastAsia="Book Antiqua" w:hAnsi="Book Antiqua" w:cs="Book Antiqua"/>
          <w:color w:val="000000"/>
        </w:rPr>
        <w:t>Rosano</w:t>
      </w:r>
      <w:proofErr w:type="spellEnd"/>
      <w:r w:rsidRPr="00CF7FD4">
        <w:rPr>
          <w:rFonts w:ascii="Book Antiqua" w:eastAsia="Book Antiqua" w:hAnsi="Book Antiqua" w:cs="Book Antiqua"/>
          <w:color w:val="000000"/>
        </w:rPr>
        <w:t xml:space="preserve"> GM, </w:t>
      </w:r>
      <w:proofErr w:type="spellStart"/>
      <w:r w:rsidRPr="00CF7FD4">
        <w:rPr>
          <w:rFonts w:ascii="Book Antiqua" w:eastAsia="Book Antiqua" w:hAnsi="Book Antiqua" w:cs="Book Antiqua"/>
          <w:color w:val="000000"/>
        </w:rPr>
        <w:t>Ruilope</w:t>
      </w:r>
      <w:proofErr w:type="spellEnd"/>
      <w:r w:rsidRPr="00CF7FD4">
        <w:rPr>
          <w:rFonts w:ascii="Book Antiqua" w:eastAsia="Book Antiqua" w:hAnsi="Book Antiqua" w:cs="Book Antiqua"/>
          <w:color w:val="000000"/>
        </w:rPr>
        <w:t xml:space="preserve"> LM, </w:t>
      </w:r>
      <w:proofErr w:type="spellStart"/>
      <w:r w:rsidRPr="00CF7FD4">
        <w:rPr>
          <w:rFonts w:ascii="Book Antiqua" w:eastAsia="Book Antiqua" w:hAnsi="Book Antiqua" w:cs="Book Antiqua"/>
          <w:color w:val="000000"/>
        </w:rPr>
        <w:t>Ruschitzka</w:t>
      </w:r>
      <w:proofErr w:type="spellEnd"/>
      <w:r w:rsidRPr="00CF7FD4">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CF7FD4">
        <w:rPr>
          <w:rFonts w:ascii="Book Antiqua" w:eastAsia="Book Antiqua" w:hAnsi="Book Antiqua" w:cs="Book Antiqua"/>
          <w:i/>
          <w:iCs/>
          <w:color w:val="000000"/>
        </w:rPr>
        <w:t>Eur J Heart Fail</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891-975 [PMID: 27207191 DOI: 10.1002/ejhf.592]</w:t>
      </w:r>
    </w:p>
    <w:p w14:paraId="1E96EB08" w14:textId="70E2E7EC"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4 </w:t>
      </w:r>
      <w:proofErr w:type="spellStart"/>
      <w:r w:rsidR="00B95D86" w:rsidRPr="00CF7FD4">
        <w:rPr>
          <w:rFonts w:ascii="Book Antiqua" w:eastAsia="Book Antiqua" w:hAnsi="Book Antiqua" w:cs="Book Antiqua"/>
          <w:b/>
          <w:bCs/>
          <w:color w:val="000000"/>
        </w:rPr>
        <w:t>Kovačić</w:t>
      </w:r>
      <w:proofErr w:type="spellEnd"/>
      <w:r w:rsidR="00B95D86" w:rsidRPr="00CF7FD4">
        <w:rPr>
          <w:rFonts w:ascii="Book Antiqua" w:eastAsia="Book Antiqua" w:hAnsi="Book Antiqua" w:cs="Book Antiqua"/>
          <w:b/>
          <w:bCs/>
          <w:color w:val="000000"/>
        </w:rPr>
        <w:t xml:space="preserve"> S</w:t>
      </w:r>
      <w:r w:rsidRPr="00CF7FD4">
        <w:rPr>
          <w:rFonts w:ascii="Book Antiqua" w:eastAsia="Book Antiqua" w:hAnsi="Book Antiqua" w:cs="Book Antiqua"/>
          <w:color w:val="000000"/>
        </w:rPr>
        <w:t xml:space="preserve">, </w:t>
      </w:r>
      <w:proofErr w:type="spellStart"/>
      <w:r w:rsidR="00B95D86" w:rsidRPr="00CF7FD4">
        <w:rPr>
          <w:rFonts w:ascii="Book Antiqua" w:eastAsia="Book Antiqua" w:hAnsi="Book Antiqua" w:cs="Book Antiqua"/>
          <w:color w:val="000000"/>
        </w:rPr>
        <w:t>Plazonić</w:t>
      </w:r>
      <w:proofErr w:type="spellEnd"/>
      <w:r w:rsidR="00B95D86" w:rsidRPr="00CF7FD4">
        <w:rPr>
          <w:rFonts w:ascii="Book Antiqua" w:eastAsia="Book Antiqua" w:hAnsi="Book Antiqua" w:cs="Book Antiqua"/>
          <w:color w:val="000000"/>
        </w:rPr>
        <w:t xml:space="preserve"> Ž, </w:t>
      </w:r>
      <w:proofErr w:type="spellStart"/>
      <w:r w:rsidR="00B95D86" w:rsidRPr="00CF7FD4">
        <w:rPr>
          <w:rFonts w:ascii="Book Antiqua" w:eastAsia="Book Antiqua" w:hAnsi="Book Antiqua" w:cs="Book Antiqua"/>
          <w:color w:val="000000"/>
        </w:rPr>
        <w:t>Batinac</w:t>
      </w:r>
      <w:proofErr w:type="spellEnd"/>
      <w:r w:rsidR="00B95D86" w:rsidRPr="00CF7FD4">
        <w:rPr>
          <w:rFonts w:ascii="Book Antiqua" w:eastAsia="Book Antiqua" w:hAnsi="Book Antiqua" w:cs="Book Antiqua"/>
          <w:color w:val="000000"/>
        </w:rPr>
        <w:t xml:space="preserve"> T, </w:t>
      </w:r>
      <w:proofErr w:type="spellStart"/>
      <w:r w:rsidR="00B95D86" w:rsidRPr="00CF7FD4">
        <w:rPr>
          <w:rFonts w:ascii="Book Antiqua" w:eastAsia="Book Antiqua" w:hAnsi="Book Antiqua" w:cs="Book Antiqua"/>
          <w:color w:val="000000"/>
        </w:rPr>
        <w:t>Miletić</w:t>
      </w:r>
      <w:proofErr w:type="spellEnd"/>
      <w:r w:rsidR="00B95D86" w:rsidRPr="00CF7FD4">
        <w:rPr>
          <w:rFonts w:ascii="Book Antiqua" w:eastAsia="Book Antiqua" w:hAnsi="Book Antiqua" w:cs="Book Antiqua"/>
          <w:color w:val="000000"/>
        </w:rPr>
        <w:t xml:space="preserve"> D, </w:t>
      </w:r>
      <w:proofErr w:type="spellStart"/>
      <w:r w:rsidR="00B95D86" w:rsidRPr="00CF7FD4">
        <w:rPr>
          <w:rFonts w:ascii="Book Antiqua" w:eastAsia="Book Antiqua" w:hAnsi="Book Antiqua" w:cs="Book Antiqua"/>
          <w:color w:val="000000"/>
        </w:rPr>
        <w:t>Ružić</w:t>
      </w:r>
      <w:proofErr w:type="spellEnd"/>
      <w:r w:rsidR="00B95D86" w:rsidRPr="00CF7FD4">
        <w:rPr>
          <w:rFonts w:ascii="Book Antiqua" w:eastAsia="Book Antiqua" w:hAnsi="Book Antiqua" w:cs="Book Antiqua"/>
          <w:color w:val="000000"/>
        </w:rPr>
        <w:t xml:space="preserve"> A</w:t>
      </w:r>
      <w:r w:rsidRPr="00CF7FD4">
        <w:rPr>
          <w:rFonts w:ascii="Book Antiqua" w:eastAsia="Book Antiqua" w:hAnsi="Book Antiqua" w:cs="Book Antiqua"/>
          <w:color w:val="000000"/>
        </w:rPr>
        <w:t xml:space="preserve">. Endothelial dysfunction as assessed with magnetic resonance imaging - A major determinant in chronic heart failure. </w:t>
      </w:r>
      <w:r w:rsidRPr="00CF7FD4">
        <w:rPr>
          <w:rFonts w:ascii="Book Antiqua" w:eastAsia="Book Antiqua" w:hAnsi="Book Antiqua" w:cs="Book Antiqua"/>
          <w:i/>
          <w:iCs/>
          <w:color w:val="000000"/>
        </w:rPr>
        <w:t>Med Hypotheses</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90</w:t>
      </w:r>
      <w:r w:rsidRPr="00CF7FD4">
        <w:rPr>
          <w:rFonts w:ascii="Book Antiqua" w:eastAsia="Book Antiqua" w:hAnsi="Book Antiqua" w:cs="Book Antiqua"/>
          <w:color w:val="000000"/>
        </w:rPr>
        <w:t>: 76-78 [PMID: 27063091 DOI: 10.1016/j.mehy.2016.03.006]</w:t>
      </w:r>
    </w:p>
    <w:p w14:paraId="1EC3660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5 </w:t>
      </w:r>
      <w:proofErr w:type="spellStart"/>
      <w:r w:rsidRPr="00CF7FD4">
        <w:rPr>
          <w:rFonts w:ascii="Book Antiqua" w:eastAsia="Book Antiqua" w:hAnsi="Book Antiqua" w:cs="Book Antiqua"/>
          <w:b/>
          <w:bCs/>
          <w:color w:val="000000"/>
        </w:rPr>
        <w:t>Manetos</w:t>
      </w:r>
      <w:proofErr w:type="spellEnd"/>
      <w:r w:rsidRPr="00CF7FD4">
        <w:rPr>
          <w:rFonts w:ascii="Book Antiqua" w:eastAsia="Book Antiqua" w:hAnsi="Book Antiqua" w:cs="Book Antiqua"/>
          <w:b/>
          <w:bCs/>
          <w:color w:val="000000"/>
        </w:rPr>
        <w:t xml:space="preserve"> C</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Tzanis</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Vakrou</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Tasoulis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Kapelios</w:t>
      </w:r>
      <w:proofErr w:type="spellEnd"/>
      <w:r w:rsidRPr="00CF7FD4">
        <w:rPr>
          <w:rFonts w:ascii="Book Antiqua" w:eastAsia="Book Antiqua" w:hAnsi="Book Antiqua" w:cs="Book Antiqua"/>
          <w:color w:val="000000"/>
        </w:rPr>
        <w:t xml:space="preserve"> C, </w:t>
      </w:r>
      <w:proofErr w:type="spellStart"/>
      <w:r w:rsidRPr="00CF7FD4">
        <w:rPr>
          <w:rFonts w:ascii="Book Antiqua" w:eastAsia="Book Antiqua" w:hAnsi="Book Antiqua" w:cs="Book Antiqua"/>
          <w:color w:val="000000"/>
        </w:rPr>
        <w:t>Agapitou</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Ntalianis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Terrovitis</w:t>
      </w:r>
      <w:proofErr w:type="spellEnd"/>
      <w:r w:rsidRPr="00CF7FD4">
        <w:rPr>
          <w:rFonts w:ascii="Book Antiqua" w:eastAsia="Book Antiqua" w:hAnsi="Book Antiqua" w:cs="Book Antiqua"/>
          <w:color w:val="000000"/>
        </w:rPr>
        <w:t xml:space="preserve"> J, Nanas S. Skeletal muscle microcirculatory abnormalities are associated with exercise intolerance, ventilatory inefficiency, and impaired autonomic control in heart failure. </w:t>
      </w:r>
      <w:r w:rsidRPr="00CF7FD4">
        <w:rPr>
          <w:rFonts w:ascii="Book Antiqua" w:eastAsia="Book Antiqua" w:hAnsi="Book Antiqua" w:cs="Book Antiqua"/>
          <w:i/>
          <w:iCs/>
          <w:color w:val="000000"/>
        </w:rPr>
        <w:t>J Heart Lung Transplant</w:t>
      </w:r>
      <w:r w:rsidRPr="00CF7FD4">
        <w:rPr>
          <w:rFonts w:ascii="Book Antiqua" w:eastAsia="Book Antiqua" w:hAnsi="Book Antiqua" w:cs="Book Antiqua"/>
          <w:color w:val="000000"/>
        </w:rPr>
        <w:t xml:space="preserve"> 2011; </w:t>
      </w:r>
      <w:r w:rsidRPr="00CF7FD4">
        <w:rPr>
          <w:rFonts w:ascii="Book Antiqua" w:eastAsia="Book Antiqua" w:hAnsi="Book Antiqua" w:cs="Book Antiqua"/>
          <w:b/>
          <w:bCs/>
          <w:color w:val="000000"/>
        </w:rPr>
        <w:t>30</w:t>
      </w:r>
      <w:r w:rsidRPr="00CF7FD4">
        <w:rPr>
          <w:rFonts w:ascii="Book Antiqua" w:eastAsia="Book Antiqua" w:hAnsi="Book Antiqua" w:cs="Book Antiqua"/>
          <w:color w:val="000000"/>
        </w:rPr>
        <w:t>: 1403-1408 [PMID: 21982360 DOI: 10.1016/j.healun.2011.08.020]</w:t>
      </w:r>
    </w:p>
    <w:p w14:paraId="492ED9E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6 </w:t>
      </w:r>
      <w:r w:rsidRPr="00CF7FD4">
        <w:rPr>
          <w:rFonts w:ascii="Book Antiqua" w:eastAsia="Book Antiqua" w:hAnsi="Book Antiqua" w:cs="Book Antiqua"/>
          <w:b/>
          <w:bCs/>
          <w:color w:val="000000"/>
        </w:rPr>
        <w:t>MacIver DH</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Dayer</w:t>
      </w:r>
      <w:proofErr w:type="spellEnd"/>
      <w:r w:rsidRPr="00CF7FD4">
        <w:rPr>
          <w:rFonts w:ascii="Book Antiqua" w:eastAsia="Book Antiqua" w:hAnsi="Book Antiqua" w:cs="Book Antiqua"/>
          <w:color w:val="000000"/>
        </w:rPr>
        <w:t xml:space="preserve"> MJ, Harrison AJ. A general theory of acute and chronic heart failure. </w:t>
      </w:r>
      <w:r w:rsidRPr="00CF7FD4">
        <w:rPr>
          <w:rFonts w:ascii="Book Antiqua" w:eastAsia="Book Antiqua" w:hAnsi="Book Antiqua" w:cs="Book Antiqua"/>
          <w:i/>
          <w:iCs/>
          <w:color w:val="000000"/>
        </w:rPr>
        <w:t>Int J Cardiol</w:t>
      </w:r>
      <w:r w:rsidRPr="00CF7FD4">
        <w:rPr>
          <w:rFonts w:ascii="Book Antiqua" w:eastAsia="Book Antiqua" w:hAnsi="Book Antiqua" w:cs="Book Antiqua"/>
          <w:color w:val="000000"/>
        </w:rPr>
        <w:t xml:space="preserve"> 2013; </w:t>
      </w:r>
      <w:r w:rsidRPr="00CF7FD4">
        <w:rPr>
          <w:rFonts w:ascii="Book Antiqua" w:eastAsia="Book Antiqua" w:hAnsi="Book Antiqua" w:cs="Book Antiqua"/>
          <w:b/>
          <w:bCs/>
          <w:color w:val="000000"/>
        </w:rPr>
        <w:t>165</w:t>
      </w:r>
      <w:r w:rsidRPr="00CF7FD4">
        <w:rPr>
          <w:rFonts w:ascii="Book Antiqua" w:eastAsia="Book Antiqua" w:hAnsi="Book Antiqua" w:cs="Book Antiqua"/>
          <w:color w:val="000000"/>
        </w:rPr>
        <w:t>: 25-34 [PMID: 22483252 DOI: 10.1016/j.ijcard.2012.03.093]</w:t>
      </w:r>
    </w:p>
    <w:p w14:paraId="2569B926"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7 </w:t>
      </w:r>
      <w:r w:rsidRPr="00CF7FD4">
        <w:rPr>
          <w:rFonts w:ascii="Book Antiqua" w:eastAsia="Book Antiqua" w:hAnsi="Book Antiqua" w:cs="Book Antiqua"/>
          <w:b/>
          <w:bCs/>
          <w:color w:val="000000"/>
        </w:rPr>
        <w:t>Donato AJ</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Uberoi</w:t>
      </w:r>
      <w:proofErr w:type="spellEnd"/>
      <w:r w:rsidRPr="00CF7FD4">
        <w:rPr>
          <w:rFonts w:ascii="Book Antiqua" w:eastAsia="Book Antiqua" w:hAnsi="Book Antiqua" w:cs="Book Antiqua"/>
          <w:color w:val="000000"/>
        </w:rPr>
        <w:t xml:space="preserve"> A, Bailey DM, Wray DW, Richardson RS. Exercise-induced brachial artery vasodilation: effects of antioxidants and exercise training in elderly men. </w:t>
      </w:r>
      <w:r w:rsidRPr="00CF7FD4">
        <w:rPr>
          <w:rFonts w:ascii="Book Antiqua" w:eastAsia="Book Antiqua" w:hAnsi="Book Antiqua" w:cs="Book Antiqua"/>
          <w:i/>
          <w:iCs/>
          <w:color w:val="000000"/>
        </w:rPr>
        <w:t xml:space="preserve">Am J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i/>
          <w:iCs/>
          <w:color w:val="000000"/>
        </w:rPr>
        <w:t xml:space="preserve"> Heart Circ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color w:val="000000"/>
        </w:rPr>
        <w:t xml:space="preserve"> 2010; </w:t>
      </w:r>
      <w:r w:rsidRPr="00CF7FD4">
        <w:rPr>
          <w:rFonts w:ascii="Book Antiqua" w:eastAsia="Book Antiqua" w:hAnsi="Book Antiqua" w:cs="Book Antiqua"/>
          <w:b/>
          <w:bCs/>
          <w:color w:val="000000"/>
        </w:rPr>
        <w:t>298</w:t>
      </w:r>
      <w:r w:rsidRPr="00CF7FD4">
        <w:rPr>
          <w:rFonts w:ascii="Book Antiqua" w:eastAsia="Book Antiqua" w:hAnsi="Book Antiqua" w:cs="Book Antiqua"/>
          <w:color w:val="000000"/>
        </w:rPr>
        <w:t>: H671-H678 [PMID: 19966056 DOI: 10.1152/ajpheart.00761.2009]</w:t>
      </w:r>
    </w:p>
    <w:p w14:paraId="63F0BEE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8 </w:t>
      </w:r>
      <w:proofErr w:type="spellStart"/>
      <w:r w:rsidRPr="00CF7FD4">
        <w:rPr>
          <w:rFonts w:ascii="Book Antiqua" w:eastAsia="Book Antiqua" w:hAnsi="Book Antiqua" w:cs="Book Antiqua"/>
          <w:b/>
          <w:bCs/>
          <w:color w:val="000000"/>
        </w:rPr>
        <w:t>Koutroumpi</w:t>
      </w:r>
      <w:proofErr w:type="spellEnd"/>
      <w:r w:rsidRPr="00CF7FD4">
        <w:rPr>
          <w:rFonts w:ascii="Book Antiqua" w:eastAsia="Book Antiqua" w:hAnsi="Book Antiqua" w:cs="Book Antiqua"/>
          <w:b/>
          <w:bCs/>
          <w:color w:val="000000"/>
        </w:rPr>
        <w:t xml:space="preserve"> 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Kyprianou</w:t>
      </w:r>
      <w:proofErr w:type="spellEnd"/>
      <w:r w:rsidRPr="00CF7FD4">
        <w:rPr>
          <w:rFonts w:ascii="Book Antiqua" w:eastAsia="Book Antiqua" w:hAnsi="Book Antiqua" w:cs="Book Antiqua"/>
          <w:color w:val="000000"/>
        </w:rPr>
        <w:t xml:space="preserve"> T, Nanas S. Circulating endothelial and progenitor cells: Evidence from acute and long-term exercise effects. </w:t>
      </w:r>
      <w:r w:rsidRPr="00CF7FD4">
        <w:rPr>
          <w:rFonts w:ascii="Book Antiqua" w:eastAsia="Book Antiqua" w:hAnsi="Book Antiqua" w:cs="Book Antiqua"/>
          <w:i/>
          <w:iCs/>
          <w:color w:val="000000"/>
        </w:rPr>
        <w:t>World J Cardiol</w:t>
      </w:r>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4</w:t>
      </w:r>
      <w:r w:rsidRPr="00CF7FD4">
        <w:rPr>
          <w:rFonts w:ascii="Book Antiqua" w:eastAsia="Book Antiqua" w:hAnsi="Book Antiqua" w:cs="Book Antiqua"/>
          <w:color w:val="000000"/>
        </w:rPr>
        <w:t>: 312-326 [PMID: 23272272 DOI: 10.4330/wjc.v4.i12.312]</w:t>
      </w:r>
    </w:p>
    <w:p w14:paraId="25D92E9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9 </w:t>
      </w:r>
      <w:r w:rsidRPr="00CF7FD4">
        <w:rPr>
          <w:rFonts w:ascii="Book Antiqua" w:eastAsia="Book Antiqua" w:hAnsi="Book Antiqua" w:cs="Book Antiqua"/>
          <w:b/>
          <w:bCs/>
          <w:color w:val="000000"/>
        </w:rPr>
        <w:t>Sawyer BJ</w:t>
      </w:r>
      <w:r w:rsidRPr="00CF7FD4">
        <w:rPr>
          <w:rFonts w:ascii="Book Antiqua" w:eastAsia="Book Antiqua" w:hAnsi="Book Antiqua" w:cs="Book Antiqua"/>
          <w:color w:val="000000"/>
        </w:rPr>
        <w:t xml:space="preserve">, Tucker WJ, </w:t>
      </w:r>
      <w:proofErr w:type="spellStart"/>
      <w:r w:rsidRPr="00CF7FD4">
        <w:rPr>
          <w:rFonts w:ascii="Book Antiqua" w:eastAsia="Book Antiqua" w:hAnsi="Book Antiqua" w:cs="Book Antiqua"/>
          <w:color w:val="000000"/>
        </w:rPr>
        <w:t>Bhammar</w:t>
      </w:r>
      <w:proofErr w:type="spellEnd"/>
      <w:r w:rsidRPr="00CF7FD4">
        <w:rPr>
          <w:rFonts w:ascii="Book Antiqua" w:eastAsia="Book Antiqua" w:hAnsi="Book Antiqua" w:cs="Book Antiqua"/>
          <w:color w:val="000000"/>
        </w:rPr>
        <w:t xml:space="preserve"> DM, Ryder JR, </w:t>
      </w:r>
      <w:proofErr w:type="spellStart"/>
      <w:r w:rsidRPr="00CF7FD4">
        <w:rPr>
          <w:rFonts w:ascii="Book Antiqua" w:eastAsia="Book Antiqua" w:hAnsi="Book Antiqua" w:cs="Book Antiqua"/>
          <w:color w:val="000000"/>
        </w:rPr>
        <w:t>Sweazea</w:t>
      </w:r>
      <w:proofErr w:type="spellEnd"/>
      <w:r w:rsidRPr="00CF7FD4">
        <w:rPr>
          <w:rFonts w:ascii="Book Antiqua" w:eastAsia="Book Antiqua" w:hAnsi="Book Antiqua" w:cs="Book Antiqua"/>
          <w:color w:val="000000"/>
        </w:rPr>
        <w:t xml:space="preserve"> KL, Gaesser GA. Effects of high-intensity interval training and moderate-intensity continuous training on endothelial function and cardiometabolic risk markers in obese adults. </w:t>
      </w:r>
      <w:r w:rsidRPr="00CF7FD4">
        <w:rPr>
          <w:rFonts w:ascii="Book Antiqua" w:eastAsia="Book Antiqua" w:hAnsi="Book Antiqua" w:cs="Book Antiqua"/>
          <w:i/>
          <w:iCs/>
          <w:color w:val="000000"/>
        </w:rPr>
        <w:t xml:space="preserve">J Appl </w:t>
      </w:r>
      <w:proofErr w:type="spellStart"/>
      <w:r w:rsidRPr="00CF7FD4">
        <w:rPr>
          <w:rFonts w:ascii="Book Antiqua" w:eastAsia="Book Antiqua" w:hAnsi="Book Antiqua" w:cs="Book Antiqua"/>
          <w:i/>
          <w:iCs/>
          <w:color w:val="000000"/>
        </w:rPr>
        <w:t>Physiol</w:t>
      </w:r>
      <w:proofErr w:type="spellEnd"/>
      <w:r w:rsidRPr="00CF7FD4">
        <w:rPr>
          <w:rFonts w:ascii="Book Antiqua" w:eastAsia="Book Antiqua" w:hAnsi="Book Antiqua" w:cs="Book Antiqua"/>
          <w:i/>
          <w:iCs/>
          <w:color w:val="000000"/>
        </w:rPr>
        <w:t xml:space="preserve"> (1985)</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121</w:t>
      </w:r>
      <w:r w:rsidRPr="00CF7FD4">
        <w:rPr>
          <w:rFonts w:ascii="Book Antiqua" w:eastAsia="Book Antiqua" w:hAnsi="Book Antiqua" w:cs="Book Antiqua"/>
          <w:color w:val="000000"/>
        </w:rPr>
        <w:t>: 279-288 [PMID: 27255523 DOI: 10.1152/japplphysiol.00024.2016]</w:t>
      </w:r>
    </w:p>
    <w:p w14:paraId="17DD1BF1"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10 </w:t>
      </w:r>
      <w:proofErr w:type="spellStart"/>
      <w:r w:rsidRPr="00CF7FD4">
        <w:rPr>
          <w:rFonts w:ascii="Book Antiqua" w:eastAsia="Book Antiqua" w:hAnsi="Book Antiqua" w:cs="Book Antiqua"/>
          <w:b/>
          <w:bCs/>
          <w:color w:val="000000"/>
        </w:rPr>
        <w:t>Morrone</w:t>
      </w:r>
      <w:proofErr w:type="spellEnd"/>
      <w:r w:rsidRPr="00CF7FD4">
        <w:rPr>
          <w:rFonts w:ascii="Book Antiqua" w:eastAsia="Book Antiqua" w:hAnsi="Book Antiqua" w:cs="Book Antiqua"/>
          <w:b/>
          <w:bCs/>
          <w:color w:val="000000"/>
        </w:rPr>
        <w:t xml:space="preserve"> D</w:t>
      </w:r>
      <w:r w:rsidRPr="00CF7FD4">
        <w:rPr>
          <w:rFonts w:ascii="Book Antiqua" w:eastAsia="Book Antiqua" w:hAnsi="Book Antiqua" w:cs="Book Antiqua"/>
          <w:color w:val="000000"/>
        </w:rPr>
        <w:t xml:space="preserve">, Felice F, </w:t>
      </w:r>
      <w:proofErr w:type="spellStart"/>
      <w:r w:rsidRPr="00CF7FD4">
        <w:rPr>
          <w:rFonts w:ascii="Book Antiqua" w:eastAsia="Book Antiqua" w:hAnsi="Book Antiqua" w:cs="Book Antiqua"/>
          <w:color w:val="000000"/>
        </w:rPr>
        <w:t>Scatena</w:t>
      </w:r>
      <w:proofErr w:type="spellEnd"/>
      <w:r w:rsidRPr="00CF7FD4">
        <w:rPr>
          <w:rFonts w:ascii="Book Antiqua" w:eastAsia="Book Antiqua" w:hAnsi="Book Antiqua" w:cs="Book Antiqua"/>
          <w:color w:val="000000"/>
        </w:rPr>
        <w:t xml:space="preserve"> C, De Martino A, </w:t>
      </w:r>
      <w:proofErr w:type="spellStart"/>
      <w:r w:rsidRPr="00CF7FD4">
        <w:rPr>
          <w:rFonts w:ascii="Book Antiqua" w:eastAsia="Book Antiqua" w:hAnsi="Book Antiqua" w:cs="Book Antiqua"/>
          <w:color w:val="000000"/>
        </w:rPr>
        <w:t>Picoi</w:t>
      </w:r>
      <w:proofErr w:type="spellEnd"/>
      <w:r w:rsidRPr="00CF7FD4">
        <w:rPr>
          <w:rFonts w:ascii="Book Antiqua" w:eastAsia="Book Antiqua" w:hAnsi="Book Antiqua" w:cs="Book Antiqua"/>
          <w:color w:val="000000"/>
        </w:rPr>
        <w:t xml:space="preserve"> MLE, Mancini N, Blasi S, </w:t>
      </w:r>
      <w:proofErr w:type="spellStart"/>
      <w:r w:rsidRPr="00CF7FD4">
        <w:rPr>
          <w:rFonts w:ascii="Book Antiqua" w:eastAsia="Book Antiqua" w:hAnsi="Book Antiqua" w:cs="Book Antiqua"/>
          <w:color w:val="000000"/>
        </w:rPr>
        <w:t>Menicagli</w:t>
      </w:r>
      <w:proofErr w:type="spellEnd"/>
      <w:r w:rsidRPr="00CF7FD4">
        <w:rPr>
          <w:rFonts w:ascii="Book Antiqua" w:eastAsia="Book Antiqua" w:hAnsi="Book Antiqua" w:cs="Book Antiqua"/>
          <w:color w:val="000000"/>
        </w:rPr>
        <w:t xml:space="preserve"> M, Di Stefano R, </w:t>
      </w:r>
      <w:proofErr w:type="spellStart"/>
      <w:r w:rsidRPr="00CF7FD4">
        <w:rPr>
          <w:rFonts w:ascii="Book Antiqua" w:eastAsia="Book Antiqua" w:hAnsi="Book Antiqua" w:cs="Book Antiqua"/>
          <w:color w:val="000000"/>
        </w:rPr>
        <w:t>Bortolotti</w:t>
      </w:r>
      <w:proofErr w:type="spellEnd"/>
      <w:r w:rsidRPr="00CF7FD4">
        <w:rPr>
          <w:rFonts w:ascii="Book Antiqua" w:eastAsia="Book Antiqua" w:hAnsi="Book Antiqua" w:cs="Book Antiqua"/>
          <w:color w:val="000000"/>
        </w:rPr>
        <w:t xml:space="preserve"> U, </w:t>
      </w:r>
      <w:proofErr w:type="spellStart"/>
      <w:r w:rsidRPr="00CF7FD4">
        <w:rPr>
          <w:rFonts w:ascii="Book Antiqua" w:eastAsia="Book Antiqua" w:hAnsi="Book Antiqua" w:cs="Book Antiqua"/>
          <w:color w:val="000000"/>
        </w:rPr>
        <w:t>Naccarato</w:t>
      </w:r>
      <w:proofErr w:type="spellEnd"/>
      <w:r w:rsidRPr="00CF7FD4">
        <w:rPr>
          <w:rFonts w:ascii="Book Antiqua" w:eastAsia="Book Antiqua" w:hAnsi="Book Antiqua" w:cs="Book Antiqua"/>
          <w:color w:val="000000"/>
        </w:rPr>
        <w:t xml:space="preserve"> AG, </w:t>
      </w:r>
      <w:proofErr w:type="spellStart"/>
      <w:r w:rsidRPr="00CF7FD4">
        <w:rPr>
          <w:rFonts w:ascii="Book Antiqua" w:eastAsia="Book Antiqua" w:hAnsi="Book Antiqua" w:cs="Book Antiqua"/>
          <w:color w:val="000000"/>
        </w:rPr>
        <w:t>Balbarini</w:t>
      </w:r>
      <w:proofErr w:type="spellEnd"/>
      <w:r w:rsidRPr="00CF7FD4">
        <w:rPr>
          <w:rFonts w:ascii="Book Antiqua" w:eastAsia="Book Antiqua" w:hAnsi="Book Antiqua" w:cs="Book Antiqua"/>
          <w:color w:val="000000"/>
        </w:rPr>
        <w:t xml:space="preserve"> A. Role of circulating endothelial progenitor cells in the reparative mechanisms of stable ischemic myocardium. </w:t>
      </w:r>
      <w:r w:rsidRPr="00CF7FD4">
        <w:rPr>
          <w:rFonts w:ascii="Book Antiqua" w:eastAsia="Book Antiqua" w:hAnsi="Book Antiqua" w:cs="Book Antiqua"/>
          <w:i/>
          <w:iCs/>
          <w:color w:val="000000"/>
        </w:rPr>
        <w:t>Int J Cardiol</w:t>
      </w:r>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257</w:t>
      </w:r>
      <w:r w:rsidRPr="00CF7FD4">
        <w:rPr>
          <w:rFonts w:ascii="Book Antiqua" w:eastAsia="Book Antiqua" w:hAnsi="Book Antiqua" w:cs="Book Antiqua"/>
          <w:color w:val="000000"/>
        </w:rPr>
        <w:t>: 243-246 [PMID: 28918896 DOI: 10.1016/j.ijcard.2017.05.070]</w:t>
      </w:r>
    </w:p>
    <w:p w14:paraId="1885B229"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11 </w:t>
      </w:r>
      <w:r w:rsidRPr="00CF7FD4">
        <w:rPr>
          <w:rFonts w:ascii="Book Antiqua" w:eastAsia="Book Antiqua" w:hAnsi="Book Antiqua" w:cs="Book Antiqua"/>
          <w:b/>
          <w:bCs/>
          <w:color w:val="000000"/>
        </w:rPr>
        <w:t>Chan KH</w:t>
      </w:r>
      <w:r w:rsidRPr="00CF7FD4">
        <w:rPr>
          <w:rFonts w:ascii="Book Antiqua" w:eastAsia="Book Antiqua" w:hAnsi="Book Antiqua" w:cs="Book Antiqua"/>
          <w:color w:val="000000"/>
        </w:rPr>
        <w:t xml:space="preserve">, Simpson PJ, Yong AS, Dunn LL, </w:t>
      </w:r>
      <w:proofErr w:type="spellStart"/>
      <w:r w:rsidRPr="00CF7FD4">
        <w:rPr>
          <w:rFonts w:ascii="Book Antiqua" w:eastAsia="Book Antiqua" w:hAnsi="Book Antiqua" w:cs="Book Antiqua"/>
          <w:color w:val="000000"/>
        </w:rPr>
        <w:t>Chawantanpipat</w:t>
      </w:r>
      <w:proofErr w:type="spellEnd"/>
      <w:r w:rsidRPr="00CF7FD4">
        <w:rPr>
          <w:rFonts w:ascii="Book Antiqua" w:eastAsia="Book Antiqua" w:hAnsi="Book Antiqua" w:cs="Book Antiqua"/>
          <w:color w:val="000000"/>
        </w:rPr>
        <w:t xml:space="preserve"> C, Hsu C, Yu Y, Keech AC, </w:t>
      </w:r>
      <w:proofErr w:type="spellStart"/>
      <w:r w:rsidRPr="00CF7FD4">
        <w:rPr>
          <w:rFonts w:ascii="Book Antiqua" w:eastAsia="Book Antiqua" w:hAnsi="Book Antiqua" w:cs="Book Antiqua"/>
          <w:color w:val="000000"/>
        </w:rPr>
        <w:t>Celermajer</w:t>
      </w:r>
      <w:proofErr w:type="spellEnd"/>
      <w:r w:rsidRPr="00CF7FD4">
        <w:rPr>
          <w:rFonts w:ascii="Book Antiqua" w:eastAsia="Book Antiqua" w:hAnsi="Book Antiqua" w:cs="Book Antiqua"/>
          <w:color w:val="000000"/>
        </w:rPr>
        <w:t xml:space="preserve"> DS, Ng MK. The relationship between endothelial progenitor cell populations and epicardial and microvascular coronary disease-a cellular, angiographic </w:t>
      </w:r>
      <w:r w:rsidRPr="00CF7FD4">
        <w:rPr>
          <w:rFonts w:ascii="Book Antiqua" w:eastAsia="Book Antiqua" w:hAnsi="Book Antiqua" w:cs="Book Antiqua"/>
          <w:color w:val="000000"/>
        </w:rPr>
        <w:lastRenderedPageBreak/>
        <w:t xml:space="preserve">and physiologic study. </w:t>
      </w:r>
      <w:proofErr w:type="spellStart"/>
      <w:r w:rsidRPr="00CF7FD4">
        <w:rPr>
          <w:rFonts w:ascii="Book Antiqua" w:eastAsia="Book Antiqua" w:hAnsi="Book Antiqua" w:cs="Book Antiqua"/>
          <w:i/>
          <w:iCs/>
          <w:color w:val="000000"/>
        </w:rPr>
        <w:t>PLoS</w:t>
      </w:r>
      <w:proofErr w:type="spellEnd"/>
      <w:r w:rsidRPr="00CF7FD4">
        <w:rPr>
          <w:rFonts w:ascii="Book Antiqua" w:eastAsia="Book Antiqua" w:hAnsi="Book Antiqua" w:cs="Book Antiqua"/>
          <w:i/>
          <w:iCs/>
          <w:color w:val="000000"/>
        </w:rPr>
        <w:t xml:space="preserve"> One</w:t>
      </w:r>
      <w:r w:rsidRPr="00CF7FD4">
        <w:rPr>
          <w:rFonts w:ascii="Book Antiqua" w:eastAsia="Book Antiqua" w:hAnsi="Book Antiqua" w:cs="Book Antiqua"/>
          <w:color w:val="000000"/>
        </w:rPr>
        <w:t xml:space="preserve"> 2014; </w:t>
      </w:r>
      <w:r w:rsidRPr="00CF7FD4">
        <w:rPr>
          <w:rFonts w:ascii="Book Antiqua" w:eastAsia="Book Antiqua" w:hAnsi="Book Antiqua" w:cs="Book Antiqua"/>
          <w:b/>
          <w:bCs/>
          <w:color w:val="000000"/>
        </w:rPr>
        <w:t>9</w:t>
      </w:r>
      <w:r w:rsidRPr="00CF7FD4">
        <w:rPr>
          <w:rFonts w:ascii="Book Antiqua" w:eastAsia="Book Antiqua" w:hAnsi="Book Antiqua" w:cs="Book Antiqua"/>
          <w:color w:val="000000"/>
        </w:rPr>
        <w:t>: e93980 [PMID: 24736282 DOI: 10.1371/journal.pone.0093980]</w:t>
      </w:r>
    </w:p>
    <w:p w14:paraId="5C109EE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12 </w:t>
      </w:r>
      <w:proofErr w:type="spellStart"/>
      <w:r w:rsidRPr="00CF7FD4">
        <w:rPr>
          <w:rFonts w:ascii="Book Antiqua" w:eastAsia="Book Antiqua" w:hAnsi="Book Antiqua" w:cs="Book Antiqua"/>
          <w:b/>
          <w:bCs/>
          <w:color w:val="000000"/>
        </w:rPr>
        <w:t>Fujisue</w:t>
      </w:r>
      <w:proofErr w:type="spellEnd"/>
      <w:r w:rsidRPr="00CF7FD4">
        <w:rPr>
          <w:rFonts w:ascii="Book Antiqua" w:eastAsia="Book Antiqua" w:hAnsi="Book Antiqua" w:cs="Book Antiqua"/>
          <w:b/>
          <w:bCs/>
          <w:color w:val="000000"/>
        </w:rPr>
        <w:t xml:space="preserve"> K</w:t>
      </w:r>
      <w:r w:rsidRPr="00CF7FD4">
        <w:rPr>
          <w:rFonts w:ascii="Book Antiqua" w:eastAsia="Book Antiqua" w:hAnsi="Book Antiqua" w:cs="Book Antiqua"/>
          <w:color w:val="000000"/>
        </w:rPr>
        <w:t xml:space="preserve">, Sugiyama S, Matsuzawa Y, Akiyama E, </w:t>
      </w:r>
      <w:proofErr w:type="spellStart"/>
      <w:r w:rsidRPr="00CF7FD4">
        <w:rPr>
          <w:rFonts w:ascii="Book Antiqua" w:eastAsia="Book Antiqua" w:hAnsi="Book Antiqua" w:cs="Book Antiqua"/>
          <w:color w:val="000000"/>
        </w:rPr>
        <w:t>Sugamura</w:t>
      </w:r>
      <w:proofErr w:type="spellEnd"/>
      <w:r w:rsidRPr="00CF7FD4">
        <w:rPr>
          <w:rFonts w:ascii="Book Antiqua" w:eastAsia="Book Antiqua" w:hAnsi="Book Antiqua" w:cs="Book Antiqua"/>
          <w:color w:val="000000"/>
        </w:rPr>
        <w:t xml:space="preserve"> K, Matsubara J, </w:t>
      </w:r>
      <w:proofErr w:type="spellStart"/>
      <w:r w:rsidRPr="00CF7FD4">
        <w:rPr>
          <w:rFonts w:ascii="Book Antiqua" w:eastAsia="Book Antiqua" w:hAnsi="Book Antiqua" w:cs="Book Antiqua"/>
          <w:color w:val="000000"/>
        </w:rPr>
        <w:t>Kurokawa</w:t>
      </w:r>
      <w:proofErr w:type="spellEnd"/>
      <w:r w:rsidRPr="00CF7FD4">
        <w:rPr>
          <w:rFonts w:ascii="Book Antiqua" w:eastAsia="Book Antiqua" w:hAnsi="Book Antiqua" w:cs="Book Antiqua"/>
          <w:color w:val="000000"/>
        </w:rPr>
        <w:t xml:space="preserve"> H, Maeda H, Hirata Y, </w:t>
      </w:r>
      <w:proofErr w:type="spellStart"/>
      <w:r w:rsidRPr="00CF7FD4">
        <w:rPr>
          <w:rFonts w:ascii="Book Antiqua" w:eastAsia="Book Antiqua" w:hAnsi="Book Antiqua" w:cs="Book Antiqua"/>
          <w:color w:val="000000"/>
        </w:rPr>
        <w:t>Kusaka</w:t>
      </w:r>
      <w:proofErr w:type="spellEnd"/>
      <w:r w:rsidRPr="00CF7FD4">
        <w:rPr>
          <w:rFonts w:ascii="Book Antiqua" w:eastAsia="Book Antiqua" w:hAnsi="Book Antiqua" w:cs="Book Antiqua"/>
          <w:color w:val="000000"/>
        </w:rPr>
        <w:t xml:space="preserve"> H, Yamamoto E, Iwashita S, Sumida H, Sakamoto K, </w:t>
      </w:r>
      <w:proofErr w:type="spellStart"/>
      <w:r w:rsidRPr="00CF7FD4">
        <w:rPr>
          <w:rFonts w:ascii="Book Antiqua" w:eastAsia="Book Antiqua" w:hAnsi="Book Antiqua" w:cs="Book Antiqua"/>
          <w:color w:val="000000"/>
        </w:rPr>
        <w:t>Tsujita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Kaikita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Hokimoto</w:t>
      </w:r>
      <w:proofErr w:type="spellEnd"/>
      <w:r w:rsidRPr="00CF7FD4">
        <w:rPr>
          <w:rFonts w:ascii="Book Antiqua" w:eastAsia="Book Antiqua" w:hAnsi="Book Antiqua" w:cs="Book Antiqua"/>
          <w:color w:val="000000"/>
        </w:rPr>
        <w:t xml:space="preserve"> S, Matsui K, Ogawa H. Prognostic Significance of Peripheral Microvascular Endothelial Dysfunction in Heart Failure With Reduced Left Ventricular Ejection Fraction. </w:t>
      </w:r>
      <w:r w:rsidRPr="00CF7FD4">
        <w:rPr>
          <w:rFonts w:ascii="Book Antiqua" w:eastAsia="Book Antiqua" w:hAnsi="Book Antiqua" w:cs="Book Antiqua"/>
          <w:i/>
          <w:iCs/>
          <w:color w:val="000000"/>
        </w:rPr>
        <w:t>Circ J</w:t>
      </w:r>
      <w:r w:rsidRPr="00CF7FD4">
        <w:rPr>
          <w:rFonts w:ascii="Book Antiqua" w:eastAsia="Book Antiqua" w:hAnsi="Book Antiqua" w:cs="Book Antiqua"/>
          <w:color w:val="000000"/>
        </w:rPr>
        <w:t xml:space="preserve"> 2015; </w:t>
      </w:r>
      <w:r w:rsidRPr="00CF7FD4">
        <w:rPr>
          <w:rFonts w:ascii="Book Antiqua" w:eastAsia="Book Antiqua" w:hAnsi="Book Antiqua" w:cs="Book Antiqua"/>
          <w:b/>
          <w:bCs/>
          <w:color w:val="000000"/>
        </w:rPr>
        <w:t>79</w:t>
      </w:r>
      <w:r w:rsidRPr="00CF7FD4">
        <w:rPr>
          <w:rFonts w:ascii="Book Antiqua" w:eastAsia="Book Antiqua" w:hAnsi="Book Antiqua" w:cs="Book Antiqua"/>
          <w:color w:val="000000"/>
        </w:rPr>
        <w:t>: 2623-2631 [PMID: 26489455 DOI: 10.1253/circj.CJ-15-0671]</w:t>
      </w:r>
    </w:p>
    <w:p w14:paraId="04AD76E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13 </w:t>
      </w:r>
      <w:r w:rsidRPr="00CF7FD4">
        <w:rPr>
          <w:rFonts w:ascii="Book Antiqua" w:eastAsia="Book Antiqua" w:hAnsi="Book Antiqua" w:cs="Book Antiqua"/>
          <w:b/>
          <w:bCs/>
          <w:color w:val="000000"/>
        </w:rPr>
        <w:t>Chen YC</w:t>
      </w:r>
      <w:r w:rsidRPr="00CF7FD4">
        <w:rPr>
          <w:rFonts w:ascii="Book Antiqua" w:eastAsia="Book Antiqua" w:hAnsi="Book Antiqua" w:cs="Book Antiqua"/>
          <w:color w:val="000000"/>
        </w:rPr>
        <w:t xml:space="preserve">, Ho CW, Tsai HH, Wang JS. Interval and continuous exercise regimens suppress neutrophil-derived microparticle formation and neutrophil-promoted thrombin generation under hypoxic stress. </w:t>
      </w:r>
      <w:r w:rsidRPr="00CF7FD4">
        <w:rPr>
          <w:rFonts w:ascii="Book Antiqua" w:eastAsia="Book Antiqua" w:hAnsi="Book Antiqua" w:cs="Book Antiqua"/>
          <w:i/>
          <w:iCs/>
          <w:color w:val="000000"/>
        </w:rPr>
        <w:t>Clin Sci (</w:t>
      </w:r>
      <w:proofErr w:type="spellStart"/>
      <w:r w:rsidRPr="00CF7FD4">
        <w:rPr>
          <w:rFonts w:ascii="Book Antiqua" w:eastAsia="Book Antiqua" w:hAnsi="Book Antiqua" w:cs="Book Antiqua"/>
          <w:i/>
          <w:iCs/>
          <w:color w:val="000000"/>
        </w:rPr>
        <w:t>Lond</w:t>
      </w:r>
      <w:proofErr w:type="spellEnd"/>
      <w:r w:rsidRPr="00CF7FD4">
        <w:rPr>
          <w:rFonts w:ascii="Book Antiqua" w:eastAsia="Book Antiqua" w:hAnsi="Book Antiqua" w:cs="Book Antiqua"/>
          <w:i/>
          <w:iCs/>
          <w:color w:val="000000"/>
        </w:rPr>
        <w:t>)</w:t>
      </w:r>
      <w:r w:rsidRPr="00CF7FD4">
        <w:rPr>
          <w:rFonts w:ascii="Book Antiqua" w:eastAsia="Book Antiqua" w:hAnsi="Book Antiqua" w:cs="Book Antiqua"/>
          <w:color w:val="000000"/>
        </w:rPr>
        <w:t xml:space="preserve"> 2015; </w:t>
      </w:r>
      <w:r w:rsidRPr="00CF7FD4">
        <w:rPr>
          <w:rFonts w:ascii="Book Antiqua" w:eastAsia="Book Antiqua" w:hAnsi="Book Antiqua" w:cs="Book Antiqua"/>
          <w:b/>
          <w:bCs/>
          <w:color w:val="000000"/>
        </w:rPr>
        <w:t>128</w:t>
      </w:r>
      <w:r w:rsidRPr="00CF7FD4">
        <w:rPr>
          <w:rFonts w:ascii="Book Antiqua" w:eastAsia="Book Antiqua" w:hAnsi="Book Antiqua" w:cs="Book Antiqua"/>
          <w:color w:val="000000"/>
        </w:rPr>
        <w:t>: 425-436 [PMID: 25371035 DOI: 10.1042/CS20140498]</w:t>
      </w:r>
    </w:p>
    <w:p w14:paraId="0DB7A4CF" w14:textId="01F71A1A"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14 </w:t>
      </w:r>
      <w:r w:rsidRPr="00CF7FD4">
        <w:rPr>
          <w:rFonts w:ascii="Book Antiqua" w:eastAsia="Book Antiqua" w:hAnsi="Book Antiqua" w:cs="Book Antiqua"/>
          <w:b/>
          <w:bCs/>
          <w:color w:val="000000"/>
        </w:rPr>
        <w:t>Werner N</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Kosiol</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Schiegl</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Ahlers</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Walenta</w:t>
      </w:r>
      <w:proofErr w:type="spellEnd"/>
      <w:r w:rsidRPr="00CF7FD4">
        <w:rPr>
          <w:rFonts w:ascii="Book Antiqua" w:eastAsia="Book Antiqua" w:hAnsi="Book Antiqua" w:cs="Book Antiqua"/>
          <w:color w:val="000000"/>
        </w:rPr>
        <w:t xml:space="preserve"> K, Link A, </w:t>
      </w:r>
      <w:proofErr w:type="spellStart"/>
      <w:r w:rsidR="00B95D86" w:rsidRPr="00CF7FD4">
        <w:rPr>
          <w:rFonts w:ascii="Book Antiqua" w:eastAsia="Book Antiqua" w:hAnsi="Book Antiqua" w:cs="Book Antiqua"/>
          <w:color w:val="000000"/>
        </w:rPr>
        <w:t>Böhm</w:t>
      </w:r>
      <w:proofErr w:type="spellEnd"/>
      <w:r w:rsidR="00B95D86" w:rsidRPr="00CF7FD4">
        <w:rPr>
          <w:rFonts w:ascii="Book Antiqua" w:eastAsia="Book Antiqua" w:hAnsi="Book Antiqua" w:cs="Book Antiqua"/>
          <w:color w:val="000000"/>
        </w:rPr>
        <w:t xml:space="preserve"> 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Nickenig</w:t>
      </w:r>
      <w:proofErr w:type="spellEnd"/>
      <w:r w:rsidRPr="00CF7FD4">
        <w:rPr>
          <w:rFonts w:ascii="Book Antiqua" w:eastAsia="Book Antiqua" w:hAnsi="Book Antiqua" w:cs="Book Antiqua"/>
          <w:color w:val="000000"/>
        </w:rPr>
        <w:t xml:space="preserve"> G. Circulating endothelial progenitor cells and cardiovascular outcomes. </w:t>
      </w:r>
      <w:r w:rsidRPr="00CF7FD4">
        <w:rPr>
          <w:rFonts w:ascii="Book Antiqua" w:eastAsia="Book Antiqua" w:hAnsi="Book Antiqua" w:cs="Book Antiqua"/>
          <w:i/>
          <w:iCs/>
          <w:color w:val="000000"/>
        </w:rPr>
        <w:t xml:space="preserve">N </w:t>
      </w:r>
      <w:proofErr w:type="spellStart"/>
      <w:r w:rsidRPr="00CF7FD4">
        <w:rPr>
          <w:rFonts w:ascii="Book Antiqua" w:eastAsia="Book Antiqua" w:hAnsi="Book Antiqua" w:cs="Book Antiqua"/>
          <w:i/>
          <w:iCs/>
          <w:color w:val="000000"/>
        </w:rPr>
        <w:t>Engl</w:t>
      </w:r>
      <w:proofErr w:type="spellEnd"/>
      <w:r w:rsidRPr="00CF7FD4">
        <w:rPr>
          <w:rFonts w:ascii="Book Antiqua" w:eastAsia="Book Antiqua" w:hAnsi="Book Antiqua" w:cs="Book Antiqua"/>
          <w:i/>
          <w:iCs/>
          <w:color w:val="000000"/>
        </w:rPr>
        <w:t xml:space="preserve"> J Med</w:t>
      </w:r>
      <w:r w:rsidRPr="00CF7FD4">
        <w:rPr>
          <w:rFonts w:ascii="Book Antiqua" w:eastAsia="Book Antiqua" w:hAnsi="Book Antiqua" w:cs="Book Antiqua"/>
          <w:color w:val="000000"/>
        </w:rPr>
        <w:t xml:space="preserve"> 2005; </w:t>
      </w:r>
      <w:r w:rsidRPr="00CF7FD4">
        <w:rPr>
          <w:rFonts w:ascii="Book Antiqua" w:eastAsia="Book Antiqua" w:hAnsi="Book Antiqua" w:cs="Book Antiqua"/>
          <w:b/>
          <w:bCs/>
          <w:color w:val="000000"/>
        </w:rPr>
        <w:t>353</w:t>
      </w:r>
      <w:r w:rsidRPr="00CF7FD4">
        <w:rPr>
          <w:rFonts w:ascii="Book Antiqua" w:eastAsia="Book Antiqua" w:hAnsi="Book Antiqua" w:cs="Book Antiqua"/>
          <w:color w:val="000000"/>
        </w:rPr>
        <w:t>: 999-1007 [PMID: 16148285 DOI: 10.1056/NEJMoa043814]</w:t>
      </w:r>
    </w:p>
    <w:p w14:paraId="593A5CB5" w14:textId="35293521"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15 </w:t>
      </w:r>
      <w:r w:rsidRPr="00CF7FD4">
        <w:rPr>
          <w:rFonts w:ascii="Book Antiqua" w:eastAsia="Book Antiqua" w:hAnsi="Book Antiqua" w:cs="Book Antiqua"/>
          <w:b/>
          <w:bCs/>
          <w:color w:val="000000"/>
        </w:rPr>
        <w:t xml:space="preserve">Samman </w:t>
      </w:r>
      <w:proofErr w:type="spellStart"/>
      <w:r w:rsidRPr="00CF7FD4">
        <w:rPr>
          <w:rFonts w:ascii="Book Antiqua" w:eastAsia="Book Antiqua" w:hAnsi="Book Antiqua" w:cs="Book Antiqua"/>
          <w:b/>
          <w:bCs/>
          <w:color w:val="000000"/>
        </w:rPr>
        <w:t>Tahhan</w:t>
      </w:r>
      <w:proofErr w:type="spellEnd"/>
      <w:r w:rsidRPr="00CF7FD4">
        <w:rPr>
          <w:rFonts w:ascii="Book Antiqua" w:eastAsia="Book Antiqua" w:hAnsi="Book Antiqua" w:cs="Book Antiqua"/>
          <w:b/>
          <w:bCs/>
          <w:color w:val="000000"/>
        </w:rPr>
        <w:t xml:space="preserve"> A</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Hammadah</w:t>
      </w:r>
      <w:proofErr w:type="spellEnd"/>
      <w:r w:rsidRPr="00CF7FD4">
        <w:rPr>
          <w:rFonts w:ascii="Book Antiqua" w:eastAsia="Book Antiqua" w:hAnsi="Book Antiqua" w:cs="Book Antiqua"/>
          <w:color w:val="000000"/>
        </w:rPr>
        <w:t xml:space="preserve"> M, </w:t>
      </w:r>
      <w:proofErr w:type="spellStart"/>
      <w:r w:rsidRPr="00CF7FD4">
        <w:rPr>
          <w:rFonts w:ascii="Book Antiqua" w:eastAsia="Book Antiqua" w:hAnsi="Book Antiqua" w:cs="Book Antiqua"/>
          <w:color w:val="000000"/>
        </w:rPr>
        <w:t>Sandesara</w:t>
      </w:r>
      <w:proofErr w:type="spellEnd"/>
      <w:r w:rsidRPr="00CF7FD4">
        <w:rPr>
          <w:rFonts w:ascii="Book Antiqua" w:eastAsia="Book Antiqua" w:hAnsi="Book Antiqua" w:cs="Book Antiqua"/>
          <w:color w:val="000000"/>
        </w:rPr>
        <w:t xml:space="preserve"> PB, Hayek SS, </w:t>
      </w:r>
      <w:proofErr w:type="spellStart"/>
      <w:r w:rsidRPr="00CF7FD4">
        <w:rPr>
          <w:rFonts w:ascii="Book Antiqua" w:eastAsia="Book Antiqua" w:hAnsi="Book Antiqua" w:cs="Book Antiqua"/>
          <w:color w:val="000000"/>
        </w:rPr>
        <w:t>Kalogeropoulos</w:t>
      </w:r>
      <w:proofErr w:type="spellEnd"/>
      <w:r w:rsidRPr="00CF7FD4">
        <w:rPr>
          <w:rFonts w:ascii="Book Antiqua" w:eastAsia="Book Antiqua" w:hAnsi="Book Antiqua" w:cs="Book Antiqua"/>
          <w:color w:val="000000"/>
        </w:rPr>
        <w:t xml:space="preserve"> AP, </w:t>
      </w:r>
      <w:proofErr w:type="spellStart"/>
      <w:r w:rsidRPr="00CF7FD4">
        <w:rPr>
          <w:rFonts w:ascii="Book Antiqua" w:eastAsia="Book Antiqua" w:hAnsi="Book Antiqua" w:cs="Book Antiqua"/>
          <w:color w:val="000000"/>
        </w:rPr>
        <w:t>Alkhoder</w:t>
      </w:r>
      <w:proofErr w:type="spellEnd"/>
      <w:r w:rsidRPr="00CF7FD4">
        <w:rPr>
          <w:rFonts w:ascii="Book Antiqua" w:eastAsia="Book Antiqua" w:hAnsi="Book Antiqua" w:cs="Book Antiqua"/>
          <w:color w:val="000000"/>
        </w:rPr>
        <w:t xml:space="preserve"> A, Mohamed Kelli H, </w:t>
      </w:r>
      <w:proofErr w:type="spellStart"/>
      <w:r w:rsidRPr="00CF7FD4">
        <w:rPr>
          <w:rFonts w:ascii="Book Antiqua" w:eastAsia="Book Antiqua" w:hAnsi="Book Antiqua" w:cs="Book Antiqua"/>
          <w:color w:val="000000"/>
        </w:rPr>
        <w:t>Topel</w:t>
      </w:r>
      <w:proofErr w:type="spellEnd"/>
      <w:r w:rsidRPr="00CF7FD4">
        <w:rPr>
          <w:rFonts w:ascii="Book Antiqua" w:eastAsia="Book Antiqua" w:hAnsi="Book Antiqua" w:cs="Book Antiqua"/>
          <w:color w:val="000000"/>
        </w:rPr>
        <w:t xml:space="preserve"> M, </w:t>
      </w:r>
      <w:proofErr w:type="spellStart"/>
      <w:r w:rsidRPr="00CF7FD4">
        <w:rPr>
          <w:rFonts w:ascii="Book Antiqua" w:eastAsia="Book Antiqua" w:hAnsi="Book Antiqua" w:cs="Book Antiqua"/>
          <w:color w:val="000000"/>
        </w:rPr>
        <w:t>Ghasemzadeh</w:t>
      </w:r>
      <w:proofErr w:type="spellEnd"/>
      <w:r w:rsidRPr="00CF7FD4">
        <w:rPr>
          <w:rFonts w:ascii="Book Antiqua" w:eastAsia="Book Antiqua" w:hAnsi="Book Antiqua" w:cs="Book Antiqua"/>
          <w:color w:val="000000"/>
        </w:rPr>
        <w:t xml:space="preserve"> N, </w:t>
      </w:r>
      <w:proofErr w:type="spellStart"/>
      <w:r w:rsidRPr="00CF7FD4">
        <w:rPr>
          <w:rFonts w:ascii="Book Antiqua" w:eastAsia="Book Antiqua" w:hAnsi="Book Antiqua" w:cs="Book Antiqua"/>
          <w:color w:val="000000"/>
        </w:rPr>
        <w:t>Chivukula</w:t>
      </w:r>
      <w:proofErr w:type="spellEnd"/>
      <w:r w:rsidRPr="00CF7FD4">
        <w:rPr>
          <w:rFonts w:ascii="Book Antiqua" w:eastAsia="Book Antiqua" w:hAnsi="Book Antiqua" w:cs="Book Antiqua"/>
          <w:color w:val="000000"/>
        </w:rPr>
        <w:t xml:space="preserve"> K, Ko YA, Aida H, </w:t>
      </w:r>
      <w:proofErr w:type="spellStart"/>
      <w:r w:rsidRPr="00CF7FD4">
        <w:rPr>
          <w:rFonts w:ascii="Book Antiqua" w:eastAsia="Book Antiqua" w:hAnsi="Book Antiqua" w:cs="Book Antiqua"/>
          <w:color w:val="000000"/>
        </w:rPr>
        <w:t>Hesaroieh</w:t>
      </w:r>
      <w:proofErr w:type="spellEnd"/>
      <w:r w:rsidRPr="00CF7FD4">
        <w:rPr>
          <w:rFonts w:ascii="Book Antiqua" w:eastAsia="Book Antiqua" w:hAnsi="Book Antiqua" w:cs="Book Antiqua"/>
          <w:color w:val="000000"/>
        </w:rPr>
        <w:t xml:space="preserve"> I, Mahar E, Kim JH, Wilson P, Shaw L, </w:t>
      </w:r>
      <w:proofErr w:type="spellStart"/>
      <w:r w:rsidRPr="00CF7FD4">
        <w:rPr>
          <w:rFonts w:ascii="Book Antiqua" w:eastAsia="Book Antiqua" w:hAnsi="Book Antiqua" w:cs="Book Antiqua"/>
          <w:color w:val="000000"/>
        </w:rPr>
        <w:t>Vaccarino</w:t>
      </w:r>
      <w:proofErr w:type="spellEnd"/>
      <w:r w:rsidRPr="00CF7FD4">
        <w:rPr>
          <w:rFonts w:ascii="Book Antiqua" w:eastAsia="Book Antiqua" w:hAnsi="Book Antiqua" w:cs="Book Antiqua"/>
          <w:color w:val="000000"/>
        </w:rPr>
        <w:t xml:space="preserve"> V, Waller EK, </w:t>
      </w:r>
      <w:proofErr w:type="spellStart"/>
      <w:r w:rsidRPr="00CF7FD4">
        <w:rPr>
          <w:rFonts w:ascii="Book Antiqua" w:eastAsia="Book Antiqua" w:hAnsi="Book Antiqua" w:cs="Book Antiqua"/>
          <w:color w:val="000000"/>
        </w:rPr>
        <w:t>Quyyumi</w:t>
      </w:r>
      <w:proofErr w:type="spellEnd"/>
      <w:r w:rsidRPr="00CF7FD4">
        <w:rPr>
          <w:rFonts w:ascii="Book Antiqua" w:eastAsia="Book Antiqua" w:hAnsi="Book Antiqua" w:cs="Book Antiqua"/>
          <w:color w:val="000000"/>
        </w:rPr>
        <w:t xml:space="preserve"> AA. Progenitor Cells and Clinical Outcomes in Patients With Heart Failure. </w:t>
      </w:r>
      <w:r w:rsidRPr="00CF7FD4">
        <w:rPr>
          <w:rFonts w:ascii="Book Antiqua" w:eastAsia="Book Antiqua" w:hAnsi="Book Antiqua" w:cs="Book Antiqua"/>
          <w:i/>
          <w:iCs/>
          <w:color w:val="000000"/>
        </w:rPr>
        <w:t>Circ Heart Fail</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10</w:t>
      </w:r>
      <w:r w:rsidRPr="00CF7FD4">
        <w:rPr>
          <w:rFonts w:ascii="Book Antiqua" w:eastAsia="Book Antiqua" w:hAnsi="Book Antiqua" w:cs="Book Antiqua"/>
          <w:color w:val="000000"/>
        </w:rPr>
        <w:t xml:space="preserve">: [PMID: 28790053 </w:t>
      </w:r>
      <w:r w:rsidR="00981A2A" w:rsidRPr="00CF7FD4">
        <w:rPr>
          <w:rFonts w:ascii="Book Antiqua" w:eastAsia="Book Antiqua" w:hAnsi="Book Antiqua" w:cs="Book Antiqua"/>
          <w:color w:val="000000"/>
        </w:rPr>
        <w:t>DOI: 10.1161/CIRCHEARTFAILURE.117.004106</w:t>
      </w:r>
      <w:r w:rsidRPr="00CF7FD4">
        <w:rPr>
          <w:rFonts w:ascii="Book Antiqua" w:eastAsia="Book Antiqua" w:hAnsi="Book Antiqua" w:cs="Book Antiqua"/>
          <w:color w:val="000000"/>
        </w:rPr>
        <w:t>]</w:t>
      </w:r>
    </w:p>
    <w:p w14:paraId="2F037ED8" w14:textId="7B58B49C"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16 </w:t>
      </w:r>
      <w:r w:rsidRPr="00CF7FD4">
        <w:rPr>
          <w:rFonts w:ascii="Book Antiqua" w:eastAsia="Book Antiqua" w:hAnsi="Book Antiqua" w:cs="Book Antiqua"/>
          <w:b/>
          <w:bCs/>
          <w:color w:val="000000"/>
        </w:rPr>
        <w:t>Kourek C,</w:t>
      </w:r>
      <w:r w:rsidRPr="00CF7FD4">
        <w:rPr>
          <w:rFonts w:ascii="Book Antiqua" w:eastAsia="Book Antiqua" w:hAnsi="Book Antiqua" w:cs="Book Antiqua"/>
          <w:color w:val="000000"/>
        </w:rPr>
        <w:t xml:space="preserve"> Karatzanos E,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Ntalianis</w:t>
      </w:r>
      <w:proofErr w:type="spellEnd"/>
      <w:r w:rsidRPr="00CF7FD4">
        <w:rPr>
          <w:rFonts w:ascii="Book Antiqua" w:eastAsia="Book Antiqua" w:hAnsi="Book Antiqua" w:cs="Book Antiqua"/>
          <w:color w:val="000000"/>
        </w:rPr>
        <w:t xml:space="preserve"> A, </w:t>
      </w:r>
      <w:proofErr w:type="spellStart"/>
      <w:r w:rsidRPr="00CF7FD4">
        <w:rPr>
          <w:rFonts w:ascii="Book Antiqua" w:eastAsia="Book Antiqua" w:hAnsi="Book Antiqua" w:cs="Book Antiqua"/>
          <w:color w:val="000000"/>
        </w:rPr>
        <w:t>Mitsiou</w:t>
      </w:r>
      <w:proofErr w:type="spellEnd"/>
      <w:r w:rsidRPr="00CF7FD4">
        <w:rPr>
          <w:rFonts w:ascii="Book Antiqua" w:eastAsia="Book Antiqua" w:hAnsi="Book Antiqua" w:cs="Book Antiqua"/>
          <w:color w:val="000000"/>
        </w:rPr>
        <w:t xml:space="preserve"> G, Delis D, </w:t>
      </w:r>
      <w:proofErr w:type="spellStart"/>
      <w:r w:rsidRPr="00CF7FD4">
        <w:rPr>
          <w:rFonts w:ascii="Book Antiqua" w:eastAsia="Book Antiqua" w:hAnsi="Book Antiqua" w:cs="Book Antiqua"/>
          <w:color w:val="000000"/>
        </w:rPr>
        <w:t>Linardatou</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Pittaras</w:t>
      </w:r>
      <w:proofErr w:type="spellEnd"/>
      <w:r w:rsidRPr="00CF7FD4">
        <w:rPr>
          <w:rFonts w:ascii="Book Antiqua" w:eastAsia="Book Antiqua" w:hAnsi="Book Antiqua" w:cs="Book Antiqua"/>
          <w:color w:val="000000"/>
        </w:rPr>
        <w:t xml:space="preserve"> T, </w:t>
      </w:r>
      <w:proofErr w:type="spellStart"/>
      <w:r w:rsidRPr="00CF7FD4">
        <w:rPr>
          <w:rFonts w:ascii="Book Antiqua" w:eastAsia="Book Antiqua" w:hAnsi="Book Antiqua" w:cs="Book Antiqua"/>
          <w:color w:val="000000"/>
        </w:rPr>
        <w:t>Vasileiadis</w:t>
      </w:r>
      <w:proofErr w:type="spellEnd"/>
      <w:r w:rsidRPr="00CF7FD4">
        <w:rPr>
          <w:rFonts w:ascii="Book Antiqua" w:eastAsia="Book Antiqua" w:hAnsi="Book Antiqua" w:cs="Book Antiqua"/>
          <w:color w:val="000000"/>
        </w:rPr>
        <w:t xml:space="preserve"> I, Dimopoulos S, Nanas S. Endothelial progenitor cells mobilization after maximal exercise in patients with chronic heart failure. </w:t>
      </w:r>
      <w:r w:rsidRPr="00CF7FD4">
        <w:rPr>
          <w:rFonts w:ascii="Book Antiqua" w:eastAsia="Book Antiqua" w:hAnsi="Book Antiqua" w:cs="Book Antiqua"/>
          <w:i/>
          <w:iCs/>
          <w:color w:val="000000"/>
        </w:rPr>
        <w:t xml:space="preserve">Hellenic J Cardiol </w:t>
      </w:r>
      <w:r w:rsidRPr="00CF7FD4">
        <w:rPr>
          <w:rFonts w:ascii="Book Antiqua" w:eastAsia="Book Antiqua" w:hAnsi="Book Antiqua" w:cs="Book Antiqua"/>
          <w:color w:val="000000"/>
        </w:rPr>
        <w:t>2020;</w:t>
      </w:r>
      <w:r w:rsidR="00981A2A" w:rsidRPr="00CF7FD4">
        <w:rPr>
          <w:rFonts w:ascii="Book Antiqua" w:eastAsia="Book Antiqua" w:hAnsi="Book Antiqua" w:cs="Book Antiqua"/>
          <w:color w:val="000000"/>
        </w:rPr>
        <w:t xml:space="preserve"> </w:t>
      </w:r>
      <w:r w:rsidR="00323715" w:rsidRPr="00CF7FD4">
        <w:rPr>
          <w:rFonts w:ascii="Book Antiqua" w:eastAsia="Book Antiqua" w:hAnsi="Book Antiqua" w:cs="Book Antiqua"/>
          <w:color w:val="000000"/>
        </w:rPr>
        <w:t xml:space="preserve">Online ahead of print </w:t>
      </w:r>
      <w:r w:rsidR="00981A2A" w:rsidRPr="00CF7FD4">
        <w:rPr>
          <w:rFonts w:ascii="Book Antiqua" w:eastAsia="Book Antiqua" w:hAnsi="Book Antiqua" w:cs="Book Antiqua"/>
          <w:color w:val="000000"/>
        </w:rPr>
        <w:t>[PMID: 32304815 DOI: 10.1016/j.hjc.2020.03.007]</w:t>
      </w:r>
    </w:p>
    <w:p w14:paraId="3425FE4F" w14:textId="40500AF2"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17 </w:t>
      </w:r>
      <w:r w:rsidRPr="00CF7FD4">
        <w:rPr>
          <w:rFonts w:ascii="Book Antiqua" w:eastAsia="Book Antiqua" w:hAnsi="Book Antiqua" w:cs="Book Antiqua"/>
          <w:b/>
          <w:bCs/>
          <w:color w:val="000000"/>
        </w:rPr>
        <w:t>American Thoracic Society</w:t>
      </w:r>
      <w:r w:rsidRPr="00CF7FD4">
        <w:rPr>
          <w:rFonts w:ascii="Book Antiqua" w:eastAsia="Book Antiqua" w:hAnsi="Book Antiqua" w:cs="Book Antiqua"/>
          <w:color w:val="000000"/>
        </w:rPr>
        <w:t xml:space="preserve">; American College of Chest Physicians. ATS/ACCP Statement on cardiopulmonary exercise testing. </w:t>
      </w:r>
      <w:r w:rsidRPr="00CF7FD4">
        <w:rPr>
          <w:rFonts w:ascii="Book Antiqua" w:eastAsia="Book Antiqua" w:hAnsi="Book Antiqua" w:cs="Book Antiqua"/>
          <w:i/>
          <w:iCs/>
          <w:color w:val="000000"/>
        </w:rPr>
        <w:t>Am J Respir Crit Care Med</w:t>
      </w:r>
      <w:r w:rsidRPr="00CF7FD4">
        <w:rPr>
          <w:rFonts w:ascii="Book Antiqua" w:eastAsia="Book Antiqua" w:hAnsi="Book Antiqua" w:cs="Book Antiqua"/>
          <w:color w:val="000000"/>
        </w:rPr>
        <w:t xml:space="preserve"> 2003; </w:t>
      </w:r>
      <w:r w:rsidRPr="00CF7FD4">
        <w:rPr>
          <w:rFonts w:ascii="Book Antiqua" w:eastAsia="Book Antiqua" w:hAnsi="Book Antiqua" w:cs="Book Antiqua"/>
          <w:b/>
          <w:bCs/>
          <w:color w:val="000000"/>
        </w:rPr>
        <w:t>167</w:t>
      </w:r>
      <w:r w:rsidRPr="00CF7FD4">
        <w:rPr>
          <w:rFonts w:ascii="Book Antiqua" w:eastAsia="Book Antiqua" w:hAnsi="Book Antiqua" w:cs="Book Antiqua"/>
          <w:color w:val="000000"/>
        </w:rPr>
        <w:t>: 211-277 [PMID: 12524257</w:t>
      </w:r>
      <w:r w:rsidR="00981A2A" w:rsidRPr="00CF7FD4">
        <w:rPr>
          <w:rFonts w:ascii="Book Antiqua" w:eastAsia="Book Antiqua" w:hAnsi="Book Antiqua" w:cs="Book Antiqua"/>
          <w:color w:val="000000"/>
        </w:rPr>
        <w:t xml:space="preserve"> DOI: 10.1164/rccm.167.2.211</w:t>
      </w:r>
      <w:r w:rsidRPr="00CF7FD4">
        <w:rPr>
          <w:rFonts w:ascii="Book Antiqua" w:eastAsia="Book Antiqua" w:hAnsi="Book Antiqua" w:cs="Book Antiqua"/>
          <w:color w:val="000000"/>
        </w:rPr>
        <w:t>]</w:t>
      </w:r>
    </w:p>
    <w:p w14:paraId="3099EE5F"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18 </w:t>
      </w:r>
      <w:r w:rsidRPr="00CF7FD4">
        <w:rPr>
          <w:rFonts w:ascii="Book Antiqua" w:eastAsia="Book Antiqua" w:hAnsi="Book Antiqua" w:cs="Book Antiqua"/>
          <w:b/>
          <w:bCs/>
          <w:color w:val="000000"/>
        </w:rPr>
        <w:t>Hansen JE</w:t>
      </w:r>
      <w:r w:rsidRPr="00CF7FD4">
        <w:rPr>
          <w:rFonts w:ascii="Book Antiqua" w:eastAsia="Book Antiqua" w:hAnsi="Book Antiqua" w:cs="Book Antiqua"/>
          <w:color w:val="000000"/>
        </w:rPr>
        <w:t xml:space="preserve">, Sue DY, Wasserman K. Predicted values for clinical exercise testing. </w:t>
      </w:r>
      <w:r w:rsidRPr="00CF7FD4">
        <w:rPr>
          <w:rFonts w:ascii="Book Antiqua" w:eastAsia="Book Antiqua" w:hAnsi="Book Antiqua" w:cs="Book Antiqua"/>
          <w:i/>
          <w:iCs/>
          <w:color w:val="000000"/>
        </w:rPr>
        <w:t>Am Rev Respir Dis</w:t>
      </w:r>
      <w:r w:rsidRPr="00CF7FD4">
        <w:rPr>
          <w:rFonts w:ascii="Book Antiqua" w:eastAsia="Book Antiqua" w:hAnsi="Book Antiqua" w:cs="Book Antiqua"/>
          <w:color w:val="000000"/>
        </w:rPr>
        <w:t xml:space="preserve"> 1984; </w:t>
      </w:r>
      <w:r w:rsidRPr="00CF7FD4">
        <w:rPr>
          <w:rFonts w:ascii="Book Antiqua" w:eastAsia="Book Antiqua" w:hAnsi="Book Antiqua" w:cs="Book Antiqua"/>
          <w:b/>
          <w:bCs/>
          <w:color w:val="000000"/>
        </w:rPr>
        <w:t>129</w:t>
      </w:r>
      <w:r w:rsidRPr="00CF7FD4">
        <w:rPr>
          <w:rFonts w:ascii="Book Antiqua" w:eastAsia="Book Antiqua" w:hAnsi="Book Antiqua" w:cs="Book Antiqua"/>
          <w:color w:val="000000"/>
        </w:rPr>
        <w:t>: S49-S55 [PMID: 6421218 DOI: 10.1164/arrd.1984.129.2P2.S49]</w:t>
      </w:r>
    </w:p>
    <w:p w14:paraId="1C5A8BE7"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19 </w:t>
      </w:r>
      <w:r w:rsidRPr="00CF7FD4">
        <w:rPr>
          <w:rFonts w:ascii="Book Antiqua" w:eastAsia="Book Antiqua" w:hAnsi="Book Antiqua" w:cs="Book Antiqua"/>
          <w:b/>
          <w:bCs/>
          <w:color w:val="000000"/>
        </w:rPr>
        <w:t>Nanas S</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Anastasiou</w:t>
      </w:r>
      <w:proofErr w:type="spellEnd"/>
      <w:r w:rsidRPr="00CF7FD4">
        <w:rPr>
          <w:rFonts w:ascii="Book Antiqua" w:eastAsia="Book Antiqua" w:hAnsi="Book Antiqua" w:cs="Book Antiqua"/>
          <w:color w:val="000000"/>
        </w:rPr>
        <w:t xml:space="preserve">-Nana M,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Sakellariou</w:t>
      </w:r>
      <w:proofErr w:type="spellEnd"/>
      <w:r w:rsidRPr="00CF7FD4">
        <w:rPr>
          <w:rFonts w:ascii="Book Antiqua" w:eastAsia="Book Antiqua" w:hAnsi="Book Antiqua" w:cs="Book Antiqua"/>
          <w:color w:val="000000"/>
        </w:rPr>
        <w:t xml:space="preserve"> D, </w:t>
      </w:r>
      <w:proofErr w:type="spellStart"/>
      <w:r w:rsidRPr="00CF7FD4">
        <w:rPr>
          <w:rFonts w:ascii="Book Antiqua" w:eastAsia="Book Antiqua" w:hAnsi="Book Antiqua" w:cs="Book Antiqua"/>
          <w:color w:val="000000"/>
        </w:rPr>
        <w:t>Alexopoulos</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Kapsimalakou</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Papazoglou</w:t>
      </w:r>
      <w:proofErr w:type="spellEnd"/>
      <w:r w:rsidRPr="00CF7FD4">
        <w:rPr>
          <w:rFonts w:ascii="Book Antiqua" w:eastAsia="Book Antiqua" w:hAnsi="Book Antiqua" w:cs="Book Antiqua"/>
          <w:color w:val="000000"/>
        </w:rPr>
        <w:t xml:space="preserve"> P, </w:t>
      </w:r>
      <w:proofErr w:type="spellStart"/>
      <w:r w:rsidRPr="00CF7FD4">
        <w:rPr>
          <w:rFonts w:ascii="Book Antiqua" w:eastAsia="Book Antiqua" w:hAnsi="Book Antiqua" w:cs="Book Antiqua"/>
          <w:color w:val="000000"/>
        </w:rPr>
        <w:t>Tsolakis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Papazachou</w:t>
      </w:r>
      <w:proofErr w:type="spellEnd"/>
      <w:r w:rsidRPr="00CF7FD4">
        <w:rPr>
          <w:rFonts w:ascii="Book Antiqua" w:eastAsia="Book Antiqua" w:hAnsi="Book Antiqua" w:cs="Book Antiqua"/>
          <w:color w:val="000000"/>
        </w:rPr>
        <w:t xml:space="preserve"> O, Roussos C, Nanas J. Early heart rate recovery after exercise predicts mortality in patients with chronic heart failure. </w:t>
      </w:r>
      <w:r w:rsidRPr="00CF7FD4">
        <w:rPr>
          <w:rFonts w:ascii="Book Antiqua" w:eastAsia="Book Antiqua" w:hAnsi="Book Antiqua" w:cs="Book Antiqua"/>
          <w:i/>
          <w:iCs/>
          <w:color w:val="000000"/>
        </w:rPr>
        <w:t>Int J Cardiol</w:t>
      </w:r>
      <w:r w:rsidRPr="00CF7FD4">
        <w:rPr>
          <w:rFonts w:ascii="Book Antiqua" w:eastAsia="Book Antiqua" w:hAnsi="Book Antiqua" w:cs="Book Antiqua"/>
          <w:color w:val="000000"/>
        </w:rPr>
        <w:t xml:space="preserve"> 2006; </w:t>
      </w:r>
      <w:r w:rsidRPr="00CF7FD4">
        <w:rPr>
          <w:rFonts w:ascii="Book Antiqua" w:eastAsia="Book Antiqua" w:hAnsi="Book Antiqua" w:cs="Book Antiqua"/>
          <w:b/>
          <w:bCs/>
          <w:color w:val="000000"/>
        </w:rPr>
        <w:t>110</w:t>
      </w:r>
      <w:r w:rsidRPr="00CF7FD4">
        <w:rPr>
          <w:rFonts w:ascii="Book Antiqua" w:eastAsia="Book Antiqua" w:hAnsi="Book Antiqua" w:cs="Book Antiqua"/>
          <w:color w:val="000000"/>
        </w:rPr>
        <w:t>: 393-400 [PMID: 16371237 DOI: 10.1016/j.ijcard.2005.10.032]</w:t>
      </w:r>
    </w:p>
    <w:p w14:paraId="58B5EB2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20 </w:t>
      </w:r>
      <w:r w:rsidRPr="00CF7FD4">
        <w:rPr>
          <w:rFonts w:ascii="Book Antiqua" w:eastAsia="Book Antiqua" w:hAnsi="Book Antiqua" w:cs="Book Antiqua"/>
          <w:b/>
          <w:bCs/>
          <w:color w:val="000000"/>
        </w:rPr>
        <w:t>Duda DG</w:t>
      </w:r>
      <w:r w:rsidRPr="00CF7FD4">
        <w:rPr>
          <w:rFonts w:ascii="Book Antiqua" w:eastAsia="Book Antiqua" w:hAnsi="Book Antiqua" w:cs="Book Antiqua"/>
          <w:color w:val="000000"/>
        </w:rPr>
        <w:t xml:space="preserve">, Cohen KS, </w:t>
      </w:r>
      <w:proofErr w:type="spellStart"/>
      <w:r w:rsidRPr="00CF7FD4">
        <w:rPr>
          <w:rFonts w:ascii="Book Antiqua" w:eastAsia="Book Antiqua" w:hAnsi="Book Antiqua" w:cs="Book Antiqua"/>
          <w:color w:val="000000"/>
        </w:rPr>
        <w:t>Scadden</w:t>
      </w:r>
      <w:proofErr w:type="spellEnd"/>
      <w:r w:rsidRPr="00CF7FD4">
        <w:rPr>
          <w:rFonts w:ascii="Book Antiqua" w:eastAsia="Book Antiqua" w:hAnsi="Book Antiqua" w:cs="Book Antiqua"/>
          <w:color w:val="000000"/>
        </w:rPr>
        <w:t xml:space="preserve"> DT, Jain RK. A protocol for phenotypic detection and enumeration of circulating endothelial cells and circulating progenitor cells in human blood. </w:t>
      </w:r>
      <w:r w:rsidRPr="00CF7FD4">
        <w:rPr>
          <w:rFonts w:ascii="Book Antiqua" w:eastAsia="Book Antiqua" w:hAnsi="Book Antiqua" w:cs="Book Antiqua"/>
          <w:i/>
          <w:iCs/>
          <w:color w:val="000000"/>
        </w:rPr>
        <w:t xml:space="preserve">Nat </w:t>
      </w:r>
      <w:proofErr w:type="spellStart"/>
      <w:r w:rsidRPr="00CF7FD4">
        <w:rPr>
          <w:rFonts w:ascii="Book Antiqua" w:eastAsia="Book Antiqua" w:hAnsi="Book Antiqua" w:cs="Book Antiqua"/>
          <w:i/>
          <w:iCs/>
          <w:color w:val="000000"/>
        </w:rPr>
        <w:t>Protoc</w:t>
      </w:r>
      <w:proofErr w:type="spellEnd"/>
      <w:r w:rsidRPr="00CF7FD4">
        <w:rPr>
          <w:rFonts w:ascii="Book Antiqua" w:eastAsia="Book Antiqua" w:hAnsi="Book Antiqua" w:cs="Book Antiqua"/>
          <w:color w:val="000000"/>
        </w:rPr>
        <w:t xml:space="preserve"> 2007; </w:t>
      </w:r>
      <w:r w:rsidRPr="00CF7FD4">
        <w:rPr>
          <w:rFonts w:ascii="Book Antiqua" w:eastAsia="Book Antiqua" w:hAnsi="Book Antiqua" w:cs="Book Antiqua"/>
          <w:b/>
          <w:bCs/>
          <w:color w:val="000000"/>
        </w:rPr>
        <w:t>2</w:t>
      </w:r>
      <w:r w:rsidRPr="00CF7FD4">
        <w:rPr>
          <w:rFonts w:ascii="Book Antiqua" w:eastAsia="Book Antiqua" w:hAnsi="Book Antiqua" w:cs="Book Antiqua"/>
          <w:color w:val="000000"/>
        </w:rPr>
        <w:t>: 805-810 [PMID: 17446880 DOI: 10.1038/nprot.2007.111]</w:t>
      </w:r>
    </w:p>
    <w:p w14:paraId="560AB631"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21 </w:t>
      </w:r>
      <w:r w:rsidRPr="00CF7FD4">
        <w:rPr>
          <w:rFonts w:ascii="Book Antiqua" w:eastAsia="Book Antiqua" w:hAnsi="Book Antiqua" w:cs="Book Antiqua"/>
          <w:b/>
          <w:bCs/>
          <w:color w:val="000000"/>
        </w:rPr>
        <w:t>Liu J</w:t>
      </w:r>
      <w:r w:rsidRPr="00CF7FD4">
        <w:rPr>
          <w:rFonts w:ascii="Book Antiqua" w:eastAsia="Book Antiqua" w:hAnsi="Book Antiqua" w:cs="Book Antiqua"/>
          <w:color w:val="000000"/>
        </w:rPr>
        <w:t xml:space="preserve">, Hu DJ, Yan H, Liu J, Ai X, Ren Z, Zeng H, He H, Yang Z. Attenuated endothelial function is associated with decreased endothelial progenitor cells and nitric oxide in premenopausal diabetic women. </w:t>
      </w:r>
      <w:r w:rsidRPr="00CF7FD4">
        <w:rPr>
          <w:rFonts w:ascii="Book Antiqua" w:eastAsia="Book Antiqua" w:hAnsi="Book Antiqua" w:cs="Book Antiqua"/>
          <w:i/>
          <w:iCs/>
          <w:color w:val="000000"/>
        </w:rPr>
        <w:t>Mol Med Rep</w:t>
      </w:r>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4666-4674 [PMID: 30221702 DOI: 10.3892/mmr.2018.9451]</w:t>
      </w:r>
    </w:p>
    <w:p w14:paraId="73FC682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22 </w:t>
      </w:r>
      <w:r w:rsidRPr="00CF7FD4">
        <w:rPr>
          <w:rFonts w:ascii="Book Antiqua" w:eastAsia="Book Antiqua" w:hAnsi="Book Antiqua" w:cs="Book Antiqua"/>
          <w:b/>
          <w:bCs/>
          <w:color w:val="000000"/>
        </w:rPr>
        <w:t xml:space="preserve">Van </w:t>
      </w:r>
      <w:proofErr w:type="spellStart"/>
      <w:r w:rsidRPr="00CF7FD4">
        <w:rPr>
          <w:rFonts w:ascii="Book Antiqua" w:eastAsia="Book Antiqua" w:hAnsi="Book Antiqua" w:cs="Book Antiqua"/>
          <w:b/>
          <w:bCs/>
          <w:color w:val="000000"/>
        </w:rPr>
        <w:t>Craenenbroeck</w:t>
      </w:r>
      <w:proofErr w:type="spellEnd"/>
      <w:r w:rsidRPr="00CF7FD4">
        <w:rPr>
          <w:rFonts w:ascii="Book Antiqua" w:eastAsia="Book Antiqua" w:hAnsi="Book Antiqua" w:cs="Book Antiqua"/>
          <w:b/>
          <w:bCs/>
          <w:color w:val="000000"/>
        </w:rPr>
        <w:t xml:space="preserve"> EM</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Beckers</w:t>
      </w:r>
      <w:proofErr w:type="spellEnd"/>
      <w:r w:rsidRPr="00CF7FD4">
        <w:rPr>
          <w:rFonts w:ascii="Book Antiqua" w:eastAsia="Book Antiqua" w:hAnsi="Book Antiqua" w:cs="Book Antiqua"/>
          <w:color w:val="000000"/>
        </w:rPr>
        <w:t xml:space="preserve"> PJ, </w:t>
      </w:r>
      <w:proofErr w:type="spellStart"/>
      <w:r w:rsidRPr="00CF7FD4">
        <w:rPr>
          <w:rFonts w:ascii="Book Antiqua" w:eastAsia="Book Antiqua" w:hAnsi="Book Antiqua" w:cs="Book Antiqua"/>
          <w:color w:val="000000"/>
        </w:rPr>
        <w:t>Possemiers</w:t>
      </w:r>
      <w:proofErr w:type="spellEnd"/>
      <w:r w:rsidRPr="00CF7FD4">
        <w:rPr>
          <w:rFonts w:ascii="Book Antiqua" w:eastAsia="Book Antiqua" w:hAnsi="Book Antiqua" w:cs="Book Antiqua"/>
          <w:color w:val="000000"/>
        </w:rPr>
        <w:t xml:space="preserve"> NM, </w:t>
      </w:r>
      <w:proofErr w:type="spellStart"/>
      <w:r w:rsidRPr="00CF7FD4">
        <w:rPr>
          <w:rFonts w:ascii="Book Antiqua" w:eastAsia="Book Antiqua" w:hAnsi="Book Antiqua" w:cs="Book Antiqua"/>
          <w:color w:val="000000"/>
        </w:rPr>
        <w:t>Wuyts</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Frederix</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Hoymans</w:t>
      </w:r>
      <w:proofErr w:type="spellEnd"/>
      <w:r w:rsidRPr="00CF7FD4">
        <w:rPr>
          <w:rFonts w:ascii="Book Antiqua" w:eastAsia="Book Antiqua" w:hAnsi="Book Antiqua" w:cs="Book Antiqua"/>
          <w:color w:val="000000"/>
        </w:rPr>
        <w:t xml:space="preserve"> VY, </w:t>
      </w:r>
      <w:proofErr w:type="spellStart"/>
      <w:r w:rsidRPr="00CF7FD4">
        <w:rPr>
          <w:rFonts w:ascii="Book Antiqua" w:eastAsia="Book Antiqua" w:hAnsi="Book Antiqua" w:cs="Book Antiqua"/>
          <w:color w:val="000000"/>
        </w:rPr>
        <w:t>Wuyts</w:t>
      </w:r>
      <w:proofErr w:type="spellEnd"/>
      <w:r w:rsidRPr="00CF7FD4">
        <w:rPr>
          <w:rFonts w:ascii="Book Antiqua" w:eastAsia="Book Antiqua" w:hAnsi="Book Antiqua" w:cs="Book Antiqua"/>
          <w:color w:val="000000"/>
        </w:rPr>
        <w:t xml:space="preserve"> F, </w:t>
      </w:r>
      <w:proofErr w:type="spellStart"/>
      <w:r w:rsidRPr="00CF7FD4">
        <w:rPr>
          <w:rFonts w:ascii="Book Antiqua" w:eastAsia="Book Antiqua" w:hAnsi="Book Antiqua" w:cs="Book Antiqua"/>
          <w:color w:val="000000"/>
        </w:rPr>
        <w:t>Paelinck</w:t>
      </w:r>
      <w:proofErr w:type="spellEnd"/>
      <w:r w:rsidRPr="00CF7FD4">
        <w:rPr>
          <w:rFonts w:ascii="Book Antiqua" w:eastAsia="Book Antiqua" w:hAnsi="Book Antiqua" w:cs="Book Antiqua"/>
          <w:color w:val="000000"/>
        </w:rPr>
        <w:t xml:space="preserve"> BP, </w:t>
      </w:r>
      <w:proofErr w:type="spellStart"/>
      <w:r w:rsidRPr="00CF7FD4">
        <w:rPr>
          <w:rFonts w:ascii="Book Antiqua" w:eastAsia="Book Antiqua" w:hAnsi="Book Antiqua" w:cs="Book Antiqua"/>
          <w:color w:val="000000"/>
        </w:rPr>
        <w:t>Vrints</w:t>
      </w:r>
      <w:proofErr w:type="spellEnd"/>
      <w:r w:rsidRPr="00CF7FD4">
        <w:rPr>
          <w:rFonts w:ascii="Book Antiqua" w:eastAsia="Book Antiqua" w:hAnsi="Book Antiqua" w:cs="Book Antiqua"/>
          <w:color w:val="000000"/>
        </w:rPr>
        <w:t xml:space="preserve"> CJ, </w:t>
      </w:r>
      <w:proofErr w:type="spellStart"/>
      <w:r w:rsidRPr="00CF7FD4">
        <w:rPr>
          <w:rFonts w:ascii="Book Antiqua" w:eastAsia="Book Antiqua" w:hAnsi="Book Antiqua" w:cs="Book Antiqua"/>
          <w:color w:val="000000"/>
        </w:rPr>
        <w:t>Conraads</w:t>
      </w:r>
      <w:proofErr w:type="spellEnd"/>
      <w:r w:rsidRPr="00CF7FD4">
        <w:rPr>
          <w:rFonts w:ascii="Book Antiqua" w:eastAsia="Book Antiqua" w:hAnsi="Book Antiqua" w:cs="Book Antiqua"/>
          <w:color w:val="000000"/>
        </w:rPr>
        <w:t xml:space="preserve"> VM. Exercise acutely reverses dysfunction of circulating angiogenic cells in chronic heart failure. </w:t>
      </w:r>
      <w:r w:rsidRPr="00CF7FD4">
        <w:rPr>
          <w:rFonts w:ascii="Book Antiqua" w:eastAsia="Book Antiqua" w:hAnsi="Book Antiqua" w:cs="Book Antiqua"/>
          <w:i/>
          <w:iCs/>
          <w:color w:val="000000"/>
        </w:rPr>
        <w:t>Eur Heart J</w:t>
      </w:r>
      <w:r w:rsidRPr="00CF7FD4">
        <w:rPr>
          <w:rFonts w:ascii="Book Antiqua" w:eastAsia="Book Antiqua" w:hAnsi="Book Antiqua" w:cs="Book Antiqua"/>
          <w:color w:val="000000"/>
        </w:rPr>
        <w:t xml:space="preserve"> 2010; </w:t>
      </w:r>
      <w:r w:rsidRPr="00CF7FD4">
        <w:rPr>
          <w:rFonts w:ascii="Book Antiqua" w:eastAsia="Book Antiqua" w:hAnsi="Book Antiqua" w:cs="Book Antiqua"/>
          <w:b/>
          <w:bCs/>
          <w:color w:val="000000"/>
        </w:rPr>
        <w:t>31</w:t>
      </w:r>
      <w:r w:rsidRPr="00CF7FD4">
        <w:rPr>
          <w:rFonts w:ascii="Book Antiqua" w:eastAsia="Book Antiqua" w:hAnsi="Book Antiqua" w:cs="Book Antiqua"/>
          <w:color w:val="000000"/>
        </w:rPr>
        <w:t>: 1924-1934 [PMID: 20299351 DOI: 10.1093/</w:t>
      </w:r>
      <w:proofErr w:type="spellStart"/>
      <w:r w:rsidRPr="00CF7FD4">
        <w:rPr>
          <w:rFonts w:ascii="Book Antiqua" w:eastAsia="Book Antiqua" w:hAnsi="Book Antiqua" w:cs="Book Antiqua"/>
          <w:color w:val="000000"/>
        </w:rPr>
        <w:t>eurheartj</w:t>
      </w:r>
      <w:proofErr w:type="spellEnd"/>
      <w:r w:rsidRPr="00CF7FD4">
        <w:rPr>
          <w:rFonts w:ascii="Book Antiqua" w:eastAsia="Book Antiqua" w:hAnsi="Book Antiqua" w:cs="Book Antiqua"/>
          <w:color w:val="000000"/>
        </w:rPr>
        <w:t>/ehq058]</w:t>
      </w:r>
    </w:p>
    <w:p w14:paraId="35340DF6"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23 </w:t>
      </w:r>
      <w:r w:rsidRPr="00CF7FD4">
        <w:rPr>
          <w:rFonts w:ascii="Book Antiqua" w:eastAsia="Book Antiqua" w:hAnsi="Book Antiqua" w:cs="Book Antiqua"/>
          <w:b/>
          <w:bCs/>
          <w:color w:val="000000"/>
        </w:rPr>
        <w:t>Stefanou C</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Mitsiou</w:t>
      </w:r>
      <w:proofErr w:type="spellEnd"/>
      <w:r w:rsidRPr="00CF7FD4">
        <w:rPr>
          <w:rFonts w:ascii="Book Antiqua" w:eastAsia="Book Antiqua" w:hAnsi="Book Antiqua" w:cs="Book Antiqua"/>
          <w:color w:val="000000"/>
        </w:rPr>
        <w:t xml:space="preserve"> G, </w:t>
      </w:r>
      <w:proofErr w:type="spellStart"/>
      <w:r w:rsidRPr="00CF7FD4">
        <w:rPr>
          <w:rFonts w:ascii="Book Antiqua" w:eastAsia="Book Antiqua" w:hAnsi="Book Antiqua" w:cs="Book Antiqua"/>
          <w:color w:val="000000"/>
        </w:rPr>
        <w:t>Psarra</w:t>
      </w:r>
      <w:proofErr w:type="spellEnd"/>
      <w:r w:rsidRPr="00CF7FD4">
        <w:rPr>
          <w:rFonts w:ascii="Book Antiqua" w:eastAsia="Book Antiqua" w:hAnsi="Book Antiqua" w:cs="Book Antiqua"/>
          <w:color w:val="000000"/>
        </w:rPr>
        <w:t xml:space="preserve"> K, Angelopoulos E,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Gerovasili</w:t>
      </w:r>
      <w:proofErr w:type="spellEnd"/>
      <w:r w:rsidRPr="00CF7FD4">
        <w:rPr>
          <w:rFonts w:ascii="Book Antiqua" w:eastAsia="Book Antiqua" w:hAnsi="Book Antiqua" w:cs="Book Antiqua"/>
          <w:color w:val="000000"/>
        </w:rPr>
        <w:t xml:space="preserve"> V, </w:t>
      </w:r>
      <w:proofErr w:type="spellStart"/>
      <w:r w:rsidRPr="00CF7FD4">
        <w:rPr>
          <w:rFonts w:ascii="Book Antiqua" w:eastAsia="Book Antiqua" w:hAnsi="Book Antiqua" w:cs="Book Antiqua"/>
          <w:color w:val="000000"/>
        </w:rPr>
        <w:t>Boviatsis</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Routsi</w:t>
      </w:r>
      <w:proofErr w:type="spellEnd"/>
      <w:r w:rsidRPr="00CF7FD4">
        <w:rPr>
          <w:rFonts w:ascii="Book Antiqua" w:eastAsia="Book Antiqua" w:hAnsi="Book Antiqua" w:cs="Book Antiqua"/>
          <w:color w:val="000000"/>
        </w:rPr>
        <w:t xml:space="preserve"> C, Nanas S. Neuromuscular electrical stimulation acutely mobilizes endothelial progenitor cells in critically ill patients with sepsis. </w:t>
      </w:r>
      <w:r w:rsidRPr="00CF7FD4">
        <w:rPr>
          <w:rFonts w:ascii="Book Antiqua" w:eastAsia="Book Antiqua" w:hAnsi="Book Antiqua" w:cs="Book Antiqua"/>
          <w:i/>
          <w:iCs/>
          <w:color w:val="000000"/>
        </w:rPr>
        <w:t>Ann Intensive Care</w:t>
      </w:r>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6</w:t>
      </w:r>
      <w:r w:rsidRPr="00CF7FD4">
        <w:rPr>
          <w:rFonts w:ascii="Book Antiqua" w:eastAsia="Book Antiqua" w:hAnsi="Book Antiqua" w:cs="Book Antiqua"/>
          <w:color w:val="000000"/>
        </w:rPr>
        <w:t>: 21 [PMID: 26969168 DOI: 10.1186/s13613-016-0123-y]</w:t>
      </w:r>
    </w:p>
    <w:p w14:paraId="29086AF7" w14:textId="077DBD0F"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24 </w:t>
      </w:r>
      <w:proofErr w:type="spellStart"/>
      <w:r w:rsidRPr="00CF7FD4">
        <w:rPr>
          <w:rFonts w:ascii="Book Antiqua" w:eastAsia="Book Antiqua" w:hAnsi="Book Antiqua" w:cs="Book Antiqua"/>
          <w:b/>
          <w:bCs/>
          <w:color w:val="000000"/>
        </w:rPr>
        <w:t>Huizer</w:t>
      </w:r>
      <w:proofErr w:type="spellEnd"/>
      <w:r w:rsidRPr="00CF7FD4">
        <w:rPr>
          <w:rFonts w:ascii="Book Antiqua" w:eastAsia="Book Antiqua" w:hAnsi="Book Antiqua" w:cs="Book Antiqua"/>
          <w:b/>
          <w:bCs/>
          <w:color w:val="000000"/>
        </w:rPr>
        <w:t xml:space="preserve"> K</w:t>
      </w:r>
      <w:r w:rsidRPr="00CF7FD4">
        <w:rPr>
          <w:rFonts w:ascii="Book Antiqua" w:eastAsia="Book Antiqua" w:hAnsi="Book Antiqua" w:cs="Book Antiqua"/>
          <w:color w:val="000000"/>
        </w:rPr>
        <w:t xml:space="preserve">, Mustafa DAM, Spelt JC, </w:t>
      </w:r>
      <w:proofErr w:type="spellStart"/>
      <w:r w:rsidRPr="00CF7FD4">
        <w:rPr>
          <w:rFonts w:ascii="Book Antiqua" w:eastAsia="Book Antiqua" w:hAnsi="Book Antiqua" w:cs="Book Antiqua"/>
          <w:color w:val="000000"/>
        </w:rPr>
        <w:t>Kros</w:t>
      </w:r>
      <w:proofErr w:type="spellEnd"/>
      <w:r w:rsidRPr="00CF7FD4">
        <w:rPr>
          <w:rFonts w:ascii="Book Antiqua" w:eastAsia="Book Antiqua" w:hAnsi="Book Antiqua" w:cs="Book Antiqua"/>
          <w:color w:val="000000"/>
        </w:rPr>
        <w:t xml:space="preserve"> JM, </w:t>
      </w:r>
      <w:proofErr w:type="spellStart"/>
      <w:r w:rsidRPr="00CF7FD4">
        <w:rPr>
          <w:rFonts w:ascii="Book Antiqua" w:eastAsia="Book Antiqua" w:hAnsi="Book Antiqua" w:cs="Book Antiqua"/>
          <w:color w:val="000000"/>
        </w:rPr>
        <w:t>Sacchetti</w:t>
      </w:r>
      <w:proofErr w:type="spellEnd"/>
      <w:r w:rsidRPr="00CF7FD4">
        <w:rPr>
          <w:rFonts w:ascii="Book Antiqua" w:eastAsia="Book Antiqua" w:hAnsi="Book Antiqua" w:cs="Book Antiqua"/>
          <w:color w:val="000000"/>
        </w:rPr>
        <w:t xml:space="preserve"> A. Improving the characterization of endothelial progenitor cell subsets by an optimized FACS protocol. </w:t>
      </w:r>
      <w:proofErr w:type="spellStart"/>
      <w:r w:rsidRPr="00CF7FD4">
        <w:rPr>
          <w:rFonts w:ascii="Book Antiqua" w:eastAsia="Book Antiqua" w:hAnsi="Book Antiqua" w:cs="Book Antiqua"/>
          <w:i/>
          <w:iCs/>
          <w:color w:val="000000"/>
        </w:rPr>
        <w:t>PLoS</w:t>
      </w:r>
      <w:proofErr w:type="spellEnd"/>
      <w:r w:rsidRPr="00CF7FD4">
        <w:rPr>
          <w:rFonts w:ascii="Book Antiqua" w:eastAsia="Book Antiqua" w:hAnsi="Book Antiqua" w:cs="Book Antiqua"/>
          <w:i/>
          <w:iCs/>
          <w:color w:val="000000"/>
        </w:rPr>
        <w:t xml:space="preserve"> One</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12</w:t>
      </w:r>
      <w:r w:rsidRPr="00CF7FD4">
        <w:rPr>
          <w:rFonts w:ascii="Book Antiqua" w:eastAsia="Book Antiqua" w:hAnsi="Book Antiqua" w:cs="Book Antiqua"/>
          <w:color w:val="000000"/>
        </w:rPr>
        <w:t xml:space="preserve">: e0184895 [PMID: 28910385 </w:t>
      </w:r>
      <w:r w:rsidR="00981A2A" w:rsidRPr="00CF7FD4">
        <w:rPr>
          <w:rFonts w:ascii="Book Antiqua" w:eastAsia="Book Antiqua" w:hAnsi="Book Antiqua" w:cs="Book Antiqua"/>
          <w:color w:val="000000"/>
        </w:rPr>
        <w:t>DOI: 10.1371/journal.pone.0184895</w:t>
      </w:r>
      <w:r w:rsidRPr="00CF7FD4">
        <w:rPr>
          <w:rFonts w:ascii="Book Antiqua" w:eastAsia="Book Antiqua" w:hAnsi="Book Antiqua" w:cs="Book Antiqua"/>
          <w:color w:val="000000"/>
        </w:rPr>
        <w:t>]</w:t>
      </w:r>
    </w:p>
    <w:p w14:paraId="42FC3BF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25 </w:t>
      </w:r>
      <w:proofErr w:type="spellStart"/>
      <w:r w:rsidRPr="00CF7FD4">
        <w:rPr>
          <w:rFonts w:ascii="Book Antiqua" w:eastAsia="Book Antiqua" w:hAnsi="Book Antiqua" w:cs="Book Antiqua"/>
          <w:b/>
          <w:bCs/>
          <w:color w:val="000000"/>
        </w:rPr>
        <w:t>Fadini</w:t>
      </w:r>
      <w:proofErr w:type="spellEnd"/>
      <w:r w:rsidRPr="00CF7FD4">
        <w:rPr>
          <w:rFonts w:ascii="Book Antiqua" w:eastAsia="Book Antiqua" w:hAnsi="Book Antiqua" w:cs="Book Antiqua"/>
          <w:b/>
          <w:bCs/>
          <w:color w:val="000000"/>
        </w:rPr>
        <w:t xml:space="preserve"> GP</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Losordo</w:t>
      </w:r>
      <w:proofErr w:type="spellEnd"/>
      <w:r w:rsidRPr="00CF7FD4">
        <w:rPr>
          <w:rFonts w:ascii="Book Antiqua" w:eastAsia="Book Antiqua" w:hAnsi="Book Antiqua" w:cs="Book Antiqua"/>
          <w:color w:val="000000"/>
        </w:rPr>
        <w:t xml:space="preserve"> D, </w:t>
      </w:r>
      <w:proofErr w:type="spellStart"/>
      <w:r w:rsidRPr="00CF7FD4">
        <w:rPr>
          <w:rFonts w:ascii="Book Antiqua" w:eastAsia="Book Antiqua" w:hAnsi="Book Antiqua" w:cs="Book Antiqua"/>
          <w:color w:val="000000"/>
        </w:rPr>
        <w:t>Dimmeler</w:t>
      </w:r>
      <w:proofErr w:type="spellEnd"/>
      <w:r w:rsidRPr="00CF7FD4">
        <w:rPr>
          <w:rFonts w:ascii="Book Antiqua" w:eastAsia="Book Antiqua" w:hAnsi="Book Antiqua" w:cs="Book Antiqua"/>
          <w:color w:val="000000"/>
        </w:rPr>
        <w:t xml:space="preserve"> S. Critical reevaluation of endothelial progenitor cell phenotypes for therapeutic and diagnostic use. </w:t>
      </w:r>
      <w:r w:rsidRPr="00CF7FD4">
        <w:rPr>
          <w:rFonts w:ascii="Book Antiqua" w:eastAsia="Book Antiqua" w:hAnsi="Book Antiqua" w:cs="Book Antiqua"/>
          <w:i/>
          <w:iCs/>
          <w:color w:val="000000"/>
        </w:rPr>
        <w:t>Circ Res</w:t>
      </w:r>
      <w:r w:rsidRPr="00CF7FD4">
        <w:rPr>
          <w:rFonts w:ascii="Book Antiqua" w:eastAsia="Book Antiqua" w:hAnsi="Book Antiqua" w:cs="Book Antiqua"/>
          <w:color w:val="000000"/>
        </w:rPr>
        <w:t xml:space="preserve"> 2012; </w:t>
      </w:r>
      <w:r w:rsidRPr="00CF7FD4">
        <w:rPr>
          <w:rFonts w:ascii="Book Antiqua" w:eastAsia="Book Antiqua" w:hAnsi="Book Antiqua" w:cs="Book Antiqua"/>
          <w:b/>
          <w:bCs/>
          <w:color w:val="000000"/>
        </w:rPr>
        <w:t>110</w:t>
      </w:r>
      <w:r w:rsidRPr="00CF7FD4">
        <w:rPr>
          <w:rFonts w:ascii="Book Antiqua" w:eastAsia="Book Antiqua" w:hAnsi="Book Antiqua" w:cs="Book Antiqua"/>
          <w:color w:val="000000"/>
        </w:rPr>
        <w:t>: 624-637 [PMID: 22343557 DOI: 10.1161/CIRCRESAHA.111.243386]</w:t>
      </w:r>
    </w:p>
    <w:p w14:paraId="6195D32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26 </w:t>
      </w:r>
      <w:proofErr w:type="spellStart"/>
      <w:r w:rsidRPr="00CF7FD4">
        <w:rPr>
          <w:rFonts w:ascii="Book Antiqua" w:eastAsia="Book Antiqua" w:hAnsi="Book Antiqua" w:cs="Book Antiqua"/>
          <w:b/>
          <w:bCs/>
          <w:color w:val="000000"/>
        </w:rPr>
        <w:t>Djohan</w:t>
      </w:r>
      <w:proofErr w:type="spellEnd"/>
      <w:r w:rsidRPr="00CF7FD4">
        <w:rPr>
          <w:rFonts w:ascii="Book Antiqua" w:eastAsia="Book Antiqua" w:hAnsi="Book Antiqua" w:cs="Book Antiqua"/>
          <w:b/>
          <w:bCs/>
          <w:color w:val="000000"/>
        </w:rPr>
        <w:t xml:space="preserve"> AH</w:t>
      </w:r>
      <w:r w:rsidRPr="00CF7FD4">
        <w:rPr>
          <w:rFonts w:ascii="Book Antiqua" w:eastAsia="Book Antiqua" w:hAnsi="Book Antiqua" w:cs="Book Antiqua"/>
          <w:color w:val="000000"/>
        </w:rPr>
        <w:t xml:space="preserve">, Sia CH, Lee PS, </w:t>
      </w:r>
      <w:proofErr w:type="spellStart"/>
      <w:r w:rsidRPr="00CF7FD4">
        <w:rPr>
          <w:rFonts w:ascii="Book Antiqua" w:eastAsia="Book Antiqua" w:hAnsi="Book Antiqua" w:cs="Book Antiqua"/>
          <w:color w:val="000000"/>
        </w:rPr>
        <w:t>Poh</w:t>
      </w:r>
      <w:proofErr w:type="spellEnd"/>
      <w:r w:rsidRPr="00CF7FD4">
        <w:rPr>
          <w:rFonts w:ascii="Book Antiqua" w:eastAsia="Book Antiqua" w:hAnsi="Book Antiqua" w:cs="Book Antiqua"/>
          <w:color w:val="000000"/>
        </w:rPr>
        <w:t xml:space="preserve"> KK. Endothelial Progenitor Cells in Heart Failure: an Authentic Expectation for Potential Future Use and a Lack of Universal Definition. </w:t>
      </w:r>
      <w:r w:rsidRPr="00CF7FD4">
        <w:rPr>
          <w:rFonts w:ascii="Book Antiqua" w:eastAsia="Book Antiqua" w:hAnsi="Book Antiqua" w:cs="Book Antiqua"/>
          <w:i/>
          <w:iCs/>
          <w:color w:val="000000"/>
        </w:rPr>
        <w:t xml:space="preserve">J Cardiovasc </w:t>
      </w:r>
      <w:proofErr w:type="spellStart"/>
      <w:r w:rsidRPr="00CF7FD4">
        <w:rPr>
          <w:rFonts w:ascii="Book Antiqua" w:eastAsia="Book Antiqua" w:hAnsi="Book Antiqua" w:cs="Book Antiqua"/>
          <w:i/>
          <w:iCs/>
          <w:color w:val="000000"/>
        </w:rPr>
        <w:t>Transl</w:t>
      </w:r>
      <w:proofErr w:type="spellEnd"/>
      <w:r w:rsidRPr="00CF7FD4">
        <w:rPr>
          <w:rFonts w:ascii="Book Antiqua" w:eastAsia="Book Antiqua" w:hAnsi="Book Antiqua" w:cs="Book Antiqua"/>
          <w:i/>
          <w:iCs/>
          <w:color w:val="000000"/>
        </w:rPr>
        <w:t xml:space="preserve"> Res</w:t>
      </w:r>
      <w:r w:rsidRPr="00CF7FD4">
        <w:rPr>
          <w:rFonts w:ascii="Book Antiqua" w:eastAsia="Book Antiqua" w:hAnsi="Book Antiqua" w:cs="Book Antiqua"/>
          <w:color w:val="000000"/>
        </w:rPr>
        <w:t xml:space="preserve"> 2018; </w:t>
      </w:r>
      <w:r w:rsidRPr="00CF7FD4">
        <w:rPr>
          <w:rFonts w:ascii="Book Antiqua" w:eastAsia="Book Antiqua" w:hAnsi="Book Antiqua" w:cs="Book Antiqua"/>
          <w:b/>
          <w:bCs/>
          <w:color w:val="000000"/>
        </w:rPr>
        <w:t>11</w:t>
      </w:r>
      <w:r w:rsidRPr="00CF7FD4">
        <w:rPr>
          <w:rFonts w:ascii="Book Antiqua" w:eastAsia="Book Antiqua" w:hAnsi="Book Antiqua" w:cs="Book Antiqua"/>
          <w:color w:val="000000"/>
        </w:rPr>
        <w:t>: 393-402 [PMID: 29777508 DOI: 10.1007/s12265-018-9810-4]</w:t>
      </w:r>
    </w:p>
    <w:p w14:paraId="4BD1E671"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lastRenderedPageBreak/>
        <w:t xml:space="preserve">27 </w:t>
      </w:r>
      <w:r w:rsidRPr="00CF7FD4">
        <w:rPr>
          <w:rFonts w:ascii="Book Antiqua" w:eastAsia="Book Antiqua" w:hAnsi="Book Antiqua" w:cs="Book Antiqua"/>
          <w:b/>
          <w:bCs/>
          <w:color w:val="000000"/>
        </w:rPr>
        <w:t>Shirazi LF</w:t>
      </w:r>
      <w:r w:rsidRPr="00CF7FD4">
        <w:rPr>
          <w:rFonts w:ascii="Book Antiqua" w:eastAsia="Book Antiqua" w:hAnsi="Book Antiqua" w:cs="Book Antiqua"/>
          <w:color w:val="000000"/>
        </w:rPr>
        <w:t xml:space="preserve">, Bissett J, Romeo F, Mehta JL. Role of Inflammation in Heart Failure. </w:t>
      </w:r>
      <w:proofErr w:type="spellStart"/>
      <w:r w:rsidRPr="00CF7FD4">
        <w:rPr>
          <w:rFonts w:ascii="Book Antiqua" w:eastAsia="Book Antiqua" w:hAnsi="Book Antiqua" w:cs="Book Antiqua"/>
          <w:i/>
          <w:iCs/>
          <w:color w:val="000000"/>
        </w:rPr>
        <w:t>Curr</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Atheroscler</w:t>
      </w:r>
      <w:proofErr w:type="spellEnd"/>
      <w:r w:rsidRPr="00CF7FD4">
        <w:rPr>
          <w:rFonts w:ascii="Book Antiqua" w:eastAsia="Book Antiqua" w:hAnsi="Book Antiqua" w:cs="Book Antiqua"/>
          <w:i/>
          <w:iCs/>
          <w:color w:val="000000"/>
        </w:rPr>
        <w:t xml:space="preserve"> Rep</w:t>
      </w:r>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19</w:t>
      </w:r>
      <w:r w:rsidRPr="00CF7FD4">
        <w:rPr>
          <w:rFonts w:ascii="Book Antiqua" w:eastAsia="Book Antiqua" w:hAnsi="Book Antiqua" w:cs="Book Antiqua"/>
          <w:color w:val="000000"/>
        </w:rPr>
        <w:t>: 27 [PMID: 28432635 DOI: 10.1007/s11883-017-0660-3]</w:t>
      </w:r>
    </w:p>
    <w:p w14:paraId="4E82592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28 </w:t>
      </w:r>
      <w:r w:rsidRPr="00CF7FD4">
        <w:rPr>
          <w:rFonts w:ascii="Book Antiqua" w:eastAsia="Book Antiqua" w:hAnsi="Book Antiqua" w:cs="Book Antiqua"/>
          <w:b/>
          <w:bCs/>
          <w:color w:val="000000"/>
        </w:rPr>
        <w:t>Pearson MJ</w:t>
      </w:r>
      <w:r w:rsidRPr="00CF7FD4">
        <w:rPr>
          <w:rFonts w:ascii="Book Antiqua" w:eastAsia="Book Antiqua" w:hAnsi="Book Antiqua" w:cs="Book Antiqua"/>
          <w:color w:val="000000"/>
        </w:rPr>
        <w:t xml:space="preserve">, Smart NA. Aerobic Training Intensity for Improved Endothelial Function in Heart Failure Patients: A Systematic Review and Meta-Analysis. </w:t>
      </w:r>
      <w:proofErr w:type="spellStart"/>
      <w:r w:rsidRPr="00CF7FD4">
        <w:rPr>
          <w:rFonts w:ascii="Book Antiqua" w:eastAsia="Book Antiqua" w:hAnsi="Book Antiqua" w:cs="Book Antiqua"/>
          <w:i/>
          <w:iCs/>
          <w:color w:val="000000"/>
        </w:rPr>
        <w:t>Cardiol</w:t>
      </w:r>
      <w:proofErr w:type="spellEnd"/>
      <w:r w:rsidRPr="00CF7FD4">
        <w:rPr>
          <w:rFonts w:ascii="Book Antiqua" w:eastAsia="Book Antiqua" w:hAnsi="Book Antiqua" w:cs="Book Antiqua"/>
          <w:i/>
          <w:iCs/>
          <w:color w:val="000000"/>
        </w:rPr>
        <w:t xml:space="preserve"> Res </w:t>
      </w:r>
      <w:proofErr w:type="spellStart"/>
      <w:r w:rsidRPr="00CF7FD4">
        <w:rPr>
          <w:rFonts w:ascii="Book Antiqua" w:eastAsia="Book Antiqua" w:hAnsi="Book Antiqua" w:cs="Book Antiqua"/>
          <w:i/>
          <w:iCs/>
          <w:color w:val="000000"/>
        </w:rPr>
        <w:t>Pract</w:t>
      </w:r>
      <w:proofErr w:type="spellEnd"/>
      <w:r w:rsidRPr="00CF7FD4">
        <w:rPr>
          <w:rFonts w:ascii="Book Antiqua" w:eastAsia="Book Antiqua" w:hAnsi="Book Antiqua" w:cs="Book Antiqua"/>
          <w:color w:val="000000"/>
        </w:rPr>
        <w:t xml:space="preserve"> 2017; </w:t>
      </w:r>
      <w:r w:rsidRPr="00CF7FD4">
        <w:rPr>
          <w:rFonts w:ascii="Book Antiqua" w:eastAsia="Book Antiqua" w:hAnsi="Book Antiqua" w:cs="Book Antiqua"/>
          <w:b/>
          <w:bCs/>
          <w:color w:val="000000"/>
        </w:rPr>
        <w:t>2017</w:t>
      </w:r>
      <w:r w:rsidRPr="00CF7FD4">
        <w:rPr>
          <w:rFonts w:ascii="Book Antiqua" w:eastAsia="Book Antiqua" w:hAnsi="Book Antiqua" w:cs="Book Antiqua"/>
          <w:color w:val="000000"/>
        </w:rPr>
        <w:t>: 2450202 [PMID: 28348916 DOI: 10.1155/2017/2450202]</w:t>
      </w:r>
    </w:p>
    <w:p w14:paraId="79A2769E"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29 </w:t>
      </w:r>
      <w:r w:rsidRPr="00CF7FD4">
        <w:rPr>
          <w:rFonts w:ascii="Book Antiqua" w:eastAsia="Book Antiqua" w:hAnsi="Book Antiqua" w:cs="Book Antiqua"/>
          <w:b/>
          <w:bCs/>
          <w:color w:val="000000"/>
        </w:rPr>
        <w:t>Tao J</w:t>
      </w:r>
      <w:r w:rsidRPr="00CF7FD4">
        <w:rPr>
          <w:rFonts w:ascii="Book Antiqua" w:eastAsia="Book Antiqua" w:hAnsi="Book Antiqua" w:cs="Book Antiqua"/>
          <w:color w:val="000000"/>
        </w:rPr>
        <w:t xml:space="preserve">, Yang Z, Wang JM, Tu C, Pan SR. Effects of fluid shear stress on </w:t>
      </w:r>
      <w:proofErr w:type="spellStart"/>
      <w:r w:rsidRPr="00CF7FD4">
        <w:rPr>
          <w:rFonts w:ascii="Book Antiqua" w:eastAsia="Book Antiqua" w:hAnsi="Book Antiqua" w:cs="Book Antiqua"/>
          <w:color w:val="000000"/>
        </w:rPr>
        <w:t>eNOS</w:t>
      </w:r>
      <w:proofErr w:type="spellEnd"/>
      <w:r w:rsidRPr="00CF7FD4">
        <w:rPr>
          <w:rFonts w:ascii="Book Antiqua" w:eastAsia="Book Antiqua" w:hAnsi="Book Antiqua" w:cs="Book Antiqua"/>
          <w:color w:val="000000"/>
        </w:rPr>
        <w:t xml:space="preserve"> mRNA expression and NO production in human endothelial progenitor cells. </w:t>
      </w:r>
      <w:r w:rsidRPr="00CF7FD4">
        <w:rPr>
          <w:rFonts w:ascii="Book Antiqua" w:eastAsia="Book Antiqua" w:hAnsi="Book Antiqua" w:cs="Book Antiqua"/>
          <w:i/>
          <w:iCs/>
          <w:color w:val="000000"/>
        </w:rPr>
        <w:t>Cardiology</w:t>
      </w:r>
      <w:r w:rsidRPr="00CF7FD4">
        <w:rPr>
          <w:rFonts w:ascii="Book Antiqua" w:eastAsia="Book Antiqua" w:hAnsi="Book Antiqua" w:cs="Book Antiqua"/>
          <w:color w:val="000000"/>
        </w:rPr>
        <w:t xml:space="preserve"> 2006; </w:t>
      </w:r>
      <w:r w:rsidRPr="00CF7FD4">
        <w:rPr>
          <w:rFonts w:ascii="Book Antiqua" w:eastAsia="Book Antiqua" w:hAnsi="Book Antiqua" w:cs="Book Antiqua"/>
          <w:b/>
          <w:bCs/>
          <w:color w:val="000000"/>
        </w:rPr>
        <w:t>106</w:t>
      </w:r>
      <w:r w:rsidRPr="00CF7FD4">
        <w:rPr>
          <w:rFonts w:ascii="Book Antiqua" w:eastAsia="Book Antiqua" w:hAnsi="Book Antiqua" w:cs="Book Antiqua"/>
          <w:color w:val="000000"/>
        </w:rPr>
        <w:t>: 82-88 [PMID: 16612074 DOI: 10.1159/000092636]</w:t>
      </w:r>
    </w:p>
    <w:p w14:paraId="68AD829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30 </w:t>
      </w:r>
      <w:r w:rsidRPr="00CF7FD4">
        <w:rPr>
          <w:rFonts w:ascii="Book Antiqua" w:eastAsia="Book Antiqua" w:hAnsi="Book Antiqua" w:cs="Book Antiqua"/>
          <w:b/>
          <w:bCs/>
          <w:color w:val="000000"/>
        </w:rPr>
        <w:t>Yang Z</w:t>
      </w:r>
      <w:r w:rsidRPr="00CF7FD4">
        <w:rPr>
          <w:rFonts w:ascii="Book Antiqua" w:eastAsia="Book Antiqua" w:hAnsi="Book Antiqua" w:cs="Book Antiqua"/>
          <w:color w:val="000000"/>
        </w:rPr>
        <w:t xml:space="preserve">, Wang JM, Chen L, Luo CF, Tang AL, Tao J. Acute exercise-induced nitric oxide production contributes to upregulation of circulating endothelial progenitor cells in healthy subjects. </w:t>
      </w:r>
      <w:r w:rsidRPr="00CF7FD4">
        <w:rPr>
          <w:rFonts w:ascii="Book Antiqua" w:eastAsia="Book Antiqua" w:hAnsi="Book Antiqua" w:cs="Book Antiqua"/>
          <w:i/>
          <w:iCs/>
          <w:color w:val="000000"/>
        </w:rPr>
        <w:t xml:space="preserve">J Hum </w:t>
      </w:r>
      <w:proofErr w:type="spellStart"/>
      <w:r w:rsidRPr="00CF7FD4">
        <w:rPr>
          <w:rFonts w:ascii="Book Antiqua" w:eastAsia="Book Antiqua" w:hAnsi="Book Antiqua" w:cs="Book Antiqua"/>
          <w:i/>
          <w:iCs/>
          <w:color w:val="000000"/>
        </w:rPr>
        <w:t>Hypertens</w:t>
      </w:r>
      <w:proofErr w:type="spellEnd"/>
      <w:r w:rsidRPr="00CF7FD4">
        <w:rPr>
          <w:rFonts w:ascii="Book Antiqua" w:eastAsia="Book Antiqua" w:hAnsi="Book Antiqua" w:cs="Book Antiqua"/>
          <w:color w:val="000000"/>
        </w:rPr>
        <w:t xml:space="preserve"> 2007; </w:t>
      </w:r>
      <w:r w:rsidRPr="00CF7FD4">
        <w:rPr>
          <w:rFonts w:ascii="Book Antiqua" w:eastAsia="Book Antiqua" w:hAnsi="Book Antiqua" w:cs="Book Antiqua"/>
          <w:b/>
          <w:bCs/>
          <w:color w:val="000000"/>
        </w:rPr>
        <w:t>21</w:t>
      </w:r>
      <w:r w:rsidRPr="00CF7FD4">
        <w:rPr>
          <w:rFonts w:ascii="Book Antiqua" w:eastAsia="Book Antiqua" w:hAnsi="Book Antiqua" w:cs="Book Antiqua"/>
          <w:color w:val="000000"/>
        </w:rPr>
        <w:t>: 452-460 [PMID: 17344910 DOI: 10.1038/sj.jhh.1002171]</w:t>
      </w:r>
    </w:p>
    <w:p w14:paraId="63787436" w14:textId="4CA4806E"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31 </w:t>
      </w:r>
      <w:r w:rsidRPr="00CF7FD4">
        <w:rPr>
          <w:rFonts w:ascii="Book Antiqua" w:eastAsia="Book Antiqua" w:hAnsi="Book Antiqua" w:cs="Book Antiqua"/>
          <w:b/>
          <w:bCs/>
          <w:color w:val="000000"/>
        </w:rPr>
        <w:t>Sandri M</w:t>
      </w:r>
      <w:r w:rsidRPr="00CF7FD4">
        <w:rPr>
          <w:rFonts w:ascii="Book Antiqua" w:eastAsia="Book Antiqua" w:hAnsi="Book Antiqua" w:cs="Book Antiqua"/>
          <w:color w:val="000000"/>
        </w:rPr>
        <w:t xml:space="preserve">, Adams V, </w:t>
      </w:r>
      <w:proofErr w:type="spellStart"/>
      <w:r w:rsidRPr="00CF7FD4">
        <w:rPr>
          <w:rFonts w:ascii="Book Antiqua" w:eastAsia="Book Antiqua" w:hAnsi="Book Antiqua" w:cs="Book Antiqua"/>
          <w:color w:val="000000"/>
        </w:rPr>
        <w:t>Gielen</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Linke</w:t>
      </w:r>
      <w:proofErr w:type="spellEnd"/>
      <w:r w:rsidRPr="00CF7FD4">
        <w:rPr>
          <w:rFonts w:ascii="Book Antiqua" w:eastAsia="Book Antiqua" w:hAnsi="Book Antiqua" w:cs="Book Antiqua"/>
          <w:color w:val="000000"/>
        </w:rPr>
        <w:t xml:space="preserve"> A, Lenk K, </w:t>
      </w:r>
      <w:proofErr w:type="spellStart"/>
      <w:r w:rsidR="00981A2A" w:rsidRPr="00CF7FD4">
        <w:rPr>
          <w:rFonts w:ascii="Book Antiqua" w:eastAsia="Book Antiqua" w:hAnsi="Book Antiqua" w:cs="Book Antiqua"/>
          <w:color w:val="000000"/>
        </w:rPr>
        <w:t>Kränkel</w:t>
      </w:r>
      <w:proofErr w:type="spellEnd"/>
      <w:r w:rsidR="00981A2A" w:rsidRPr="00CF7FD4">
        <w:rPr>
          <w:rFonts w:ascii="Book Antiqua" w:eastAsia="Book Antiqua" w:hAnsi="Book Antiqua" w:cs="Book Antiqua"/>
          <w:color w:val="000000"/>
        </w:rPr>
        <w:t xml:space="preserve"> N</w:t>
      </w:r>
      <w:r w:rsidRPr="00CF7FD4">
        <w:rPr>
          <w:rFonts w:ascii="Book Antiqua" w:eastAsia="Book Antiqua" w:hAnsi="Book Antiqua" w:cs="Book Antiqua"/>
          <w:color w:val="000000"/>
        </w:rPr>
        <w:t xml:space="preserve">, Lenz D, </w:t>
      </w:r>
      <w:proofErr w:type="spellStart"/>
      <w:r w:rsidRPr="00CF7FD4">
        <w:rPr>
          <w:rFonts w:ascii="Book Antiqua" w:eastAsia="Book Antiqua" w:hAnsi="Book Antiqua" w:cs="Book Antiqua"/>
          <w:color w:val="000000"/>
        </w:rPr>
        <w:t>Erbs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Scheinert</w:t>
      </w:r>
      <w:proofErr w:type="spellEnd"/>
      <w:r w:rsidRPr="00CF7FD4">
        <w:rPr>
          <w:rFonts w:ascii="Book Antiqua" w:eastAsia="Book Antiqua" w:hAnsi="Book Antiqua" w:cs="Book Antiqua"/>
          <w:color w:val="000000"/>
        </w:rPr>
        <w:t xml:space="preserve"> D, Mohr FW, Schuler G, Hambrecht R. Effects of exercise and ischemia on mobilization and functional activation of blood-derived progenitor cells in patients with ischemic syndromes: results of 3 randomized studies. </w:t>
      </w:r>
      <w:r w:rsidRPr="00CF7FD4">
        <w:rPr>
          <w:rFonts w:ascii="Book Antiqua" w:eastAsia="Book Antiqua" w:hAnsi="Book Antiqua" w:cs="Book Antiqua"/>
          <w:i/>
          <w:iCs/>
          <w:color w:val="000000"/>
        </w:rPr>
        <w:t>Circulation</w:t>
      </w:r>
      <w:r w:rsidRPr="00CF7FD4">
        <w:rPr>
          <w:rFonts w:ascii="Book Antiqua" w:eastAsia="Book Antiqua" w:hAnsi="Book Antiqua" w:cs="Book Antiqua"/>
          <w:color w:val="000000"/>
        </w:rPr>
        <w:t xml:space="preserve"> 2005; </w:t>
      </w:r>
      <w:r w:rsidRPr="00CF7FD4">
        <w:rPr>
          <w:rFonts w:ascii="Book Antiqua" w:eastAsia="Book Antiqua" w:hAnsi="Book Antiqua" w:cs="Book Antiqua"/>
          <w:b/>
          <w:bCs/>
          <w:color w:val="000000"/>
        </w:rPr>
        <w:t>111</w:t>
      </w:r>
      <w:r w:rsidRPr="00CF7FD4">
        <w:rPr>
          <w:rFonts w:ascii="Book Antiqua" w:eastAsia="Book Antiqua" w:hAnsi="Book Antiqua" w:cs="Book Antiqua"/>
          <w:color w:val="000000"/>
        </w:rPr>
        <w:t>: 3391-3399 [PMID: 15956121 DOI: 10.1161/CIRCULATIONAHA.104.527135]</w:t>
      </w:r>
    </w:p>
    <w:p w14:paraId="1F0F17C8" w14:textId="023F9870"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32 </w:t>
      </w:r>
      <w:r w:rsidRPr="00CF7FD4">
        <w:rPr>
          <w:rFonts w:ascii="Book Antiqua" w:eastAsia="Book Antiqua" w:hAnsi="Book Antiqua" w:cs="Book Antiqua"/>
          <w:b/>
          <w:bCs/>
          <w:color w:val="000000"/>
        </w:rPr>
        <w:t>Sandri M</w:t>
      </w:r>
      <w:r w:rsidRPr="00CF7FD4">
        <w:rPr>
          <w:rFonts w:ascii="Book Antiqua" w:eastAsia="Book Antiqua" w:hAnsi="Book Antiqua" w:cs="Book Antiqua"/>
          <w:color w:val="000000"/>
        </w:rPr>
        <w:t xml:space="preserve">, </w:t>
      </w:r>
      <w:r w:rsidR="00981A2A" w:rsidRPr="00CF7FD4">
        <w:rPr>
          <w:rFonts w:ascii="Book Antiqua" w:eastAsia="Book Antiqua" w:hAnsi="Book Antiqua" w:cs="Book Antiqua"/>
          <w:color w:val="000000"/>
        </w:rPr>
        <w:t xml:space="preserve">Beck EB, Adams V, </w:t>
      </w:r>
      <w:proofErr w:type="spellStart"/>
      <w:r w:rsidR="00981A2A" w:rsidRPr="00CF7FD4">
        <w:rPr>
          <w:rFonts w:ascii="Book Antiqua" w:eastAsia="Book Antiqua" w:hAnsi="Book Antiqua" w:cs="Book Antiqua"/>
          <w:color w:val="000000"/>
        </w:rPr>
        <w:t>Gielen</w:t>
      </w:r>
      <w:proofErr w:type="spellEnd"/>
      <w:r w:rsidR="00981A2A" w:rsidRPr="00CF7FD4">
        <w:rPr>
          <w:rFonts w:ascii="Book Antiqua" w:eastAsia="Book Antiqua" w:hAnsi="Book Antiqua" w:cs="Book Antiqua"/>
          <w:color w:val="000000"/>
        </w:rPr>
        <w:t xml:space="preserve"> S, Lenk K, </w:t>
      </w:r>
      <w:proofErr w:type="spellStart"/>
      <w:r w:rsidR="00981A2A" w:rsidRPr="00CF7FD4">
        <w:rPr>
          <w:rFonts w:ascii="Book Antiqua" w:eastAsia="Book Antiqua" w:hAnsi="Book Antiqua" w:cs="Book Antiqua"/>
          <w:color w:val="000000"/>
        </w:rPr>
        <w:t>Höllriegel</w:t>
      </w:r>
      <w:proofErr w:type="spellEnd"/>
      <w:r w:rsidR="00981A2A" w:rsidRPr="00CF7FD4">
        <w:rPr>
          <w:rFonts w:ascii="Book Antiqua" w:eastAsia="Book Antiqua" w:hAnsi="Book Antiqua" w:cs="Book Antiqua"/>
          <w:color w:val="000000"/>
        </w:rPr>
        <w:t xml:space="preserve"> R, </w:t>
      </w:r>
      <w:proofErr w:type="spellStart"/>
      <w:r w:rsidR="00981A2A" w:rsidRPr="00CF7FD4">
        <w:rPr>
          <w:rFonts w:ascii="Book Antiqua" w:eastAsia="Book Antiqua" w:hAnsi="Book Antiqua" w:cs="Book Antiqua"/>
          <w:color w:val="000000"/>
        </w:rPr>
        <w:t>Mangner</w:t>
      </w:r>
      <w:proofErr w:type="spellEnd"/>
      <w:r w:rsidR="00981A2A" w:rsidRPr="00CF7FD4">
        <w:rPr>
          <w:rFonts w:ascii="Book Antiqua" w:eastAsia="Book Antiqua" w:hAnsi="Book Antiqua" w:cs="Book Antiqua"/>
          <w:color w:val="000000"/>
        </w:rPr>
        <w:t xml:space="preserve"> N, </w:t>
      </w:r>
      <w:proofErr w:type="spellStart"/>
      <w:r w:rsidR="00981A2A" w:rsidRPr="00CF7FD4">
        <w:rPr>
          <w:rFonts w:ascii="Book Antiqua" w:eastAsia="Book Antiqua" w:hAnsi="Book Antiqua" w:cs="Book Antiqua"/>
          <w:color w:val="000000"/>
        </w:rPr>
        <w:t>Linke</w:t>
      </w:r>
      <w:proofErr w:type="spellEnd"/>
      <w:r w:rsidR="00981A2A" w:rsidRPr="00CF7FD4">
        <w:rPr>
          <w:rFonts w:ascii="Book Antiqua" w:eastAsia="Book Antiqua" w:hAnsi="Book Antiqua" w:cs="Book Antiqua"/>
          <w:color w:val="000000"/>
        </w:rPr>
        <w:t xml:space="preserve"> A, </w:t>
      </w:r>
      <w:proofErr w:type="spellStart"/>
      <w:r w:rsidR="00981A2A" w:rsidRPr="00CF7FD4">
        <w:rPr>
          <w:rFonts w:ascii="Book Antiqua" w:eastAsia="Book Antiqua" w:hAnsi="Book Antiqua" w:cs="Book Antiqua"/>
          <w:color w:val="000000"/>
        </w:rPr>
        <w:t>Erbs</w:t>
      </w:r>
      <w:proofErr w:type="spellEnd"/>
      <w:r w:rsidR="00981A2A" w:rsidRPr="00CF7FD4">
        <w:rPr>
          <w:rFonts w:ascii="Book Antiqua" w:eastAsia="Book Antiqua" w:hAnsi="Book Antiqua" w:cs="Book Antiqua"/>
          <w:color w:val="000000"/>
        </w:rPr>
        <w:t xml:space="preserve"> S, Möbius-Winkler S, </w:t>
      </w:r>
      <w:proofErr w:type="spellStart"/>
      <w:r w:rsidR="00981A2A" w:rsidRPr="00CF7FD4">
        <w:rPr>
          <w:rFonts w:ascii="Book Antiqua" w:eastAsia="Book Antiqua" w:hAnsi="Book Antiqua" w:cs="Book Antiqua"/>
          <w:color w:val="000000"/>
        </w:rPr>
        <w:t>Scheinert</w:t>
      </w:r>
      <w:proofErr w:type="spellEnd"/>
      <w:r w:rsidR="00981A2A" w:rsidRPr="00CF7FD4">
        <w:rPr>
          <w:rFonts w:ascii="Book Antiqua" w:eastAsia="Book Antiqua" w:hAnsi="Book Antiqua" w:cs="Book Antiqua"/>
          <w:color w:val="000000"/>
        </w:rPr>
        <w:t xml:space="preserve"> D, Hambrecht R, Schuler G</w:t>
      </w:r>
      <w:r w:rsidRPr="00CF7FD4">
        <w:rPr>
          <w:rFonts w:ascii="Book Antiqua" w:eastAsia="Book Antiqua" w:hAnsi="Book Antiqua" w:cs="Book Antiqua"/>
          <w:color w:val="000000"/>
        </w:rPr>
        <w:t xml:space="preserve">. Maximal exercise, limb ischemia, and endothelial progenitor cells. </w:t>
      </w:r>
      <w:r w:rsidRPr="00CF7FD4">
        <w:rPr>
          <w:rFonts w:ascii="Book Antiqua" w:eastAsia="Book Antiqua" w:hAnsi="Book Antiqua" w:cs="Book Antiqua"/>
          <w:i/>
          <w:iCs/>
          <w:color w:val="000000"/>
        </w:rPr>
        <w:t xml:space="preserve">Eur J Cardiovasc </w:t>
      </w:r>
      <w:proofErr w:type="spellStart"/>
      <w:r w:rsidRPr="00CF7FD4">
        <w:rPr>
          <w:rFonts w:ascii="Book Antiqua" w:eastAsia="Book Antiqua" w:hAnsi="Book Antiqua" w:cs="Book Antiqua"/>
          <w:i/>
          <w:iCs/>
          <w:color w:val="000000"/>
        </w:rPr>
        <w:t>Prev</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Rehabil</w:t>
      </w:r>
      <w:proofErr w:type="spellEnd"/>
      <w:r w:rsidRPr="00CF7FD4">
        <w:rPr>
          <w:rFonts w:ascii="Book Antiqua" w:eastAsia="Book Antiqua" w:hAnsi="Book Antiqua" w:cs="Book Antiqua"/>
          <w:color w:val="000000"/>
        </w:rPr>
        <w:t xml:space="preserve"> 2011; </w:t>
      </w:r>
      <w:r w:rsidRPr="00CF7FD4">
        <w:rPr>
          <w:rFonts w:ascii="Book Antiqua" w:eastAsia="Book Antiqua" w:hAnsi="Book Antiqua" w:cs="Book Antiqua"/>
          <w:b/>
          <w:bCs/>
          <w:color w:val="000000"/>
        </w:rPr>
        <w:t>18</w:t>
      </w:r>
      <w:r w:rsidRPr="00CF7FD4">
        <w:rPr>
          <w:rFonts w:ascii="Book Antiqua" w:eastAsia="Book Antiqua" w:hAnsi="Book Antiqua" w:cs="Book Antiqua"/>
          <w:color w:val="000000"/>
        </w:rPr>
        <w:t>: 55-64 [PMID: 20571405 DOI: 10.1097/HJR.0b013e32833ba654]</w:t>
      </w:r>
    </w:p>
    <w:p w14:paraId="2110172B"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33 </w:t>
      </w:r>
      <w:proofErr w:type="spellStart"/>
      <w:r w:rsidRPr="00CF7FD4">
        <w:rPr>
          <w:rFonts w:ascii="Book Antiqua" w:eastAsia="Book Antiqua" w:hAnsi="Book Antiqua" w:cs="Book Antiqua"/>
          <w:b/>
          <w:bCs/>
          <w:color w:val="000000"/>
        </w:rPr>
        <w:t>Tzanis</w:t>
      </w:r>
      <w:proofErr w:type="spellEnd"/>
      <w:r w:rsidRPr="00CF7FD4">
        <w:rPr>
          <w:rFonts w:ascii="Book Antiqua" w:eastAsia="Book Antiqua" w:hAnsi="Book Antiqua" w:cs="Book Antiqua"/>
          <w:b/>
          <w:bCs/>
          <w:color w:val="000000"/>
        </w:rPr>
        <w:t xml:space="preserve"> G</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Manetos</w:t>
      </w:r>
      <w:proofErr w:type="spellEnd"/>
      <w:r w:rsidRPr="00CF7FD4">
        <w:rPr>
          <w:rFonts w:ascii="Book Antiqua" w:eastAsia="Book Antiqua" w:hAnsi="Book Antiqua" w:cs="Book Antiqua"/>
          <w:color w:val="000000"/>
        </w:rPr>
        <w:t xml:space="preserve"> C, </w:t>
      </w:r>
      <w:proofErr w:type="spellStart"/>
      <w:r w:rsidRPr="00CF7FD4">
        <w:rPr>
          <w:rFonts w:ascii="Book Antiqua" w:eastAsia="Book Antiqua" w:hAnsi="Book Antiqua" w:cs="Book Antiqua"/>
          <w:color w:val="000000"/>
        </w:rPr>
        <w:t>Dimopoulos</w:t>
      </w:r>
      <w:proofErr w:type="spellEnd"/>
      <w:r w:rsidRPr="00CF7FD4">
        <w:rPr>
          <w:rFonts w:ascii="Book Antiqua" w:eastAsia="Book Antiqua" w:hAnsi="Book Antiqua" w:cs="Book Antiqua"/>
          <w:color w:val="000000"/>
        </w:rPr>
        <w:t xml:space="preserve"> S, </w:t>
      </w:r>
      <w:proofErr w:type="spellStart"/>
      <w:r w:rsidRPr="00CF7FD4">
        <w:rPr>
          <w:rFonts w:ascii="Book Antiqua" w:eastAsia="Book Antiqua" w:hAnsi="Book Antiqua" w:cs="Book Antiqua"/>
          <w:color w:val="000000"/>
        </w:rPr>
        <w:t>Vasileiadis</w:t>
      </w:r>
      <w:proofErr w:type="spellEnd"/>
      <w:r w:rsidRPr="00CF7FD4">
        <w:rPr>
          <w:rFonts w:ascii="Book Antiqua" w:eastAsia="Book Antiqua" w:hAnsi="Book Antiqua" w:cs="Book Antiqua"/>
          <w:color w:val="000000"/>
        </w:rPr>
        <w:t xml:space="preserve"> I, </w:t>
      </w:r>
      <w:proofErr w:type="spellStart"/>
      <w:r w:rsidRPr="00CF7FD4">
        <w:rPr>
          <w:rFonts w:ascii="Book Antiqua" w:eastAsia="Book Antiqua" w:hAnsi="Book Antiqua" w:cs="Book Antiqua"/>
          <w:color w:val="000000"/>
        </w:rPr>
        <w:t>Malliaras</w:t>
      </w:r>
      <w:proofErr w:type="spellEnd"/>
      <w:r w:rsidRPr="00CF7FD4">
        <w:rPr>
          <w:rFonts w:ascii="Book Antiqua" w:eastAsia="Book Antiqua" w:hAnsi="Book Antiqua" w:cs="Book Antiqua"/>
          <w:color w:val="000000"/>
        </w:rPr>
        <w:t xml:space="preserve"> K, </w:t>
      </w:r>
      <w:proofErr w:type="spellStart"/>
      <w:r w:rsidRPr="00CF7FD4">
        <w:rPr>
          <w:rFonts w:ascii="Book Antiqua" w:eastAsia="Book Antiqua" w:hAnsi="Book Antiqua" w:cs="Book Antiqua"/>
          <w:color w:val="000000"/>
        </w:rPr>
        <w:t>Kaldara</w:t>
      </w:r>
      <w:proofErr w:type="spellEnd"/>
      <w:r w:rsidRPr="00CF7FD4">
        <w:rPr>
          <w:rFonts w:ascii="Book Antiqua" w:eastAsia="Book Antiqua" w:hAnsi="Book Antiqua" w:cs="Book Antiqua"/>
          <w:color w:val="000000"/>
        </w:rPr>
        <w:t xml:space="preserve"> E, </w:t>
      </w:r>
      <w:proofErr w:type="spellStart"/>
      <w:r w:rsidRPr="00CF7FD4">
        <w:rPr>
          <w:rFonts w:ascii="Book Antiqua" w:eastAsia="Book Antiqua" w:hAnsi="Book Antiqua" w:cs="Book Antiqua"/>
          <w:color w:val="000000"/>
        </w:rPr>
        <w:t>Karatzanos</w:t>
      </w:r>
      <w:proofErr w:type="spellEnd"/>
      <w:r w:rsidRPr="00CF7FD4">
        <w:rPr>
          <w:rFonts w:ascii="Book Antiqua" w:eastAsia="Book Antiqua" w:hAnsi="Book Antiqua" w:cs="Book Antiqua"/>
          <w:color w:val="000000"/>
        </w:rPr>
        <w:t xml:space="preserve"> E, Nanas S. Attenuated Microcirculatory Response to Maximal Exercise in Patients With Chronic Heart Failure. </w:t>
      </w:r>
      <w:r w:rsidRPr="00CF7FD4">
        <w:rPr>
          <w:rFonts w:ascii="Book Antiqua" w:eastAsia="Book Antiqua" w:hAnsi="Book Antiqua" w:cs="Book Antiqua"/>
          <w:i/>
          <w:iCs/>
          <w:color w:val="000000"/>
        </w:rPr>
        <w:t xml:space="preserve">J </w:t>
      </w:r>
      <w:proofErr w:type="spellStart"/>
      <w:r w:rsidRPr="00CF7FD4">
        <w:rPr>
          <w:rFonts w:ascii="Book Antiqua" w:eastAsia="Book Antiqua" w:hAnsi="Book Antiqua" w:cs="Book Antiqua"/>
          <w:i/>
          <w:iCs/>
          <w:color w:val="000000"/>
        </w:rPr>
        <w:t>Cardiopulm</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Rehabil</w:t>
      </w:r>
      <w:proofErr w:type="spellEnd"/>
      <w:r w:rsidRPr="00CF7FD4">
        <w:rPr>
          <w:rFonts w:ascii="Book Antiqua" w:eastAsia="Book Antiqua" w:hAnsi="Book Antiqua" w:cs="Book Antiqua"/>
          <w:i/>
          <w:iCs/>
          <w:color w:val="000000"/>
        </w:rPr>
        <w:t xml:space="preserve"> </w:t>
      </w:r>
      <w:proofErr w:type="spellStart"/>
      <w:r w:rsidRPr="00CF7FD4">
        <w:rPr>
          <w:rFonts w:ascii="Book Antiqua" w:eastAsia="Book Antiqua" w:hAnsi="Book Antiqua" w:cs="Book Antiqua"/>
          <w:i/>
          <w:iCs/>
          <w:color w:val="000000"/>
        </w:rPr>
        <w:t>Prev</w:t>
      </w:r>
      <w:proofErr w:type="spellEnd"/>
      <w:r w:rsidRPr="00CF7FD4">
        <w:rPr>
          <w:rFonts w:ascii="Book Antiqua" w:eastAsia="Book Antiqua" w:hAnsi="Book Antiqua" w:cs="Book Antiqua"/>
          <w:color w:val="000000"/>
        </w:rPr>
        <w:t xml:space="preserve"> 2016; </w:t>
      </w:r>
      <w:r w:rsidRPr="00CF7FD4">
        <w:rPr>
          <w:rFonts w:ascii="Book Antiqua" w:eastAsia="Book Antiqua" w:hAnsi="Book Antiqua" w:cs="Book Antiqua"/>
          <w:b/>
          <w:bCs/>
          <w:color w:val="000000"/>
        </w:rPr>
        <w:t>36</w:t>
      </w:r>
      <w:r w:rsidRPr="00CF7FD4">
        <w:rPr>
          <w:rFonts w:ascii="Book Antiqua" w:eastAsia="Book Antiqua" w:hAnsi="Book Antiqua" w:cs="Book Antiqua"/>
          <w:color w:val="000000"/>
        </w:rPr>
        <w:t>: 33-37 [PMID: 26468631 DOI: 10.1097/HCR.0000000000000145]</w:t>
      </w:r>
    </w:p>
    <w:p w14:paraId="0155995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 xml:space="preserve">34 </w:t>
      </w:r>
      <w:r w:rsidRPr="00CF7FD4">
        <w:rPr>
          <w:rFonts w:ascii="Book Antiqua" w:eastAsia="Book Antiqua" w:hAnsi="Book Antiqua" w:cs="Book Antiqua"/>
          <w:b/>
          <w:bCs/>
          <w:color w:val="000000"/>
        </w:rPr>
        <w:t>Ross MD</w:t>
      </w:r>
      <w:r w:rsidRPr="00CF7FD4">
        <w:rPr>
          <w:rFonts w:ascii="Book Antiqua" w:eastAsia="Book Antiqua" w:hAnsi="Book Antiqua" w:cs="Book Antiqua"/>
          <w:color w:val="000000"/>
        </w:rPr>
        <w:t xml:space="preserve">, </w:t>
      </w:r>
      <w:proofErr w:type="spellStart"/>
      <w:r w:rsidRPr="00CF7FD4">
        <w:rPr>
          <w:rFonts w:ascii="Book Antiqua" w:eastAsia="Book Antiqua" w:hAnsi="Book Antiqua" w:cs="Book Antiqua"/>
          <w:color w:val="000000"/>
        </w:rPr>
        <w:t>Wekesa</w:t>
      </w:r>
      <w:proofErr w:type="spellEnd"/>
      <w:r w:rsidRPr="00CF7FD4">
        <w:rPr>
          <w:rFonts w:ascii="Book Antiqua" w:eastAsia="Book Antiqua" w:hAnsi="Book Antiqua" w:cs="Book Antiqua"/>
          <w:color w:val="000000"/>
        </w:rPr>
        <w:t xml:space="preserve"> AL, Phelan JP, Harrison M. Resistance exercise increases endothelial progenitor cells and angiogenic factors. </w:t>
      </w:r>
      <w:r w:rsidRPr="00CF7FD4">
        <w:rPr>
          <w:rFonts w:ascii="Book Antiqua" w:eastAsia="Book Antiqua" w:hAnsi="Book Antiqua" w:cs="Book Antiqua"/>
          <w:i/>
          <w:iCs/>
          <w:color w:val="000000"/>
        </w:rPr>
        <w:t xml:space="preserve">Med Sci Sports </w:t>
      </w:r>
      <w:proofErr w:type="spellStart"/>
      <w:r w:rsidRPr="00CF7FD4">
        <w:rPr>
          <w:rFonts w:ascii="Book Antiqua" w:eastAsia="Book Antiqua" w:hAnsi="Book Antiqua" w:cs="Book Antiqua"/>
          <w:i/>
          <w:iCs/>
          <w:color w:val="000000"/>
        </w:rPr>
        <w:t>Exerc</w:t>
      </w:r>
      <w:proofErr w:type="spellEnd"/>
      <w:r w:rsidRPr="00CF7FD4">
        <w:rPr>
          <w:rFonts w:ascii="Book Antiqua" w:eastAsia="Book Antiqua" w:hAnsi="Book Antiqua" w:cs="Book Antiqua"/>
          <w:color w:val="000000"/>
        </w:rPr>
        <w:t xml:space="preserve"> 2014; </w:t>
      </w:r>
      <w:r w:rsidRPr="00CF7FD4">
        <w:rPr>
          <w:rFonts w:ascii="Book Antiqua" w:eastAsia="Book Antiqua" w:hAnsi="Book Antiqua" w:cs="Book Antiqua"/>
          <w:b/>
          <w:bCs/>
          <w:color w:val="000000"/>
        </w:rPr>
        <w:t>46</w:t>
      </w:r>
      <w:r w:rsidRPr="00CF7FD4">
        <w:rPr>
          <w:rFonts w:ascii="Book Antiqua" w:eastAsia="Book Antiqua" w:hAnsi="Book Antiqua" w:cs="Book Antiqua"/>
          <w:color w:val="000000"/>
        </w:rPr>
        <w:t>: 16-23 [PMID: 24346188 DOI: 10.1249/MSS.0b013e3182a142da]</w:t>
      </w:r>
    </w:p>
    <w:p w14:paraId="4BE8C52C" w14:textId="77777777" w:rsidR="00A77B3E" w:rsidRPr="00CF7FD4" w:rsidRDefault="00A77B3E" w:rsidP="00CF7FD4">
      <w:pPr>
        <w:snapToGrid w:val="0"/>
        <w:spacing w:line="360" w:lineRule="auto"/>
        <w:jc w:val="both"/>
        <w:sectPr w:rsidR="00A77B3E" w:rsidRPr="00CF7FD4">
          <w:pgSz w:w="12240" w:h="15840"/>
          <w:pgMar w:top="1440" w:right="1440" w:bottom="1440" w:left="1440" w:header="720" w:footer="720" w:gutter="0"/>
          <w:cols w:space="720"/>
          <w:docGrid w:linePitch="360"/>
        </w:sectPr>
      </w:pPr>
    </w:p>
    <w:p w14:paraId="3BE0FAA8"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Footnotes</w:t>
      </w:r>
    </w:p>
    <w:p w14:paraId="40FCE3E3" w14:textId="4EF6CD91"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Institutional review board statement: </w:t>
      </w:r>
      <w:r w:rsidRPr="00CF7FD4">
        <w:rPr>
          <w:rFonts w:ascii="Book Antiqua" w:eastAsia="Book Antiqua" w:hAnsi="Book Antiqua" w:cs="Book Antiqua"/>
          <w:color w:val="000000"/>
        </w:rPr>
        <w:t>The study was reviewed and approved by the Administration Board and the Ethics Committee of “Evaggelismos General Hospital” in Athens, Greece.</w:t>
      </w:r>
    </w:p>
    <w:p w14:paraId="40BF41AC" w14:textId="77777777" w:rsidR="00A77B3E" w:rsidRPr="00CF7FD4" w:rsidRDefault="00A77B3E" w:rsidP="00CF7FD4">
      <w:pPr>
        <w:snapToGrid w:val="0"/>
        <w:spacing w:line="360" w:lineRule="auto"/>
        <w:jc w:val="both"/>
      </w:pPr>
    </w:p>
    <w:p w14:paraId="044744E5" w14:textId="6BF3524D"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Clinical trial registration statement: </w:t>
      </w:r>
      <w:r w:rsidR="008E4D5C" w:rsidRPr="00CF7FD4">
        <w:rPr>
          <w:rFonts w:ascii="Book Antiqua" w:eastAsia="Book Antiqua" w:hAnsi="Book Antiqua" w:cs="Book Antiqua"/>
          <w:color w:val="000000"/>
        </w:rPr>
        <w:t>This study is registered at Evaggelismos General Hospital of Athens trial registry. The registration identification number is 117/3-7-2017.</w:t>
      </w:r>
    </w:p>
    <w:p w14:paraId="3D2ABDC3" w14:textId="77777777" w:rsidR="00A77B3E" w:rsidRPr="00CF7FD4" w:rsidRDefault="00A77B3E" w:rsidP="00CF7FD4">
      <w:pPr>
        <w:snapToGrid w:val="0"/>
        <w:spacing w:line="360" w:lineRule="auto"/>
        <w:jc w:val="both"/>
      </w:pPr>
    </w:p>
    <w:p w14:paraId="2BBEC100" w14:textId="70A9366D"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Informed consent statement: </w:t>
      </w:r>
      <w:r w:rsidRPr="00CF7FD4">
        <w:rPr>
          <w:rFonts w:ascii="Book Antiqua" w:eastAsia="Book Antiqua" w:hAnsi="Book Antiqua" w:cs="Book Antiqua"/>
          <w:color w:val="000000"/>
        </w:rPr>
        <w:t>All study participants, or their legal guardian, provided informed written consent prior to study enrollment.</w:t>
      </w:r>
    </w:p>
    <w:p w14:paraId="4FFEEAB3" w14:textId="77777777" w:rsidR="00A77B3E" w:rsidRPr="00CF7FD4" w:rsidRDefault="00A77B3E" w:rsidP="00CF7FD4">
      <w:pPr>
        <w:snapToGrid w:val="0"/>
        <w:spacing w:line="360" w:lineRule="auto"/>
        <w:jc w:val="both"/>
      </w:pPr>
    </w:p>
    <w:p w14:paraId="017EBCBB" w14:textId="49AAA534"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Conflict-of-interest statement: </w:t>
      </w:r>
      <w:r w:rsidR="00CF7FD4">
        <w:rPr>
          <w:rFonts w:ascii="Book Antiqua" w:eastAsia="Book Antiqua" w:hAnsi="Book Antiqua" w:cs="Book Antiqua"/>
          <w:color w:val="000000"/>
        </w:rPr>
        <w:t>All authors state they have n</w:t>
      </w:r>
      <w:r w:rsidRPr="00CF7FD4">
        <w:rPr>
          <w:rFonts w:ascii="Book Antiqua" w:eastAsia="Book Antiqua" w:hAnsi="Book Antiqua" w:cs="Book Antiqua"/>
          <w:color w:val="000000"/>
        </w:rPr>
        <w:t>o</w:t>
      </w:r>
      <w:r w:rsidR="00CF7FD4">
        <w:rPr>
          <w:rFonts w:ascii="Book Antiqua" w:eastAsia="Book Antiqua" w:hAnsi="Book Antiqua" w:cs="Book Antiqua"/>
          <w:color w:val="000000"/>
        </w:rPr>
        <w:t xml:space="preserve"> real or potential conflicts-of-interest</w:t>
      </w:r>
      <w:r w:rsidRPr="00CF7FD4">
        <w:rPr>
          <w:rFonts w:ascii="Book Antiqua" w:eastAsia="Book Antiqua" w:hAnsi="Book Antiqua" w:cs="Book Antiqua"/>
          <w:color w:val="000000"/>
        </w:rPr>
        <w:t xml:space="preserve"> to declare.</w:t>
      </w:r>
    </w:p>
    <w:p w14:paraId="761B1464" w14:textId="77777777" w:rsidR="00A77B3E" w:rsidRPr="00CF7FD4" w:rsidRDefault="00A77B3E" w:rsidP="00CF7FD4">
      <w:pPr>
        <w:snapToGrid w:val="0"/>
        <w:spacing w:line="360" w:lineRule="auto"/>
        <w:jc w:val="both"/>
      </w:pPr>
    </w:p>
    <w:p w14:paraId="07EA44F5"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Data sharing statement: </w:t>
      </w:r>
      <w:r w:rsidRPr="00CF7FD4">
        <w:rPr>
          <w:rFonts w:ascii="Book Antiqua" w:eastAsia="Book Antiqua" w:hAnsi="Book Antiqua" w:cs="Book Antiqua"/>
          <w:color w:val="000000"/>
          <w:shd w:val="clear" w:color="auto" w:fill="FFFFFF"/>
        </w:rPr>
        <w:t>No additional data are available.</w:t>
      </w:r>
    </w:p>
    <w:p w14:paraId="416416FD" w14:textId="77777777" w:rsidR="00A77B3E" w:rsidRPr="00CF7FD4" w:rsidRDefault="00A77B3E" w:rsidP="00CF7FD4">
      <w:pPr>
        <w:snapToGrid w:val="0"/>
        <w:spacing w:line="360" w:lineRule="auto"/>
        <w:jc w:val="both"/>
      </w:pPr>
    </w:p>
    <w:p w14:paraId="37D2B34A" w14:textId="4B61A21A"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CONSORT 2010 statement: </w:t>
      </w:r>
      <w:r w:rsidR="008E4D5C" w:rsidRPr="00CF7FD4">
        <w:rPr>
          <w:rFonts w:ascii="Book Antiqua" w:eastAsia="Book Antiqua" w:hAnsi="Book Antiqua" w:cs="Book Antiqua"/>
          <w:color w:val="000000"/>
        </w:rPr>
        <w:t>The authors have read the CONSORT 2010 Statement, and the manuscript was prepared and revised according to the CONSORT 2010 Statement.</w:t>
      </w:r>
    </w:p>
    <w:p w14:paraId="2934ED62" w14:textId="77777777" w:rsidR="00A77B3E" w:rsidRPr="00CF7FD4" w:rsidRDefault="00A77B3E" w:rsidP="00CF7FD4">
      <w:pPr>
        <w:snapToGrid w:val="0"/>
        <w:spacing w:line="360" w:lineRule="auto"/>
        <w:jc w:val="both"/>
      </w:pPr>
    </w:p>
    <w:p w14:paraId="6E8397B9" w14:textId="77777777" w:rsidR="00A77B3E" w:rsidRPr="00CF7FD4" w:rsidRDefault="002045B7" w:rsidP="00CF7FD4">
      <w:pPr>
        <w:snapToGrid w:val="0"/>
        <w:spacing w:line="360" w:lineRule="auto"/>
        <w:jc w:val="both"/>
      </w:pPr>
      <w:r w:rsidRPr="00CF7FD4">
        <w:rPr>
          <w:rFonts w:ascii="Book Antiqua" w:eastAsia="Book Antiqua" w:hAnsi="Book Antiqua" w:cs="Book Antiqua"/>
          <w:b/>
          <w:bCs/>
          <w:color w:val="000000"/>
        </w:rPr>
        <w:t xml:space="preserve">Open-Access: </w:t>
      </w:r>
      <w:r w:rsidRPr="00CF7F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08D37" w14:textId="77777777" w:rsidR="00A77B3E" w:rsidRPr="00CF7FD4" w:rsidRDefault="00A77B3E" w:rsidP="00CF7FD4">
      <w:pPr>
        <w:snapToGrid w:val="0"/>
        <w:spacing w:line="360" w:lineRule="auto"/>
        <w:jc w:val="both"/>
      </w:pPr>
    </w:p>
    <w:p w14:paraId="18165E4F" w14:textId="0EF19562"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Manuscript source: </w:t>
      </w:r>
      <w:r w:rsidRPr="00CF7FD4">
        <w:rPr>
          <w:rFonts w:ascii="Book Antiqua" w:eastAsia="Book Antiqua" w:hAnsi="Book Antiqua" w:cs="Book Antiqua"/>
          <w:color w:val="000000"/>
        </w:rPr>
        <w:t xml:space="preserve">Invited </w:t>
      </w:r>
      <w:r w:rsidR="008E4D5C" w:rsidRPr="00CF7FD4">
        <w:rPr>
          <w:rFonts w:ascii="Book Antiqua" w:eastAsia="Book Antiqua" w:hAnsi="Book Antiqua" w:cs="Book Antiqua"/>
          <w:color w:val="000000"/>
        </w:rPr>
        <w:t>m</w:t>
      </w:r>
      <w:r w:rsidRPr="00CF7FD4">
        <w:rPr>
          <w:rFonts w:ascii="Book Antiqua" w:eastAsia="Book Antiqua" w:hAnsi="Book Antiqua" w:cs="Book Antiqua"/>
          <w:color w:val="000000"/>
        </w:rPr>
        <w:t>anuscript</w:t>
      </w:r>
    </w:p>
    <w:p w14:paraId="2D2CC2AF" w14:textId="77777777" w:rsidR="00A77B3E" w:rsidRPr="00CF7FD4" w:rsidRDefault="00A77B3E" w:rsidP="00CF7FD4">
      <w:pPr>
        <w:snapToGrid w:val="0"/>
        <w:spacing w:line="360" w:lineRule="auto"/>
        <w:jc w:val="both"/>
      </w:pPr>
    </w:p>
    <w:p w14:paraId="2935801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Peer-review started: </w:t>
      </w:r>
      <w:r w:rsidRPr="00CF7FD4">
        <w:rPr>
          <w:rFonts w:ascii="Book Antiqua" w:eastAsia="Book Antiqua" w:hAnsi="Book Antiqua" w:cs="Book Antiqua"/>
          <w:color w:val="000000"/>
        </w:rPr>
        <w:t>June 24, 2020</w:t>
      </w:r>
    </w:p>
    <w:p w14:paraId="047F4434"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lastRenderedPageBreak/>
        <w:t xml:space="preserve">First decision: </w:t>
      </w:r>
      <w:r w:rsidRPr="00CF7FD4">
        <w:rPr>
          <w:rFonts w:ascii="Book Antiqua" w:eastAsia="Book Antiqua" w:hAnsi="Book Antiqua" w:cs="Book Antiqua"/>
          <w:color w:val="000000"/>
        </w:rPr>
        <w:t>July 25, 2020</w:t>
      </w:r>
    </w:p>
    <w:p w14:paraId="21683691"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Article in press: </w:t>
      </w:r>
    </w:p>
    <w:p w14:paraId="36020A94" w14:textId="77777777" w:rsidR="00A77B3E" w:rsidRPr="00CF7FD4" w:rsidRDefault="00A77B3E" w:rsidP="00CF7FD4">
      <w:pPr>
        <w:snapToGrid w:val="0"/>
        <w:spacing w:line="360" w:lineRule="auto"/>
        <w:jc w:val="both"/>
      </w:pPr>
    </w:p>
    <w:p w14:paraId="075CA88F" w14:textId="5284FBF2"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Specialty type: </w:t>
      </w:r>
      <w:r w:rsidR="007838B1" w:rsidRPr="00CF7FD4">
        <w:rPr>
          <w:rFonts w:ascii="Book Antiqua" w:eastAsia="Book Antiqua" w:hAnsi="Book Antiqua" w:cs="Book Antiqua"/>
          <w:color w:val="000000"/>
        </w:rPr>
        <w:t>Cardiac and cardiovascular systems</w:t>
      </w:r>
    </w:p>
    <w:p w14:paraId="08BB32CB"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 xml:space="preserve">Country/Territory of origin: </w:t>
      </w:r>
      <w:r w:rsidRPr="00CF7FD4">
        <w:rPr>
          <w:rFonts w:ascii="Book Antiqua" w:eastAsia="Book Antiqua" w:hAnsi="Book Antiqua" w:cs="Book Antiqua"/>
          <w:color w:val="000000"/>
        </w:rPr>
        <w:t>Greece</w:t>
      </w:r>
    </w:p>
    <w:p w14:paraId="10985C1B" w14:textId="77777777" w:rsidR="00A77B3E" w:rsidRPr="00CF7FD4" w:rsidRDefault="002045B7" w:rsidP="00CF7FD4">
      <w:pPr>
        <w:snapToGrid w:val="0"/>
        <w:spacing w:line="360" w:lineRule="auto"/>
        <w:jc w:val="both"/>
      </w:pPr>
      <w:r w:rsidRPr="00CF7FD4">
        <w:rPr>
          <w:rFonts w:ascii="Book Antiqua" w:eastAsia="Book Antiqua" w:hAnsi="Book Antiqua" w:cs="Book Antiqua"/>
          <w:b/>
          <w:color w:val="000000"/>
        </w:rPr>
        <w:t>Peer-review report’s scientific quality classification</w:t>
      </w:r>
    </w:p>
    <w:p w14:paraId="401240CA"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A (Excellent): 0</w:t>
      </w:r>
    </w:p>
    <w:p w14:paraId="174C5C14"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B (Very good): B</w:t>
      </w:r>
    </w:p>
    <w:p w14:paraId="677524CF"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C (Good): 0</w:t>
      </w:r>
    </w:p>
    <w:p w14:paraId="14120639"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D (Fair): 0</w:t>
      </w:r>
    </w:p>
    <w:p w14:paraId="12857733" w14:textId="77777777" w:rsidR="00A77B3E" w:rsidRPr="00CF7FD4" w:rsidRDefault="002045B7" w:rsidP="00CF7FD4">
      <w:pPr>
        <w:snapToGrid w:val="0"/>
        <w:spacing w:line="360" w:lineRule="auto"/>
        <w:jc w:val="both"/>
      </w:pPr>
      <w:r w:rsidRPr="00CF7FD4">
        <w:rPr>
          <w:rFonts w:ascii="Book Antiqua" w:eastAsia="Book Antiqua" w:hAnsi="Book Antiqua" w:cs="Book Antiqua"/>
          <w:color w:val="000000"/>
        </w:rPr>
        <w:t>Grade E (Poor): 0</w:t>
      </w:r>
    </w:p>
    <w:p w14:paraId="253AA5BD" w14:textId="77777777" w:rsidR="00A77B3E" w:rsidRPr="00CF7FD4" w:rsidRDefault="00A77B3E" w:rsidP="00CF7FD4">
      <w:pPr>
        <w:snapToGrid w:val="0"/>
        <w:spacing w:line="360" w:lineRule="auto"/>
        <w:jc w:val="both"/>
      </w:pPr>
    </w:p>
    <w:p w14:paraId="55F4FEB4" w14:textId="53CE9303" w:rsidR="00A77B3E" w:rsidRPr="00CF7FD4" w:rsidRDefault="002045B7" w:rsidP="00CF7FD4">
      <w:pPr>
        <w:snapToGrid w:val="0"/>
        <w:spacing w:line="360" w:lineRule="auto"/>
        <w:jc w:val="both"/>
        <w:rPr>
          <w:rFonts w:ascii="Book Antiqua" w:eastAsia="Book Antiqua" w:hAnsi="Book Antiqua" w:cs="Book Antiqua"/>
          <w:b/>
          <w:color w:val="000000"/>
        </w:rPr>
      </w:pPr>
      <w:r w:rsidRPr="00CF7FD4">
        <w:rPr>
          <w:rFonts w:ascii="Book Antiqua" w:eastAsia="Book Antiqua" w:hAnsi="Book Antiqua" w:cs="Book Antiqua"/>
          <w:b/>
          <w:color w:val="000000"/>
        </w:rPr>
        <w:t xml:space="preserve">P-Reviewer: </w:t>
      </w:r>
      <w:r w:rsidRPr="00CF7FD4">
        <w:rPr>
          <w:rFonts w:ascii="Book Antiqua" w:eastAsia="Book Antiqua" w:hAnsi="Book Antiqua" w:cs="Book Antiqua"/>
          <w:caps/>
          <w:color w:val="000000"/>
        </w:rPr>
        <w:t>p</w:t>
      </w:r>
      <w:r w:rsidRPr="00CF7FD4">
        <w:rPr>
          <w:rFonts w:ascii="Book Antiqua" w:eastAsia="Book Antiqua" w:hAnsi="Book Antiqua" w:cs="Book Antiqua"/>
          <w:color w:val="000000"/>
        </w:rPr>
        <w:t>an SL</w:t>
      </w:r>
      <w:r w:rsidRPr="00CF7FD4">
        <w:rPr>
          <w:rFonts w:ascii="Book Antiqua" w:eastAsia="Book Antiqua" w:hAnsi="Book Antiqua" w:cs="Book Antiqua"/>
          <w:b/>
          <w:color w:val="000000"/>
        </w:rPr>
        <w:t xml:space="preserve"> S-Editor: </w:t>
      </w:r>
      <w:r w:rsidRPr="00CF7FD4">
        <w:rPr>
          <w:rFonts w:ascii="Book Antiqua" w:eastAsia="Book Antiqua" w:hAnsi="Book Antiqua" w:cs="Book Antiqua"/>
          <w:color w:val="000000"/>
        </w:rPr>
        <w:t>Huang P</w:t>
      </w:r>
      <w:r w:rsidRPr="00CF7FD4">
        <w:rPr>
          <w:rFonts w:ascii="Book Antiqua" w:eastAsia="Book Antiqua" w:hAnsi="Book Antiqua" w:cs="Book Antiqua"/>
          <w:b/>
          <w:color w:val="000000"/>
        </w:rPr>
        <w:t xml:space="preserve"> L-Editor: </w:t>
      </w:r>
      <w:r w:rsidR="00080B48" w:rsidRPr="00CF7FD4">
        <w:rPr>
          <w:rFonts w:ascii="Book Antiqua" w:eastAsia="Book Antiqua" w:hAnsi="Book Antiqua" w:cs="Book Antiqua"/>
          <w:bCs/>
          <w:color w:val="000000"/>
        </w:rPr>
        <w:t>Filipodia</w:t>
      </w:r>
      <w:r w:rsidRPr="00CF7FD4">
        <w:rPr>
          <w:rFonts w:ascii="Book Antiqua" w:eastAsia="Book Antiqua" w:hAnsi="Book Antiqua" w:cs="Book Antiqua"/>
          <w:b/>
          <w:color w:val="000000"/>
        </w:rPr>
        <w:t xml:space="preserve"> P-Editor: </w:t>
      </w:r>
    </w:p>
    <w:p w14:paraId="62B7CC54" w14:textId="77777777" w:rsidR="003C3041" w:rsidRPr="00CF7FD4" w:rsidRDefault="003C3041" w:rsidP="00CF7FD4">
      <w:pPr>
        <w:snapToGrid w:val="0"/>
        <w:spacing w:line="360" w:lineRule="auto"/>
        <w:jc w:val="both"/>
        <w:sectPr w:rsidR="003C3041" w:rsidRPr="00CF7FD4">
          <w:pgSz w:w="12240" w:h="15840"/>
          <w:pgMar w:top="1440" w:right="1440" w:bottom="1440" w:left="1440" w:header="720" w:footer="720" w:gutter="0"/>
          <w:cols w:space="720"/>
          <w:docGrid w:linePitch="360"/>
        </w:sectPr>
      </w:pPr>
    </w:p>
    <w:p w14:paraId="32DC1E53" w14:textId="2F30B801" w:rsidR="00A77B3E" w:rsidRPr="00CF7FD4" w:rsidRDefault="002045B7" w:rsidP="00CF7FD4">
      <w:pPr>
        <w:snapToGrid w:val="0"/>
        <w:spacing w:line="360" w:lineRule="auto"/>
        <w:jc w:val="both"/>
        <w:rPr>
          <w:rFonts w:ascii="Book Antiqua" w:eastAsia="Book Antiqua" w:hAnsi="Book Antiqua" w:cs="Book Antiqua"/>
          <w:b/>
          <w:color w:val="000000"/>
        </w:rPr>
      </w:pPr>
      <w:r w:rsidRPr="00CF7FD4">
        <w:rPr>
          <w:rFonts w:ascii="Book Antiqua" w:eastAsia="Book Antiqua" w:hAnsi="Book Antiqua" w:cs="Book Antiqua"/>
          <w:b/>
          <w:color w:val="000000"/>
        </w:rPr>
        <w:lastRenderedPageBreak/>
        <w:t>Figure Legends</w:t>
      </w:r>
    </w:p>
    <w:p w14:paraId="7B0FC398" w14:textId="7BD74DF6" w:rsidR="000150D5" w:rsidRPr="00CF7FD4" w:rsidRDefault="000150D5" w:rsidP="00CF7FD4">
      <w:pPr>
        <w:snapToGrid w:val="0"/>
        <w:spacing w:line="360" w:lineRule="auto"/>
        <w:jc w:val="both"/>
      </w:pPr>
      <w:r w:rsidRPr="00CF7FD4">
        <w:rPr>
          <w:noProof/>
          <w:lang w:eastAsia="zh-CN"/>
        </w:rPr>
        <w:drawing>
          <wp:inline distT="0" distB="0" distL="0" distR="0" wp14:anchorId="0DD6C26B" wp14:editId="0AB409B2">
            <wp:extent cx="5943600" cy="2954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954655"/>
                    </a:xfrm>
                    <a:prstGeom prst="rect">
                      <a:avLst/>
                    </a:prstGeom>
                  </pic:spPr>
                </pic:pic>
              </a:graphicData>
            </a:graphic>
          </wp:inline>
        </w:drawing>
      </w:r>
    </w:p>
    <w:p w14:paraId="41843550" w14:textId="3290A949" w:rsidR="000150D5"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b/>
          <w:bCs/>
          <w:color w:val="000000"/>
        </w:rPr>
        <w:t xml:space="preserve">Figure 1 </w:t>
      </w:r>
      <w:r w:rsidR="000150D5" w:rsidRPr="00CF7FD4">
        <w:rPr>
          <w:rFonts w:ascii="Book Antiqua" w:eastAsia="Book Antiqua" w:hAnsi="Book Antiqua" w:cs="Book Antiqua"/>
          <w:b/>
          <w:bCs/>
          <w:color w:val="000000"/>
        </w:rPr>
        <w:t xml:space="preserve">Boolean analysis. </w:t>
      </w:r>
      <w:r w:rsidR="000150D5" w:rsidRPr="00CF7FD4">
        <w:rPr>
          <w:rFonts w:ascii="Book Antiqua" w:eastAsia="Book Antiqua" w:hAnsi="Book Antiqua" w:cs="Book Antiqua"/>
          <w:color w:val="000000"/>
        </w:rPr>
        <w:t xml:space="preserve">A and B: </w:t>
      </w:r>
      <w:r w:rsidRPr="00CF7FD4">
        <w:rPr>
          <w:rFonts w:ascii="Book Antiqua" w:eastAsia="Book Antiqua" w:hAnsi="Book Antiqua" w:cs="Book Antiqua"/>
          <w:color w:val="000000"/>
        </w:rPr>
        <w:t>Flow cytometry analysis for the identification of cellular populations using monoclonal antibodies CD45</w:t>
      </w:r>
      <w:r w:rsidR="000150D5"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0150D5" w:rsidRPr="00CF7FD4">
        <w:rPr>
          <w:rFonts w:ascii="Book Antiqua" w:eastAsia="Book Antiqua" w:hAnsi="Book Antiqua" w:cs="Book Antiqua"/>
          <w:color w:val="000000"/>
        </w:rPr>
        <w:t xml:space="preserve">C: </w:t>
      </w:r>
      <w:r w:rsidRPr="00CF7FD4">
        <w:rPr>
          <w:rFonts w:ascii="Book Antiqua" w:eastAsia="Book Antiqua" w:hAnsi="Book Antiqua" w:cs="Book Antiqua"/>
          <w:color w:val="000000"/>
        </w:rPr>
        <w:t>VEGFR</w:t>
      </w:r>
      <w:r w:rsidRPr="00CF7FD4">
        <w:rPr>
          <w:rFonts w:ascii="Book Antiqua" w:eastAsia="Book Antiqua" w:hAnsi="Book Antiqua" w:cs="Book Antiqua"/>
          <w:color w:val="000000"/>
          <w:vertAlign w:val="subscript"/>
        </w:rPr>
        <w:t>2</w:t>
      </w:r>
      <w:r w:rsidR="00FE1737"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w:t>
      </w:r>
      <w:r w:rsidR="000150D5" w:rsidRPr="00CF7FD4">
        <w:rPr>
          <w:rFonts w:ascii="Book Antiqua" w:eastAsia="Book Antiqua" w:hAnsi="Book Antiqua" w:cs="Book Antiqua"/>
          <w:color w:val="000000"/>
        </w:rPr>
        <w:t xml:space="preserve">D: </w:t>
      </w:r>
      <w:r w:rsidRPr="00CF7FD4">
        <w:rPr>
          <w:rFonts w:ascii="Book Antiqua" w:eastAsia="Book Antiqua" w:hAnsi="Book Antiqua" w:cs="Book Antiqua"/>
          <w:color w:val="000000"/>
        </w:rPr>
        <w:t>CD34</w:t>
      </w:r>
      <w:r w:rsidR="000150D5" w:rsidRPr="00CF7FD4">
        <w:rPr>
          <w:rFonts w:ascii="Book Antiqua" w:eastAsia="Book Antiqua" w:hAnsi="Book Antiqua" w:cs="Book Antiqua"/>
          <w:color w:val="000000"/>
        </w:rPr>
        <w:t xml:space="preserve">; E: </w:t>
      </w:r>
      <w:r w:rsidRPr="00CF7FD4">
        <w:rPr>
          <w:rFonts w:ascii="Book Antiqua" w:eastAsia="Book Antiqua" w:hAnsi="Book Antiqua" w:cs="Book Antiqua"/>
          <w:color w:val="000000"/>
        </w:rPr>
        <w:t>CD133</w:t>
      </w:r>
      <w:r w:rsidR="000150D5" w:rsidRPr="00CF7FD4">
        <w:rPr>
          <w:rFonts w:ascii="Book Antiqua" w:eastAsia="Book Antiqua" w:hAnsi="Book Antiqua" w:cs="Book Antiqua"/>
          <w:color w:val="000000"/>
        </w:rPr>
        <w:t>.</w:t>
      </w:r>
      <w:r w:rsidR="000150D5" w:rsidRPr="00CF7FD4">
        <w:rPr>
          <w:rFonts w:ascii="Book Antiqua" w:eastAsia="Book Antiqua" w:hAnsi="Book Antiqua" w:cs="Book Antiqua"/>
          <w:b/>
          <w:bCs/>
          <w:color w:val="000000"/>
        </w:rPr>
        <w:t xml:space="preserve"> </w:t>
      </w:r>
      <w:r w:rsidR="000150D5" w:rsidRPr="00CF7FD4">
        <w:rPr>
          <w:rFonts w:ascii="Book Antiqua" w:eastAsia="Book Antiqua" w:hAnsi="Book Antiqua" w:cs="Book Antiqua"/>
          <w:color w:val="000000"/>
        </w:rPr>
        <w:t>In all samples, the CD34 expression was weak.</w:t>
      </w:r>
      <w:r w:rsidR="00D3285F" w:rsidRPr="00CF7FD4">
        <w:rPr>
          <w:rFonts w:ascii="Book Antiqua" w:eastAsia="Book Antiqua" w:hAnsi="Book Antiqua" w:cs="Book Antiqua"/>
          <w:color w:val="000000"/>
        </w:rPr>
        <w:t xml:space="preserve"> </w:t>
      </w:r>
      <w:r w:rsidR="00D3285F" w:rsidRPr="00CF7FD4">
        <w:rPr>
          <w:rFonts w:ascii="Book Antiqua" w:hAnsi="Book Antiqua"/>
          <w:bCs/>
          <w:iCs/>
        </w:rPr>
        <w:t>CPET: Cardiopulmonary exercise testing;</w:t>
      </w:r>
      <w:r w:rsidR="00D3285F" w:rsidRPr="00CF7FD4">
        <w:rPr>
          <w:rFonts w:ascii="Book Antiqua" w:eastAsia="Book Antiqua" w:hAnsi="Book Antiqua" w:cs="Book Antiqua"/>
          <w:color w:val="000000"/>
        </w:rPr>
        <w:t xml:space="preserve"> VEGFR</w:t>
      </w:r>
      <w:r w:rsidR="00D3285F" w:rsidRPr="00CF7FD4">
        <w:rPr>
          <w:rFonts w:ascii="Book Antiqua" w:eastAsia="Book Antiqua" w:hAnsi="Book Antiqua" w:cs="Book Antiqua"/>
          <w:color w:val="000000"/>
          <w:vertAlign w:val="subscript"/>
        </w:rPr>
        <w:t>2</w:t>
      </w:r>
      <w:r w:rsidR="00D3285F" w:rsidRPr="00CF7FD4">
        <w:rPr>
          <w:rFonts w:ascii="Book Antiqua" w:eastAsia="Book Antiqua" w:hAnsi="Book Antiqua" w:cs="Book Antiqua"/>
          <w:color w:val="000000"/>
        </w:rPr>
        <w:t>: Vascular endothelial growth factor receptor 2.</w:t>
      </w:r>
    </w:p>
    <w:p w14:paraId="4F923DB8" w14:textId="4258A922" w:rsidR="00A77B3E" w:rsidRPr="00CF7FD4" w:rsidRDefault="000150D5" w:rsidP="00CF7FD4">
      <w:pPr>
        <w:snapToGrid w:val="0"/>
        <w:spacing w:line="360" w:lineRule="auto"/>
        <w:jc w:val="both"/>
      </w:pPr>
      <w:r w:rsidRPr="00CF7FD4">
        <w:rPr>
          <w:rFonts w:ascii="Book Antiqua" w:eastAsia="Book Antiqua" w:hAnsi="Book Antiqua" w:cs="Book Antiqua"/>
          <w:color w:val="000000"/>
        </w:rPr>
        <w:br w:type="page"/>
      </w:r>
      <w:r w:rsidR="0040151E" w:rsidRPr="00CF7FD4">
        <w:rPr>
          <w:noProof/>
          <w:lang w:eastAsia="zh-CN"/>
        </w:rPr>
        <w:lastRenderedPageBreak/>
        <w:drawing>
          <wp:inline distT="0" distB="0" distL="0" distR="0" wp14:anchorId="5E5D49DA" wp14:editId="78717376">
            <wp:extent cx="5943600" cy="3253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53105"/>
                    </a:xfrm>
                    <a:prstGeom prst="rect">
                      <a:avLst/>
                    </a:prstGeom>
                  </pic:spPr>
                </pic:pic>
              </a:graphicData>
            </a:graphic>
          </wp:inline>
        </w:drawing>
      </w:r>
    </w:p>
    <w:p w14:paraId="38161F8B" w14:textId="72BB36D9" w:rsidR="0040151E" w:rsidRPr="00CF7FD4" w:rsidRDefault="002045B7" w:rsidP="00CF7FD4">
      <w:pPr>
        <w:snapToGrid w:val="0"/>
        <w:spacing w:line="360" w:lineRule="auto"/>
        <w:jc w:val="both"/>
        <w:rPr>
          <w:rFonts w:ascii="Book Antiqua" w:eastAsia="Book Antiqua" w:hAnsi="Book Antiqua" w:cs="Book Antiqua"/>
          <w:color w:val="000000"/>
        </w:rPr>
      </w:pPr>
      <w:r w:rsidRPr="00CF7FD4">
        <w:rPr>
          <w:rFonts w:ascii="Book Antiqua" w:eastAsia="Book Antiqua" w:hAnsi="Book Antiqua" w:cs="Book Antiqua"/>
          <w:b/>
          <w:bCs/>
          <w:color w:val="000000"/>
        </w:rPr>
        <w:t xml:space="preserve">Figure 2 Boxplots representing the acute mobilization of each endothelial cellular population before and after a symptom limited maximal cardiopulmonary exercise testing between </w:t>
      </w:r>
      <w:r w:rsidR="00D3285F" w:rsidRPr="00CF7FD4">
        <w:rPr>
          <w:rFonts w:ascii="Book Antiqua" w:eastAsia="Book Antiqua" w:hAnsi="Book Antiqua" w:cs="Book Antiqua"/>
          <w:b/>
          <w:bCs/>
          <w:color w:val="000000"/>
        </w:rPr>
        <w:t>two</w:t>
      </w:r>
      <w:r w:rsidRPr="00CF7FD4">
        <w:rPr>
          <w:rFonts w:ascii="Book Antiqua" w:eastAsia="Book Antiqua" w:hAnsi="Book Antiqua" w:cs="Book Antiqua"/>
          <w:b/>
          <w:bCs/>
          <w:color w:val="000000"/>
        </w:rPr>
        <w:t xml:space="preserve"> severity groups according to the median value of peak </w:t>
      </w:r>
      <w:bookmarkStart w:id="0" w:name="_Hlk51854360"/>
      <w:r w:rsidR="0040151E" w:rsidRPr="00CF7FD4">
        <w:rPr>
          <w:rFonts w:ascii="Book Antiqua" w:eastAsia="Book Antiqua" w:hAnsi="Book Antiqua" w:cs="Book Antiqua"/>
          <w:b/>
          <w:bCs/>
          <w:color w:val="000000"/>
        </w:rPr>
        <w:t>oxygen uptake</w:t>
      </w:r>
      <w:bookmarkEnd w:id="0"/>
      <w:r w:rsidR="0040151E" w:rsidRPr="00CF7FD4">
        <w:rPr>
          <w:rFonts w:ascii="Book Antiqua" w:eastAsia="Book Antiqua" w:hAnsi="Book Antiqua" w:cs="Book Antiqua"/>
          <w:b/>
          <w:bCs/>
          <w:color w:val="000000"/>
        </w:rPr>
        <w:t>.</w:t>
      </w:r>
      <w:r w:rsidR="0040151E" w:rsidRPr="00CF7FD4">
        <w:rPr>
          <w:rFonts w:ascii="Book Antiqua" w:eastAsia="Book Antiqua" w:hAnsi="Book Antiqua" w:cs="Book Antiqua"/>
          <w:color w:val="000000"/>
        </w:rPr>
        <w:t xml:space="preserve"> </w:t>
      </w:r>
      <w:r w:rsidRPr="00CF7FD4">
        <w:rPr>
          <w:rFonts w:ascii="Book Antiqua" w:eastAsia="Book Antiqua" w:hAnsi="Book Antiqua" w:cs="Book Antiqua"/>
          <w:color w:val="000000"/>
        </w:rPr>
        <w:t xml:space="preserve">Group 1: </w:t>
      </w:r>
      <w:r w:rsidR="0040151E" w:rsidRPr="00CF7FD4">
        <w:rPr>
          <w:rFonts w:ascii="Book Antiqua" w:eastAsia="Book Antiqua" w:hAnsi="Book Antiqua" w:cs="Book Antiqua"/>
          <w:color w:val="000000"/>
        </w:rPr>
        <w:t>P</w:t>
      </w:r>
      <w:r w:rsidRPr="00CF7FD4">
        <w:rPr>
          <w:rFonts w:ascii="Book Antiqua" w:eastAsia="Book Antiqua" w:hAnsi="Book Antiqua" w:cs="Book Antiqua"/>
          <w:color w:val="000000"/>
        </w:rPr>
        <w:t xml:space="preserve">eak </w:t>
      </w:r>
      <w:r w:rsidR="0040151E" w:rsidRPr="00CF7FD4">
        <w:rPr>
          <w:rFonts w:ascii="Book Antiqua" w:eastAsia="Book Antiqua" w:hAnsi="Book Antiqua" w:cs="Book Antiqua"/>
          <w:color w:val="000000"/>
        </w:rPr>
        <w:t>oxygen uptake (VO</w:t>
      </w:r>
      <w:r w:rsidR="0040151E" w:rsidRPr="00CF7FD4">
        <w:rPr>
          <w:rFonts w:ascii="Book Antiqua" w:eastAsia="Book Antiqua" w:hAnsi="Book Antiqua" w:cs="Book Antiqua"/>
          <w:color w:val="000000"/>
          <w:vertAlign w:val="subscript"/>
        </w:rPr>
        <w:t>2</w:t>
      </w:r>
      <w:r w:rsidR="0040151E" w:rsidRPr="00CF7FD4">
        <w:rPr>
          <w:rFonts w:ascii="Book Antiqua" w:eastAsia="Book Antiqua" w:hAnsi="Book Antiqua" w:cs="Book Antiqua"/>
          <w:color w:val="000000"/>
        </w:rPr>
        <w:t>)</w:t>
      </w:r>
      <w:r w:rsidRPr="00CF7FD4">
        <w:rPr>
          <w:rFonts w:ascii="Book Antiqua" w:eastAsia="Book Antiqua" w:hAnsi="Book Antiqua" w:cs="Book Antiqua"/>
          <w:color w:val="000000"/>
        </w:rPr>
        <w:t xml:space="preserve"> &lt; 18.0 mL/kg/min; Group 2: </w:t>
      </w:r>
      <w:r w:rsidR="0040151E" w:rsidRPr="00CF7FD4">
        <w:rPr>
          <w:rFonts w:ascii="Book Antiqua" w:eastAsia="Book Antiqua" w:hAnsi="Book Antiqua" w:cs="Book Antiqua"/>
          <w:color w:val="000000"/>
        </w:rPr>
        <w:t>P</w:t>
      </w:r>
      <w:r w:rsidRPr="00CF7FD4">
        <w:rPr>
          <w:rFonts w:ascii="Book Antiqua" w:eastAsia="Book Antiqua" w:hAnsi="Book Antiqua" w:cs="Book Antiqua"/>
          <w:color w:val="000000"/>
        </w:rPr>
        <w:t>eak VO</w:t>
      </w:r>
      <w:r w:rsidRPr="00CF7FD4">
        <w:rPr>
          <w:rFonts w:ascii="Book Antiqua" w:eastAsia="Book Antiqua" w:hAnsi="Book Antiqua" w:cs="Book Antiqua"/>
          <w:color w:val="000000"/>
          <w:vertAlign w:val="subscript"/>
        </w:rPr>
        <w:t>2</w:t>
      </w:r>
      <w:r w:rsidRPr="00CF7FD4">
        <w:rPr>
          <w:rFonts w:ascii="Book Antiqua" w:eastAsia="Book Antiqua" w:hAnsi="Book Antiqua" w:cs="Book Antiqua"/>
          <w:color w:val="000000"/>
        </w:rPr>
        <w:t xml:space="preserve"> ≥ 18.0 mL/kg/min). </w:t>
      </w:r>
      <w:r w:rsidR="0040151E" w:rsidRPr="00CF7FD4">
        <w:rPr>
          <w:rFonts w:ascii="Book Antiqua" w:eastAsia="Book Antiqua" w:hAnsi="Book Antiqua" w:cs="Book Antiqua"/>
          <w:color w:val="000000"/>
          <w:vertAlign w:val="superscript"/>
        </w:rPr>
        <w:t>a</w:t>
      </w:r>
      <w:r w:rsidRPr="00CF7FD4">
        <w:rPr>
          <w:rFonts w:ascii="Book Antiqua" w:eastAsia="Book Antiqua" w:hAnsi="Book Antiqua" w:cs="Book Antiqua"/>
          <w:i/>
          <w:iCs/>
          <w:color w:val="000000"/>
        </w:rPr>
        <w:t>P</w:t>
      </w:r>
      <w:r w:rsidRPr="00CF7FD4">
        <w:rPr>
          <w:rFonts w:ascii="Book Antiqua" w:eastAsia="Book Antiqua" w:hAnsi="Book Antiqua" w:cs="Book Antiqua"/>
          <w:color w:val="000000"/>
        </w:rPr>
        <w:t xml:space="preserve"> &lt; 0.05</w:t>
      </w:r>
      <w:r w:rsidR="0040151E" w:rsidRPr="00CF7FD4">
        <w:rPr>
          <w:rFonts w:ascii="Book Antiqua" w:eastAsia="Book Antiqua" w:hAnsi="Book Antiqua" w:cs="Book Antiqua"/>
          <w:color w:val="000000"/>
        </w:rPr>
        <w:t xml:space="preserve"> indicates statistically significantly increase.</w:t>
      </w:r>
    </w:p>
    <w:p w14:paraId="78A429FE" w14:textId="1334212A" w:rsidR="00A77B3E" w:rsidRPr="00CF7FD4" w:rsidRDefault="00A61E8D" w:rsidP="00CF7FD4">
      <w:pPr>
        <w:snapToGrid w:val="0"/>
        <w:spacing w:line="360" w:lineRule="auto"/>
        <w:jc w:val="both"/>
        <w:rPr>
          <w:rFonts w:ascii="Book Antiqua" w:hAnsi="Book Antiqua"/>
          <w:b/>
          <w:bCs/>
        </w:rPr>
      </w:pPr>
      <w:r w:rsidRPr="00CF7FD4">
        <w:br w:type="page"/>
      </w:r>
      <w:r w:rsidRPr="00CF7FD4">
        <w:rPr>
          <w:rFonts w:ascii="Book Antiqua" w:hAnsi="Book Antiqua"/>
          <w:b/>
          <w:bCs/>
        </w:rPr>
        <w:lastRenderedPageBreak/>
        <w:t>Table 1 Demographic characteristics and maximal cardiopulmonary exercise testing ind</w:t>
      </w:r>
      <w:r w:rsidR="00AD1CFF" w:rsidRPr="00CF7FD4">
        <w:rPr>
          <w:rFonts w:ascii="Book Antiqua" w:hAnsi="Book Antiqua"/>
          <w:b/>
          <w:bCs/>
        </w:rPr>
        <w:t>ices</w:t>
      </w:r>
      <w:r w:rsidRPr="00CF7FD4">
        <w:rPr>
          <w:rFonts w:ascii="Book Antiqua" w:hAnsi="Book Antiqua"/>
          <w:b/>
          <w:bCs/>
        </w:rPr>
        <w:t xml:space="preserve"> of patients with chronic heart failure of different severity based on peak </w:t>
      </w:r>
      <w:r w:rsidRPr="00CF7FD4">
        <w:rPr>
          <w:rFonts w:ascii="Book Antiqua" w:eastAsia="Book Antiqua" w:hAnsi="Book Antiqua" w:cs="Book Antiqua"/>
          <w:b/>
          <w:bCs/>
          <w:color w:val="000000"/>
        </w:rPr>
        <w:t>oxygen uptake</w:t>
      </w:r>
    </w:p>
    <w:tbl>
      <w:tblPr>
        <w:tblW w:w="9123" w:type="dxa"/>
        <w:jc w:val="center"/>
        <w:tblBorders>
          <w:top w:val="single" w:sz="4" w:space="0" w:color="00000A"/>
          <w:bottom w:val="single" w:sz="4" w:space="0" w:color="00000A"/>
          <w:insideH w:val="single" w:sz="4" w:space="0" w:color="auto"/>
          <w:insideV w:val="single" w:sz="4" w:space="0" w:color="auto"/>
        </w:tblBorders>
        <w:tblLayout w:type="fixed"/>
        <w:tblLook w:val="00A0" w:firstRow="1" w:lastRow="0" w:firstColumn="1" w:lastColumn="0" w:noHBand="0" w:noVBand="0"/>
      </w:tblPr>
      <w:tblGrid>
        <w:gridCol w:w="5092"/>
        <w:gridCol w:w="90"/>
        <w:gridCol w:w="1632"/>
        <w:gridCol w:w="2309"/>
      </w:tblGrid>
      <w:tr w:rsidR="00A61E8D" w:rsidRPr="00CF7FD4" w14:paraId="72489BA6" w14:textId="77777777" w:rsidTr="00C34944">
        <w:trPr>
          <w:trHeight w:val="519"/>
          <w:jc w:val="center"/>
        </w:trPr>
        <w:tc>
          <w:tcPr>
            <w:tcW w:w="5092" w:type="dxa"/>
            <w:tcBorders>
              <w:top w:val="single" w:sz="4" w:space="0" w:color="auto"/>
              <w:bottom w:val="single" w:sz="4" w:space="0" w:color="auto"/>
              <w:right w:val="nil"/>
            </w:tcBorders>
            <w:shd w:val="clear" w:color="auto" w:fill="auto"/>
          </w:tcPr>
          <w:p w14:paraId="59FB6C4E"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Demographic characteristics</w:t>
            </w:r>
          </w:p>
        </w:tc>
        <w:tc>
          <w:tcPr>
            <w:tcW w:w="1722" w:type="dxa"/>
            <w:gridSpan w:val="2"/>
            <w:tcBorders>
              <w:top w:val="single" w:sz="4" w:space="0" w:color="auto"/>
              <w:left w:val="nil"/>
              <w:bottom w:val="single" w:sz="4" w:space="0" w:color="auto"/>
              <w:right w:val="nil"/>
            </w:tcBorders>
            <w:shd w:val="clear" w:color="auto" w:fill="auto"/>
          </w:tcPr>
          <w:p w14:paraId="1D76D90F"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Group 1</w:t>
            </w:r>
          </w:p>
        </w:tc>
        <w:tc>
          <w:tcPr>
            <w:tcW w:w="2309" w:type="dxa"/>
            <w:tcBorders>
              <w:top w:val="single" w:sz="4" w:space="0" w:color="auto"/>
              <w:left w:val="nil"/>
              <w:bottom w:val="single" w:sz="4" w:space="0" w:color="auto"/>
            </w:tcBorders>
            <w:shd w:val="clear" w:color="auto" w:fill="auto"/>
          </w:tcPr>
          <w:p w14:paraId="7371DD6D"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Group 2</w:t>
            </w:r>
          </w:p>
        </w:tc>
      </w:tr>
      <w:tr w:rsidR="00A61E8D" w:rsidRPr="00CF7FD4" w14:paraId="78D1D3A7" w14:textId="77777777" w:rsidTr="00C34944">
        <w:trPr>
          <w:jc w:val="center"/>
        </w:trPr>
        <w:tc>
          <w:tcPr>
            <w:tcW w:w="5092" w:type="dxa"/>
            <w:tcBorders>
              <w:top w:val="single" w:sz="4" w:space="0" w:color="auto"/>
              <w:bottom w:val="nil"/>
              <w:right w:val="nil"/>
            </w:tcBorders>
            <w:shd w:val="clear" w:color="auto" w:fill="auto"/>
          </w:tcPr>
          <w:p w14:paraId="668835A6" w14:textId="737E1C6A" w:rsidR="00A61E8D" w:rsidRPr="00CF7FD4" w:rsidRDefault="00A61E8D" w:rsidP="00CF7FD4">
            <w:pPr>
              <w:snapToGrid w:val="0"/>
              <w:spacing w:line="360" w:lineRule="auto"/>
              <w:jc w:val="both"/>
              <w:rPr>
                <w:rFonts w:ascii="Book Antiqua" w:hAnsi="Book Antiqua"/>
              </w:rPr>
            </w:pPr>
            <w:r w:rsidRPr="00CF7FD4">
              <w:rPr>
                <w:rFonts w:ascii="Book Antiqua" w:hAnsi="Book Antiqua"/>
              </w:rPr>
              <w:t>Patients</w:t>
            </w:r>
            <w:r w:rsidR="00CF7FD4">
              <w:rPr>
                <w:rFonts w:ascii="Book Antiqua" w:hAnsi="Book Antiqua"/>
              </w:rPr>
              <w:t>,</w:t>
            </w:r>
            <w:r w:rsidRPr="00CF7FD4">
              <w:rPr>
                <w:rFonts w:ascii="Book Antiqua" w:hAnsi="Book Antiqua"/>
              </w:rPr>
              <w:t xml:space="preserve"> </w:t>
            </w:r>
            <w:r w:rsidRPr="00CF7FD4">
              <w:rPr>
                <w:rFonts w:ascii="Book Antiqua" w:hAnsi="Book Antiqua"/>
                <w:i/>
                <w:iCs/>
              </w:rPr>
              <w:t>n</w:t>
            </w:r>
          </w:p>
        </w:tc>
        <w:tc>
          <w:tcPr>
            <w:tcW w:w="1722" w:type="dxa"/>
            <w:gridSpan w:val="2"/>
            <w:tcBorders>
              <w:top w:val="single" w:sz="4" w:space="0" w:color="auto"/>
              <w:left w:val="nil"/>
              <w:bottom w:val="nil"/>
              <w:right w:val="nil"/>
            </w:tcBorders>
            <w:shd w:val="clear" w:color="auto" w:fill="auto"/>
          </w:tcPr>
          <w:p w14:paraId="127F155F"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25</w:t>
            </w:r>
          </w:p>
        </w:tc>
        <w:tc>
          <w:tcPr>
            <w:tcW w:w="2309" w:type="dxa"/>
            <w:tcBorders>
              <w:top w:val="single" w:sz="4" w:space="0" w:color="auto"/>
              <w:left w:val="nil"/>
              <w:bottom w:val="nil"/>
            </w:tcBorders>
          </w:tcPr>
          <w:p w14:paraId="30639EDA"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24</w:t>
            </w:r>
          </w:p>
        </w:tc>
      </w:tr>
      <w:tr w:rsidR="00A61E8D" w:rsidRPr="00CF7FD4" w14:paraId="3F6C28B3" w14:textId="77777777" w:rsidTr="00C34944">
        <w:trPr>
          <w:jc w:val="center"/>
        </w:trPr>
        <w:tc>
          <w:tcPr>
            <w:tcW w:w="5092" w:type="dxa"/>
            <w:tcBorders>
              <w:top w:val="nil"/>
              <w:bottom w:val="nil"/>
              <w:right w:val="nil"/>
            </w:tcBorders>
            <w:shd w:val="clear" w:color="auto" w:fill="auto"/>
          </w:tcPr>
          <w:p w14:paraId="24B1B24B" w14:textId="6681204D" w:rsidR="00A61E8D" w:rsidRPr="00CF7FD4" w:rsidRDefault="00A61E8D" w:rsidP="00CF7FD4">
            <w:pPr>
              <w:snapToGrid w:val="0"/>
              <w:spacing w:line="360" w:lineRule="auto"/>
              <w:jc w:val="both"/>
              <w:rPr>
                <w:rFonts w:ascii="Book Antiqua" w:hAnsi="Book Antiqua"/>
              </w:rPr>
            </w:pPr>
            <w:r w:rsidRPr="00CF7FD4">
              <w:rPr>
                <w:rFonts w:ascii="Book Antiqua" w:hAnsi="Book Antiqua"/>
              </w:rPr>
              <w:t>Gender</w:t>
            </w:r>
            <w:r w:rsidR="00CF7FD4">
              <w:rPr>
                <w:rFonts w:ascii="Book Antiqua" w:hAnsi="Book Antiqua"/>
              </w:rPr>
              <w:t>,</w:t>
            </w:r>
            <w:r w:rsidRPr="00CF7FD4">
              <w:rPr>
                <w:rFonts w:ascii="Book Antiqua" w:hAnsi="Book Antiqua"/>
              </w:rPr>
              <w:t xml:space="preserve"> </w:t>
            </w:r>
            <w:r w:rsidR="00935490" w:rsidRPr="00CF7FD4">
              <w:rPr>
                <w:rFonts w:ascii="Book Antiqua" w:hAnsi="Book Antiqua"/>
                <w:iCs/>
              </w:rPr>
              <w:t>m</w:t>
            </w:r>
            <w:r w:rsidRPr="00CF7FD4">
              <w:rPr>
                <w:rFonts w:ascii="Book Antiqua" w:hAnsi="Book Antiqua"/>
                <w:iCs/>
              </w:rPr>
              <w:t>ales/</w:t>
            </w:r>
            <w:r w:rsidR="00935490" w:rsidRPr="00CF7FD4">
              <w:rPr>
                <w:rFonts w:ascii="Book Antiqua" w:hAnsi="Book Antiqua"/>
                <w:iCs/>
              </w:rPr>
              <w:t>f</w:t>
            </w:r>
            <w:r w:rsidRPr="00CF7FD4">
              <w:rPr>
                <w:rFonts w:ascii="Book Antiqua" w:hAnsi="Book Antiqua"/>
                <w:iCs/>
              </w:rPr>
              <w:t>emales</w:t>
            </w:r>
          </w:p>
        </w:tc>
        <w:tc>
          <w:tcPr>
            <w:tcW w:w="1722" w:type="dxa"/>
            <w:gridSpan w:val="2"/>
            <w:tcBorders>
              <w:top w:val="nil"/>
              <w:left w:val="nil"/>
              <w:bottom w:val="nil"/>
              <w:right w:val="nil"/>
            </w:tcBorders>
            <w:shd w:val="clear" w:color="auto" w:fill="auto"/>
          </w:tcPr>
          <w:p w14:paraId="5011AE34" w14:textId="06C4DA52" w:rsidR="00A61E8D" w:rsidRPr="00CF7FD4" w:rsidRDefault="00A61E8D" w:rsidP="00CF7FD4">
            <w:pPr>
              <w:snapToGrid w:val="0"/>
              <w:spacing w:line="360" w:lineRule="auto"/>
              <w:jc w:val="both"/>
              <w:rPr>
                <w:rFonts w:ascii="Book Antiqua" w:hAnsi="Book Antiqua"/>
              </w:rPr>
            </w:pPr>
            <w:r w:rsidRPr="00CF7FD4">
              <w:rPr>
                <w:rFonts w:ascii="Book Antiqua" w:hAnsi="Book Antiqua"/>
              </w:rPr>
              <w:t>21/4</w:t>
            </w:r>
          </w:p>
        </w:tc>
        <w:tc>
          <w:tcPr>
            <w:tcW w:w="2309" w:type="dxa"/>
            <w:tcBorders>
              <w:top w:val="nil"/>
              <w:left w:val="nil"/>
              <w:bottom w:val="nil"/>
            </w:tcBorders>
          </w:tcPr>
          <w:p w14:paraId="5154DB41" w14:textId="7730F33B" w:rsidR="00A61E8D" w:rsidRPr="00CF7FD4" w:rsidRDefault="00A61E8D" w:rsidP="00CF7FD4">
            <w:pPr>
              <w:snapToGrid w:val="0"/>
              <w:spacing w:line="360" w:lineRule="auto"/>
              <w:jc w:val="both"/>
              <w:rPr>
                <w:rFonts w:ascii="Book Antiqua" w:hAnsi="Book Antiqua"/>
              </w:rPr>
            </w:pPr>
            <w:r w:rsidRPr="00CF7FD4">
              <w:rPr>
                <w:rFonts w:ascii="Book Antiqua" w:hAnsi="Book Antiqua"/>
              </w:rPr>
              <w:t>20/4</w:t>
            </w:r>
          </w:p>
        </w:tc>
      </w:tr>
      <w:tr w:rsidR="00A61E8D" w:rsidRPr="00CF7FD4" w14:paraId="1A719C79" w14:textId="77777777" w:rsidTr="00C34944">
        <w:trPr>
          <w:jc w:val="center"/>
        </w:trPr>
        <w:tc>
          <w:tcPr>
            <w:tcW w:w="5092" w:type="dxa"/>
            <w:tcBorders>
              <w:top w:val="nil"/>
              <w:bottom w:val="nil"/>
              <w:right w:val="nil"/>
            </w:tcBorders>
            <w:shd w:val="clear" w:color="auto" w:fill="auto"/>
          </w:tcPr>
          <w:p w14:paraId="33623DEF" w14:textId="421AEFF7"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Age</w:t>
            </w:r>
            <w:r w:rsidR="00CF7FD4">
              <w:rPr>
                <w:rFonts w:ascii="Book Antiqua" w:hAnsi="Book Antiqua"/>
              </w:rPr>
              <w:t xml:space="preserve"> in</w:t>
            </w:r>
            <w:r w:rsidRPr="00CF7FD4">
              <w:rPr>
                <w:rFonts w:ascii="Book Antiqua" w:hAnsi="Book Antiqua"/>
              </w:rPr>
              <w:t xml:space="preserve"> yr</w:t>
            </w:r>
            <w:r w:rsidR="00853231" w:rsidRPr="00CF7FD4">
              <w:rPr>
                <w:rFonts w:ascii="Book Antiqua" w:hAnsi="Book Antiqua"/>
                <w:vertAlign w:val="superscript"/>
              </w:rPr>
              <w:t>1</w:t>
            </w:r>
          </w:p>
        </w:tc>
        <w:tc>
          <w:tcPr>
            <w:tcW w:w="1722" w:type="dxa"/>
            <w:gridSpan w:val="2"/>
            <w:tcBorders>
              <w:top w:val="nil"/>
              <w:left w:val="nil"/>
              <w:bottom w:val="nil"/>
              <w:right w:val="nil"/>
            </w:tcBorders>
            <w:shd w:val="clear" w:color="auto" w:fill="auto"/>
          </w:tcPr>
          <w:p w14:paraId="5AEECAAC" w14:textId="77777777" w:rsidR="00A61E8D" w:rsidRPr="00CF7FD4" w:rsidRDefault="00A61E8D" w:rsidP="00CF7FD4">
            <w:pPr>
              <w:snapToGrid w:val="0"/>
              <w:spacing w:line="360" w:lineRule="auto"/>
              <w:jc w:val="both"/>
              <w:rPr>
                <w:rFonts w:ascii="Book Antiqua" w:hAnsi="Book Antiqua"/>
                <w:highlight w:val="yellow"/>
              </w:rPr>
            </w:pPr>
            <w:r w:rsidRPr="00CF7FD4">
              <w:rPr>
                <w:rFonts w:ascii="Book Antiqua" w:hAnsi="Book Antiqua"/>
              </w:rPr>
              <w:t>57 ± 10</w:t>
            </w:r>
          </w:p>
        </w:tc>
        <w:tc>
          <w:tcPr>
            <w:tcW w:w="2309" w:type="dxa"/>
            <w:tcBorders>
              <w:top w:val="nil"/>
              <w:left w:val="nil"/>
              <w:bottom w:val="nil"/>
            </w:tcBorders>
          </w:tcPr>
          <w:p w14:paraId="15E201F4"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55 ± 9</w:t>
            </w:r>
          </w:p>
        </w:tc>
      </w:tr>
      <w:tr w:rsidR="00A61E8D" w:rsidRPr="00CF7FD4" w14:paraId="56B7C150" w14:textId="77777777" w:rsidTr="00C34944">
        <w:trPr>
          <w:jc w:val="center"/>
        </w:trPr>
        <w:tc>
          <w:tcPr>
            <w:tcW w:w="5092" w:type="dxa"/>
            <w:tcBorders>
              <w:top w:val="nil"/>
              <w:bottom w:val="nil"/>
              <w:right w:val="nil"/>
            </w:tcBorders>
            <w:shd w:val="clear" w:color="auto" w:fill="auto"/>
          </w:tcPr>
          <w:p w14:paraId="138C9597" w14:textId="00333C5C"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 xml:space="preserve">Height </w:t>
            </w:r>
            <w:r w:rsidR="00CF7FD4">
              <w:rPr>
                <w:rFonts w:ascii="Book Antiqua" w:hAnsi="Book Antiqua"/>
              </w:rPr>
              <w:t xml:space="preserve">in </w:t>
            </w:r>
            <w:r w:rsidRPr="00CF7FD4">
              <w:rPr>
                <w:rFonts w:ascii="Book Antiqua" w:hAnsi="Book Antiqua"/>
              </w:rPr>
              <w:t>cm</w:t>
            </w:r>
            <w:r w:rsidR="00853231" w:rsidRPr="00CF7FD4">
              <w:rPr>
                <w:rFonts w:ascii="Book Antiqua" w:hAnsi="Book Antiqua"/>
                <w:vertAlign w:val="superscript"/>
              </w:rPr>
              <w:t>1</w:t>
            </w:r>
          </w:p>
        </w:tc>
        <w:tc>
          <w:tcPr>
            <w:tcW w:w="1722" w:type="dxa"/>
            <w:gridSpan w:val="2"/>
            <w:tcBorders>
              <w:top w:val="nil"/>
              <w:left w:val="nil"/>
              <w:bottom w:val="nil"/>
              <w:right w:val="nil"/>
            </w:tcBorders>
            <w:shd w:val="clear" w:color="auto" w:fill="auto"/>
          </w:tcPr>
          <w:p w14:paraId="13538E36"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174 ± 11</w:t>
            </w:r>
          </w:p>
        </w:tc>
        <w:tc>
          <w:tcPr>
            <w:tcW w:w="2309" w:type="dxa"/>
            <w:tcBorders>
              <w:top w:val="nil"/>
              <w:left w:val="nil"/>
              <w:bottom w:val="nil"/>
            </w:tcBorders>
          </w:tcPr>
          <w:p w14:paraId="0783649E"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175 ± 9</w:t>
            </w:r>
          </w:p>
        </w:tc>
      </w:tr>
      <w:tr w:rsidR="00A61E8D" w:rsidRPr="00CF7FD4" w14:paraId="2E60C0D4" w14:textId="77777777" w:rsidTr="00C34944">
        <w:trPr>
          <w:jc w:val="center"/>
        </w:trPr>
        <w:tc>
          <w:tcPr>
            <w:tcW w:w="5092" w:type="dxa"/>
            <w:tcBorders>
              <w:top w:val="nil"/>
              <w:bottom w:val="nil"/>
              <w:right w:val="nil"/>
            </w:tcBorders>
            <w:shd w:val="clear" w:color="auto" w:fill="auto"/>
          </w:tcPr>
          <w:p w14:paraId="627FF194" w14:textId="23D8D8EB"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 xml:space="preserve">Weight </w:t>
            </w:r>
            <w:r w:rsidR="00CF7FD4">
              <w:rPr>
                <w:rFonts w:ascii="Book Antiqua" w:hAnsi="Book Antiqua"/>
              </w:rPr>
              <w:t xml:space="preserve">in </w:t>
            </w:r>
            <w:r w:rsidRPr="00CF7FD4">
              <w:rPr>
                <w:rFonts w:ascii="Book Antiqua" w:hAnsi="Book Antiqua"/>
              </w:rPr>
              <w:t>kg</w:t>
            </w:r>
            <w:r w:rsidR="00853231" w:rsidRPr="00CF7FD4">
              <w:rPr>
                <w:rFonts w:ascii="Book Antiqua" w:hAnsi="Book Antiqua"/>
                <w:vertAlign w:val="superscript"/>
              </w:rPr>
              <w:t>1</w:t>
            </w:r>
          </w:p>
        </w:tc>
        <w:tc>
          <w:tcPr>
            <w:tcW w:w="1722" w:type="dxa"/>
            <w:gridSpan w:val="2"/>
            <w:tcBorders>
              <w:top w:val="nil"/>
              <w:left w:val="nil"/>
              <w:bottom w:val="nil"/>
              <w:right w:val="nil"/>
            </w:tcBorders>
            <w:shd w:val="clear" w:color="auto" w:fill="auto"/>
          </w:tcPr>
          <w:p w14:paraId="61639A99"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92 ± 25</w:t>
            </w:r>
          </w:p>
        </w:tc>
        <w:tc>
          <w:tcPr>
            <w:tcW w:w="2309" w:type="dxa"/>
            <w:tcBorders>
              <w:top w:val="nil"/>
              <w:left w:val="nil"/>
              <w:bottom w:val="nil"/>
            </w:tcBorders>
          </w:tcPr>
          <w:p w14:paraId="452EC5A2"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87 ± 21</w:t>
            </w:r>
          </w:p>
        </w:tc>
      </w:tr>
      <w:tr w:rsidR="00A61E8D" w:rsidRPr="00CF7FD4" w14:paraId="464D87BD" w14:textId="77777777" w:rsidTr="00C34944">
        <w:trPr>
          <w:jc w:val="center"/>
        </w:trPr>
        <w:tc>
          <w:tcPr>
            <w:tcW w:w="5092" w:type="dxa"/>
            <w:tcBorders>
              <w:top w:val="nil"/>
              <w:bottom w:val="nil"/>
              <w:right w:val="nil"/>
            </w:tcBorders>
            <w:shd w:val="clear" w:color="auto" w:fill="auto"/>
          </w:tcPr>
          <w:p w14:paraId="50D24AD9" w14:textId="7E022561" w:rsidR="00A61E8D" w:rsidRPr="00CF7FD4" w:rsidRDefault="00A61E8D" w:rsidP="00CF7FD4">
            <w:pPr>
              <w:snapToGrid w:val="0"/>
              <w:spacing w:line="360" w:lineRule="auto"/>
              <w:jc w:val="both"/>
              <w:rPr>
                <w:rFonts w:ascii="Book Antiqua" w:hAnsi="Book Antiqua"/>
              </w:rPr>
            </w:pPr>
            <w:r w:rsidRPr="00CF7FD4">
              <w:rPr>
                <w:rFonts w:ascii="Book Antiqua" w:hAnsi="Book Antiqua"/>
              </w:rPr>
              <w:t>NYHA stage</w:t>
            </w:r>
            <w:r w:rsidR="00CF7FD4">
              <w:rPr>
                <w:rFonts w:ascii="Book Antiqua" w:hAnsi="Book Antiqua"/>
              </w:rPr>
              <w:t>,</w:t>
            </w:r>
            <w:r w:rsidRPr="00CF7FD4">
              <w:rPr>
                <w:rFonts w:ascii="Book Antiqua" w:hAnsi="Book Antiqua"/>
              </w:rPr>
              <w:t xml:space="preserve"> class II/III</w:t>
            </w:r>
          </w:p>
        </w:tc>
        <w:tc>
          <w:tcPr>
            <w:tcW w:w="1722" w:type="dxa"/>
            <w:gridSpan w:val="2"/>
            <w:tcBorders>
              <w:top w:val="nil"/>
              <w:left w:val="nil"/>
              <w:bottom w:val="nil"/>
              <w:right w:val="nil"/>
            </w:tcBorders>
            <w:shd w:val="clear" w:color="auto" w:fill="auto"/>
          </w:tcPr>
          <w:p w14:paraId="2E8E4BC3" w14:textId="3CB93029" w:rsidR="00A61E8D" w:rsidRPr="00CF7FD4" w:rsidRDefault="00A61E8D" w:rsidP="00CF7FD4">
            <w:pPr>
              <w:snapToGrid w:val="0"/>
              <w:spacing w:line="360" w:lineRule="auto"/>
              <w:jc w:val="both"/>
              <w:rPr>
                <w:rFonts w:ascii="Book Antiqua" w:hAnsi="Book Antiqua"/>
                <w:highlight w:val="yellow"/>
              </w:rPr>
            </w:pPr>
            <w:r w:rsidRPr="00CF7FD4">
              <w:rPr>
                <w:rFonts w:ascii="Book Antiqua" w:hAnsi="Book Antiqua"/>
              </w:rPr>
              <w:t>16/9</w:t>
            </w:r>
          </w:p>
        </w:tc>
        <w:tc>
          <w:tcPr>
            <w:tcW w:w="2309" w:type="dxa"/>
            <w:tcBorders>
              <w:top w:val="nil"/>
              <w:left w:val="nil"/>
              <w:bottom w:val="nil"/>
            </w:tcBorders>
          </w:tcPr>
          <w:p w14:paraId="23FD4505" w14:textId="75B17576" w:rsidR="00A61E8D" w:rsidRPr="00CF7FD4" w:rsidRDefault="00A61E8D" w:rsidP="00CF7FD4">
            <w:pPr>
              <w:snapToGrid w:val="0"/>
              <w:spacing w:line="360" w:lineRule="auto"/>
              <w:jc w:val="both"/>
              <w:rPr>
                <w:rFonts w:ascii="Book Antiqua" w:hAnsi="Book Antiqua"/>
              </w:rPr>
            </w:pPr>
            <w:r w:rsidRPr="00CF7FD4">
              <w:rPr>
                <w:rFonts w:ascii="Book Antiqua" w:hAnsi="Book Antiqua"/>
              </w:rPr>
              <w:t>18/6</w:t>
            </w:r>
          </w:p>
        </w:tc>
      </w:tr>
      <w:tr w:rsidR="00A61E8D" w:rsidRPr="00CF7FD4" w14:paraId="1D9E2FE8" w14:textId="77777777" w:rsidTr="00C34944">
        <w:trPr>
          <w:jc w:val="center"/>
        </w:trPr>
        <w:tc>
          <w:tcPr>
            <w:tcW w:w="5092" w:type="dxa"/>
            <w:tcBorders>
              <w:top w:val="nil"/>
              <w:bottom w:val="single" w:sz="4" w:space="0" w:color="auto"/>
              <w:right w:val="nil"/>
            </w:tcBorders>
            <w:shd w:val="clear" w:color="auto" w:fill="auto"/>
          </w:tcPr>
          <w:p w14:paraId="275D3CF9" w14:textId="2904A35A"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EF</w:t>
            </w:r>
            <w:r w:rsidR="00CF7FD4">
              <w:rPr>
                <w:rFonts w:ascii="Book Antiqua" w:hAnsi="Book Antiqua"/>
              </w:rPr>
              <w:t>,</w:t>
            </w:r>
            <w:r w:rsidRPr="00CF7FD4">
              <w:rPr>
                <w:rFonts w:ascii="Book Antiqua" w:hAnsi="Book Antiqua"/>
              </w:rPr>
              <w:t xml:space="preserve"> %</w:t>
            </w:r>
            <w:r w:rsidR="00853231" w:rsidRPr="00CF7FD4">
              <w:rPr>
                <w:rFonts w:ascii="Book Antiqua" w:hAnsi="Book Antiqua"/>
                <w:vertAlign w:val="superscript"/>
              </w:rPr>
              <w:t>1</w:t>
            </w:r>
          </w:p>
        </w:tc>
        <w:tc>
          <w:tcPr>
            <w:tcW w:w="1722" w:type="dxa"/>
            <w:gridSpan w:val="2"/>
            <w:tcBorders>
              <w:top w:val="nil"/>
              <w:left w:val="nil"/>
              <w:bottom w:val="single" w:sz="4" w:space="0" w:color="auto"/>
              <w:right w:val="nil"/>
            </w:tcBorders>
            <w:shd w:val="clear" w:color="auto" w:fill="auto"/>
          </w:tcPr>
          <w:p w14:paraId="3EF8D1BB"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32 ± 9</w:t>
            </w:r>
          </w:p>
        </w:tc>
        <w:tc>
          <w:tcPr>
            <w:tcW w:w="2309" w:type="dxa"/>
            <w:tcBorders>
              <w:top w:val="nil"/>
              <w:left w:val="nil"/>
              <w:bottom w:val="single" w:sz="4" w:space="0" w:color="auto"/>
            </w:tcBorders>
          </w:tcPr>
          <w:p w14:paraId="6A92D264"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32 ± 8</w:t>
            </w:r>
          </w:p>
        </w:tc>
      </w:tr>
      <w:tr w:rsidR="00A61E8D" w:rsidRPr="00CF7FD4" w14:paraId="21936AAD" w14:textId="77777777" w:rsidTr="00C34944">
        <w:trPr>
          <w:trHeight w:val="341"/>
          <w:jc w:val="center"/>
        </w:trPr>
        <w:tc>
          <w:tcPr>
            <w:tcW w:w="9123" w:type="dxa"/>
            <w:gridSpan w:val="4"/>
            <w:tcBorders>
              <w:top w:val="single" w:sz="4" w:space="0" w:color="auto"/>
              <w:bottom w:val="single" w:sz="4" w:space="0" w:color="auto"/>
            </w:tcBorders>
            <w:shd w:val="clear" w:color="auto" w:fill="auto"/>
          </w:tcPr>
          <w:p w14:paraId="58A08822"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Type of CHF</w:t>
            </w:r>
          </w:p>
        </w:tc>
      </w:tr>
      <w:tr w:rsidR="00A61E8D" w:rsidRPr="00CF7FD4" w14:paraId="7BC3BCE1" w14:textId="77777777" w:rsidTr="00C34944">
        <w:trPr>
          <w:jc w:val="center"/>
        </w:trPr>
        <w:tc>
          <w:tcPr>
            <w:tcW w:w="5182" w:type="dxa"/>
            <w:gridSpan w:val="2"/>
            <w:tcBorders>
              <w:top w:val="single" w:sz="4" w:space="0" w:color="auto"/>
              <w:bottom w:val="nil"/>
              <w:right w:val="nil"/>
            </w:tcBorders>
            <w:shd w:val="clear" w:color="auto" w:fill="auto"/>
          </w:tcPr>
          <w:p w14:paraId="2F703F06" w14:textId="19FBB7BF"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Dilated cardiomyopathy</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32" w:type="dxa"/>
            <w:tcBorders>
              <w:top w:val="single" w:sz="4" w:space="0" w:color="auto"/>
              <w:left w:val="nil"/>
              <w:bottom w:val="nil"/>
              <w:right w:val="nil"/>
            </w:tcBorders>
            <w:shd w:val="clear" w:color="auto" w:fill="auto"/>
          </w:tcPr>
          <w:p w14:paraId="002E8A4C" w14:textId="4E583A80" w:rsidR="00A61E8D" w:rsidRPr="00CF7FD4" w:rsidRDefault="00A61E8D" w:rsidP="00CF7FD4">
            <w:pPr>
              <w:snapToGrid w:val="0"/>
              <w:spacing w:line="360" w:lineRule="auto"/>
              <w:jc w:val="both"/>
              <w:rPr>
                <w:rFonts w:ascii="Book Antiqua" w:hAnsi="Book Antiqua"/>
              </w:rPr>
            </w:pPr>
            <w:r w:rsidRPr="00CF7FD4">
              <w:rPr>
                <w:rFonts w:ascii="Book Antiqua" w:hAnsi="Book Antiqua"/>
              </w:rPr>
              <w:t>7 (28)</w:t>
            </w:r>
          </w:p>
        </w:tc>
        <w:tc>
          <w:tcPr>
            <w:tcW w:w="2309" w:type="dxa"/>
            <w:tcBorders>
              <w:top w:val="single" w:sz="4" w:space="0" w:color="auto"/>
              <w:left w:val="nil"/>
              <w:bottom w:val="nil"/>
            </w:tcBorders>
          </w:tcPr>
          <w:p w14:paraId="147C332B" w14:textId="29C91027" w:rsidR="00A61E8D" w:rsidRPr="00CF7FD4" w:rsidRDefault="00A61E8D" w:rsidP="00CF7FD4">
            <w:pPr>
              <w:snapToGrid w:val="0"/>
              <w:spacing w:line="360" w:lineRule="auto"/>
              <w:jc w:val="both"/>
              <w:rPr>
                <w:rFonts w:ascii="Book Antiqua" w:hAnsi="Book Antiqua"/>
              </w:rPr>
            </w:pPr>
            <w:r w:rsidRPr="00CF7FD4">
              <w:rPr>
                <w:rFonts w:ascii="Book Antiqua" w:hAnsi="Book Antiqua"/>
              </w:rPr>
              <w:t>5 (21)</w:t>
            </w:r>
          </w:p>
        </w:tc>
      </w:tr>
      <w:tr w:rsidR="00A61E8D" w:rsidRPr="00CF7FD4" w14:paraId="7BEF6801" w14:textId="77777777" w:rsidTr="00C34944">
        <w:trPr>
          <w:jc w:val="center"/>
        </w:trPr>
        <w:tc>
          <w:tcPr>
            <w:tcW w:w="5182" w:type="dxa"/>
            <w:gridSpan w:val="2"/>
            <w:tcBorders>
              <w:top w:val="nil"/>
              <w:bottom w:val="nil"/>
              <w:right w:val="nil"/>
            </w:tcBorders>
            <w:shd w:val="clear" w:color="auto" w:fill="auto"/>
          </w:tcPr>
          <w:p w14:paraId="1F31FE28" w14:textId="635C2EF6"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Ischemic</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32" w:type="dxa"/>
            <w:tcBorders>
              <w:top w:val="nil"/>
              <w:left w:val="nil"/>
              <w:bottom w:val="nil"/>
              <w:right w:val="nil"/>
            </w:tcBorders>
            <w:shd w:val="clear" w:color="auto" w:fill="auto"/>
          </w:tcPr>
          <w:p w14:paraId="5BEFF84E" w14:textId="217D5EDE" w:rsidR="00A61E8D" w:rsidRPr="00CF7FD4" w:rsidRDefault="00A61E8D" w:rsidP="00CF7FD4">
            <w:pPr>
              <w:snapToGrid w:val="0"/>
              <w:spacing w:line="360" w:lineRule="auto"/>
              <w:jc w:val="both"/>
              <w:rPr>
                <w:rFonts w:ascii="Book Antiqua" w:hAnsi="Book Antiqua"/>
              </w:rPr>
            </w:pPr>
            <w:r w:rsidRPr="00CF7FD4">
              <w:rPr>
                <w:rFonts w:ascii="Book Antiqua" w:hAnsi="Book Antiqua"/>
              </w:rPr>
              <w:t>14 (56)</w:t>
            </w:r>
          </w:p>
        </w:tc>
        <w:tc>
          <w:tcPr>
            <w:tcW w:w="2309" w:type="dxa"/>
            <w:tcBorders>
              <w:top w:val="nil"/>
              <w:left w:val="nil"/>
              <w:bottom w:val="nil"/>
            </w:tcBorders>
          </w:tcPr>
          <w:p w14:paraId="2015B5E2" w14:textId="61AD350D" w:rsidR="00A61E8D" w:rsidRPr="00CF7FD4" w:rsidRDefault="00A61E8D" w:rsidP="00CF7FD4">
            <w:pPr>
              <w:snapToGrid w:val="0"/>
              <w:spacing w:line="360" w:lineRule="auto"/>
              <w:jc w:val="both"/>
              <w:rPr>
                <w:rFonts w:ascii="Book Antiqua" w:hAnsi="Book Antiqua"/>
              </w:rPr>
            </w:pPr>
            <w:r w:rsidRPr="00CF7FD4">
              <w:rPr>
                <w:rFonts w:ascii="Book Antiqua" w:hAnsi="Book Antiqua"/>
              </w:rPr>
              <w:t>15 (63)</w:t>
            </w:r>
          </w:p>
        </w:tc>
      </w:tr>
      <w:tr w:rsidR="00A61E8D" w:rsidRPr="00CF7FD4" w14:paraId="7D20E10E" w14:textId="77777777" w:rsidTr="00C34944">
        <w:trPr>
          <w:jc w:val="center"/>
        </w:trPr>
        <w:tc>
          <w:tcPr>
            <w:tcW w:w="5182" w:type="dxa"/>
            <w:gridSpan w:val="2"/>
            <w:tcBorders>
              <w:top w:val="nil"/>
              <w:bottom w:val="single" w:sz="4" w:space="0" w:color="auto"/>
              <w:right w:val="nil"/>
            </w:tcBorders>
            <w:shd w:val="clear" w:color="auto" w:fill="auto"/>
          </w:tcPr>
          <w:p w14:paraId="2A75E474" w14:textId="443D5ECC"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Other</w:t>
            </w:r>
            <w:r w:rsidR="00CF7FD4">
              <w:rPr>
                <w:rFonts w:ascii="Book Antiqua" w:hAnsi="Book Antiqua"/>
                <w:iCs/>
              </w:rPr>
              <w:t xml:space="preserve">, </w:t>
            </w:r>
            <w:r w:rsidR="00CF7FD4" w:rsidRPr="00162F0A">
              <w:rPr>
                <w:rFonts w:ascii="Book Antiqua" w:hAnsi="Book Antiqua"/>
                <w:i/>
              </w:rPr>
              <w:t>i.e</w:t>
            </w:r>
            <w:r w:rsidR="00CF7FD4">
              <w:rPr>
                <w:rFonts w:ascii="Book Antiqua" w:hAnsi="Book Antiqua"/>
                <w:iCs/>
              </w:rPr>
              <w:t xml:space="preserve">. </w:t>
            </w:r>
            <w:proofErr w:type="spellStart"/>
            <w:r w:rsidRPr="00CF7FD4">
              <w:rPr>
                <w:rFonts w:ascii="Book Antiqua" w:hAnsi="Book Antiqua"/>
                <w:iCs/>
              </w:rPr>
              <w:t>valvulopathy</w:t>
            </w:r>
            <w:proofErr w:type="spellEnd"/>
            <w:r w:rsidRPr="00CF7FD4">
              <w:rPr>
                <w:rFonts w:ascii="Book Antiqua" w:hAnsi="Book Antiqua"/>
                <w:iCs/>
              </w:rPr>
              <w:t xml:space="preserve">, </w:t>
            </w:r>
            <w:r w:rsidRPr="00CF7FD4">
              <w:rPr>
                <w:rFonts w:ascii="Book Antiqua" w:hAnsi="Book Antiqua"/>
                <w:i/>
              </w:rPr>
              <w:t>etc</w:t>
            </w:r>
            <w:r w:rsidR="005B5AC9" w:rsidRPr="00CF7FD4">
              <w:rPr>
                <w:rFonts w:ascii="Book Antiqua" w:hAnsi="Book Antiqua"/>
                <w:iCs/>
              </w:rPr>
              <w:t>.</w:t>
            </w:r>
            <w:r w:rsidR="00CF7FD4">
              <w:rPr>
                <w:rFonts w:ascii="Book Antiqua" w:hAnsi="Book Antiqua"/>
                <w:iCs/>
              </w:rPr>
              <w:t>,</w:t>
            </w:r>
            <w:r w:rsidRPr="00CF7FD4">
              <w:rPr>
                <w:rFonts w:ascii="Book Antiqua" w:hAnsi="Book Antiqua"/>
                <w:iCs/>
              </w:rPr>
              <w:t xml:space="preserve"> </w:t>
            </w:r>
            <w:r w:rsidRPr="00CF7FD4">
              <w:rPr>
                <w:rFonts w:ascii="Book Antiqua" w:hAnsi="Book Antiqua"/>
                <w:i/>
              </w:rPr>
              <w:t>n</w:t>
            </w:r>
            <w:r w:rsidRPr="00CF7FD4">
              <w:rPr>
                <w:rFonts w:ascii="Book Antiqua" w:hAnsi="Book Antiqua"/>
                <w:iCs/>
              </w:rPr>
              <w:t xml:space="preserve"> (%)</w:t>
            </w:r>
          </w:p>
        </w:tc>
        <w:tc>
          <w:tcPr>
            <w:tcW w:w="1632" w:type="dxa"/>
            <w:tcBorders>
              <w:top w:val="nil"/>
              <w:left w:val="nil"/>
              <w:bottom w:val="single" w:sz="4" w:space="0" w:color="auto"/>
              <w:right w:val="nil"/>
            </w:tcBorders>
            <w:shd w:val="clear" w:color="auto" w:fill="auto"/>
          </w:tcPr>
          <w:p w14:paraId="07C9F3CF" w14:textId="4009668B" w:rsidR="00A61E8D" w:rsidRPr="00CF7FD4" w:rsidRDefault="00A61E8D" w:rsidP="00CF7FD4">
            <w:pPr>
              <w:snapToGrid w:val="0"/>
              <w:spacing w:line="360" w:lineRule="auto"/>
              <w:jc w:val="both"/>
              <w:rPr>
                <w:rFonts w:ascii="Book Antiqua" w:hAnsi="Book Antiqua"/>
              </w:rPr>
            </w:pPr>
            <w:r w:rsidRPr="00CF7FD4">
              <w:rPr>
                <w:rFonts w:ascii="Book Antiqua" w:hAnsi="Book Antiqua"/>
              </w:rPr>
              <w:t>4 (16)</w:t>
            </w:r>
          </w:p>
        </w:tc>
        <w:tc>
          <w:tcPr>
            <w:tcW w:w="2309" w:type="dxa"/>
            <w:tcBorders>
              <w:top w:val="nil"/>
              <w:left w:val="nil"/>
              <w:bottom w:val="single" w:sz="4" w:space="0" w:color="auto"/>
            </w:tcBorders>
          </w:tcPr>
          <w:p w14:paraId="699B127B" w14:textId="4CD91BB9" w:rsidR="00A61E8D" w:rsidRPr="00CF7FD4" w:rsidRDefault="00A61E8D" w:rsidP="00CF7FD4">
            <w:pPr>
              <w:snapToGrid w:val="0"/>
              <w:spacing w:line="360" w:lineRule="auto"/>
              <w:jc w:val="both"/>
              <w:rPr>
                <w:rFonts w:ascii="Book Antiqua" w:hAnsi="Book Antiqua"/>
              </w:rPr>
            </w:pPr>
            <w:r w:rsidRPr="00CF7FD4">
              <w:rPr>
                <w:rFonts w:ascii="Book Antiqua" w:hAnsi="Book Antiqua"/>
              </w:rPr>
              <w:t>4 (17)</w:t>
            </w:r>
          </w:p>
        </w:tc>
      </w:tr>
      <w:tr w:rsidR="00A61E8D" w:rsidRPr="00CF7FD4" w14:paraId="115D04E0" w14:textId="77777777" w:rsidTr="00C34944">
        <w:trPr>
          <w:jc w:val="center"/>
        </w:trPr>
        <w:tc>
          <w:tcPr>
            <w:tcW w:w="9123" w:type="dxa"/>
            <w:gridSpan w:val="4"/>
            <w:tcBorders>
              <w:top w:val="single" w:sz="4" w:space="0" w:color="auto"/>
              <w:bottom w:val="single" w:sz="4" w:space="0" w:color="auto"/>
            </w:tcBorders>
            <w:shd w:val="clear" w:color="auto" w:fill="auto"/>
          </w:tcPr>
          <w:p w14:paraId="7166D742"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Medication</w:t>
            </w:r>
          </w:p>
        </w:tc>
      </w:tr>
      <w:tr w:rsidR="00A61E8D" w:rsidRPr="00CF7FD4" w14:paraId="7FB8657F" w14:textId="77777777" w:rsidTr="00C34944">
        <w:trPr>
          <w:jc w:val="center"/>
        </w:trPr>
        <w:tc>
          <w:tcPr>
            <w:tcW w:w="5092" w:type="dxa"/>
            <w:tcBorders>
              <w:top w:val="single" w:sz="4" w:space="0" w:color="auto"/>
              <w:bottom w:val="nil"/>
              <w:right w:val="nil"/>
            </w:tcBorders>
            <w:shd w:val="clear" w:color="auto" w:fill="auto"/>
          </w:tcPr>
          <w:p w14:paraId="3890CFA1" w14:textId="438E8BAB"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Diuretics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722" w:type="dxa"/>
            <w:gridSpan w:val="2"/>
            <w:tcBorders>
              <w:top w:val="single" w:sz="4" w:space="0" w:color="auto"/>
              <w:left w:val="nil"/>
              <w:bottom w:val="nil"/>
              <w:right w:val="nil"/>
            </w:tcBorders>
            <w:shd w:val="clear" w:color="auto" w:fill="auto"/>
          </w:tcPr>
          <w:p w14:paraId="267A2D8E" w14:textId="07750282" w:rsidR="00A61E8D" w:rsidRPr="00CF7FD4" w:rsidRDefault="00A61E8D" w:rsidP="00CF7FD4">
            <w:pPr>
              <w:snapToGrid w:val="0"/>
              <w:spacing w:line="360" w:lineRule="auto"/>
              <w:jc w:val="both"/>
              <w:rPr>
                <w:rFonts w:ascii="Book Antiqua" w:hAnsi="Book Antiqua"/>
              </w:rPr>
            </w:pPr>
            <w:r w:rsidRPr="00CF7FD4">
              <w:rPr>
                <w:rFonts w:ascii="Book Antiqua" w:hAnsi="Book Antiqua"/>
              </w:rPr>
              <w:t>19 (76)</w:t>
            </w:r>
          </w:p>
        </w:tc>
        <w:tc>
          <w:tcPr>
            <w:tcW w:w="2309" w:type="dxa"/>
            <w:tcBorders>
              <w:top w:val="single" w:sz="4" w:space="0" w:color="auto"/>
              <w:left w:val="nil"/>
              <w:bottom w:val="nil"/>
            </w:tcBorders>
          </w:tcPr>
          <w:p w14:paraId="383260CD" w14:textId="2EEDDE24" w:rsidR="00A61E8D" w:rsidRPr="00CF7FD4" w:rsidRDefault="00A61E8D" w:rsidP="00CF7FD4">
            <w:pPr>
              <w:snapToGrid w:val="0"/>
              <w:spacing w:line="360" w:lineRule="auto"/>
              <w:jc w:val="both"/>
              <w:rPr>
                <w:rFonts w:ascii="Book Antiqua" w:hAnsi="Book Antiqua"/>
              </w:rPr>
            </w:pPr>
            <w:r w:rsidRPr="00CF7FD4">
              <w:rPr>
                <w:rFonts w:ascii="Book Antiqua" w:hAnsi="Book Antiqua"/>
              </w:rPr>
              <w:t>13 (54)</w:t>
            </w:r>
          </w:p>
        </w:tc>
      </w:tr>
      <w:tr w:rsidR="00A61E8D" w:rsidRPr="00CF7FD4" w14:paraId="0EBE5FF5" w14:textId="77777777" w:rsidTr="00C34944">
        <w:trPr>
          <w:jc w:val="center"/>
        </w:trPr>
        <w:tc>
          <w:tcPr>
            <w:tcW w:w="5092" w:type="dxa"/>
            <w:tcBorders>
              <w:top w:val="nil"/>
              <w:bottom w:val="nil"/>
              <w:right w:val="nil"/>
            </w:tcBorders>
            <w:shd w:val="clear" w:color="auto" w:fill="auto"/>
          </w:tcPr>
          <w:p w14:paraId="601AAED9" w14:textId="1AFFA406"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ACE inhibitors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722" w:type="dxa"/>
            <w:gridSpan w:val="2"/>
            <w:tcBorders>
              <w:top w:val="nil"/>
              <w:left w:val="nil"/>
              <w:bottom w:val="nil"/>
              <w:right w:val="nil"/>
            </w:tcBorders>
            <w:shd w:val="clear" w:color="auto" w:fill="auto"/>
          </w:tcPr>
          <w:p w14:paraId="7AB2A274" w14:textId="756B6C21" w:rsidR="00A61E8D" w:rsidRPr="00CF7FD4" w:rsidRDefault="00A61E8D" w:rsidP="00CF7FD4">
            <w:pPr>
              <w:snapToGrid w:val="0"/>
              <w:spacing w:line="360" w:lineRule="auto"/>
              <w:jc w:val="both"/>
              <w:rPr>
                <w:rFonts w:ascii="Book Antiqua" w:hAnsi="Book Antiqua"/>
              </w:rPr>
            </w:pPr>
            <w:r w:rsidRPr="00CF7FD4">
              <w:rPr>
                <w:rFonts w:ascii="Book Antiqua" w:hAnsi="Book Antiqua"/>
              </w:rPr>
              <w:t>11 (44)</w:t>
            </w:r>
          </w:p>
        </w:tc>
        <w:tc>
          <w:tcPr>
            <w:tcW w:w="2309" w:type="dxa"/>
            <w:tcBorders>
              <w:top w:val="nil"/>
              <w:left w:val="nil"/>
              <w:bottom w:val="nil"/>
            </w:tcBorders>
          </w:tcPr>
          <w:p w14:paraId="320F445D" w14:textId="766FC54B" w:rsidR="00A61E8D" w:rsidRPr="00CF7FD4" w:rsidRDefault="00A61E8D" w:rsidP="00CF7FD4">
            <w:pPr>
              <w:snapToGrid w:val="0"/>
              <w:spacing w:line="360" w:lineRule="auto"/>
              <w:jc w:val="both"/>
              <w:rPr>
                <w:rFonts w:ascii="Book Antiqua" w:hAnsi="Book Antiqua"/>
              </w:rPr>
            </w:pPr>
            <w:r w:rsidRPr="00CF7FD4">
              <w:rPr>
                <w:rFonts w:ascii="Book Antiqua" w:hAnsi="Book Antiqua"/>
              </w:rPr>
              <w:t>13 (54)</w:t>
            </w:r>
          </w:p>
        </w:tc>
      </w:tr>
      <w:tr w:rsidR="00A61E8D" w:rsidRPr="00CF7FD4" w14:paraId="11971834" w14:textId="77777777" w:rsidTr="00C34944">
        <w:trPr>
          <w:jc w:val="center"/>
        </w:trPr>
        <w:tc>
          <w:tcPr>
            <w:tcW w:w="5092" w:type="dxa"/>
            <w:tcBorders>
              <w:top w:val="nil"/>
              <w:bottom w:val="nil"/>
              <w:right w:val="nil"/>
            </w:tcBorders>
            <w:shd w:val="clear" w:color="auto" w:fill="auto"/>
          </w:tcPr>
          <w:p w14:paraId="3873E803" w14:textId="3D9B18BF" w:rsidR="00A61E8D" w:rsidRPr="00CF7FD4" w:rsidRDefault="00A61E8D" w:rsidP="00CF7FD4">
            <w:pPr>
              <w:snapToGrid w:val="0"/>
              <w:spacing w:line="360" w:lineRule="auto"/>
              <w:jc w:val="both"/>
              <w:rPr>
                <w:rFonts w:ascii="Book Antiqua" w:hAnsi="Book Antiqua"/>
                <w:iCs/>
              </w:rPr>
            </w:pPr>
            <w:r w:rsidRPr="00CF7FD4">
              <w:rPr>
                <w:rFonts w:ascii="Book Antiqua" w:hAnsi="Book Antiqua"/>
                <w:iCs/>
              </w:rPr>
              <w:t>ARBs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722" w:type="dxa"/>
            <w:gridSpan w:val="2"/>
            <w:tcBorders>
              <w:top w:val="nil"/>
              <w:left w:val="nil"/>
              <w:bottom w:val="nil"/>
              <w:right w:val="nil"/>
            </w:tcBorders>
            <w:shd w:val="clear" w:color="auto" w:fill="auto"/>
          </w:tcPr>
          <w:p w14:paraId="519882CC" w14:textId="74A19203" w:rsidR="00A61E8D" w:rsidRPr="00CF7FD4" w:rsidRDefault="00A61E8D" w:rsidP="00CF7FD4">
            <w:pPr>
              <w:snapToGrid w:val="0"/>
              <w:spacing w:line="360" w:lineRule="auto"/>
              <w:jc w:val="both"/>
              <w:rPr>
                <w:rFonts w:ascii="Book Antiqua" w:hAnsi="Book Antiqua"/>
              </w:rPr>
            </w:pPr>
            <w:r w:rsidRPr="00CF7FD4">
              <w:rPr>
                <w:rFonts w:ascii="Book Antiqua" w:hAnsi="Book Antiqua"/>
              </w:rPr>
              <w:t>5 (20)</w:t>
            </w:r>
          </w:p>
        </w:tc>
        <w:tc>
          <w:tcPr>
            <w:tcW w:w="2309" w:type="dxa"/>
            <w:tcBorders>
              <w:top w:val="nil"/>
              <w:left w:val="nil"/>
              <w:bottom w:val="nil"/>
            </w:tcBorders>
          </w:tcPr>
          <w:p w14:paraId="62DE9F6E" w14:textId="38F0D39F" w:rsidR="00A61E8D" w:rsidRPr="00CF7FD4" w:rsidRDefault="00A61E8D" w:rsidP="00CF7FD4">
            <w:pPr>
              <w:snapToGrid w:val="0"/>
              <w:spacing w:line="360" w:lineRule="auto"/>
              <w:jc w:val="both"/>
              <w:rPr>
                <w:rFonts w:ascii="Book Antiqua" w:hAnsi="Book Antiqua"/>
              </w:rPr>
            </w:pPr>
            <w:r w:rsidRPr="00CF7FD4">
              <w:rPr>
                <w:rFonts w:ascii="Book Antiqua" w:hAnsi="Book Antiqua"/>
              </w:rPr>
              <w:t>2 (8)</w:t>
            </w:r>
          </w:p>
        </w:tc>
      </w:tr>
      <w:tr w:rsidR="00A61E8D" w:rsidRPr="00CF7FD4" w14:paraId="4AC62DFB" w14:textId="77777777" w:rsidTr="00C34944">
        <w:trPr>
          <w:jc w:val="center"/>
        </w:trPr>
        <w:tc>
          <w:tcPr>
            <w:tcW w:w="5092" w:type="dxa"/>
            <w:tcBorders>
              <w:top w:val="nil"/>
              <w:bottom w:val="nil"/>
              <w:right w:val="nil"/>
            </w:tcBorders>
            <w:shd w:val="clear" w:color="auto" w:fill="auto"/>
          </w:tcPr>
          <w:p w14:paraId="6C88432D" w14:textId="4FCC0BCC" w:rsidR="00A61E8D" w:rsidRPr="00CF7FD4" w:rsidRDefault="00A61E8D" w:rsidP="00CF7FD4">
            <w:pPr>
              <w:snapToGrid w:val="0"/>
              <w:spacing w:line="360" w:lineRule="auto"/>
              <w:jc w:val="both"/>
              <w:rPr>
                <w:rFonts w:ascii="Book Antiqua" w:hAnsi="Book Antiqua"/>
                <w:iCs/>
              </w:rPr>
            </w:pPr>
            <w:r w:rsidRPr="00162F0A">
              <w:rPr>
                <w:rFonts w:ascii="Symbol" w:hAnsi="Symbol"/>
                <w:iCs/>
              </w:rPr>
              <w:t>b</w:t>
            </w:r>
            <w:r w:rsidR="00CF7FD4">
              <w:rPr>
                <w:rFonts w:ascii="Book Antiqua" w:hAnsi="Book Antiqua"/>
                <w:iCs/>
              </w:rPr>
              <w:t>-</w:t>
            </w:r>
            <w:r w:rsidRPr="00CF7FD4">
              <w:rPr>
                <w:rFonts w:ascii="Book Antiqua" w:hAnsi="Book Antiqua"/>
                <w:iCs/>
              </w:rPr>
              <w:t>Blockers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722" w:type="dxa"/>
            <w:gridSpan w:val="2"/>
            <w:tcBorders>
              <w:top w:val="nil"/>
              <w:left w:val="nil"/>
              <w:bottom w:val="nil"/>
              <w:right w:val="nil"/>
            </w:tcBorders>
            <w:shd w:val="clear" w:color="auto" w:fill="auto"/>
          </w:tcPr>
          <w:p w14:paraId="42860FB5" w14:textId="19372C0C" w:rsidR="00A61E8D" w:rsidRPr="00CF7FD4" w:rsidRDefault="00A61E8D" w:rsidP="00CF7FD4">
            <w:pPr>
              <w:snapToGrid w:val="0"/>
              <w:spacing w:line="360" w:lineRule="auto"/>
              <w:jc w:val="both"/>
              <w:rPr>
                <w:rFonts w:ascii="Book Antiqua" w:hAnsi="Book Antiqua"/>
              </w:rPr>
            </w:pPr>
            <w:r w:rsidRPr="00CF7FD4">
              <w:rPr>
                <w:rFonts w:ascii="Book Antiqua" w:hAnsi="Book Antiqua"/>
              </w:rPr>
              <w:t>25 (100)</w:t>
            </w:r>
          </w:p>
        </w:tc>
        <w:tc>
          <w:tcPr>
            <w:tcW w:w="2309" w:type="dxa"/>
            <w:tcBorders>
              <w:top w:val="nil"/>
              <w:left w:val="nil"/>
              <w:bottom w:val="nil"/>
            </w:tcBorders>
          </w:tcPr>
          <w:p w14:paraId="2C155E0F" w14:textId="09F33A88" w:rsidR="00A61E8D" w:rsidRPr="00CF7FD4" w:rsidRDefault="00A61E8D" w:rsidP="00CF7FD4">
            <w:pPr>
              <w:snapToGrid w:val="0"/>
              <w:spacing w:line="360" w:lineRule="auto"/>
              <w:jc w:val="both"/>
              <w:rPr>
                <w:rFonts w:ascii="Book Antiqua" w:hAnsi="Book Antiqua"/>
              </w:rPr>
            </w:pPr>
            <w:r w:rsidRPr="00CF7FD4">
              <w:rPr>
                <w:rFonts w:ascii="Book Antiqua" w:hAnsi="Book Antiqua"/>
              </w:rPr>
              <w:t>23 (96)</w:t>
            </w:r>
          </w:p>
        </w:tc>
      </w:tr>
      <w:tr w:rsidR="00A61E8D" w:rsidRPr="00CF7FD4" w14:paraId="72C269DF" w14:textId="77777777" w:rsidTr="00C34944">
        <w:trPr>
          <w:jc w:val="center"/>
        </w:trPr>
        <w:tc>
          <w:tcPr>
            <w:tcW w:w="5092" w:type="dxa"/>
            <w:tcBorders>
              <w:top w:val="nil"/>
              <w:bottom w:val="nil"/>
              <w:right w:val="nil"/>
            </w:tcBorders>
            <w:shd w:val="clear" w:color="auto" w:fill="auto"/>
          </w:tcPr>
          <w:p w14:paraId="2FDEC96E" w14:textId="25432B91" w:rsidR="00A61E8D" w:rsidRPr="00CF7FD4" w:rsidRDefault="00A61E8D" w:rsidP="00CF7FD4">
            <w:pPr>
              <w:snapToGrid w:val="0"/>
              <w:spacing w:line="360" w:lineRule="auto"/>
              <w:ind w:right="-108"/>
              <w:jc w:val="both"/>
              <w:rPr>
                <w:rFonts w:ascii="Book Antiqua" w:hAnsi="Book Antiqua"/>
                <w:iCs/>
              </w:rPr>
            </w:pPr>
            <w:r w:rsidRPr="00CF7FD4">
              <w:rPr>
                <w:rFonts w:ascii="Book Antiqua" w:hAnsi="Book Antiqua"/>
                <w:iCs/>
              </w:rPr>
              <w:t xml:space="preserve">Aldosterone </w:t>
            </w:r>
            <w:r w:rsidR="00935490" w:rsidRPr="00CF7FD4">
              <w:rPr>
                <w:rFonts w:ascii="Book Antiqua" w:hAnsi="Book Antiqua"/>
                <w:iCs/>
              </w:rPr>
              <w:t>a</w:t>
            </w:r>
            <w:r w:rsidRPr="00CF7FD4">
              <w:rPr>
                <w:rFonts w:ascii="Book Antiqua" w:hAnsi="Book Antiqua"/>
                <w:iCs/>
              </w:rPr>
              <w:t>ntagonists</w:t>
            </w:r>
            <w:r w:rsidR="00CF7FD4">
              <w:rPr>
                <w:rFonts w:ascii="Book Antiqua" w:hAnsi="Book Antiqua"/>
                <w:iCs/>
              </w:rPr>
              <w:t>,</w:t>
            </w:r>
            <w:r w:rsidR="00CF7FD4" w:rsidRPr="00CF7FD4">
              <w:rPr>
                <w:rFonts w:ascii="Book Antiqua" w:hAnsi="Book Antiqua"/>
                <w:iCs/>
              </w:rPr>
              <w:t xml:space="preserve"> </w:t>
            </w:r>
            <w:r w:rsidR="00CF7FD4" w:rsidRPr="00CF7FD4">
              <w:rPr>
                <w:rFonts w:ascii="Book Antiqua" w:hAnsi="Book Antiqua"/>
                <w:i/>
              </w:rPr>
              <w:t>n</w:t>
            </w:r>
            <w:r w:rsidR="00CF7FD4" w:rsidRPr="00CF7FD4">
              <w:rPr>
                <w:rFonts w:ascii="Book Antiqua" w:hAnsi="Book Antiqua"/>
                <w:iCs/>
              </w:rPr>
              <w:t xml:space="preserve"> (%)</w:t>
            </w:r>
          </w:p>
        </w:tc>
        <w:tc>
          <w:tcPr>
            <w:tcW w:w="1722" w:type="dxa"/>
            <w:gridSpan w:val="2"/>
            <w:tcBorders>
              <w:top w:val="nil"/>
              <w:left w:val="nil"/>
              <w:bottom w:val="nil"/>
              <w:right w:val="nil"/>
            </w:tcBorders>
            <w:shd w:val="clear" w:color="auto" w:fill="auto"/>
          </w:tcPr>
          <w:p w14:paraId="10E2533C" w14:textId="0485B9D7" w:rsidR="00A61E8D" w:rsidRPr="00CF7FD4" w:rsidRDefault="00A61E8D" w:rsidP="00CF7FD4">
            <w:pPr>
              <w:snapToGrid w:val="0"/>
              <w:spacing w:line="360" w:lineRule="auto"/>
              <w:jc w:val="both"/>
              <w:rPr>
                <w:rFonts w:ascii="Book Antiqua" w:hAnsi="Book Antiqua"/>
              </w:rPr>
            </w:pPr>
            <w:r w:rsidRPr="00CF7FD4">
              <w:rPr>
                <w:rFonts w:ascii="Book Antiqua" w:hAnsi="Book Antiqua"/>
              </w:rPr>
              <w:t>19 (76)</w:t>
            </w:r>
          </w:p>
        </w:tc>
        <w:tc>
          <w:tcPr>
            <w:tcW w:w="2309" w:type="dxa"/>
            <w:tcBorders>
              <w:top w:val="nil"/>
              <w:left w:val="nil"/>
              <w:bottom w:val="nil"/>
            </w:tcBorders>
          </w:tcPr>
          <w:p w14:paraId="559FE935" w14:textId="5319169F" w:rsidR="00A61E8D" w:rsidRPr="00CF7FD4" w:rsidRDefault="00A61E8D" w:rsidP="00CF7FD4">
            <w:pPr>
              <w:snapToGrid w:val="0"/>
              <w:spacing w:line="360" w:lineRule="auto"/>
              <w:jc w:val="both"/>
              <w:rPr>
                <w:rFonts w:ascii="Book Antiqua" w:hAnsi="Book Antiqua"/>
              </w:rPr>
            </w:pPr>
            <w:r w:rsidRPr="00CF7FD4">
              <w:rPr>
                <w:rFonts w:ascii="Book Antiqua" w:hAnsi="Book Antiqua"/>
              </w:rPr>
              <w:t>18 (75)</w:t>
            </w:r>
          </w:p>
        </w:tc>
      </w:tr>
      <w:tr w:rsidR="00A61E8D" w:rsidRPr="00CF7FD4" w14:paraId="5653F2DE" w14:textId="77777777" w:rsidTr="00C34944">
        <w:trPr>
          <w:jc w:val="center"/>
        </w:trPr>
        <w:tc>
          <w:tcPr>
            <w:tcW w:w="9123" w:type="dxa"/>
            <w:gridSpan w:val="4"/>
            <w:tcBorders>
              <w:top w:val="single" w:sz="4" w:space="0" w:color="auto"/>
              <w:bottom w:val="single" w:sz="4" w:space="0" w:color="auto"/>
            </w:tcBorders>
            <w:shd w:val="clear" w:color="auto" w:fill="auto"/>
          </w:tcPr>
          <w:p w14:paraId="27648520" w14:textId="77777777" w:rsidR="00A61E8D" w:rsidRPr="00CF7FD4" w:rsidRDefault="00A61E8D" w:rsidP="00CF7FD4">
            <w:pPr>
              <w:snapToGrid w:val="0"/>
              <w:spacing w:line="360" w:lineRule="auto"/>
              <w:jc w:val="both"/>
              <w:rPr>
                <w:rFonts w:ascii="Book Antiqua" w:hAnsi="Book Antiqua"/>
                <w:b/>
              </w:rPr>
            </w:pPr>
            <w:r w:rsidRPr="00CF7FD4">
              <w:rPr>
                <w:rFonts w:ascii="Book Antiqua" w:hAnsi="Book Antiqua"/>
                <w:b/>
              </w:rPr>
              <w:t>Cardiopulmonary exercise testing parameters</w:t>
            </w:r>
          </w:p>
        </w:tc>
      </w:tr>
      <w:tr w:rsidR="00A61E8D" w:rsidRPr="00CF7FD4" w14:paraId="5744E502" w14:textId="77777777" w:rsidTr="00C34944">
        <w:trPr>
          <w:jc w:val="center"/>
        </w:trPr>
        <w:tc>
          <w:tcPr>
            <w:tcW w:w="5182" w:type="dxa"/>
            <w:gridSpan w:val="2"/>
            <w:tcBorders>
              <w:top w:val="single" w:sz="4" w:space="0" w:color="auto"/>
              <w:bottom w:val="nil"/>
              <w:right w:val="nil"/>
            </w:tcBorders>
            <w:shd w:val="clear" w:color="auto" w:fill="auto"/>
          </w:tcPr>
          <w:p w14:paraId="6D990B1C" w14:textId="01BA7374"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w:t>
            </w:r>
            <w:r w:rsidR="00CF7FD4">
              <w:rPr>
                <w:rFonts w:ascii="Book Antiqua" w:hAnsi="Book Antiqua"/>
              </w:rPr>
              <w:t xml:space="preserve">in </w:t>
            </w:r>
            <w:r w:rsidRPr="00CF7FD4">
              <w:rPr>
                <w:rFonts w:ascii="Book Antiqua" w:hAnsi="Book Antiqua"/>
              </w:rPr>
              <w:t>m</w:t>
            </w:r>
            <w:r w:rsidR="005B5AC9" w:rsidRPr="00CF7FD4">
              <w:rPr>
                <w:rFonts w:ascii="Book Antiqua" w:hAnsi="Book Antiqua"/>
              </w:rPr>
              <w:t>L</w:t>
            </w:r>
            <w:r w:rsidRPr="00CF7FD4">
              <w:rPr>
                <w:rFonts w:ascii="Book Antiqua" w:hAnsi="Book Antiqua"/>
              </w:rPr>
              <w:t>/kg/min</w:t>
            </w:r>
            <w:r w:rsidR="00853231" w:rsidRPr="00CF7FD4">
              <w:rPr>
                <w:rFonts w:ascii="Book Antiqua" w:hAnsi="Book Antiqua"/>
                <w:vertAlign w:val="superscript"/>
              </w:rPr>
              <w:t>1</w:t>
            </w:r>
          </w:p>
        </w:tc>
        <w:tc>
          <w:tcPr>
            <w:tcW w:w="1632" w:type="dxa"/>
            <w:tcBorders>
              <w:top w:val="single" w:sz="4" w:space="0" w:color="auto"/>
              <w:left w:val="nil"/>
              <w:bottom w:val="nil"/>
              <w:right w:val="nil"/>
            </w:tcBorders>
            <w:shd w:val="clear" w:color="auto" w:fill="auto"/>
          </w:tcPr>
          <w:p w14:paraId="234C108F" w14:textId="4D463B48" w:rsidR="00A61E8D" w:rsidRPr="00CF7FD4" w:rsidRDefault="00A61E8D" w:rsidP="00CF7FD4">
            <w:pPr>
              <w:snapToGrid w:val="0"/>
              <w:spacing w:line="360" w:lineRule="auto"/>
              <w:jc w:val="both"/>
              <w:rPr>
                <w:rFonts w:ascii="Book Antiqua" w:hAnsi="Book Antiqua"/>
              </w:rPr>
            </w:pPr>
            <w:r w:rsidRPr="00CF7FD4">
              <w:rPr>
                <w:rFonts w:ascii="Book Antiqua" w:hAnsi="Book Antiqua"/>
              </w:rPr>
              <w:t>14.5 ± 2.5</w:t>
            </w:r>
          </w:p>
        </w:tc>
        <w:tc>
          <w:tcPr>
            <w:tcW w:w="2309" w:type="dxa"/>
            <w:tcBorders>
              <w:top w:val="single" w:sz="4" w:space="0" w:color="auto"/>
              <w:left w:val="nil"/>
              <w:bottom w:val="nil"/>
            </w:tcBorders>
          </w:tcPr>
          <w:p w14:paraId="3823FA44" w14:textId="35FE9DEC" w:rsidR="00A61E8D" w:rsidRPr="00CF7FD4" w:rsidRDefault="00A61E8D" w:rsidP="00CF7FD4">
            <w:pPr>
              <w:snapToGrid w:val="0"/>
              <w:spacing w:line="360" w:lineRule="auto"/>
              <w:jc w:val="both"/>
              <w:rPr>
                <w:rFonts w:ascii="Book Antiqua" w:hAnsi="Book Antiqua"/>
              </w:rPr>
            </w:pPr>
            <w:r w:rsidRPr="00CF7FD4">
              <w:rPr>
                <w:rFonts w:ascii="Book Antiqua" w:hAnsi="Book Antiqua"/>
              </w:rPr>
              <w:t>21.8 ± 2.4</w:t>
            </w:r>
            <w:r w:rsidR="00853231" w:rsidRPr="00CF7FD4">
              <w:rPr>
                <w:rFonts w:ascii="Book Antiqua" w:hAnsi="Book Antiqua"/>
                <w:vertAlign w:val="superscript"/>
              </w:rPr>
              <w:t>a</w:t>
            </w:r>
          </w:p>
        </w:tc>
      </w:tr>
      <w:tr w:rsidR="00A61E8D" w:rsidRPr="00CF7FD4" w14:paraId="602759E0" w14:textId="77777777" w:rsidTr="00C34944">
        <w:trPr>
          <w:jc w:val="center"/>
        </w:trPr>
        <w:tc>
          <w:tcPr>
            <w:tcW w:w="5182" w:type="dxa"/>
            <w:gridSpan w:val="2"/>
            <w:tcBorders>
              <w:top w:val="nil"/>
              <w:bottom w:val="nil"/>
              <w:right w:val="nil"/>
            </w:tcBorders>
            <w:shd w:val="clear" w:color="auto" w:fill="auto"/>
          </w:tcPr>
          <w:p w14:paraId="0912638F" w14:textId="43A8F074"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Predicted peak VO</w:t>
            </w:r>
            <w:r w:rsidRPr="00CF7FD4">
              <w:rPr>
                <w:rFonts w:ascii="Book Antiqua" w:hAnsi="Book Antiqua"/>
                <w:vertAlign w:val="subscript"/>
              </w:rPr>
              <w:t>2</w:t>
            </w:r>
            <w:r w:rsidR="00CF7FD4">
              <w:rPr>
                <w:rFonts w:ascii="Book Antiqua" w:hAnsi="Book Antiqua"/>
              </w:rPr>
              <w:t xml:space="preserve">, </w:t>
            </w:r>
            <w:r w:rsidRPr="00CF7FD4">
              <w:rPr>
                <w:rFonts w:ascii="Book Antiqua" w:hAnsi="Book Antiqua"/>
              </w:rPr>
              <w:t>%</w:t>
            </w:r>
            <w:r w:rsidR="00853231" w:rsidRPr="00CF7FD4">
              <w:rPr>
                <w:rFonts w:ascii="Book Antiqua" w:hAnsi="Book Antiqua"/>
                <w:vertAlign w:val="superscript"/>
              </w:rPr>
              <w:t>1</w:t>
            </w:r>
          </w:p>
        </w:tc>
        <w:tc>
          <w:tcPr>
            <w:tcW w:w="1632" w:type="dxa"/>
            <w:tcBorders>
              <w:top w:val="nil"/>
              <w:left w:val="nil"/>
              <w:bottom w:val="nil"/>
              <w:right w:val="nil"/>
            </w:tcBorders>
            <w:shd w:val="clear" w:color="auto" w:fill="auto"/>
          </w:tcPr>
          <w:p w14:paraId="218212A8"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52 ± 13</w:t>
            </w:r>
          </w:p>
        </w:tc>
        <w:tc>
          <w:tcPr>
            <w:tcW w:w="2309" w:type="dxa"/>
            <w:tcBorders>
              <w:top w:val="nil"/>
              <w:left w:val="nil"/>
              <w:bottom w:val="nil"/>
            </w:tcBorders>
          </w:tcPr>
          <w:p w14:paraId="1612893B" w14:textId="2358B375" w:rsidR="00A61E8D" w:rsidRPr="00CF7FD4" w:rsidRDefault="00A61E8D" w:rsidP="00CF7FD4">
            <w:pPr>
              <w:snapToGrid w:val="0"/>
              <w:spacing w:line="360" w:lineRule="auto"/>
              <w:jc w:val="both"/>
              <w:rPr>
                <w:rFonts w:ascii="Book Antiqua" w:hAnsi="Book Antiqua"/>
              </w:rPr>
            </w:pPr>
            <w:r w:rsidRPr="00CF7FD4">
              <w:rPr>
                <w:rFonts w:ascii="Book Antiqua" w:hAnsi="Book Antiqua"/>
              </w:rPr>
              <w:t>74 ± 11</w:t>
            </w:r>
            <w:r w:rsidR="00853231" w:rsidRPr="00CF7FD4">
              <w:rPr>
                <w:rFonts w:ascii="Book Antiqua" w:hAnsi="Book Antiqua"/>
                <w:vertAlign w:val="superscript"/>
              </w:rPr>
              <w:t>a</w:t>
            </w:r>
          </w:p>
        </w:tc>
      </w:tr>
      <w:tr w:rsidR="00A61E8D" w:rsidRPr="00CF7FD4" w14:paraId="2CC32F00" w14:textId="77777777" w:rsidTr="00C34944">
        <w:trPr>
          <w:jc w:val="center"/>
        </w:trPr>
        <w:tc>
          <w:tcPr>
            <w:tcW w:w="5182" w:type="dxa"/>
            <w:gridSpan w:val="2"/>
            <w:tcBorders>
              <w:top w:val="nil"/>
              <w:bottom w:val="nil"/>
              <w:right w:val="nil"/>
            </w:tcBorders>
            <w:shd w:val="clear" w:color="auto" w:fill="auto"/>
          </w:tcPr>
          <w:p w14:paraId="60AFBE1D" w14:textId="4FE1F64C"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VE/VCO2 slope</w:t>
            </w:r>
            <w:r w:rsidR="00853231" w:rsidRPr="00CF7FD4">
              <w:rPr>
                <w:rFonts w:ascii="Book Antiqua" w:hAnsi="Book Antiqua"/>
                <w:vertAlign w:val="superscript"/>
              </w:rPr>
              <w:t>1</w:t>
            </w:r>
          </w:p>
        </w:tc>
        <w:tc>
          <w:tcPr>
            <w:tcW w:w="1632" w:type="dxa"/>
            <w:tcBorders>
              <w:top w:val="nil"/>
              <w:left w:val="nil"/>
              <w:bottom w:val="nil"/>
              <w:right w:val="nil"/>
            </w:tcBorders>
            <w:shd w:val="clear" w:color="auto" w:fill="auto"/>
          </w:tcPr>
          <w:p w14:paraId="511D5346"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34 ± 5</w:t>
            </w:r>
          </w:p>
        </w:tc>
        <w:tc>
          <w:tcPr>
            <w:tcW w:w="2309" w:type="dxa"/>
            <w:tcBorders>
              <w:top w:val="nil"/>
              <w:left w:val="nil"/>
              <w:bottom w:val="nil"/>
            </w:tcBorders>
          </w:tcPr>
          <w:p w14:paraId="6D107E1E"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33 ± 4</w:t>
            </w:r>
          </w:p>
        </w:tc>
      </w:tr>
      <w:tr w:rsidR="00A61E8D" w:rsidRPr="00CF7FD4" w14:paraId="39750112" w14:textId="77777777" w:rsidTr="00C34944">
        <w:trPr>
          <w:jc w:val="center"/>
        </w:trPr>
        <w:tc>
          <w:tcPr>
            <w:tcW w:w="5182" w:type="dxa"/>
            <w:gridSpan w:val="2"/>
            <w:tcBorders>
              <w:top w:val="nil"/>
              <w:bottom w:val="single" w:sz="4" w:space="0" w:color="auto"/>
              <w:right w:val="nil"/>
            </w:tcBorders>
            <w:shd w:val="clear" w:color="auto" w:fill="auto"/>
          </w:tcPr>
          <w:p w14:paraId="56EECE44" w14:textId="57D04FDE" w:rsidR="00A61E8D" w:rsidRPr="00CF7FD4" w:rsidRDefault="00A61E8D" w:rsidP="00CF7FD4">
            <w:pPr>
              <w:snapToGrid w:val="0"/>
              <w:spacing w:line="360" w:lineRule="auto"/>
              <w:jc w:val="both"/>
              <w:rPr>
                <w:rFonts w:ascii="Book Antiqua" w:hAnsi="Book Antiqua"/>
                <w:vertAlign w:val="superscript"/>
              </w:rPr>
            </w:pPr>
            <w:r w:rsidRPr="00CF7FD4">
              <w:rPr>
                <w:rFonts w:ascii="Book Antiqua" w:hAnsi="Book Antiqua"/>
              </w:rPr>
              <w:t>Peak WR</w:t>
            </w:r>
            <w:r w:rsidR="00CF7FD4">
              <w:rPr>
                <w:rFonts w:ascii="Book Antiqua" w:hAnsi="Book Antiqua"/>
              </w:rPr>
              <w:t xml:space="preserve"> in</w:t>
            </w:r>
            <w:r w:rsidRPr="00CF7FD4">
              <w:rPr>
                <w:rFonts w:ascii="Book Antiqua" w:hAnsi="Book Antiqua"/>
              </w:rPr>
              <w:t xml:space="preserve"> watts</w:t>
            </w:r>
            <w:r w:rsidR="00853231" w:rsidRPr="00CF7FD4">
              <w:rPr>
                <w:rFonts w:ascii="Book Antiqua" w:hAnsi="Book Antiqua"/>
                <w:vertAlign w:val="superscript"/>
              </w:rPr>
              <w:t>1</w:t>
            </w:r>
          </w:p>
        </w:tc>
        <w:tc>
          <w:tcPr>
            <w:tcW w:w="1632" w:type="dxa"/>
            <w:tcBorders>
              <w:top w:val="nil"/>
              <w:left w:val="nil"/>
              <w:bottom w:val="single" w:sz="4" w:space="0" w:color="auto"/>
              <w:right w:val="nil"/>
            </w:tcBorders>
            <w:shd w:val="clear" w:color="auto" w:fill="auto"/>
          </w:tcPr>
          <w:p w14:paraId="226BFA8B" w14:textId="77777777" w:rsidR="00A61E8D" w:rsidRPr="00CF7FD4" w:rsidRDefault="00A61E8D" w:rsidP="00CF7FD4">
            <w:pPr>
              <w:snapToGrid w:val="0"/>
              <w:spacing w:line="360" w:lineRule="auto"/>
              <w:jc w:val="both"/>
              <w:rPr>
                <w:rFonts w:ascii="Book Antiqua" w:hAnsi="Book Antiqua"/>
              </w:rPr>
            </w:pPr>
            <w:r w:rsidRPr="00CF7FD4">
              <w:rPr>
                <w:rFonts w:ascii="Book Antiqua" w:hAnsi="Book Antiqua"/>
              </w:rPr>
              <w:t>75 ± 34</w:t>
            </w:r>
          </w:p>
        </w:tc>
        <w:tc>
          <w:tcPr>
            <w:tcW w:w="2309" w:type="dxa"/>
            <w:tcBorders>
              <w:top w:val="nil"/>
              <w:left w:val="nil"/>
              <w:bottom w:val="single" w:sz="4" w:space="0" w:color="auto"/>
            </w:tcBorders>
          </w:tcPr>
          <w:p w14:paraId="2377794B" w14:textId="40EB6D1B" w:rsidR="00A61E8D" w:rsidRPr="00CF7FD4" w:rsidRDefault="00A61E8D" w:rsidP="00CF7FD4">
            <w:pPr>
              <w:snapToGrid w:val="0"/>
              <w:spacing w:line="360" w:lineRule="auto"/>
              <w:jc w:val="both"/>
              <w:rPr>
                <w:rFonts w:ascii="Book Antiqua" w:hAnsi="Book Antiqua"/>
              </w:rPr>
            </w:pPr>
            <w:r w:rsidRPr="00CF7FD4">
              <w:rPr>
                <w:rFonts w:ascii="Book Antiqua" w:hAnsi="Book Antiqua"/>
              </w:rPr>
              <w:t>118 ± 34</w:t>
            </w:r>
            <w:r w:rsidR="00853231" w:rsidRPr="00CF7FD4">
              <w:rPr>
                <w:rFonts w:ascii="Book Antiqua" w:hAnsi="Book Antiqua"/>
                <w:vertAlign w:val="superscript"/>
              </w:rPr>
              <w:t>a</w:t>
            </w:r>
          </w:p>
        </w:tc>
      </w:tr>
    </w:tbl>
    <w:p w14:paraId="2EF7DAA0" w14:textId="09D37F98" w:rsidR="005B5AC9" w:rsidRPr="00CF7FD4" w:rsidRDefault="005B5AC9" w:rsidP="00CF7FD4">
      <w:pPr>
        <w:snapToGrid w:val="0"/>
        <w:spacing w:line="360" w:lineRule="auto"/>
        <w:jc w:val="both"/>
        <w:rPr>
          <w:rFonts w:ascii="Book Antiqua" w:hAnsi="Book Antiqua"/>
          <w:bCs/>
          <w:iCs/>
        </w:rPr>
      </w:pPr>
      <w:r w:rsidRPr="00CF7FD4">
        <w:rPr>
          <w:rFonts w:ascii="Book Antiqua" w:hAnsi="Book Antiqua"/>
          <w:bCs/>
        </w:rPr>
        <w:t xml:space="preserve">Group 1: </w:t>
      </w: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&lt; 18.0 mL/kg/min,</w:t>
      </w:r>
      <w:r w:rsidRPr="00CF7FD4">
        <w:rPr>
          <w:rFonts w:ascii="Book Antiqua" w:hAnsi="Book Antiqua"/>
          <w:b/>
        </w:rPr>
        <w:t xml:space="preserve"> </w:t>
      </w:r>
      <w:r w:rsidRPr="00CF7FD4">
        <w:rPr>
          <w:rFonts w:ascii="Book Antiqua" w:hAnsi="Book Antiqua"/>
          <w:bCs/>
        </w:rPr>
        <w:t xml:space="preserve">Group 2: </w:t>
      </w:r>
      <w:r w:rsidRPr="00CF7FD4">
        <w:rPr>
          <w:rFonts w:ascii="Book Antiqua" w:hAnsi="Book Antiqua"/>
        </w:rPr>
        <w:t>Peak VO</w:t>
      </w:r>
      <w:r w:rsidRPr="00CF7FD4">
        <w:rPr>
          <w:rFonts w:ascii="Book Antiqua" w:hAnsi="Book Antiqua"/>
          <w:vertAlign w:val="subscript"/>
        </w:rPr>
        <w:t>2</w:t>
      </w:r>
      <w:r w:rsidRPr="00CF7FD4">
        <w:rPr>
          <w:rFonts w:ascii="Book Antiqua" w:hAnsi="Book Antiqua"/>
        </w:rPr>
        <w:t xml:space="preserve"> ≥ 18.0 mL/kg/min.</w:t>
      </w:r>
      <w:r w:rsidRPr="00CF7FD4">
        <w:rPr>
          <w:rFonts w:ascii="Book Antiqua" w:hAnsi="Book Antiqua"/>
          <w:lang w:eastAsia="zh-CN"/>
        </w:rPr>
        <w:t xml:space="preserve"> </w:t>
      </w:r>
      <w:r w:rsidR="00853231" w:rsidRPr="00CF7FD4">
        <w:rPr>
          <w:rFonts w:ascii="Book Antiqua" w:hAnsi="Book Antiqua"/>
          <w:bCs/>
          <w:vertAlign w:val="superscript"/>
        </w:rPr>
        <w:t>1</w:t>
      </w:r>
      <w:r w:rsidRPr="00CF7FD4">
        <w:rPr>
          <w:rFonts w:ascii="Book Antiqua" w:hAnsi="Book Antiqua"/>
          <w:bCs/>
        </w:rPr>
        <w:t xml:space="preserve">Values are expressed as mean ± SD; Difference between the 2 severity groups for demographic characteristics and </w:t>
      </w:r>
      <w:r w:rsidRPr="00CF7FD4">
        <w:rPr>
          <w:rFonts w:ascii="Book Antiqua" w:hAnsi="Book Antiqua"/>
          <w:bCs/>
          <w:iCs/>
        </w:rPr>
        <w:t>cardiopulmonary exercise testing</w:t>
      </w:r>
      <w:r w:rsidRPr="00CF7FD4">
        <w:rPr>
          <w:rFonts w:ascii="Book Antiqua" w:hAnsi="Book Antiqua"/>
          <w:bCs/>
        </w:rPr>
        <w:t xml:space="preserve"> parameters (</w:t>
      </w:r>
      <w:r w:rsidR="007E688A" w:rsidRPr="00CF7FD4">
        <w:rPr>
          <w:rFonts w:ascii="Book Antiqua" w:hAnsi="Book Antiqua"/>
          <w:bCs/>
          <w:vertAlign w:val="superscript"/>
        </w:rPr>
        <w:t>a</w:t>
      </w:r>
      <w:r w:rsidRPr="00CF7FD4">
        <w:rPr>
          <w:rFonts w:ascii="Book Antiqua" w:hAnsi="Book Antiqua"/>
          <w:bCs/>
          <w:i/>
          <w:iCs/>
        </w:rPr>
        <w:t>P</w:t>
      </w:r>
      <w:r w:rsidRPr="00CF7FD4">
        <w:rPr>
          <w:rFonts w:ascii="Book Antiqua" w:hAnsi="Book Antiqua"/>
          <w:bCs/>
        </w:rPr>
        <w:t xml:space="preserve"> &lt; 0.05).</w:t>
      </w:r>
      <w:r w:rsidRPr="00CF7FD4">
        <w:rPr>
          <w:rFonts w:ascii="Book Antiqua" w:hAnsi="Book Antiqua"/>
          <w:bCs/>
          <w:lang w:eastAsia="zh-CN"/>
        </w:rPr>
        <w:t xml:space="preserve"> </w:t>
      </w:r>
      <w:r w:rsidR="00CF7FD4" w:rsidRPr="00CF7FD4">
        <w:rPr>
          <w:rFonts w:ascii="Book Antiqua" w:hAnsi="Book Antiqua"/>
          <w:bCs/>
          <w:iCs/>
        </w:rPr>
        <w:t xml:space="preserve">ACE: </w:t>
      </w:r>
      <w:r w:rsidR="00CF7FD4" w:rsidRPr="00CF7FD4">
        <w:rPr>
          <w:rFonts w:ascii="Book Antiqua" w:hAnsi="Book Antiqua"/>
          <w:bCs/>
          <w:iCs/>
        </w:rPr>
        <w:lastRenderedPageBreak/>
        <w:t>Angiotensin-converting-enzyme; ARB: Angiotensin II receptor blockers; CPET: Cardiopulmonary exercise testing</w:t>
      </w:r>
      <w:r w:rsidR="00CF7FD4">
        <w:rPr>
          <w:rFonts w:ascii="Book Antiqua" w:hAnsi="Book Antiqua"/>
          <w:bCs/>
          <w:iCs/>
        </w:rPr>
        <w:t>;</w:t>
      </w:r>
      <w:r w:rsidR="00CF7FD4" w:rsidRPr="00CF7FD4">
        <w:rPr>
          <w:rFonts w:ascii="Book Antiqua" w:hAnsi="Book Antiqua"/>
          <w:bCs/>
          <w:iCs/>
        </w:rPr>
        <w:t xml:space="preserve"> </w:t>
      </w:r>
      <w:r w:rsidRPr="00CF7FD4">
        <w:rPr>
          <w:rFonts w:ascii="Book Antiqua" w:hAnsi="Book Antiqua"/>
          <w:bCs/>
          <w:iCs/>
        </w:rPr>
        <w:t xml:space="preserve">CHF: Chronic heart failure; </w:t>
      </w:r>
      <w:r w:rsidR="00CF7FD4" w:rsidRPr="00CF7FD4">
        <w:rPr>
          <w:rFonts w:ascii="Book Antiqua" w:hAnsi="Book Antiqua"/>
          <w:bCs/>
          <w:iCs/>
        </w:rPr>
        <w:t>EF: Ejection fraction; NYHA: New York Heart Association; VCO</w:t>
      </w:r>
      <w:r w:rsidR="00CF7FD4" w:rsidRPr="00CF7FD4">
        <w:rPr>
          <w:rFonts w:ascii="Book Antiqua" w:hAnsi="Book Antiqua"/>
          <w:bCs/>
          <w:iCs/>
          <w:vertAlign w:val="subscript"/>
        </w:rPr>
        <w:t>2</w:t>
      </w:r>
      <w:r w:rsidR="00CF7FD4" w:rsidRPr="00CF7FD4">
        <w:rPr>
          <w:rFonts w:ascii="Book Antiqua" w:hAnsi="Book Antiqua"/>
          <w:bCs/>
          <w:iCs/>
        </w:rPr>
        <w:t xml:space="preserve">: Carbon dioxide output; </w:t>
      </w:r>
      <w:r w:rsidRPr="00CF7FD4">
        <w:rPr>
          <w:rFonts w:ascii="Book Antiqua" w:hAnsi="Book Antiqua"/>
          <w:bCs/>
          <w:iCs/>
        </w:rPr>
        <w:t>VO</w:t>
      </w:r>
      <w:r w:rsidRPr="00CF7FD4">
        <w:rPr>
          <w:rFonts w:ascii="Book Antiqua" w:hAnsi="Book Antiqua"/>
          <w:bCs/>
          <w:iCs/>
          <w:vertAlign w:val="subscript"/>
        </w:rPr>
        <w:t>2</w:t>
      </w:r>
      <w:r w:rsidRPr="00CF7FD4">
        <w:rPr>
          <w:rFonts w:ascii="Book Antiqua" w:hAnsi="Book Antiqua"/>
          <w:bCs/>
          <w:iCs/>
        </w:rPr>
        <w:t>: Oxygen uptake; WR: Work rate.</w:t>
      </w:r>
    </w:p>
    <w:p w14:paraId="10EBFB28" w14:textId="11D29E26" w:rsidR="005B5AC9" w:rsidRPr="00CF7FD4" w:rsidRDefault="005B5AC9" w:rsidP="00CF7FD4">
      <w:pPr>
        <w:snapToGrid w:val="0"/>
        <w:spacing w:line="360" w:lineRule="auto"/>
        <w:jc w:val="both"/>
        <w:rPr>
          <w:rFonts w:ascii="Book Antiqua" w:eastAsia="Book Antiqua" w:hAnsi="Book Antiqua" w:cs="Book Antiqua"/>
          <w:b/>
          <w:bCs/>
          <w:color w:val="000000"/>
        </w:rPr>
      </w:pPr>
      <w:r w:rsidRPr="00CF7FD4">
        <w:rPr>
          <w:rFonts w:ascii="Book Antiqua" w:hAnsi="Book Antiqua"/>
          <w:bCs/>
          <w:iCs/>
        </w:rPr>
        <w:br w:type="page"/>
      </w:r>
      <w:r w:rsidR="00893B9F" w:rsidRPr="00CF7FD4">
        <w:rPr>
          <w:rFonts w:ascii="Book Antiqua" w:hAnsi="Book Antiqua"/>
          <w:b/>
          <w:iCs/>
        </w:rPr>
        <w:lastRenderedPageBreak/>
        <w:t xml:space="preserve">Table 2 Acute mobilization of endothelial cellular populations after a symptom-limited cardiopulmonary exercise testing of </w:t>
      </w:r>
      <w:r w:rsidR="00D3285F" w:rsidRPr="00CF7FD4">
        <w:rPr>
          <w:rFonts w:ascii="Book Antiqua" w:hAnsi="Book Antiqua"/>
          <w:b/>
          <w:iCs/>
        </w:rPr>
        <w:t>two</w:t>
      </w:r>
      <w:r w:rsidR="00893B9F" w:rsidRPr="00CF7FD4">
        <w:rPr>
          <w:rFonts w:ascii="Book Antiqua" w:hAnsi="Book Antiqua"/>
          <w:b/>
          <w:iCs/>
        </w:rPr>
        <w:t xml:space="preserve"> different severity groups according to the median value of peak</w:t>
      </w:r>
      <w:r w:rsidR="00893B9F" w:rsidRPr="00CF7FD4">
        <w:rPr>
          <w:rFonts w:ascii="Book Antiqua" w:hAnsi="Book Antiqua"/>
          <w:bCs/>
          <w:iCs/>
        </w:rPr>
        <w:t xml:space="preserve"> </w:t>
      </w:r>
      <w:r w:rsidR="00893B9F" w:rsidRPr="00CF7FD4">
        <w:rPr>
          <w:rFonts w:ascii="Book Antiqua" w:eastAsia="Book Antiqua" w:hAnsi="Book Antiqua" w:cs="Book Antiqua"/>
          <w:b/>
          <w:bCs/>
          <w:color w:val="000000"/>
        </w:rPr>
        <w:t>oxygen uptake</w:t>
      </w:r>
    </w:p>
    <w:tbl>
      <w:tblPr>
        <w:tblpPr w:leftFromText="180" w:rightFromText="180" w:vertAnchor="text" w:horzAnchor="margin" w:tblpXSpec="center" w:tblpY="189"/>
        <w:tblW w:w="5000" w:type="pct"/>
        <w:tblBorders>
          <w:top w:val="single" w:sz="4" w:space="0" w:color="00000A"/>
          <w:bottom w:val="single" w:sz="4" w:space="0" w:color="00000A"/>
          <w:insideH w:val="single" w:sz="4" w:space="0" w:color="00000A"/>
        </w:tblBorders>
        <w:tblLook w:val="04A0" w:firstRow="1" w:lastRow="0" w:firstColumn="1" w:lastColumn="0" w:noHBand="0" w:noVBand="1"/>
      </w:tblPr>
      <w:tblGrid>
        <w:gridCol w:w="2890"/>
        <w:gridCol w:w="1330"/>
        <w:gridCol w:w="1330"/>
        <w:gridCol w:w="1330"/>
        <w:gridCol w:w="1330"/>
        <w:gridCol w:w="1150"/>
      </w:tblGrid>
      <w:tr w:rsidR="00893B9F" w:rsidRPr="00CF7FD4" w14:paraId="6A599F49" w14:textId="77777777" w:rsidTr="00853231">
        <w:trPr>
          <w:trHeight w:val="875"/>
        </w:trPr>
        <w:tc>
          <w:tcPr>
            <w:tcW w:w="1509" w:type="pct"/>
            <w:vMerge w:val="restart"/>
            <w:tcBorders>
              <w:top w:val="single" w:sz="4" w:space="0" w:color="00000A"/>
              <w:bottom w:val="single" w:sz="4" w:space="0" w:color="00000A"/>
              <w:right w:val="nil"/>
            </w:tcBorders>
            <w:shd w:val="clear" w:color="auto" w:fill="auto"/>
          </w:tcPr>
          <w:p w14:paraId="02BE507A"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b/>
              </w:rPr>
              <w:t>Endothelial cellular populations</w:t>
            </w:r>
          </w:p>
        </w:tc>
        <w:tc>
          <w:tcPr>
            <w:tcW w:w="1445" w:type="pct"/>
            <w:gridSpan w:val="2"/>
            <w:tcBorders>
              <w:top w:val="single" w:sz="4" w:space="0" w:color="00000A"/>
              <w:left w:val="nil"/>
              <w:bottom w:val="single" w:sz="4" w:space="0" w:color="auto"/>
              <w:right w:val="nil"/>
            </w:tcBorders>
            <w:shd w:val="clear" w:color="auto" w:fill="auto"/>
            <w:tcMar>
              <w:left w:w="83" w:type="dxa"/>
            </w:tcMar>
          </w:tcPr>
          <w:p w14:paraId="666DAB51" w14:textId="0A1342FB" w:rsidR="00893B9F" w:rsidRPr="00CF7FD4" w:rsidRDefault="00893B9F" w:rsidP="00CF7FD4">
            <w:pPr>
              <w:snapToGrid w:val="0"/>
              <w:spacing w:line="360" w:lineRule="auto"/>
              <w:jc w:val="both"/>
              <w:rPr>
                <w:rFonts w:ascii="Book Antiqua" w:hAnsi="Book Antiqua"/>
                <w:b/>
              </w:rPr>
            </w:pPr>
            <w:r w:rsidRPr="00CF7FD4">
              <w:rPr>
                <w:rFonts w:ascii="Book Antiqua" w:hAnsi="Book Antiqua"/>
                <w:b/>
              </w:rPr>
              <w:t xml:space="preserve">Group 1 </w:t>
            </w:r>
            <w:r w:rsidR="00CF7FD4">
              <w:rPr>
                <w:rFonts w:ascii="Book Antiqua" w:hAnsi="Book Antiqua"/>
                <w:b/>
              </w:rPr>
              <w:t xml:space="preserve">of </w:t>
            </w:r>
            <w:proofErr w:type="gramStart"/>
            <w:r w:rsidRPr="00CF7FD4">
              <w:rPr>
                <w:rFonts w:ascii="Book Antiqua" w:hAnsi="Book Antiqua"/>
                <w:b/>
                <w:i/>
                <w:iCs/>
              </w:rPr>
              <w:t>n</w:t>
            </w:r>
            <w:proofErr w:type="gramEnd"/>
            <w:r w:rsidRPr="00CF7FD4">
              <w:rPr>
                <w:rFonts w:ascii="Book Antiqua" w:hAnsi="Book Antiqua"/>
                <w:b/>
              </w:rPr>
              <w:t xml:space="preserve"> = 25, </w:t>
            </w:r>
            <w:r w:rsidR="00B702F2" w:rsidRPr="00CF7FD4">
              <w:rPr>
                <w:rFonts w:ascii="Book Antiqua" w:hAnsi="Book Antiqua"/>
                <w:b/>
              </w:rPr>
              <w:t>p</w:t>
            </w:r>
            <w:r w:rsidRPr="00CF7FD4">
              <w:rPr>
                <w:rFonts w:ascii="Book Antiqua" w:hAnsi="Book Antiqua"/>
                <w:b/>
              </w:rPr>
              <w:t>eak VO</w:t>
            </w:r>
            <w:r w:rsidRPr="00CF7FD4">
              <w:rPr>
                <w:rFonts w:ascii="Book Antiqua" w:hAnsi="Book Antiqua"/>
                <w:b/>
                <w:vertAlign w:val="subscript"/>
              </w:rPr>
              <w:t>2</w:t>
            </w:r>
            <w:r w:rsidRPr="00CF7FD4">
              <w:rPr>
                <w:rFonts w:ascii="Book Antiqua" w:hAnsi="Book Antiqua"/>
                <w:b/>
              </w:rPr>
              <w:t xml:space="preserve"> &lt; 18.0 mL/kg/min</w:t>
            </w:r>
          </w:p>
        </w:tc>
        <w:tc>
          <w:tcPr>
            <w:tcW w:w="1445" w:type="pct"/>
            <w:gridSpan w:val="2"/>
            <w:tcBorders>
              <w:top w:val="single" w:sz="4" w:space="0" w:color="00000A"/>
              <w:left w:val="nil"/>
              <w:bottom w:val="single" w:sz="4" w:space="0" w:color="auto"/>
              <w:right w:val="nil"/>
            </w:tcBorders>
            <w:shd w:val="clear" w:color="auto" w:fill="auto"/>
          </w:tcPr>
          <w:p w14:paraId="24F8A180" w14:textId="51BEB73B" w:rsidR="00893B9F" w:rsidRPr="00CF7FD4" w:rsidRDefault="00893B9F" w:rsidP="00CF7FD4">
            <w:pPr>
              <w:snapToGrid w:val="0"/>
              <w:spacing w:line="360" w:lineRule="auto"/>
              <w:jc w:val="both"/>
              <w:rPr>
                <w:rFonts w:ascii="Book Antiqua" w:hAnsi="Book Antiqua"/>
                <w:b/>
              </w:rPr>
            </w:pPr>
            <w:r w:rsidRPr="00CF7FD4">
              <w:rPr>
                <w:rFonts w:ascii="Book Antiqua" w:hAnsi="Book Antiqua"/>
                <w:b/>
              </w:rPr>
              <w:t xml:space="preserve">Group 2 </w:t>
            </w:r>
            <w:r w:rsidR="00CF7FD4">
              <w:rPr>
                <w:rFonts w:ascii="Book Antiqua" w:hAnsi="Book Antiqua"/>
                <w:b/>
              </w:rPr>
              <w:t xml:space="preserve">of </w:t>
            </w:r>
            <w:proofErr w:type="gramStart"/>
            <w:r w:rsidRPr="00CF7FD4">
              <w:rPr>
                <w:rFonts w:ascii="Book Antiqua" w:hAnsi="Book Antiqua"/>
                <w:b/>
                <w:i/>
                <w:iCs/>
              </w:rPr>
              <w:t>n</w:t>
            </w:r>
            <w:proofErr w:type="gramEnd"/>
            <w:r w:rsidRPr="00CF7FD4">
              <w:rPr>
                <w:rFonts w:ascii="Book Antiqua" w:hAnsi="Book Antiqua"/>
                <w:b/>
              </w:rPr>
              <w:t xml:space="preserve"> = 24</w:t>
            </w:r>
            <w:r w:rsidRPr="00CF7FD4">
              <w:rPr>
                <w:rFonts w:ascii="Book Antiqua" w:hAnsi="Book Antiqua"/>
                <w:b/>
                <w:lang w:eastAsia="zh-CN"/>
              </w:rPr>
              <w:t xml:space="preserve">, </w:t>
            </w:r>
            <w:r w:rsidR="00B702F2" w:rsidRPr="00CF7FD4">
              <w:rPr>
                <w:rFonts w:ascii="Book Antiqua" w:hAnsi="Book Antiqua"/>
                <w:b/>
              </w:rPr>
              <w:t>p</w:t>
            </w:r>
            <w:r w:rsidRPr="00CF7FD4">
              <w:rPr>
                <w:rFonts w:ascii="Book Antiqua" w:hAnsi="Book Antiqua"/>
                <w:b/>
              </w:rPr>
              <w:t>eak VO</w:t>
            </w:r>
            <w:r w:rsidRPr="00CF7FD4">
              <w:rPr>
                <w:rFonts w:ascii="Book Antiqua" w:hAnsi="Book Antiqua"/>
                <w:b/>
                <w:vertAlign w:val="subscript"/>
              </w:rPr>
              <w:t>2</w:t>
            </w:r>
            <w:r w:rsidRPr="00CF7FD4">
              <w:rPr>
                <w:rFonts w:ascii="Book Antiqua" w:hAnsi="Book Antiqua"/>
                <w:b/>
              </w:rPr>
              <w:t xml:space="preserve"> ≥ 18.0 mL/kg/min</w:t>
            </w:r>
          </w:p>
        </w:tc>
        <w:tc>
          <w:tcPr>
            <w:tcW w:w="600" w:type="pct"/>
            <w:vMerge w:val="restart"/>
            <w:tcBorders>
              <w:top w:val="single" w:sz="4" w:space="0" w:color="00000A"/>
              <w:left w:val="nil"/>
            </w:tcBorders>
          </w:tcPr>
          <w:p w14:paraId="71587A52" w14:textId="77777777" w:rsidR="00893B9F" w:rsidRPr="00CF7FD4" w:rsidRDefault="00893B9F"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893B9F" w:rsidRPr="00CF7FD4" w14:paraId="4936B3E2" w14:textId="77777777" w:rsidTr="00853231">
        <w:trPr>
          <w:trHeight w:val="278"/>
        </w:trPr>
        <w:tc>
          <w:tcPr>
            <w:tcW w:w="1509" w:type="pct"/>
            <w:vMerge/>
            <w:tcBorders>
              <w:top w:val="single" w:sz="4" w:space="0" w:color="00000A"/>
              <w:bottom w:val="single" w:sz="4" w:space="0" w:color="00000A"/>
              <w:right w:val="nil"/>
            </w:tcBorders>
            <w:shd w:val="clear" w:color="auto" w:fill="auto"/>
          </w:tcPr>
          <w:p w14:paraId="0B40AB55" w14:textId="77777777" w:rsidR="00893B9F" w:rsidRPr="00CF7FD4" w:rsidRDefault="00893B9F" w:rsidP="00CF7FD4">
            <w:pPr>
              <w:snapToGrid w:val="0"/>
              <w:spacing w:line="360" w:lineRule="auto"/>
              <w:jc w:val="both"/>
              <w:rPr>
                <w:rFonts w:ascii="Book Antiqua" w:hAnsi="Book Antiqua"/>
              </w:rPr>
            </w:pPr>
          </w:p>
        </w:tc>
        <w:tc>
          <w:tcPr>
            <w:tcW w:w="723" w:type="pct"/>
            <w:tcBorders>
              <w:top w:val="single" w:sz="4" w:space="0" w:color="auto"/>
              <w:left w:val="nil"/>
              <w:bottom w:val="single" w:sz="4" w:space="0" w:color="auto"/>
              <w:right w:val="nil"/>
            </w:tcBorders>
            <w:shd w:val="clear" w:color="auto" w:fill="auto"/>
            <w:tcMar>
              <w:left w:w="83" w:type="dxa"/>
            </w:tcMar>
          </w:tcPr>
          <w:p w14:paraId="4AF9A05D" w14:textId="77777777" w:rsidR="00893B9F" w:rsidRPr="00CF7FD4" w:rsidRDefault="00893B9F"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723" w:type="pct"/>
            <w:tcBorders>
              <w:top w:val="single" w:sz="4" w:space="0" w:color="auto"/>
              <w:left w:val="nil"/>
              <w:bottom w:val="single" w:sz="4" w:space="0" w:color="auto"/>
              <w:right w:val="nil"/>
            </w:tcBorders>
            <w:shd w:val="clear" w:color="auto" w:fill="auto"/>
            <w:tcMar>
              <w:left w:w="88" w:type="dxa"/>
            </w:tcMar>
          </w:tcPr>
          <w:p w14:paraId="6589EA5F" w14:textId="77777777" w:rsidR="00893B9F" w:rsidRPr="00CF7FD4" w:rsidRDefault="00893B9F" w:rsidP="00CF7FD4">
            <w:pPr>
              <w:snapToGrid w:val="0"/>
              <w:spacing w:line="360" w:lineRule="auto"/>
              <w:jc w:val="both"/>
              <w:rPr>
                <w:rFonts w:ascii="Book Antiqua" w:hAnsi="Book Antiqua"/>
                <w:b/>
                <w:iCs/>
              </w:rPr>
            </w:pPr>
            <w:r w:rsidRPr="00CF7FD4">
              <w:rPr>
                <w:rFonts w:ascii="Book Antiqua" w:hAnsi="Book Antiqua"/>
                <w:b/>
                <w:iCs/>
              </w:rPr>
              <w:t>After CPET</w:t>
            </w:r>
          </w:p>
        </w:tc>
        <w:tc>
          <w:tcPr>
            <w:tcW w:w="723" w:type="pct"/>
            <w:tcBorders>
              <w:top w:val="single" w:sz="4" w:space="0" w:color="auto"/>
              <w:left w:val="nil"/>
              <w:bottom w:val="single" w:sz="4" w:space="0" w:color="auto"/>
              <w:right w:val="nil"/>
            </w:tcBorders>
            <w:shd w:val="clear" w:color="auto" w:fill="auto"/>
            <w:tcMar>
              <w:left w:w="83" w:type="dxa"/>
            </w:tcMar>
          </w:tcPr>
          <w:p w14:paraId="76F12F80"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b/>
                <w:iCs/>
              </w:rPr>
              <w:t>Before CPET</w:t>
            </w:r>
          </w:p>
        </w:tc>
        <w:tc>
          <w:tcPr>
            <w:tcW w:w="723" w:type="pct"/>
            <w:tcBorders>
              <w:top w:val="single" w:sz="4" w:space="0" w:color="auto"/>
              <w:left w:val="nil"/>
              <w:bottom w:val="single" w:sz="4" w:space="0" w:color="auto"/>
              <w:right w:val="nil"/>
            </w:tcBorders>
            <w:shd w:val="clear" w:color="auto" w:fill="auto"/>
          </w:tcPr>
          <w:p w14:paraId="1DB83E68"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b/>
                <w:iCs/>
              </w:rPr>
              <w:t>After CPET</w:t>
            </w:r>
          </w:p>
        </w:tc>
        <w:tc>
          <w:tcPr>
            <w:tcW w:w="600" w:type="pct"/>
            <w:vMerge/>
            <w:tcBorders>
              <w:left w:val="nil"/>
              <w:bottom w:val="single" w:sz="4" w:space="0" w:color="00000A"/>
            </w:tcBorders>
          </w:tcPr>
          <w:p w14:paraId="403EEDD4" w14:textId="77777777" w:rsidR="00893B9F" w:rsidRPr="00CF7FD4" w:rsidRDefault="00893B9F" w:rsidP="00CF7FD4">
            <w:pPr>
              <w:snapToGrid w:val="0"/>
              <w:spacing w:line="360" w:lineRule="auto"/>
              <w:jc w:val="both"/>
              <w:rPr>
                <w:rFonts w:ascii="Book Antiqua" w:hAnsi="Book Antiqua"/>
                <w:b/>
                <w:i/>
              </w:rPr>
            </w:pPr>
          </w:p>
        </w:tc>
      </w:tr>
      <w:tr w:rsidR="00893B9F" w:rsidRPr="00CF7FD4" w14:paraId="346DEA51" w14:textId="77777777" w:rsidTr="00853231">
        <w:tc>
          <w:tcPr>
            <w:tcW w:w="1509" w:type="pct"/>
            <w:tcBorders>
              <w:top w:val="single" w:sz="4" w:space="0" w:color="00000A"/>
              <w:bottom w:val="nil"/>
            </w:tcBorders>
            <w:shd w:val="clear" w:color="auto" w:fill="auto"/>
          </w:tcPr>
          <w:p w14:paraId="529FC515"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723" w:type="pct"/>
            <w:tcBorders>
              <w:top w:val="single" w:sz="4" w:space="0" w:color="auto"/>
              <w:bottom w:val="nil"/>
            </w:tcBorders>
            <w:shd w:val="clear" w:color="auto" w:fill="auto"/>
          </w:tcPr>
          <w:p w14:paraId="5658AA9E" w14:textId="39C81D4E" w:rsidR="00893B9F" w:rsidRPr="00CF7FD4" w:rsidRDefault="00893B9F" w:rsidP="00CF7FD4">
            <w:pPr>
              <w:snapToGrid w:val="0"/>
              <w:spacing w:line="360" w:lineRule="auto"/>
              <w:jc w:val="both"/>
              <w:rPr>
                <w:rFonts w:ascii="Book Antiqua" w:hAnsi="Book Antiqua"/>
              </w:rPr>
            </w:pPr>
            <w:r w:rsidRPr="00CF7FD4">
              <w:rPr>
                <w:rFonts w:ascii="Book Antiqua" w:hAnsi="Book Antiqua"/>
              </w:rPr>
              <w:t>60 (25-76)</w:t>
            </w:r>
          </w:p>
        </w:tc>
        <w:tc>
          <w:tcPr>
            <w:tcW w:w="723" w:type="pct"/>
            <w:tcBorders>
              <w:top w:val="single" w:sz="4" w:space="0" w:color="auto"/>
              <w:bottom w:val="nil"/>
            </w:tcBorders>
            <w:shd w:val="clear" w:color="auto" w:fill="auto"/>
          </w:tcPr>
          <w:p w14:paraId="22965022" w14:textId="328B69E3" w:rsidR="00893B9F" w:rsidRPr="00CF7FD4" w:rsidRDefault="00893B9F" w:rsidP="00CF7FD4">
            <w:pPr>
              <w:snapToGrid w:val="0"/>
              <w:spacing w:line="360" w:lineRule="auto"/>
              <w:jc w:val="both"/>
              <w:rPr>
                <w:rFonts w:ascii="Book Antiqua" w:hAnsi="Book Antiqua"/>
              </w:rPr>
            </w:pPr>
            <w:r w:rsidRPr="00CF7FD4">
              <w:rPr>
                <w:rFonts w:ascii="Book Antiqua" w:hAnsi="Book Antiqua"/>
              </w:rPr>
              <w:t>90 (70-103)</w:t>
            </w:r>
            <w:r w:rsidR="00B702F2" w:rsidRPr="00CF7FD4">
              <w:rPr>
                <w:rFonts w:ascii="Book Antiqua" w:hAnsi="Book Antiqua"/>
                <w:vertAlign w:val="superscript"/>
              </w:rPr>
              <w:t>e</w:t>
            </w:r>
          </w:p>
        </w:tc>
        <w:tc>
          <w:tcPr>
            <w:tcW w:w="723" w:type="pct"/>
            <w:tcBorders>
              <w:top w:val="single" w:sz="4" w:space="0" w:color="auto"/>
              <w:bottom w:val="nil"/>
            </w:tcBorders>
            <w:shd w:val="clear" w:color="auto" w:fill="auto"/>
          </w:tcPr>
          <w:p w14:paraId="7B8CEEEE" w14:textId="1A1C1052" w:rsidR="00893B9F" w:rsidRPr="00CF7FD4" w:rsidRDefault="00893B9F" w:rsidP="00CF7FD4">
            <w:pPr>
              <w:snapToGrid w:val="0"/>
              <w:spacing w:line="360" w:lineRule="auto"/>
              <w:jc w:val="both"/>
              <w:rPr>
                <w:rFonts w:ascii="Book Antiqua" w:hAnsi="Book Antiqua"/>
              </w:rPr>
            </w:pPr>
            <w:r w:rsidRPr="00CF7FD4">
              <w:rPr>
                <w:rFonts w:ascii="Book Antiqua" w:hAnsi="Book Antiqua"/>
              </w:rPr>
              <w:t>42 (19-73)</w:t>
            </w:r>
          </w:p>
        </w:tc>
        <w:tc>
          <w:tcPr>
            <w:tcW w:w="723" w:type="pct"/>
            <w:tcBorders>
              <w:top w:val="single" w:sz="4" w:space="0" w:color="auto"/>
              <w:bottom w:val="nil"/>
            </w:tcBorders>
            <w:shd w:val="clear" w:color="auto" w:fill="auto"/>
          </w:tcPr>
          <w:p w14:paraId="68B724B5" w14:textId="60B7B3E8" w:rsidR="00893B9F" w:rsidRPr="00CF7FD4" w:rsidRDefault="00893B9F" w:rsidP="00CF7FD4">
            <w:pPr>
              <w:snapToGrid w:val="0"/>
              <w:spacing w:line="360" w:lineRule="auto"/>
              <w:jc w:val="both"/>
              <w:rPr>
                <w:rFonts w:ascii="Book Antiqua" w:hAnsi="Book Antiqua"/>
              </w:rPr>
            </w:pPr>
            <w:r w:rsidRPr="00CF7FD4">
              <w:rPr>
                <w:rFonts w:ascii="Book Antiqua" w:hAnsi="Book Antiqua"/>
              </w:rPr>
              <w:t>90 (39-118)</w:t>
            </w:r>
            <w:r w:rsidR="00B702F2" w:rsidRPr="00CF7FD4">
              <w:rPr>
                <w:rFonts w:ascii="Book Antiqua" w:hAnsi="Book Antiqua"/>
                <w:vertAlign w:val="superscript"/>
              </w:rPr>
              <w:t>e</w:t>
            </w:r>
          </w:p>
        </w:tc>
        <w:tc>
          <w:tcPr>
            <w:tcW w:w="600" w:type="pct"/>
            <w:tcBorders>
              <w:top w:val="single" w:sz="4" w:space="0" w:color="00000A"/>
              <w:bottom w:val="nil"/>
            </w:tcBorders>
          </w:tcPr>
          <w:p w14:paraId="55082485"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to" w:fill="auto"/>
          </w:tcPr>
          <w:p w14:paraId="77C303C2"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nil"/>
            </w:tcBorders>
            <w:shd w:val="clear" w:color="auto" w:fill="auto"/>
          </w:tcPr>
          <w:p w14:paraId="0F741D9E" w14:textId="7FAA5EC1" w:rsidR="00893B9F" w:rsidRPr="00CF7FD4" w:rsidRDefault="00893B9F" w:rsidP="00CF7FD4">
            <w:pPr>
              <w:snapToGrid w:val="0"/>
              <w:spacing w:line="360" w:lineRule="auto"/>
              <w:jc w:val="both"/>
              <w:rPr>
                <w:rFonts w:ascii="Book Antiqua" w:hAnsi="Book Antiqua"/>
              </w:rPr>
            </w:pPr>
            <w:r w:rsidRPr="00CF7FD4">
              <w:rPr>
                <w:rFonts w:ascii="Book Antiqua" w:hAnsi="Book Antiqua"/>
              </w:rPr>
              <w:t>1 (1-4)</w:t>
            </w:r>
          </w:p>
        </w:tc>
        <w:tc>
          <w:tcPr>
            <w:tcW w:w="723" w:type="pct"/>
            <w:tcBorders>
              <w:top w:val="nil"/>
              <w:bottom w:val="nil"/>
            </w:tcBorders>
            <w:shd w:val="clear" w:color="auto" w:fill="auto"/>
          </w:tcPr>
          <w:p w14:paraId="74A0FEDA" w14:textId="2B1D11F3" w:rsidR="00893B9F" w:rsidRPr="00CF7FD4" w:rsidRDefault="00893B9F" w:rsidP="00CF7FD4">
            <w:pPr>
              <w:snapToGrid w:val="0"/>
              <w:spacing w:line="360" w:lineRule="auto"/>
              <w:jc w:val="both"/>
              <w:rPr>
                <w:rFonts w:ascii="Book Antiqua" w:hAnsi="Book Antiqua"/>
              </w:rPr>
            </w:pPr>
            <w:r w:rsidRPr="00CF7FD4">
              <w:rPr>
                <w:rFonts w:ascii="Book Antiqua" w:hAnsi="Book Antiqua"/>
              </w:rPr>
              <w:t>5 (3-8)</w:t>
            </w:r>
            <w:r w:rsidR="00B702F2" w:rsidRPr="00CF7FD4">
              <w:rPr>
                <w:rFonts w:ascii="Book Antiqua" w:hAnsi="Book Antiqua"/>
                <w:vertAlign w:val="superscript"/>
              </w:rPr>
              <w:t>e</w:t>
            </w:r>
          </w:p>
        </w:tc>
        <w:tc>
          <w:tcPr>
            <w:tcW w:w="723" w:type="pct"/>
            <w:tcBorders>
              <w:top w:val="nil"/>
              <w:bottom w:val="nil"/>
            </w:tcBorders>
            <w:shd w:val="clear" w:color="auto" w:fill="auto"/>
          </w:tcPr>
          <w:p w14:paraId="5F5DE3D6" w14:textId="2AECE462" w:rsidR="00893B9F" w:rsidRPr="00CF7FD4" w:rsidRDefault="00893B9F" w:rsidP="00CF7FD4">
            <w:pPr>
              <w:snapToGrid w:val="0"/>
              <w:spacing w:line="360" w:lineRule="auto"/>
              <w:jc w:val="both"/>
              <w:rPr>
                <w:rFonts w:ascii="Book Antiqua" w:hAnsi="Book Antiqua"/>
              </w:rPr>
            </w:pPr>
            <w:r w:rsidRPr="00CF7FD4">
              <w:rPr>
                <w:rFonts w:ascii="Book Antiqua" w:hAnsi="Book Antiqua"/>
              </w:rPr>
              <w:t>2 (1-3)</w:t>
            </w:r>
          </w:p>
        </w:tc>
        <w:tc>
          <w:tcPr>
            <w:tcW w:w="723" w:type="pct"/>
            <w:tcBorders>
              <w:top w:val="nil"/>
              <w:bottom w:val="nil"/>
            </w:tcBorders>
            <w:shd w:val="clear" w:color="auto" w:fill="auto"/>
          </w:tcPr>
          <w:p w14:paraId="2FFA5F49" w14:textId="48DC06AE" w:rsidR="00893B9F" w:rsidRPr="00CF7FD4" w:rsidRDefault="00893B9F" w:rsidP="00CF7FD4">
            <w:pPr>
              <w:snapToGrid w:val="0"/>
              <w:spacing w:line="360" w:lineRule="auto"/>
              <w:jc w:val="both"/>
              <w:rPr>
                <w:rFonts w:ascii="Book Antiqua" w:hAnsi="Book Antiqua"/>
              </w:rPr>
            </w:pPr>
            <w:r w:rsidRPr="00CF7FD4">
              <w:rPr>
                <w:rFonts w:ascii="Book Antiqua" w:hAnsi="Book Antiqua"/>
              </w:rPr>
              <w:t>6 (3-9)</w:t>
            </w:r>
            <w:r w:rsidR="00B702F2" w:rsidRPr="00CF7FD4">
              <w:rPr>
                <w:rFonts w:ascii="Book Antiqua" w:hAnsi="Book Antiqua"/>
                <w:vertAlign w:val="superscript"/>
              </w:rPr>
              <w:t>e</w:t>
            </w:r>
          </w:p>
        </w:tc>
        <w:tc>
          <w:tcPr>
            <w:tcW w:w="600" w:type="pct"/>
            <w:tcBorders>
              <w:top w:val="nil"/>
              <w:bottom w:val="nil"/>
            </w:tcBorders>
          </w:tcPr>
          <w:p w14:paraId="3326457E"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0.075</w:t>
            </w:r>
          </w:p>
        </w:tc>
      </w:tr>
      <w:tr w:rsidR="00893B9F" w:rsidRPr="00CF7FD4" w14:paraId="7BE16AEA" w14:textId="77777777" w:rsidTr="00853231">
        <w:tc>
          <w:tcPr>
            <w:tcW w:w="1509" w:type="pct"/>
            <w:tcBorders>
              <w:top w:val="nil"/>
              <w:bottom w:val="nil"/>
            </w:tcBorders>
            <w:shd w:val="clear" w:color="auto" w:fill="auto"/>
          </w:tcPr>
          <w:p w14:paraId="0EC6C798"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nil"/>
            </w:tcBorders>
            <w:shd w:val="clear" w:color="auto" w:fill="auto"/>
          </w:tcPr>
          <w:p w14:paraId="7AE3B91A" w14:textId="46D07E6B" w:rsidR="00893B9F" w:rsidRPr="00CF7FD4" w:rsidRDefault="00893B9F" w:rsidP="00CF7FD4">
            <w:pPr>
              <w:snapToGrid w:val="0"/>
              <w:spacing w:line="360" w:lineRule="auto"/>
              <w:jc w:val="both"/>
              <w:rPr>
                <w:rFonts w:ascii="Book Antiqua" w:hAnsi="Book Antiqua"/>
              </w:rPr>
            </w:pPr>
            <w:r w:rsidRPr="00CF7FD4">
              <w:rPr>
                <w:rFonts w:ascii="Book Antiqua" w:hAnsi="Book Antiqua"/>
              </w:rPr>
              <w:t>13 (9-17)</w:t>
            </w:r>
          </w:p>
        </w:tc>
        <w:tc>
          <w:tcPr>
            <w:tcW w:w="723" w:type="pct"/>
            <w:tcBorders>
              <w:top w:val="nil"/>
              <w:bottom w:val="nil"/>
            </w:tcBorders>
            <w:shd w:val="clear" w:color="auto" w:fill="auto"/>
          </w:tcPr>
          <w:p w14:paraId="0D412511" w14:textId="0B29F2FE" w:rsidR="00893B9F" w:rsidRPr="00CF7FD4" w:rsidRDefault="00893B9F" w:rsidP="00CF7FD4">
            <w:pPr>
              <w:snapToGrid w:val="0"/>
              <w:spacing w:line="360" w:lineRule="auto"/>
              <w:jc w:val="both"/>
              <w:rPr>
                <w:rFonts w:ascii="Book Antiqua" w:hAnsi="Book Antiqua"/>
              </w:rPr>
            </w:pPr>
            <w:r w:rsidRPr="00CF7FD4">
              <w:rPr>
                <w:rFonts w:ascii="Book Antiqua" w:hAnsi="Book Antiqua"/>
              </w:rPr>
              <w:t>13 (9-26)</w:t>
            </w:r>
          </w:p>
        </w:tc>
        <w:tc>
          <w:tcPr>
            <w:tcW w:w="723" w:type="pct"/>
            <w:tcBorders>
              <w:top w:val="nil"/>
              <w:bottom w:val="nil"/>
            </w:tcBorders>
            <w:shd w:val="clear" w:color="auto" w:fill="auto"/>
          </w:tcPr>
          <w:p w14:paraId="1737B227" w14:textId="503C43E0" w:rsidR="00893B9F" w:rsidRPr="00CF7FD4" w:rsidRDefault="00893B9F" w:rsidP="00CF7FD4">
            <w:pPr>
              <w:snapToGrid w:val="0"/>
              <w:spacing w:line="360" w:lineRule="auto"/>
              <w:jc w:val="both"/>
              <w:rPr>
                <w:rFonts w:ascii="Book Antiqua" w:hAnsi="Book Antiqua"/>
              </w:rPr>
            </w:pPr>
            <w:r w:rsidRPr="00CF7FD4">
              <w:rPr>
                <w:rFonts w:ascii="Book Antiqua" w:hAnsi="Book Antiqua"/>
              </w:rPr>
              <w:t>10 (7-18)</w:t>
            </w:r>
          </w:p>
        </w:tc>
        <w:tc>
          <w:tcPr>
            <w:tcW w:w="723" w:type="pct"/>
            <w:tcBorders>
              <w:top w:val="nil"/>
              <w:bottom w:val="nil"/>
            </w:tcBorders>
            <w:shd w:val="clear" w:color="auto" w:fill="auto"/>
          </w:tcPr>
          <w:p w14:paraId="4EBA45C1" w14:textId="5BE00404" w:rsidR="00893B9F" w:rsidRPr="00CF7FD4" w:rsidRDefault="00893B9F" w:rsidP="00CF7FD4">
            <w:pPr>
              <w:snapToGrid w:val="0"/>
              <w:spacing w:line="360" w:lineRule="auto"/>
              <w:jc w:val="both"/>
              <w:rPr>
                <w:rFonts w:ascii="Book Antiqua" w:hAnsi="Book Antiqua"/>
              </w:rPr>
            </w:pPr>
            <w:r w:rsidRPr="00CF7FD4">
              <w:rPr>
                <w:rFonts w:ascii="Book Antiqua" w:hAnsi="Book Antiqua"/>
              </w:rPr>
              <w:t>14 (10-19)</w:t>
            </w:r>
            <w:r w:rsidRPr="00CF7FD4">
              <w:rPr>
                <w:rFonts w:ascii="Book Antiqua" w:hAnsi="Book Antiqua"/>
                <w:vertAlign w:val="superscript"/>
              </w:rPr>
              <w:t>b</w:t>
            </w:r>
          </w:p>
        </w:tc>
        <w:tc>
          <w:tcPr>
            <w:tcW w:w="600" w:type="pct"/>
            <w:tcBorders>
              <w:top w:val="nil"/>
              <w:bottom w:val="nil"/>
            </w:tcBorders>
          </w:tcPr>
          <w:p w14:paraId="5B12D0CF"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0.257</w:t>
            </w:r>
          </w:p>
        </w:tc>
      </w:tr>
      <w:tr w:rsidR="00893B9F" w:rsidRPr="00CF7FD4" w14:paraId="5BBA7B5C" w14:textId="77777777" w:rsidTr="00853231">
        <w:tc>
          <w:tcPr>
            <w:tcW w:w="1509" w:type="pct"/>
            <w:tcBorders>
              <w:top w:val="nil"/>
              <w:bottom w:val="nil"/>
            </w:tcBorders>
            <w:shd w:val="clear" w:color="auto" w:fill="auto"/>
          </w:tcPr>
          <w:p w14:paraId="11CF8B6C"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723" w:type="pct"/>
            <w:tcBorders>
              <w:top w:val="nil"/>
              <w:bottom w:val="nil"/>
            </w:tcBorders>
            <w:shd w:val="clear" w:color="auto" w:fill="auto"/>
          </w:tcPr>
          <w:p w14:paraId="62245DD0" w14:textId="1B217953" w:rsidR="00893B9F" w:rsidRPr="00CF7FD4" w:rsidRDefault="00893B9F" w:rsidP="00CF7FD4">
            <w:pPr>
              <w:snapToGrid w:val="0"/>
              <w:spacing w:line="360" w:lineRule="auto"/>
              <w:jc w:val="both"/>
              <w:rPr>
                <w:rFonts w:ascii="Book Antiqua" w:hAnsi="Book Antiqua"/>
              </w:rPr>
            </w:pPr>
            <w:r w:rsidRPr="00CF7FD4">
              <w:rPr>
                <w:rFonts w:ascii="Book Antiqua" w:hAnsi="Book Antiqua"/>
              </w:rPr>
              <w:t>186 (141-361)</w:t>
            </w:r>
          </w:p>
        </w:tc>
        <w:tc>
          <w:tcPr>
            <w:tcW w:w="723" w:type="pct"/>
            <w:tcBorders>
              <w:top w:val="nil"/>
              <w:bottom w:val="nil"/>
            </w:tcBorders>
            <w:shd w:val="clear" w:color="auto" w:fill="auto"/>
          </w:tcPr>
          <w:p w14:paraId="282FDB84" w14:textId="694FCC34" w:rsidR="00893B9F" w:rsidRPr="00CF7FD4" w:rsidRDefault="00893B9F" w:rsidP="00CF7FD4">
            <w:pPr>
              <w:snapToGrid w:val="0"/>
              <w:spacing w:line="360" w:lineRule="auto"/>
              <w:jc w:val="both"/>
              <w:rPr>
                <w:rFonts w:ascii="Book Antiqua" w:hAnsi="Book Antiqua"/>
              </w:rPr>
            </w:pPr>
            <w:r w:rsidRPr="00CF7FD4">
              <w:rPr>
                <w:rFonts w:ascii="Book Antiqua" w:hAnsi="Book Antiqua"/>
              </w:rPr>
              <w:t>488 (247-658)</w:t>
            </w:r>
            <w:r w:rsidR="005125A8" w:rsidRPr="00CF7FD4">
              <w:rPr>
                <w:rFonts w:ascii="Book Antiqua" w:hAnsi="Book Antiqua"/>
                <w:vertAlign w:val="superscript"/>
              </w:rPr>
              <w:t>e</w:t>
            </w:r>
          </w:p>
        </w:tc>
        <w:tc>
          <w:tcPr>
            <w:tcW w:w="723" w:type="pct"/>
            <w:tcBorders>
              <w:top w:val="nil"/>
              <w:bottom w:val="nil"/>
            </w:tcBorders>
            <w:shd w:val="clear" w:color="auto" w:fill="auto"/>
          </w:tcPr>
          <w:p w14:paraId="4F052075" w14:textId="67B819E1" w:rsidR="00893B9F" w:rsidRPr="00CF7FD4" w:rsidRDefault="00893B9F" w:rsidP="00CF7FD4">
            <w:pPr>
              <w:snapToGrid w:val="0"/>
              <w:spacing w:line="360" w:lineRule="auto"/>
              <w:jc w:val="both"/>
              <w:rPr>
                <w:rFonts w:ascii="Book Antiqua" w:hAnsi="Book Antiqua"/>
              </w:rPr>
            </w:pPr>
            <w:r w:rsidRPr="00CF7FD4">
              <w:rPr>
                <w:rFonts w:ascii="Book Antiqua" w:hAnsi="Book Antiqua"/>
              </w:rPr>
              <w:t>218 (158-247)</w:t>
            </w:r>
          </w:p>
        </w:tc>
        <w:tc>
          <w:tcPr>
            <w:tcW w:w="723" w:type="pct"/>
            <w:tcBorders>
              <w:top w:val="nil"/>
              <w:bottom w:val="nil"/>
            </w:tcBorders>
            <w:shd w:val="clear" w:color="auto" w:fill="auto"/>
          </w:tcPr>
          <w:p w14:paraId="12BB099D" w14:textId="5D5C013B" w:rsidR="00893B9F" w:rsidRPr="00CF7FD4" w:rsidRDefault="00893B9F" w:rsidP="00CF7FD4">
            <w:pPr>
              <w:snapToGrid w:val="0"/>
              <w:spacing w:line="360" w:lineRule="auto"/>
              <w:jc w:val="both"/>
              <w:rPr>
                <w:rFonts w:ascii="Book Antiqua" w:hAnsi="Book Antiqua"/>
              </w:rPr>
            </w:pPr>
            <w:r w:rsidRPr="00CF7FD4">
              <w:rPr>
                <w:rFonts w:ascii="Book Antiqua" w:hAnsi="Book Antiqua"/>
              </w:rPr>
              <w:t>311 (254-569)</w:t>
            </w:r>
            <w:r w:rsidR="00B702F2" w:rsidRPr="00CF7FD4">
              <w:rPr>
                <w:rFonts w:ascii="Book Antiqua" w:hAnsi="Book Antiqua"/>
                <w:vertAlign w:val="superscript"/>
              </w:rPr>
              <w:t>e</w:t>
            </w:r>
          </w:p>
        </w:tc>
        <w:tc>
          <w:tcPr>
            <w:tcW w:w="600" w:type="pct"/>
            <w:tcBorders>
              <w:top w:val="nil"/>
              <w:bottom w:val="nil"/>
            </w:tcBorders>
          </w:tcPr>
          <w:p w14:paraId="2C6C8F19"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0.101</w:t>
            </w:r>
          </w:p>
        </w:tc>
      </w:tr>
      <w:tr w:rsidR="00893B9F" w:rsidRPr="00CF7FD4" w14:paraId="66E613A1" w14:textId="77777777" w:rsidTr="00853231">
        <w:trPr>
          <w:trHeight w:val="317"/>
        </w:trPr>
        <w:tc>
          <w:tcPr>
            <w:tcW w:w="1509" w:type="pct"/>
            <w:tcBorders>
              <w:top w:val="nil"/>
              <w:bottom w:val="single" w:sz="4" w:space="0" w:color="00000A"/>
            </w:tcBorders>
            <w:shd w:val="clear" w:color="auto" w:fill="auto"/>
          </w:tcPr>
          <w:p w14:paraId="1C1B6AFD" w14:textId="77777777" w:rsidR="00893B9F" w:rsidRPr="00CF7FD4" w:rsidRDefault="00893B9F" w:rsidP="00CF7FD4">
            <w:pPr>
              <w:snapToGrid w:val="0"/>
              <w:spacing w:line="360" w:lineRule="auto"/>
              <w:jc w:val="both"/>
              <w:rPr>
                <w:rFonts w:ascii="Book Antiqua" w:hAnsi="Book Antiqua"/>
                <w:iCs/>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723" w:type="pct"/>
            <w:tcBorders>
              <w:top w:val="nil"/>
              <w:bottom w:val="single" w:sz="4" w:space="0" w:color="00000A"/>
            </w:tcBorders>
            <w:shd w:val="clear" w:color="auto" w:fill="auto"/>
          </w:tcPr>
          <w:p w14:paraId="62E43B55" w14:textId="6C477ACE" w:rsidR="00893B9F" w:rsidRPr="00CF7FD4" w:rsidRDefault="00893B9F" w:rsidP="00CF7FD4">
            <w:pPr>
              <w:snapToGrid w:val="0"/>
              <w:spacing w:line="360" w:lineRule="auto"/>
              <w:jc w:val="both"/>
              <w:rPr>
                <w:rFonts w:ascii="Book Antiqua" w:hAnsi="Book Antiqua"/>
              </w:rPr>
            </w:pPr>
            <w:r w:rsidRPr="00CF7FD4">
              <w:rPr>
                <w:rFonts w:ascii="Book Antiqua" w:hAnsi="Book Antiqua"/>
              </w:rPr>
              <w:t>2 (1-2)</w:t>
            </w:r>
          </w:p>
        </w:tc>
        <w:tc>
          <w:tcPr>
            <w:tcW w:w="723" w:type="pct"/>
            <w:tcBorders>
              <w:top w:val="nil"/>
              <w:bottom w:val="single" w:sz="4" w:space="0" w:color="00000A"/>
            </w:tcBorders>
            <w:shd w:val="clear" w:color="auto" w:fill="auto"/>
          </w:tcPr>
          <w:p w14:paraId="68C51A65" w14:textId="3FEF950D" w:rsidR="00893B9F" w:rsidRPr="00CF7FD4" w:rsidRDefault="00893B9F" w:rsidP="00CF7FD4">
            <w:pPr>
              <w:snapToGrid w:val="0"/>
              <w:spacing w:line="360" w:lineRule="auto"/>
              <w:jc w:val="both"/>
              <w:rPr>
                <w:rFonts w:ascii="Book Antiqua" w:hAnsi="Book Antiqua"/>
              </w:rPr>
            </w:pPr>
            <w:r w:rsidRPr="00CF7FD4">
              <w:rPr>
                <w:rFonts w:ascii="Book Antiqua" w:hAnsi="Book Antiqua"/>
              </w:rPr>
              <w:t>3 (2-5)</w:t>
            </w:r>
            <w:r w:rsidR="00B702F2" w:rsidRPr="00CF7FD4">
              <w:rPr>
                <w:rFonts w:ascii="Book Antiqua" w:hAnsi="Book Antiqua"/>
                <w:vertAlign w:val="superscript"/>
              </w:rPr>
              <w:t>e</w:t>
            </w:r>
          </w:p>
        </w:tc>
        <w:tc>
          <w:tcPr>
            <w:tcW w:w="723" w:type="pct"/>
            <w:tcBorders>
              <w:top w:val="nil"/>
              <w:bottom w:val="single" w:sz="4" w:space="0" w:color="00000A"/>
            </w:tcBorders>
            <w:shd w:val="clear" w:color="auto" w:fill="auto"/>
          </w:tcPr>
          <w:p w14:paraId="6C9291D2" w14:textId="45A117A0" w:rsidR="00893B9F" w:rsidRPr="00CF7FD4" w:rsidRDefault="00893B9F" w:rsidP="00CF7FD4">
            <w:pPr>
              <w:snapToGrid w:val="0"/>
              <w:spacing w:line="360" w:lineRule="auto"/>
              <w:jc w:val="both"/>
              <w:rPr>
                <w:rFonts w:ascii="Book Antiqua" w:hAnsi="Book Antiqua"/>
              </w:rPr>
            </w:pPr>
            <w:r w:rsidRPr="00CF7FD4">
              <w:rPr>
                <w:rFonts w:ascii="Book Antiqua" w:hAnsi="Book Antiqua"/>
              </w:rPr>
              <w:t>1 (1-2)</w:t>
            </w:r>
          </w:p>
        </w:tc>
        <w:tc>
          <w:tcPr>
            <w:tcW w:w="723" w:type="pct"/>
            <w:tcBorders>
              <w:top w:val="nil"/>
              <w:bottom w:val="single" w:sz="4" w:space="0" w:color="00000A"/>
            </w:tcBorders>
            <w:shd w:val="clear" w:color="auto" w:fill="auto"/>
          </w:tcPr>
          <w:p w14:paraId="4DF10C2A" w14:textId="25FE6529" w:rsidR="00893B9F" w:rsidRPr="00CF7FD4" w:rsidRDefault="00893B9F" w:rsidP="00CF7FD4">
            <w:pPr>
              <w:snapToGrid w:val="0"/>
              <w:spacing w:line="360" w:lineRule="auto"/>
              <w:jc w:val="both"/>
              <w:rPr>
                <w:rFonts w:ascii="Book Antiqua" w:hAnsi="Book Antiqua"/>
              </w:rPr>
            </w:pPr>
            <w:r w:rsidRPr="00CF7FD4">
              <w:rPr>
                <w:rFonts w:ascii="Book Antiqua" w:hAnsi="Book Antiqua"/>
              </w:rPr>
              <w:t>4 (2-6)</w:t>
            </w:r>
            <w:r w:rsidR="00B702F2" w:rsidRPr="00CF7FD4">
              <w:rPr>
                <w:rFonts w:ascii="Book Antiqua" w:hAnsi="Book Antiqua"/>
                <w:vertAlign w:val="superscript"/>
              </w:rPr>
              <w:t>e</w:t>
            </w:r>
          </w:p>
        </w:tc>
        <w:tc>
          <w:tcPr>
            <w:tcW w:w="600" w:type="pct"/>
            <w:tcBorders>
              <w:top w:val="nil"/>
              <w:bottom w:val="single" w:sz="4" w:space="0" w:color="00000A"/>
            </w:tcBorders>
          </w:tcPr>
          <w:p w14:paraId="336C903C" w14:textId="77777777" w:rsidR="00893B9F" w:rsidRPr="00CF7FD4" w:rsidRDefault="00893B9F" w:rsidP="00CF7FD4">
            <w:pPr>
              <w:snapToGrid w:val="0"/>
              <w:spacing w:line="360" w:lineRule="auto"/>
              <w:jc w:val="both"/>
              <w:rPr>
                <w:rFonts w:ascii="Book Antiqua" w:hAnsi="Book Antiqua"/>
              </w:rPr>
            </w:pPr>
            <w:r w:rsidRPr="00CF7FD4">
              <w:rPr>
                <w:rFonts w:ascii="Book Antiqua" w:hAnsi="Book Antiqua"/>
              </w:rPr>
              <w:t>0.471</w:t>
            </w:r>
          </w:p>
        </w:tc>
      </w:tr>
    </w:tbl>
    <w:p w14:paraId="0F5B9F25" w14:textId="317B8F8E" w:rsidR="009D25A8" w:rsidRPr="00CF7FD4" w:rsidRDefault="00853231" w:rsidP="00CF7FD4">
      <w:pPr>
        <w:snapToGrid w:val="0"/>
        <w:spacing w:line="360" w:lineRule="auto"/>
        <w:jc w:val="both"/>
        <w:rPr>
          <w:rFonts w:ascii="Book Antiqua" w:hAnsi="Book Antiqua"/>
          <w:bCs/>
        </w:rPr>
      </w:pPr>
      <w:r w:rsidRPr="00CF7FD4">
        <w:rPr>
          <w:rFonts w:ascii="Book Antiqua" w:hAnsi="Book Antiqua"/>
          <w:bCs/>
        </w:rPr>
        <w:t xml:space="preserve">Difference within each severity group </w:t>
      </w:r>
      <w:r w:rsidRPr="00CF7FD4">
        <w:rPr>
          <w:rFonts w:ascii="Book Antiqua" w:hAnsi="Book Antiqua"/>
          <w:bCs/>
          <w:vertAlign w:val="superscript"/>
        </w:rPr>
        <w:t>b</w:t>
      </w:r>
      <w:r w:rsidRPr="00CF7FD4">
        <w:rPr>
          <w:rFonts w:ascii="Book Antiqua" w:hAnsi="Book Antiqua"/>
          <w:bCs/>
          <w:i/>
          <w:iCs/>
        </w:rPr>
        <w:t>P</w:t>
      </w:r>
      <w:r w:rsidRPr="00CF7FD4">
        <w:rPr>
          <w:rFonts w:ascii="Book Antiqua" w:hAnsi="Book Antiqua"/>
          <w:bCs/>
        </w:rPr>
        <w:t xml:space="preserve"> &lt; 0.01</w:t>
      </w:r>
      <w:r w:rsidR="00B702F2" w:rsidRPr="00CF7FD4">
        <w:rPr>
          <w:rFonts w:ascii="Book Antiqua" w:hAnsi="Book Antiqua"/>
          <w:bCs/>
        </w:rPr>
        <w:t>,</w:t>
      </w:r>
      <w:r w:rsidR="00B702F2" w:rsidRPr="00CF7FD4">
        <w:rPr>
          <w:rFonts w:ascii="Book Antiqua" w:hAnsi="Book Antiqua"/>
          <w:vertAlign w:val="superscript"/>
        </w:rPr>
        <w:t xml:space="preserve"> e</w:t>
      </w:r>
      <w:r w:rsidR="00B702F2" w:rsidRPr="00CF7FD4">
        <w:rPr>
          <w:rFonts w:ascii="Book Antiqua" w:hAnsi="Book Antiqua"/>
          <w:bCs/>
          <w:i/>
          <w:iCs/>
        </w:rPr>
        <w:t>P</w:t>
      </w:r>
      <w:r w:rsidR="00B702F2" w:rsidRPr="00CF7FD4">
        <w:rPr>
          <w:rFonts w:ascii="Book Antiqua" w:hAnsi="Book Antiqua"/>
          <w:bCs/>
        </w:rPr>
        <w:t xml:space="preserve"> &lt; 0.001</w:t>
      </w:r>
      <w:r w:rsidRPr="00CF7FD4">
        <w:rPr>
          <w:rFonts w:ascii="Book Antiqua" w:hAnsi="Book Antiqua"/>
          <w:bCs/>
        </w:rPr>
        <w:t xml:space="preserve">. </w:t>
      </w:r>
      <w:r w:rsidR="00CF7FD4" w:rsidRPr="00CF7FD4">
        <w:rPr>
          <w:rFonts w:ascii="Book Antiqua" w:hAnsi="Book Antiqua"/>
          <w:bCs/>
        </w:rPr>
        <w:t>CPET: Cardiopulmonary exercise testing</w:t>
      </w:r>
      <w:r w:rsidR="00CF7FD4">
        <w:rPr>
          <w:rFonts w:ascii="Book Antiqua" w:hAnsi="Book Antiqua"/>
          <w:bCs/>
        </w:rPr>
        <w:t>;</w:t>
      </w:r>
      <w:r w:rsidR="00CF7FD4" w:rsidRPr="00CF7FD4">
        <w:rPr>
          <w:rFonts w:ascii="Book Antiqua" w:hAnsi="Book Antiqua"/>
          <w:bCs/>
          <w:iCs/>
        </w:rPr>
        <w:t xml:space="preserve"> </w:t>
      </w:r>
      <w:r w:rsidRPr="00CF7FD4">
        <w:rPr>
          <w:rFonts w:ascii="Book Antiqua" w:hAnsi="Book Antiqua"/>
          <w:bCs/>
          <w:iCs/>
        </w:rPr>
        <w:t>VO</w:t>
      </w:r>
      <w:r w:rsidRPr="00CF7FD4">
        <w:rPr>
          <w:rFonts w:ascii="Book Antiqua" w:hAnsi="Book Antiqua"/>
          <w:bCs/>
          <w:iCs/>
          <w:vertAlign w:val="subscript"/>
        </w:rPr>
        <w:t>2</w:t>
      </w:r>
      <w:r w:rsidRPr="00CF7FD4">
        <w:rPr>
          <w:rFonts w:ascii="Book Antiqua" w:hAnsi="Book Antiqua"/>
          <w:bCs/>
          <w:iCs/>
        </w:rPr>
        <w:t>:</w:t>
      </w:r>
      <w:r w:rsidRPr="00CF7FD4">
        <w:rPr>
          <w:rFonts w:ascii="Book Antiqua" w:hAnsi="Book Antiqua"/>
          <w:b/>
          <w:iCs/>
        </w:rPr>
        <w:t xml:space="preserve"> </w:t>
      </w:r>
      <w:r w:rsidRPr="00CF7FD4">
        <w:rPr>
          <w:rFonts w:ascii="Book Antiqua" w:hAnsi="Book Antiqua"/>
          <w:iCs/>
        </w:rPr>
        <w:t>Oxygen uptake</w:t>
      </w:r>
      <w:r w:rsidRPr="00CF7FD4">
        <w:rPr>
          <w:rFonts w:ascii="Book Antiqua" w:hAnsi="Book Antiqua"/>
          <w:bCs/>
        </w:rPr>
        <w:t>.</w:t>
      </w:r>
    </w:p>
    <w:p w14:paraId="658A9C7D" w14:textId="4B9D8428" w:rsidR="00F2479A" w:rsidRPr="00CF7FD4" w:rsidRDefault="009D25A8" w:rsidP="00CF7FD4">
      <w:pPr>
        <w:snapToGrid w:val="0"/>
        <w:spacing w:line="360" w:lineRule="auto"/>
        <w:jc w:val="both"/>
        <w:rPr>
          <w:rFonts w:ascii="Book Antiqua" w:hAnsi="Book Antiqua"/>
          <w:b/>
        </w:rPr>
      </w:pPr>
      <w:r w:rsidRPr="00CF7FD4">
        <w:rPr>
          <w:rFonts w:ascii="Book Antiqua" w:hAnsi="Book Antiqua"/>
          <w:bCs/>
        </w:rPr>
        <w:br w:type="page"/>
      </w:r>
      <w:r w:rsidR="005F194B" w:rsidRPr="00CF7FD4">
        <w:rPr>
          <w:rFonts w:ascii="Book Antiqua" w:hAnsi="Book Antiqua"/>
          <w:b/>
        </w:rPr>
        <w:lastRenderedPageBreak/>
        <w:t xml:space="preserve">Table 3 Acute mobilization of endothelial cellular populations after a symptom-limited cardiopulmonary exercise testing of different severity groups according to </w:t>
      </w:r>
    </w:p>
    <w:tbl>
      <w:tblPr>
        <w:tblpPr w:leftFromText="180" w:rightFromText="180" w:vertAnchor="text" w:horzAnchor="margin" w:tblpY="355"/>
        <w:tblW w:w="964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3172"/>
        <w:gridCol w:w="1337"/>
        <w:gridCol w:w="1310"/>
        <w:gridCol w:w="1342"/>
        <w:gridCol w:w="1329"/>
        <w:gridCol w:w="1150"/>
      </w:tblGrid>
      <w:tr w:rsidR="004C7B53" w:rsidRPr="00CF7FD4" w14:paraId="3E51822E" w14:textId="77777777" w:rsidTr="004C7B53">
        <w:trPr>
          <w:trHeight w:val="771"/>
        </w:trPr>
        <w:tc>
          <w:tcPr>
            <w:tcW w:w="0" w:type="auto"/>
            <w:vMerge w:val="restart"/>
            <w:tcBorders>
              <w:top w:val="single" w:sz="4" w:space="0" w:color="auto"/>
              <w:left w:val="nil"/>
              <w:bottom w:val="single" w:sz="4" w:space="0" w:color="auto"/>
              <w:right w:val="nil"/>
            </w:tcBorders>
            <w:shd w:val="clear" w:color="auto" w:fill="auto"/>
          </w:tcPr>
          <w:p w14:paraId="44A74655" w14:textId="77777777"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Endothelial cellular populations</w:t>
            </w:r>
          </w:p>
        </w:tc>
        <w:tc>
          <w:tcPr>
            <w:tcW w:w="0" w:type="auto"/>
            <w:gridSpan w:val="2"/>
            <w:tcBorders>
              <w:top w:val="single" w:sz="4" w:space="0" w:color="auto"/>
              <w:left w:val="nil"/>
              <w:bottom w:val="single" w:sz="4" w:space="0" w:color="auto"/>
              <w:right w:val="nil"/>
            </w:tcBorders>
            <w:shd w:val="clear" w:color="auto" w:fill="auto"/>
            <w:tcMar>
              <w:left w:w="83" w:type="dxa"/>
            </w:tcMar>
          </w:tcPr>
          <w:p w14:paraId="60420457" w14:textId="629CE4C0"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Group 1</w:t>
            </w:r>
            <w:r w:rsidR="00167EA1">
              <w:rPr>
                <w:rFonts w:ascii="Book Antiqua" w:hAnsi="Book Antiqua"/>
                <w:b/>
              </w:rPr>
              <w:t xml:space="preserve"> of </w:t>
            </w:r>
            <w:proofErr w:type="gramStart"/>
            <w:r w:rsidRPr="00CF7FD4">
              <w:rPr>
                <w:rFonts w:ascii="Book Antiqua" w:hAnsi="Book Antiqua"/>
                <w:b/>
                <w:i/>
                <w:iCs/>
              </w:rPr>
              <w:t>n</w:t>
            </w:r>
            <w:proofErr w:type="gramEnd"/>
            <w:r w:rsidRPr="00CF7FD4">
              <w:rPr>
                <w:rFonts w:ascii="Book Antiqua" w:hAnsi="Book Antiqua"/>
                <w:b/>
              </w:rPr>
              <w:t xml:space="preserve"> = 27</w:t>
            </w:r>
            <w:r w:rsidRPr="00CF7FD4">
              <w:rPr>
                <w:rFonts w:ascii="Book Antiqua" w:hAnsi="Book Antiqua"/>
                <w:b/>
                <w:lang w:eastAsia="zh-CN"/>
              </w:rPr>
              <w:t xml:space="preserve">, </w:t>
            </w:r>
            <w:r w:rsidRPr="00CF7FD4">
              <w:rPr>
                <w:rFonts w:ascii="Book Antiqua" w:hAnsi="Book Antiqua"/>
                <w:b/>
              </w:rPr>
              <w:t>VE/VCO</w:t>
            </w:r>
            <w:r w:rsidRPr="00CF7FD4">
              <w:rPr>
                <w:rFonts w:ascii="Book Antiqua" w:hAnsi="Book Antiqua"/>
                <w:b/>
                <w:vertAlign w:val="subscript"/>
              </w:rPr>
              <w:t>2</w:t>
            </w:r>
            <w:r w:rsidRPr="00CF7FD4">
              <w:rPr>
                <w:rFonts w:ascii="Book Antiqua" w:hAnsi="Book Antiqua"/>
                <w:b/>
              </w:rPr>
              <w:t xml:space="preserve"> slope</w:t>
            </w:r>
            <w:r w:rsidRPr="00CF7FD4">
              <w:rPr>
                <w:rFonts w:ascii="Book Antiqua" w:hAnsi="Book Antiqua"/>
                <w:b/>
                <w:vertAlign w:val="subscript"/>
              </w:rPr>
              <w:t xml:space="preserve"> </w:t>
            </w:r>
            <w:r w:rsidRPr="00CF7FD4">
              <w:rPr>
                <w:rFonts w:ascii="Book Antiqua" w:hAnsi="Book Antiqua"/>
                <w:b/>
              </w:rPr>
              <w:t>&lt; 32.5</w:t>
            </w:r>
          </w:p>
        </w:tc>
        <w:tc>
          <w:tcPr>
            <w:tcW w:w="0" w:type="auto"/>
            <w:gridSpan w:val="2"/>
            <w:tcBorders>
              <w:top w:val="single" w:sz="4" w:space="0" w:color="auto"/>
              <w:left w:val="nil"/>
              <w:bottom w:val="single" w:sz="4" w:space="0" w:color="auto"/>
              <w:right w:val="nil"/>
            </w:tcBorders>
            <w:shd w:val="clear" w:color="auto" w:fill="auto"/>
          </w:tcPr>
          <w:p w14:paraId="5FAD7929" w14:textId="071C99FA" w:rsidR="004C7B53" w:rsidRPr="00CF7FD4" w:rsidRDefault="004C7B53" w:rsidP="00CF7FD4">
            <w:pPr>
              <w:snapToGrid w:val="0"/>
              <w:spacing w:line="360" w:lineRule="auto"/>
              <w:jc w:val="both"/>
              <w:rPr>
                <w:rFonts w:ascii="Book Antiqua" w:hAnsi="Book Antiqua"/>
                <w:b/>
              </w:rPr>
            </w:pPr>
            <w:r w:rsidRPr="00CF7FD4">
              <w:rPr>
                <w:rFonts w:ascii="Book Antiqua" w:hAnsi="Book Antiqua"/>
                <w:b/>
              </w:rPr>
              <w:t xml:space="preserve">Group 2 </w:t>
            </w:r>
            <w:r w:rsidR="00167EA1">
              <w:rPr>
                <w:rFonts w:ascii="Book Antiqua" w:hAnsi="Book Antiqua"/>
                <w:b/>
              </w:rPr>
              <w:t xml:space="preserve">of </w:t>
            </w:r>
            <w:proofErr w:type="gramStart"/>
            <w:r w:rsidRPr="00CF7FD4">
              <w:rPr>
                <w:rFonts w:ascii="Book Antiqua" w:hAnsi="Book Antiqua"/>
                <w:b/>
                <w:i/>
                <w:iCs/>
              </w:rPr>
              <w:t>n</w:t>
            </w:r>
            <w:proofErr w:type="gramEnd"/>
            <w:r w:rsidRPr="00CF7FD4">
              <w:rPr>
                <w:rFonts w:ascii="Book Antiqua" w:hAnsi="Book Antiqua"/>
                <w:b/>
              </w:rPr>
              <w:t xml:space="preserve"> = 22</w:t>
            </w:r>
            <w:r w:rsidRPr="00CF7FD4">
              <w:rPr>
                <w:rFonts w:ascii="Book Antiqua" w:hAnsi="Book Antiqua"/>
                <w:b/>
                <w:lang w:eastAsia="zh-CN"/>
              </w:rPr>
              <w:t xml:space="preserve">, </w:t>
            </w:r>
            <w:r w:rsidRPr="00CF7FD4">
              <w:rPr>
                <w:rFonts w:ascii="Book Antiqua" w:hAnsi="Book Antiqua"/>
                <w:b/>
              </w:rPr>
              <w:t>VE/VCO</w:t>
            </w:r>
            <w:r w:rsidRPr="00CF7FD4">
              <w:rPr>
                <w:rFonts w:ascii="Book Antiqua" w:hAnsi="Book Antiqua"/>
                <w:b/>
                <w:vertAlign w:val="subscript"/>
              </w:rPr>
              <w:t>2</w:t>
            </w:r>
            <w:r w:rsidRPr="00CF7FD4">
              <w:rPr>
                <w:rFonts w:ascii="Book Antiqua" w:hAnsi="Book Antiqua"/>
                <w:b/>
              </w:rPr>
              <w:t xml:space="preserve"> slope ≥ 32.5</w:t>
            </w:r>
          </w:p>
        </w:tc>
        <w:tc>
          <w:tcPr>
            <w:tcW w:w="1150" w:type="dxa"/>
            <w:vMerge w:val="restart"/>
            <w:tcBorders>
              <w:top w:val="single" w:sz="4" w:space="0" w:color="00000A"/>
              <w:left w:val="nil"/>
            </w:tcBorders>
          </w:tcPr>
          <w:p w14:paraId="1D0E07E4" w14:textId="77777777" w:rsidR="004C7B53" w:rsidRPr="00CF7FD4" w:rsidRDefault="004C7B53"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4C7B53" w:rsidRPr="00CF7FD4" w14:paraId="1376E505" w14:textId="77777777" w:rsidTr="004C7B53">
        <w:trPr>
          <w:trHeight w:val="295"/>
        </w:trPr>
        <w:tc>
          <w:tcPr>
            <w:tcW w:w="0" w:type="auto"/>
            <w:vMerge/>
            <w:tcBorders>
              <w:top w:val="single" w:sz="4" w:space="0" w:color="auto"/>
              <w:left w:val="nil"/>
              <w:bottom w:val="single" w:sz="4" w:space="0" w:color="auto"/>
              <w:right w:val="nil"/>
            </w:tcBorders>
            <w:shd w:val="clear" w:color="auto" w:fill="auto"/>
          </w:tcPr>
          <w:p w14:paraId="57FBFC12" w14:textId="77777777" w:rsidR="004C7B53" w:rsidRPr="00CF7FD4" w:rsidRDefault="004C7B53" w:rsidP="00CF7FD4">
            <w:pPr>
              <w:snapToGrid w:val="0"/>
              <w:spacing w:line="360" w:lineRule="auto"/>
              <w:jc w:val="both"/>
              <w:rPr>
                <w:rFonts w:ascii="Book Antiqua" w:hAnsi="Book Antiqua"/>
                <w:b/>
                <w:bCs/>
              </w:rPr>
            </w:pPr>
          </w:p>
        </w:tc>
        <w:tc>
          <w:tcPr>
            <w:tcW w:w="0" w:type="auto"/>
            <w:tcBorders>
              <w:top w:val="single" w:sz="4" w:space="0" w:color="auto"/>
              <w:left w:val="nil"/>
              <w:bottom w:val="single" w:sz="4" w:space="0" w:color="auto"/>
              <w:right w:val="nil"/>
            </w:tcBorders>
            <w:shd w:val="clear" w:color="auto" w:fill="auto"/>
            <w:tcMar>
              <w:left w:w="83" w:type="dxa"/>
            </w:tcMar>
          </w:tcPr>
          <w:p w14:paraId="790224D0" w14:textId="77777777" w:rsidR="004C7B53" w:rsidRPr="00CF7FD4" w:rsidRDefault="004C7B53"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0" w:type="auto"/>
            <w:tcBorders>
              <w:top w:val="single" w:sz="4" w:space="0" w:color="auto"/>
              <w:left w:val="nil"/>
              <w:bottom w:val="single" w:sz="4" w:space="0" w:color="auto"/>
              <w:right w:val="nil"/>
            </w:tcBorders>
            <w:shd w:val="clear" w:color="auto" w:fill="auto"/>
            <w:tcMar>
              <w:left w:w="88" w:type="dxa"/>
            </w:tcMar>
          </w:tcPr>
          <w:p w14:paraId="624B3D71" w14:textId="77777777" w:rsidR="004C7B53" w:rsidRPr="00CF7FD4" w:rsidRDefault="004C7B53" w:rsidP="00CF7FD4">
            <w:pPr>
              <w:snapToGrid w:val="0"/>
              <w:spacing w:line="360" w:lineRule="auto"/>
              <w:jc w:val="both"/>
              <w:rPr>
                <w:rFonts w:ascii="Book Antiqua" w:hAnsi="Book Antiqua"/>
                <w:b/>
                <w:iCs/>
              </w:rPr>
            </w:pPr>
            <w:r w:rsidRPr="00CF7FD4">
              <w:rPr>
                <w:rFonts w:ascii="Book Antiqua" w:hAnsi="Book Antiqua"/>
                <w:b/>
                <w:iCs/>
              </w:rPr>
              <w:t>After CPET</w:t>
            </w:r>
          </w:p>
        </w:tc>
        <w:tc>
          <w:tcPr>
            <w:tcW w:w="0" w:type="auto"/>
            <w:tcBorders>
              <w:top w:val="single" w:sz="4" w:space="0" w:color="auto"/>
              <w:left w:val="nil"/>
              <w:bottom w:val="single" w:sz="4" w:space="0" w:color="auto"/>
              <w:right w:val="nil"/>
            </w:tcBorders>
            <w:shd w:val="clear" w:color="auto" w:fill="auto"/>
            <w:tcMar>
              <w:left w:w="83" w:type="dxa"/>
            </w:tcMar>
          </w:tcPr>
          <w:p w14:paraId="7B80F7E1" w14:textId="77777777" w:rsidR="004C7B53" w:rsidRPr="00CF7FD4" w:rsidRDefault="004C7B53" w:rsidP="00CF7FD4">
            <w:pPr>
              <w:snapToGrid w:val="0"/>
              <w:spacing w:line="360" w:lineRule="auto"/>
              <w:jc w:val="both"/>
              <w:rPr>
                <w:rFonts w:ascii="Book Antiqua" w:hAnsi="Book Antiqua"/>
                <w:iCs/>
              </w:rPr>
            </w:pPr>
            <w:r w:rsidRPr="00CF7FD4">
              <w:rPr>
                <w:rFonts w:ascii="Book Antiqua" w:hAnsi="Book Antiqua"/>
                <w:b/>
                <w:iCs/>
              </w:rPr>
              <w:t>Before CPET</w:t>
            </w:r>
          </w:p>
        </w:tc>
        <w:tc>
          <w:tcPr>
            <w:tcW w:w="0" w:type="auto"/>
            <w:tcBorders>
              <w:top w:val="single" w:sz="4" w:space="0" w:color="auto"/>
              <w:left w:val="nil"/>
              <w:bottom w:val="single" w:sz="4" w:space="0" w:color="auto"/>
              <w:right w:val="nil"/>
            </w:tcBorders>
            <w:shd w:val="clear" w:color="auto" w:fill="auto"/>
          </w:tcPr>
          <w:p w14:paraId="1DB27F28" w14:textId="77777777" w:rsidR="004C7B53" w:rsidRPr="00CF7FD4" w:rsidRDefault="004C7B53" w:rsidP="00CF7FD4">
            <w:pPr>
              <w:snapToGrid w:val="0"/>
              <w:spacing w:line="360" w:lineRule="auto"/>
              <w:jc w:val="both"/>
              <w:rPr>
                <w:rFonts w:ascii="Book Antiqua" w:hAnsi="Book Antiqua"/>
                <w:iCs/>
              </w:rPr>
            </w:pPr>
            <w:r w:rsidRPr="00CF7FD4">
              <w:rPr>
                <w:rFonts w:ascii="Book Antiqua" w:hAnsi="Book Antiqua"/>
                <w:b/>
                <w:iCs/>
              </w:rPr>
              <w:t>After CPET</w:t>
            </w:r>
          </w:p>
        </w:tc>
        <w:tc>
          <w:tcPr>
            <w:tcW w:w="1150" w:type="dxa"/>
            <w:vMerge/>
            <w:tcBorders>
              <w:left w:val="nil"/>
              <w:bottom w:val="single" w:sz="4" w:space="0" w:color="00000A"/>
            </w:tcBorders>
          </w:tcPr>
          <w:p w14:paraId="63C4E44A" w14:textId="77777777" w:rsidR="004C7B53" w:rsidRPr="00CF7FD4" w:rsidRDefault="004C7B53" w:rsidP="00CF7FD4">
            <w:pPr>
              <w:snapToGrid w:val="0"/>
              <w:spacing w:line="360" w:lineRule="auto"/>
              <w:jc w:val="both"/>
              <w:rPr>
                <w:rFonts w:ascii="Book Antiqua" w:hAnsi="Book Antiqua"/>
                <w:b/>
                <w:i/>
              </w:rPr>
            </w:pPr>
          </w:p>
        </w:tc>
      </w:tr>
      <w:tr w:rsidR="004C7B53" w:rsidRPr="00CF7FD4" w14:paraId="76478970" w14:textId="77777777" w:rsidTr="004C7B53">
        <w:trPr>
          <w:trHeight w:val="912"/>
        </w:trPr>
        <w:tc>
          <w:tcPr>
            <w:tcW w:w="0" w:type="auto"/>
            <w:tcBorders>
              <w:top w:val="single" w:sz="4" w:space="0" w:color="auto"/>
              <w:bottom w:val="nil"/>
            </w:tcBorders>
            <w:shd w:val="clear" w:color="auto" w:fill="auto"/>
          </w:tcPr>
          <w:p w14:paraId="533CA723"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single" w:sz="4" w:space="0" w:color="auto"/>
              <w:bottom w:val="nil"/>
            </w:tcBorders>
            <w:shd w:val="clear" w:color="auto" w:fill="auto"/>
          </w:tcPr>
          <w:p w14:paraId="58E4DE01"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62 (41-81)</w:t>
            </w:r>
          </w:p>
        </w:tc>
        <w:tc>
          <w:tcPr>
            <w:tcW w:w="0" w:type="auto"/>
            <w:tcBorders>
              <w:top w:val="single" w:sz="4" w:space="0" w:color="auto"/>
              <w:bottom w:val="nil"/>
            </w:tcBorders>
            <w:shd w:val="clear" w:color="auto" w:fill="auto"/>
          </w:tcPr>
          <w:p w14:paraId="5F25A29B"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95 (81-118)</w:t>
            </w:r>
            <w:r w:rsidRPr="00CF7FD4">
              <w:rPr>
                <w:rFonts w:ascii="Book Antiqua" w:hAnsi="Book Antiqua"/>
                <w:bCs/>
                <w:vertAlign w:val="superscript"/>
              </w:rPr>
              <w:t>e</w:t>
            </w:r>
          </w:p>
        </w:tc>
        <w:tc>
          <w:tcPr>
            <w:tcW w:w="0" w:type="auto"/>
            <w:tcBorders>
              <w:top w:val="single" w:sz="4" w:space="0" w:color="auto"/>
              <w:bottom w:val="nil"/>
            </w:tcBorders>
            <w:shd w:val="clear" w:color="auto" w:fill="auto"/>
          </w:tcPr>
          <w:p w14:paraId="41DBF0C5"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31 (18-66)</w:t>
            </w:r>
          </w:p>
        </w:tc>
        <w:tc>
          <w:tcPr>
            <w:tcW w:w="0" w:type="auto"/>
            <w:tcBorders>
              <w:top w:val="single" w:sz="4" w:space="0" w:color="auto"/>
              <w:bottom w:val="nil"/>
            </w:tcBorders>
            <w:shd w:val="clear" w:color="auto" w:fill="auto"/>
          </w:tcPr>
          <w:p w14:paraId="2DB094F4"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70 (33-99)</w:t>
            </w:r>
            <w:r w:rsidRPr="00CF7FD4">
              <w:rPr>
                <w:rFonts w:ascii="Book Antiqua" w:hAnsi="Book Antiqua"/>
                <w:bCs/>
                <w:vertAlign w:val="superscript"/>
              </w:rPr>
              <w:t>e</w:t>
            </w:r>
          </w:p>
        </w:tc>
        <w:tc>
          <w:tcPr>
            <w:tcW w:w="1150" w:type="dxa"/>
            <w:tcBorders>
              <w:top w:val="single" w:sz="4" w:space="0" w:color="00000A"/>
              <w:bottom w:val="nil"/>
            </w:tcBorders>
          </w:tcPr>
          <w:p w14:paraId="6A4F10E1"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0.711</w:t>
            </w:r>
          </w:p>
        </w:tc>
      </w:tr>
      <w:tr w:rsidR="004C7B53" w:rsidRPr="00CF7FD4" w14:paraId="2047BB74" w14:textId="77777777" w:rsidTr="004C7B53">
        <w:trPr>
          <w:trHeight w:val="898"/>
        </w:trPr>
        <w:tc>
          <w:tcPr>
            <w:tcW w:w="0" w:type="auto"/>
            <w:tcBorders>
              <w:top w:val="nil"/>
              <w:bottom w:val="nil"/>
            </w:tcBorders>
            <w:shd w:val="clear" w:color="auto" w:fill="auto"/>
          </w:tcPr>
          <w:p w14:paraId="317077A3"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42AA7C0F"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(1-3)</w:t>
            </w:r>
          </w:p>
        </w:tc>
        <w:tc>
          <w:tcPr>
            <w:tcW w:w="0" w:type="auto"/>
            <w:tcBorders>
              <w:top w:val="nil"/>
              <w:bottom w:val="nil"/>
            </w:tcBorders>
            <w:shd w:val="clear" w:color="auto" w:fill="auto"/>
          </w:tcPr>
          <w:p w14:paraId="21662F1B"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5 (3-8)</w:t>
            </w:r>
            <w:r w:rsidRPr="00CF7FD4">
              <w:rPr>
                <w:rFonts w:ascii="Book Antiqua" w:hAnsi="Book Antiqua"/>
                <w:bCs/>
                <w:vertAlign w:val="superscript"/>
              </w:rPr>
              <w:t>e</w:t>
            </w:r>
          </w:p>
        </w:tc>
        <w:tc>
          <w:tcPr>
            <w:tcW w:w="0" w:type="auto"/>
            <w:tcBorders>
              <w:top w:val="nil"/>
              <w:bottom w:val="nil"/>
            </w:tcBorders>
            <w:shd w:val="clear" w:color="auto" w:fill="auto"/>
          </w:tcPr>
          <w:p w14:paraId="6829E89C"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2 (1-4)</w:t>
            </w:r>
          </w:p>
        </w:tc>
        <w:tc>
          <w:tcPr>
            <w:tcW w:w="0" w:type="auto"/>
            <w:tcBorders>
              <w:top w:val="nil"/>
              <w:bottom w:val="nil"/>
            </w:tcBorders>
            <w:shd w:val="clear" w:color="auto" w:fill="auto"/>
          </w:tcPr>
          <w:p w14:paraId="2ACDA5A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5 (3-8)</w:t>
            </w:r>
            <w:r w:rsidRPr="00CF7FD4">
              <w:rPr>
                <w:rFonts w:ascii="Book Antiqua" w:hAnsi="Book Antiqua"/>
                <w:bCs/>
                <w:vertAlign w:val="superscript"/>
              </w:rPr>
              <w:t>e</w:t>
            </w:r>
          </w:p>
        </w:tc>
        <w:tc>
          <w:tcPr>
            <w:tcW w:w="1150" w:type="dxa"/>
            <w:tcBorders>
              <w:top w:val="nil"/>
              <w:bottom w:val="nil"/>
            </w:tcBorders>
          </w:tcPr>
          <w:p w14:paraId="2E58D09C"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0.311</w:t>
            </w:r>
          </w:p>
        </w:tc>
      </w:tr>
      <w:tr w:rsidR="004C7B53" w:rsidRPr="00CF7FD4" w14:paraId="74838899" w14:textId="77777777" w:rsidTr="004C7B53">
        <w:trPr>
          <w:trHeight w:val="241"/>
        </w:trPr>
        <w:tc>
          <w:tcPr>
            <w:tcW w:w="0" w:type="auto"/>
            <w:tcBorders>
              <w:top w:val="nil"/>
              <w:bottom w:val="nil"/>
            </w:tcBorders>
            <w:shd w:val="clear" w:color="auto" w:fill="auto"/>
          </w:tcPr>
          <w:p w14:paraId="7AEF0F41"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402920B5"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10 (7-16)</w:t>
            </w:r>
          </w:p>
        </w:tc>
        <w:tc>
          <w:tcPr>
            <w:tcW w:w="0" w:type="auto"/>
            <w:tcBorders>
              <w:top w:val="nil"/>
              <w:bottom w:val="nil"/>
            </w:tcBorders>
            <w:shd w:val="clear" w:color="auto" w:fill="auto"/>
          </w:tcPr>
          <w:p w14:paraId="04D88F68"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13 (10-18)</w:t>
            </w:r>
          </w:p>
        </w:tc>
        <w:tc>
          <w:tcPr>
            <w:tcW w:w="0" w:type="auto"/>
            <w:tcBorders>
              <w:top w:val="nil"/>
              <w:bottom w:val="nil"/>
            </w:tcBorders>
            <w:shd w:val="clear" w:color="auto" w:fill="auto"/>
          </w:tcPr>
          <w:p w14:paraId="03023F7C"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12 (8-18)</w:t>
            </w:r>
          </w:p>
        </w:tc>
        <w:tc>
          <w:tcPr>
            <w:tcW w:w="0" w:type="auto"/>
            <w:tcBorders>
              <w:top w:val="nil"/>
              <w:bottom w:val="nil"/>
            </w:tcBorders>
            <w:shd w:val="clear" w:color="auto" w:fill="auto"/>
          </w:tcPr>
          <w:p w14:paraId="084A1C1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16 (9-29)</w:t>
            </w:r>
            <w:r w:rsidRPr="00CF7FD4">
              <w:rPr>
                <w:rFonts w:ascii="Book Antiqua" w:hAnsi="Book Antiqua"/>
                <w:vertAlign w:val="superscript"/>
              </w:rPr>
              <w:t>b</w:t>
            </w:r>
          </w:p>
        </w:tc>
        <w:tc>
          <w:tcPr>
            <w:tcW w:w="1150" w:type="dxa"/>
            <w:tcBorders>
              <w:top w:val="nil"/>
              <w:bottom w:val="nil"/>
            </w:tcBorders>
          </w:tcPr>
          <w:p w14:paraId="1E245FFF"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0.134</w:t>
            </w:r>
          </w:p>
        </w:tc>
      </w:tr>
      <w:tr w:rsidR="004C7B53" w:rsidRPr="00CF7FD4" w14:paraId="473195CA" w14:textId="77777777" w:rsidTr="004C7B53">
        <w:trPr>
          <w:trHeight w:val="898"/>
        </w:trPr>
        <w:tc>
          <w:tcPr>
            <w:tcW w:w="0" w:type="auto"/>
            <w:tcBorders>
              <w:top w:val="nil"/>
              <w:bottom w:val="nil"/>
            </w:tcBorders>
            <w:shd w:val="clear" w:color="auto" w:fill="auto"/>
          </w:tcPr>
          <w:p w14:paraId="751C57C4"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nil"/>
              <w:bottom w:val="nil"/>
            </w:tcBorders>
            <w:shd w:val="clear" w:color="auto" w:fill="auto"/>
          </w:tcPr>
          <w:p w14:paraId="5B5FFE4D"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222 (147-287)</w:t>
            </w:r>
          </w:p>
        </w:tc>
        <w:tc>
          <w:tcPr>
            <w:tcW w:w="0" w:type="auto"/>
            <w:tcBorders>
              <w:top w:val="nil"/>
              <w:bottom w:val="nil"/>
            </w:tcBorders>
            <w:shd w:val="clear" w:color="auto" w:fill="auto"/>
          </w:tcPr>
          <w:p w14:paraId="0CABB2CE"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419 (267-576)</w:t>
            </w:r>
            <w:r w:rsidRPr="00CF7FD4">
              <w:rPr>
                <w:rFonts w:ascii="Book Antiqua" w:hAnsi="Book Antiqua"/>
                <w:bCs/>
                <w:vertAlign w:val="superscript"/>
              </w:rPr>
              <w:t>e</w:t>
            </w:r>
          </w:p>
        </w:tc>
        <w:tc>
          <w:tcPr>
            <w:tcW w:w="0" w:type="auto"/>
            <w:tcBorders>
              <w:top w:val="nil"/>
              <w:bottom w:val="nil"/>
            </w:tcBorders>
            <w:shd w:val="clear" w:color="auto" w:fill="auto"/>
          </w:tcPr>
          <w:p w14:paraId="31F752B7"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198 (152-376)</w:t>
            </w:r>
          </w:p>
        </w:tc>
        <w:tc>
          <w:tcPr>
            <w:tcW w:w="0" w:type="auto"/>
            <w:tcBorders>
              <w:top w:val="nil"/>
              <w:bottom w:val="nil"/>
            </w:tcBorders>
            <w:shd w:val="clear" w:color="auto" w:fill="auto"/>
          </w:tcPr>
          <w:p w14:paraId="782D1410"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382 (249-794)</w:t>
            </w:r>
            <w:r w:rsidRPr="00CF7FD4">
              <w:rPr>
                <w:rFonts w:ascii="Book Antiqua" w:hAnsi="Book Antiqua"/>
                <w:bCs/>
                <w:vertAlign w:val="superscript"/>
              </w:rPr>
              <w:t>e</w:t>
            </w:r>
          </w:p>
        </w:tc>
        <w:tc>
          <w:tcPr>
            <w:tcW w:w="1150" w:type="dxa"/>
            <w:tcBorders>
              <w:top w:val="nil"/>
              <w:bottom w:val="nil"/>
            </w:tcBorders>
          </w:tcPr>
          <w:p w14:paraId="7467A4FE"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0.540</w:t>
            </w:r>
          </w:p>
        </w:tc>
      </w:tr>
      <w:tr w:rsidR="004C7B53" w:rsidRPr="00CF7FD4" w14:paraId="4CD8ACA4" w14:textId="77777777" w:rsidTr="004C7B53">
        <w:trPr>
          <w:trHeight w:val="912"/>
        </w:trPr>
        <w:tc>
          <w:tcPr>
            <w:tcW w:w="0" w:type="auto"/>
            <w:tcBorders>
              <w:top w:val="nil"/>
              <w:bottom w:val="single" w:sz="4" w:space="0" w:color="00000A"/>
            </w:tcBorders>
            <w:shd w:val="clear" w:color="auto" w:fill="auto"/>
          </w:tcPr>
          <w:p w14:paraId="544C476A"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single" w:sz="4" w:space="0" w:color="00000A"/>
            </w:tcBorders>
            <w:shd w:val="clear" w:color="auto" w:fill="auto"/>
          </w:tcPr>
          <w:p w14:paraId="0D5C8FF8"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(1-2)</w:t>
            </w:r>
          </w:p>
        </w:tc>
        <w:tc>
          <w:tcPr>
            <w:tcW w:w="0" w:type="auto"/>
            <w:tcBorders>
              <w:top w:val="nil"/>
              <w:bottom w:val="single" w:sz="4" w:space="0" w:color="00000A"/>
            </w:tcBorders>
            <w:shd w:val="clear" w:color="auto" w:fill="auto"/>
          </w:tcPr>
          <w:p w14:paraId="330BC422"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3 (2-5)</w:t>
            </w:r>
            <w:r w:rsidRPr="00CF7FD4">
              <w:rPr>
                <w:rFonts w:ascii="Book Antiqua" w:hAnsi="Book Antiqua"/>
                <w:bCs/>
                <w:vertAlign w:val="superscript"/>
              </w:rPr>
              <w:t>e</w:t>
            </w:r>
          </w:p>
        </w:tc>
        <w:tc>
          <w:tcPr>
            <w:tcW w:w="0" w:type="auto"/>
            <w:tcBorders>
              <w:top w:val="nil"/>
              <w:bottom w:val="single" w:sz="4" w:space="0" w:color="00000A"/>
            </w:tcBorders>
            <w:shd w:val="clear" w:color="auto" w:fill="auto"/>
          </w:tcPr>
          <w:p w14:paraId="6570182D"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1 (1-2)</w:t>
            </w:r>
          </w:p>
        </w:tc>
        <w:tc>
          <w:tcPr>
            <w:tcW w:w="0" w:type="auto"/>
            <w:tcBorders>
              <w:top w:val="nil"/>
              <w:bottom w:val="single" w:sz="4" w:space="0" w:color="00000A"/>
            </w:tcBorders>
            <w:shd w:val="clear" w:color="auto" w:fill="auto"/>
          </w:tcPr>
          <w:p w14:paraId="185C6FA9" w14:textId="77777777" w:rsidR="004C7B53" w:rsidRPr="00CF7FD4" w:rsidRDefault="004C7B53" w:rsidP="00CF7FD4">
            <w:pPr>
              <w:snapToGrid w:val="0"/>
              <w:spacing w:line="360" w:lineRule="auto"/>
              <w:jc w:val="both"/>
              <w:rPr>
                <w:rFonts w:ascii="Book Antiqua" w:hAnsi="Book Antiqua"/>
                <w:b/>
                <w:bCs/>
              </w:rPr>
            </w:pPr>
            <w:r w:rsidRPr="00CF7FD4">
              <w:rPr>
                <w:rFonts w:ascii="Book Antiqua" w:hAnsi="Book Antiqua"/>
              </w:rPr>
              <w:t>4 (3-6)</w:t>
            </w:r>
            <w:r w:rsidRPr="00CF7FD4">
              <w:rPr>
                <w:rFonts w:ascii="Book Antiqua" w:hAnsi="Book Antiqua"/>
                <w:bCs/>
                <w:vertAlign w:val="superscript"/>
              </w:rPr>
              <w:t>e</w:t>
            </w:r>
          </w:p>
        </w:tc>
        <w:tc>
          <w:tcPr>
            <w:tcW w:w="1150" w:type="dxa"/>
            <w:tcBorders>
              <w:top w:val="nil"/>
              <w:bottom w:val="single" w:sz="4" w:space="0" w:color="00000A"/>
            </w:tcBorders>
          </w:tcPr>
          <w:p w14:paraId="2D345CCB" w14:textId="77777777" w:rsidR="004C7B53" w:rsidRPr="00CF7FD4" w:rsidRDefault="004C7B53" w:rsidP="00CF7FD4">
            <w:pPr>
              <w:snapToGrid w:val="0"/>
              <w:spacing w:line="360" w:lineRule="auto"/>
              <w:jc w:val="both"/>
              <w:rPr>
                <w:rFonts w:ascii="Book Antiqua" w:hAnsi="Book Antiqua"/>
              </w:rPr>
            </w:pPr>
            <w:r w:rsidRPr="00CF7FD4">
              <w:rPr>
                <w:rFonts w:ascii="Book Antiqua" w:hAnsi="Book Antiqua"/>
              </w:rPr>
              <w:t>0.464</w:t>
            </w:r>
          </w:p>
        </w:tc>
      </w:tr>
    </w:tbl>
    <w:p w14:paraId="0A7FF37F" w14:textId="562BB34E" w:rsidR="00893B9F" w:rsidRPr="00CF7FD4" w:rsidRDefault="005F194B" w:rsidP="00CF7FD4">
      <w:pPr>
        <w:snapToGrid w:val="0"/>
        <w:spacing w:line="360" w:lineRule="auto"/>
        <w:jc w:val="both"/>
        <w:rPr>
          <w:rFonts w:ascii="Book Antiqua" w:hAnsi="Book Antiqua"/>
          <w:b/>
        </w:rPr>
      </w:pPr>
      <w:r w:rsidRPr="00CF7FD4">
        <w:rPr>
          <w:rFonts w:ascii="Book Antiqua" w:hAnsi="Book Antiqua"/>
          <w:b/>
        </w:rPr>
        <w:t xml:space="preserve">the median value of </w:t>
      </w:r>
      <w:r w:rsidRPr="00CF7FD4">
        <w:rPr>
          <w:rFonts w:ascii="Book Antiqua" w:eastAsia="Book Antiqua" w:hAnsi="Book Antiqua" w:cs="Book Antiqua"/>
          <w:b/>
          <w:color w:val="000000"/>
        </w:rPr>
        <w:t>ventilation/carbon dioxide output</w:t>
      </w:r>
      <w:r w:rsidRPr="00CF7FD4">
        <w:rPr>
          <w:rFonts w:ascii="Book Antiqua" w:hAnsi="Book Antiqua"/>
          <w:b/>
        </w:rPr>
        <w:t xml:space="preserve"> slope</w:t>
      </w:r>
    </w:p>
    <w:p w14:paraId="6F28DE89" w14:textId="603232DA" w:rsidR="00B41FD9" w:rsidRPr="00CF7FD4" w:rsidRDefault="00F2479A" w:rsidP="00CF7FD4">
      <w:pPr>
        <w:snapToGrid w:val="0"/>
        <w:spacing w:line="360" w:lineRule="auto"/>
        <w:jc w:val="both"/>
        <w:rPr>
          <w:rFonts w:ascii="Book Antiqua" w:hAnsi="Book Antiqua"/>
          <w:iCs/>
        </w:rPr>
      </w:pPr>
      <w:r w:rsidRPr="00CF7FD4">
        <w:rPr>
          <w:rFonts w:ascii="Book Antiqua" w:hAnsi="Book Antiqua"/>
          <w:bCs/>
        </w:rPr>
        <w:t xml:space="preserve">Differences within each severity group </w:t>
      </w:r>
      <w:r w:rsidRPr="00CF7FD4">
        <w:rPr>
          <w:rFonts w:ascii="Book Antiqua" w:hAnsi="Book Antiqua"/>
          <w:vertAlign w:val="superscript"/>
        </w:rPr>
        <w:t>b</w:t>
      </w:r>
      <w:r w:rsidRPr="00CF7FD4">
        <w:rPr>
          <w:rFonts w:ascii="Book Antiqua" w:hAnsi="Book Antiqua"/>
          <w:bCs/>
          <w:i/>
          <w:iCs/>
        </w:rPr>
        <w:t>P</w:t>
      </w:r>
      <w:r w:rsidRPr="00CF7FD4">
        <w:rPr>
          <w:rFonts w:ascii="Book Antiqua" w:hAnsi="Book Antiqua"/>
          <w:bCs/>
        </w:rPr>
        <w:t xml:space="preserve"> &lt; 0.01,</w:t>
      </w:r>
      <w:r w:rsidRPr="00CF7FD4">
        <w:rPr>
          <w:rFonts w:ascii="Book Antiqua" w:hAnsi="Book Antiqua"/>
          <w:bCs/>
          <w:vertAlign w:val="superscript"/>
        </w:rPr>
        <w:t xml:space="preserve"> </w:t>
      </w:r>
      <w:r w:rsidR="00297054" w:rsidRPr="00CF7FD4">
        <w:rPr>
          <w:rFonts w:ascii="Book Antiqua" w:hAnsi="Book Antiqua"/>
          <w:bCs/>
          <w:vertAlign w:val="superscript"/>
        </w:rPr>
        <w:t>e</w:t>
      </w:r>
      <w:r w:rsidRPr="00CF7FD4">
        <w:rPr>
          <w:rFonts w:ascii="Book Antiqua" w:hAnsi="Book Antiqua"/>
          <w:bCs/>
          <w:i/>
          <w:iCs/>
        </w:rPr>
        <w:t>P</w:t>
      </w:r>
      <w:r w:rsidRPr="00CF7FD4">
        <w:rPr>
          <w:rFonts w:ascii="Book Antiqua" w:hAnsi="Book Antiqua"/>
          <w:bCs/>
        </w:rPr>
        <w:t xml:space="preserve"> &lt; 0.001. </w:t>
      </w:r>
      <w:r w:rsidRPr="00CF7FD4">
        <w:rPr>
          <w:rFonts w:ascii="Book Antiqua" w:hAnsi="Book Antiqua"/>
          <w:bCs/>
          <w:iCs/>
        </w:rPr>
        <w:t>CPET</w:t>
      </w:r>
      <w:r w:rsidR="00297054" w:rsidRPr="00CF7FD4">
        <w:rPr>
          <w:rFonts w:ascii="Book Antiqua" w:hAnsi="Book Antiqua"/>
          <w:bCs/>
          <w:iCs/>
        </w:rPr>
        <w:t>:</w:t>
      </w:r>
      <w:r w:rsidRPr="00CF7FD4">
        <w:rPr>
          <w:rFonts w:ascii="Book Antiqua" w:hAnsi="Book Antiqua"/>
          <w:b/>
          <w:bCs/>
          <w:iCs/>
        </w:rPr>
        <w:t xml:space="preserve"> </w:t>
      </w:r>
      <w:r w:rsidR="00297054" w:rsidRPr="00CF7FD4">
        <w:rPr>
          <w:rFonts w:ascii="Book Antiqua" w:hAnsi="Book Antiqua"/>
          <w:iCs/>
        </w:rPr>
        <w:t>C</w:t>
      </w:r>
      <w:r w:rsidRPr="00CF7FD4">
        <w:rPr>
          <w:rFonts w:ascii="Book Antiqua" w:hAnsi="Book Antiqua"/>
          <w:iCs/>
        </w:rPr>
        <w:t>ardiopulmonary exercise testing</w:t>
      </w:r>
      <w:r w:rsidR="00297054" w:rsidRPr="00CF7FD4">
        <w:rPr>
          <w:rFonts w:ascii="Book Antiqua" w:hAnsi="Book Antiqua"/>
          <w:iCs/>
        </w:rPr>
        <w:t>.</w:t>
      </w:r>
    </w:p>
    <w:p w14:paraId="5E0AD249" w14:textId="6F4BB6C0" w:rsidR="00F2479A" w:rsidRPr="00CF7FD4" w:rsidRDefault="00B41FD9" w:rsidP="00CF7FD4">
      <w:pPr>
        <w:snapToGrid w:val="0"/>
        <w:spacing w:line="360" w:lineRule="auto"/>
        <w:jc w:val="both"/>
        <w:rPr>
          <w:rFonts w:ascii="Book Antiqua" w:hAnsi="Book Antiqua"/>
          <w:b/>
          <w:bCs/>
          <w:iCs/>
        </w:rPr>
      </w:pPr>
      <w:r w:rsidRPr="00CF7FD4">
        <w:rPr>
          <w:rFonts w:ascii="Book Antiqua" w:hAnsi="Book Antiqua"/>
          <w:iCs/>
        </w:rPr>
        <w:br w:type="page"/>
      </w:r>
      <w:r w:rsidRPr="00CF7FD4">
        <w:rPr>
          <w:rFonts w:ascii="Book Antiqua" w:hAnsi="Book Antiqua"/>
          <w:b/>
          <w:bCs/>
          <w:iCs/>
        </w:rPr>
        <w:lastRenderedPageBreak/>
        <w:t xml:space="preserve">Table 4 Acute mobilization of endothelial cellular populations after a symptom-limited cardiopulmonary exercise testing of </w:t>
      </w:r>
      <w:r w:rsidR="004C7B53" w:rsidRPr="00CF7FD4">
        <w:rPr>
          <w:rFonts w:ascii="Book Antiqua" w:hAnsi="Book Antiqua"/>
          <w:b/>
          <w:bCs/>
          <w:iCs/>
        </w:rPr>
        <w:t>two</w:t>
      </w:r>
      <w:r w:rsidRPr="00CF7FD4">
        <w:rPr>
          <w:rFonts w:ascii="Book Antiqua" w:hAnsi="Book Antiqua"/>
          <w:b/>
          <w:bCs/>
          <w:iCs/>
        </w:rPr>
        <w:t xml:space="preserve"> different severity groups according to reduced or mid-ranged ejection fraction</w:t>
      </w:r>
    </w:p>
    <w:tbl>
      <w:tblPr>
        <w:tblW w:w="0" w:type="auto"/>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3278"/>
        <w:gridCol w:w="1217"/>
        <w:gridCol w:w="1201"/>
        <w:gridCol w:w="1217"/>
        <w:gridCol w:w="1217"/>
        <w:gridCol w:w="1230"/>
      </w:tblGrid>
      <w:tr w:rsidR="002517C0" w:rsidRPr="00CF7FD4" w14:paraId="21429754" w14:textId="77777777" w:rsidTr="00C34944">
        <w:trPr>
          <w:trHeight w:val="699"/>
          <w:jc w:val="center"/>
        </w:trPr>
        <w:tc>
          <w:tcPr>
            <w:tcW w:w="0" w:type="auto"/>
            <w:vMerge w:val="restart"/>
            <w:tcBorders>
              <w:top w:val="single" w:sz="4" w:space="0" w:color="00000A"/>
              <w:bottom w:val="single" w:sz="4" w:space="0" w:color="00000A"/>
              <w:right w:val="nil"/>
            </w:tcBorders>
            <w:shd w:val="clear" w:color="auto" w:fill="auto"/>
          </w:tcPr>
          <w:p w14:paraId="2501479F" w14:textId="77777777"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Endothelial cellular populations</w:t>
            </w:r>
          </w:p>
        </w:tc>
        <w:tc>
          <w:tcPr>
            <w:tcW w:w="0" w:type="auto"/>
            <w:gridSpan w:val="2"/>
            <w:tcBorders>
              <w:top w:val="single" w:sz="4" w:space="0" w:color="00000A"/>
              <w:left w:val="nil"/>
              <w:bottom w:val="single" w:sz="4" w:space="0" w:color="auto"/>
              <w:right w:val="nil"/>
            </w:tcBorders>
            <w:shd w:val="clear" w:color="auto" w:fill="auto"/>
            <w:tcMar>
              <w:left w:w="83" w:type="dxa"/>
            </w:tcMar>
          </w:tcPr>
          <w:p w14:paraId="5DFE66BE" w14:textId="3EE1B403"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 xml:space="preserve">Group 1 </w:t>
            </w:r>
            <w:r w:rsidR="00167EA1">
              <w:rPr>
                <w:rFonts w:ascii="Book Antiqua" w:hAnsi="Book Antiqua"/>
                <w:b/>
              </w:rPr>
              <w:t xml:space="preserve">of </w:t>
            </w:r>
            <w:proofErr w:type="gramStart"/>
            <w:r w:rsidR="002517C0" w:rsidRPr="00CF7FD4">
              <w:rPr>
                <w:rFonts w:ascii="Book Antiqua" w:hAnsi="Book Antiqua"/>
                <w:b/>
                <w:i/>
                <w:iCs/>
              </w:rPr>
              <w:t>n</w:t>
            </w:r>
            <w:proofErr w:type="gramEnd"/>
            <w:r w:rsidR="002517C0" w:rsidRPr="00CF7FD4">
              <w:rPr>
                <w:rFonts w:ascii="Book Antiqua" w:hAnsi="Book Antiqua"/>
                <w:b/>
              </w:rPr>
              <w:t xml:space="preserve"> = </w:t>
            </w:r>
            <w:r w:rsidRPr="00CF7FD4">
              <w:rPr>
                <w:rFonts w:ascii="Book Antiqua" w:hAnsi="Book Antiqua"/>
                <w:b/>
              </w:rPr>
              <w:t>37</w:t>
            </w:r>
            <w:r w:rsidR="002517C0" w:rsidRPr="00CF7FD4">
              <w:rPr>
                <w:rFonts w:ascii="Book Antiqua" w:hAnsi="Book Antiqua"/>
                <w:b/>
                <w:lang w:eastAsia="zh-CN"/>
              </w:rPr>
              <w:t xml:space="preserve">, </w:t>
            </w:r>
            <w:r w:rsidRPr="00CF7FD4">
              <w:rPr>
                <w:rFonts w:ascii="Book Antiqua" w:hAnsi="Book Antiqua"/>
                <w:b/>
              </w:rPr>
              <w:t>EF &lt; 40%</w:t>
            </w:r>
          </w:p>
        </w:tc>
        <w:tc>
          <w:tcPr>
            <w:tcW w:w="0" w:type="auto"/>
            <w:gridSpan w:val="2"/>
            <w:tcBorders>
              <w:top w:val="single" w:sz="4" w:space="0" w:color="00000A"/>
              <w:left w:val="nil"/>
              <w:bottom w:val="single" w:sz="4" w:space="0" w:color="auto"/>
              <w:right w:val="nil"/>
            </w:tcBorders>
            <w:shd w:val="clear" w:color="auto" w:fill="auto"/>
          </w:tcPr>
          <w:p w14:paraId="54434621" w14:textId="330327AE" w:rsidR="00B41FD9" w:rsidRPr="00CF7FD4" w:rsidRDefault="00B41FD9" w:rsidP="00CF7FD4">
            <w:pPr>
              <w:snapToGrid w:val="0"/>
              <w:spacing w:line="360" w:lineRule="auto"/>
              <w:jc w:val="both"/>
              <w:rPr>
                <w:rFonts w:ascii="Book Antiqua" w:hAnsi="Book Antiqua"/>
                <w:b/>
              </w:rPr>
            </w:pPr>
            <w:r w:rsidRPr="00CF7FD4">
              <w:rPr>
                <w:rFonts w:ascii="Book Antiqua" w:hAnsi="Book Antiqua"/>
                <w:b/>
              </w:rPr>
              <w:t xml:space="preserve">Group 2 </w:t>
            </w:r>
            <w:r w:rsidR="00167EA1">
              <w:rPr>
                <w:rFonts w:ascii="Book Antiqua" w:hAnsi="Book Antiqua"/>
                <w:b/>
              </w:rPr>
              <w:t xml:space="preserve">of </w:t>
            </w:r>
            <w:proofErr w:type="gramStart"/>
            <w:r w:rsidR="002517C0" w:rsidRPr="00CF7FD4">
              <w:rPr>
                <w:rFonts w:ascii="Book Antiqua" w:hAnsi="Book Antiqua"/>
                <w:b/>
                <w:i/>
                <w:iCs/>
              </w:rPr>
              <w:t>n</w:t>
            </w:r>
            <w:proofErr w:type="gramEnd"/>
            <w:r w:rsidR="002517C0" w:rsidRPr="00CF7FD4">
              <w:rPr>
                <w:rFonts w:ascii="Book Antiqua" w:hAnsi="Book Antiqua"/>
                <w:b/>
              </w:rPr>
              <w:t xml:space="preserve"> = </w:t>
            </w:r>
            <w:r w:rsidRPr="00CF7FD4">
              <w:rPr>
                <w:rFonts w:ascii="Book Antiqua" w:hAnsi="Book Antiqua"/>
                <w:b/>
              </w:rPr>
              <w:t>12</w:t>
            </w:r>
            <w:r w:rsidR="002517C0" w:rsidRPr="00CF7FD4">
              <w:rPr>
                <w:rFonts w:ascii="Book Antiqua" w:hAnsi="Book Antiqua"/>
                <w:b/>
                <w:lang w:eastAsia="zh-CN"/>
              </w:rPr>
              <w:t xml:space="preserve">, </w:t>
            </w:r>
            <w:r w:rsidRPr="00CF7FD4">
              <w:rPr>
                <w:rFonts w:ascii="Book Antiqua" w:hAnsi="Book Antiqua"/>
                <w:b/>
              </w:rPr>
              <w:t>EF ≥ 40%</w:t>
            </w:r>
          </w:p>
        </w:tc>
        <w:tc>
          <w:tcPr>
            <w:tcW w:w="1230" w:type="dxa"/>
            <w:vMerge w:val="restart"/>
            <w:tcBorders>
              <w:top w:val="single" w:sz="4" w:space="0" w:color="00000A"/>
              <w:left w:val="nil"/>
            </w:tcBorders>
          </w:tcPr>
          <w:p w14:paraId="33E63316" w14:textId="77777777" w:rsidR="00B41FD9" w:rsidRPr="00CF7FD4" w:rsidRDefault="00B41FD9" w:rsidP="00CF7FD4">
            <w:pPr>
              <w:snapToGrid w:val="0"/>
              <w:spacing w:line="360" w:lineRule="auto"/>
              <w:jc w:val="both"/>
              <w:rPr>
                <w:rFonts w:ascii="Book Antiqua" w:hAnsi="Book Antiqua"/>
                <w:b/>
              </w:rPr>
            </w:pPr>
            <w:r w:rsidRPr="00CF7FD4">
              <w:rPr>
                <w:rFonts w:ascii="Book Antiqua" w:hAnsi="Book Antiqua"/>
                <w:b/>
                <w:i/>
                <w:iCs/>
              </w:rPr>
              <w:t>P</w:t>
            </w:r>
            <w:r w:rsidRPr="00CF7FD4">
              <w:rPr>
                <w:rFonts w:ascii="Book Antiqua" w:hAnsi="Book Antiqua"/>
                <w:b/>
              </w:rPr>
              <w:t xml:space="preserve"> value between groups</w:t>
            </w:r>
          </w:p>
        </w:tc>
      </w:tr>
      <w:tr w:rsidR="002517C0" w:rsidRPr="00CF7FD4" w14:paraId="08AB38F4" w14:textId="77777777" w:rsidTr="00C34944">
        <w:trPr>
          <w:trHeight w:val="356"/>
          <w:jc w:val="center"/>
        </w:trPr>
        <w:tc>
          <w:tcPr>
            <w:tcW w:w="0" w:type="auto"/>
            <w:vMerge/>
            <w:tcBorders>
              <w:top w:val="single" w:sz="4" w:space="0" w:color="00000A"/>
              <w:bottom w:val="single" w:sz="4" w:space="0" w:color="00000A"/>
              <w:right w:val="nil"/>
            </w:tcBorders>
            <w:shd w:val="clear" w:color="auto" w:fill="auto"/>
          </w:tcPr>
          <w:p w14:paraId="12B43E2C" w14:textId="77777777" w:rsidR="00B41FD9" w:rsidRPr="00CF7FD4" w:rsidRDefault="00B41FD9" w:rsidP="00CF7FD4">
            <w:pPr>
              <w:snapToGrid w:val="0"/>
              <w:spacing w:line="360" w:lineRule="auto"/>
              <w:jc w:val="both"/>
              <w:rPr>
                <w:rFonts w:ascii="Book Antiqua" w:hAnsi="Book Antiqua"/>
              </w:rPr>
            </w:pPr>
          </w:p>
        </w:tc>
        <w:tc>
          <w:tcPr>
            <w:tcW w:w="0" w:type="auto"/>
            <w:tcBorders>
              <w:top w:val="single" w:sz="4" w:space="0" w:color="auto"/>
              <w:left w:val="nil"/>
              <w:bottom w:val="single" w:sz="4" w:space="0" w:color="00000A"/>
              <w:right w:val="nil"/>
            </w:tcBorders>
            <w:shd w:val="clear" w:color="auto" w:fill="auto"/>
            <w:tcMar>
              <w:left w:w="83" w:type="dxa"/>
            </w:tcMar>
          </w:tcPr>
          <w:p w14:paraId="27C1CA7E" w14:textId="77777777" w:rsidR="00B41FD9" w:rsidRPr="00CF7FD4" w:rsidRDefault="00B41FD9" w:rsidP="00CF7FD4">
            <w:pPr>
              <w:snapToGrid w:val="0"/>
              <w:spacing w:line="360" w:lineRule="auto"/>
              <w:jc w:val="both"/>
              <w:rPr>
                <w:rFonts w:ascii="Book Antiqua" w:hAnsi="Book Antiqua"/>
                <w:b/>
                <w:iCs/>
              </w:rPr>
            </w:pPr>
            <w:r w:rsidRPr="00CF7FD4">
              <w:rPr>
                <w:rFonts w:ascii="Book Antiqua" w:hAnsi="Book Antiqua"/>
                <w:b/>
                <w:iCs/>
              </w:rPr>
              <w:t>Before CPET</w:t>
            </w:r>
          </w:p>
        </w:tc>
        <w:tc>
          <w:tcPr>
            <w:tcW w:w="0" w:type="auto"/>
            <w:tcBorders>
              <w:top w:val="single" w:sz="4" w:space="0" w:color="auto"/>
              <w:left w:val="nil"/>
              <w:bottom w:val="single" w:sz="4" w:space="0" w:color="00000A"/>
              <w:right w:val="nil"/>
            </w:tcBorders>
            <w:shd w:val="clear" w:color="auto" w:fill="auto"/>
            <w:tcMar>
              <w:left w:w="88" w:type="dxa"/>
            </w:tcMar>
          </w:tcPr>
          <w:p w14:paraId="50821991" w14:textId="77777777" w:rsidR="00B41FD9" w:rsidRPr="00CF7FD4" w:rsidRDefault="00B41FD9" w:rsidP="00CF7FD4">
            <w:pPr>
              <w:snapToGrid w:val="0"/>
              <w:spacing w:line="360" w:lineRule="auto"/>
              <w:jc w:val="both"/>
              <w:rPr>
                <w:rFonts w:ascii="Book Antiqua" w:hAnsi="Book Antiqua"/>
                <w:b/>
                <w:iCs/>
              </w:rPr>
            </w:pPr>
            <w:r w:rsidRPr="00CF7FD4">
              <w:rPr>
                <w:rFonts w:ascii="Book Antiqua" w:hAnsi="Book Antiqua"/>
                <w:b/>
                <w:iCs/>
              </w:rPr>
              <w:t>After CPET</w:t>
            </w:r>
          </w:p>
        </w:tc>
        <w:tc>
          <w:tcPr>
            <w:tcW w:w="0" w:type="auto"/>
            <w:tcBorders>
              <w:top w:val="single" w:sz="4" w:space="0" w:color="auto"/>
              <w:left w:val="nil"/>
              <w:bottom w:val="single" w:sz="4" w:space="0" w:color="00000A"/>
              <w:right w:val="nil"/>
            </w:tcBorders>
            <w:shd w:val="clear" w:color="auto" w:fill="auto"/>
            <w:tcMar>
              <w:left w:w="83" w:type="dxa"/>
            </w:tcMar>
          </w:tcPr>
          <w:p w14:paraId="2A1BA8B1" w14:textId="77777777" w:rsidR="00B41FD9" w:rsidRPr="00CF7FD4" w:rsidRDefault="00B41FD9" w:rsidP="00CF7FD4">
            <w:pPr>
              <w:snapToGrid w:val="0"/>
              <w:spacing w:line="360" w:lineRule="auto"/>
              <w:jc w:val="both"/>
              <w:rPr>
                <w:rFonts w:ascii="Book Antiqua" w:hAnsi="Book Antiqua"/>
                <w:iCs/>
              </w:rPr>
            </w:pPr>
            <w:r w:rsidRPr="00CF7FD4">
              <w:rPr>
                <w:rFonts w:ascii="Book Antiqua" w:hAnsi="Book Antiqua"/>
                <w:b/>
                <w:iCs/>
              </w:rPr>
              <w:t>Before CPET</w:t>
            </w:r>
          </w:p>
        </w:tc>
        <w:tc>
          <w:tcPr>
            <w:tcW w:w="0" w:type="auto"/>
            <w:tcBorders>
              <w:top w:val="single" w:sz="4" w:space="0" w:color="auto"/>
              <w:left w:val="nil"/>
              <w:bottom w:val="single" w:sz="4" w:space="0" w:color="00000A"/>
              <w:right w:val="nil"/>
            </w:tcBorders>
            <w:shd w:val="clear" w:color="auto" w:fill="auto"/>
          </w:tcPr>
          <w:p w14:paraId="0223600D" w14:textId="77777777" w:rsidR="00B41FD9" w:rsidRPr="00CF7FD4" w:rsidRDefault="00B41FD9" w:rsidP="00CF7FD4">
            <w:pPr>
              <w:snapToGrid w:val="0"/>
              <w:spacing w:line="360" w:lineRule="auto"/>
              <w:jc w:val="both"/>
              <w:rPr>
                <w:rFonts w:ascii="Book Antiqua" w:hAnsi="Book Antiqua"/>
                <w:iCs/>
              </w:rPr>
            </w:pPr>
            <w:r w:rsidRPr="00CF7FD4">
              <w:rPr>
                <w:rFonts w:ascii="Book Antiqua" w:hAnsi="Book Antiqua"/>
                <w:b/>
                <w:iCs/>
              </w:rPr>
              <w:t>After CPET</w:t>
            </w:r>
          </w:p>
        </w:tc>
        <w:tc>
          <w:tcPr>
            <w:tcW w:w="1230" w:type="dxa"/>
            <w:vMerge/>
            <w:tcBorders>
              <w:left w:val="nil"/>
              <w:bottom w:val="single" w:sz="4" w:space="0" w:color="00000A"/>
            </w:tcBorders>
          </w:tcPr>
          <w:p w14:paraId="22288CB8" w14:textId="77777777" w:rsidR="00B41FD9" w:rsidRPr="00CF7FD4" w:rsidRDefault="00B41FD9" w:rsidP="00CF7FD4">
            <w:pPr>
              <w:snapToGrid w:val="0"/>
              <w:spacing w:line="360" w:lineRule="auto"/>
              <w:jc w:val="both"/>
              <w:rPr>
                <w:rFonts w:ascii="Book Antiqua" w:hAnsi="Book Antiqua"/>
                <w:b/>
                <w:i/>
              </w:rPr>
            </w:pPr>
          </w:p>
        </w:tc>
      </w:tr>
      <w:tr w:rsidR="002517C0" w:rsidRPr="00CF7FD4" w14:paraId="50F49A33" w14:textId="77777777" w:rsidTr="00C34944">
        <w:trPr>
          <w:jc w:val="center"/>
        </w:trPr>
        <w:tc>
          <w:tcPr>
            <w:tcW w:w="0" w:type="auto"/>
            <w:tcBorders>
              <w:top w:val="single" w:sz="4" w:space="0" w:color="00000A"/>
              <w:bottom w:val="nil"/>
            </w:tcBorders>
            <w:shd w:val="clear" w:color="auto" w:fill="auto"/>
          </w:tcPr>
          <w:p w14:paraId="2BB4A56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single" w:sz="4" w:space="0" w:color="00000A"/>
              <w:bottom w:val="nil"/>
            </w:tcBorders>
            <w:shd w:val="clear" w:color="auto" w:fill="auto"/>
          </w:tcPr>
          <w:p w14:paraId="4C3A6C89" w14:textId="041FA35B" w:rsidR="00B41FD9" w:rsidRPr="00CF7FD4" w:rsidRDefault="00B41FD9" w:rsidP="00CF7FD4">
            <w:pPr>
              <w:snapToGrid w:val="0"/>
              <w:spacing w:line="360" w:lineRule="auto"/>
              <w:jc w:val="both"/>
              <w:rPr>
                <w:rFonts w:ascii="Book Antiqua" w:hAnsi="Book Antiqua"/>
              </w:rPr>
            </w:pPr>
            <w:r w:rsidRPr="00CF7FD4">
              <w:rPr>
                <w:rFonts w:ascii="Book Antiqua" w:hAnsi="Book Antiqua"/>
              </w:rPr>
              <w:t>42 (22-75)</w:t>
            </w:r>
          </w:p>
        </w:tc>
        <w:tc>
          <w:tcPr>
            <w:tcW w:w="0" w:type="auto"/>
            <w:tcBorders>
              <w:top w:val="single" w:sz="4" w:space="0" w:color="00000A"/>
              <w:bottom w:val="nil"/>
            </w:tcBorders>
            <w:shd w:val="clear" w:color="auto" w:fill="auto"/>
          </w:tcPr>
          <w:p w14:paraId="786290DE" w14:textId="127BBA1C" w:rsidR="00B41FD9" w:rsidRPr="00CF7FD4" w:rsidRDefault="00B41FD9" w:rsidP="00CF7FD4">
            <w:pPr>
              <w:snapToGrid w:val="0"/>
              <w:spacing w:line="360" w:lineRule="auto"/>
              <w:jc w:val="both"/>
              <w:rPr>
                <w:rFonts w:ascii="Book Antiqua" w:hAnsi="Book Antiqua"/>
              </w:rPr>
            </w:pPr>
            <w:r w:rsidRPr="00CF7FD4">
              <w:rPr>
                <w:rFonts w:ascii="Book Antiqua" w:hAnsi="Book Antiqua"/>
              </w:rPr>
              <w:t>90 (37-106)</w:t>
            </w:r>
            <w:r w:rsidR="002517C0" w:rsidRPr="00CF7FD4">
              <w:rPr>
                <w:rFonts w:ascii="Book Antiqua" w:hAnsi="Book Antiqua"/>
                <w:bCs/>
                <w:vertAlign w:val="superscript"/>
              </w:rPr>
              <w:t>e</w:t>
            </w:r>
          </w:p>
        </w:tc>
        <w:tc>
          <w:tcPr>
            <w:tcW w:w="0" w:type="auto"/>
            <w:tcBorders>
              <w:top w:val="single" w:sz="4" w:space="0" w:color="00000A"/>
              <w:bottom w:val="nil"/>
            </w:tcBorders>
            <w:shd w:val="clear" w:color="auto" w:fill="auto"/>
          </w:tcPr>
          <w:p w14:paraId="785C9153" w14:textId="038D247A" w:rsidR="00B41FD9" w:rsidRPr="00CF7FD4" w:rsidRDefault="00B41FD9" w:rsidP="00CF7FD4">
            <w:pPr>
              <w:snapToGrid w:val="0"/>
              <w:spacing w:line="360" w:lineRule="auto"/>
              <w:jc w:val="both"/>
              <w:rPr>
                <w:rFonts w:ascii="Book Antiqua" w:hAnsi="Book Antiqua"/>
              </w:rPr>
            </w:pPr>
            <w:r w:rsidRPr="00CF7FD4">
              <w:rPr>
                <w:rFonts w:ascii="Book Antiqua" w:hAnsi="Book Antiqua"/>
              </w:rPr>
              <w:t>63 (40-76)</w:t>
            </w:r>
          </w:p>
        </w:tc>
        <w:tc>
          <w:tcPr>
            <w:tcW w:w="0" w:type="auto"/>
            <w:tcBorders>
              <w:top w:val="single" w:sz="4" w:space="0" w:color="00000A"/>
              <w:bottom w:val="nil"/>
            </w:tcBorders>
            <w:shd w:val="clear" w:color="auto" w:fill="auto"/>
          </w:tcPr>
          <w:p w14:paraId="124026F3" w14:textId="5954CD07" w:rsidR="00B41FD9" w:rsidRPr="00CF7FD4" w:rsidRDefault="00B41FD9" w:rsidP="00CF7FD4">
            <w:pPr>
              <w:snapToGrid w:val="0"/>
              <w:spacing w:line="360" w:lineRule="auto"/>
              <w:jc w:val="both"/>
              <w:rPr>
                <w:rFonts w:ascii="Book Antiqua" w:hAnsi="Book Antiqua"/>
              </w:rPr>
            </w:pPr>
            <w:r w:rsidRPr="00CF7FD4">
              <w:rPr>
                <w:rFonts w:ascii="Book Antiqua" w:hAnsi="Book Antiqua"/>
              </w:rPr>
              <w:t>90 (65-103)</w:t>
            </w:r>
            <w:r w:rsidRPr="00CF7FD4">
              <w:rPr>
                <w:rFonts w:ascii="Book Antiqua" w:hAnsi="Book Antiqua"/>
                <w:bCs/>
                <w:vertAlign w:val="superscript"/>
              </w:rPr>
              <w:t>b</w:t>
            </w:r>
          </w:p>
        </w:tc>
        <w:tc>
          <w:tcPr>
            <w:tcW w:w="1230" w:type="dxa"/>
            <w:tcBorders>
              <w:top w:val="single" w:sz="4" w:space="0" w:color="00000A"/>
              <w:bottom w:val="nil"/>
            </w:tcBorders>
          </w:tcPr>
          <w:p w14:paraId="4222ED40"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0.888</w:t>
            </w:r>
          </w:p>
        </w:tc>
      </w:tr>
      <w:tr w:rsidR="002517C0" w:rsidRPr="00CF7FD4" w14:paraId="3946D4C3" w14:textId="77777777" w:rsidTr="00C34944">
        <w:trPr>
          <w:jc w:val="center"/>
        </w:trPr>
        <w:tc>
          <w:tcPr>
            <w:tcW w:w="0" w:type="auto"/>
            <w:tcBorders>
              <w:top w:val="nil"/>
              <w:bottom w:val="nil"/>
            </w:tcBorders>
            <w:shd w:val="clear" w:color="auto" w:fill="auto"/>
          </w:tcPr>
          <w:p w14:paraId="52CC6A3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0713E26E" w14:textId="344DA0D7" w:rsidR="00B41FD9" w:rsidRPr="00CF7FD4" w:rsidRDefault="00B41FD9" w:rsidP="00CF7FD4">
            <w:pPr>
              <w:snapToGrid w:val="0"/>
              <w:spacing w:line="360" w:lineRule="auto"/>
              <w:jc w:val="both"/>
              <w:rPr>
                <w:rFonts w:ascii="Book Antiqua" w:hAnsi="Book Antiqua"/>
              </w:rPr>
            </w:pPr>
            <w:r w:rsidRPr="00CF7FD4">
              <w:rPr>
                <w:rFonts w:ascii="Book Antiqua" w:hAnsi="Book Antiqua"/>
              </w:rPr>
              <w:t>2 (1-3)</w:t>
            </w:r>
          </w:p>
        </w:tc>
        <w:tc>
          <w:tcPr>
            <w:tcW w:w="0" w:type="auto"/>
            <w:tcBorders>
              <w:top w:val="nil"/>
              <w:bottom w:val="nil"/>
            </w:tcBorders>
            <w:shd w:val="clear" w:color="auto" w:fill="auto"/>
          </w:tcPr>
          <w:p w14:paraId="20E241A5" w14:textId="129B9A0B" w:rsidR="00B41FD9" w:rsidRPr="00CF7FD4" w:rsidRDefault="00B41FD9" w:rsidP="00CF7FD4">
            <w:pPr>
              <w:snapToGrid w:val="0"/>
              <w:spacing w:line="360" w:lineRule="auto"/>
              <w:jc w:val="both"/>
              <w:rPr>
                <w:rFonts w:ascii="Book Antiqua" w:hAnsi="Book Antiqua"/>
              </w:rPr>
            </w:pPr>
            <w:r w:rsidRPr="00CF7FD4">
              <w:rPr>
                <w:rFonts w:ascii="Book Antiqua" w:hAnsi="Book Antiqua"/>
              </w:rPr>
              <w:t>5 (3-8)</w:t>
            </w:r>
            <w:r w:rsidR="002517C0" w:rsidRPr="00CF7FD4">
              <w:rPr>
                <w:rFonts w:ascii="Book Antiqua" w:hAnsi="Book Antiqua"/>
                <w:bCs/>
                <w:vertAlign w:val="superscript"/>
              </w:rPr>
              <w:t>e</w:t>
            </w:r>
          </w:p>
        </w:tc>
        <w:tc>
          <w:tcPr>
            <w:tcW w:w="0" w:type="auto"/>
            <w:tcBorders>
              <w:top w:val="nil"/>
              <w:bottom w:val="nil"/>
            </w:tcBorders>
            <w:shd w:val="clear" w:color="auto" w:fill="auto"/>
          </w:tcPr>
          <w:p w14:paraId="22FD2CD0" w14:textId="3551D719" w:rsidR="00B41FD9" w:rsidRPr="00CF7FD4" w:rsidRDefault="00B41FD9" w:rsidP="00CF7FD4">
            <w:pPr>
              <w:snapToGrid w:val="0"/>
              <w:spacing w:line="360" w:lineRule="auto"/>
              <w:jc w:val="both"/>
              <w:rPr>
                <w:rFonts w:ascii="Book Antiqua" w:hAnsi="Book Antiqua"/>
              </w:rPr>
            </w:pPr>
            <w:r w:rsidRPr="00CF7FD4">
              <w:rPr>
                <w:rFonts w:ascii="Book Antiqua" w:hAnsi="Book Antiqua"/>
              </w:rPr>
              <w:t>2 (1-4)</w:t>
            </w:r>
          </w:p>
        </w:tc>
        <w:tc>
          <w:tcPr>
            <w:tcW w:w="0" w:type="auto"/>
            <w:tcBorders>
              <w:top w:val="nil"/>
              <w:bottom w:val="nil"/>
            </w:tcBorders>
            <w:shd w:val="clear" w:color="auto" w:fill="auto"/>
          </w:tcPr>
          <w:p w14:paraId="65ACE12E" w14:textId="16405361" w:rsidR="00B41FD9" w:rsidRPr="00CF7FD4" w:rsidRDefault="00B41FD9" w:rsidP="00CF7FD4">
            <w:pPr>
              <w:snapToGrid w:val="0"/>
              <w:spacing w:line="360" w:lineRule="auto"/>
              <w:jc w:val="both"/>
              <w:rPr>
                <w:rFonts w:ascii="Book Antiqua" w:hAnsi="Book Antiqua"/>
              </w:rPr>
            </w:pPr>
            <w:r w:rsidRPr="00CF7FD4">
              <w:rPr>
                <w:rFonts w:ascii="Book Antiqua" w:hAnsi="Book Antiqua"/>
              </w:rPr>
              <w:t>8(4-8)</w:t>
            </w:r>
            <w:r w:rsidRPr="00CF7FD4">
              <w:rPr>
                <w:rFonts w:ascii="Book Antiqua" w:hAnsi="Book Antiqua"/>
                <w:bCs/>
                <w:vertAlign w:val="superscript"/>
              </w:rPr>
              <w:t>b</w:t>
            </w:r>
          </w:p>
        </w:tc>
        <w:tc>
          <w:tcPr>
            <w:tcW w:w="1230" w:type="dxa"/>
            <w:tcBorders>
              <w:top w:val="nil"/>
              <w:bottom w:val="nil"/>
            </w:tcBorders>
          </w:tcPr>
          <w:p w14:paraId="344795B3"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0.507</w:t>
            </w:r>
          </w:p>
        </w:tc>
      </w:tr>
      <w:tr w:rsidR="002517C0" w:rsidRPr="00CF7FD4" w14:paraId="63898EE9" w14:textId="77777777" w:rsidTr="00C34944">
        <w:trPr>
          <w:jc w:val="center"/>
        </w:trPr>
        <w:tc>
          <w:tcPr>
            <w:tcW w:w="0" w:type="auto"/>
            <w:tcBorders>
              <w:top w:val="nil"/>
              <w:bottom w:val="nil"/>
            </w:tcBorders>
            <w:shd w:val="clear" w:color="auto" w:fill="auto"/>
          </w:tcPr>
          <w:p w14:paraId="6D5D036B"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nil"/>
            </w:tcBorders>
            <w:shd w:val="clear" w:color="auto" w:fill="auto"/>
          </w:tcPr>
          <w:p w14:paraId="2459241F" w14:textId="6207F1CA" w:rsidR="00B41FD9" w:rsidRPr="00CF7FD4" w:rsidRDefault="00B41FD9" w:rsidP="00CF7FD4">
            <w:pPr>
              <w:snapToGrid w:val="0"/>
              <w:spacing w:line="360" w:lineRule="auto"/>
              <w:jc w:val="both"/>
              <w:rPr>
                <w:rFonts w:ascii="Book Antiqua" w:hAnsi="Book Antiqua"/>
              </w:rPr>
            </w:pPr>
            <w:r w:rsidRPr="00CF7FD4">
              <w:rPr>
                <w:rFonts w:ascii="Book Antiqua" w:hAnsi="Book Antiqua"/>
              </w:rPr>
              <w:t>11 (7-17)</w:t>
            </w:r>
          </w:p>
        </w:tc>
        <w:tc>
          <w:tcPr>
            <w:tcW w:w="0" w:type="auto"/>
            <w:tcBorders>
              <w:top w:val="nil"/>
              <w:bottom w:val="nil"/>
            </w:tcBorders>
            <w:shd w:val="clear" w:color="auto" w:fill="auto"/>
          </w:tcPr>
          <w:p w14:paraId="0ACB83AB" w14:textId="05A24B73" w:rsidR="00B41FD9" w:rsidRPr="00CF7FD4" w:rsidRDefault="00B41FD9" w:rsidP="00CF7FD4">
            <w:pPr>
              <w:snapToGrid w:val="0"/>
              <w:spacing w:line="360" w:lineRule="auto"/>
              <w:jc w:val="both"/>
              <w:rPr>
                <w:rFonts w:ascii="Book Antiqua" w:hAnsi="Book Antiqua"/>
              </w:rPr>
            </w:pPr>
            <w:r w:rsidRPr="00CF7FD4">
              <w:rPr>
                <w:rFonts w:ascii="Book Antiqua" w:hAnsi="Book Antiqua"/>
              </w:rPr>
              <w:t>14 (10-23)</w:t>
            </w:r>
            <w:r w:rsidRPr="00CF7FD4">
              <w:rPr>
                <w:rFonts w:ascii="Book Antiqua" w:hAnsi="Book Antiqua"/>
                <w:bCs/>
                <w:vertAlign w:val="superscript"/>
              </w:rPr>
              <w:t>b</w:t>
            </w:r>
          </w:p>
        </w:tc>
        <w:tc>
          <w:tcPr>
            <w:tcW w:w="0" w:type="auto"/>
            <w:tcBorders>
              <w:top w:val="nil"/>
              <w:bottom w:val="nil"/>
            </w:tcBorders>
            <w:shd w:val="clear" w:color="auto" w:fill="auto"/>
          </w:tcPr>
          <w:p w14:paraId="3C86F8C2" w14:textId="1AA674FE" w:rsidR="00B41FD9" w:rsidRPr="00CF7FD4" w:rsidRDefault="00B41FD9" w:rsidP="00CF7FD4">
            <w:pPr>
              <w:snapToGrid w:val="0"/>
              <w:spacing w:line="360" w:lineRule="auto"/>
              <w:jc w:val="both"/>
              <w:rPr>
                <w:rFonts w:ascii="Book Antiqua" w:hAnsi="Book Antiqua"/>
              </w:rPr>
            </w:pPr>
            <w:r w:rsidRPr="00CF7FD4">
              <w:rPr>
                <w:rFonts w:ascii="Book Antiqua" w:hAnsi="Book Antiqua"/>
              </w:rPr>
              <w:t>15 (9-20)</w:t>
            </w:r>
          </w:p>
        </w:tc>
        <w:tc>
          <w:tcPr>
            <w:tcW w:w="0" w:type="auto"/>
            <w:tcBorders>
              <w:top w:val="nil"/>
              <w:bottom w:val="nil"/>
            </w:tcBorders>
            <w:shd w:val="clear" w:color="auto" w:fill="auto"/>
          </w:tcPr>
          <w:p w14:paraId="210208D0" w14:textId="647C646B" w:rsidR="00B41FD9" w:rsidRPr="00CF7FD4" w:rsidRDefault="00B41FD9" w:rsidP="00CF7FD4">
            <w:pPr>
              <w:snapToGrid w:val="0"/>
              <w:spacing w:line="360" w:lineRule="auto"/>
              <w:jc w:val="both"/>
              <w:rPr>
                <w:rFonts w:ascii="Book Antiqua" w:hAnsi="Book Antiqua"/>
              </w:rPr>
            </w:pPr>
            <w:r w:rsidRPr="00CF7FD4">
              <w:rPr>
                <w:rFonts w:ascii="Book Antiqua" w:hAnsi="Book Antiqua"/>
              </w:rPr>
              <w:t>13 (9-22)</w:t>
            </w:r>
          </w:p>
        </w:tc>
        <w:tc>
          <w:tcPr>
            <w:tcW w:w="1230" w:type="dxa"/>
            <w:tcBorders>
              <w:top w:val="nil"/>
              <w:bottom w:val="nil"/>
            </w:tcBorders>
          </w:tcPr>
          <w:p w14:paraId="6618E156"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0.473</w:t>
            </w:r>
          </w:p>
        </w:tc>
      </w:tr>
      <w:tr w:rsidR="002517C0" w:rsidRPr="00CF7FD4" w14:paraId="5B6974C0" w14:textId="77777777" w:rsidTr="00C34944">
        <w:trPr>
          <w:jc w:val="center"/>
        </w:trPr>
        <w:tc>
          <w:tcPr>
            <w:tcW w:w="0" w:type="auto"/>
            <w:tcBorders>
              <w:top w:val="nil"/>
              <w:bottom w:val="nil"/>
            </w:tcBorders>
            <w:shd w:val="clear" w:color="auto" w:fill="auto"/>
          </w:tcPr>
          <w:p w14:paraId="2F3C6559"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p>
        </w:tc>
        <w:tc>
          <w:tcPr>
            <w:tcW w:w="0" w:type="auto"/>
            <w:tcBorders>
              <w:top w:val="nil"/>
              <w:bottom w:val="nil"/>
            </w:tcBorders>
            <w:shd w:val="clear" w:color="auto" w:fill="auto"/>
          </w:tcPr>
          <w:p w14:paraId="3B08E5F8" w14:textId="16183123" w:rsidR="00B41FD9" w:rsidRPr="00CF7FD4" w:rsidRDefault="00B41FD9" w:rsidP="00CF7FD4">
            <w:pPr>
              <w:snapToGrid w:val="0"/>
              <w:spacing w:line="360" w:lineRule="auto"/>
              <w:jc w:val="both"/>
              <w:rPr>
                <w:rFonts w:ascii="Book Antiqua" w:hAnsi="Book Antiqua"/>
              </w:rPr>
            </w:pPr>
            <w:r w:rsidRPr="00CF7FD4">
              <w:rPr>
                <w:rFonts w:ascii="Book Antiqua" w:hAnsi="Book Antiqua"/>
              </w:rPr>
              <w:t>200 (152-279)</w:t>
            </w:r>
          </w:p>
        </w:tc>
        <w:tc>
          <w:tcPr>
            <w:tcW w:w="0" w:type="auto"/>
            <w:tcBorders>
              <w:top w:val="nil"/>
              <w:bottom w:val="nil"/>
            </w:tcBorders>
            <w:shd w:val="clear" w:color="auto" w:fill="auto"/>
          </w:tcPr>
          <w:p w14:paraId="5F6B1E61" w14:textId="0A986901" w:rsidR="00B41FD9" w:rsidRPr="00CF7FD4" w:rsidRDefault="00B41FD9" w:rsidP="00CF7FD4">
            <w:pPr>
              <w:snapToGrid w:val="0"/>
              <w:spacing w:line="360" w:lineRule="auto"/>
              <w:jc w:val="both"/>
              <w:rPr>
                <w:rFonts w:ascii="Book Antiqua" w:hAnsi="Book Antiqua"/>
              </w:rPr>
            </w:pPr>
            <w:r w:rsidRPr="00CF7FD4">
              <w:rPr>
                <w:rFonts w:ascii="Book Antiqua" w:hAnsi="Book Antiqua"/>
              </w:rPr>
              <w:t>427 (260-626)</w:t>
            </w:r>
            <w:r w:rsidR="00AE7ACD" w:rsidRPr="00CF7FD4">
              <w:rPr>
                <w:rFonts w:ascii="Book Antiqua" w:hAnsi="Book Antiqua"/>
                <w:bCs/>
                <w:vertAlign w:val="superscript"/>
              </w:rPr>
              <w:t>e</w:t>
            </w:r>
          </w:p>
        </w:tc>
        <w:tc>
          <w:tcPr>
            <w:tcW w:w="0" w:type="auto"/>
            <w:tcBorders>
              <w:top w:val="nil"/>
              <w:bottom w:val="nil"/>
            </w:tcBorders>
            <w:shd w:val="clear" w:color="auto" w:fill="auto"/>
          </w:tcPr>
          <w:p w14:paraId="2B794D6D" w14:textId="7F12AC20" w:rsidR="00B41FD9" w:rsidRPr="00CF7FD4" w:rsidRDefault="00B41FD9" w:rsidP="00CF7FD4">
            <w:pPr>
              <w:snapToGrid w:val="0"/>
              <w:spacing w:line="360" w:lineRule="auto"/>
              <w:jc w:val="both"/>
              <w:rPr>
                <w:rFonts w:ascii="Book Antiqua" w:hAnsi="Book Antiqua"/>
              </w:rPr>
            </w:pPr>
            <w:r w:rsidRPr="00CF7FD4">
              <w:rPr>
                <w:rFonts w:ascii="Book Antiqua" w:hAnsi="Book Antiqua"/>
              </w:rPr>
              <w:t>227 (135-372)</w:t>
            </w:r>
          </w:p>
        </w:tc>
        <w:tc>
          <w:tcPr>
            <w:tcW w:w="0" w:type="auto"/>
            <w:tcBorders>
              <w:top w:val="nil"/>
              <w:bottom w:val="nil"/>
            </w:tcBorders>
            <w:shd w:val="clear" w:color="auto" w:fill="auto"/>
          </w:tcPr>
          <w:p w14:paraId="679C0E6F" w14:textId="7719E561" w:rsidR="00B41FD9" w:rsidRPr="00CF7FD4" w:rsidRDefault="00B41FD9" w:rsidP="00CF7FD4">
            <w:pPr>
              <w:snapToGrid w:val="0"/>
              <w:spacing w:line="360" w:lineRule="auto"/>
              <w:jc w:val="both"/>
              <w:rPr>
                <w:rFonts w:ascii="Book Antiqua" w:hAnsi="Book Antiqua"/>
              </w:rPr>
            </w:pPr>
            <w:r w:rsidRPr="00CF7FD4">
              <w:rPr>
                <w:rFonts w:ascii="Book Antiqua" w:hAnsi="Book Antiqua"/>
              </w:rPr>
              <w:t>336 (214-624)</w:t>
            </w:r>
            <w:r w:rsidRPr="00CF7FD4">
              <w:rPr>
                <w:rFonts w:ascii="Book Antiqua" w:hAnsi="Book Antiqua"/>
                <w:bCs/>
                <w:vertAlign w:val="superscript"/>
              </w:rPr>
              <w:t>b</w:t>
            </w:r>
          </w:p>
        </w:tc>
        <w:tc>
          <w:tcPr>
            <w:tcW w:w="1230" w:type="dxa"/>
            <w:tcBorders>
              <w:top w:val="nil"/>
              <w:bottom w:val="nil"/>
            </w:tcBorders>
          </w:tcPr>
          <w:p w14:paraId="68E2AF3C"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0.702</w:t>
            </w:r>
          </w:p>
        </w:tc>
      </w:tr>
      <w:tr w:rsidR="002517C0" w:rsidRPr="00CF7FD4" w14:paraId="63426A65" w14:textId="77777777" w:rsidTr="00C34944">
        <w:trPr>
          <w:jc w:val="center"/>
        </w:trPr>
        <w:tc>
          <w:tcPr>
            <w:tcW w:w="0" w:type="auto"/>
            <w:tcBorders>
              <w:top w:val="nil"/>
              <w:bottom w:val="single" w:sz="4" w:space="0" w:color="00000A"/>
            </w:tcBorders>
            <w:shd w:val="clear" w:color="auto" w:fill="auto"/>
          </w:tcPr>
          <w:p w14:paraId="77B0CF6D"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iCs/>
              </w:rPr>
              <w:t>CD34</w:t>
            </w:r>
            <w:r w:rsidRPr="00CF7FD4">
              <w:rPr>
                <w:rFonts w:ascii="Book Antiqua" w:hAnsi="Book Antiqua"/>
                <w:iCs/>
                <w:vertAlign w:val="superscript"/>
              </w:rPr>
              <w:t>+</w:t>
            </w:r>
            <w:r w:rsidRPr="00CF7FD4">
              <w:rPr>
                <w:rFonts w:ascii="Book Antiqua" w:hAnsi="Book Antiqua"/>
                <w:iCs/>
              </w:rPr>
              <w:t>/CD45</w:t>
            </w:r>
            <w:r w:rsidRPr="00CF7FD4">
              <w:rPr>
                <w:rFonts w:ascii="Book Antiqua" w:hAnsi="Book Antiqua"/>
                <w:iCs/>
                <w:vertAlign w:val="superscript"/>
              </w:rPr>
              <w:t>-</w:t>
            </w:r>
            <w:r w:rsidRPr="00CF7FD4">
              <w:rPr>
                <w:rFonts w:ascii="Book Antiqua" w:hAnsi="Book Antiqua"/>
                <w:iCs/>
              </w:rPr>
              <w:t>/CD133</w:t>
            </w:r>
            <w:r w:rsidRPr="00CF7FD4">
              <w:rPr>
                <w:rFonts w:ascii="Book Antiqua" w:hAnsi="Book Antiqua"/>
                <w:iCs/>
                <w:vertAlign w:val="superscript"/>
              </w:rPr>
              <w:t>-</w:t>
            </w:r>
            <w:r w:rsidRPr="00CF7FD4">
              <w:rPr>
                <w:rFonts w:ascii="Book Antiqua" w:hAnsi="Book Antiqua"/>
                <w:iCs/>
              </w:rPr>
              <w:t>/VEGFR</w:t>
            </w:r>
            <w:r w:rsidRPr="00CF7FD4">
              <w:rPr>
                <w:rFonts w:ascii="Book Antiqua" w:hAnsi="Book Antiqua"/>
                <w:iCs/>
                <w:vertAlign w:val="subscript"/>
              </w:rPr>
              <w:t>2</w:t>
            </w:r>
          </w:p>
        </w:tc>
        <w:tc>
          <w:tcPr>
            <w:tcW w:w="0" w:type="auto"/>
            <w:tcBorders>
              <w:top w:val="nil"/>
              <w:bottom w:val="single" w:sz="4" w:space="0" w:color="00000A"/>
            </w:tcBorders>
            <w:shd w:val="clear" w:color="auto" w:fill="auto"/>
          </w:tcPr>
          <w:p w14:paraId="55127518" w14:textId="07DFE71C" w:rsidR="00B41FD9" w:rsidRPr="00CF7FD4" w:rsidRDefault="00B41FD9" w:rsidP="00CF7FD4">
            <w:pPr>
              <w:snapToGrid w:val="0"/>
              <w:spacing w:line="360" w:lineRule="auto"/>
              <w:jc w:val="both"/>
              <w:rPr>
                <w:rFonts w:ascii="Book Antiqua" w:hAnsi="Book Antiqua"/>
              </w:rPr>
            </w:pPr>
            <w:r w:rsidRPr="00CF7FD4">
              <w:rPr>
                <w:rFonts w:ascii="Book Antiqua" w:hAnsi="Book Antiqua"/>
              </w:rPr>
              <w:t>1 (1-2)</w:t>
            </w:r>
          </w:p>
        </w:tc>
        <w:tc>
          <w:tcPr>
            <w:tcW w:w="0" w:type="auto"/>
            <w:tcBorders>
              <w:top w:val="nil"/>
              <w:bottom w:val="single" w:sz="4" w:space="0" w:color="00000A"/>
            </w:tcBorders>
            <w:shd w:val="clear" w:color="auto" w:fill="auto"/>
          </w:tcPr>
          <w:p w14:paraId="4022F428" w14:textId="727A9D5C" w:rsidR="00B41FD9" w:rsidRPr="00CF7FD4" w:rsidRDefault="00B41FD9" w:rsidP="00CF7FD4">
            <w:pPr>
              <w:snapToGrid w:val="0"/>
              <w:spacing w:line="360" w:lineRule="auto"/>
              <w:jc w:val="both"/>
              <w:rPr>
                <w:rFonts w:ascii="Book Antiqua" w:hAnsi="Book Antiqua"/>
              </w:rPr>
            </w:pPr>
            <w:r w:rsidRPr="00CF7FD4">
              <w:rPr>
                <w:rFonts w:ascii="Book Antiqua" w:hAnsi="Book Antiqua"/>
              </w:rPr>
              <w:t>3 (2-6)</w:t>
            </w:r>
            <w:r w:rsidR="002517C0" w:rsidRPr="00CF7FD4">
              <w:rPr>
                <w:rFonts w:ascii="Book Antiqua" w:hAnsi="Book Antiqua"/>
                <w:bCs/>
                <w:vertAlign w:val="superscript"/>
              </w:rPr>
              <w:t>e</w:t>
            </w:r>
          </w:p>
        </w:tc>
        <w:tc>
          <w:tcPr>
            <w:tcW w:w="0" w:type="auto"/>
            <w:tcBorders>
              <w:top w:val="nil"/>
              <w:bottom w:val="single" w:sz="4" w:space="0" w:color="00000A"/>
            </w:tcBorders>
            <w:shd w:val="clear" w:color="auto" w:fill="auto"/>
          </w:tcPr>
          <w:p w14:paraId="17FD8597" w14:textId="38CA02D8" w:rsidR="00B41FD9" w:rsidRPr="00CF7FD4" w:rsidRDefault="00B41FD9" w:rsidP="00CF7FD4">
            <w:pPr>
              <w:snapToGrid w:val="0"/>
              <w:spacing w:line="360" w:lineRule="auto"/>
              <w:jc w:val="both"/>
              <w:rPr>
                <w:rFonts w:ascii="Book Antiqua" w:hAnsi="Book Antiqua"/>
              </w:rPr>
            </w:pPr>
            <w:r w:rsidRPr="00CF7FD4">
              <w:rPr>
                <w:rFonts w:ascii="Book Antiqua" w:hAnsi="Book Antiqua"/>
              </w:rPr>
              <w:t>1 (1-2)</w:t>
            </w:r>
          </w:p>
        </w:tc>
        <w:tc>
          <w:tcPr>
            <w:tcW w:w="0" w:type="auto"/>
            <w:tcBorders>
              <w:top w:val="nil"/>
              <w:bottom w:val="single" w:sz="4" w:space="0" w:color="00000A"/>
            </w:tcBorders>
            <w:shd w:val="clear" w:color="auto" w:fill="auto"/>
          </w:tcPr>
          <w:p w14:paraId="73FAAA46" w14:textId="66594FFC" w:rsidR="00B41FD9" w:rsidRPr="00CF7FD4" w:rsidRDefault="00B41FD9" w:rsidP="00CF7FD4">
            <w:pPr>
              <w:snapToGrid w:val="0"/>
              <w:spacing w:line="360" w:lineRule="auto"/>
              <w:jc w:val="both"/>
              <w:rPr>
                <w:rFonts w:ascii="Book Antiqua" w:hAnsi="Book Antiqua"/>
              </w:rPr>
            </w:pPr>
            <w:r w:rsidRPr="00CF7FD4">
              <w:rPr>
                <w:rFonts w:ascii="Book Antiqua" w:hAnsi="Book Antiqua"/>
              </w:rPr>
              <w:t>3 (2-5)</w:t>
            </w:r>
            <w:r w:rsidRPr="00CF7FD4">
              <w:rPr>
                <w:rFonts w:ascii="Book Antiqua" w:hAnsi="Book Antiqua"/>
                <w:bCs/>
                <w:vertAlign w:val="superscript"/>
              </w:rPr>
              <w:t>b</w:t>
            </w:r>
          </w:p>
        </w:tc>
        <w:tc>
          <w:tcPr>
            <w:tcW w:w="1230" w:type="dxa"/>
            <w:tcBorders>
              <w:top w:val="nil"/>
              <w:bottom w:val="single" w:sz="4" w:space="0" w:color="00000A"/>
            </w:tcBorders>
          </w:tcPr>
          <w:p w14:paraId="72633703" w14:textId="77777777" w:rsidR="00B41FD9" w:rsidRPr="00CF7FD4" w:rsidRDefault="00B41FD9" w:rsidP="00CF7FD4">
            <w:pPr>
              <w:snapToGrid w:val="0"/>
              <w:spacing w:line="360" w:lineRule="auto"/>
              <w:jc w:val="both"/>
              <w:rPr>
                <w:rFonts w:ascii="Book Antiqua" w:hAnsi="Book Antiqua"/>
              </w:rPr>
            </w:pPr>
            <w:r w:rsidRPr="00CF7FD4">
              <w:rPr>
                <w:rFonts w:ascii="Book Antiqua" w:hAnsi="Book Antiqua"/>
              </w:rPr>
              <w:t>0.828</w:t>
            </w:r>
          </w:p>
        </w:tc>
      </w:tr>
    </w:tbl>
    <w:p w14:paraId="3F653FE0" w14:textId="0F855F41" w:rsidR="002517C0" w:rsidRPr="00CF7FD4" w:rsidRDefault="002517C0" w:rsidP="00CF7FD4">
      <w:pPr>
        <w:snapToGrid w:val="0"/>
        <w:spacing w:line="360" w:lineRule="auto"/>
        <w:jc w:val="both"/>
        <w:rPr>
          <w:rFonts w:ascii="Book Antiqua" w:hAnsi="Book Antiqua"/>
          <w:bCs/>
        </w:rPr>
      </w:pPr>
      <w:r w:rsidRPr="00CF7FD4">
        <w:rPr>
          <w:rFonts w:ascii="Book Antiqua" w:hAnsi="Book Antiqua"/>
          <w:bCs/>
        </w:rPr>
        <w:t xml:space="preserve">Differences within each severity group </w:t>
      </w:r>
      <w:r w:rsidRPr="00CF7FD4">
        <w:rPr>
          <w:rFonts w:ascii="Book Antiqua" w:hAnsi="Book Antiqua"/>
          <w:bCs/>
          <w:vertAlign w:val="superscript"/>
        </w:rPr>
        <w:t>b</w:t>
      </w:r>
      <w:r w:rsidRPr="00CF7FD4">
        <w:rPr>
          <w:rFonts w:ascii="Book Antiqua" w:hAnsi="Book Antiqua"/>
          <w:bCs/>
          <w:i/>
          <w:iCs/>
        </w:rPr>
        <w:t>P</w:t>
      </w:r>
      <w:r w:rsidRPr="00CF7FD4">
        <w:rPr>
          <w:rFonts w:ascii="Book Antiqua" w:hAnsi="Book Antiqua"/>
          <w:bCs/>
        </w:rPr>
        <w:t xml:space="preserve"> &lt; 0.01</w:t>
      </w:r>
      <w:r w:rsidRPr="00CF7FD4">
        <w:rPr>
          <w:rFonts w:ascii="Book Antiqua" w:hAnsi="Book Antiqua"/>
          <w:bCs/>
          <w:vertAlign w:val="superscript"/>
        </w:rPr>
        <w:t xml:space="preserve"> e</w:t>
      </w:r>
      <w:r w:rsidRPr="00CF7FD4">
        <w:rPr>
          <w:rFonts w:ascii="Book Antiqua" w:hAnsi="Book Antiqua"/>
          <w:bCs/>
          <w:i/>
          <w:iCs/>
        </w:rPr>
        <w:t>P</w:t>
      </w:r>
      <w:r w:rsidRPr="00CF7FD4">
        <w:rPr>
          <w:rFonts w:ascii="Book Antiqua" w:hAnsi="Book Antiqua"/>
          <w:bCs/>
        </w:rPr>
        <w:t xml:space="preserve"> &lt; 0.001. </w:t>
      </w:r>
      <w:r w:rsidRPr="00CF7FD4">
        <w:rPr>
          <w:rFonts w:ascii="Book Antiqua" w:hAnsi="Book Antiqua"/>
          <w:bCs/>
          <w:iCs/>
        </w:rPr>
        <w:t>CPET:</w:t>
      </w:r>
      <w:r w:rsidRPr="00CF7FD4">
        <w:rPr>
          <w:rFonts w:ascii="Book Antiqua" w:hAnsi="Book Antiqua"/>
          <w:b/>
          <w:bCs/>
          <w:iCs/>
        </w:rPr>
        <w:t xml:space="preserve"> </w:t>
      </w:r>
      <w:r w:rsidRPr="00CF7FD4">
        <w:rPr>
          <w:rFonts w:ascii="Book Antiqua" w:hAnsi="Book Antiqua"/>
          <w:iCs/>
        </w:rPr>
        <w:t>Cardiopulmonary exercise testing; EF: E</w:t>
      </w:r>
      <w:r w:rsidRPr="00CF7FD4">
        <w:rPr>
          <w:rFonts w:ascii="Book Antiqua" w:hAnsi="Book Antiqua"/>
        </w:rPr>
        <w:t>jection fraction.</w:t>
      </w:r>
    </w:p>
    <w:sectPr w:rsidR="002517C0" w:rsidRPr="00CF7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70EE" w14:textId="77777777" w:rsidR="00A77D88" w:rsidRDefault="00A77D88" w:rsidP="001C2D88">
      <w:r>
        <w:separator/>
      </w:r>
    </w:p>
  </w:endnote>
  <w:endnote w:type="continuationSeparator" w:id="0">
    <w:p w14:paraId="708D6C3E" w14:textId="77777777" w:rsidR="00A77D88" w:rsidRDefault="00A77D88" w:rsidP="001C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93847590"/>
      <w:docPartObj>
        <w:docPartGallery w:val="Page Numbers (Bottom of Page)"/>
        <w:docPartUnique/>
      </w:docPartObj>
    </w:sdtPr>
    <w:sdtEndPr>
      <w:rPr>
        <w:noProof/>
      </w:rPr>
    </w:sdtEndPr>
    <w:sdtContent>
      <w:p w14:paraId="146F373D" w14:textId="4809CEEF" w:rsidR="00525A27" w:rsidRPr="00162F0A" w:rsidRDefault="00525A27">
        <w:pPr>
          <w:pStyle w:val="a5"/>
          <w:jc w:val="right"/>
          <w:rPr>
            <w:rFonts w:ascii="Book Antiqua" w:hAnsi="Book Antiqua"/>
            <w:sz w:val="24"/>
            <w:szCs w:val="24"/>
          </w:rPr>
        </w:pPr>
        <w:r w:rsidRPr="00162F0A">
          <w:rPr>
            <w:rFonts w:ascii="Book Antiqua" w:hAnsi="Book Antiqua"/>
            <w:sz w:val="24"/>
            <w:szCs w:val="24"/>
          </w:rPr>
          <w:fldChar w:fldCharType="begin"/>
        </w:r>
        <w:r w:rsidRPr="00162F0A">
          <w:rPr>
            <w:rFonts w:ascii="Book Antiqua" w:hAnsi="Book Antiqua"/>
            <w:sz w:val="24"/>
            <w:szCs w:val="24"/>
          </w:rPr>
          <w:instrText xml:space="preserve"> PAGE   \* MERGEFORMAT </w:instrText>
        </w:r>
        <w:r w:rsidRPr="00162F0A">
          <w:rPr>
            <w:rFonts w:ascii="Book Antiqua" w:hAnsi="Book Antiqua"/>
            <w:sz w:val="24"/>
            <w:szCs w:val="24"/>
          </w:rPr>
          <w:fldChar w:fldCharType="separate"/>
        </w:r>
        <w:r w:rsidRPr="00162F0A">
          <w:rPr>
            <w:rFonts w:ascii="Book Antiqua" w:hAnsi="Book Antiqua"/>
            <w:noProof/>
            <w:sz w:val="24"/>
            <w:szCs w:val="24"/>
          </w:rPr>
          <w:t>2</w:t>
        </w:r>
        <w:r w:rsidRPr="00162F0A">
          <w:rPr>
            <w:rFonts w:ascii="Book Antiqua" w:hAnsi="Book Antiqua"/>
            <w:noProof/>
            <w:sz w:val="24"/>
            <w:szCs w:val="24"/>
          </w:rPr>
          <w:fldChar w:fldCharType="end"/>
        </w:r>
        <w:r w:rsidR="00CF7FD4">
          <w:rPr>
            <w:rFonts w:ascii="Book Antiqua" w:hAnsi="Book Antiqua"/>
            <w:noProof/>
            <w:sz w:val="24"/>
            <w:szCs w:val="24"/>
          </w:rPr>
          <w:t xml:space="preserve"> </w:t>
        </w:r>
        <w:r w:rsidRPr="00162F0A">
          <w:rPr>
            <w:rFonts w:ascii="Book Antiqua" w:hAnsi="Book Antiqua"/>
            <w:noProof/>
            <w:sz w:val="24"/>
            <w:szCs w:val="24"/>
          </w:rPr>
          <w:t>/</w:t>
        </w:r>
        <w:r w:rsidR="00CF7FD4">
          <w:rPr>
            <w:rFonts w:ascii="Book Antiqua" w:hAnsi="Book Antiqua"/>
            <w:noProof/>
            <w:sz w:val="24"/>
            <w:szCs w:val="24"/>
          </w:rPr>
          <w:t xml:space="preserve"> </w:t>
        </w:r>
        <w:r w:rsidRPr="00162F0A">
          <w:rPr>
            <w:rFonts w:ascii="Book Antiqua" w:hAnsi="Book Antiqua"/>
            <w:noProof/>
            <w:sz w:val="24"/>
            <w:szCs w:val="24"/>
          </w:rPr>
          <w:t>30</w:t>
        </w:r>
      </w:p>
    </w:sdtContent>
  </w:sdt>
  <w:p w14:paraId="42F4B75D" w14:textId="77777777" w:rsidR="00525A27" w:rsidRDefault="00525A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EC8B" w14:textId="77777777" w:rsidR="00A77D88" w:rsidRDefault="00A77D88" w:rsidP="001C2D88">
      <w:r>
        <w:separator/>
      </w:r>
    </w:p>
  </w:footnote>
  <w:footnote w:type="continuationSeparator" w:id="0">
    <w:p w14:paraId="01A22326" w14:textId="77777777" w:rsidR="00A77D88" w:rsidRDefault="00A77D88" w:rsidP="001C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0D5"/>
    <w:rsid w:val="00080B48"/>
    <w:rsid w:val="00116E55"/>
    <w:rsid w:val="00120963"/>
    <w:rsid w:val="00123A8F"/>
    <w:rsid w:val="00162F0A"/>
    <w:rsid w:val="001666A5"/>
    <w:rsid w:val="00167EA1"/>
    <w:rsid w:val="00176640"/>
    <w:rsid w:val="001828CA"/>
    <w:rsid w:val="001C2D88"/>
    <w:rsid w:val="001C60C3"/>
    <w:rsid w:val="002013FB"/>
    <w:rsid w:val="002045B7"/>
    <w:rsid w:val="00231F7D"/>
    <w:rsid w:val="002345C1"/>
    <w:rsid w:val="002517C0"/>
    <w:rsid w:val="00274FAC"/>
    <w:rsid w:val="00282BB0"/>
    <w:rsid w:val="00297054"/>
    <w:rsid w:val="002D33DC"/>
    <w:rsid w:val="002F74A7"/>
    <w:rsid w:val="00323715"/>
    <w:rsid w:val="00340813"/>
    <w:rsid w:val="00345242"/>
    <w:rsid w:val="00360548"/>
    <w:rsid w:val="003736D9"/>
    <w:rsid w:val="0039313E"/>
    <w:rsid w:val="003C3041"/>
    <w:rsid w:val="003F192B"/>
    <w:rsid w:val="0040151E"/>
    <w:rsid w:val="00413137"/>
    <w:rsid w:val="00415F01"/>
    <w:rsid w:val="00456F5A"/>
    <w:rsid w:val="00471F97"/>
    <w:rsid w:val="004B579D"/>
    <w:rsid w:val="004C3F4C"/>
    <w:rsid w:val="004C7B53"/>
    <w:rsid w:val="0050257B"/>
    <w:rsid w:val="005125A8"/>
    <w:rsid w:val="00517E3E"/>
    <w:rsid w:val="00525A27"/>
    <w:rsid w:val="00551979"/>
    <w:rsid w:val="005519D7"/>
    <w:rsid w:val="0055334F"/>
    <w:rsid w:val="005B5AC9"/>
    <w:rsid w:val="005F194B"/>
    <w:rsid w:val="005F5AA0"/>
    <w:rsid w:val="00633F15"/>
    <w:rsid w:val="006653C4"/>
    <w:rsid w:val="006865CA"/>
    <w:rsid w:val="006B10E8"/>
    <w:rsid w:val="006B20CC"/>
    <w:rsid w:val="006B340A"/>
    <w:rsid w:val="006C68E4"/>
    <w:rsid w:val="006D0744"/>
    <w:rsid w:val="006D0954"/>
    <w:rsid w:val="006F460E"/>
    <w:rsid w:val="00704305"/>
    <w:rsid w:val="00710338"/>
    <w:rsid w:val="00712665"/>
    <w:rsid w:val="007838B1"/>
    <w:rsid w:val="007E688A"/>
    <w:rsid w:val="008115B0"/>
    <w:rsid w:val="00832C1E"/>
    <w:rsid w:val="00853231"/>
    <w:rsid w:val="0085726E"/>
    <w:rsid w:val="008762E3"/>
    <w:rsid w:val="00883B76"/>
    <w:rsid w:val="00884BBA"/>
    <w:rsid w:val="00893483"/>
    <w:rsid w:val="00893B9F"/>
    <w:rsid w:val="008B662B"/>
    <w:rsid w:val="008B710C"/>
    <w:rsid w:val="008D45CC"/>
    <w:rsid w:val="008E4D5C"/>
    <w:rsid w:val="00920582"/>
    <w:rsid w:val="00935490"/>
    <w:rsid w:val="009732CA"/>
    <w:rsid w:val="00981A2A"/>
    <w:rsid w:val="009A2209"/>
    <w:rsid w:val="009D25A8"/>
    <w:rsid w:val="009E1062"/>
    <w:rsid w:val="00A37171"/>
    <w:rsid w:val="00A61E8D"/>
    <w:rsid w:val="00A77B3E"/>
    <w:rsid w:val="00A77D88"/>
    <w:rsid w:val="00AD1CFF"/>
    <w:rsid w:val="00AE6338"/>
    <w:rsid w:val="00AE775F"/>
    <w:rsid w:val="00AE7ACD"/>
    <w:rsid w:val="00AF66F5"/>
    <w:rsid w:val="00B1286B"/>
    <w:rsid w:val="00B40F56"/>
    <w:rsid w:val="00B41FD9"/>
    <w:rsid w:val="00B47CD0"/>
    <w:rsid w:val="00B674BF"/>
    <w:rsid w:val="00B702F2"/>
    <w:rsid w:val="00B87F55"/>
    <w:rsid w:val="00B95D86"/>
    <w:rsid w:val="00BC286D"/>
    <w:rsid w:val="00BE6286"/>
    <w:rsid w:val="00C003F4"/>
    <w:rsid w:val="00C34944"/>
    <w:rsid w:val="00C562EC"/>
    <w:rsid w:val="00C62B6E"/>
    <w:rsid w:val="00C67599"/>
    <w:rsid w:val="00C77795"/>
    <w:rsid w:val="00C813CE"/>
    <w:rsid w:val="00CA2A55"/>
    <w:rsid w:val="00CA7987"/>
    <w:rsid w:val="00CB1DE0"/>
    <w:rsid w:val="00CC292D"/>
    <w:rsid w:val="00CF7FD4"/>
    <w:rsid w:val="00D01556"/>
    <w:rsid w:val="00D05DE0"/>
    <w:rsid w:val="00D15F29"/>
    <w:rsid w:val="00D172D5"/>
    <w:rsid w:val="00D3285F"/>
    <w:rsid w:val="00D40590"/>
    <w:rsid w:val="00D711D6"/>
    <w:rsid w:val="00D81477"/>
    <w:rsid w:val="00D979FC"/>
    <w:rsid w:val="00DC17F1"/>
    <w:rsid w:val="00DD0C6B"/>
    <w:rsid w:val="00DE1F9B"/>
    <w:rsid w:val="00DE2634"/>
    <w:rsid w:val="00E11994"/>
    <w:rsid w:val="00E525B5"/>
    <w:rsid w:val="00E56743"/>
    <w:rsid w:val="00E61F3C"/>
    <w:rsid w:val="00E75FA6"/>
    <w:rsid w:val="00E9276E"/>
    <w:rsid w:val="00E931C2"/>
    <w:rsid w:val="00EA22D7"/>
    <w:rsid w:val="00EC3D13"/>
    <w:rsid w:val="00F2479A"/>
    <w:rsid w:val="00F42752"/>
    <w:rsid w:val="00F50175"/>
    <w:rsid w:val="00F55BDD"/>
    <w:rsid w:val="00F55E1B"/>
    <w:rsid w:val="00F90650"/>
    <w:rsid w:val="00F95E02"/>
    <w:rsid w:val="00FB1155"/>
    <w:rsid w:val="00FC37D2"/>
    <w:rsid w:val="00FC5434"/>
    <w:rsid w:val="00FE0C29"/>
    <w:rsid w:val="00FE1737"/>
    <w:rsid w:val="00FF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6A43"/>
  <w15:docId w15:val="{A5C53C1E-5E87-4841-8E82-A726E58E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D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2D88"/>
    <w:rPr>
      <w:sz w:val="18"/>
      <w:szCs w:val="18"/>
    </w:rPr>
  </w:style>
  <w:style w:type="paragraph" w:styleId="a5">
    <w:name w:val="footer"/>
    <w:basedOn w:val="a"/>
    <w:link w:val="a6"/>
    <w:uiPriority w:val="99"/>
    <w:unhideWhenUsed/>
    <w:rsid w:val="001C2D88"/>
    <w:pPr>
      <w:tabs>
        <w:tab w:val="center" w:pos="4153"/>
        <w:tab w:val="right" w:pos="8306"/>
      </w:tabs>
      <w:snapToGrid w:val="0"/>
    </w:pPr>
    <w:rPr>
      <w:sz w:val="18"/>
      <w:szCs w:val="18"/>
    </w:rPr>
  </w:style>
  <w:style w:type="character" w:customStyle="1" w:styleId="a6">
    <w:name w:val="页脚 字符"/>
    <w:basedOn w:val="a0"/>
    <w:link w:val="a5"/>
    <w:uiPriority w:val="99"/>
    <w:rsid w:val="001C2D88"/>
    <w:rPr>
      <w:sz w:val="18"/>
      <w:szCs w:val="18"/>
    </w:rPr>
  </w:style>
  <w:style w:type="paragraph" w:styleId="a7">
    <w:name w:val="Balloon Text"/>
    <w:basedOn w:val="a"/>
    <w:link w:val="a8"/>
    <w:semiHidden/>
    <w:unhideWhenUsed/>
    <w:rsid w:val="00D979FC"/>
    <w:rPr>
      <w:rFonts w:ascii="Segoe UI" w:hAnsi="Segoe UI" w:cs="Segoe UI"/>
      <w:sz w:val="18"/>
      <w:szCs w:val="18"/>
    </w:rPr>
  </w:style>
  <w:style w:type="character" w:customStyle="1" w:styleId="a8">
    <w:name w:val="批注框文本 字符"/>
    <w:basedOn w:val="a0"/>
    <w:link w:val="a7"/>
    <w:semiHidden/>
    <w:rsid w:val="00D9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0F9F-5DAC-7645-BE6D-73EAFB87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6</cp:revision>
  <dcterms:created xsi:type="dcterms:W3CDTF">2020-10-06T16:28:00Z</dcterms:created>
  <dcterms:modified xsi:type="dcterms:W3CDTF">2020-10-12T08:34:00Z</dcterms:modified>
</cp:coreProperties>
</file>