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27E89" w14:textId="77777777" w:rsidR="00A77B3E" w:rsidRPr="00703F5C" w:rsidRDefault="003559A2" w:rsidP="00432A10">
      <w:pPr>
        <w:spacing w:line="360" w:lineRule="auto"/>
        <w:jc w:val="both"/>
        <w:rPr>
          <w:rFonts w:ascii="Book Antiqua" w:hAnsi="Book Antiqua"/>
          <w:color w:val="000000" w:themeColor="text1"/>
        </w:rPr>
      </w:pPr>
      <w:r w:rsidRPr="00432A10">
        <w:rPr>
          <w:rFonts w:ascii="Book Antiqua" w:eastAsia="Book Antiqua" w:hAnsi="Book Antiqua" w:cs="Book Antiqua"/>
          <w:b/>
          <w:color w:val="000000" w:themeColor="text1"/>
        </w:rPr>
        <w:t xml:space="preserve">Name of Journal: </w:t>
      </w:r>
      <w:r w:rsidRPr="00432A10">
        <w:rPr>
          <w:rFonts w:ascii="Book Antiqua" w:eastAsia="Book Antiqua" w:hAnsi="Book Antiqua" w:cs="Book Antiqua"/>
          <w:i/>
          <w:color w:val="000000" w:themeColor="text1"/>
        </w:rPr>
        <w:t>World Journal of Stem Cells</w:t>
      </w:r>
    </w:p>
    <w:p w14:paraId="347CFB7B" w14:textId="77777777"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b/>
          <w:color w:val="000000" w:themeColor="text1"/>
        </w:rPr>
        <w:t xml:space="preserve">Manuscript NO: </w:t>
      </w:r>
      <w:r w:rsidRPr="00432A10">
        <w:rPr>
          <w:rFonts w:ascii="Book Antiqua" w:eastAsia="Book Antiqua" w:hAnsi="Book Antiqua" w:cs="Book Antiqua"/>
          <w:color w:val="000000" w:themeColor="text1"/>
        </w:rPr>
        <w:t>57740</w:t>
      </w:r>
    </w:p>
    <w:p w14:paraId="39C86083" w14:textId="73EEA3E5"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b/>
          <w:color w:val="000000" w:themeColor="text1"/>
        </w:rPr>
        <w:t xml:space="preserve">Manuscript Type: </w:t>
      </w:r>
      <w:r w:rsidRPr="00432A10">
        <w:rPr>
          <w:rFonts w:ascii="Book Antiqua" w:eastAsia="Book Antiqua" w:hAnsi="Book Antiqua" w:cs="Book Antiqua"/>
          <w:color w:val="000000" w:themeColor="text1"/>
        </w:rPr>
        <w:t>REVIEW</w:t>
      </w:r>
      <w:r w:rsidR="00792B12">
        <w:rPr>
          <w:rFonts w:ascii="Book Antiqua" w:eastAsia="Book Antiqua" w:hAnsi="Book Antiqua" w:cs="Book Antiqua"/>
          <w:color w:val="000000" w:themeColor="text1"/>
        </w:rPr>
        <w:t xml:space="preserve"> </w:t>
      </w:r>
    </w:p>
    <w:p w14:paraId="572B4D14" w14:textId="77777777" w:rsidR="00A77B3E" w:rsidRPr="00703F5C" w:rsidRDefault="00A77B3E" w:rsidP="00432A10">
      <w:pPr>
        <w:spacing w:line="360" w:lineRule="auto"/>
        <w:jc w:val="both"/>
        <w:rPr>
          <w:rFonts w:ascii="Book Antiqua" w:hAnsi="Book Antiqua"/>
          <w:color w:val="000000" w:themeColor="text1"/>
        </w:rPr>
      </w:pPr>
    </w:p>
    <w:p w14:paraId="3338E55D" w14:textId="77777777"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b/>
          <w:color w:val="000000" w:themeColor="text1"/>
        </w:rPr>
        <w:t>Novel insights for improving the therapeutic safety and efficiency of mesenchymal stromal cells</w:t>
      </w:r>
    </w:p>
    <w:p w14:paraId="28C3E63F" w14:textId="77777777" w:rsidR="00A77B3E" w:rsidRPr="00703F5C" w:rsidRDefault="00A77B3E">
      <w:pPr>
        <w:spacing w:line="360" w:lineRule="auto"/>
        <w:jc w:val="both"/>
        <w:rPr>
          <w:rFonts w:ascii="Book Antiqua" w:hAnsi="Book Antiqua"/>
          <w:color w:val="000000" w:themeColor="text1"/>
        </w:rPr>
      </w:pPr>
    </w:p>
    <w:p w14:paraId="7E64C0F8" w14:textId="17041A01" w:rsidR="00A77B3E" w:rsidRPr="00703F5C" w:rsidRDefault="00692FCC">
      <w:pPr>
        <w:spacing w:line="360" w:lineRule="auto"/>
        <w:jc w:val="both"/>
        <w:rPr>
          <w:rFonts w:ascii="Book Antiqua" w:hAnsi="Book Antiqua"/>
          <w:color w:val="000000" w:themeColor="text1"/>
        </w:rPr>
      </w:pPr>
      <w:r w:rsidRPr="00432A10">
        <w:rPr>
          <w:rFonts w:ascii="Book Antiqua" w:eastAsia="Book Antiqua" w:hAnsi="Book Antiqua" w:cs="Book Antiqua"/>
          <w:color w:val="000000" w:themeColor="text1"/>
        </w:rPr>
        <w:t xml:space="preserve">Najar M </w:t>
      </w:r>
      <w:r w:rsidRPr="00703F5C">
        <w:rPr>
          <w:rFonts w:ascii="Book Antiqua" w:hAnsi="Book Antiqua" w:cs="Book Antiqua"/>
          <w:i/>
          <w:iCs/>
          <w:color w:val="000000" w:themeColor="text1"/>
          <w:lang w:eastAsia="zh-CN"/>
        </w:rPr>
        <w:t>e</w:t>
      </w:r>
      <w:r w:rsidRPr="00432A10">
        <w:rPr>
          <w:rFonts w:ascii="Book Antiqua" w:eastAsia="Book Antiqua" w:hAnsi="Book Antiqua" w:cs="Book Antiqua"/>
          <w:i/>
          <w:iCs/>
          <w:color w:val="000000" w:themeColor="text1"/>
        </w:rPr>
        <w:t>t al.</w:t>
      </w:r>
      <w:r w:rsidRPr="00432A10">
        <w:rPr>
          <w:rFonts w:ascii="Book Antiqua" w:eastAsia="Book Antiqua" w:hAnsi="Book Antiqua" w:cs="Book Antiqua"/>
          <w:color w:val="000000" w:themeColor="text1"/>
        </w:rPr>
        <w:t xml:space="preserve"> </w:t>
      </w:r>
      <w:r w:rsidR="003559A2" w:rsidRPr="00432A10">
        <w:rPr>
          <w:rFonts w:ascii="Book Antiqua" w:eastAsia="Book Antiqua" w:hAnsi="Book Antiqua" w:cs="Book Antiqua"/>
          <w:color w:val="000000" w:themeColor="text1"/>
        </w:rPr>
        <w:t xml:space="preserve">Improved </w:t>
      </w:r>
      <w:r w:rsidR="00D02A26" w:rsidRPr="00432A10">
        <w:rPr>
          <w:rFonts w:ascii="Book Antiqua" w:eastAsia="Book Antiqua" w:hAnsi="Book Antiqua" w:cs="Book Antiqua"/>
          <w:color w:val="000000" w:themeColor="text1"/>
        </w:rPr>
        <w:t>mesenchymal stromal cells</w:t>
      </w:r>
    </w:p>
    <w:p w14:paraId="7A4BF23C" w14:textId="77777777" w:rsidR="00A77B3E" w:rsidRPr="00703F5C" w:rsidRDefault="00A77B3E">
      <w:pPr>
        <w:spacing w:line="360" w:lineRule="auto"/>
        <w:jc w:val="both"/>
        <w:rPr>
          <w:rFonts w:ascii="Book Antiqua" w:hAnsi="Book Antiqua"/>
          <w:color w:val="000000" w:themeColor="text1"/>
        </w:rPr>
      </w:pPr>
    </w:p>
    <w:p w14:paraId="4E98E9A6" w14:textId="246371BE"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color w:val="000000" w:themeColor="text1"/>
        </w:rPr>
        <w:t>Mehdi Najar, Johanne Martel-Pelletier, J</w:t>
      </w:r>
      <w:r w:rsidR="006B4E80" w:rsidRPr="00432A10">
        <w:rPr>
          <w:rFonts w:ascii="Book Antiqua" w:eastAsia="Book Antiqua" w:hAnsi="Book Antiqua" w:cs="Book Antiqua"/>
          <w:color w:val="000000" w:themeColor="text1"/>
        </w:rPr>
        <w:t>ean</w:t>
      </w:r>
      <w:r w:rsidRPr="00432A10">
        <w:rPr>
          <w:rFonts w:ascii="Book Antiqua" w:eastAsia="Book Antiqua" w:hAnsi="Book Antiqua" w:cs="Book Antiqua"/>
          <w:color w:val="000000" w:themeColor="text1"/>
        </w:rPr>
        <w:t xml:space="preserve"> P</w:t>
      </w:r>
      <w:r w:rsidR="006B4E80" w:rsidRPr="00432A10">
        <w:rPr>
          <w:rFonts w:ascii="Book Antiqua" w:eastAsia="Book Antiqua" w:hAnsi="Book Antiqua" w:cs="Book Antiqua"/>
          <w:color w:val="000000" w:themeColor="text1"/>
        </w:rPr>
        <w:t>ierre</w:t>
      </w:r>
      <w:r w:rsidRPr="00432A10">
        <w:rPr>
          <w:rFonts w:ascii="Book Antiqua" w:eastAsia="Book Antiqua" w:hAnsi="Book Antiqua" w:cs="Book Antiqua"/>
          <w:color w:val="000000" w:themeColor="text1"/>
        </w:rPr>
        <w:t xml:space="preserve"> Pelletier, Hassan Fahmi</w:t>
      </w:r>
    </w:p>
    <w:p w14:paraId="5B4856E6" w14:textId="77777777" w:rsidR="00A77B3E" w:rsidRPr="00703F5C" w:rsidRDefault="00A77B3E">
      <w:pPr>
        <w:spacing w:line="360" w:lineRule="auto"/>
        <w:jc w:val="both"/>
        <w:rPr>
          <w:rFonts w:ascii="Book Antiqua" w:hAnsi="Book Antiqua"/>
          <w:color w:val="000000" w:themeColor="text1"/>
        </w:rPr>
      </w:pPr>
    </w:p>
    <w:p w14:paraId="013AAE58" w14:textId="01C3BFCC"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b/>
          <w:bCs/>
          <w:color w:val="000000" w:themeColor="text1"/>
        </w:rPr>
        <w:t xml:space="preserve">Mehdi Najar, </w:t>
      </w:r>
      <w:r w:rsidR="004B6E88" w:rsidRPr="00432A10">
        <w:rPr>
          <w:rFonts w:ascii="Book Antiqua" w:eastAsia="Book Antiqua" w:hAnsi="Book Antiqua" w:cs="Book Antiqua"/>
          <w:b/>
          <w:bCs/>
          <w:color w:val="000000" w:themeColor="text1"/>
        </w:rPr>
        <w:t>Johanne Martel-Pelletier, J</w:t>
      </w:r>
      <w:r w:rsidR="006B4E80" w:rsidRPr="00432A10">
        <w:rPr>
          <w:rFonts w:ascii="Book Antiqua" w:eastAsia="Book Antiqua" w:hAnsi="Book Antiqua" w:cs="Book Antiqua"/>
          <w:b/>
          <w:bCs/>
          <w:color w:val="000000" w:themeColor="text1"/>
        </w:rPr>
        <w:t>ean</w:t>
      </w:r>
      <w:r w:rsidR="004B6E88" w:rsidRPr="00432A10">
        <w:rPr>
          <w:rFonts w:ascii="Book Antiqua" w:eastAsia="Book Antiqua" w:hAnsi="Book Antiqua" w:cs="Book Antiqua"/>
          <w:b/>
          <w:bCs/>
          <w:color w:val="000000" w:themeColor="text1"/>
        </w:rPr>
        <w:t xml:space="preserve"> P</w:t>
      </w:r>
      <w:r w:rsidR="006B4E80" w:rsidRPr="00432A10">
        <w:rPr>
          <w:rFonts w:ascii="Book Antiqua" w:eastAsia="Book Antiqua" w:hAnsi="Book Antiqua" w:cs="Book Antiqua"/>
          <w:b/>
          <w:bCs/>
          <w:color w:val="000000" w:themeColor="text1"/>
        </w:rPr>
        <w:t xml:space="preserve">ierre </w:t>
      </w:r>
      <w:r w:rsidR="004B6E88" w:rsidRPr="00432A10">
        <w:rPr>
          <w:rFonts w:ascii="Book Antiqua" w:eastAsia="Book Antiqua" w:hAnsi="Book Antiqua" w:cs="Book Antiqua"/>
          <w:b/>
          <w:bCs/>
          <w:color w:val="000000" w:themeColor="text1"/>
        </w:rPr>
        <w:t xml:space="preserve">Pelletier, Hassan Fahmi, </w:t>
      </w:r>
      <w:r w:rsidRPr="00432A10">
        <w:rPr>
          <w:rFonts w:ascii="Book Antiqua" w:eastAsia="Book Antiqua" w:hAnsi="Book Antiqua" w:cs="Book Antiqua"/>
          <w:color w:val="000000" w:themeColor="text1"/>
        </w:rPr>
        <w:t>Department of Medicine, University of Montreal, Osteoarthritis Research Unit, University of Montreal Hospital Research Center (CRCHUM), Montreal</w:t>
      </w:r>
      <w:r w:rsidR="00AB7CA9" w:rsidRPr="00432A10">
        <w:rPr>
          <w:rFonts w:ascii="Book Antiqua" w:eastAsia="Book Antiqua" w:hAnsi="Book Antiqua" w:cs="Book Antiqua"/>
          <w:color w:val="000000" w:themeColor="text1"/>
        </w:rPr>
        <w:t>,</w:t>
      </w:r>
      <w:r w:rsidRPr="00432A10">
        <w:rPr>
          <w:rFonts w:ascii="Book Antiqua" w:eastAsia="Book Antiqua" w:hAnsi="Book Antiqua" w:cs="Book Antiqua"/>
          <w:color w:val="000000" w:themeColor="text1"/>
        </w:rPr>
        <w:t xml:space="preserve"> </w:t>
      </w:r>
      <w:r w:rsidR="00AB7CA9" w:rsidRPr="00432A10">
        <w:rPr>
          <w:rFonts w:ascii="Book Antiqua" w:hAnsi="Book Antiqua"/>
          <w:color w:val="000000" w:themeColor="text1"/>
          <w:shd w:val="clear" w:color="auto" w:fill="FFFFFF"/>
        </w:rPr>
        <w:t>QC</w:t>
      </w:r>
      <w:r w:rsidR="00AB7CA9" w:rsidRPr="00432A10">
        <w:rPr>
          <w:rFonts w:ascii="Book Antiqua" w:eastAsia="Book Antiqua" w:hAnsi="Book Antiqua" w:cs="Book Antiqua"/>
          <w:color w:val="000000" w:themeColor="text1"/>
        </w:rPr>
        <w:t xml:space="preserve"> </w:t>
      </w:r>
      <w:r w:rsidRPr="00432A10">
        <w:rPr>
          <w:rFonts w:ascii="Book Antiqua" w:eastAsia="Book Antiqua" w:hAnsi="Book Antiqua" w:cs="Book Antiqua"/>
          <w:color w:val="000000" w:themeColor="text1"/>
        </w:rPr>
        <w:t>H2X 0A9, Canada</w:t>
      </w:r>
    </w:p>
    <w:p w14:paraId="52961B24" w14:textId="77777777" w:rsidR="00A77B3E" w:rsidRPr="00703F5C" w:rsidRDefault="00A77B3E">
      <w:pPr>
        <w:spacing w:line="360" w:lineRule="auto"/>
        <w:jc w:val="both"/>
        <w:rPr>
          <w:rFonts w:ascii="Book Antiqua" w:hAnsi="Book Antiqua"/>
          <w:color w:val="000000" w:themeColor="text1"/>
        </w:rPr>
      </w:pPr>
    </w:p>
    <w:p w14:paraId="639C07EC" w14:textId="77777777"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b/>
          <w:bCs/>
          <w:color w:val="000000" w:themeColor="text1"/>
        </w:rPr>
        <w:t xml:space="preserve">Author contributions: </w:t>
      </w:r>
      <w:r w:rsidRPr="00432A10">
        <w:rPr>
          <w:rFonts w:ascii="Book Antiqua" w:eastAsia="Book Antiqua" w:hAnsi="Book Antiqua" w:cs="Book Antiqua"/>
          <w:color w:val="000000" w:themeColor="text1"/>
        </w:rPr>
        <w:t>All authors provided intellectual contribution, and edited and approved the manuscript for publication in its present version.</w:t>
      </w:r>
    </w:p>
    <w:p w14:paraId="73E8CC63" w14:textId="77777777" w:rsidR="00A77B3E" w:rsidRPr="00703F5C" w:rsidRDefault="00A77B3E">
      <w:pPr>
        <w:spacing w:line="360" w:lineRule="auto"/>
        <w:jc w:val="both"/>
        <w:rPr>
          <w:rFonts w:ascii="Book Antiqua" w:hAnsi="Book Antiqua"/>
          <w:color w:val="000000" w:themeColor="text1"/>
        </w:rPr>
      </w:pPr>
    </w:p>
    <w:p w14:paraId="44F5E222" w14:textId="5C038FBF"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b/>
          <w:bCs/>
          <w:color w:val="000000" w:themeColor="text1"/>
        </w:rPr>
        <w:t>Supported by</w:t>
      </w:r>
      <w:r w:rsidRPr="00432A10">
        <w:rPr>
          <w:rFonts w:ascii="Book Antiqua" w:eastAsia="Book Antiqua" w:hAnsi="Book Antiqua" w:cs="Book Antiqua"/>
          <w:color w:val="000000" w:themeColor="text1"/>
        </w:rPr>
        <w:t xml:space="preserve"> La Chaire en Arthrose de l’Université de Montréal.</w:t>
      </w:r>
    </w:p>
    <w:p w14:paraId="27F1090C" w14:textId="77777777" w:rsidR="00A77B3E" w:rsidRPr="00703F5C" w:rsidRDefault="00A77B3E">
      <w:pPr>
        <w:spacing w:line="360" w:lineRule="auto"/>
        <w:jc w:val="both"/>
        <w:rPr>
          <w:rFonts w:ascii="Book Antiqua" w:hAnsi="Book Antiqua"/>
          <w:color w:val="000000" w:themeColor="text1"/>
        </w:rPr>
      </w:pPr>
    </w:p>
    <w:p w14:paraId="3A0DC084" w14:textId="6B763809" w:rsidR="00E01E0F" w:rsidRPr="00432A10" w:rsidRDefault="003559A2">
      <w:pPr>
        <w:spacing w:line="360" w:lineRule="auto"/>
        <w:contextualSpacing/>
        <w:jc w:val="both"/>
        <w:rPr>
          <w:rFonts w:ascii="Book Antiqua" w:hAnsi="Book Antiqua"/>
          <w:color w:val="000000" w:themeColor="text1"/>
          <w:shd w:val="clear" w:color="auto" w:fill="FFFFFF"/>
        </w:rPr>
      </w:pPr>
      <w:r w:rsidRPr="00432A10">
        <w:rPr>
          <w:rFonts w:ascii="Book Antiqua" w:eastAsia="Book Antiqua" w:hAnsi="Book Antiqua" w:cs="Book Antiqua"/>
          <w:b/>
          <w:bCs/>
          <w:color w:val="000000" w:themeColor="text1"/>
        </w:rPr>
        <w:t xml:space="preserve">Corresponding author: </w:t>
      </w:r>
      <w:r w:rsidR="00F83806">
        <w:rPr>
          <w:rFonts w:ascii="Book Antiqua" w:eastAsia="Book Antiqua" w:hAnsi="Book Antiqua" w:cs="Book Antiqua"/>
          <w:b/>
          <w:bCs/>
          <w:color w:val="000000" w:themeColor="text1"/>
        </w:rPr>
        <w:t xml:space="preserve">Dr. </w:t>
      </w:r>
      <w:r w:rsidRPr="00432A10">
        <w:rPr>
          <w:rFonts w:ascii="Book Antiqua" w:eastAsia="Book Antiqua" w:hAnsi="Book Antiqua" w:cs="Book Antiqua"/>
          <w:b/>
          <w:bCs/>
          <w:color w:val="000000" w:themeColor="text1"/>
        </w:rPr>
        <w:t xml:space="preserve">Mehdi Najar, PhD, Academic Fellow, </w:t>
      </w:r>
      <w:r w:rsidRPr="00432A10">
        <w:rPr>
          <w:rFonts w:ascii="Book Antiqua" w:eastAsia="Book Antiqua" w:hAnsi="Book Antiqua" w:cs="Book Antiqua"/>
          <w:color w:val="000000" w:themeColor="text1"/>
        </w:rPr>
        <w:t xml:space="preserve">Department of Medicine, University of Montreal, Osteoarthritis Research Unit, University of Montreal Hospital Research Center (CRCHUM), </w:t>
      </w:r>
      <w:r w:rsidR="00E01E0F" w:rsidRPr="00432A10">
        <w:rPr>
          <w:rFonts w:ascii="Book Antiqua" w:hAnsi="Book Antiqua"/>
          <w:color w:val="000000" w:themeColor="text1"/>
          <w:shd w:val="clear" w:color="auto" w:fill="FFFFFF"/>
        </w:rPr>
        <w:t>900 Saint-Denis Street, R Tower, 11</w:t>
      </w:r>
      <w:r w:rsidR="00E01E0F" w:rsidRPr="00432A10">
        <w:rPr>
          <w:rFonts w:ascii="Book Antiqua" w:hAnsi="Book Antiqua"/>
          <w:color w:val="000000" w:themeColor="text1"/>
          <w:shd w:val="clear" w:color="auto" w:fill="FFFFFF"/>
          <w:vertAlign w:val="superscript"/>
        </w:rPr>
        <w:t>th</w:t>
      </w:r>
      <w:r w:rsidR="00E01E0F" w:rsidRPr="00432A10">
        <w:rPr>
          <w:rFonts w:ascii="Book Antiqua" w:hAnsi="Book Antiqua"/>
          <w:color w:val="000000" w:themeColor="text1"/>
          <w:shd w:val="clear" w:color="auto" w:fill="FFFFFF"/>
        </w:rPr>
        <w:t xml:space="preserve"> floor, Montreal, QC H2X 0A9</w:t>
      </w:r>
      <w:r w:rsidR="00AB7CA9" w:rsidRPr="00432A10">
        <w:rPr>
          <w:rFonts w:ascii="Book Antiqua" w:hAnsi="Book Antiqua"/>
          <w:color w:val="000000" w:themeColor="text1"/>
          <w:shd w:val="clear" w:color="auto" w:fill="FFFFFF"/>
        </w:rPr>
        <w:t>,</w:t>
      </w:r>
      <w:r w:rsidR="00E01E0F" w:rsidRPr="00432A10">
        <w:rPr>
          <w:rFonts w:ascii="Book Antiqua" w:hAnsi="Book Antiqua"/>
          <w:color w:val="000000" w:themeColor="text1"/>
          <w:shd w:val="clear" w:color="auto" w:fill="FFFFFF"/>
        </w:rPr>
        <w:t xml:space="preserve"> Canada</w:t>
      </w:r>
      <w:r w:rsidR="00E01E0F" w:rsidRPr="00432A10">
        <w:rPr>
          <w:rFonts w:ascii="Book Antiqua" w:hAnsi="Book Antiqua"/>
          <w:color w:val="000000" w:themeColor="text1"/>
        </w:rPr>
        <w:t xml:space="preserve">. </w:t>
      </w:r>
      <w:hyperlink r:id="rId8" w:history="1">
        <w:r w:rsidR="00E01E0F" w:rsidRPr="00432A10">
          <w:rPr>
            <w:rStyle w:val="Lienhypertexte"/>
            <w:rFonts w:ascii="Book Antiqua" w:hAnsi="Book Antiqua"/>
            <w:color w:val="000000" w:themeColor="text1"/>
            <w:shd w:val="clear" w:color="auto" w:fill="FFFFFF"/>
          </w:rPr>
          <w:t>mnajar@ulb.ac.be</w:t>
        </w:r>
      </w:hyperlink>
    </w:p>
    <w:p w14:paraId="1E18ECF1" w14:textId="3C9F49F7" w:rsidR="00A77B3E" w:rsidRPr="00703F5C" w:rsidRDefault="00A77B3E">
      <w:pPr>
        <w:spacing w:line="360" w:lineRule="auto"/>
        <w:jc w:val="both"/>
        <w:rPr>
          <w:rFonts w:ascii="Book Antiqua" w:hAnsi="Book Antiqua"/>
          <w:color w:val="000000" w:themeColor="text1"/>
        </w:rPr>
      </w:pPr>
    </w:p>
    <w:p w14:paraId="3D46980B" w14:textId="77777777"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b/>
          <w:bCs/>
          <w:color w:val="000000" w:themeColor="text1"/>
        </w:rPr>
        <w:t xml:space="preserve">Received: </w:t>
      </w:r>
      <w:r w:rsidRPr="00432A10">
        <w:rPr>
          <w:rFonts w:ascii="Book Antiqua" w:eastAsia="Book Antiqua" w:hAnsi="Book Antiqua" w:cs="Book Antiqua"/>
          <w:color w:val="000000" w:themeColor="text1"/>
        </w:rPr>
        <w:t>June 23, 2020</w:t>
      </w:r>
    </w:p>
    <w:p w14:paraId="5843A434" w14:textId="77777777"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b/>
          <w:bCs/>
          <w:color w:val="000000" w:themeColor="text1"/>
        </w:rPr>
        <w:t xml:space="preserve">Revised: </w:t>
      </w:r>
      <w:r w:rsidRPr="00432A10">
        <w:rPr>
          <w:rFonts w:ascii="Book Antiqua" w:eastAsia="Book Antiqua" w:hAnsi="Book Antiqua" w:cs="Book Antiqua"/>
          <w:color w:val="000000" w:themeColor="text1"/>
        </w:rPr>
        <w:t>August 13, 2020</w:t>
      </w:r>
    </w:p>
    <w:p w14:paraId="35FF404C" w14:textId="30297DB8"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b/>
          <w:bCs/>
          <w:color w:val="000000" w:themeColor="text1"/>
        </w:rPr>
        <w:t xml:space="preserve">Accepted: </w:t>
      </w:r>
      <w:r w:rsidR="00B4569F" w:rsidRPr="007C51BD">
        <w:rPr>
          <w:rFonts w:ascii="Book Antiqua" w:eastAsia="Book Antiqua" w:hAnsi="Book Antiqua" w:cs="Book Antiqua"/>
          <w:color w:val="000000"/>
        </w:rPr>
        <w:t>September 25, 2020</w:t>
      </w:r>
    </w:p>
    <w:p w14:paraId="1C52828C" w14:textId="327DEE8B"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b/>
          <w:bCs/>
          <w:color w:val="000000" w:themeColor="text1"/>
        </w:rPr>
        <w:lastRenderedPageBreak/>
        <w:t xml:space="preserve">Published online: </w:t>
      </w:r>
      <w:r w:rsidR="00DA7764">
        <w:rPr>
          <w:rFonts w:ascii="Book Antiqua" w:hAnsi="Book Antiqua"/>
        </w:rPr>
        <w:t>December 26, 2020</w:t>
      </w:r>
    </w:p>
    <w:p w14:paraId="2466EDA8" w14:textId="77777777" w:rsidR="0068614B" w:rsidRPr="00703F5C" w:rsidRDefault="0068614B">
      <w:pPr>
        <w:spacing w:line="360" w:lineRule="auto"/>
        <w:jc w:val="both"/>
        <w:rPr>
          <w:rFonts w:ascii="Book Antiqua" w:hAnsi="Book Antiqua"/>
          <w:color w:val="000000" w:themeColor="text1"/>
        </w:rPr>
        <w:sectPr w:rsidR="0068614B" w:rsidRPr="00703F5C">
          <w:footerReference w:type="default" r:id="rId9"/>
          <w:pgSz w:w="12240" w:h="15840"/>
          <w:pgMar w:top="1440" w:right="1440" w:bottom="1440" w:left="1440" w:header="720" w:footer="720" w:gutter="0"/>
          <w:cols w:space="720"/>
          <w:docGrid w:linePitch="360"/>
        </w:sectPr>
      </w:pPr>
    </w:p>
    <w:p w14:paraId="1320AB3E" w14:textId="77777777" w:rsidR="00120D53" w:rsidRDefault="003559A2" w:rsidP="00120D53">
      <w:pPr>
        <w:spacing w:line="360" w:lineRule="auto"/>
        <w:jc w:val="both"/>
        <w:rPr>
          <w:rFonts w:ascii="Book Antiqua" w:hAnsi="Book Antiqua"/>
          <w:color w:val="000000" w:themeColor="text1"/>
        </w:rPr>
      </w:pPr>
      <w:r w:rsidRPr="00432A10">
        <w:rPr>
          <w:rFonts w:ascii="Book Antiqua" w:eastAsia="Book Antiqua" w:hAnsi="Book Antiqua" w:cs="Book Antiqua"/>
          <w:b/>
          <w:color w:val="000000" w:themeColor="text1"/>
        </w:rPr>
        <w:lastRenderedPageBreak/>
        <w:t>Abstract</w:t>
      </w:r>
      <w:bookmarkStart w:id="0" w:name="_Hlk47444446"/>
    </w:p>
    <w:p w14:paraId="766774A8" w14:textId="04AB8B99" w:rsidR="007F6EC0" w:rsidRPr="00120D53" w:rsidRDefault="007F6EC0" w:rsidP="00120D53">
      <w:pPr>
        <w:spacing w:line="360" w:lineRule="auto"/>
        <w:jc w:val="both"/>
        <w:rPr>
          <w:rFonts w:ascii="Book Antiqua" w:hAnsi="Book Antiqua"/>
          <w:color w:val="000000" w:themeColor="text1"/>
        </w:rPr>
      </w:pPr>
      <w:r w:rsidRPr="00432A10">
        <w:rPr>
          <w:rFonts w:ascii="Book Antiqua" w:hAnsi="Book Antiqua"/>
          <w:shd w:val="clear" w:color="auto" w:fill="FFFFFF"/>
        </w:rPr>
        <w:t>Mesenchymal stromal cells</w:t>
      </w:r>
      <w:bookmarkEnd w:id="0"/>
      <w:r w:rsidRPr="00432A10">
        <w:rPr>
          <w:rFonts w:ascii="Book Antiqua" w:hAnsi="Book Antiqua"/>
          <w:shd w:val="clear" w:color="auto" w:fill="FFFFFF"/>
        </w:rPr>
        <w:t xml:space="preserve"> (MSCs) have attracted great interest in the field of regenerative medicine. They can home to damaged tissue, where they can exert pro-regenerative and anti-inflammatory properties. These therapeutic effects involve the secretion of growth factors, cytokines, and chemokines. Moreover, the functions of MSCs could be mediated by extracellular vesicles (EVs) that</w:t>
      </w:r>
      <w:r w:rsidRPr="00432A10">
        <w:rPr>
          <w:rFonts w:ascii="Book Antiqua" w:hAnsi="Book Antiqua"/>
        </w:rPr>
        <w:t xml:space="preserve"> </w:t>
      </w:r>
      <w:r w:rsidRPr="00432A10">
        <w:rPr>
          <w:rFonts w:ascii="Book Antiqua" w:hAnsi="Book Antiqua"/>
          <w:shd w:val="clear" w:color="auto" w:fill="FFFFFF"/>
        </w:rPr>
        <w:t>shuttle various signaling messengers. Although preclinical studies and clinical trials have demonstrated promising therapeutic results, the efficiency and the safety of MSCs need to be improved.</w:t>
      </w:r>
      <w:r w:rsidR="00F90C3E" w:rsidRPr="00432A10">
        <w:rPr>
          <w:rFonts w:ascii="Book Antiqua" w:hAnsi="Book Antiqua"/>
          <w:shd w:val="clear" w:color="auto" w:fill="FFFFFF"/>
          <w:lang w:eastAsia="zh-CN"/>
        </w:rPr>
        <w:t xml:space="preserve"> </w:t>
      </w:r>
      <w:r w:rsidRPr="00432A10">
        <w:rPr>
          <w:rFonts w:ascii="Book Antiqua" w:hAnsi="Book Antiqua"/>
          <w:shd w:val="clear" w:color="auto" w:fill="FFFFFF"/>
        </w:rPr>
        <w:t xml:space="preserve">After transplantation, MSCs face harsh environmental conditions, which likely dampen their therapeutic efficacy. A possible strategy aiming to improve the survival and therapeutic functions of MSCs needs to be developed. The preconditioning of MSCs </w:t>
      </w:r>
      <w:r w:rsidRPr="00432A10">
        <w:rPr>
          <w:rFonts w:ascii="Book Antiqua" w:hAnsi="Book Antiqua"/>
          <w:i/>
          <w:iCs/>
          <w:shd w:val="clear" w:color="auto" w:fill="FFFFFF"/>
        </w:rPr>
        <w:t>ex vivo</w:t>
      </w:r>
      <w:r w:rsidRPr="00432A10">
        <w:rPr>
          <w:rFonts w:ascii="Book Antiqua" w:hAnsi="Book Antiqua"/>
          <w:shd w:val="clear" w:color="auto" w:fill="FFFFFF"/>
        </w:rPr>
        <w:t xml:space="preserve"> would strength their capacities by preparing them to survive and to better function in this hostile environment. In this review, we will discuss several preconditioning approaches that may improve the therapeutic capacity of MSCs. As stated above, EVs can recapitulate the beneficial effects of MSCs and may help avoid many risks associated with cell transplantation. As a result, this novel type of cell-free therapy may be safer and more efficient than the whole cell product. We will, therefore, also discuss current knowledge regarding the therapeutic properties of MSC-derived EVs.</w:t>
      </w:r>
      <w:r w:rsidR="00AD2B2C">
        <w:rPr>
          <w:rFonts w:ascii="Book Antiqua" w:hAnsi="Book Antiqua"/>
          <w:shd w:val="clear" w:color="auto" w:fill="FFFFFF"/>
        </w:rPr>
        <w:t xml:space="preserve"> </w:t>
      </w:r>
    </w:p>
    <w:p w14:paraId="62BF33AD" w14:textId="77777777" w:rsidR="00A77B3E" w:rsidRPr="00703F5C" w:rsidRDefault="00A77B3E">
      <w:pPr>
        <w:spacing w:line="360" w:lineRule="auto"/>
        <w:jc w:val="both"/>
        <w:rPr>
          <w:rFonts w:ascii="Book Antiqua" w:hAnsi="Book Antiqua"/>
          <w:color w:val="000000" w:themeColor="text1"/>
        </w:rPr>
      </w:pPr>
    </w:p>
    <w:p w14:paraId="5C2E522E" w14:textId="1EFA86D0"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b/>
          <w:bCs/>
          <w:color w:val="000000" w:themeColor="text1"/>
        </w:rPr>
        <w:t xml:space="preserve">Key </w:t>
      </w:r>
      <w:r w:rsidR="00E961F1" w:rsidRPr="00432A10">
        <w:rPr>
          <w:rFonts w:ascii="Book Antiqua" w:eastAsia="Book Antiqua" w:hAnsi="Book Antiqua" w:cs="Book Antiqua"/>
          <w:b/>
          <w:bCs/>
          <w:color w:val="000000" w:themeColor="text1"/>
        </w:rPr>
        <w:t>W</w:t>
      </w:r>
      <w:r w:rsidRPr="00432A10">
        <w:rPr>
          <w:rFonts w:ascii="Book Antiqua" w:eastAsia="Book Antiqua" w:hAnsi="Book Antiqua" w:cs="Book Antiqua"/>
          <w:b/>
          <w:bCs/>
          <w:color w:val="000000" w:themeColor="text1"/>
        </w:rPr>
        <w:t xml:space="preserve">ords: </w:t>
      </w:r>
      <w:r w:rsidRPr="00432A10">
        <w:rPr>
          <w:rFonts w:ascii="Book Antiqua" w:eastAsia="Book Antiqua" w:hAnsi="Book Antiqua" w:cs="Book Antiqua"/>
          <w:color w:val="000000" w:themeColor="text1"/>
        </w:rPr>
        <w:t xml:space="preserve">Cell-therapy; </w:t>
      </w:r>
      <w:r w:rsidR="005E4804" w:rsidRPr="00432A10">
        <w:rPr>
          <w:rFonts w:ascii="Book Antiqua" w:eastAsia="Book Antiqua" w:hAnsi="Book Antiqua" w:cs="Book Antiqua"/>
          <w:color w:val="000000" w:themeColor="text1"/>
        </w:rPr>
        <w:t>Mesenchymal stromal cells</w:t>
      </w:r>
      <w:r w:rsidRPr="00432A10">
        <w:rPr>
          <w:rFonts w:ascii="Book Antiqua" w:eastAsia="Book Antiqua" w:hAnsi="Book Antiqua" w:cs="Book Antiqua"/>
          <w:color w:val="000000" w:themeColor="text1"/>
        </w:rPr>
        <w:t xml:space="preserve">; </w:t>
      </w:r>
      <w:r w:rsidR="00F91108" w:rsidRPr="00432A10">
        <w:rPr>
          <w:rFonts w:ascii="Book Antiqua" w:eastAsia="Book Antiqua" w:hAnsi="Book Antiqua" w:cs="Book Antiqua"/>
          <w:color w:val="000000" w:themeColor="text1"/>
        </w:rPr>
        <w:t>S</w:t>
      </w:r>
      <w:r w:rsidRPr="00432A10">
        <w:rPr>
          <w:rFonts w:ascii="Book Antiqua" w:eastAsia="Book Antiqua" w:hAnsi="Book Antiqua" w:cs="Book Antiqua"/>
          <w:color w:val="000000" w:themeColor="text1"/>
        </w:rPr>
        <w:t xml:space="preserve">afety; </w:t>
      </w:r>
      <w:r w:rsidR="00F91108" w:rsidRPr="00432A10">
        <w:rPr>
          <w:rFonts w:ascii="Book Antiqua" w:eastAsia="Book Antiqua" w:hAnsi="Book Antiqua" w:cs="Book Antiqua"/>
          <w:color w:val="000000" w:themeColor="text1"/>
        </w:rPr>
        <w:t>Extracellular vesicles</w:t>
      </w:r>
      <w:r w:rsidRPr="00432A10">
        <w:rPr>
          <w:rFonts w:ascii="Book Antiqua" w:eastAsia="Book Antiqua" w:hAnsi="Book Antiqua" w:cs="Book Antiqua"/>
          <w:color w:val="000000" w:themeColor="text1"/>
        </w:rPr>
        <w:t xml:space="preserve">; </w:t>
      </w:r>
      <w:r w:rsidR="00692FCC" w:rsidRPr="00432A10">
        <w:rPr>
          <w:rFonts w:ascii="Book Antiqua" w:eastAsia="Book Antiqua" w:hAnsi="Book Antiqua" w:cs="Book Antiqua"/>
          <w:color w:val="000000" w:themeColor="text1"/>
        </w:rPr>
        <w:t>E</w:t>
      </w:r>
      <w:r w:rsidRPr="00432A10">
        <w:rPr>
          <w:rFonts w:ascii="Book Antiqua" w:eastAsia="Book Antiqua" w:hAnsi="Book Antiqua" w:cs="Book Antiqua"/>
          <w:color w:val="000000" w:themeColor="text1"/>
        </w:rPr>
        <w:t xml:space="preserve">fficiency; </w:t>
      </w:r>
      <w:r w:rsidR="00692FCC" w:rsidRPr="00432A10">
        <w:rPr>
          <w:rFonts w:ascii="Book Antiqua" w:eastAsia="Book Antiqua" w:hAnsi="Book Antiqua" w:cs="Book Antiqua"/>
          <w:color w:val="000000" w:themeColor="text1"/>
        </w:rPr>
        <w:t>P</w:t>
      </w:r>
      <w:r w:rsidRPr="00432A10">
        <w:rPr>
          <w:rFonts w:ascii="Book Antiqua" w:eastAsia="Book Antiqua" w:hAnsi="Book Antiqua" w:cs="Book Antiqua"/>
          <w:color w:val="000000" w:themeColor="text1"/>
        </w:rPr>
        <w:t>reconditioning</w:t>
      </w:r>
    </w:p>
    <w:p w14:paraId="7813A2D9" w14:textId="77777777" w:rsidR="00A77B3E" w:rsidRPr="00703F5C" w:rsidRDefault="00A77B3E">
      <w:pPr>
        <w:spacing w:line="360" w:lineRule="auto"/>
        <w:jc w:val="both"/>
        <w:rPr>
          <w:rFonts w:ascii="Book Antiqua" w:hAnsi="Book Antiqua"/>
          <w:color w:val="000000" w:themeColor="text1"/>
        </w:rPr>
      </w:pPr>
    </w:p>
    <w:p w14:paraId="59726D47" w14:textId="77777777" w:rsidR="00DA7764" w:rsidRPr="00DA7764" w:rsidRDefault="003559A2" w:rsidP="00DA7764">
      <w:pPr>
        <w:spacing w:line="360" w:lineRule="auto"/>
        <w:jc w:val="both"/>
        <w:rPr>
          <w:rFonts w:ascii="Book Antiqua" w:eastAsia="Book Antiqua" w:hAnsi="Book Antiqua" w:cs="Book Antiqua"/>
          <w:color w:val="000000" w:themeColor="text1"/>
        </w:rPr>
      </w:pPr>
      <w:r w:rsidRPr="00432A10">
        <w:rPr>
          <w:rFonts w:ascii="Book Antiqua" w:eastAsia="Book Antiqua" w:hAnsi="Book Antiqua" w:cs="Book Antiqua"/>
          <w:color w:val="000000" w:themeColor="text1"/>
        </w:rPr>
        <w:t xml:space="preserve">Najar M, Martel-Pelletier J, Pelletier JP, Fahmi H. Novel insights for improving the therapeutic safety and efficiency of mesenchymal stromal cells. </w:t>
      </w:r>
      <w:r w:rsidRPr="00432A10">
        <w:rPr>
          <w:rFonts w:ascii="Book Antiqua" w:eastAsia="Book Antiqua" w:hAnsi="Book Antiqua" w:cs="Book Antiqua"/>
          <w:i/>
          <w:iCs/>
          <w:color w:val="000000" w:themeColor="text1"/>
        </w:rPr>
        <w:t>World J Stem Cells</w:t>
      </w:r>
      <w:r w:rsidRPr="00432A10">
        <w:rPr>
          <w:rFonts w:ascii="Book Antiqua" w:eastAsia="Book Antiqua" w:hAnsi="Book Antiqua" w:cs="Book Antiqua"/>
          <w:color w:val="000000" w:themeColor="text1"/>
        </w:rPr>
        <w:t xml:space="preserve"> 2020; </w:t>
      </w:r>
    </w:p>
    <w:p w14:paraId="245B4D81" w14:textId="67DC99F7" w:rsidR="00A77B3E" w:rsidRPr="000F3C71" w:rsidRDefault="00DA7764" w:rsidP="00DA7764">
      <w:pPr>
        <w:spacing w:line="360" w:lineRule="auto"/>
        <w:jc w:val="both"/>
        <w:rPr>
          <w:rFonts w:ascii="Book Antiqua" w:hAnsi="Book Antiqua"/>
          <w:color w:val="000000" w:themeColor="text1"/>
          <w:lang w:eastAsia="zh-CN"/>
        </w:rPr>
      </w:pPr>
      <w:r w:rsidRPr="00DA7764">
        <w:rPr>
          <w:rFonts w:ascii="Book Antiqua" w:eastAsia="Book Antiqua" w:hAnsi="Book Antiqua" w:cs="Book Antiqua"/>
          <w:color w:val="000000" w:themeColor="text1"/>
        </w:rPr>
        <w:t xml:space="preserve">12(12): </w:t>
      </w:r>
      <w:r>
        <w:rPr>
          <w:rFonts w:ascii="Book Antiqua" w:hAnsi="Book Antiqua" w:cs="Book Antiqua" w:hint="eastAsia"/>
          <w:color w:val="000000" w:themeColor="text1"/>
          <w:lang w:eastAsia="zh-CN"/>
        </w:rPr>
        <w:t>1474-</w:t>
      </w:r>
      <w:r w:rsidR="00DA0993">
        <w:rPr>
          <w:rFonts w:ascii="Book Antiqua" w:hAnsi="Book Antiqua" w:cs="Book Antiqua" w:hint="eastAsia"/>
          <w:color w:val="000000" w:themeColor="text1"/>
          <w:lang w:eastAsia="zh-CN"/>
        </w:rPr>
        <w:t>1491</w:t>
      </w:r>
      <w:r w:rsidRPr="00DA7764">
        <w:rPr>
          <w:rFonts w:ascii="Book Antiqua" w:eastAsia="Book Antiqua" w:hAnsi="Book Antiqua" w:cs="Book Antiqua"/>
          <w:color w:val="000000" w:themeColor="text1"/>
        </w:rPr>
        <w:t xml:space="preserve"> URL: https://www.wjgnet.com/1948-0210/full/v12/i12/</w:t>
      </w:r>
      <w:r w:rsidR="00DA0993">
        <w:rPr>
          <w:rFonts w:ascii="Book Antiqua" w:hAnsi="Book Antiqua" w:cs="Book Antiqua" w:hint="eastAsia"/>
          <w:color w:val="000000" w:themeColor="text1"/>
          <w:lang w:eastAsia="zh-CN"/>
        </w:rPr>
        <w:t>1474</w:t>
      </w:r>
      <w:r w:rsidRPr="00DA7764">
        <w:rPr>
          <w:rFonts w:ascii="Book Antiqua" w:eastAsia="Book Antiqua" w:hAnsi="Book Antiqua" w:cs="Book Antiqua"/>
          <w:color w:val="000000" w:themeColor="text1"/>
        </w:rPr>
        <w:t>.htm DOI: https://dx.doi.org/10.4252/wjsc.v12.i12.</w:t>
      </w:r>
      <w:r w:rsidR="000F3C71">
        <w:rPr>
          <w:rFonts w:ascii="Book Antiqua" w:hAnsi="Book Antiqua" w:cs="Book Antiqua" w:hint="eastAsia"/>
          <w:color w:val="000000" w:themeColor="text1"/>
          <w:lang w:eastAsia="zh-CN"/>
        </w:rPr>
        <w:t>1474</w:t>
      </w:r>
    </w:p>
    <w:p w14:paraId="3465E986" w14:textId="77777777" w:rsidR="00C17712" w:rsidRPr="00703F5C" w:rsidRDefault="00C17712">
      <w:pPr>
        <w:spacing w:line="360" w:lineRule="auto"/>
        <w:jc w:val="both"/>
        <w:rPr>
          <w:rFonts w:ascii="Book Antiqua" w:hAnsi="Book Antiqua"/>
          <w:color w:val="000000" w:themeColor="text1"/>
        </w:rPr>
      </w:pPr>
    </w:p>
    <w:p w14:paraId="06D845C9" w14:textId="61DD6B69" w:rsidR="007D37BE" w:rsidRPr="00432A10" w:rsidRDefault="003559A2">
      <w:pPr>
        <w:spacing w:line="360" w:lineRule="auto"/>
        <w:contextualSpacing/>
        <w:jc w:val="both"/>
        <w:rPr>
          <w:rFonts w:ascii="Book Antiqua" w:hAnsi="Book Antiqua"/>
          <w:shd w:val="clear" w:color="auto" w:fill="FFFFFF"/>
        </w:rPr>
      </w:pPr>
      <w:r w:rsidRPr="00432A10">
        <w:rPr>
          <w:rFonts w:ascii="Book Antiqua" w:eastAsia="Book Antiqua" w:hAnsi="Book Antiqua" w:cs="Book Antiqua"/>
          <w:b/>
          <w:bCs/>
          <w:color w:val="000000" w:themeColor="text1"/>
        </w:rPr>
        <w:lastRenderedPageBreak/>
        <w:t xml:space="preserve">Core </w:t>
      </w:r>
      <w:r w:rsidR="00E961F1" w:rsidRPr="00432A10">
        <w:rPr>
          <w:rFonts w:ascii="Book Antiqua" w:eastAsia="Book Antiqua" w:hAnsi="Book Antiqua" w:cs="Book Antiqua"/>
          <w:b/>
          <w:bCs/>
          <w:color w:val="000000" w:themeColor="text1"/>
        </w:rPr>
        <w:t>T</w:t>
      </w:r>
      <w:r w:rsidRPr="00432A10">
        <w:rPr>
          <w:rFonts w:ascii="Book Antiqua" w:eastAsia="Book Antiqua" w:hAnsi="Book Antiqua" w:cs="Book Antiqua"/>
          <w:b/>
          <w:bCs/>
          <w:color w:val="000000" w:themeColor="text1"/>
        </w:rPr>
        <w:t xml:space="preserve">ip: </w:t>
      </w:r>
      <w:r w:rsidR="007D37BE" w:rsidRPr="00432A10">
        <w:rPr>
          <w:rFonts w:ascii="Book Antiqua" w:hAnsi="Book Antiqua"/>
          <w:shd w:val="clear" w:color="auto" w:fill="FFFFFF"/>
        </w:rPr>
        <w:t>Mesenchymal stromal cells (MSCs) have a strong capacity to regenerate injured tissues by displaying trophic and immunomodulatory functions. The tissue environment plays a significant role during the reparative process of MSCs. Preconditioning of MSCs with a specific signal promotes the adequate response. As the therapeutic functions of MSCs are mainly linked to their secretome, the use of extracellular vesicles as an acellular tool is strongly recommended. Thus, new insights on the properties of MSCs as well as their mechanisms of actions will help to develop a safe and efficient therapeutic strategy.</w:t>
      </w:r>
    </w:p>
    <w:p w14:paraId="2E44D91A" w14:textId="31F9F435" w:rsidR="0068614B" w:rsidRDefault="0068614B">
      <w:pPr>
        <w:spacing w:line="360" w:lineRule="auto"/>
        <w:jc w:val="both"/>
        <w:rPr>
          <w:rFonts w:ascii="Book Antiqua" w:eastAsia="Book Antiqua" w:hAnsi="Book Antiqua" w:cs="Book Antiqua"/>
          <w:b/>
          <w:caps/>
          <w:color w:val="000000" w:themeColor="text1"/>
          <w:u w:val="single"/>
        </w:rPr>
        <w:sectPr w:rsidR="0068614B">
          <w:pgSz w:w="12240" w:h="15840"/>
          <w:pgMar w:top="1440" w:right="1440" w:bottom="1440" w:left="1440" w:header="720" w:footer="720" w:gutter="0"/>
          <w:cols w:space="720"/>
          <w:docGrid w:linePitch="360"/>
        </w:sectPr>
      </w:pPr>
    </w:p>
    <w:p w14:paraId="128FF8CA" w14:textId="7E63C9D2" w:rsidR="00120D53" w:rsidRDefault="003559A2" w:rsidP="00120D53">
      <w:pPr>
        <w:spacing w:line="360" w:lineRule="auto"/>
        <w:jc w:val="both"/>
        <w:rPr>
          <w:rFonts w:ascii="Book Antiqua" w:hAnsi="Book Antiqua"/>
          <w:color w:val="000000" w:themeColor="text1"/>
        </w:rPr>
      </w:pPr>
      <w:r w:rsidRPr="00432A10">
        <w:rPr>
          <w:rFonts w:ascii="Book Antiqua" w:eastAsia="Book Antiqua" w:hAnsi="Book Antiqua" w:cs="Book Antiqua"/>
          <w:b/>
          <w:caps/>
          <w:color w:val="000000" w:themeColor="text1"/>
          <w:u w:val="single"/>
        </w:rPr>
        <w:lastRenderedPageBreak/>
        <w:t>INTRODUCTION</w:t>
      </w:r>
      <w:r w:rsidR="00A2327E">
        <w:rPr>
          <w:rFonts w:ascii="Book Antiqua" w:eastAsia="Book Antiqua" w:hAnsi="Book Antiqua" w:cs="Book Antiqua"/>
          <w:b/>
          <w:caps/>
          <w:color w:val="000000" w:themeColor="text1"/>
          <w:u w:val="single"/>
        </w:rPr>
        <w:t xml:space="preserve"> </w:t>
      </w:r>
      <w:bookmarkStart w:id="1" w:name="_GoBack"/>
      <w:bookmarkEnd w:id="1"/>
    </w:p>
    <w:p w14:paraId="766C3F7D" w14:textId="14BF864D" w:rsidR="0077688B" w:rsidRPr="00120D53" w:rsidRDefault="0036296E" w:rsidP="00120D53">
      <w:pPr>
        <w:spacing w:line="360" w:lineRule="auto"/>
        <w:jc w:val="both"/>
        <w:rPr>
          <w:rFonts w:ascii="Book Antiqua" w:hAnsi="Book Antiqua"/>
          <w:color w:val="000000" w:themeColor="text1"/>
        </w:rPr>
      </w:pPr>
      <w:r w:rsidRPr="00432A10">
        <w:rPr>
          <w:rFonts w:ascii="Book Antiqua" w:hAnsi="Book Antiqua"/>
        </w:rPr>
        <w:t>Due to the high prevalence of tissue injury and damage, new therapeutic strategies should be considered</w:t>
      </w:r>
      <w:r w:rsidRPr="00432A10">
        <w:rPr>
          <w:rFonts w:ascii="Book Antiqua" w:hAnsi="Book Antiqua"/>
          <w:noProof/>
          <w:vertAlign w:val="superscript"/>
        </w:rPr>
        <w:t>[1]</w:t>
      </w:r>
      <w:r w:rsidRPr="00432A10">
        <w:rPr>
          <w:rFonts w:ascii="Book Antiqua" w:hAnsi="Book Antiqua"/>
        </w:rPr>
        <w:t>. Tissue regeneration is a complex process encompassing several interplays between tissue progenitor/stem cells, local environment, and immune cells. The healing ability is generally attributable to a pool of undifferentiated cells capable of replacing damaged cells in order to guarantee the integrity of the tissue</w:t>
      </w:r>
      <w:r w:rsidRPr="00432A10">
        <w:rPr>
          <w:rFonts w:ascii="Book Antiqua" w:hAnsi="Book Antiqua"/>
          <w:noProof/>
          <w:vertAlign w:val="superscript"/>
        </w:rPr>
        <w:t>[2]</w:t>
      </w:r>
      <w:r w:rsidRPr="00432A10">
        <w:rPr>
          <w:rFonts w:ascii="Book Antiqua" w:hAnsi="Book Antiqua"/>
        </w:rPr>
        <w:t xml:space="preserve">. These cells can sense several signals of injury and damage, which can in turn modulate their biological features. However, the pool of tissue-specific </w:t>
      </w:r>
      <w:bookmarkStart w:id="2" w:name="_Hlk40966000"/>
      <w:r w:rsidRPr="00432A10">
        <w:rPr>
          <w:rFonts w:ascii="Book Antiqua" w:hAnsi="Book Antiqua"/>
        </w:rPr>
        <w:t xml:space="preserve">stem/stromal and progenitor cells </w:t>
      </w:r>
      <w:bookmarkEnd w:id="2"/>
      <w:r w:rsidRPr="00432A10">
        <w:rPr>
          <w:rFonts w:ascii="Book Antiqua" w:hAnsi="Book Antiqua"/>
        </w:rPr>
        <w:t xml:space="preserve">may show functional exhaustion. Depending on the injury and damage, these endogenous </w:t>
      </w:r>
      <w:r w:rsidRPr="00432A10">
        <w:rPr>
          <w:rFonts w:ascii="Book Antiqua" w:hAnsi="Book Antiqua"/>
          <w:color w:val="000000" w:themeColor="text1"/>
        </w:rPr>
        <w:t>cells</w:t>
      </w:r>
      <w:r w:rsidRPr="00432A10">
        <w:rPr>
          <w:rFonts w:ascii="Book Antiqua" w:hAnsi="Book Antiqua"/>
        </w:rPr>
        <w:t xml:space="preserve"> may display low efficiency regarding their healing mechanism. Impairments of cell self-renewal, function, differentiation capacity, and homing may thus be observed</w:t>
      </w:r>
      <w:r w:rsidRPr="00432A10">
        <w:rPr>
          <w:rFonts w:ascii="Book Antiqua" w:hAnsi="Book Antiqua"/>
          <w:noProof/>
          <w:vertAlign w:val="superscript"/>
        </w:rPr>
        <w:t>[3]</w:t>
      </w:r>
      <w:r w:rsidRPr="00432A10">
        <w:rPr>
          <w:rFonts w:ascii="Book Antiqua" w:hAnsi="Book Antiqua"/>
        </w:rPr>
        <w:t>.</w:t>
      </w:r>
    </w:p>
    <w:p w14:paraId="22E21CEC" w14:textId="13DA485F" w:rsidR="00D327BF" w:rsidRPr="00432A10" w:rsidRDefault="0036296E" w:rsidP="00120D53">
      <w:pPr>
        <w:snapToGrid w:val="0"/>
        <w:spacing w:line="360" w:lineRule="auto"/>
        <w:ind w:firstLineChars="100" w:firstLine="240"/>
        <w:contextualSpacing/>
        <w:jc w:val="both"/>
        <w:rPr>
          <w:rFonts w:ascii="Book Antiqua" w:hAnsi="Book Antiqua"/>
        </w:rPr>
      </w:pPr>
      <w:r w:rsidRPr="00432A10">
        <w:rPr>
          <w:rFonts w:ascii="Book Antiqua" w:hAnsi="Book Antiqua"/>
        </w:rPr>
        <w:t xml:space="preserve">New therapies using </w:t>
      </w:r>
      <w:r w:rsidRPr="00432A10">
        <w:rPr>
          <w:rFonts w:ascii="Book Antiqua" w:hAnsi="Book Antiqua"/>
          <w:i/>
          <w:iCs/>
        </w:rPr>
        <w:t>ex vivo</w:t>
      </w:r>
      <w:r w:rsidRPr="00432A10">
        <w:rPr>
          <w:rFonts w:ascii="Book Antiqua" w:hAnsi="Book Antiqua"/>
        </w:rPr>
        <w:t xml:space="preserve">-expanded stem/stromal and progenitor cells have been developed to enhance the healing process. In this context, mesenchymal stromal cells (MSCs) have been reported as an attractive candidate for cell therapy. Originally identified within the bone marrow niche, MSCs were subsequently identified in different tissues. Morphologically similar to fibroblasts, MSCs are characterized </w:t>
      </w:r>
      <w:r w:rsidRPr="00432A10">
        <w:rPr>
          <w:rFonts w:ascii="Book Antiqua" w:hAnsi="Book Antiqua"/>
          <w:i/>
          <w:iCs/>
        </w:rPr>
        <w:t xml:space="preserve">in vitro </w:t>
      </w:r>
      <w:r w:rsidRPr="00432A10">
        <w:rPr>
          <w:rFonts w:ascii="Book Antiqua" w:hAnsi="Book Antiqua"/>
        </w:rPr>
        <w:t>by plastic-adherent proliferation, a specific immunophenotype and multipotency as defined by the International Society for Cellular Therapy (ISCT)</w:t>
      </w:r>
      <w:r w:rsidRPr="00432A10">
        <w:rPr>
          <w:rFonts w:ascii="Book Antiqua" w:hAnsi="Book Antiqua"/>
          <w:noProof/>
          <w:vertAlign w:val="superscript"/>
        </w:rPr>
        <w:t>[4]</w:t>
      </w:r>
      <w:r w:rsidRPr="00432A10">
        <w:rPr>
          <w:rFonts w:ascii="Book Antiqua" w:hAnsi="Book Antiqua"/>
        </w:rPr>
        <w:t xml:space="preserve">. They express CD73, CD90 and CD105 and lack the expression of CD14, CD19, CD34, CD45 and </w:t>
      </w:r>
      <w:r w:rsidR="009C161A" w:rsidRPr="00432A10">
        <w:rPr>
          <w:rFonts w:ascii="Book Antiqua" w:hAnsi="Book Antiqua"/>
        </w:rPr>
        <w:t>human leukocyte antigen (</w:t>
      </w:r>
      <w:r w:rsidRPr="00432A10">
        <w:rPr>
          <w:rFonts w:ascii="Book Antiqua" w:hAnsi="Book Antiqua"/>
        </w:rPr>
        <w:t>HLA</w:t>
      </w:r>
      <w:r w:rsidR="009C161A" w:rsidRPr="00432A10">
        <w:rPr>
          <w:rFonts w:ascii="Book Antiqua" w:hAnsi="Book Antiqua"/>
        </w:rPr>
        <w:t>)</w:t>
      </w:r>
      <w:r w:rsidRPr="00432A10">
        <w:rPr>
          <w:rFonts w:ascii="Book Antiqua" w:hAnsi="Book Antiqua"/>
        </w:rPr>
        <w:t xml:space="preserve">-DR. To date, their multipotent capabilities have not been clearly demonstrated </w:t>
      </w:r>
      <w:r w:rsidRPr="00432A10">
        <w:rPr>
          <w:rFonts w:ascii="Book Antiqua" w:hAnsi="Book Antiqua"/>
          <w:i/>
          <w:iCs/>
        </w:rPr>
        <w:t>in vivo</w:t>
      </w:r>
      <w:r w:rsidRPr="00432A10">
        <w:rPr>
          <w:rFonts w:ascii="Book Antiqua" w:hAnsi="Book Antiqua"/>
        </w:rPr>
        <w:t>, particularly because of the lack of methods to identify and define differentiated populations. However, the trophic and immunomodulatory properties of MSCs are likely the key attributes that mediate tissue repair</w:t>
      </w:r>
      <w:r w:rsidRPr="00432A10">
        <w:rPr>
          <w:rFonts w:ascii="Book Antiqua" w:hAnsi="Book Antiqua"/>
          <w:noProof/>
          <w:vertAlign w:val="superscript"/>
        </w:rPr>
        <w:t>[5,6]</w:t>
      </w:r>
      <w:r w:rsidRPr="00432A10">
        <w:rPr>
          <w:rFonts w:ascii="Book Antiqua" w:hAnsi="Book Antiqua"/>
        </w:rPr>
        <w:t>.</w:t>
      </w:r>
    </w:p>
    <w:p w14:paraId="2DDE9B72" w14:textId="77777777" w:rsidR="0077688B" w:rsidRPr="00432A10" w:rsidRDefault="0036296E" w:rsidP="00120D53">
      <w:pPr>
        <w:snapToGrid w:val="0"/>
        <w:spacing w:line="360" w:lineRule="auto"/>
        <w:ind w:firstLineChars="100" w:firstLine="240"/>
        <w:contextualSpacing/>
        <w:jc w:val="both"/>
        <w:rPr>
          <w:rFonts w:ascii="Book Antiqua" w:hAnsi="Book Antiqua"/>
        </w:rPr>
      </w:pPr>
      <w:r w:rsidRPr="00432A10">
        <w:rPr>
          <w:rFonts w:ascii="Book Antiqua" w:hAnsi="Book Antiqua"/>
        </w:rPr>
        <w:t>In parallel, harsh environments within damaged and diseased tissues such as ischemia, inflammatory/immunological reactions, oxidative stress, and infectious episodes may influence the fate and functions of cells</w:t>
      </w:r>
      <w:r w:rsidRPr="00432A10">
        <w:rPr>
          <w:rFonts w:ascii="Book Antiqua" w:hAnsi="Book Antiqua"/>
          <w:noProof/>
          <w:vertAlign w:val="superscript"/>
        </w:rPr>
        <w:t>[7]</w:t>
      </w:r>
      <w:r w:rsidRPr="00432A10">
        <w:rPr>
          <w:rFonts w:ascii="Book Antiqua" w:hAnsi="Book Antiqua"/>
        </w:rPr>
        <w:t xml:space="preserve">. By sensing such signals, MSCs respond by migrating, proliferating, and initiating regenerative mechanisms. MSCs will try to reconstitute the immune microenvironment and empower tissue stem/progenitor </w:t>
      </w:r>
      <w:r w:rsidRPr="00432A10">
        <w:rPr>
          <w:rFonts w:ascii="Book Antiqua" w:hAnsi="Book Antiqua"/>
        </w:rPr>
        <w:lastRenderedPageBreak/>
        <w:t>cells and other resident cells, thereby facilitating tissue repair</w:t>
      </w:r>
      <w:r w:rsidRPr="00432A10">
        <w:rPr>
          <w:rFonts w:ascii="Book Antiqua" w:hAnsi="Book Antiqua"/>
          <w:noProof/>
          <w:vertAlign w:val="superscript"/>
        </w:rPr>
        <w:t>[8]</w:t>
      </w:r>
      <w:r w:rsidRPr="00432A10">
        <w:rPr>
          <w:rFonts w:ascii="Book Antiqua" w:hAnsi="Book Antiqua"/>
        </w:rPr>
        <w:t>. A rapid detection of the primary insult allows to display the adequate response attempting repair</w:t>
      </w:r>
      <w:r w:rsidRPr="00432A10">
        <w:rPr>
          <w:rFonts w:ascii="Book Antiqua" w:hAnsi="Book Antiqua"/>
          <w:noProof/>
          <w:vertAlign w:val="superscript"/>
        </w:rPr>
        <w:t>[9]</w:t>
      </w:r>
      <w:r w:rsidRPr="00432A10">
        <w:rPr>
          <w:rFonts w:ascii="Book Antiqua" w:hAnsi="Book Antiqua"/>
        </w:rPr>
        <w:t>. In general, a tight regulation of the balance between the native and activated states of MSCs appears essential for their functional properties during tissue repair. It has been shown that MSCs require specific signals to display adequate therapeutic potential</w:t>
      </w:r>
      <w:r w:rsidRPr="00432A10">
        <w:rPr>
          <w:rFonts w:ascii="Book Antiqua" w:hAnsi="Book Antiqua"/>
          <w:noProof/>
          <w:vertAlign w:val="superscript"/>
        </w:rPr>
        <w:t>[10]</w:t>
      </w:r>
      <w:r w:rsidRPr="00432A10">
        <w:rPr>
          <w:rFonts w:ascii="Book Antiqua" w:hAnsi="Book Antiqua"/>
        </w:rPr>
        <w:t>. Such behavior indicates that MSCs possess functional plasticity, and that, under specific conditions, it is possible to polarize their biological response toward an adequate response. Depending on tissue injury or disease conditions, the secretome may change allowing MSCs to exert different effects. These changes generally modulate the type and level of cytokines and growth factors important for the tissue repair process</w:t>
      </w:r>
      <w:r w:rsidRPr="00432A10">
        <w:rPr>
          <w:rFonts w:ascii="Book Antiqua" w:hAnsi="Book Antiqua"/>
          <w:noProof/>
          <w:vertAlign w:val="superscript"/>
        </w:rPr>
        <w:t>[11]</w:t>
      </w:r>
      <w:r w:rsidRPr="00432A10">
        <w:rPr>
          <w:rFonts w:ascii="Book Antiqua" w:hAnsi="Book Antiqua"/>
        </w:rPr>
        <w:t xml:space="preserve">. </w:t>
      </w:r>
      <w:r w:rsidRPr="00432A10">
        <w:rPr>
          <w:rFonts w:ascii="Book Antiqua" w:hAnsi="Book Antiqua"/>
          <w:color w:val="000000" w:themeColor="text1"/>
        </w:rPr>
        <w:t>The results obtained from clinical applications of MSC</w:t>
      </w:r>
      <w:r w:rsidRPr="00432A10">
        <w:rPr>
          <w:rFonts w:ascii="Book Antiqua" w:hAnsi="Book Antiqua"/>
        </w:rPr>
        <w:t>s indicate that therapeutic outcomes could be improved. The secretome of MSCs is mainly responsible for the modulation of immune responses and the function empowerment of local progenitors. It consists of a diverse range of growth factors, cytokines, chemokines, and extracellular vesicles (EVs) that govern different paracrine signaling. MSCs convey regulatory messages to recipient cells to initiate tissue repair</w:t>
      </w:r>
      <w:r w:rsidRPr="00432A10">
        <w:rPr>
          <w:rFonts w:ascii="Book Antiqua" w:hAnsi="Book Antiqua"/>
          <w:noProof/>
          <w:vertAlign w:val="superscript"/>
        </w:rPr>
        <w:t>[6]</w:t>
      </w:r>
      <w:r w:rsidRPr="00432A10">
        <w:rPr>
          <w:rFonts w:ascii="Book Antiqua" w:hAnsi="Book Antiqua"/>
        </w:rPr>
        <w:t xml:space="preserve">. The release of </w:t>
      </w:r>
      <w:r w:rsidRPr="00432A10">
        <w:rPr>
          <w:rFonts w:ascii="Book Antiqua" w:hAnsi="Book Antiqua"/>
          <w:shd w:val="clear" w:color="auto" w:fill="FFFFFF"/>
        </w:rPr>
        <w:t>EVs has emerged as an important mediator of cell-to-cell communication. They have been shown to effectively mimic the effects of MSCs, thus participating in their therapeutic process.</w:t>
      </w:r>
      <w:r w:rsidRPr="00432A10">
        <w:rPr>
          <w:rFonts w:ascii="Book Antiqua" w:hAnsi="Book Antiqua"/>
        </w:rPr>
        <w:t xml:space="preserve"> In fact, EVs may transfer proteins, lipids, and genetic material, which also contribute to the modulation of the biology and fate of recipient cells, without requiring the presence of MSCs. The use of this cell-free tool would certainly enhance the safety of MSC-based therapy (Figure 1).</w:t>
      </w:r>
    </w:p>
    <w:p w14:paraId="657F13F6" w14:textId="421B56D2" w:rsidR="0036296E" w:rsidRPr="00432A10" w:rsidRDefault="0036296E" w:rsidP="00120D53">
      <w:pPr>
        <w:snapToGrid w:val="0"/>
        <w:spacing w:line="360" w:lineRule="auto"/>
        <w:ind w:firstLineChars="100" w:firstLine="240"/>
        <w:contextualSpacing/>
        <w:jc w:val="both"/>
        <w:rPr>
          <w:rFonts w:ascii="Book Antiqua" w:hAnsi="Book Antiqua"/>
        </w:rPr>
      </w:pPr>
      <w:r w:rsidRPr="00432A10">
        <w:rPr>
          <w:rFonts w:ascii="Book Antiqua" w:hAnsi="Book Antiqua"/>
        </w:rPr>
        <w:t>The safety and efficiency of MSCs are the two major aspects that need to be managed to improve the therapeutic effects of MSCs</w:t>
      </w:r>
      <w:r w:rsidRPr="00432A10">
        <w:rPr>
          <w:rFonts w:ascii="Book Antiqua" w:hAnsi="Book Antiqua"/>
          <w:noProof/>
          <w:vertAlign w:val="superscript"/>
        </w:rPr>
        <w:t>[4]</w:t>
      </w:r>
      <w:r w:rsidRPr="00432A10">
        <w:rPr>
          <w:rFonts w:ascii="Book Antiqua" w:hAnsi="Book Antiqua"/>
        </w:rPr>
        <w:t xml:space="preserve">. These two goals are closely linked to their acellular component and preconditioning strategy, respectively. A broader understanding of the tissue environment characteristics and components that allow to modulate the plasticity of MSCs and therefore set up more specific MSC responses by using preconditioning strategies. Here, we focus on the influences of inflammatory and infectious signals, mostly found within the injured tissue, on several features of MSCs. The secretome of MSCs, in particular EVs, make them an attractive tool as cell-free </w:t>
      </w:r>
      <w:r w:rsidRPr="00432A10">
        <w:rPr>
          <w:rFonts w:ascii="Book Antiqua" w:hAnsi="Book Antiqua"/>
        </w:rPr>
        <w:lastRenderedPageBreak/>
        <w:t>based therapy. More insight into the biology, production, composition and role of EVs would increase the quality and safety of the therapy. Of note, preconditioning should be applied to enhance the production of EVs as well as empower their effects by maximizing their contents of regulatory and trophic factors. This deeper understanding would improve the capacity to manipulate MSCs and ultimately lead to safer and more efficient therapeutic effects (Figure 2).</w:t>
      </w:r>
    </w:p>
    <w:p w14:paraId="1AFD5E34" w14:textId="77777777" w:rsidR="00E01E0F" w:rsidRPr="00432A10" w:rsidRDefault="00E01E0F">
      <w:pPr>
        <w:spacing w:line="360" w:lineRule="auto"/>
        <w:jc w:val="both"/>
        <w:rPr>
          <w:rFonts w:ascii="Book Antiqua" w:eastAsia="Book Antiqua" w:hAnsi="Book Antiqua" w:cs="Book Antiqua"/>
          <w:color w:val="000000" w:themeColor="text1"/>
        </w:rPr>
      </w:pPr>
    </w:p>
    <w:p w14:paraId="6CBCD61A" w14:textId="77777777" w:rsidR="00E01E0F" w:rsidRPr="00432A10" w:rsidRDefault="00E01E0F">
      <w:pPr>
        <w:spacing w:line="360" w:lineRule="auto"/>
        <w:contextualSpacing/>
        <w:jc w:val="both"/>
        <w:rPr>
          <w:rFonts w:ascii="Book Antiqua" w:hAnsi="Book Antiqua"/>
          <w:b/>
          <w:bCs/>
          <w:color w:val="000000" w:themeColor="text1"/>
          <w:u w:val="single"/>
        </w:rPr>
      </w:pPr>
      <w:r w:rsidRPr="00432A10">
        <w:rPr>
          <w:rFonts w:ascii="Book Antiqua" w:hAnsi="Book Antiqua"/>
          <w:b/>
          <w:bCs/>
          <w:color w:val="000000" w:themeColor="text1"/>
          <w:u w:val="single"/>
        </w:rPr>
        <w:t>PRECONDITIONING STRATEGIES OF MSCS</w:t>
      </w:r>
    </w:p>
    <w:p w14:paraId="290C1855" w14:textId="77777777" w:rsidR="00120D53" w:rsidRDefault="0036296E" w:rsidP="00120D53">
      <w:pPr>
        <w:spacing w:line="360" w:lineRule="auto"/>
        <w:contextualSpacing/>
        <w:jc w:val="both"/>
        <w:rPr>
          <w:rFonts w:ascii="Book Antiqua" w:hAnsi="Book Antiqua"/>
        </w:rPr>
      </w:pPr>
      <w:r w:rsidRPr="00432A10">
        <w:rPr>
          <w:rFonts w:ascii="Book Antiqua" w:hAnsi="Book Antiqua"/>
        </w:rPr>
        <w:t>The cellular and molecular tissue microenvironment is a dynamic compartment where several signals can modulate MSC features</w:t>
      </w:r>
      <w:r w:rsidRPr="00432A10">
        <w:rPr>
          <w:rFonts w:ascii="Book Antiqua" w:hAnsi="Book Antiqua"/>
          <w:noProof/>
          <w:vertAlign w:val="superscript"/>
        </w:rPr>
        <w:t>[12]</w:t>
      </w:r>
      <w:r w:rsidRPr="00432A10">
        <w:rPr>
          <w:rFonts w:ascii="Book Antiqua" w:hAnsi="Book Antiqua"/>
        </w:rPr>
        <w:t>. The balance between the physiological and pathological states of the tissue critically influences the reparative process. After injection, MSCs can migrate into the injured tissues where they encounter an unfavorable environment coupled with death signals, infections, oxidative stress, and immune/inflammatory responses</w:t>
      </w:r>
      <w:r w:rsidRPr="00432A10">
        <w:rPr>
          <w:rFonts w:ascii="Book Antiqua" w:hAnsi="Book Antiqua"/>
          <w:noProof/>
          <w:vertAlign w:val="superscript"/>
        </w:rPr>
        <w:t>[13]</w:t>
      </w:r>
      <w:r w:rsidRPr="00432A10">
        <w:rPr>
          <w:rFonts w:ascii="Book Antiqua" w:hAnsi="Book Antiqua"/>
        </w:rPr>
        <w:t>. Moreover, clinical data suggest that the outcomes of MSC-based therapy are affected by medication or the presence of infections</w:t>
      </w:r>
      <w:r w:rsidRPr="00432A10">
        <w:rPr>
          <w:rFonts w:ascii="Book Antiqua" w:hAnsi="Book Antiqua"/>
          <w:noProof/>
          <w:vertAlign w:val="superscript"/>
        </w:rPr>
        <w:t>[14]</w:t>
      </w:r>
      <w:r w:rsidRPr="00432A10">
        <w:rPr>
          <w:rFonts w:ascii="Book Antiqua" w:hAnsi="Book Antiqua"/>
        </w:rPr>
        <w:t>. Hurdles including poor homing, survival, engraftment, and functions may hamper the therapeutic effect of transplanted MSCs</w:t>
      </w:r>
      <w:r w:rsidRPr="00432A10">
        <w:rPr>
          <w:rFonts w:ascii="Book Antiqua" w:hAnsi="Book Antiqua"/>
          <w:noProof/>
          <w:vertAlign w:val="superscript"/>
        </w:rPr>
        <w:t>[15]</w:t>
      </w:r>
      <w:r w:rsidRPr="00432A10">
        <w:rPr>
          <w:rFonts w:ascii="Book Antiqua" w:hAnsi="Book Antiqua"/>
        </w:rPr>
        <w:t>. In the quest to circumvent these challenges, several</w:t>
      </w:r>
      <w:r w:rsidRPr="00432A10">
        <w:rPr>
          <w:rFonts w:ascii="Book Antiqua" w:hAnsi="Book Antiqua"/>
          <w:strike/>
        </w:rPr>
        <w:t xml:space="preserve"> </w:t>
      </w:r>
      <w:r w:rsidRPr="00432A10">
        <w:rPr>
          <w:rFonts w:ascii="Book Antiqua" w:hAnsi="Book Antiqua"/>
        </w:rPr>
        <w:t>strategies can be utilized including preincubation with growth factors, cytokines, receptor agonists, optimization of culture conditions (</w:t>
      </w:r>
      <w:r w:rsidRPr="00432A10">
        <w:rPr>
          <w:rFonts w:ascii="Book Antiqua" w:hAnsi="Book Antiqua"/>
          <w:i/>
          <w:iCs/>
        </w:rPr>
        <w:t>e.g.</w:t>
      </w:r>
      <w:r w:rsidR="00A37740" w:rsidRPr="00432A10">
        <w:rPr>
          <w:rFonts w:ascii="Book Antiqua" w:hAnsi="Book Antiqua"/>
        </w:rPr>
        <w:t>,</w:t>
      </w:r>
      <w:r w:rsidRPr="00432A10">
        <w:rPr>
          <w:rFonts w:ascii="Book Antiqua" w:hAnsi="Book Antiqua"/>
        </w:rPr>
        <w:t xml:space="preserve"> hypoxia, glucose), and the use of bioactive or biomimetic scaffolds</w:t>
      </w:r>
      <w:r w:rsidRPr="00432A10">
        <w:rPr>
          <w:rFonts w:ascii="Book Antiqua" w:hAnsi="Book Antiqua"/>
          <w:noProof/>
          <w:vertAlign w:val="superscript"/>
        </w:rPr>
        <w:t>[16,17]</w:t>
      </w:r>
      <w:r w:rsidRPr="00432A10">
        <w:rPr>
          <w:rFonts w:ascii="Book Antiqua" w:hAnsi="Book Antiqua"/>
        </w:rPr>
        <w:t>. Also called licensing or priming, these strategies may be considered as cell preconditioning (Figure 3).</w:t>
      </w:r>
    </w:p>
    <w:p w14:paraId="5907DAF4" w14:textId="67970E4A" w:rsidR="00E01E0F" w:rsidRPr="00432A10" w:rsidRDefault="0036296E" w:rsidP="00120D53">
      <w:pPr>
        <w:spacing w:line="360" w:lineRule="auto"/>
        <w:ind w:firstLineChars="100" w:firstLine="240"/>
        <w:contextualSpacing/>
        <w:jc w:val="both"/>
        <w:rPr>
          <w:rFonts w:ascii="Book Antiqua" w:hAnsi="Book Antiqua"/>
        </w:rPr>
      </w:pPr>
      <w:r w:rsidRPr="00432A10">
        <w:rPr>
          <w:rFonts w:ascii="Book Antiqua" w:hAnsi="Book Antiqua"/>
        </w:rPr>
        <w:t>It consists of boosting cells for a specific function in a specific challenging environment</w:t>
      </w:r>
      <w:r w:rsidRPr="00432A10">
        <w:rPr>
          <w:rFonts w:ascii="Book Antiqua" w:hAnsi="Book Antiqua"/>
          <w:noProof/>
          <w:vertAlign w:val="superscript"/>
        </w:rPr>
        <w:t>[18]</w:t>
      </w:r>
      <w:r w:rsidRPr="00432A10">
        <w:rPr>
          <w:rFonts w:ascii="Book Antiqua" w:hAnsi="Book Antiqua"/>
        </w:rPr>
        <w:t>. The goal is to not only maintain, but also enhance the inherent biological activities and therapeutics effects of MSCs with respect to migration, homing to target site, tissue engraftment, survival, and improved reparative/trophic functions</w:t>
      </w:r>
      <w:r w:rsidRPr="00432A10">
        <w:rPr>
          <w:rFonts w:ascii="Book Antiqua" w:hAnsi="Book Antiqua"/>
          <w:noProof/>
          <w:vertAlign w:val="superscript"/>
        </w:rPr>
        <w:t>[19-24]</w:t>
      </w:r>
      <w:r w:rsidRPr="00432A10">
        <w:rPr>
          <w:rFonts w:ascii="Book Antiqua" w:hAnsi="Book Antiqua"/>
        </w:rPr>
        <w:t xml:space="preserve">. Thus, these features should be carefully evaluated </w:t>
      </w:r>
      <w:r w:rsidRPr="00432A10">
        <w:rPr>
          <w:rFonts w:ascii="Book Antiqua" w:hAnsi="Book Antiqua"/>
          <w:i/>
          <w:iCs/>
        </w:rPr>
        <w:t>in vitro</w:t>
      </w:r>
      <w:r w:rsidRPr="00432A10">
        <w:rPr>
          <w:rFonts w:ascii="Book Antiqua" w:hAnsi="Book Antiqua"/>
        </w:rPr>
        <w:t xml:space="preserve"> and </w:t>
      </w:r>
      <w:r w:rsidRPr="00432A10">
        <w:rPr>
          <w:rFonts w:ascii="Book Antiqua" w:hAnsi="Book Antiqua"/>
          <w:i/>
          <w:iCs/>
        </w:rPr>
        <w:t>in vivo</w:t>
      </w:r>
      <w:r w:rsidRPr="00432A10">
        <w:rPr>
          <w:rFonts w:ascii="Book Antiqua" w:hAnsi="Book Antiqua"/>
          <w:noProof/>
          <w:vertAlign w:val="superscript"/>
        </w:rPr>
        <w:t>[24]</w:t>
      </w:r>
      <w:r w:rsidRPr="00432A10">
        <w:rPr>
          <w:rFonts w:ascii="Book Antiqua" w:hAnsi="Book Antiqua"/>
        </w:rPr>
        <w:t>. Overall, MSCs should withstand the inhospitable environment in the recipient tissue (transplanted cell-preconditioning). At the same time, the damaged tissue becomes more receptive to the transplanted cells favoring their engraftment</w:t>
      </w:r>
      <w:r w:rsidRPr="00432A10">
        <w:rPr>
          <w:rFonts w:ascii="Book Antiqua" w:hAnsi="Book Antiqua"/>
          <w:color w:val="FF0000"/>
        </w:rPr>
        <w:t xml:space="preserve"> </w:t>
      </w:r>
      <w:r w:rsidRPr="00432A10">
        <w:rPr>
          <w:rFonts w:ascii="Book Antiqua" w:hAnsi="Book Antiqua"/>
        </w:rPr>
        <w:t xml:space="preserve">and interplay </w:t>
      </w:r>
      <w:r w:rsidRPr="00432A10">
        <w:rPr>
          <w:rFonts w:ascii="Book Antiqua" w:hAnsi="Book Antiqua"/>
        </w:rPr>
        <w:lastRenderedPageBreak/>
        <w:t>(tissue-preconditioning)</w:t>
      </w:r>
      <w:r w:rsidRPr="00432A10">
        <w:rPr>
          <w:rFonts w:ascii="Book Antiqua" w:hAnsi="Book Antiqua"/>
          <w:noProof/>
          <w:vertAlign w:val="superscript"/>
        </w:rPr>
        <w:t>[21]</w:t>
      </w:r>
      <w:r w:rsidRPr="00432A10">
        <w:rPr>
          <w:rFonts w:ascii="Book Antiqua" w:hAnsi="Book Antiqua"/>
        </w:rPr>
        <w:t>. Such development may accelerate the process to translate experimental evidence from preclinical studies to daily clinical practice</w:t>
      </w:r>
      <w:r w:rsidRPr="00432A10">
        <w:rPr>
          <w:rFonts w:ascii="Book Antiqua" w:hAnsi="Book Antiqua"/>
          <w:noProof/>
          <w:vertAlign w:val="superscript"/>
        </w:rPr>
        <w:t>[22]</w:t>
      </w:r>
      <w:r w:rsidRPr="00432A10">
        <w:rPr>
          <w:rFonts w:ascii="Book Antiqua" w:hAnsi="Book Antiqua"/>
        </w:rPr>
        <w:t>.</w:t>
      </w:r>
    </w:p>
    <w:p w14:paraId="4AD8DE33" w14:textId="77777777" w:rsidR="0036296E" w:rsidRPr="00432A10" w:rsidRDefault="0036296E">
      <w:pPr>
        <w:spacing w:line="360" w:lineRule="auto"/>
        <w:contextualSpacing/>
        <w:jc w:val="both"/>
        <w:rPr>
          <w:rFonts w:ascii="Book Antiqua" w:hAnsi="Book Antiqua"/>
          <w:color w:val="000000" w:themeColor="text1"/>
          <w:highlight w:val="cyan"/>
        </w:rPr>
      </w:pPr>
    </w:p>
    <w:p w14:paraId="1D67991C" w14:textId="77777777" w:rsidR="00E01E0F" w:rsidRPr="00432A10" w:rsidRDefault="00E01E0F">
      <w:pPr>
        <w:spacing w:line="360" w:lineRule="auto"/>
        <w:contextualSpacing/>
        <w:jc w:val="both"/>
        <w:rPr>
          <w:rFonts w:ascii="Book Antiqua" w:hAnsi="Book Antiqua"/>
          <w:b/>
          <w:bCs/>
          <w:i/>
          <w:iCs/>
          <w:color w:val="000000" w:themeColor="text1"/>
        </w:rPr>
      </w:pPr>
      <w:r w:rsidRPr="00432A10">
        <w:rPr>
          <w:rFonts w:ascii="Book Antiqua" w:hAnsi="Book Antiqua"/>
          <w:b/>
          <w:bCs/>
          <w:i/>
          <w:iCs/>
          <w:color w:val="000000" w:themeColor="text1"/>
        </w:rPr>
        <w:t>Optimized culture conditions</w:t>
      </w:r>
    </w:p>
    <w:p w14:paraId="75441C08" w14:textId="2A60A3F9" w:rsidR="00A37740" w:rsidRPr="00432A10" w:rsidRDefault="0036296E" w:rsidP="00432A10">
      <w:pPr>
        <w:spacing w:line="360" w:lineRule="auto"/>
        <w:contextualSpacing/>
        <w:jc w:val="both"/>
        <w:rPr>
          <w:rFonts w:ascii="Book Antiqua" w:hAnsi="Book Antiqua"/>
        </w:rPr>
      </w:pPr>
      <w:r w:rsidRPr="00432A10">
        <w:rPr>
          <w:rFonts w:ascii="Book Antiqua" w:hAnsi="Book Antiqua"/>
        </w:rPr>
        <w:t>After isolation, MSC are typically cultured under normoxic conditions (21% oxygen). However, the physiological niches for MSC in the bone marrow and other sites have much lower oxygen tension. When used as a therapeutic tool to repair tissue injuries, MSCs cultured in standard conditions must adapt from 21% oxygen in culture to less than 1% oxygen in the ischemic tissue</w:t>
      </w:r>
      <w:r w:rsidRPr="00432A10">
        <w:rPr>
          <w:rFonts w:ascii="Book Antiqua" w:hAnsi="Book Antiqua"/>
          <w:noProof/>
          <w:vertAlign w:val="superscript"/>
        </w:rPr>
        <w:t>[23]</w:t>
      </w:r>
      <w:r w:rsidRPr="00432A10">
        <w:rPr>
          <w:rFonts w:ascii="Book Antiqua" w:hAnsi="Book Antiqua"/>
        </w:rPr>
        <w:t>. Several data suggest that preculturing MSCs under hypoxic conditions prior to transplantation improves their tissue regenerative potential. Interestingly, hypoxia pretreatment significantly increased the proliferation and chondrogenic differentiation of adipose tissue-derived stem cells but decreased their osteogenic differentiation in a vascular endothelial growth factor (VEGF)-dependent manner</w:t>
      </w:r>
      <w:r w:rsidRPr="00432A10">
        <w:rPr>
          <w:rFonts w:ascii="Book Antiqua" w:hAnsi="Book Antiqua"/>
          <w:noProof/>
          <w:vertAlign w:val="superscript"/>
        </w:rPr>
        <w:t>[25]</w:t>
      </w:r>
      <w:r w:rsidRPr="00432A10">
        <w:rPr>
          <w:rFonts w:ascii="Book Antiqua" w:hAnsi="Book Antiqua"/>
        </w:rPr>
        <w:t>. In parallel, hypoxia-preconditioned olfactory mucosa mesenchymal stem cells inhibits pyroptotic and apoptotic death of microglial cell in response to cerebral ischemia/reperfusion insult by activating hypoxia-inducible factor-1 (HIF-1)</w:t>
      </w:r>
      <w:r w:rsidRPr="00432A10">
        <w:rPr>
          <w:rFonts w:ascii="Book Antiqua" w:hAnsi="Book Antiqua"/>
          <w:color w:val="FF0000"/>
        </w:rPr>
        <w:t xml:space="preserve"> </w:t>
      </w:r>
      <w:r w:rsidRPr="00432A10">
        <w:rPr>
          <w:rFonts w:ascii="Book Antiqua" w:hAnsi="Book Antiqua"/>
          <w:i/>
          <w:iCs/>
        </w:rPr>
        <w:t>in vitro</w:t>
      </w:r>
      <w:r w:rsidRPr="00432A10">
        <w:rPr>
          <w:rFonts w:ascii="Book Antiqua" w:hAnsi="Book Antiqua"/>
          <w:noProof/>
          <w:vertAlign w:val="superscript"/>
        </w:rPr>
        <w:t>[26]</w:t>
      </w:r>
      <w:r w:rsidRPr="00432A10">
        <w:rPr>
          <w:rFonts w:ascii="Book Antiqua" w:hAnsi="Book Antiqua"/>
        </w:rPr>
        <w:t xml:space="preserve">. Hypoxia preconditioning of human dental MSCs empowers their immunoregulatory functions. Overexpression of HIF-1α leads to the modulation of the adaptive and innate immune responses. Following an increase of </w:t>
      </w:r>
      <w:r w:rsidR="00A37740" w:rsidRPr="00432A10">
        <w:rPr>
          <w:rFonts w:ascii="Book Antiqua" w:hAnsi="Book Antiqua"/>
        </w:rPr>
        <w:t>C</w:t>
      </w:r>
      <w:r w:rsidR="00A37740" w:rsidRPr="00432A10">
        <w:rPr>
          <w:rFonts w:ascii="Book Antiqua" w:hAnsi="Book Antiqua"/>
          <w:lang w:eastAsia="zh-CN"/>
        </w:rPr>
        <w:t>-</w:t>
      </w:r>
      <w:r w:rsidR="00A37740" w:rsidRPr="00432A10">
        <w:rPr>
          <w:rFonts w:ascii="Book Antiqua" w:hAnsi="Book Antiqua"/>
        </w:rPr>
        <w:t xml:space="preserve">C motif chemokine ligand 2 </w:t>
      </w:r>
      <w:r w:rsidRPr="00432A10">
        <w:rPr>
          <w:rFonts w:ascii="Book Antiqua" w:hAnsi="Book Antiqua"/>
        </w:rPr>
        <w:t>(CCL2, also referred to as monocyte chemoattractant protein-1</w:t>
      </w:r>
      <w:r w:rsidR="00A37740" w:rsidRPr="00432A10">
        <w:rPr>
          <w:rFonts w:ascii="Book Antiqua" w:hAnsi="Book Antiqua"/>
        </w:rPr>
        <w:t>)</w:t>
      </w:r>
      <w:r w:rsidRPr="00432A10">
        <w:rPr>
          <w:rFonts w:ascii="Book Antiqua" w:hAnsi="Book Antiqua"/>
        </w:rPr>
        <w:t xml:space="preserve"> production, monocytes are significantly recruited and induced to acquire M2 macrophage phenotypes known for their immunosuppressive properties</w:t>
      </w:r>
      <w:r w:rsidRPr="00432A10">
        <w:rPr>
          <w:rFonts w:ascii="Book Antiqua" w:hAnsi="Book Antiqua"/>
          <w:noProof/>
          <w:vertAlign w:val="superscript"/>
        </w:rPr>
        <w:t>[27]</w:t>
      </w:r>
      <w:r w:rsidRPr="00432A10">
        <w:rPr>
          <w:rFonts w:ascii="Book Antiqua" w:hAnsi="Book Antiqua"/>
        </w:rPr>
        <w:t>. These effects could be linked to the expression of interleukin (IL)</w:t>
      </w:r>
      <w:r w:rsidR="00A37740" w:rsidRPr="00432A10">
        <w:rPr>
          <w:rFonts w:ascii="Book Antiqua" w:hAnsi="Book Antiqua"/>
        </w:rPr>
        <w:t>-</w:t>
      </w:r>
      <w:r w:rsidRPr="00432A10">
        <w:rPr>
          <w:rFonts w:ascii="Book Antiqua" w:hAnsi="Book Antiqua"/>
        </w:rPr>
        <w:t>10 and Fas-ligand. Indeed, the IL-10/CD210 axis is functionally relevant during immunomodulation by regulating several features of T cell response</w:t>
      </w:r>
      <w:r w:rsidRPr="00432A10">
        <w:rPr>
          <w:rFonts w:ascii="Book Antiqua" w:hAnsi="Book Antiqua"/>
          <w:noProof/>
          <w:vertAlign w:val="superscript"/>
        </w:rPr>
        <w:t>[28]</w:t>
      </w:r>
      <w:r w:rsidRPr="00432A10">
        <w:rPr>
          <w:rFonts w:ascii="Book Antiqua" w:hAnsi="Book Antiqua"/>
        </w:rPr>
        <w:t>.</w:t>
      </w:r>
    </w:p>
    <w:p w14:paraId="7554415F" w14:textId="299DA36D" w:rsidR="00571548" w:rsidRPr="00432A10" w:rsidRDefault="0036296E" w:rsidP="00432A10">
      <w:pPr>
        <w:spacing w:line="360" w:lineRule="auto"/>
        <w:ind w:firstLineChars="100" w:firstLine="240"/>
        <w:contextualSpacing/>
        <w:jc w:val="both"/>
        <w:rPr>
          <w:rFonts w:ascii="Book Antiqua" w:hAnsi="Book Antiqua"/>
          <w:lang w:eastAsia="zh-CN"/>
        </w:rPr>
      </w:pPr>
      <w:r w:rsidRPr="00432A10">
        <w:rPr>
          <w:rFonts w:ascii="Book Antiqua" w:hAnsi="Book Antiqua"/>
        </w:rPr>
        <w:t>Because melatonin exhibits antioxidant and anti-inflammatory properties, it has been used as a preconditioning tool to optimize the response of MSCs within a unreceptive microenvironment</w:t>
      </w:r>
      <w:r w:rsidRPr="00432A10">
        <w:rPr>
          <w:rFonts w:ascii="Book Antiqua" w:hAnsi="Book Antiqua"/>
          <w:noProof/>
          <w:vertAlign w:val="superscript"/>
        </w:rPr>
        <w:t>[29]</w:t>
      </w:r>
      <w:r w:rsidRPr="00432A10">
        <w:rPr>
          <w:rFonts w:ascii="Book Antiqua" w:hAnsi="Book Antiqua"/>
        </w:rPr>
        <w:t xml:space="preserve">. Preconditioning of rat bone marrow (BM)-MSCs by omentin-1, a fat depot-specific secretory adipokine, allowed to display improved therapeutic </w:t>
      </w:r>
      <w:r w:rsidRPr="00432A10">
        <w:rPr>
          <w:rFonts w:ascii="Book Antiqua" w:hAnsi="Book Antiqua"/>
        </w:rPr>
        <w:lastRenderedPageBreak/>
        <w:t>functions. Such a condition promotes proliferation, inhibits apoptosis, increases secretion of angiogenic factors, and enhances the ability to stimulate tube formation by human umbilical vein endothelial cells via the PI3K/AKT signaling pathway</w:t>
      </w:r>
      <w:r w:rsidRPr="00432A10">
        <w:rPr>
          <w:rFonts w:ascii="Book Antiqua" w:hAnsi="Book Antiqua"/>
          <w:noProof/>
          <w:vertAlign w:val="superscript"/>
        </w:rPr>
        <w:t>[30]</w:t>
      </w:r>
      <w:r w:rsidRPr="00432A10">
        <w:rPr>
          <w:rFonts w:ascii="Book Antiqua" w:hAnsi="Book Antiqua"/>
        </w:rPr>
        <w:t xml:space="preserve">. In line with this, </w:t>
      </w:r>
      <w:r w:rsidRPr="00432A10">
        <w:rPr>
          <w:rFonts w:ascii="Book Antiqua" w:hAnsi="Book Antiqua"/>
          <w:i/>
          <w:iCs/>
        </w:rPr>
        <w:t>ex vivo</w:t>
      </w:r>
      <w:r w:rsidRPr="00432A10">
        <w:rPr>
          <w:rFonts w:ascii="Book Antiqua" w:hAnsi="Book Antiqua"/>
        </w:rPr>
        <w:t xml:space="preserve"> antioxidant preconditioning by using n-acetylcysteine and ascorbic</w:t>
      </w:r>
      <w:r w:rsidR="00571548" w:rsidRPr="00432A10">
        <w:rPr>
          <w:rFonts w:ascii="Book Antiqua" w:hAnsi="Book Antiqua"/>
        </w:rPr>
        <w:t xml:space="preserve"> acid</w:t>
      </w:r>
      <w:r w:rsidRPr="00432A10">
        <w:rPr>
          <w:rFonts w:ascii="Book Antiqua" w:hAnsi="Book Antiqua"/>
        </w:rPr>
        <w:t xml:space="preserve"> 2-phosphate improved the viability of MSCs and protected them in the presence of diabetic wound fluid</w:t>
      </w:r>
      <w:r w:rsidRPr="00432A10">
        <w:rPr>
          <w:rFonts w:ascii="Book Antiqua" w:hAnsi="Book Antiqua"/>
          <w:noProof/>
          <w:vertAlign w:val="superscript"/>
        </w:rPr>
        <w:t>[31]</w:t>
      </w:r>
      <w:r w:rsidRPr="00432A10">
        <w:rPr>
          <w:rFonts w:ascii="Book Antiqua" w:hAnsi="Book Antiqua"/>
        </w:rPr>
        <w:t>. The preconditioning of MSCs by glutathione-allylsulfur conjugates can enhance their survival after post-ischaemic myocardial implantation. In a concentration dependent manner, such treatment increased the proliferation, migration, and differentiation of cardiac lineage marker-negative/stem cell antigen-1-positive human mesenchymal stem cells. These beneficial effects are consecutive to the upregulation of proteins involved in oxidative stress protection, cell-cell adhesion, and commitment to differentiation</w:t>
      </w:r>
      <w:r w:rsidRPr="00432A10">
        <w:rPr>
          <w:rFonts w:ascii="Book Antiqua" w:hAnsi="Book Antiqua"/>
          <w:noProof/>
          <w:vertAlign w:val="superscript"/>
        </w:rPr>
        <w:t>[32]</w:t>
      </w:r>
      <w:r w:rsidRPr="00432A10">
        <w:rPr>
          <w:rFonts w:ascii="Book Antiqua" w:hAnsi="Book Antiqua"/>
        </w:rPr>
        <w:t>.</w:t>
      </w:r>
    </w:p>
    <w:p w14:paraId="5B3CCEED" w14:textId="77777777" w:rsidR="00120D53" w:rsidRDefault="0036296E" w:rsidP="00120D53">
      <w:pPr>
        <w:spacing w:line="360" w:lineRule="auto"/>
        <w:ind w:firstLineChars="100" w:firstLine="240"/>
        <w:contextualSpacing/>
        <w:jc w:val="both"/>
        <w:rPr>
          <w:rFonts w:ascii="Book Antiqua" w:hAnsi="Book Antiqua"/>
        </w:rPr>
      </w:pPr>
      <w:r w:rsidRPr="00432A10">
        <w:rPr>
          <w:rFonts w:ascii="Book Antiqua" w:hAnsi="Book Antiqua"/>
        </w:rPr>
        <w:t>Recently, treatment of human decidua basalis MSCs with a high level of glucose was shown to enhance the engraftment and therapeutic potential of MSCs. Preconditioning with glucose increased</w:t>
      </w:r>
      <w:r w:rsidR="00571548" w:rsidRPr="00432A10">
        <w:rPr>
          <w:rFonts w:ascii="Book Antiqua" w:hAnsi="Book Antiqua"/>
        </w:rPr>
        <w:t xml:space="preserve"> </w:t>
      </w:r>
      <w:r w:rsidRPr="00432A10">
        <w:rPr>
          <w:rFonts w:ascii="Book Antiqua" w:hAnsi="Book Antiqua"/>
        </w:rPr>
        <w:t>gene expression related to survival, proliferation, migration, invasion, and immunomodulatory properties</w:t>
      </w:r>
      <w:r w:rsidRPr="00432A10">
        <w:rPr>
          <w:rFonts w:ascii="Book Antiqua" w:hAnsi="Book Antiqua"/>
          <w:noProof/>
          <w:vertAlign w:val="superscript"/>
        </w:rPr>
        <w:t>[33]</w:t>
      </w:r>
      <w:r w:rsidRPr="00432A10">
        <w:rPr>
          <w:rFonts w:ascii="Book Antiqua" w:hAnsi="Book Antiqua"/>
        </w:rPr>
        <w:t>. Glutamine (GLUT) is a nonessential amino acid that can become conditionally essential under stress conditions, being able to participate in the modulation of the immune responses in several ways. GLUT has been reported to enhance the immunosuppressive properties of MSCs. In a dose dependent manner, the addition of GLUT augmented the proliferation of MSCs, reduced lymphocyte and macrophage proliferation. This effect was probably reached by decreasing levels of pro-inflammatory cytokines and by increasing levels of anti-inflammatory cytokines</w:t>
      </w:r>
      <w:r w:rsidRPr="00432A10">
        <w:rPr>
          <w:rFonts w:ascii="Book Antiqua" w:hAnsi="Book Antiqua"/>
          <w:noProof/>
          <w:vertAlign w:val="superscript"/>
        </w:rPr>
        <w:t>[34]</w:t>
      </w:r>
      <w:r w:rsidRPr="00432A10">
        <w:rPr>
          <w:rFonts w:ascii="Book Antiqua" w:hAnsi="Book Antiqua"/>
        </w:rPr>
        <w:t>.</w:t>
      </w:r>
    </w:p>
    <w:p w14:paraId="67C0D45C" w14:textId="3FCDF500" w:rsidR="0036296E" w:rsidRPr="00432A10" w:rsidRDefault="0036296E" w:rsidP="00120D53">
      <w:pPr>
        <w:spacing w:line="360" w:lineRule="auto"/>
        <w:ind w:firstLineChars="100" w:firstLine="240"/>
        <w:contextualSpacing/>
        <w:jc w:val="both"/>
        <w:rPr>
          <w:rFonts w:ascii="Book Antiqua" w:hAnsi="Book Antiqua"/>
        </w:rPr>
      </w:pPr>
      <w:r w:rsidRPr="00432A10">
        <w:rPr>
          <w:rFonts w:ascii="Book Antiqua" w:hAnsi="Book Antiqua"/>
        </w:rPr>
        <w:t>The use of biomaterial scaffolds may lead to higher clinical benefits in patients treated by MSCs. Triggering the expression of cytoprotective genes that aim at enhancing the longevity of MSCs and the duration of their regulatory effects is a very promising strategy</w:t>
      </w:r>
      <w:r w:rsidRPr="00432A10">
        <w:rPr>
          <w:rFonts w:ascii="Book Antiqua" w:hAnsi="Book Antiqua"/>
          <w:noProof/>
          <w:vertAlign w:val="superscript"/>
        </w:rPr>
        <w:t>[10]</w:t>
      </w:r>
      <w:r w:rsidRPr="00432A10">
        <w:rPr>
          <w:rFonts w:ascii="Book Antiqua" w:hAnsi="Book Antiqua"/>
        </w:rPr>
        <w:t xml:space="preserve">. MSC-biomaterial constructs retain MSCs </w:t>
      </w:r>
      <w:r w:rsidRPr="00432A10">
        <w:rPr>
          <w:rFonts w:ascii="Book Antiqua" w:hAnsi="Book Antiqua"/>
          <w:i/>
          <w:iCs/>
        </w:rPr>
        <w:t xml:space="preserve">in situ </w:t>
      </w:r>
      <w:r w:rsidRPr="00432A10">
        <w:rPr>
          <w:rFonts w:ascii="Book Antiqua" w:hAnsi="Book Antiqua"/>
        </w:rPr>
        <w:t xml:space="preserve">and prolong their survival. Moreover, biomaterial scaffolds can both preserve the tissue architecture and provide a three-dimensional biomimetic milieu for embedded MSCs, which enhance their </w:t>
      </w:r>
      <w:r w:rsidRPr="00432A10">
        <w:rPr>
          <w:rFonts w:ascii="Book Antiqua" w:hAnsi="Book Antiqua"/>
        </w:rPr>
        <w:lastRenderedPageBreak/>
        <w:t>paracrine functions</w:t>
      </w:r>
      <w:r w:rsidRPr="00432A10">
        <w:rPr>
          <w:rFonts w:ascii="Book Antiqua" w:hAnsi="Book Antiqua"/>
          <w:noProof/>
          <w:vertAlign w:val="superscript"/>
        </w:rPr>
        <w:t>[35]</w:t>
      </w:r>
      <w:r w:rsidRPr="00432A10">
        <w:rPr>
          <w:rFonts w:ascii="Book Antiqua" w:hAnsi="Book Antiqua"/>
        </w:rPr>
        <w:t>. In accordance with these achievements, our group accomplished a cutting-edge feat by developing a feasible, safe and physiological process that increases the level of MSCs in the BM niche with a specific commitment</w:t>
      </w:r>
      <w:r w:rsidRPr="00432A10">
        <w:rPr>
          <w:rFonts w:ascii="Book Antiqua" w:hAnsi="Book Antiqua"/>
          <w:noProof/>
          <w:vertAlign w:val="superscript"/>
        </w:rPr>
        <w:t>[36]</w:t>
      </w:r>
      <w:r w:rsidRPr="00432A10">
        <w:rPr>
          <w:rFonts w:ascii="Book Antiqua" w:hAnsi="Book Antiqua"/>
        </w:rPr>
        <w:t xml:space="preserve">. Injection of autologous platelet-rich plasma activated by the recombinant human soluble tissue factor in the iliac crest, enhanced the production of autologous MSCs. This strategy avoids the use of allogeneic MSCs and the need of their expansion through </w:t>
      </w:r>
      <w:r w:rsidRPr="00432A10">
        <w:rPr>
          <w:rFonts w:ascii="Book Antiqua" w:hAnsi="Book Antiqua"/>
          <w:i/>
          <w:iCs/>
        </w:rPr>
        <w:t>ex vivo</w:t>
      </w:r>
      <w:r w:rsidRPr="00432A10">
        <w:rPr>
          <w:rFonts w:ascii="Book Antiqua" w:hAnsi="Book Antiqua"/>
        </w:rPr>
        <w:t xml:space="preserve"> culture with the accompanying risks of contamination and cell differentiation.</w:t>
      </w:r>
    </w:p>
    <w:p w14:paraId="7B7B72D3" w14:textId="77777777" w:rsidR="00E01E0F" w:rsidRPr="00432A10" w:rsidRDefault="00E01E0F">
      <w:pPr>
        <w:spacing w:line="360" w:lineRule="auto"/>
        <w:contextualSpacing/>
        <w:jc w:val="both"/>
        <w:rPr>
          <w:rFonts w:ascii="Book Antiqua" w:hAnsi="Book Antiqua"/>
          <w:color w:val="000000" w:themeColor="text1"/>
        </w:rPr>
      </w:pPr>
    </w:p>
    <w:p w14:paraId="03F440DE" w14:textId="77777777" w:rsidR="00120D53" w:rsidRDefault="00E01E0F" w:rsidP="00432A10">
      <w:pPr>
        <w:spacing w:line="360" w:lineRule="auto"/>
        <w:contextualSpacing/>
        <w:jc w:val="both"/>
        <w:rPr>
          <w:rFonts w:ascii="Book Antiqua" w:hAnsi="Book Antiqua"/>
          <w:b/>
          <w:bCs/>
          <w:i/>
          <w:iCs/>
          <w:color w:val="000000" w:themeColor="text1"/>
        </w:rPr>
      </w:pPr>
      <w:r w:rsidRPr="00432A10">
        <w:rPr>
          <w:rFonts w:ascii="Book Antiqua" w:hAnsi="Book Antiqua"/>
          <w:b/>
          <w:bCs/>
          <w:i/>
          <w:iCs/>
          <w:color w:val="000000" w:themeColor="text1"/>
        </w:rPr>
        <w:t>Complement inhibition</w:t>
      </w:r>
    </w:p>
    <w:p w14:paraId="724544E1" w14:textId="6DD0F281" w:rsidR="007E7842" w:rsidRPr="00432A10" w:rsidRDefault="007E7842" w:rsidP="00120D53">
      <w:pPr>
        <w:spacing w:line="360" w:lineRule="auto"/>
        <w:contextualSpacing/>
        <w:jc w:val="both"/>
        <w:rPr>
          <w:rFonts w:ascii="Book Antiqua" w:hAnsi="Book Antiqua"/>
          <w:b/>
          <w:bCs/>
          <w:i/>
          <w:iCs/>
          <w:color w:val="000000" w:themeColor="text1"/>
        </w:rPr>
      </w:pPr>
      <w:r w:rsidRPr="00432A10">
        <w:rPr>
          <w:rFonts w:ascii="Book Antiqua" w:hAnsi="Book Antiqua"/>
        </w:rPr>
        <w:t>The viability and/or function of MSCs seem</w:t>
      </w:r>
      <w:r w:rsidR="001412FD" w:rsidRPr="00432A10">
        <w:rPr>
          <w:rFonts w:ascii="Book Antiqua" w:hAnsi="Book Antiqua"/>
        </w:rPr>
        <w:t>s</w:t>
      </w:r>
      <w:r w:rsidRPr="00432A10">
        <w:rPr>
          <w:rFonts w:ascii="Book Antiqua" w:hAnsi="Book Antiqua"/>
        </w:rPr>
        <w:t xml:space="preserve"> to be altered as they may undergo a complement-dependent lysis. Results indicate that the complement system is integrally involved in recognizing and injuring MSCs after their infusion</w:t>
      </w:r>
      <w:r w:rsidRPr="00432A10">
        <w:rPr>
          <w:rFonts w:ascii="Book Antiqua" w:hAnsi="Book Antiqua"/>
          <w:noProof/>
          <w:vertAlign w:val="superscript"/>
        </w:rPr>
        <w:t>[37]</w:t>
      </w:r>
      <w:r w:rsidRPr="00432A10">
        <w:rPr>
          <w:rFonts w:ascii="Book Antiqua" w:hAnsi="Book Antiqua"/>
        </w:rPr>
        <w:t>. MSCs activate the complement system, which triggers complement-mediated lymphoid and myeloid effector cell activation in blood. MSCs were found to present complement component (C3)-derived fragments inactivated C3b (iC3b) and C3dg and to generate complement-derived anaphylatoxins (C3a and C5a) with chemotactic activity</w:t>
      </w:r>
      <w:r w:rsidRPr="00432A10">
        <w:rPr>
          <w:rFonts w:ascii="Book Antiqua" w:hAnsi="Book Antiqua"/>
          <w:noProof/>
          <w:vertAlign w:val="superscript"/>
        </w:rPr>
        <w:t>[38]</w:t>
      </w:r>
      <w:r w:rsidRPr="00432A10">
        <w:rPr>
          <w:rFonts w:ascii="Book Antiqua" w:hAnsi="Book Antiqua"/>
        </w:rPr>
        <w:t>. It has been suggested that complement anaphylatoxins C3a and C5a participate in activation and recruitment of MSCs to sites of tissue damage and repair</w:t>
      </w:r>
      <w:r w:rsidRPr="00432A10">
        <w:rPr>
          <w:rFonts w:ascii="Book Antiqua" w:hAnsi="Book Antiqua"/>
          <w:noProof/>
          <w:vertAlign w:val="superscript"/>
        </w:rPr>
        <w:t>[39]</w:t>
      </w:r>
      <w:r w:rsidRPr="00432A10">
        <w:rPr>
          <w:rFonts w:ascii="Book Antiqua" w:hAnsi="Book Antiqua"/>
        </w:rPr>
        <w:t>. Of importance, complement bound to MSC enhanced their phagocytosis by classical and intermediate monocytes which may explain, at least in part, why MSCs are not found in the blood circulation after infusion</w:t>
      </w:r>
      <w:r w:rsidRPr="00432A10">
        <w:rPr>
          <w:rFonts w:ascii="Book Antiqua" w:hAnsi="Book Antiqua"/>
          <w:noProof/>
          <w:vertAlign w:val="superscript"/>
        </w:rPr>
        <w:t>[40]</w:t>
      </w:r>
      <w:r w:rsidRPr="00432A10">
        <w:rPr>
          <w:rFonts w:ascii="Book Antiqua" w:hAnsi="Book Antiqua"/>
        </w:rPr>
        <w:t>. The inhibition of complement activation has been proposed for improving the outcome of MSC-based therapy. Thus, cell-surface engineering of MSCs with heparin has been shown to improve their viability and enhance their function after infusion. Heparin by directly inhibiting the complement protein and by recruiting factor H inhibited complement activation on MSCs</w:t>
      </w:r>
      <w:r w:rsidRPr="00432A10">
        <w:rPr>
          <w:rFonts w:ascii="Book Antiqua" w:hAnsi="Book Antiqua"/>
          <w:noProof/>
          <w:vertAlign w:val="superscript"/>
        </w:rPr>
        <w:t>[41]</w:t>
      </w:r>
      <w:r w:rsidRPr="00432A10">
        <w:rPr>
          <w:rFonts w:ascii="Book Antiqua" w:hAnsi="Book Antiqua"/>
        </w:rPr>
        <w:t>. Of note, treatment of MSCs with all-trans retinoic acid protected them from immune thrombocytopenia by regulating the complement-IL-1β loop. All-trans retinoic acid increased the number and improved the function of the complement-positive MSCs by upregulating DNA hypermethylation of the IL-1β promoter</w:t>
      </w:r>
      <w:r w:rsidRPr="00432A10">
        <w:rPr>
          <w:rFonts w:ascii="Book Antiqua" w:hAnsi="Book Antiqua"/>
          <w:noProof/>
          <w:vertAlign w:val="superscript"/>
        </w:rPr>
        <w:t>[42]</w:t>
      </w:r>
      <w:r w:rsidRPr="00432A10">
        <w:rPr>
          <w:rFonts w:ascii="Book Antiqua" w:hAnsi="Book Antiqua"/>
        </w:rPr>
        <w:t>.</w:t>
      </w:r>
    </w:p>
    <w:p w14:paraId="3E504C40" w14:textId="77777777" w:rsidR="00E01E0F" w:rsidRPr="00432A10" w:rsidRDefault="00E01E0F">
      <w:pPr>
        <w:spacing w:line="360" w:lineRule="auto"/>
        <w:contextualSpacing/>
        <w:jc w:val="both"/>
        <w:rPr>
          <w:rFonts w:ascii="Book Antiqua" w:hAnsi="Book Antiqua"/>
          <w:color w:val="000000" w:themeColor="text1"/>
        </w:rPr>
      </w:pPr>
    </w:p>
    <w:p w14:paraId="298A03A6" w14:textId="77777777" w:rsidR="00E01E0F" w:rsidRPr="00432A10" w:rsidRDefault="00E01E0F">
      <w:pPr>
        <w:spacing w:line="360" w:lineRule="auto"/>
        <w:contextualSpacing/>
        <w:jc w:val="both"/>
        <w:rPr>
          <w:rFonts w:ascii="Book Antiqua" w:hAnsi="Book Antiqua"/>
          <w:b/>
          <w:bCs/>
          <w:i/>
          <w:iCs/>
          <w:color w:val="000000" w:themeColor="text1"/>
        </w:rPr>
      </w:pPr>
      <w:r w:rsidRPr="00432A10">
        <w:rPr>
          <w:rFonts w:ascii="Book Antiqua" w:hAnsi="Book Antiqua"/>
          <w:b/>
          <w:bCs/>
          <w:i/>
          <w:iCs/>
          <w:color w:val="000000" w:themeColor="text1"/>
        </w:rPr>
        <w:t>Inflammatory preconditioning</w:t>
      </w:r>
    </w:p>
    <w:p w14:paraId="0FC9F49C" w14:textId="77777777" w:rsidR="008E7AC7" w:rsidRPr="00432A10" w:rsidRDefault="007E7842" w:rsidP="00432A10">
      <w:pPr>
        <w:spacing w:line="360" w:lineRule="auto"/>
        <w:contextualSpacing/>
        <w:jc w:val="both"/>
        <w:rPr>
          <w:rFonts w:ascii="Book Antiqua" w:hAnsi="Book Antiqua"/>
        </w:rPr>
      </w:pPr>
      <w:bookmarkStart w:id="3" w:name="_Hlk37192527"/>
      <w:r w:rsidRPr="00432A10">
        <w:rPr>
          <w:rFonts w:ascii="Book Antiqua" w:hAnsi="Book Antiqua"/>
          <w:b/>
          <w:bCs/>
        </w:rPr>
        <w:t>The role of the cytokine environment</w:t>
      </w:r>
      <w:r w:rsidR="008E7AC7" w:rsidRPr="00432A10">
        <w:rPr>
          <w:rFonts w:ascii="Book Antiqua" w:hAnsi="Book Antiqua"/>
          <w:b/>
          <w:bCs/>
          <w:lang w:eastAsia="zh-CN"/>
        </w:rPr>
        <w:t xml:space="preserve">: </w:t>
      </w:r>
      <w:r w:rsidRPr="00432A10">
        <w:rPr>
          <w:rFonts w:ascii="Book Antiqua" w:hAnsi="Book Antiqua"/>
        </w:rPr>
        <w:t>Tissue injury is usually associated with inflammation, cell-damage products release and subsequent infiltration of neutrophils and macrophages. The inflammatory response is thought to act as a regulator of tissue stemness either by directly affecting tissue stem cells or by shifting differentiated cells toward a stem-like cell character. During the phagocytosis of damaged cells, pro-inflammatory cytokines mainly interferon-γ (IFN-γ), tumor necrosis factor-α (TNF-α), and IL-1 are secreted</w:t>
      </w:r>
      <w:r w:rsidRPr="00432A10">
        <w:rPr>
          <w:rFonts w:ascii="Book Antiqua" w:hAnsi="Book Antiqua"/>
          <w:noProof/>
          <w:vertAlign w:val="superscript"/>
        </w:rPr>
        <w:t>[43]</w:t>
      </w:r>
      <w:r w:rsidRPr="00432A10">
        <w:rPr>
          <w:rFonts w:ascii="Book Antiqua" w:hAnsi="Book Antiqua"/>
        </w:rPr>
        <w:t>. Other pro-inflammatory mediators (</w:t>
      </w:r>
      <w:r w:rsidRPr="00432A10">
        <w:rPr>
          <w:rFonts w:ascii="Book Antiqua" w:hAnsi="Book Antiqua"/>
          <w:i/>
          <w:iCs/>
        </w:rPr>
        <w:t>e.g.</w:t>
      </w:r>
      <w:r w:rsidRPr="00432A10">
        <w:rPr>
          <w:rFonts w:ascii="Book Antiqua" w:hAnsi="Book Antiqua"/>
        </w:rPr>
        <w:t>, various chemokines, leukotrienes, and free radicals) are released by immune cells and may contribute to inflammation. In this context, MSCs are known to preferentially migrate to the sites of inflammation and tissue damage which are typically characterized by cytokine outburst</w:t>
      </w:r>
      <w:r w:rsidRPr="00432A10">
        <w:rPr>
          <w:rFonts w:ascii="Book Antiqua" w:hAnsi="Book Antiqua"/>
          <w:noProof/>
          <w:vertAlign w:val="superscript"/>
        </w:rPr>
        <w:t>[44]</w:t>
      </w:r>
      <w:r w:rsidRPr="00432A10">
        <w:rPr>
          <w:rFonts w:ascii="Book Antiqua" w:hAnsi="Book Antiqua"/>
        </w:rPr>
        <w:t>. The specific cytokine milieu is pivotal in determining the fate and behaviors of MSCs (Figure 4).</w:t>
      </w:r>
    </w:p>
    <w:p w14:paraId="67F1BEB3" w14:textId="651C7539" w:rsidR="007E7842" w:rsidRPr="00432A10" w:rsidRDefault="007E7842" w:rsidP="00432A10">
      <w:pPr>
        <w:spacing w:line="360" w:lineRule="auto"/>
        <w:ind w:firstLineChars="100" w:firstLine="240"/>
        <w:contextualSpacing/>
        <w:jc w:val="both"/>
        <w:rPr>
          <w:rFonts w:ascii="Book Antiqua" w:hAnsi="Book Antiqua"/>
          <w:i/>
          <w:iCs/>
          <w:color w:val="FF0000"/>
        </w:rPr>
      </w:pPr>
      <w:r w:rsidRPr="00432A10">
        <w:rPr>
          <w:rFonts w:ascii="Book Antiqua" w:hAnsi="Book Antiqua"/>
        </w:rPr>
        <w:t>Accordingly, we reported that inflammation may induce critical changes in the phenotype, multilineage potential, hematopoietic support, and immunomodulatory capacity of MSCs</w:t>
      </w:r>
      <w:r w:rsidRPr="00432A10">
        <w:rPr>
          <w:rFonts w:ascii="Book Antiqua" w:hAnsi="Book Antiqua"/>
          <w:noProof/>
          <w:vertAlign w:val="superscript"/>
        </w:rPr>
        <w:t>[45]</w:t>
      </w:r>
      <w:r w:rsidRPr="00432A10">
        <w:rPr>
          <w:rFonts w:ascii="Book Antiqua" w:hAnsi="Book Antiqua"/>
        </w:rPr>
        <w:t>.</w:t>
      </w:r>
    </w:p>
    <w:p w14:paraId="402DCF7D" w14:textId="77777777" w:rsidR="007E7842" w:rsidRPr="00432A10" w:rsidRDefault="007E7842">
      <w:pPr>
        <w:spacing w:line="360" w:lineRule="auto"/>
        <w:contextualSpacing/>
        <w:jc w:val="both"/>
        <w:rPr>
          <w:rFonts w:ascii="Book Antiqua" w:hAnsi="Book Antiqua"/>
          <w:i/>
          <w:iCs/>
          <w:color w:val="FF0000"/>
        </w:rPr>
      </w:pPr>
    </w:p>
    <w:p w14:paraId="4D77E569" w14:textId="5ECD5C81" w:rsidR="007E7842" w:rsidRPr="00432A10" w:rsidRDefault="007E7842" w:rsidP="00432A10">
      <w:pPr>
        <w:spacing w:line="360" w:lineRule="auto"/>
        <w:contextualSpacing/>
        <w:jc w:val="both"/>
        <w:rPr>
          <w:rFonts w:ascii="Book Antiqua" w:hAnsi="Book Antiqua"/>
          <w:i/>
          <w:iCs/>
          <w:color w:val="FF0000"/>
        </w:rPr>
      </w:pPr>
      <w:r w:rsidRPr="00432A10">
        <w:rPr>
          <w:rFonts w:ascii="Book Antiqua" w:hAnsi="Book Antiqua"/>
          <w:b/>
          <w:bCs/>
        </w:rPr>
        <w:t>I</w:t>
      </w:r>
      <w:r w:rsidR="008E7AC7" w:rsidRPr="00432A10">
        <w:rPr>
          <w:rFonts w:ascii="Book Antiqua" w:hAnsi="Book Antiqua"/>
          <w:b/>
          <w:bCs/>
        </w:rPr>
        <w:t>FN</w:t>
      </w:r>
      <w:r w:rsidRPr="00432A10">
        <w:rPr>
          <w:rFonts w:ascii="Book Antiqua" w:hAnsi="Book Antiqua"/>
          <w:b/>
          <w:bCs/>
        </w:rPr>
        <w:t>-γ as a master regulator</w:t>
      </w:r>
      <w:r w:rsidR="008E7AC7" w:rsidRPr="00432A10">
        <w:rPr>
          <w:rFonts w:ascii="Book Antiqua" w:hAnsi="Book Antiqua"/>
          <w:b/>
          <w:bCs/>
          <w:lang w:eastAsia="zh-CN"/>
        </w:rPr>
        <w:t xml:space="preserve">: </w:t>
      </w:r>
      <w:r w:rsidRPr="00432A10">
        <w:rPr>
          <w:rFonts w:ascii="Book Antiqua" w:hAnsi="Book Antiqua"/>
        </w:rPr>
        <w:t>One of the most used strategy for this purpose has been the IFN-γ preconditioning of MSCs prior to clinical application. This approach enhances both the immunomodulatory properties and viability of MSCs</w:t>
      </w:r>
      <w:r w:rsidRPr="00432A10">
        <w:rPr>
          <w:rFonts w:ascii="Book Antiqua" w:hAnsi="Book Antiqua"/>
          <w:noProof/>
          <w:vertAlign w:val="superscript"/>
        </w:rPr>
        <w:t>[46]</w:t>
      </w:r>
      <w:r w:rsidRPr="00432A10">
        <w:rPr>
          <w:rFonts w:ascii="Book Antiqua" w:hAnsi="Book Antiqua"/>
        </w:rPr>
        <w:t>. In depth proteomic analysis of IFN-γ treated BM-MSCs indicated that approximately 30% of the altered proteins were linked to immunoregulation</w:t>
      </w:r>
      <w:r w:rsidRPr="00432A10">
        <w:rPr>
          <w:rFonts w:ascii="Book Antiqua" w:hAnsi="Book Antiqua"/>
          <w:noProof/>
          <w:vertAlign w:val="superscript"/>
        </w:rPr>
        <w:t>[47]</w:t>
      </w:r>
      <w:r w:rsidRPr="00432A10">
        <w:rPr>
          <w:rFonts w:ascii="Book Antiqua" w:hAnsi="Book Antiqua"/>
        </w:rPr>
        <w:t>. The expression levels of selected candidates</w:t>
      </w:r>
      <w:r w:rsidR="00A03057" w:rsidRPr="00432A10">
        <w:rPr>
          <w:rFonts w:ascii="Book Antiqua" w:hAnsi="Book Antiqua"/>
        </w:rPr>
        <w:t xml:space="preserve"> including</w:t>
      </w:r>
      <w:r w:rsidRPr="00432A10">
        <w:rPr>
          <w:rFonts w:ascii="Book Antiqua" w:hAnsi="Book Antiqua"/>
        </w:rPr>
        <w:t xml:space="preserve"> indoleamine 2,3-dioxygenase 1 (IDO-1), programmed death ligand 1 (PD-L1</w:t>
      </w:r>
      <w:r w:rsidR="00095E69" w:rsidRPr="00432A10">
        <w:rPr>
          <w:rFonts w:ascii="Book Antiqua" w:hAnsi="Book Antiqua"/>
        </w:rPr>
        <w:t>)</w:t>
      </w:r>
      <w:r w:rsidRPr="00432A10">
        <w:rPr>
          <w:rFonts w:ascii="Book Antiqua" w:hAnsi="Book Antiqua"/>
        </w:rPr>
        <w:t xml:space="preserve">, vascular cell adhesion molecule 1, intercellular adhesion molecule 1 (ICAM-1) and bone marrow stromal antigen 2 (BST-2) were markedly increased following IFN-γ treatment. These factors may contribute to the immunoregulatory activities of MSCs. In addition, there are significant immunological and immunoregulatory mediators that are not currently described as IFN-γ responsive </w:t>
      </w:r>
      <w:r w:rsidR="009C161A" w:rsidRPr="00432A10">
        <w:rPr>
          <w:rFonts w:ascii="Book Antiqua" w:hAnsi="Book Antiqua"/>
        </w:rPr>
        <w:t>[</w:t>
      </w:r>
      <w:r w:rsidRPr="00432A10">
        <w:rPr>
          <w:rFonts w:ascii="Book Antiqua" w:hAnsi="Book Antiqua"/>
          <w:i/>
          <w:iCs/>
        </w:rPr>
        <w:t>e.g.</w:t>
      </w:r>
      <w:r w:rsidR="00A37740" w:rsidRPr="00432A10">
        <w:rPr>
          <w:rFonts w:ascii="Book Antiqua" w:hAnsi="Book Antiqua"/>
        </w:rPr>
        <w:t>,</w:t>
      </w:r>
      <w:r w:rsidRPr="00432A10">
        <w:rPr>
          <w:rFonts w:ascii="Book Antiqua" w:hAnsi="Book Antiqua"/>
        </w:rPr>
        <w:t xml:space="preserve"> prostaglandin-endoperoxide </w:t>
      </w:r>
      <w:r w:rsidRPr="00432A10">
        <w:rPr>
          <w:rFonts w:ascii="Book Antiqua" w:hAnsi="Book Antiqua"/>
        </w:rPr>
        <w:lastRenderedPageBreak/>
        <w:t xml:space="preserve">synthase 2, prostaglandin I2 synthase, FAM20A (FAM20A </w:t>
      </w:r>
      <w:r w:rsidR="009C161A" w:rsidRPr="00432A10">
        <w:rPr>
          <w:rFonts w:ascii="Book Antiqua" w:hAnsi="Book Antiqua"/>
        </w:rPr>
        <w:t>g</w:t>
      </w:r>
      <w:r w:rsidRPr="00432A10">
        <w:rPr>
          <w:rFonts w:ascii="Book Antiqua" w:hAnsi="Book Antiqua"/>
        </w:rPr>
        <w:t>olgi</w:t>
      </w:r>
      <w:r w:rsidR="009C161A" w:rsidRPr="00432A10">
        <w:rPr>
          <w:rFonts w:ascii="Book Antiqua" w:hAnsi="Book Antiqua"/>
        </w:rPr>
        <w:t>-</w:t>
      </w:r>
      <w:r w:rsidRPr="00432A10">
        <w:rPr>
          <w:rFonts w:ascii="Book Antiqua" w:hAnsi="Book Antiqua"/>
        </w:rPr>
        <w:t>associated secretory pathway pseudokinase), FAM20C (FAM20C golgi</w:t>
      </w:r>
      <w:r w:rsidR="009C161A" w:rsidRPr="00432A10">
        <w:rPr>
          <w:rFonts w:ascii="Book Antiqua" w:hAnsi="Book Antiqua"/>
        </w:rPr>
        <w:t>-</w:t>
      </w:r>
      <w:r w:rsidRPr="00432A10">
        <w:rPr>
          <w:rFonts w:ascii="Book Antiqua" w:hAnsi="Book Antiqua"/>
        </w:rPr>
        <w:t>associated secretory pathway kinase) and glycoprotein A repetitions predominant</w:t>
      </w:r>
      <w:r w:rsidR="009C161A" w:rsidRPr="00432A10">
        <w:rPr>
          <w:rFonts w:ascii="Book Antiqua" w:hAnsi="Book Antiqua"/>
        </w:rPr>
        <w:t xml:space="preserve"> (GARP)</w:t>
      </w:r>
      <w:r w:rsidRPr="00432A10">
        <w:rPr>
          <w:rFonts w:ascii="Book Antiqua" w:hAnsi="Book Antiqua"/>
        </w:rPr>
        <w:t>/leucine rich repeat containing 32</w:t>
      </w:r>
      <w:r w:rsidR="009C161A" w:rsidRPr="00432A10">
        <w:rPr>
          <w:rFonts w:ascii="Book Antiqua" w:hAnsi="Book Antiqua"/>
        </w:rPr>
        <w:t>]</w:t>
      </w:r>
      <w:r w:rsidRPr="00432A10">
        <w:rPr>
          <w:rFonts w:ascii="Book Antiqua" w:hAnsi="Book Antiqua"/>
        </w:rPr>
        <w:t xml:space="preserve"> </w:t>
      </w:r>
      <w:r w:rsidRPr="00703F5C">
        <w:rPr>
          <w:rFonts w:ascii="Book Antiqua" w:hAnsi="Book Antiqua"/>
        </w:rPr>
        <w:t>that were upregulated. Moreover, MSCs isolated from the dental pulp of human exfoliate</w:t>
      </w:r>
      <w:r w:rsidRPr="00432A10">
        <w:rPr>
          <w:rFonts w:ascii="Book Antiqua" w:hAnsi="Book Antiqua"/>
        </w:rPr>
        <w:t>d deciduous teeth and fragments of the orbicularis oris muscle showed enhanced immunomodulatory properties probably linked to increased HLA-G expression</w:t>
      </w:r>
      <w:r w:rsidRPr="00432A10">
        <w:rPr>
          <w:rFonts w:ascii="Book Antiqua" w:hAnsi="Book Antiqua"/>
          <w:noProof/>
          <w:vertAlign w:val="superscript"/>
        </w:rPr>
        <w:t>[48]</w:t>
      </w:r>
      <w:r w:rsidRPr="00432A10">
        <w:rPr>
          <w:rFonts w:ascii="Book Antiqua" w:hAnsi="Book Antiqua"/>
        </w:rPr>
        <w:t xml:space="preserve"> in the presence of IFN-γ. Indeed, a recent study highlighted the key role of the </w:t>
      </w:r>
      <w:r w:rsidRPr="00432A10">
        <w:rPr>
          <w:rFonts w:ascii="Book Antiqua" w:hAnsi="Book Antiqua"/>
          <w:i/>
          <w:iCs/>
        </w:rPr>
        <w:t>HLA-G</w:t>
      </w:r>
      <w:r w:rsidRPr="00432A10">
        <w:rPr>
          <w:rFonts w:ascii="Book Antiqua" w:hAnsi="Book Antiqua"/>
        </w:rPr>
        <w:t xml:space="preserve"> gene in modulating the immune response, and the importance of its polymorphisms and alleles associated with the outcome of the transplants</w:t>
      </w:r>
      <w:r w:rsidRPr="00432A10">
        <w:rPr>
          <w:rFonts w:ascii="Book Antiqua" w:hAnsi="Book Antiqua"/>
          <w:noProof/>
          <w:vertAlign w:val="superscript"/>
        </w:rPr>
        <w:t>[49]</w:t>
      </w:r>
      <w:r w:rsidRPr="00432A10">
        <w:rPr>
          <w:rFonts w:ascii="Book Antiqua" w:hAnsi="Book Antiqua"/>
        </w:rPr>
        <w:t>.</w:t>
      </w:r>
    </w:p>
    <w:p w14:paraId="0BA8D765" w14:textId="77777777" w:rsidR="007E7842" w:rsidRPr="00432A10" w:rsidRDefault="007E7842">
      <w:pPr>
        <w:spacing w:line="360" w:lineRule="auto"/>
        <w:contextualSpacing/>
        <w:jc w:val="both"/>
        <w:rPr>
          <w:rFonts w:ascii="Book Antiqua" w:hAnsi="Book Antiqua"/>
        </w:rPr>
      </w:pPr>
    </w:p>
    <w:p w14:paraId="501DFF4C" w14:textId="75F16375" w:rsidR="00AA262C" w:rsidRPr="00432A10" w:rsidRDefault="007E7842" w:rsidP="00432A10">
      <w:pPr>
        <w:spacing w:line="360" w:lineRule="auto"/>
        <w:contextualSpacing/>
        <w:jc w:val="both"/>
        <w:rPr>
          <w:rFonts w:ascii="Book Antiqua" w:hAnsi="Book Antiqua"/>
          <w:i/>
          <w:iCs/>
          <w:color w:val="FF0000"/>
        </w:rPr>
      </w:pPr>
      <w:r w:rsidRPr="00432A10">
        <w:rPr>
          <w:rFonts w:ascii="Book Antiqua" w:hAnsi="Book Antiqua"/>
          <w:b/>
          <w:bCs/>
        </w:rPr>
        <w:t>A pro-inflammatory cytokine cocktail</w:t>
      </w:r>
      <w:r w:rsidR="003D3236" w:rsidRPr="00432A10">
        <w:rPr>
          <w:rFonts w:ascii="Book Antiqua" w:hAnsi="Book Antiqua"/>
          <w:b/>
          <w:bCs/>
          <w:lang w:eastAsia="zh-CN"/>
        </w:rPr>
        <w:t xml:space="preserve">: </w:t>
      </w:r>
      <w:r w:rsidRPr="00432A10">
        <w:rPr>
          <w:rFonts w:ascii="Book Antiqua" w:hAnsi="Book Antiqua"/>
        </w:rPr>
        <w:t>INF-γ has also been used in combination with other potent inflammatory cytokines namely TNF-α and IL-1-β. We have shown that preconditioning BM-MSCs with a pro-inflammatory cytokine cocktail increased the expression of cyclooxygenase (COX)-2, leukemia inhibitory factor (LIF), hepatocyte growth factor (HGF), IL-11, IL-8, and IL-6, while it reduced that of COX-1, galectin-1, and transforming growth factor-beta (TGF-β)</w:t>
      </w:r>
      <w:r w:rsidRPr="00432A10">
        <w:rPr>
          <w:rFonts w:ascii="Book Antiqua" w:hAnsi="Book Antiqua"/>
          <w:noProof/>
          <w:vertAlign w:val="superscript"/>
        </w:rPr>
        <w:t>[50]</w:t>
      </w:r>
      <w:r w:rsidRPr="00432A10">
        <w:rPr>
          <w:rFonts w:ascii="Book Antiqua" w:hAnsi="Book Antiqua"/>
        </w:rPr>
        <w:t>. BM-MSCs may inhibit complement activation by producing factor H, which could be another mechanism underlying the broad immunosuppressive capabilities of MSCs. Of note, the production of factor H by MSCs is upregulated by inflammatory cytokines TNF-α and IFN-γ in both a dose- and a time-dependent manner</w:t>
      </w:r>
      <w:r w:rsidRPr="00432A10">
        <w:rPr>
          <w:rFonts w:ascii="Book Antiqua" w:hAnsi="Book Antiqua"/>
          <w:noProof/>
          <w:vertAlign w:val="superscript"/>
        </w:rPr>
        <w:t>[51]</w:t>
      </w:r>
      <w:r w:rsidRPr="00432A10">
        <w:rPr>
          <w:rFonts w:ascii="Book Antiqua" w:hAnsi="Book Antiqua"/>
        </w:rPr>
        <w:t>. Using such a preconditioning strategy may empower the immune fate of MSCs and, as a result, enhance their value for cell-based immunotherapy. Under IFN-γ and TNF-α preconditioning, BM-MSCs have been shown to synergistically express PD-L1 and PD-L2, which suppress T-cell activation and functions</w:t>
      </w:r>
      <w:r w:rsidRPr="00432A10">
        <w:rPr>
          <w:rFonts w:ascii="Book Antiqua" w:hAnsi="Book Antiqua"/>
          <w:noProof/>
          <w:vertAlign w:val="superscript"/>
        </w:rPr>
        <w:t>[52]</w:t>
      </w:r>
      <w:r w:rsidRPr="00432A10">
        <w:rPr>
          <w:rFonts w:ascii="Book Antiqua" w:hAnsi="Book Antiqua"/>
        </w:rPr>
        <w:t>. Interaction of PD</w:t>
      </w:r>
      <w:r w:rsidRPr="00432A10">
        <w:rPr>
          <w:rFonts w:ascii="Cambria Math" w:hAnsi="Cambria Math" w:cs="Cambria Math" w:hint="eastAsia"/>
        </w:rPr>
        <w:t>‐</w:t>
      </w:r>
      <w:r w:rsidR="003D3236" w:rsidRPr="00703F5C">
        <w:rPr>
          <w:rFonts w:ascii="Book Antiqua" w:hAnsi="Book Antiqua" w:cs="Cambria Math"/>
        </w:rPr>
        <w:t>L</w:t>
      </w:r>
      <w:r w:rsidRPr="00432A10">
        <w:rPr>
          <w:rFonts w:ascii="Book Antiqua" w:hAnsi="Book Antiqua"/>
        </w:rPr>
        <w:t>1 with its known ligands, PD</w:t>
      </w:r>
      <w:r w:rsidRPr="00432A10">
        <w:rPr>
          <w:rFonts w:ascii="Cambria Math" w:hAnsi="Cambria Math" w:cs="Cambria Math" w:hint="eastAsia"/>
        </w:rPr>
        <w:t>‐</w:t>
      </w:r>
      <w:r w:rsidRPr="00432A10">
        <w:rPr>
          <w:rFonts w:ascii="Book Antiqua" w:hAnsi="Book Antiqua"/>
        </w:rPr>
        <w:t>L1/B7</w:t>
      </w:r>
      <w:r w:rsidRPr="00432A10">
        <w:rPr>
          <w:rFonts w:ascii="Cambria Math" w:hAnsi="Cambria Math" w:cs="Cambria Math" w:hint="eastAsia"/>
        </w:rPr>
        <w:t>‐</w:t>
      </w:r>
      <w:r w:rsidRPr="00432A10">
        <w:rPr>
          <w:rFonts w:ascii="Book Antiqua" w:hAnsi="Book Antiqua"/>
        </w:rPr>
        <w:t>H1 and PD</w:t>
      </w:r>
      <w:r w:rsidRPr="00432A10">
        <w:rPr>
          <w:rFonts w:ascii="Cambria Math" w:hAnsi="Cambria Math" w:cs="Cambria Math" w:hint="eastAsia"/>
        </w:rPr>
        <w:t>‐</w:t>
      </w:r>
      <w:r w:rsidRPr="00432A10">
        <w:rPr>
          <w:rFonts w:ascii="Book Antiqua" w:hAnsi="Book Antiqua"/>
        </w:rPr>
        <w:t>L2/B7</w:t>
      </w:r>
      <w:r w:rsidRPr="00432A10">
        <w:rPr>
          <w:rFonts w:ascii="Cambria Math" w:hAnsi="Cambria Math" w:cs="Cambria Math" w:hint="eastAsia"/>
        </w:rPr>
        <w:t>‐</w:t>
      </w:r>
      <w:r w:rsidRPr="00432A10">
        <w:rPr>
          <w:rFonts w:ascii="Book Antiqua" w:hAnsi="Book Antiqua"/>
        </w:rPr>
        <w:t>DC, provides an inhibitory signal in regulating cellular activation and proliferation. MSCs also secrete significantly higher levels of sPD</w:t>
      </w:r>
      <w:r w:rsidRPr="00432A10">
        <w:rPr>
          <w:rFonts w:ascii="Cambria Math" w:hAnsi="Cambria Math" w:cs="Cambria Math" w:hint="eastAsia"/>
        </w:rPr>
        <w:t>‐</w:t>
      </w:r>
      <w:r w:rsidRPr="00432A10">
        <w:rPr>
          <w:rFonts w:ascii="Book Antiqua" w:hAnsi="Book Antiqua"/>
        </w:rPr>
        <w:t>L2 compared to sPD</w:t>
      </w:r>
      <w:r w:rsidRPr="00432A10">
        <w:rPr>
          <w:rFonts w:ascii="Cambria Math" w:hAnsi="Cambria Math" w:cs="Cambria Math" w:hint="eastAsia"/>
        </w:rPr>
        <w:t>‐</w:t>
      </w:r>
      <w:r w:rsidRPr="00432A10">
        <w:rPr>
          <w:rFonts w:ascii="Book Antiqua" w:hAnsi="Book Antiqua"/>
        </w:rPr>
        <w:t>L1 in preconditioning conditions, indicating the potential importance of sPD</w:t>
      </w:r>
      <w:r w:rsidRPr="00432A10">
        <w:rPr>
          <w:rFonts w:ascii="Cambria Math" w:hAnsi="Cambria Math" w:cs="Cambria Math" w:hint="eastAsia"/>
        </w:rPr>
        <w:t>‐</w:t>
      </w:r>
      <w:r w:rsidRPr="00432A10">
        <w:rPr>
          <w:rFonts w:ascii="Book Antiqua" w:hAnsi="Book Antiqua"/>
        </w:rPr>
        <w:t>L2 in MSC immunomodulation. In line with this, we have shown that the percentage of adipose tissue-derived MSCs expressing PD-L1</w:t>
      </w:r>
      <w:r w:rsidR="00095E69" w:rsidRPr="00432A10">
        <w:rPr>
          <w:rFonts w:ascii="Book Antiqua" w:hAnsi="Book Antiqua"/>
        </w:rPr>
        <w:t xml:space="preserve"> (</w:t>
      </w:r>
      <w:r w:rsidR="00095E69" w:rsidRPr="00432A10">
        <w:rPr>
          <w:rFonts w:ascii="Book Antiqua" w:hAnsi="Book Antiqua"/>
          <w:i/>
          <w:iCs/>
        </w:rPr>
        <w:t>i.e.</w:t>
      </w:r>
      <w:r w:rsidR="00095E69" w:rsidRPr="00432A10">
        <w:rPr>
          <w:rFonts w:ascii="Book Antiqua" w:hAnsi="Book Antiqua"/>
        </w:rPr>
        <w:t>, CD274)</w:t>
      </w:r>
      <w:r w:rsidRPr="00432A10">
        <w:rPr>
          <w:rFonts w:ascii="Book Antiqua" w:hAnsi="Book Antiqua"/>
        </w:rPr>
        <w:t xml:space="preserve"> significantly increased </w:t>
      </w:r>
      <w:r w:rsidRPr="00432A10">
        <w:rPr>
          <w:rFonts w:ascii="Book Antiqua" w:hAnsi="Book Antiqua"/>
        </w:rPr>
        <w:lastRenderedPageBreak/>
        <w:t>upon pro-inflammatory stimulation reaching around 90% of the whole cell population</w:t>
      </w:r>
      <w:r w:rsidRPr="00432A10">
        <w:rPr>
          <w:rFonts w:ascii="Book Antiqua" w:hAnsi="Book Antiqua"/>
          <w:noProof/>
          <w:vertAlign w:val="superscript"/>
        </w:rPr>
        <w:t>[53]</w:t>
      </w:r>
      <w:r w:rsidRPr="00432A10">
        <w:rPr>
          <w:rFonts w:ascii="Book Antiqua" w:hAnsi="Book Antiqua"/>
        </w:rPr>
        <w:t>. CD274 is known</w:t>
      </w:r>
      <w:r w:rsidRPr="00432A10">
        <w:rPr>
          <w:rFonts w:ascii="Book Antiqua" w:hAnsi="Book Antiqua"/>
          <w:color w:val="FF0000"/>
        </w:rPr>
        <w:t xml:space="preserve"> </w:t>
      </w:r>
      <w:r w:rsidRPr="00432A10">
        <w:rPr>
          <w:rFonts w:ascii="Book Antiqua" w:hAnsi="Book Antiqua"/>
        </w:rPr>
        <w:t>to downregulate T-lymphocyte proliferation and cytokine secretion by binding to the PD-</w:t>
      </w:r>
      <w:r w:rsidR="00095E69" w:rsidRPr="00432A10">
        <w:rPr>
          <w:rFonts w:ascii="Book Antiqua" w:hAnsi="Book Antiqua"/>
        </w:rPr>
        <w:t>L</w:t>
      </w:r>
      <w:r w:rsidRPr="00432A10">
        <w:rPr>
          <w:rFonts w:ascii="Book Antiqua" w:hAnsi="Book Antiqua"/>
        </w:rPr>
        <w:t xml:space="preserve">1 receptor. Interestingly, IFN-γ priming of human amnion-derived MSCs boosted their immunomodulatory potential through different mechanisms. They induced a remodeling of the immune response toward an anti-inflammatory phenotype. In this context, a significant production of chemokines such as C-X-C motif ligand 10 </w:t>
      </w:r>
      <w:r w:rsidR="00B045B4" w:rsidRPr="00432A10">
        <w:rPr>
          <w:rFonts w:ascii="Book Antiqua" w:hAnsi="Book Antiqua"/>
        </w:rPr>
        <w:t>[</w:t>
      </w:r>
      <w:r w:rsidRPr="00432A10">
        <w:rPr>
          <w:rFonts w:ascii="Book Antiqua" w:hAnsi="Book Antiqua"/>
        </w:rPr>
        <w:t>CXCL10</w:t>
      </w:r>
      <w:r w:rsidR="00B045B4" w:rsidRPr="00432A10">
        <w:rPr>
          <w:rFonts w:ascii="Book Antiqua" w:hAnsi="Book Antiqua"/>
        </w:rPr>
        <w:t>,</w:t>
      </w:r>
      <w:r w:rsidRPr="00432A10">
        <w:rPr>
          <w:rFonts w:ascii="Book Antiqua" w:hAnsi="Book Antiqua"/>
        </w:rPr>
        <w:t xml:space="preserve"> also known as</w:t>
      </w:r>
      <w:r w:rsidR="00B045B4" w:rsidRPr="00703F5C">
        <w:rPr>
          <w:rFonts w:ascii="Book Antiqua" w:hAnsi="Book Antiqua"/>
        </w:rPr>
        <w:t xml:space="preserve"> </w:t>
      </w:r>
      <w:r w:rsidR="00B045B4" w:rsidRPr="00432A10">
        <w:rPr>
          <w:rFonts w:ascii="Book Antiqua" w:hAnsi="Book Antiqua"/>
        </w:rPr>
        <w:t>IFN-γ</w:t>
      </w:r>
      <w:r w:rsidRPr="00432A10">
        <w:rPr>
          <w:rFonts w:ascii="Book Antiqua" w:hAnsi="Book Antiqua"/>
        </w:rPr>
        <w:t>-induced protein 10 (IP-10) or small-inducible cytokine B10</w:t>
      </w:r>
      <w:r w:rsidR="00B045B4" w:rsidRPr="00432A10">
        <w:rPr>
          <w:rFonts w:ascii="Book Antiqua" w:hAnsi="Book Antiqua"/>
        </w:rPr>
        <w:t>]</w:t>
      </w:r>
      <w:r w:rsidRPr="00432A10">
        <w:rPr>
          <w:rFonts w:ascii="Book Antiqua" w:hAnsi="Book Antiqua"/>
        </w:rPr>
        <w:t>, CXCL9</w:t>
      </w:r>
      <w:r w:rsidR="00B045B4" w:rsidRPr="00432A10">
        <w:rPr>
          <w:rFonts w:ascii="Book Antiqua" w:hAnsi="Book Antiqua"/>
        </w:rPr>
        <w:t xml:space="preserve"> [</w:t>
      </w:r>
      <w:r w:rsidRPr="00432A10">
        <w:rPr>
          <w:rFonts w:ascii="Book Antiqua" w:hAnsi="Book Antiqua"/>
        </w:rPr>
        <w:t>also known as monokine induced by gamma interferon (MIG)</w:t>
      </w:r>
      <w:r w:rsidR="00B045B4" w:rsidRPr="00432A10">
        <w:rPr>
          <w:rFonts w:ascii="Book Antiqua" w:hAnsi="Book Antiqua"/>
        </w:rPr>
        <w:t>]</w:t>
      </w:r>
      <w:r w:rsidRPr="00432A10">
        <w:rPr>
          <w:rFonts w:ascii="Book Antiqua" w:hAnsi="Book Antiqua"/>
        </w:rPr>
        <w:t>, C-C motif</w:t>
      </w:r>
      <w:r w:rsidR="00E05462" w:rsidRPr="00432A10">
        <w:rPr>
          <w:rFonts w:ascii="Book Antiqua" w:hAnsi="Book Antiqua"/>
        </w:rPr>
        <w:t xml:space="preserve"> </w:t>
      </w:r>
      <w:r w:rsidRPr="00432A10">
        <w:rPr>
          <w:rFonts w:ascii="Book Antiqua" w:hAnsi="Book Antiqua"/>
        </w:rPr>
        <w:t xml:space="preserve">ligand 3 </w:t>
      </w:r>
      <w:r w:rsidR="00E05462" w:rsidRPr="00432A10">
        <w:rPr>
          <w:rFonts w:ascii="Book Antiqua" w:hAnsi="Book Antiqua"/>
        </w:rPr>
        <w:t>[</w:t>
      </w:r>
      <w:r w:rsidRPr="00432A10">
        <w:rPr>
          <w:rFonts w:ascii="Book Antiqua" w:hAnsi="Book Antiqua"/>
        </w:rPr>
        <w:t>CCL3</w:t>
      </w:r>
      <w:r w:rsidR="00E05462" w:rsidRPr="00432A10">
        <w:rPr>
          <w:rFonts w:ascii="Book Antiqua" w:hAnsi="Book Antiqua"/>
        </w:rPr>
        <w:t xml:space="preserve">, </w:t>
      </w:r>
      <w:r w:rsidRPr="00432A10">
        <w:rPr>
          <w:rFonts w:ascii="Book Antiqua" w:hAnsi="Book Antiqua"/>
        </w:rPr>
        <w:t>also known as macrophage inflammatory protein 1-alpha (MIP-1-α)</w:t>
      </w:r>
      <w:r w:rsidR="00E05462" w:rsidRPr="00432A10">
        <w:rPr>
          <w:rFonts w:ascii="Book Antiqua" w:hAnsi="Book Antiqua"/>
        </w:rPr>
        <w:t>]</w:t>
      </w:r>
      <w:r w:rsidRPr="00432A10">
        <w:rPr>
          <w:rFonts w:ascii="Book Antiqua" w:hAnsi="Book Antiqua"/>
        </w:rPr>
        <w:t xml:space="preserve"> and CCL4 (</w:t>
      </w:r>
      <w:r w:rsidR="00E05462" w:rsidRPr="00432A10">
        <w:rPr>
          <w:rFonts w:ascii="Book Antiqua" w:hAnsi="Book Antiqua"/>
          <w:i/>
          <w:iCs/>
        </w:rPr>
        <w:t>i.e.</w:t>
      </w:r>
      <w:r w:rsidR="00E05462" w:rsidRPr="00432A10">
        <w:rPr>
          <w:rFonts w:ascii="Book Antiqua" w:hAnsi="Book Antiqua"/>
        </w:rPr>
        <w:t xml:space="preserve">, </w:t>
      </w:r>
      <w:r w:rsidRPr="00432A10">
        <w:rPr>
          <w:rFonts w:ascii="Book Antiqua" w:hAnsi="Book Antiqua"/>
        </w:rPr>
        <w:t>MIP-1-β) was involved in the chemotaxis of innate immune cells. The suppression of the immune response was linked to the expression of PD-</w:t>
      </w:r>
      <w:r w:rsidR="00AA262C" w:rsidRPr="00432A10">
        <w:rPr>
          <w:rFonts w:ascii="Book Antiqua" w:hAnsi="Book Antiqua"/>
        </w:rPr>
        <w:t>L</w:t>
      </w:r>
      <w:r w:rsidRPr="00432A10">
        <w:rPr>
          <w:rFonts w:ascii="Book Antiqua" w:hAnsi="Book Antiqua"/>
        </w:rPr>
        <w:t xml:space="preserve">1, IL-10, IDO, and </w:t>
      </w:r>
      <w:r w:rsidR="00AA262C" w:rsidRPr="00432A10">
        <w:rPr>
          <w:rFonts w:ascii="Book Antiqua" w:hAnsi="Book Antiqua"/>
        </w:rPr>
        <w:t>prostaglandin E2 (</w:t>
      </w:r>
      <w:r w:rsidRPr="00432A10">
        <w:rPr>
          <w:rFonts w:ascii="Book Antiqua" w:hAnsi="Book Antiqua"/>
        </w:rPr>
        <w:t>PGE2</w:t>
      </w:r>
      <w:r w:rsidR="00AA262C" w:rsidRPr="00432A10">
        <w:rPr>
          <w:rFonts w:ascii="Book Antiqua" w:hAnsi="Book Antiqua"/>
        </w:rPr>
        <w:t>)</w:t>
      </w:r>
      <w:r w:rsidRPr="00432A10">
        <w:rPr>
          <w:rFonts w:ascii="Book Antiqua" w:hAnsi="Book Antiqua"/>
        </w:rPr>
        <w:t>, as well as release of different immunomodulatory exosome-derived miRNAs</w:t>
      </w:r>
      <w:r w:rsidRPr="00432A10">
        <w:rPr>
          <w:rFonts w:ascii="Book Antiqua" w:hAnsi="Book Antiqua"/>
          <w:noProof/>
          <w:vertAlign w:val="superscript"/>
        </w:rPr>
        <w:t>[54]</w:t>
      </w:r>
      <w:r w:rsidRPr="00432A10">
        <w:rPr>
          <w:rFonts w:ascii="Book Antiqua" w:hAnsi="Book Antiqua"/>
        </w:rPr>
        <w:t>. Within these exosomes, 46 miRNAs were upregulated and 114 were downregulated. Moreover, a miRNA-target network analysis revealed that these miRNAs were associated with immune and inflammatory responses/regulation pathways. Indeed, they were involved in the regulation of both T cell activation/anergy and monocyte differentiation pathways.</w:t>
      </w:r>
    </w:p>
    <w:p w14:paraId="0FEA9AEE" w14:textId="79C8ADA7" w:rsidR="007E7842" w:rsidRPr="00432A10" w:rsidRDefault="007E7842" w:rsidP="00432A10">
      <w:pPr>
        <w:spacing w:line="360" w:lineRule="auto"/>
        <w:ind w:firstLineChars="100" w:firstLine="240"/>
        <w:contextualSpacing/>
        <w:jc w:val="both"/>
        <w:rPr>
          <w:rFonts w:ascii="Book Antiqua" w:hAnsi="Book Antiqua"/>
          <w:i/>
          <w:iCs/>
          <w:color w:val="FF0000"/>
        </w:rPr>
      </w:pPr>
      <w:r w:rsidRPr="00432A10">
        <w:rPr>
          <w:rFonts w:ascii="Book Antiqua" w:hAnsi="Book Antiqua"/>
        </w:rPr>
        <w:t>In order to increase the efficiency of the preconditioning, encapsulated MSCs with IFN</w:t>
      </w:r>
      <w:r w:rsidR="00AA262C" w:rsidRPr="00432A10">
        <w:rPr>
          <w:rFonts w:ascii="Book Antiqua" w:hAnsi="Book Antiqua"/>
        </w:rPr>
        <w:t>-</w:t>
      </w:r>
      <w:r w:rsidRPr="00432A10">
        <w:rPr>
          <w:rFonts w:ascii="Book Antiqua" w:hAnsi="Book Antiqua"/>
        </w:rPr>
        <w:t>γ was thus developed. Tethering IFN-γ to the hydrogel increased the retention of IFN-γ within the biomaterial while increasing their immunomodulatory functions</w:t>
      </w:r>
      <w:r w:rsidRPr="00432A10">
        <w:rPr>
          <w:rFonts w:ascii="Book Antiqua" w:hAnsi="Book Antiqua"/>
          <w:noProof/>
          <w:vertAlign w:val="superscript"/>
        </w:rPr>
        <w:t>[55]</w:t>
      </w:r>
      <w:r w:rsidRPr="00432A10">
        <w:rPr>
          <w:rFonts w:ascii="Book Antiqua" w:hAnsi="Book Antiqua"/>
        </w:rPr>
        <w:t>. However, such strategy does not work universally as some progenitor cells showing immune-modulatory activities are less responsive to TNF-α and IFN-γ</w:t>
      </w:r>
      <w:r w:rsidRPr="00432A10">
        <w:rPr>
          <w:rFonts w:ascii="Book Antiqua" w:hAnsi="Book Antiqua"/>
          <w:noProof/>
          <w:vertAlign w:val="superscript"/>
        </w:rPr>
        <w:t>[56]</w:t>
      </w:r>
      <w:r w:rsidRPr="00432A10">
        <w:rPr>
          <w:rFonts w:ascii="Book Antiqua" w:hAnsi="Book Antiqua"/>
        </w:rPr>
        <w:t xml:space="preserve">. In comparison to BM-MSCs, human fetal cartilage progenitor cells preconditioned with either TNF-α or IFN-γ did not affect the expression LIF, </w:t>
      </w:r>
      <w:r w:rsidR="00AA262C" w:rsidRPr="00432A10">
        <w:rPr>
          <w:rFonts w:ascii="Book Antiqua" w:hAnsi="Book Antiqua"/>
        </w:rPr>
        <w:t>TNF-stimulated gene-6 (TSG-6)</w:t>
      </w:r>
      <w:r w:rsidRPr="00432A10">
        <w:rPr>
          <w:rFonts w:ascii="Book Antiqua" w:hAnsi="Book Antiqua"/>
        </w:rPr>
        <w:t xml:space="preserve">, IDO, and HGF known for their immunoregulatory roles. In contrast, adult-derived human liver </w:t>
      </w:r>
      <w:bookmarkStart w:id="4" w:name="_Hlk42100380"/>
      <w:r w:rsidRPr="00432A10">
        <w:rPr>
          <w:rFonts w:ascii="Book Antiqua" w:hAnsi="Book Antiqua"/>
        </w:rPr>
        <w:t>stem/progenitor cells</w:t>
      </w:r>
      <w:bookmarkEnd w:id="4"/>
      <w:r w:rsidRPr="00432A10">
        <w:rPr>
          <w:rFonts w:ascii="Book Antiqua" w:hAnsi="Book Antiqua"/>
        </w:rPr>
        <w:t xml:space="preserve"> significantly induced the expression of pro-inflammatory cytokines (IL-1β, IL-6, IL-8, TNFα, CCL5, IL-12a, IL-12b, IL-23p19, IL-27p28, and EBI-3) as well as immunoregulatory cytokines (IL1-RA, IDO-1, and TDO-1) under an inflammatory setting</w:t>
      </w:r>
      <w:r w:rsidRPr="00432A10">
        <w:rPr>
          <w:rFonts w:ascii="Book Antiqua" w:hAnsi="Book Antiqua"/>
          <w:noProof/>
          <w:vertAlign w:val="superscript"/>
        </w:rPr>
        <w:t>[57]</w:t>
      </w:r>
      <w:r w:rsidRPr="00432A10">
        <w:rPr>
          <w:rFonts w:ascii="Book Antiqua" w:hAnsi="Book Antiqua"/>
        </w:rPr>
        <w:t xml:space="preserve">. Within this context, liver derived stem/progenitor </w:t>
      </w:r>
      <w:r w:rsidRPr="00432A10">
        <w:rPr>
          <w:rFonts w:ascii="Book Antiqua" w:hAnsi="Book Antiqua"/>
        </w:rPr>
        <w:lastRenderedPageBreak/>
        <w:t>cells demonstrate marked immunological plasticity that has main importance for future cell therapy application.</w:t>
      </w:r>
    </w:p>
    <w:p w14:paraId="3646643E" w14:textId="77777777" w:rsidR="007E7842" w:rsidRPr="00432A10" w:rsidRDefault="007E7842">
      <w:pPr>
        <w:spacing w:line="360" w:lineRule="auto"/>
        <w:contextualSpacing/>
        <w:jc w:val="both"/>
        <w:rPr>
          <w:rFonts w:ascii="Book Antiqua" w:hAnsi="Book Antiqua"/>
          <w:i/>
          <w:iCs/>
          <w:color w:val="FF0000"/>
        </w:rPr>
      </w:pPr>
    </w:p>
    <w:p w14:paraId="6CA798AE" w14:textId="036A5D56" w:rsidR="007E7842" w:rsidRPr="00432A10" w:rsidRDefault="007E7842" w:rsidP="00432A10">
      <w:pPr>
        <w:spacing w:line="360" w:lineRule="auto"/>
        <w:contextualSpacing/>
        <w:jc w:val="both"/>
        <w:rPr>
          <w:rFonts w:ascii="Book Antiqua" w:hAnsi="Book Antiqua"/>
          <w:i/>
          <w:iCs/>
          <w:color w:val="FF0000"/>
        </w:rPr>
      </w:pPr>
      <w:r w:rsidRPr="00432A10">
        <w:rPr>
          <w:rFonts w:ascii="Book Antiqua" w:hAnsi="Book Antiqua"/>
          <w:b/>
          <w:bCs/>
        </w:rPr>
        <w:t xml:space="preserve">The role of </w:t>
      </w:r>
      <w:r w:rsidR="00713812" w:rsidRPr="00432A10">
        <w:rPr>
          <w:rFonts w:ascii="Book Antiqua" w:hAnsi="Book Antiqua"/>
          <w:b/>
          <w:bCs/>
        </w:rPr>
        <w:t>IFN-β</w:t>
      </w:r>
      <w:r w:rsidR="00D6562D" w:rsidRPr="00432A10">
        <w:rPr>
          <w:rFonts w:ascii="Book Antiqua" w:hAnsi="Book Antiqua"/>
          <w:b/>
          <w:bCs/>
          <w:lang w:eastAsia="zh-CN"/>
        </w:rPr>
        <w:t xml:space="preserve">: </w:t>
      </w:r>
      <w:r w:rsidRPr="00432A10">
        <w:rPr>
          <w:rFonts w:ascii="Book Antiqua" w:hAnsi="Book Antiqua"/>
        </w:rPr>
        <w:t>On the other hand,</w:t>
      </w:r>
      <w:r w:rsidR="00713812" w:rsidRPr="00432A10">
        <w:rPr>
          <w:rFonts w:ascii="Book Antiqua" w:hAnsi="Book Antiqua"/>
        </w:rPr>
        <w:t xml:space="preserve"> </w:t>
      </w:r>
      <w:r w:rsidRPr="00432A10">
        <w:rPr>
          <w:rFonts w:ascii="Book Antiqua" w:hAnsi="Book Antiqua"/>
        </w:rPr>
        <w:t xml:space="preserve">IFN-β was reported to enhance the immunomodulatory functions of MSCs isolated from mouse BM. This increase was linked to the induction of secretory leukocyte protease inhibitor and HGF following a rapid and transient phosphorylation of the transcription factors </w:t>
      </w:r>
      <w:r w:rsidR="00D6562D" w:rsidRPr="00432A10">
        <w:rPr>
          <w:rFonts w:ascii="Book Antiqua" w:hAnsi="Book Antiqua"/>
        </w:rPr>
        <w:t>of s</w:t>
      </w:r>
      <w:r w:rsidRPr="00432A10">
        <w:rPr>
          <w:rFonts w:ascii="Book Antiqua" w:hAnsi="Book Antiqua"/>
        </w:rPr>
        <w:t>ignal transducer and activator of transcription</w:t>
      </w:r>
      <w:r w:rsidR="00D6562D" w:rsidRPr="00432A10">
        <w:rPr>
          <w:rFonts w:ascii="Book Antiqua" w:hAnsi="Book Antiqua"/>
        </w:rPr>
        <w:t xml:space="preserve"> (STAT</w:t>
      </w:r>
      <w:r w:rsidRPr="00432A10">
        <w:rPr>
          <w:rFonts w:ascii="Book Antiqua" w:hAnsi="Book Antiqua"/>
        </w:rPr>
        <w:t>) 1 and 3</w:t>
      </w:r>
      <w:r w:rsidRPr="00432A10">
        <w:rPr>
          <w:rFonts w:ascii="Book Antiqua" w:hAnsi="Book Antiqua"/>
          <w:noProof/>
          <w:vertAlign w:val="superscript"/>
        </w:rPr>
        <w:t>[58]</w:t>
      </w:r>
      <w:r w:rsidRPr="00432A10">
        <w:rPr>
          <w:rFonts w:ascii="Book Antiqua" w:hAnsi="Book Antiqua"/>
        </w:rPr>
        <w:t>. In a recent study, a long-lasting induction of mammalian target of rapamycin signaling supported by IFN-β was associated with an increased glycolytic capacity in umbilical cord blood-derived MSC</w:t>
      </w:r>
      <w:r w:rsidR="00D6562D" w:rsidRPr="00432A10">
        <w:rPr>
          <w:rFonts w:ascii="Book Antiqua" w:hAnsi="Book Antiqua"/>
        </w:rPr>
        <w:t>s</w:t>
      </w:r>
      <w:r w:rsidRPr="00432A10">
        <w:rPr>
          <w:rFonts w:ascii="Book Antiqua" w:hAnsi="Book Antiqua"/>
        </w:rPr>
        <w:t xml:space="preserve"> (UCB-MSCs). These UCB-MSCs also showed an improved ability to control T-cell proliferation</w:t>
      </w:r>
      <w:r w:rsidRPr="00432A10">
        <w:rPr>
          <w:rFonts w:ascii="Book Antiqua" w:hAnsi="Book Antiqua"/>
          <w:noProof/>
          <w:vertAlign w:val="superscript"/>
        </w:rPr>
        <w:t>[59]</w:t>
      </w:r>
      <w:r w:rsidRPr="00432A10">
        <w:rPr>
          <w:rFonts w:ascii="Book Antiqua" w:hAnsi="Book Antiqua"/>
        </w:rPr>
        <w:t>.</w:t>
      </w:r>
    </w:p>
    <w:p w14:paraId="7499323C" w14:textId="77777777" w:rsidR="007E7842" w:rsidRPr="00432A10" w:rsidRDefault="007E7842">
      <w:pPr>
        <w:spacing w:line="360" w:lineRule="auto"/>
        <w:contextualSpacing/>
        <w:jc w:val="both"/>
        <w:rPr>
          <w:rFonts w:ascii="Book Antiqua" w:hAnsi="Book Antiqua"/>
          <w:lang w:val="fr-CA"/>
        </w:rPr>
      </w:pPr>
    </w:p>
    <w:p w14:paraId="4D1ED635" w14:textId="77777777" w:rsidR="00D6562D" w:rsidRPr="00432A10" w:rsidRDefault="007E7842" w:rsidP="00432A10">
      <w:pPr>
        <w:spacing w:line="360" w:lineRule="auto"/>
        <w:contextualSpacing/>
        <w:jc w:val="both"/>
        <w:rPr>
          <w:rFonts w:ascii="Book Antiqua" w:hAnsi="Book Antiqua"/>
        </w:rPr>
      </w:pPr>
      <w:r w:rsidRPr="00432A10">
        <w:rPr>
          <w:rFonts w:ascii="Book Antiqua" w:hAnsi="Book Antiqua"/>
          <w:b/>
          <w:bCs/>
        </w:rPr>
        <w:t>Alternative regulatory cytokine</w:t>
      </w:r>
      <w:r w:rsidR="00D6562D" w:rsidRPr="00432A10">
        <w:rPr>
          <w:rFonts w:ascii="Book Antiqua" w:hAnsi="Book Antiqua"/>
          <w:b/>
          <w:bCs/>
        </w:rPr>
        <w:t>:</w:t>
      </w:r>
      <w:r w:rsidRPr="00432A10">
        <w:rPr>
          <w:rFonts w:ascii="Book Antiqua" w:hAnsi="Book Antiqua"/>
        </w:rPr>
        <w:t xml:space="preserve"> The preconditioning of BM-MSCs with macrophage-derived soluble factors</w:t>
      </w:r>
      <w:r w:rsidR="00D6562D" w:rsidRPr="00432A10">
        <w:rPr>
          <w:rFonts w:ascii="Book Antiqua" w:hAnsi="Book Antiqua"/>
        </w:rPr>
        <w:t>,</w:t>
      </w:r>
      <w:r w:rsidRPr="00432A10">
        <w:rPr>
          <w:rFonts w:ascii="Book Antiqua" w:hAnsi="Book Antiqua"/>
        </w:rPr>
        <w:t xml:space="preserve"> either TNF-α or IL-10</w:t>
      </w:r>
      <w:r w:rsidR="00D6562D" w:rsidRPr="00432A10">
        <w:rPr>
          <w:rFonts w:ascii="Book Antiqua" w:hAnsi="Book Antiqua"/>
        </w:rPr>
        <w:t>,</w:t>
      </w:r>
      <w:r w:rsidRPr="00432A10">
        <w:rPr>
          <w:rFonts w:ascii="Book Antiqua" w:hAnsi="Book Antiqua"/>
        </w:rPr>
        <w:t xml:space="preserve"> enhanced their immunomodulatory potential through increased PGE2 secretion</w:t>
      </w:r>
      <w:r w:rsidRPr="00432A10">
        <w:rPr>
          <w:rFonts w:ascii="Book Antiqua" w:hAnsi="Book Antiqua"/>
          <w:noProof/>
          <w:vertAlign w:val="superscript"/>
        </w:rPr>
        <w:t>[60]</w:t>
      </w:r>
      <w:r w:rsidRPr="00432A10">
        <w:rPr>
          <w:rFonts w:ascii="Book Antiqua" w:hAnsi="Book Antiqua"/>
        </w:rPr>
        <w:t>. Cell-to-cell contact with pro-inflammatory macrophages increased</w:t>
      </w:r>
      <w:bookmarkStart w:id="5" w:name="_Hlk51605683"/>
      <w:r w:rsidR="00D6562D" w:rsidRPr="00432A10">
        <w:rPr>
          <w:rFonts w:ascii="Book Antiqua" w:hAnsi="Book Antiqua"/>
        </w:rPr>
        <w:t xml:space="preserve"> </w:t>
      </w:r>
      <w:r w:rsidRPr="00432A10">
        <w:rPr>
          <w:rFonts w:ascii="Book Antiqua" w:hAnsi="Book Antiqua"/>
        </w:rPr>
        <w:t>TSG-6</w:t>
      </w:r>
      <w:bookmarkEnd w:id="5"/>
      <w:r w:rsidRPr="00432A10">
        <w:rPr>
          <w:rFonts w:ascii="Book Antiqua" w:hAnsi="Book Antiqua"/>
          <w:color w:val="FF0000"/>
        </w:rPr>
        <w:t xml:space="preserve"> </w:t>
      </w:r>
      <w:r w:rsidRPr="00432A10">
        <w:rPr>
          <w:rFonts w:ascii="Book Antiqua" w:hAnsi="Book Antiqua"/>
        </w:rPr>
        <w:t>production by MSCs, thereby enhancing the suppressive regulation of T cells and switching macrophages to M2. Both cells are associated with wound healing and tissue repair by reducing immune inflammation and infiltration.</w:t>
      </w:r>
    </w:p>
    <w:p w14:paraId="1A948A4E" w14:textId="3D77D7EF" w:rsidR="007E7842" w:rsidRPr="00432A10" w:rsidRDefault="007E7842" w:rsidP="00432A10">
      <w:pPr>
        <w:spacing w:line="360" w:lineRule="auto"/>
        <w:ind w:firstLineChars="100" w:firstLine="240"/>
        <w:contextualSpacing/>
        <w:jc w:val="both"/>
        <w:rPr>
          <w:rFonts w:ascii="Book Antiqua" w:hAnsi="Book Antiqua"/>
        </w:rPr>
      </w:pPr>
      <w:r w:rsidRPr="00432A10">
        <w:rPr>
          <w:rFonts w:ascii="Book Antiqua" w:hAnsi="Book Antiqua"/>
        </w:rPr>
        <w:t>Moreover, the expression of CD200 was increased on MSCs thus facilitating the reprogramming of macrophages towards an anti-inflammatory skew through the interaction of CD200 with CD200 receptor on pro-inflammatory macrophages</w:t>
      </w:r>
      <w:r w:rsidRPr="00432A10">
        <w:rPr>
          <w:rFonts w:ascii="Book Antiqua" w:hAnsi="Book Antiqua"/>
          <w:noProof/>
          <w:vertAlign w:val="superscript"/>
        </w:rPr>
        <w:t>[61]</w:t>
      </w:r>
      <w:r w:rsidRPr="00432A10">
        <w:rPr>
          <w:rFonts w:ascii="Book Antiqua" w:hAnsi="Book Antiqua"/>
        </w:rPr>
        <w:t>. CD200 is differentially expressed and modulated on MSCs depending on their tissue of origin and culture conditions. A high constitutive expression</w:t>
      </w:r>
      <w:r w:rsidR="00D6562D" w:rsidRPr="00432A10">
        <w:rPr>
          <w:rFonts w:ascii="Book Antiqua" w:hAnsi="Book Antiqua"/>
        </w:rPr>
        <w:t xml:space="preserve"> of CD200</w:t>
      </w:r>
      <w:r w:rsidRPr="00432A10">
        <w:rPr>
          <w:rFonts w:ascii="Book Antiqua" w:hAnsi="Book Antiqua"/>
        </w:rPr>
        <w:t xml:space="preserve"> by Wharton's jelly (WJ)-MSCs may represent a distinctive marker </w:t>
      </w:r>
      <w:r w:rsidR="00D6562D" w:rsidRPr="00432A10">
        <w:rPr>
          <w:rFonts w:ascii="Book Antiqua" w:hAnsi="Book Antiqua"/>
        </w:rPr>
        <w:t xml:space="preserve">of </w:t>
      </w:r>
      <w:r w:rsidRPr="00432A10">
        <w:rPr>
          <w:rFonts w:ascii="Book Antiqua" w:hAnsi="Book Antiqua"/>
        </w:rPr>
        <w:t>MSCs</w:t>
      </w:r>
      <w:r w:rsidRPr="00432A10">
        <w:rPr>
          <w:rFonts w:ascii="Book Antiqua" w:hAnsi="Book Antiqua"/>
          <w:noProof/>
          <w:vertAlign w:val="superscript"/>
        </w:rPr>
        <w:t>[62]</w:t>
      </w:r>
      <w:r w:rsidRPr="00432A10">
        <w:rPr>
          <w:rFonts w:ascii="Book Antiqua" w:hAnsi="Book Antiqua"/>
        </w:rPr>
        <w:t>.</w:t>
      </w:r>
      <w:r w:rsidRPr="00432A10">
        <w:rPr>
          <w:rFonts w:ascii="Book Antiqua" w:hAnsi="Book Antiqua"/>
          <w:shd w:val="clear" w:color="auto" w:fill="FFFFFF"/>
        </w:rPr>
        <w:t xml:space="preserve"> In parallel, GARP is proposed as a novel biomarker and new target to improve the therapeutic efficiency of MSCs. Results showed that GARP is constitutively expressed on mouse BM-MSCs and is required to activate locally produced latent TGF-β1, thus inhibiting the proliferation </w:t>
      </w:r>
      <w:r w:rsidRPr="00432A10">
        <w:rPr>
          <w:rFonts w:ascii="Book Antiqua" w:hAnsi="Book Antiqua"/>
          <w:shd w:val="clear" w:color="auto" w:fill="FFFFFF"/>
        </w:rPr>
        <w:lastRenderedPageBreak/>
        <w:t>of T-cells and inflammatory cytokine production</w:t>
      </w:r>
      <w:r w:rsidRPr="00432A10">
        <w:rPr>
          <w:rFonts w:ascii="Book Antiqua" w:hAnsi="Book Antiqua"/>
          <w:noProof/>
          <w:shd w:val="clear" w:color="auto" w:fill="FFFFFF"/>
          <w:vertAlign w:val="superscript"/>
        </w:rPr>
        <w:t>[63]</w:t>
      </w:r>
      <w:r w:rsidRPr="00432A10">
        <w:rPr>
          <w:rFonts w:ascii="Book Antiqua" w:hAnsi="Book Antiqua"/>
          <w:shd w:val="clear" w:color="auto" w:fill="FFFFFF"/>
        </w:rPr>
        <w:t>. However,</w:t>
      </w:r>
      <w:r w:rsidRPr="00432A10">
        <w:rPr>
          <w:rFonts w:ascii="Book Antiqua" w:hAnsi="Book Antiqua"/>
        </w:rPr>
        <w:t xml:space="preserve"> </w:t>
      </w:r>
      <w:r w:rsidRPr="00432A10">
        <w:rPr>
          <w:rFonts w:ascii="Book Antiqua" w:hAnsi="Book Antiqua"/>
          <w:shd w:val="clear" w:color="auto" w:fill="FFFFFF"/>
        </w:rPr>
        <w:t>the presence or absence of GARP on adipose-derived MSCs (ASCs) was noted to display distinct TGF-β responses with diametrically opposing effects on ASC proliferation and survival</w:t>
      </w:r>
      <w:r w:rsidRPr="00432A10">
        <w:rPr>
          <w:rFonts w:ascii="Book Antiqua" w:hAnsi="Book Antiqua"/>
          <w:noProof/>
          <w:shd w:val="clear" w:color="auto" w:fill="FFFFFF"/>
          <w:vertAlign w:val="superscript"/>
        </w:rPr>
        <w:t>[64]</w:t>
      </w:r>
      <w:r w:rsidRPr="00432A10">
        <w:rPr>
          <w:rFonts w:ascii="Book Antiqua" w:hAnsi="Book Antiqua"/>
          <w:shd w:val="clear" w:color="auto" w:fill="FFFFFF"/>
        </w:rPr>
        <w:t>. Inflammation induces the balance towards a more pronounced tissue regenerative and anti-inflammatory phenotype.</w:t>
      </w:r>
      <w:r w:rsidRPr="00432A10">
        <w:rPr>
          <w:rFonts w:ascii="Book Antiqua" w:hAnsi="Book Antiqua"/>
        </w:rPr>
        <w:t xml:space="preserve"> Indeed, </w:t>
      </w:r>
      <w:r w:rsidRPr="00432A10">
        <w:rPr>
          <w:rFonts w:ascii="Book Antiqua" w:hAnsi="Book Antiqua"/>
          <w:shd w:val="clear" w:color="auto" w:fill="FFFFFF"/>
        </w:rPr>
        <w:t>IFN</w:t>
      </w:r>
      <w:r w:rsidR="00D6562D" w:rsidRPr="00432A10">
        <w:rPr>
          <w:rFonts w:ascii="Book Antiqua" w:hAnsi="Book Antiqua"/>
          <w:shd w:val="clear" w:color="auto" w:fill="FFFFFF"/>
        </w:rPr>
        <w:t>-</w:t>
      </w:r>
      <w:r w:rsidRPr="00432A10">
        <w:rPr>
          <w:rFonts w:ascii="Book Antiqua" w:hAnsi="Book Antiqua"/>
          <w:shd w:val="clear" w:color="auto" w:fill="FFFFFF"/>
        </w:rPr>
        <w:t xml:space="preserve">γ preconditioning of </w:t>
      </w:r>
      <w:r w:rsidR="00D6562D" w:rsidRPr="00432A10">
        <w:rPr>
          <w:rFonts w:ascii="Book Antiqua" w:hAnsi="Book Antiqua"/>
          <w:shd w:val="clear" w:color="auto" w:fill="FFFFFF"/>
        </w:rPr>
        <w:t>ASCs</w:t>
      </w:r>
      <w:r w:rsidRPr="00432A10">
        <w:rPr>
          <w:rFonts w:ascii="Book Antiqua" w:hAnsi="Book Antiqua"/>
          <w:shd w:val="clear" w:color="auto" w:fill="FFFFFF"/>
        </w:rPr>
        <w:t xml:space="preserve"> enhanced their anti-inflammatory potency.</w:t>
      </w:r>
      <w:r w:rsidRPr="00432A10">
        <w:rPr>
          <w:rFonts w:ascii="Book Antiqua" w:hAnsi="Book Antiqua"/>
        </w:rPr>
        <w:t xml:space="preserve"> Within the </w:t>
      </w:r>
      <w:r w:rsidRPr="00432A10">
        <w:rPr>
          <w:rFonts w:ascii="Book Antiqua" w:hAnsi="Book Antiqua"/>
          <w:shd w:val="clear" w:color="auto" w:fill="FFFFFF"/>
        </w:rPr>
        <w:t>secretome, sixty miRNAs accounted for &gt; 95% of the genetic message that resulted to be chondroprotective and M2 macrophage polarizing</w:t>
      </w:r>
      <w:r w:rsidRPr="00432A10">
        <w:rPr>
          <w:rFonts w:ascii="Book Antiqua" w:hAnsi="Book Antiqua"/>
          <w:noProof/>
          <w:shd w:val="clear" w:color="auto" w:fill="FFFFFF"/>
          <w:vertAlign w:val="superscript"/>
        </w:rPr>
        <w:t>[65]</w:t>
      </w:r>
      <w:r w:rsidRPr="00432A10">
        <w:rPr>
          <w:rFonts w:ascii="Book Antiqua" w:hAnsi="Book Antiqua"/>
          <w:shd w:val="clear" w:color="auto" w:fill="FFFFFF"/>
        </w:rPr>
        <w:t>.</w:t>
      </w:r>
    </w:p>
    <w:p w14:paraId="4F8A9459" w14:textId="77777777" w:rsidR="007E7842" w:rsidRPr="00432A10" w:rsidRDefault="007E7842">
      <w:pPr>
        <w:spacing w:line="360" w:lineRule="auto"/>
        <w:contextualSpacing/>
        <w:jc w:val="both"/>
        <w:rPr>
          <w:rFonts w:ascii="Book Antiqua" w:hAnsi="Book Antiqua"/>
          <w:i/>
          <w:iCs/>
          <w:color w:val="FF0000"/>
          <w:shd w:val="clear" w:color="auto" w:fill="FFFFFF"/>
        </w:rPr>
      </w:pPr>
    </w:p>
    <w:p w14:paraId="05EE6BFB" w14:textId="30CF6FD3" w:rsidR="007E7842" w:rsidRPr="00432A10" w:rsidRDefault="007E7842" w:rsidP="00432A10">
      <w:pPr>
        <w:spacing w:line="360" w:lineRule="auto"/>
        <w:contextualSpacing/>
        <w:jc w:val="both"/>
        <w:rPr>
          <w:rFonts w:ascii="Book Antiqua" w:hAnsi="Book Antiqua"/>
          <w:b/>
          <w:bCs/>
          <w:shd w:val="clear" w:color="auto" w:fill="FFFFFF"/>
        </w:rPr>
      </w:pPr>
      <w:r w:rsidRPr="00432A10">
        <w:rPr>
          <w:rFonts w:ascii="Book Antiqua" w:hAnsi="Book Antiqua"/>
          <w:b/>
          <w:bCs/>
          <w:shd w:val="clear" w:color="auto" w:fill="FFFFFF"/>
        </w:rPr>
        <w:t>I</w:t>
      </w:r>
      <w:r w:rsidR="00C07982" w:rsidRPr="00432A10">
        <w:rPr>
          <w:rFonts w:ascii="Book Antiqua" w:hAnsi="Book Antiqua"/>
          <w:b/>
          <w:bCs/>
          <w:shd w:val="clear" w:color="auto" w:fill="FFFFFF"/>
        </w:rPr>
        <w:t>DO</w:t>
      </w:r>
      <w:r w:rsidRPr="00432A10" w:rsidDel="008E1475">
        <w:rPr>
          <w:rFonts w:ascii="Book Antiqua" w:hAnsi="Book Antiqua"/>
          <w:b/>
          <w:bCs/>
          <w:shd w:val="clear" w:color="auto" w:fill="FFFFFF"/>
        </w:rPr>
        <w:t xml:space="preserve"> </w:t>
      </w:r>
      <w:r w:rsidRPr="00432A10">
        <w:rPr>
          <w:rFonts w:ascii="Book Antiqua" w:hAnsi="Book Antiqua"/>
          <w:b/>
          <w:bCs/>
          <w:shd w:val="clear" w:color="auto" w:fill="FFFFFF"/>
        </w:rPr>
        <w:t xml:space="preserve">as </w:t>
      </w:r>
      <w:r w:rsidR="00C07982" w:rsidRPr="00432A10">
        <w:rPr>
          <w:rFonts w:ascii="Book Antiqua" w:hAnsi="Book Antiqua"/>
          <w:b/>
          <w:bCs/>
          <w:shd w:val="clear" w:color="auto" w:fill="FFFFFF"/>
        </w:rPr>
        <w:t xml:space="preserve">the </w:t>
      </w:r>
      <w:r w:rsidRPr="00432A10">
        <w:rPr>
          <w:rFonts w:ascii="Book Antiqua" w:hAnsi="Book Antiqua"/>
          <w:b/>
          <w:bCs/>
          <w:shd w:val="clear" w:color="auto" w:fill="FFFFFF"/>
        </w:rPr>
        <w:t>main regulatory candidate</w:t>
      </w:r>
      <w:r w:rsidR="00D6562D" w:rsidRPr="00432A10">
        <w:rPr>
          <w:rFonts w:ascii="Book Antiqua" w:hAnsi="Book Antiqua"/>
          <w:b/>
          <w:bCs/>
          <w:shd w:val="clear" w:color="auto" w:fill="FFFFFF"/>
        </w:rPr>
        <w:t>:</w:t>
      </w:r>
      <w:r w:rsidR="00D6562D" w:rsidRPr="00432A10">
        <w:rPr>
          <w:rFonts w:ascii="Book Antiqua" w:hAnsi="Book Antiqua"/>
          <w:b/>
          <w:bCs/>
          <w:shd w:val="clear" w:color="auto" w:fill="FFFFFF"/>
          <w:lang w:eastAsia="zh-CN"/>
        </w:rPr>
        <w:t xml:space="preserve"> </w:t>
      </w:r>
      <w:r w:rsidRPr="00432A10">
        <w:rPr>
          <w:rFonts w:ascii="Book Antiqua" w:hAnsi="Book Antiqua"/>
        </w:rPr>
        <w:t>IDO is seemingly the most convincing candidate for a crucial role in T-cell inhibition by MSCs. The induction of IDO, which converts tryptophan to kynurenine, is substantially dependent on the preconditioning of MSCs with IFN-γ. Decreased concentration of tryptophan and increased kynurenine, both interfere with effective immune response</w:t>
      </w:r>
      <w:r w:rsidRPr="00432A10">
        <w:rPr>
          <w:rFonts w:ascii="Book Antiqua" w:hAnsi="Book Antiqua"/>
          <w:noProof/>
          <w:vertAlign w:val="superscript"/>
        </w:rPr>
        <w:t>[66]</w:t>
      </w:r>
      <w:r w:rsidRPr="00432A10">
        <w:rPr>
          <w:rFonts w:ascii="Book Antiqua" w:hAnsi="Book Antiqua"/>
        </w:rPr>
        <w:t>. It was demonstrated that IDO-mediated tryptophan starvation triggered by MSCs inhibited T-cell activation and proliferation through induction of cellular stress</w:t>
      </w:r>
      <w:r w:rsidRPr="00432A10">
        <w:rPr>
          <w:rFonts w:ascii="Book Antiqua" w:hAnsi="Book Antiqua"/>
          <w:noProof/>
          <w:vertAlign w:val="superscript"/>
        </w:rPr>
        <w:t>[67]</w:t>
      </w:r>
      <w:r w:rsidRPr="00432A10">
        <w:rPr>
          <w:rFonts w:ascii="Book Antiqua" w:hAnsi="Book Antiqua"/>
        </w:rPr>
        <w:t>. Both BM-MSCs and dental pulp MSCs were shown to inhibit T-cell activation and proliferation through IDO-mediated tryptophan starvation</w:t>
      </w:r>
      <w:r w:rsidRPr="00432A10">
        <w:rPr>
          <w:rFonts w:ascii="Book Antiqua" w:hAnsi="Book Antiqua"/>
          <w:noProof/>
          <w:vertAlign w:val="superscript"/>
        </w:rPr>
        <w:t>[67]</w:t>
      </w:r>
      <w:r w:rsidRPr="00432A10">
        <w:rPr>
          <w:rFonts w:ascii="Book Antiqua" w:hAnsi="Book Antiqua"/>
        </w:rPr>
        <w:t>. Also, preconditioned-adipose tissue-derived MSCs by INF-γ presented a higher immunosuppressive potential probably due to an elevated expression of IDO and ICAM-1</w:t>
      </w:r>
      <w:r w:rsidRPr="00432A10">
        <w:rPr>
          <w:rFonts w:ascii="Book Antiqua" w:hAnsi="Book Antiqua"/>
          <w:noProof/>
          <w:vertAlign w:val="superscript"/>
        </w:rPr>
        <w:t>[68]</w:t>
      </w:r>
      <w:r w:rsidRPr="00432A10">
        <w:rPr>
          <w:rFonts w:ascii="Book Antiqua" w:hAnsi="Book Antiqua"/>
        </w:rPr>
        <w:t>. An important immunoregulatory link between IDO and TSG-6 expression was observed in human umbilical cord-derived MSCs. Kynurenic, a metabolite of IDO, controls the TSG-6-mediated anti-inflammatory therapeutic effects of MSCs</w:t>
      </w:r>
      <w:r w:rsidRPr="00432A10">
        <w:rPr>
          <w:rFonts w:ascii="Book Antiqua" w:hAnsi="Book Antiqua"/>
          <w:noProof/>
          <w:vertAlign w:val="superscript"/>
        </w:rPr>
        <w:t>[69]</w:t>
      </w:r>
      <w:r w:rsidRPr="00432A10">
        <w:rPr>
          <w:rFonts w:ascii="Book Antiqua" w:hAnsi="Book Antiqua"/>
        </w:rPr>
        <w:t>. In agreement with these observations, we recently demonstrated that pro-inflammatory cytokines</w:t>
      </w:r>
      <w:r w:rsidR="00012530" w:rsidRPr="00432A10">
        <w:rPr>
          <w:rFonts w:ascii="Book Antiqua" w:hAnsi="Book Antiqua"/>
        </w:rPr>
        <w:t>-</w:t>
      </w:r>
      <w:r w:rsidRPr="00432A10">
        <w:rPr>
          <w:rFonts w:ascii="Book Antiqua" w:hAnsi="Book Antiqua"/>
        </w:rPr>
        <w:t>stimulated skin-derived precursors (SKP) were able to suppress the graft-</w:t>
      </w:r>
      <w:r w:rsidRPr="00432A10">
        <w:rPr>
          <w:rFonts w:ascii="Book Antiqua" w:hAnsi="Book Antiqua"/>
          <w:i/>
          <w:iCs/>
        </w:rPr>
        <w:t>versus</w:t>
      </w:r>
      <w:r w:rsidRPr="00432A10">
        <w:rPr>
          <w:rFonts w:ascii="Book Antiqua" w:hAnsi="Book Antiqua"/>
        </w:rPr>
        <w:t xml:space="preserve">-host response when co-transplanted with human </w:t>
      </w:r>
      <w:r w:rsidR="00842B5E" w:rsidRPr="00432A10">
        <w:rPr>
          <w:rFonts w:ascii="Book Antiqua" w:hAnsi="Book Antiqua"/>
        </w:rPr>
        <w:t>peripheral blood mononuclear cells</w:t>
      </w:r>
      <w:r w:rsidRPr="00432A10">
        <w:rPr>
          <w:rFonts w:ascii="Book Antiqua" w:hAnsi="Book Antiqua"/>
        </w:rPr>
        <w:t xml:space="preserve"> in severe-combined immune deficient mice</w:t>
      </w:r>
      <w:r w:rsidRPr="00432A10">
        <w:rPr>
          <w:rFonts w:ascii="Book Antiqua" w:hAnsi="Book Antiqua"/>
          <w:noProof/>
          <w:vertAlign w:val="superscript"/>
        </w:rPr>
        <w:t>[70]</w:t>
      </w:r>
      <w:r w:rsidRPr="00432A10">
        <w:rPr>
          <w:rFonts w:ascii="Book Antiqua" w:hAnsi="Book Antiqua"/>
        </w:rPr>
        <w:t xml:space="preserve">. Significant changes in the expression and secretion profile of chemo/cytokines and growth factors involved in the immunomodulatory effects of SKP were also reported. Of importance, IFN-γ-preconditioned MSCs were shown to take up and </w:t>
      </w:r>
      <w:r w:rsidRPr="00432A10">
        <w:rPr>
          <w:rFonts w:ascii="Book Antiqua" w:hAnsi="Book Antiqua"/>
        </w:rPr>
        <w:lastRenderedPageBreak/>
        <w:t>process antigens as well as upregulate HLA class II expression, thus granting the conditions necessary to transform BM-MSCs into unconventional antigen-presenting cells. These MSCs maintained their ability to inhibit lymphocyte proliferation in an antigen-specific manner, without overtly increasing the immunogenicity of allogeneic MSCs</w:t>
      </w:r>
      <w:r w:rsidRPr="00432A10">
        <w:rPr>
          <w:rFonts w:ascii="Book Antiqua" w:hAnsi="Book Antiqua"/>
          <w:noProof/>
          <w:vertAlign w:val="superscript"/>
        </w:rPr>
        <w:t>[71]</w:t>
      </w:r>
      <w:r w:rsidRPr="00432A10">
        <w:rPr>
          <w:rFonts w:ascii="Book Antiqua" w:hAnsi="Book Antiqua"/>
        </w:rPr>
        <w:t>. These encouraging findings pave the way to use activated HLA-haplotype matched allogeneic MSCs as a cellular immune intervention therapy by combining their immunomodulatory properties with their antigen-presenting features.</w:t>
      </w:r>
    </w:p>
    <w:p w14:paraId="7F9C679C" w14:textId="77777777" w:rsidR="00E01E0F" w:rsidRPr="00432A10" w:rsidRDefault="00E01E0F">
      <w:pPr>
        <w:spacing w:line="360" w:lineRule="auto"/>
        <w:contextualSpacing/>
        <w:jc w:val="both"/>
        <w:rPr>
          <w:rFonts w:ascii="Book Antiqua" w:hAnsi="Book Antiqua"/>
          <w:color w:val="000000" w:themeColor="text1"/>
          <w:lang w:val="fr-CA"/>
        </w:rPr>
      </w:pPr>
    </w:p>
    <w:bookmarkEnd w:id="3"/>
    <w:p w14:paraId="2E3FC6C8" w14:textId="77777777" w:rsidR="00E01E0F" w:rsidRPr="00432A10" w:rsidRDefault="00E01E0F">
      <w:pPr>
        <w:spacing w:line="360" w:lineRule="auto"/>
        <w:contextualSpacing/>
        <w:jc w:val="both"/>
        <w:rPr>
          <w:rFonts w:ascii="Book Antiqua" w:hAnsi="Book Antiqua"/>
          <w:b/>
          <w:bCs/>
          <w:i/>
          <w:iCs/>
          <w:color w:val="000000" w:themeColor="text1"/>
        </w:rPr>
      </w:pPr>
      <w:r w:rsidRPr="00432A10">
        <w:rPr>
          <w:rFonts w:ascii="Book Antiqua" w:hAnsi="Book Antiqua"/>
          <w:b/>
          <w:bCs/>
          <w:i/>
          <w:iCs/>
          <w:color w:val="000000" w:themeColor="text1"/>
        </w:rPr>
        <w:t>Infectious triggering</w:t>
      </w:r>
    </w:p>
    <w:p w14:paraId="0F34E7B2" w14:textId="18502B04" w:rsidR="007E7842" w:rsidRPr="00432A10" w:rsidRDefault="007E7842" w:rsidP="00432A10">
      <w:pPr>
        <w:spacing w:line="360" w:lineRule="auto"/>
        <w:contextualSpacing/>
        <w:jc w:val="both"/>
        <w:rPr>
          <w:rFonts w:ascii="Book Antiqua" w:hAnsi="Book Antiqua"/>
          <w:b/>
          <w:bCs/>
        </w:rPr>
      </w:pPr>
      <w:r w:rsidRPr="00432A10">
        <w:rPr>
          <w:rFonts w:ascii="Book Antiqua" w:hAnsi="Book Antiqua"/>
          <w:b/>
          <w:bCs/>
        </w:rPr>
        <w:t>Toll-like receptors as active sentinels</w:t>
      </w:r>
      <w:r w:rsidR="00012530" w:rsidRPr="00432A10">
        <w:rPr>
          <w:rFonts w:ascii="Book Antiqua" w:hAnsi="Book Antiqua"/>
          <w:b/>
          <w:bCs/>
        </w:rPr>
        <w:t>:</w:t>
      </w:r>
      <w:r w:rsidRPr="00432A10">
        <w:rPr>
          <w:rFonts w:ascii="Book Antiqua" w:hAnsi="Book Antiqua"/>
          <w:b/>
          <w:bCs/>
        </w:rPr>
        <w:t xml:space="preserve"> </w:t>
      </w:r>
      <w:r w:rsidRPr="00432A10">
        <w:rPr>
          <w:rFonts w:ascii="Book Antiqua" w:hAnsi="Book Antiqua"/>
        </w:rPr>
        <w:t>Infection of the wound triggers the body's immune response, causing inflammation and tissue damage, as well as slowing the healing process. In parallel to innate cells, there are other cells spread within the tissue that may be involved in pathogen detection. These may express sensors and transducers that can actively monitor invasion by viruses and bacteria</w:t>
      </w:r>
      <w:r w:rsidRPr="00432A10">
        <w:rPr>
          <w:rFonts w:ascii="Book Antiqua" w:hAnsi="Book Antiqua"/>
          <w:noProof/>
          <w:vertAlign w:val="superscript"/>
        </w:rPr>
        <w:t>[72]</w:t>
      </w:r>
      <w:r w:rsidRPr="00432A10">
        <w:rPr>
          <w:rFonts w:ascii="Book Antiqua" w:hAnsi="Book Antiqua"/>
        </w:rPr>
        <w:t xml:space="preserve">. The presence of microorganisms could be detected by germline-encoded pattern recognition receptors (PRRs) such as </w:t>
      </w:r>
      <w:r w:rsidRPr="00432A10">
        <w:rPr>
          <w:rFonts w:ascii="Book Antiqua" w:hAnsi="Book Antiqua"/>
          <w:shd w:val="clear" w:color="auto" w:fill="FFFFFF"/>
        </w:rPr>
        <w:t>toll-like receptors (TLRs)</w:t>
      </w:r>
      <w:r w:rsidRPr="00432A10">
        <w:rPr>
          <w:rFonts w:ascii="Book Antiqua" w:hAnsi="Book Antiqua"/>
        </w:rPr>
        <w:t>. These receptors are responsible for the sensing of structures conserved among microbial species called pathogen-associated molecular patterns. After this recognition, these PRRs may activate different signaling pathways resulting in the secretion of different cytokines and chemokines involved in the immune response against the present infection</w:t>
      </w:r>
      <w:r w:rsidRPr="00432A10">
        <w:rPr>
          <w:rFonts w:ascii="Book Antiqua" w:hAnsi="Book Antiqua"/>
          <w:noProof/>
          <w:vertAlign w:val="superscript"/>
        </w:rPr>
        <w:t>[73]</w:t>
      </w:r>
      <w:r w:rsidRPr="00432A10">
        <w:rPr>
          <w:rFonts w:ascii="Book Antiqua" w:hAnsi="Book Antiqua"/>
        </w:rPr>
        <w:t xml:space="preserve">. PRR ligation may also trigger the activation of phagocytic cells and the phagocytosis of damaged cells. </w:t>
      </w:r>
      <w:r w:rsidRPr="00432A10">
        <w:rPr>
          <w:rFonts w:ascii="Book Antiqua" w:hAnsi="Book Antiqua"/>
          <w:shd w:val="clear" w:color="auto" w:fill="FFFFFF"/>
        </w:rPr>
        <w:t>TLRs represent one of the bridges that regulate the crosstalk between the innate and adaptive immune systems. TLRs interact with molecules shared and preserved by the pathogens of origin but also with endogenous molecules (damage/danger-associated molecular patterns) that derive from injured tissues</w:t>
      </w:r>
      <w:r w:rsidRPr="00432A10">
        <w:rPr>
          <w:rFonts w:ascii="Book Antiqua" w:hAnsi="Book Antiqua"/>
          <w:noProof/>
          <w:shd w:val="clear" w:color="auto" w:fill="FFFFFF"/>
          <w:vertAlign w:val="superscript"/>
        </w:rPr>
        <w:t>[74]</w:t>
      </w:r>
      <w:r w:rsidRPr="00432A10">
        <w:rPr>
          <w:rFonts w:ascii="Book Antiqua" w:hAnsi="Book Antiqua"/>
          <w:shd w:val="clear" w:color="auto" w:fill="FFFFFF"/>
        </w:rPr>
        <w:t xml:space="preserve">. </w:t>
      </w:r>
      <w:r w:rsidRPr="00432A10">
        <w:rPr>
          <w:rFonts w:ascii="Book Antiqua" w:hAnsi="Book Antiqua"/>
        </w:rPr>
        <w:t>By being in the surrounding area, MSCs will act as sensors of various signals and accordingly regulate the tissue repair process</w:t>
      </w:r>
      <w:r w:rsidRPr="00432A10">
        <w:rPr>
          <w:rFonts w:ascii="Book Antiqua" w:hAnsi="Book Antiqua"/>
          <w:noProof/>
          <w:vertAlign w:val="superscript"/>
        </w:rPr>
        <w:t>[75]</w:t>
      </w:r>
      <w:r w:rsidRPr="00432A10">
        <w:rPr>
          <w:rFonts w:ascii="Book Antiqua" w:hAnsi="Book Antiqua"/>
        </w:rPr>
        <w:t xml:space="preserve">. We have extensively described how infections such as obtained following TLR-agonist engagement may modulate MSCs at different levels. The phenotype, multilineage potential, hematopoietic support and immunomodulatory capacity of MSCs may thus </w:t>
      </w:r>
      <w:r w:rsidRPr="00432A10">
        <w:rPr>
          <w:rFonts w:ascii="Book Antiqua" w:hAnsi="Book Antiqua"/>
        </w:rPr>
        <w:lastRenderedPageBreak/>
        <w:t>present relevant changes, which could further affect their therapeutic potential</w:t>
      </w:r>
      <w:r w:rsidRPr="00432A10">
        <w:rPr>
          <w:rFonts w:ascii="Book Antiqua" w:hAnsi="Book Antiqua"/>
          <w:noProof/>
          <w:vertAlign w:val="superscript"/>
        </w:rPr>
        <w:t>[76]</w:t>
      </w:r>
      <w:r w:rsidRPr="00432A10">
        <w:rPr>
          <w:rFonts w:ascii="Book Antiqua" w:hAnsi="Book Antiqua"/>
        </w:rPr>
        <w:t xml:space="preserve">. Moreover, </w:t>
      </w:r>
      <w:bookmarkStart w:id="6" w:name="_Hlk51620223"/>
      <w:r w:rsidRPr="00432A10">
        <w:rPr>
          <w:rFonts w:ascii="Book Antiqua" w:hAnsi="Book Antiqua"/>
        </w:rPr>
        <w:t>several environmental conditions modulate the pattern and function of TLRs expressed by MSCs</w:t>
      </w:r>
      <w:bookmarkEnd w:id="6"/>
      <w:r w:rsidRPr="00432A10">
        <w:rPr>
          <w:rFonts w:ascii="Book Antiqua" w:hAnsi="Book Antiqua"/>
        </w:rPr>
        <w:t xml:space="preserve"> (Figure 5).</w:t>
      </w:r>
    </w:p>
    <w:p w14:paraId="7BA956AD" w14:textId="77777777" w:rsidR="007E7842" w:rsidRPr="00432A10" w:rsidRDefault="007E7842">
      <w:pPr>
        <w:spacing w:line="360" w:lineRule="auto"/>
        <w:contextualSpacing/>
        <w:jc w:val="both"/>
        <w:rPr>
          <w:rFonts w:ascii="Book Antiqua" w:hAnsi="Book Antiqua"/>
        </w:rPr>
      </w:pPr>
    </w:p>
    <w:p w14:paraId="01DA7FCE" w14:textId="71049636" w:rsidR="00E97DD4" w:rsidRPr="00432A10" w:rsidRDefault="007E7842" w:rsidP="00432A10">
      <w:pPr>
        <w:spacing w:line="360" w:lineRule="auto"/>
        <w:contextualSpacing/>
        <w:jc w:val="both"/>
        <w:rPr>
          <w:rFonts w:ascii="Book Antiqua" w:hAnsi="Book Antiqua"/>
          <w:b/>
          <w:bCs/>
        </w:rPr>
      </w:pPr>
      <w:r w:rsidRPr="00432A10">
        <w:rPr>
          <w:rFonts w:ascii="Book Antiqua" w:hAnsi="Book Antiqua"/>
          <w:b/>
          <w:bCs/>
        </w:rPr>
        <w:t xml:space="preserve">Specific effects of </w:t>
      </w:r>
      <w:r w:rsidR="00C52C2A" w:rsidRPr="00432A10">
        <w:rPr>
          <w:rFonts w:ascii="Book Antiqua" w:hAnsi="Book Antiqua"/>
          <w:b/>
          <w:bCs/>
        </w:rPr>
        <w:t>TLRs:</w:t>
      </w:r>
      <w:r w:rsidR="00C52C2A" w:rsidRPr="00432A10">
        <w:rPr>
          <w:rFonts w:ascii="Book Antiqua" w:hAnsi="Book Antiqua"/>
          <w:b/>
          <w:bCs/>
          <w:lang w:eastAsia="zh-CN"/>
        </w:rPr>
        <w:t xml:space="preserve"> </w:t>
      </w:r>
      <w:r w:rsidRPr="00432A10">
        <w:rPr>
          <w:rFonts w:ascii="Book Antiqua" w:hAnsi="Book Antiqua"/>
        </w:rPr>
        <w:t>TLR activation may affect MSCs immunomodulatory functions by modulating their cytokine profile. Indeed, a decrease in the immunosuppressive capabilities of BM-MSCs is observed following TLR3 and TLR4 activation by poly(I:C) and lipopolysaccharides (LPS), respectively. Moreover, TLR3 activation augmented IL-6, IL-12p35, IL-23p19, and IL-27p28 transcription, whereas TLR4 activation increased IL-23p19 and IL-27p28 transcription</w:t>
      </w:r>
      <w:r w:rsidRPr="00432A10">
        <w:rPr>
          <w:rFonts w:ascii="Book Antiqua" w:hAnsi="Book Antiqua"/>
          <w:noProof/>
          <w:vertAlign w:val="superscript"/>
        </w:rPr>
        <w:t>[77]</w:t>
      </w:r>
      <w:r w:rsidRPr="00432A10">
        <w:rPr>
          <w:rFonts w:ascii="Book Antiqua" w:hAnsi="Book Antiqua"/>
        </w:rPr>
        <w:t xml:space="preserve">. In a comparative study, TLR3 </w:t>
      </w:r>
      <w:r w:rsidR="00E444E7" w:rsidRPr="00432A10">
        <w:rPr>
          <w:rFonts w:ascii="Book Antiqua" w:hAnsi="Book Antiqua"/>
        </w:rPr>
        <w:t>[</w:t>
      </w:r>
      <w:r w:rsidRPr="00432A10">
        <w:rPr>
          <w:rFonts w:ascii="Book Antiqua" w:hAnsi="Book Antiqua"/>
        </w:rPr>
        <w:t>poly</w:t>
      </w:r>
      <w:r w:rsidR="00E444E7" w:rsidRPr="00432A10">
        <w:rPr>
          <w:rFonts w:ascii="Book Antiqua" w:hAnsi="Book Antiqua"/>
        </w:rPr>
        <w:t>(</w:t>
      </w:r>
      <w:r w:rsidRPr="00432A10">
        <w:rPr>
          <w:rFonts w:ascii="Book Antiqua" w:hAnsi="Book Antiqua"/>
        </w:rPr>
        <w:t>I:C)</w:t>
      </w:r>
      <w:r w:rsidR="00E444E7" w:rsidRPr="00432A10">
        <w:rPr>
          <w:rFonts w:ascii="Book Antiqua" w:hAnsi="Book Antiqua"/>
        </w:rPr>
        <w:t>]</w:t>
      </w:r>
      <w:r w:rsidRPr="00432A10">
        <w:rPr>
          <w:rFonts w:ascii="Book Antiqua" w:hAnsi="Book Antiqua"/>
        </w:rPr>
        <w:t xml:space="preserve"> and TLR4 (LPS) ligation have differentially affected the suppressive functions of BM-, WJ- and adipose tissue (AT)-MSCs</w:t>
      </w:r>
      <w:r w:rsidR="00AB7CA9" w:rsidRPr="00703F5C">
        <w:rPr>
          <w:rFonts w:ascii="Book Antiqua" w:hAnsi="Book Antiqua"/>
          <w:vertAlign w:val="superscript"/>
        </w:rPr>
        <w:t>[54]</w:t>
      </w:r>
      <w:r w:rsidRPr="00432A10">
        <w:rPr>
          <w:rFonts w:ascii="Book Antiqua" w:hAnsi="Book Antiqua"/>
        </w:rPr>
        <w:t>. Remarkably, the immunosuppressive potential of WJ- and AT-MSC was not affected while BM-MSC showed reduced ability to inhibit lymphocyte activation. Differences in the levels of HGF and PGE2 secreted by MSCs following TLR activation have been hypothesized to underline these changes</w:t>
      </w:r>
      <w:r w:rsidRPr="00432A10">
        <w:rPr>
          <w:rFonts w:ascii="Book Antiqua" w:hAnsi="Book Antiqua"/>
          <w:noProof/>
          <w:vertAlign w:val="superscript"/>
        </w:rPr>
        <w:t>[78]</w:t>
      </w:r>
      <w:r w:rsidRPr="00432A10">
        <w:rPr>
          <w:rFonts w:ascii="Book Antiqua" w:hAnsi="Book Antiqua"/>
        </w:rPr>
        <w:t>. Similarly, the expression profile and function of TLR3 and TLR4 in human olfactory ecto</w:t>
      </w:r>
      <w:r w:rsidR="00C55037" w:rsidRPr="00432A10">
        <w:rPr>
          <w:rFonts w:ascii="Book Antiqua" w:hAnsi="Book Antiqua"/>
        </w:rPr>
        <w:t xml:space="preserve"> (OE)</w:t>
      </w:r>
      <w:r w:rsidRPr="00432A10">
        <w:rPr>
          <w:rFonts w:ascii="Book Antiqua" w:hAnsi="Book Antiqua"/>
        </w:rPr>
        <w:t>- and AT-MSCs were reported to be</w:t>
      </w:r>
      <w:r w:rsidRPr="00432A10">
        <w:rPr>
          <w:rFonts w:ascii="Book Antiqua" w:hAnsi="Book Antiqua"/>
          <w:shd w:val="clear" w:color="auto" w:fill="FFFFFF"/>
        </w:rPr>
        <w:t xml:space="preserve"> </w:t>
      </w:r>
      <w:r w:rsidRPr="00432A10">
        <w:rPr>
          <w:rFonts w:ascii="Book Antiqua" w:hAnsi="Book Antiqua"/>
        </w:rPr>
        <w:t>different</w:t>
      </w:r>
      <w:r w:rsidRPr="00432A10">
        <w:rPr>
          <w:rFonts w:ascii="Book Antiqua" w:hAnsi="Book Antiqua"/>
          <w:noProof/>
          <w:vertAlign w:val="superscript"/>
        </w:rPr>
        <w:t>[79]</w:t>
      </w:r>
      <w:r w:rsidRPr="00432A10">
        <w:rPr>
          <w:rFonts w:ascii="Book Antiqua" w:hAnsi="Book Antiqua"/>
        </w:rPr>
        <w:t>. Both cell types differentially responded to their agonist engagement by presenting distinct cytokine and chemokine profiles. OE-MSCs exhibited significantly higher levels of chemokine CCL5, IL-8, and TGF-β production, in comparison with AT-MSCs. IL-6 secretion by AT-MSCs was considerably more elevated than that by OE-MSCs. These changes may explain why OE-MSCs exhibited a high proliferative potential and AT-MSCs a more immunomodulatory function. In parallel, injection of LPS</w:t>
      </w:r>
      <w:r w:rsidRPr="00432A10">
        <w:rPr>
          <w:rFonts w:ascii="Cambria Math" w:hAnsi="Cambria Math" w:cs="Cambria Math" w:hint="eastAsia"/>
        </w:rPr>
        <w:t>‐</w:t>
      </w:r>
      <w:r w:rsidRPr="00432A10">
        <w:rPr>
          <w:rFonts w:ascii="Book Antiqua" w:hAnsi="Book Antiqua"/>
        </w:rPr>
        <w:t>preconditioned MSCs into wounds resulted in a significant acceleration of wound closure. Sensing an infected microenvironment and subsequently activating several innate immune cells by adipose MSCs is linked to TLR4 expression which are triggered by LPS</w:t>
      </w:r>
      <w:r w:rsidRPr="00432A10">
        <w:rPr>
          <w:rFonts w:ascii="Book Antiqua" w:hAnsi="Book Antiqua"/>
          <w:noProof/>
          <w:vertAlign w:val="superscript"/>
        </w:rPr>
        <w:t>[80]</w:t>
      </w:r>
      <w:r w:rsidRPr="00432A10">
        <w:rPr>
          <w:rFonts w:ascii="Book Antiqua" w:hAnsi="Book Antiqua"/>
          <w:shd w:val="clear" w:color="auto" w:fill="FFFFFF"/>
        </w:rPr>
        <w:t>.</w:t>
      </w:r>
      <w:r w:rsidRPr="00432A10">
        <w:rPr>
          <w:rFonts w:ascii="Book Antiqua" w:hAnsi="Book Antiqua"/>
        </w:rPr>
        <w:t xml:space="preserve"> Preconditioned MSCs with LPS not only trigger innate immune cells by recruiting and activating neutrophils and macrophages, but also initiate a cascade of cellular events which contribute to accelerated repair of skin injury. </w:t>
      </w:r>
      <w:r w:rsidRPr="00432A10">
        <w:rPr>
          <w:rFonts w:ascii="Book Antiqua" w:hAnsi="Book Antiqua"/>
          <w:shd w:val="clear" w:color="auto" w:fill="FFFFFF"/>
        </w:rPr>
        <w:t xml:space="preserve">A network of genes </w:t>
      </w:r>
      <w:r w:rsidRPr="00432A10">
        <w:rPr>
          <w:rFonts w:ascii="Book Antiqua" w:hAnsi="Book Antiqua"/>
          <w:shd w:val="clear" w:color="auto" w:fill="FFFFFF"/>
        </w:rPr>
        <w:lastRenderedPageBreak/>
        <w:t xml:space="preserve">mediating the adaptive immune response including chemokine CXCL6 </w:t>
      </w:r>
      <w:r w:rsidR="00A7407F" w:rsidRPr="00432A10">
        <w:rPr>
          <w:rFonts w:ascii="Book Antiqua" w:hAnsi="Book Antiqua"/>
          <w:shd w:val="clear" w:color="auto" w:fill="FFFFFF"/>
        </w:rPr>
        <w:t>[</w:t>
      </w:r>
      <w:r w:rsidRPr="00432A10">
        <w:rPr>
          <w:rFonts w:ascii="Book Antiqua" w:hAnsi="Book Antiqua"/>
          <w:shd w:val="clear" w:color="auto" w:fill="FFFFFF"/>
        </w:rPr>
        <w:t>also known as granulocyte chemotactic protein 2 (GCP-2)</w:t>
      </w:r>
      <w:r w:rsidR="00A7407F" w:rsidRPr="00432A10">
        <w:rPr>
          <w:rFonts w:ascii="Book Antiqua" w:hAnsi="Book Antiqua"/>
          <w:shd w:val="clear" w:color="auto" w:fill="FFFFFF"/>
        </w:rPr>
        <w:t>]</w:t>
      </w:r>
      <w:r w:rsidRPr="00432A10">
        <w:rPr>
          <w:rFonts w:ascii="Book Antiqua" w:hAnsi="Book Antiqua"/>
          <w:shd w:val="clear" w:color="auto" w:fill="FFFFFF"/>
        </w:rPr>
        <w:t>, IL</w:t>
      </w:r>
      <w:r w:rsidRPr="00432A10">
        <w:rPr>
          <w:rFonts w:ascii="Cambria Math" w:hAnsi="Cambria Math" w:cs="Cambria Math" w:hint="eastAsia"/>
          <w:shd w:val="clear" w:color="auto" w:fill="FFFFFF"/>
        </w:rPr>
        <w:t>‐</w:t>
      </w:r>
      <w:r w:rsidRPr="00432A10">
        <w:rPr>
          <w:rFonts w:ascii="Book Antiqua" w:hAnsi="Book Antiqua"/>
          <w:shd w:val="clear" w:color="auto" w:fill="FFFFFF"/>
        </w:rPr>
        <w:t>8, and IL</w:t>
      </w:r>
      <w:r w:rsidRPr="00432A10">
        <w:rPr>
          <w:rFonts w:ascii="Cambria Math" w:hAnsi="Cambria Math" w:cs="Cambria Math" w:hint="eastAsia"/>
          <w:shd w:val="clear" w:color="auto" w:fill="FFFFFF"/>
        </w:rPr>
        <w:t>‐</w:t>
      </w:r>
      <w:r w:rsidRPr="00432A10">
        <w:rPr>
          <w:rFonts w:ascii="Book Antiqua" w:hAnsi="Book Antiqua"/>
          <w:shd w:val="clear" w:color="auto" w:fill="FFFFFF"/>
        </w:rPr>
        <w:t>1</w:t>
      </w:r>
      <w:r w:rsidRPr="00432A10">
        <w:rPr>
          <w:rFonts w:ascii="Book Antiqua" w:hAnsi="Book Antiqua" w:cs="Book Antiqua"/>
          <w:shd w:val="clear" w:color="auto" w:fill="FFFFFF"/>
        </w:rPr>
        <w:t>β</w:t>
      </w:r>
      <w:r w:rsidRPr="00432A10">
        <w:rPr>
          <w:rFonts w:ascii="Book Antiqua" w:hAnsi="Book Antiqua"/>
          <w:shd w:val="clear" w:color="auto" w:fill="FFFFFF"/>
        </w:rPr>
        <w:t xml:space="preserve"> w</w:t>
      </w:r>
      <w:r w:rsidR="00963F70" w:rsidRPr="00432A10">
        <w:rPr>
          <w:rFonts w:ascii="Book Antiqua" w:hAnsi="Book Antiqua"/>
          <w:shd w:val="clear" w:color="auto" w:fill="FFFFFF"/>
        </w:rPr>
        <w:t>as</w:t>
      </w:r>
      <w:r w:rsidRPr="00432A10">
        <w:rPr>
          <w:rFonts w:ascii="Book Antiqua" w:hAnsi="Book Antiqua"/>
          <w:shd w:val="clear" w:color="auto" w:fill="FFFFFF"/>
        </w:rPr>
        <w:t xml:space="preserve"> upregulated through the TLR4 pathway and may be responsible for the acceleration of wound healing.</w:t>
      </w:r>
      <w:r w:rsidRPr="00432A10">
        <w:rPr>
          <w:rFonts w:ascii="Book Antiqua" w:hAnsi="Book Antiqua"/>
        </w:rPr>
        <w:t xml:space="preserve"> Of note, MSCs isolated from the mouse's abdominal adipose tissues presented a secretome with a dipeptidyl peptidase-IV (DPP-IV)/CD26 and aminopeptidase N/CD13 activity that was decreased following stimulation of MSCs by TLR4</w:t>
      </w:r>
      <w:r w:rsidR="00963F70" w:rsidRPr="00432A10">
        <w:rPr>
          <w:rFonts w:ascii="Book Antiqua" w:hAnsi="Book Antiqua"/>
        </w:rPr>
        <w:t xml:space="preserve"> </w:t>
      </w:r>
      <w:r w:rsidRPr="00432A10">
        <w:rPr>
          <w:rFonts w:ascii="Book Antiqua" w:hAnsi="Book Antiqua"/>
        </w:rPr>
        <w:t>agonist. The DPP-IV/CD26 are ubiquitous ectoenzymes, which can digest various substrates including some chemokines and neuropeptides that are involved in inflammatory conditions</w:t>
      </w:r>
      <w:r w:rsidRPr="00432A10">
        <w:rPr>
          <w:rFonts w:ascii="Book Antiqua" w:hAnsi="Book Antiqua"/>
          <w:noProof/>
          <w:vertAlign w:val="superscript"/>
        </w:rPr>
        <w:t>[81]</w:t>
      </w:r>
      <w:r w:rsidRPr="00432A10">
        <w:rPr>
          <w:rFonts w:ascii="Book Antiqua" w:hAnsi="Book Antiqua"/>
        </w:rPr>
        <w:t>.</w:t>
      </w:r>
    </w:p>
    <w:p w14:paraId="0228D517" w14:textId="77777777" w:rsidR="006D11BF" w:rsidRPr="00432A10" w:rsidRDefault="007E7842" w:rsidP="00432A10">
      <w:pPr>
        <w:spacing w:line="360" w:lineRule="auto"/>
        <w:ind w:firstLineChars="100" w:firstLine="240"/>
        <w:contextualSpacing/>
        <w:jc w:val="both"/>
        <w:rPr>
          <w:rFonts w:ascii="Book Antiqua" w:hAnsi="Book Antiqua"/>
          <w:b/>
          <w:bCs/>
        </w:rPr>
      </w:pPr>
      <w:r w:rsidRPr="00432A10">
        <w:rPr>
          <w:rFonts w:ascii="Book Antiqua" w:hAnsi="Book Antiqua"/>
        </w:rPr>
        <w:t>Paradoxically, another study showed that TLR3 is predominantly upregulated in UCB-MSC and its activation leads to their senescence. Additionally, Janus kinase 1 (JAK1) was identified as a key regulatory factor linked to the cellular senescence triggered by TLR3 activation in MSCs. JAK1 activation mediates the IFN-β increased-TLR3 expression, thereby reinforcing TLR3-mediated MSC senescence</w:t>
      </w:r>
      <w:r w:rsidRPr="00432A10">
        <w:rPr>
          <w:rFonts w:ascii="Book Antiqua" w:hAnsi="Book Antiqua"/>
          <w:noProof/>
          <w:vertAlign w:val="superscript"/>
        </w:rPr>
        <w:t>[59]</w:t>
      </w:r>
      <w:r w:rsidRPr="00432A10">
        <w:rPr>
          <w:rFonts w:ascii="Book Antiqua" w:hAnsi="Book Antiqua"/>
        </w:rPr>
        <w:t xml:space="preserve">. In a separate study, TLR ligation was reported to differentially affect the </w:t>
      </w:r>
      <w:r w:rsidRPr="00432A10">
        <w:rPr>
          <w:rFonts w:ascii="Book Antiqua" w:hAnsi="Book Antiqua"/>
          <w:i/>
          <w:iCs/>
        </w:rPr>
        <w:t>in vitro</w:t>
      </w:r>
      <w:r w:rsidRPr="00432A10">
        <w:rPr>
          <w:rFonts w:ascii="Book Antiqua" w:hAnsi="Book Antiqua"/>
        </w:rPr>
        <w:t xml:space="preserve"> osteogenic potential of MSCs depending on their tissue origin. Indeed, TLR3 </w:t>
      </w:r>
      <w:r w:rsidR="009372DE" w:rsidRPr="00432A10">
        <w:rPr>
          <w:rFonts w:ascii="Book Antiqua" w:hAnsi="Book Antiqua"/>
        </w:rPr>
        <w:t>[</w:t>
      </w:r>
      <w:r w:rsidRPr="00432A10">
        <w:rPr>
          <w:rFonts w:ascii="Book Antiqua" w:hAnsi="Book Antiqua"/>
        </w:rPr>
        <w:t>Poly(I:C)</w:t>
      </w:r>
      <w:r w:rsidR="009372DE" w:rsidRPr="00432A10">
        <w:rPr>
          <w:rFonts w:ascii="Book Antiqua" w:hAnsi="Book Antiqua"/>
        </w:rPr>
        <w:t>]</w:t>
      </w:r>
      <w:r w:rsidRPr="00432A10">
        <w:rPr>
          <w:rFonts w:ascii="Book Antiqua" w:hAnsi="Book Antiqua"/>
        </w:rPr>
        <w:t xml:space="preserve"> or TLR4 (LPS) triggering increased the osteogenesis in AT-MSCs and, to </w:t>
      </w:r>
      <w:r w:rsidR="005D2400" w:rsidRPr="00432A10">
        <w:rPr>
          <w:rFonts w:ascii="Book Antiqua" w:hAnsi="Book Antiqua"/>
        </w:rPr>
        <w:t xml:space="preserve">a </w:t>
      </w:r>
      <w:r w:rsidRPr="00432A10">
        <w:rPr>
          <w:rFonts w:ascii="Book Antiqua" w:hAnsi="Book Antiqua"/>
        </w:rPr>
        <w:t>lesser extent, in BM-MSCs. However, WJ-MSCs constitutively disclosed a lower osteogenic potential as compared with other MSCs, which is not affected by TLR</w:t>
      </w:r>
      <w:r w:rsidRPr="00432A10">
        <w:rPr>
          <w:rFonts w:ascii="Book Antiqua" w:hAnsi="Book Antiqua"/>
          <w:noProof/>
          <w:vertAlign w:val="superscript"/>
        </w:rPr>
        <w:t>[82]</w:t>
      </w:r>
      <w:r w:rsidRPr="00432A10">
        <w:rPr>
          <w:rFonts w:ascii="Book Antiqua" w:hAnsi="Book Antiqua"/>
        </w:rPr>
        <w:t>. Further findings support that triggering TLR2 may enhance the proliferation and immunomodulatory functions of BM-MSCs. More specifically, the increased immunomodulatory capacity of MSCs was associated with an increased expression of anti-inflammatory cytokine expression and diminution of pro-inflammatory cytokine expression</w:t>
      </w:r>
      <w:r w:rsidRPr="00432A10">
        <w:rPr>
          <w:rFonts w:ascii="Book Antiqua" w:hAnsi="Book Antiqua"/>
          <w:noProof/>
          <w:vertAlign w:val="superscript"/>
        </w:rPr>
        <w:t>[83]</w:t>
      </w:r>
      <w:r w:rsidRPr="00432A10">
        <w:rPr>
          <w:rFonts w:ascii="Book Antiqua" w:hAnsi="Book Antiqua"/>
        </w:rPr>
        <w:t>. MSCs can potently regulate the functions of immune cells by attracting them or by migration to inflammatory sites. TLR3-stimulated MSCs exhibit increased migration and chemotaxis within and toward damaged tissues through the expression of forkhead box protein O1-activated genes</w:t>
      </w:r>
      <w:r w:rsidRPr="00432A10">
        <w:rPr>
          <w:rFonts w:ascii="Book Antiqua" w:hAnsi="Book Antiqua"/>
          <w:noProof/>
          <w:vertAlign w:val="superscript"/>
        </w:rPr>
        <w:t>[84]</w:t>
      </w:r>
      <w:r w:rsidRPr="00432A10">
        <w:rPr>
          <w:rFonts w:ascii="Book Antiqua" w:hAnsi="Book Antiqua"/>
        </w:rPr>
        <w:t>.</w:t>
      </w:r>
      <w:r w:rsidRPr="00432A10">
        <w:rPr>
          <w:rFonts w:ascii="Book Antiqua" w:hAnsi="Book Antiqua"/>
          <w:shd w:val="clear" w:color="auto" w:fill="FFFFFF"/>
        </w:rPr>
        <w:t xml:space="preserve"> The understanding of TLR involvement in the response of stem/progenitor cell to specific tissue damage and in the reparative processes is decisive for the development of new therapeutic strategies</w:t>
      </w:r>
      <w:r w:rsidRPr="00432A10">
        <w:rPr>
          <w:rFonts w:ascii="Book Antiqua" w:hAnsi="Book Antiqua"/>
          <w:noProof/>
          <w:shd w:val="clear" w:color="auto" w:fill="FFFFFF"/>
          <w:vertAlign w:val="superscript"/>
        </w:rPr>
        <w:t>[75]</w:t>
      </w:r>
      <w:r w:rsidRPr="00432A10">
        <w:rPr>
          <w:rFonts w:ascii="Book Antiqua" w:hAnsi="Book Antiqua"/>
          <w:shd w:val="clear" w:color="auto" w:fill="FFFFFF"/>
        </w:rPr>
        <w:t>.</w:t>
      </w:r>
    </w:p>
    <w:p w14:paraId="021D8AD8" w14:textId="77777777" w:rsidR="00120D53" w:rsidRDefault="007E7842" w:rsidP="00120D53">
      <w:pPr>
        <w:spacing w:line="360" w:lineRule="auto"/>
        <w:ind w:firstLineChars="100" w:firstLine="240"/>
        <w:contextualSpacing/>
        <w:jc w:val="both"/>
        <w:rPr>
          <w:rFonts w:ascii="Book Antiqua" w:hAnsi="Book Antiqua"/>
        </w:rPr>
      </w:pPr>
      <w:r w:rsidRPr="00432A10">
        <w:rPr>
          <w:rFonts w:ascii="Book Antiqua" w:hAnsi="Book Antiqua"/>
        </w:rPr>
        <w:lastRenderedPageBreak/>
        <w:t>In line with this, we reported approaches using empowered MSCs for the treatment or prevention of different immunological diseases. Preconditioning by new licensing stimuli will empower the immune fate of MSCs and, therefore, promote a better and more efficient biological response</w:t>
      </w:r>
      <w:r w:rsidRPr="00432A10">
        <w:rPr>
          <w:rFonts w:ascii="Book Antiqua" w:hAnsi="Book Antiqua"/>
          <w:noProof/>
          <w:vertAlign w:val="superscript"/>
        </w:rPr>
        <w:t>[50]</w:t>
      </w:r>
      <w:r w:rsidRPr="00432A10">
        <w:rPr>
          <w:rFonts w:ascii="Book Antiqua" w:hAnsi="Book Antiqua"/>
        </w:rPr>
        <w:t>. We reported several new pathways induced by inflammatory signals such as fibrinogen-like 2, GAL, semaphorin (SEMA) 4D, SEMA7A, and IDO</w:t>
      </w:r>
      <w:r w:rsidR="003E0506" w:rsidRPr="00432A10">
        <w:rPr>
          <w:rFonts w:ascii="Book Antiqua" w:hAnsi="Book Antiqua"/>
        </w:rPr>
        <w:t>-</w:t>
      </w:r>
      <w:r w:rsidRPr="00432A10">
        <w:rPr>
          <w:rFonts w:ascii="Book Antiqua" w:hAnsi="Book Antiqua"/>
        </w:rPr>
        <w:t>1 and can contribute to immunomodulation. These pathways allow distinct MSC populations to display enhanced immunomodulatory effects, particularly during inflammation</w:t>
      </w:r>
      <w:r w:rsidRPr="00432A10">
        <w:rPr>
          <w:rFonts w:ascii="Book Antiqua" w:hAnsi="Book Antiqua"/>
          <w:noProof/>
          <w:vertAlign w:val="superscript"/>
        </w:rPr>
        <w:t>[85]</w:t>
      </w:r>
      <w:r w:rsidRPr="00432A10">
        <w:rPr>
          <w:rFonts w:ascii="Book Antiqua" w:hAnsi="Book Antiqua"/>
        </w:rPr>
        <w:t>. Our data also demonstrated that MSCs depending on their tissue-source, may present several relevant receptors potentially involved in the regulation of inflammatory and immunological responses. The expression of advanced glycation end-product receptor</w:t>
      </w:r>
      <w:r w:rsidR="003E0506" w:rsidRPr="00432A10">
        <w:rPr>
          <w:rFonts w:ascii="Book Antiqua" w:hAnsi="Book Antiqua"/>
        </w:rPr>
        <w:t>s</w:t>
      </w:r>
      <w:r w:rsidRPr="00432A10">
        <w:rPr>
          <w:rFonts w:ascii="Book Antiqua" w:hAnsi="Book Antiqua"/>
        </w:rPr>
        <w:t>, C-type lectin receptors (including DECTIN-1, DECTIN-2 and MINCLE), leukotriene B4 receptors (BLT1 and BLT2) and cysteinyl leukotrienes receptors (CYSLTR1 and CYSLTR2) was substantially influenced by inflammatory conditions</w:t>
      </w:r>
      <w:r w:rsidRPr="00432A10">
        <w:rPr>
          <w:rFonts w:ascii="Book Antiqua" w:hAnsi="Book Antiqua"/>
          <w:noProof/>
          <w:vertAlign w:val="superscript"/>
        </w:rPr>
        <w:t>[86]</w:t>
      </w:r>
      <w:r w:rsidRPr="00432A10">
        <w:rPr>
          <w:rFonts w:ascii="Book Antiqua" w:hAnsi="Book Antiqua"/>
        </w:rPr>
        <w:t>. These data strongly support that inflammatory signals are important for the immunological plasticity of MSCs allowing them to display specific responses.</w:t>
      </w:r>
    </w:p>
    <w:p w14:paraId="704134EC" w14:textId="3E955653" w:rsidR="007E7842" w:rsidRPr="00120D53" w:rsidRDefault="007E7842" w:rsidP="00120D53">
      <w:pPr>
        <w:spacing w:line="360" w:lineRule="auto"/>
        <w:ind w:firstLineChars="100" w:firstLine="240"/>
        <w:contextualSpacing/>
        <w:jc w:val="both"/>
        <w:rPr>
          <w:rFonts w:ascii="Book Antiqua" w:hAnsi="Book Antiqua"/>
        </w:rPr>
      </w:pPr>
      <w:r w:rsidRPr="00432A10">
        <w:rPr>
          <w:rFonts w:ascii="Book Antiqua" w:hAnsi="Book Antiqua"/>
        </w:rPr>
        <w:t xml:space="preserve">It is important to increase our knowledge about these preconditioning methods and better understand the molecular and cellular mechanisms underlying their effects. It is noteworthy that </w:t>
      </w:r>
      <w:r w:rsidRPr="00432A10">
        <w:rPr>
          <w:rFonts w:ascii="Book Antiqua" w:hAnsi="Book Antiqua"/>
          <w:shd w:val="clear" w:color="auto" w:fill="FFFFFF"/>
        </w:rPr>
        <w:t>inadequate manipulation of MSC plasticity may lead to aberrant immune hemostasis and tissue regeneration</w:t>
      </w:r>
      <w:r w:rsidRPr="00432A10">
        <w:rPr>
          <w:rFonts w:ascii="Book Antiqua" w:hAnsi="Book Antiqua"/>
          <w:noProof/>
          <w:shd w:val="clear" w:color="auto" w:fill="FFFFFF"/>
          <w:vertAlign w:val="superscript"/>
        </w:rPr>
        <w:t>[87]</w:t>
      </w:r>
      <w:r w:rsidRPr="00432A10">
        <w:rPr>
          <w:rFonts w:ascii="Book Antiqua" w:hAnsi="Book Antiqua"/>
          <w:shd w:val="clear" w:color="auto" w:fill="FFFFFF"/>
        </w:rPr>
        <w:t>.</w:t>
      </w:r>
      <w:r w:rsidRPr="00432A10">
        <w:rPr>
          <w:rFonts w:ascii="Book Antiqua" w:hAnsi="Book Antiqua"/>
        </w:rPr>
        <w:t xml:space="preserve"> </w:t>
      </w:r>
      <w:bookmarkStart w:id="7" w:name="_Hlk41928855"/>
      <w:r w:rsidRPr="00432A10">
        <w:rPr>
          <w:rFonts w:ascii="Book Antiqua" w:hAnsi="Book Antiqua"/>
        </w:rPr>
        <w:t>The development of the most suitable strategy should not only aim at enhancing the therapeutic value of MSCs but also confirm the absence of any potential adverse effect.</w:t>
      </w:r>
      <w:bookmarkEnd w:id="7"/>
    </w:p>
    <w:p w14:paraId="3DD7F77D" w14:textId="77777777" w:rsidR="00E01E0F" w:rsidRPr="00432A10" w:rsidRDefault="00E01E0F">
      <w:pPr>
        <w:spacing w:line="360" w:lineRule="auto"/>
        <w:contextualSpacing/>
        <w:jc w:val="both"/>
        <w:rPr>
          <w:rFonts w:ascii="Book Antiqua" w:hAnsi="Book Antiqua"/>
          <w:color w:val="000000" w:themeColor="text1"/>
        </w:rPr>
      </w:pPr>
    </w:p>
    <w:p w14:paraId="213E3BDF" w14:textId="77777777" w:rsidR="00E01E0F" w:rsidRPr="00432A10" w:rsidRDefault="00E01E0F">
      <w:pPr>
        <w:spacing w:line="360" w:lineRule="auto"/>
        <w:contextualSpacing/>
        <w:jc w:val="both"/>
        <w:rPr>
          <w:rFonts w:ascii="Book Antiqua" w:hAnsi="Book Antiqua"/>
          <w:b/>
          <w:bCs/>
          <w:i/>
          <w:iCs/>
          <w:color w:val="000000" w:themeColor="text1"/>
          <w:shd w:val="clear" w:color="auto" w:fill="FFFFFF"/>
        </w:rPr>
      </w:pPr>
      <w:r w:rsidRPr="00432A10">
        <w:rPr>
          <w:rFonts w:ascii="Book Antiqua" w:hAnsi="Book Antiqua"/>
          <w:b/>
          <w:bCs/>
          <w:i/>
          <w:iCs/>
          <w:color w:val="000000" w:themeColor="text1"/>
          <w:shd w:val="clear" w:color="auto" w:fill="FFFFFF"/>
        </w:rPr>
        <w:t>Cell-free based therapeutics</w:t>
      </w:r>
    </w:p>
    <w:p w14:paraId="54F59EA4" w14:textId="77777777" w:rsidR="00551FE6" w:rsidRPr="00432A10" w:rsidRDefault="007E7842" w:rsidP="00432A10">
      <w:pPr>
        <w:spacing w:line="360" w:lineRule="auto"/>
        <w:contextualSpacing/>
        <w:jc w:val="both"/>
        <w:rPr>
          <w:rFonts w:ascii="Book Antiqua" w:hAnsi="Book Antiqua"/>
          <w:strike/>
          <w:shd w:val="clear" w:color="auto" w:fill="FFFFFF"/>
        </w:rPr>
      </w:pPr>
      <w:r w:rsidRPr="00432A10">
        <w:rPr>
          <w:rFonts w:ascii="Book Antiqua" w:hAnsi="Book Antiqua"/>
        </w:rPr>
        <w:t>The therapeutic potential of MSCs for tissue repair and wound healing is essentially based on their paracrine effects</w:t>
      </w:r>
      <w:r w:rsidRPr="00432A10">
        <w:rPr>
          <w:rFonts w:ascii="Book Antiqua" w:hAnsi="Book Antiqua"/>
          <w:noProof/>
          <w:vertAlign w:val="superscript"/>
        </w:rPr>
        <w:t>[88]</w:t>
      </w:r>
      <w:r w:rsidRPr="00432A10">
        <w:rPr>
          <w:rFonts w:ascii="Book Antiqua" w:hAnsi="Book Antiqua"/>
        </w:rPr>
        <w:t>. The secretome is defined as series of factors including chemokines, cytokines, extracellular matrix molecules and growth factors that are secreted into extracellular space. Once collected, the secretome is considered as “сell-free therapeutics” because it is derived from MSCs and devoid of cells</w:t>
      </w:r>
      <w:r w:rsidRPr="00432A10">
        <w:rPr>
          <w:rFonts w:ascii="Book Antiqua" w:hAnsi="Book Antiqua"/>
          <w:noProof/>
          <w:vertAlign w:val="superscript"/>
        </w:rPr>
        <w:t>[89]</w:t>
      </w:r>
      <w:r w:rsidRPr="00432A10">
        <w:rPr>
          <w:rFonts w:ascii="Book Antiqua" w:hAnsi="Book Antiqua"/>
        </w:rPr>
        <w:t xml:space="preserve">. </w:t>
      </w:r>
      <w:r w:rsidRPr="00432A10">
        <w:rPr>
          <w:rFonts w:ascii="Book Antiqua" w:hAnsi="Book Antiqua"/>
        </w:rPr>
        <w:lastRenderedPageBreak/>
        <w:t>Moreover, some advantages such as the easy storage/thaw process with a preserved quality and function of the factors are associated with the use of the secretome</w:t>
      </w:r>
      <w:r w:rsidRPr="00432A10">
        <w:rPr>
          <w:rFonts w:ascii="Book Antiqua" w:hAnsi="Book Antiqua"/>
          <w:noProof/>
          <w:vertAlign w:val="superscript"/>
        </w:rPr>
        <w:t>[90]</w:t>
      </w:r>
      <w:r w:rsidRPr="00432A10">
        <w:rPr>
          <w:rFonts w:ascii="Book Antiqua" w:hAnsi="Book Antiqua"/>
        </w:rPr>
        <w:t xml:space="preserve">. </w:t>
      </w:r>
      <w:r w:rsidRPr="00432A10">
        <w:rPr>
          <w:rFonts w:ascii="Book Antiqua" w:hAnsi="Book Antiqua"/>
          <w:shd w:val="clear" w:color="auto" w:fill="FFFFFF"/>
        </w:rPr>
        <w:t>The deep analysis of the secretome composition will enable us to evaluate its utility as a new therapeutic option</w:t>
      </w:r>
      <w:r w:rsidRPr="00432A10">
        <w:rPr>
          <w:rFonts w:ascii="Book Antiqua" w:hAnsi="Book Antiqua"/>
          <w:noProof/>
          <w:shd w:val="clear" w:color="auto" w:fill="FFFFFF"/>
          <w:vertAlign w:val="superscript"/>
        </w:rPr>
        <w:t>[91]</w:t>
      </w:r>
      <w:r w:rsidRPr="00432A10">
        <w:rPr>
          <w:rFonts w:ascii="Book Antiqua" w:hAnsi="Book Antiqua"/>
          <w:shd w:val="clear" w:color="auto" w:fill="FFFFFF"/>
        </w:rPr>
        <w:t>. Thus, advances in the characterization of the secretome composition pointed out the presence of EVs with functional activities.</w:t>
      </w:r>
    </w:p>
    <w:p w14:paraId="0FBBDA80" w14:textId="41535951" w:rsidR="00551FE6" w:rsidRPr="00432A10" w:rsidRDefault="007E7842" w:rsidP="00432A10">
      <w:pPr>
        <w:spacing w:line="360" w:lineRule="auto"/>
        <w:ind w:firstLineChars="100" w:firstLine="240"/>
        <w:contextualSpacing/>
        <w:jc w:val="both"/>
        <w:rPr>
          <w:rFonts w:ascii="Book Antiqua" w:hAnsi="Book Antiqua"/>
          <w:strike/>
          <w:shd w:val="clear" w:color="auto" w:fill="FFFFFF"/>
        </w:rPr>
      </w:pPr>
      <w:r w:rsidRPr="00432A10">
        <w:rPr>
          <w:rFonts w:ascii="Book Antiqua" w:hAnsi="Book Antiqua"/>
          <w:shd w:val="clear" w:color="auto" w:fill="FFFFFF"/>
        </w:rPr>
        <w:t>EVs are small lipid membrane-enclosed particles released by cells into the extracellular space. EVs are very heterogeneous in size and content and can be released naturally or after specific induction. They contain a variety of bioactive components which promote cell-to-cell communication both in a healthy and diseased state</w:t>
      </w:r>
      <w:r w:rsidRPr="00432A10">
        <w:rPr>
          <w:rFonts w:ascii="Book Antiqua" w:hAnsi="Book Antiqua"/>
          <w:noProof/>
          <w:shd w:val="clear" w:color="auto" w:fill="FFFFFF"/>
          <w:vertAlign w:val="superscript"/>
        </w:rPr>
        <w:t>[92]</w:t>
      </w:r>
      <w:r w:rsidRPr="00432A10">
        <w:rPr>
          <w:rFonts w:ascii="Book Antiqua" w:hAnsi="Book Antiqua"/>
          <w:shd w:val="clear" w:color="auto" w:fill="FFFFFF"/>
        </w:rPr>
        <w:t>. EVs facilitate intracellular communication by carrying and delivering biological materials, such as proteins, lipids, and nucleic acids</w:t>
      </w:r>
      <w:r w:rsidRPr="00432A10">
        <w:rPr>
          <w:rFonts w:ascii="Book Antiqua" w:hAnsi="Book Antiqua"/>
          <w:noProof/>
          <w:shd w:val="clear" w:color="auto" w:fill="FFFFFF"/>
          <w:vertAlign w:val="superscript"/>
        </w:rPr>
        <w:t>[93]</w:t>
      </w:r>
      <w:r w:rsidRPr="00432A10">
        <w:rPr>
          <w:rFonts w:ascii="Book Antiqua" w:hAnsi="Book Antiqua"/>
          <w:shd w:val="clear" w:color="auto" w:fill="FFFFFF"/>
        </w:rPr>
        <w:t>. Depending on their cellular origin, EVs cover different structures such as exosomes, microvesicles</w:t>
      </w:r>
      <w:r w:rsidR="00551FE6" w:rsidRPr="00432A10">
        <w:rPr>
          <w:rFonts w:ascii="Book Antiqua" w:hAnsi="Book Antiqua"/>
          <w:shd w:val="clear" w:color="auto" w:fill="FFFFFF"/>
        </w:rPr>
        <w:t xml:space="preserve"> (MVs)</w:t>
      </w:r>
      <w:r w:rsidRPr="00432A10">
        <w:rPr>
          <w:rFonts w:ascii="Book Antiqua" w:hAnsi="Book Antiqua"/>
          <w:shd w:val="clear" w:color="auto" w:fill="FFFFFF"/>
        </w:rPr>
        <w:t>, and apoptotic bodies</w:t>
      </w:r>
      <w:r w:rsidRPr="00432A10">
        <w:rPr>
          <w:rFonts w:ascii="Book Antiqua" w:hAnsi="Book Antiqua"/>
          <w:noProof/>
          <w:shd w:val="clear" w:color="auto" w:fill="FFFFFF"/>
          <w:vertAlign w:val="superscript"/>
        </w:rPr>
        <w:t>[94]</w:t>
      </w:r>
      <w:r w:rsidRPr="00432A10">
        <w:rPr>
          <w:rFonts w:ascii="Book Antiqua" w:hAnsi="Book Antiqua"/>
          <w:shd w:val="clear" w:color="auto" w:fill="FFFFFF"/>
        </w:rPr>
        <w:t>. Exosomes are the smallest secreted vesicles (40-140</w:t>
      </w:r>
      <w:r w:rsidR="00551FE6" w:rsidRPr="00432A10">
        <w:rPr>
          <w:rFonts w:ascii="Book Antiqua" w:hAnsi="Book Antiqua"/>
          <w:shd w:val="clear" w:color="auto" w:fill="FFFFFF"/>
        </w:rPr>
        <w:t xml:space="preserve"> </w:t>
      </w:r>
      <w:r w:rsidRPr="00432A10">
        <w:rPr>
          <w:rFonts w:ascii="Book Antiqua" w:hAnsi="Book Antiqua"/>
          <w:shd w:val="clear" w:color="auto" w:fill="FFFFFF"/>
        </w:rPr>
        <w:t>nm) which are formed by the invagination of the membrane of the multivesicular bodies and fusion with the plasma membrane, to be finally released into the extracellular environment.</w:t>
      </w:r>
      <w:r w:rsidRPr="00432A10">
        <w:rPr>
          <w:rFonts w:ascii="Book Antiqua" w:hAnsi="Book Antiqua"/>
        </w:rPr>
        <w:t xml:space="preserve"> </w:t>
      </w:r>
      <w:r w:rsidRPr="00432A10">
        <w:rPr>
          <w:rFonts w:ascii="Book Antiqua" w:hAnsi="Book Antiqua"/>
          <w:shd w:val="clear" w:color="auto" w:fill="FFFFFF"/>
        </w:rPr>
        <w:t xml:space="preserve">MVs </w:t>
      </w:r>
      <w:r w:rsidR="00551FE6" w:rsidRPr="00432A10">
        <w:rPr>
          <w:rFonts w:ascii="Book Antiqua" w:hAnsi="Book Antiqua"/>
          <w:shd w:val="clear" w:color="auto" w:fill="FFFFFF"/>
        </w:rPr>
        <w:t>(</w:t>
      </w:r>
      <w:r w:rsidRPr="00432A10">
        <w:rPr>
          <w:rFonts w:ascii="Book Antiqua" w:hAnsi="Book Antiqua"/>
          <w:shd w:val="clear" w:color="auto" w:fill="FFFFFF"/>
        </w:rPr>
        <w:t>50-1000 nm) are budded directly off the plasma membrane and apoptotic bodies (1-5 µm) released from cells undergoing apoptosis</w:t>
      </w:r>
      <w:r w:rsidRPr="00432A10">
        <w:rPr>
          <w:rFonts w:ascii="Book Antiqua" w:hAnsi="Book Antiqua"/>
          <w:noProof/>
          <w:shd w:val="clear" w:color="auto" w:fill="FFFFFF"/>
          <w:vertAlign w:val="superscript"/>
        </w:rPr>
        <w:t>[95]</w:t>
      </w:r>
      <w:r w:rsidRPr="00432A10">
        <w:rPr>
          <w:rFonts w:ascii="Book Antiqua" w:hAnsi="Book Antiqua"/>
          <w:shd w:val="clear" w:color="auto" w:fill="FFFFFF"/>
        </w:rPr>
        <w:t>. More specifically, MSCs may secrete at least three types of EVs based on their affinities for membrane lipid-binding ligands. As their cargo load are different for each EV type, they are likely to have a different biogenesis pathway and possibly different functions</w:t>
      </w:r>
      <w:r w:rsidRPr="00432A10">
        <w:rPr>
          <w:rFonts w:ascii="Book Antiqua" w:hAnsi="Book Antiqua"/>
          <w:noProof/>
          <w:shd w:val="clear" w:color="auto" w:fill="FFFFFF"/>
          <w:vertAlign w:val="superscript"/>
        </w:rPr>
        <w:t>[96]</w:t>
      </w:r>
      <w:r w:rsidRPr="00432A10">
        <w:rPr>
          <w:rFonts w:ascii="Book Antiqua" w:hAnsi="Book Antiqua"/>
          <w:shd w:val="clear" w:color="auto" w:fill="FFFFFF"/>
        </w:rPr>
        <w:t>. Several scientific societies (</w:t>
      </w:r>
      <w:r w:rsidR="005B112F" w:rsidRPr="00432A10">
        <w:rPr>
          <w:rFonts w:ascii="Book Antiqua" w:hAnsi="Book Antiqua"/>
          <w:shd w:val="clear" w:color="auto" w:fill="FFFFFF"/>
          <w:lang w:eastAsia="zh-CN"/>
        </w:rPr>
        <w:t>such</w:t>
      </w:r>
      <w:r w:rsidR="005B112F" w:rsidRPr="00432A10">
        <w:rPr>
          <w:rFonts w:ascii="Book Antiqua" w:hAnsi="Book Antiqua"/>
          <w:shd w:val="clear" w:color="auto" w:fill="FFFFFF"/>
        </w:rPr>
        <w:t xml:space="preserve"> </w:t>
      </w:r>
      <w:r w:rsidR="005B112F" w:rsidRPr="00703F5C">
        <w:rPr>
          <w:rFonts w:ascii="Book Antiqua" w:hAnsi="Book Antiqua"/>
          <w:shd w:val="clear" w:color="auto" w:fill="FFFFFF"/>
        </w:rPr>
        <w:t xml:space="preserve">as </w:t>
      </w:r>
      <w:bookmarkStart w:id="8" w:name="OLE_LINK14"/>
      <w:bookmarkStart w:id="9" w:name="OLE_LINK15"/>
      <w:r w:rsidRPr="00703F5C">
        <w:rPr>
          <w:rFonts w:ascii="Book Antiqua" w:hAnsi="Book Antiqua"/>
          <w:shd w:val="clear" w:color="auto" w:fill="FFFFFF"/>
        </w:rPr>
        <w:t>SOCRATES</w:t>
      </w:r>
      <w:bookmarkEnd w:id="8"/>
      <w:bookmarkEnd w:id="9"/>
      <w:r w:rsidRPr="00432A10">
        <w:rPr>
          <w:rFonts w:ascii="Book Antiqua" w:hAnsi="Book Antiqua"/>
          <w:shd w:val="clear" w:color="auto" w:fill="FFFFFF"/>
        </w:rPr>
        <w:t xml:space="preserve">, </w:t>
      </w:r>
      <w:r w:rsidR="004C203F" w:rsidRPr="00432A10">
        <w:rPr>
          <w:rFonts w:ascii="Book Antiqua" w:hAnsi="Book Antiqua"/>
          <w:shd w:val="clear" w:color="auto" w:fill="FFFFFF"/>
        </w:rPr>
        <w:t>International Society For Extracellular Vesicles</w:t>
      </w:r>
      <w:r w:rsidRPr="00432A10">
        <w:rPr>
          <w:rFonts w:ascii="Book Antiqua" w:hAnsi="Book Antiqua"/>
          <w:shd w:val="clear" w:color="auto" w:fill="FFFFFF"/>
        </w:rPr>
        <w:t xml:space="preserve">, ISCT and </w:t>
      </w:r>
      <w:r w:rsidR="005B112F" w:rsidRPr="00432A10">
        <w:rPr>
          <w:rFonts w:ascii="Book Antiqua" w:hAnsi="Book Antiqua"/>
          <w:shd w:val="clear" w:color="auto" w:fill="FFFFFF"/>
        </w:rPr>
        <w:t>International Society of Blood Transfusion</w:t>
      </w:r>
      <w:r w:rsidRPr="00432A10">
        <w:rPr>
          <w:rFonts w:ascii="Book Antiqua" w:hAnsi="Book Antiqua"/>
          <w:shd w:val="clear" w:color="auto" w:fill="FFFFFF"/>
        </w:rPr>
        <w:t>) propose to optimize the methods and harmonize the criteria that identify and characterize MSC-derived EVs</w:t>
      </w:r>
      <w:r w:rsidRPr="00432A10">
        <w:rPr>
          <w:rFonts w:ascii="Book Antiqua" w:hAnsi="Book Antiqua"/>
          <w:noProof/>
          <w:shd w:val="clear" w:color="auto" w:fill="FFFFFF"/>
          <w:vertAlign w:val="superscript"/>
        </w:rPr>
        <w:t>[97]</w:t>
      </w:r>
      <w:r w:rsidRPr="00432A10">
        <w:rPr>
          <w:rFonts w:ascii="Book Antiqua" w:hAnsi="Book Antiqua"/>
          <w:shd w:val="clear" w:color="auto" w:fill="FFFFFF"/>
        </w:rPr>
        <w:t>. These preparations should be defined physically, biochemically, and functionally by quantifiable features and using reproducible and standardized assays</w:t>
      </w:r>
      <w:r w:rsidRPr="00432A10">
        <w:rPr>
          <w:rFonts w:ascii="Book Antiqua" w:hAnsi="Book Antiqua"/>
          <w:noProof/>
          <w:shd w:val="clear" w:color="auto" w:fill="FFFFFF"/>
          <w:vertAlign w:val="superscript"/>
        </w:rPr>
        <w:t>[97]</w:t>
      </w:r>
      <w:r w:rsidRPr="00432A10">
        <w:rPr>
          <w:rFonts w:ascii="Book Antiqua" w:hAnsi="Book Antiqua"/>
          <w:shd w:val="clear" w:color="auto" w:fill="FFFFFF"/>
        </w:rPr>
        <w:t>.</w:t>
      </w:r>
    </w:p>
    <w:p w14:paraId="08EAD056" w14:textId="580384CF" w:rsidR="005D29A8" w:rsidRPr="00432A10" w:rsidRDefault="007E7842" w:rsidP="00432A10">
      <w:pPr>
        <w:spacing w:line="360" w:lineRule="auto"/>
        <w:ind w:firstLineChars="100" w:firstLine="240"/>
        <w:contextualSpacing/>
        <w:jc w:val="both"/>
        <w:rPr>
          <w:rFonts w:ascii="Book Antiqua" w:hAnsi="Book Antiqua"/>
          <w:strike/>
          <w:shd w:val="clear" w:color="auto" w:fill="FFFFFF"/>
        </w:rPr>
      </w:pPr>
      <w:r w:rsidRPr="00432A10">
        <w:rPr>
          <w:rFonts w:ascii="Book Antiqua" w:hAnsi="Book Antiqua"/>
        </w:rPr>
        <w:t>Donor-to-donor variability and heterogeneity of MSC therapeutics are significant factors that interfere with their sustainable translation to the clinic. The use of EVs has multiple advantages in overcoming the limitations and adverse events observed with cell-based therapy</w:t>
      </w:r>
      <w:r w:rsidRPr="00432A10">
        <w:rPr>
          <w:rFonts w:ascii="Book Antiqua" w:hAnsi="Book Antiqua"/>
          <w:noProof/>
          <w:vertAlign w:val="superscript"/>
        </w:rPr>
        <w:t>[98]</w:t>
      </w:r>
      <w:r w:rsidRPr="00432A10">
        <w:rPr>
          <w:rFonts w:ascii="Book Antiqua" w:hAnsi="Book Antiqua"/>
        </w:rPr>
        <w:t xml:space="preserve">. Moreover, the use of MSCs may raise some concerns regarding </w:t>
      </w:r>
      <w:r w:rsidRPr="00432A10">
        <w:rPr>
          <w:rFonts w:ascii="Book Antiqua" w:hAnsi="Book Antiqua"/>
        </w:rPr>
        <w:lastRenderedPageBreak/>
        <w:t>the purity, viability, identity, recovery after cryopreservation, functional and genomic stability of the cellular product. The choice of the cell source, phenotype, infusion-related toxicities and immunological complication (donor graft-</w:t>
      </w:r>
      <w:r w:rsidRPr="00432A10">
        <w:rPr>
          <w:rFonts w:ascii="Book Antiqua" w:hAnsi="Book Antiqua"/>
          <w:i/>
          <w:iCs/>
        </w:rPr>
        <w:t>vs</w:t>
      </w:r>
      <w:r w:rsidRPr="00432A10">
        <w:rPr>
          <w:rFonts w:ascii="Book Antiqua" w:hAnsi="Book Antiqua"/>
        </w:rPr>
        <w:t>-host disease and recipient graft rejection), ectopic tissue formation represent risks associated with the use of MSCs</w:t>
      </w:r>
      <w:r w:rsidRPr="00432A10">
        <w:rPr>
          <w:rFonts w:ascii="Book Antiqua" w:hAnsi="Book Antiqua"/>
          <w:noProof/>
          <w:vertAlign w:val="superscript"/>
        </w:rPr>
        <w:t>[99]</w:t>
      </w:r>
      <w:r w:rsidRPr="00432A10">
        <w:rPr>
          <w:rFonts w:ascii="Book Antiqua" w:hAnsi="Book Antiqua"/>
        </w:rPr>
        <w:t xml:space="preserve">. </w:t>
      </w:r>
      <w:r w:rsidRPr="00432A10">
        <w:rPr>
          <w:rFonts w:ascii="Book Antiqua" w:hAnsi="Book Antiqua"/>
          <w:shd w:val="clear" w:color="auto" w:fill="FFFFFF"/>
        </w:rPr>
        <w:t xml:space="preserve">Thus, MSC-derived EVs can be evaluated as cell-free based therapeutics. </w:t>
      </w:r>
      <w:bookmarkStart w:id="10" w:name="_Hlk41928334"/>
      <w:r w:rsidRPr="00432A10">
        <w:rPr>
          <w:rFonts w:ascii="Book Antiqua" w:hAnsi="Book Antiqua"/>
        </w:rPr>
        <w:t>EVs have been shown to effectively mimic the therapeutic effects of MSCs, in several preclinical models</w:t>
      </w:r>
      <w:bookmarkEnd w:id="10"/>
      <w:r w:rsidRPr="00432A10">
        <w:rPr>
          <w:rFonts w:ascii="Book Antiqua" w:hAnsi="Book Antiqua"/>
          <w:noProof/>
          <w:vertAlign w:val="superscript"/>
        </w:rPr>
        <w:t>[100]</w:t>
      </w:r>
      <w:r w:rsidRPr="00432A10">
        <w:rPr>
          <w:rFonts w:ascii="Book Antiqua" w:hAnsi="Book Antiqua"/>
        </w:rPr>
        <w:t xml:space="preserve">. </w:t>
      </w:r>
      <w:r w:rsidRPr="00432A10">
        <w:rPr>
          <w:rFonts w:ascii="Book Antiqua" w:hAnsi="Book Antiqua"/>
          <w:shd w:val="clear" w:color="auto" w:fill="FFFFFF"/>
        </w:rPr>
        <w:t>Indeed, MSC-derived EVs exert both immunomodulatory as well as pro-regenerative effects</w:t>
      </w:r>
      <w:r w:rsidRPr="00432A10">
        <w:rPr>
          <w:rFonts w:ascii="Book Antiqua" w:hAnsi="Book Antiqua"/>
          <w:noProof/>
          <w:shd w:val="clear" w:color="auto" w:fill="FFFFFF"/>
          <w:vertAlign w:val="superscript"/>
        </w:rPr>
        <w:t>[101]</w:t>
      </w:r>
      <w:r w:rsidRPr="00432A10">
        <w:rPr>
          <w:rFonts w:ascii="Book Antiqua" w:hAnsi="Book Antiqua"/>
          <w:shd w:val="clear" w:color="auto" w:fill="FFFFFF"/>
        </w:rPr>
        <w:t>.</w:t>
      </w:r>
      <w:r w:rsidRPr="00432A10">
        <w:rPr>
          <w:rFonts w:ascii="Book Antiqua" w:hAnsi="Book Antiqua"/>
        </w:rPr>
        <w:t xml:space="preserve"> Several observations indicate that EVs may suppress pro-inflammatory processes and reduce oxidative stress. By switching the pro-inflammatory response into a tolerogenic one, MSC-derived EVs are likely to promote tissue regeneration by creating a pro-regenerative environment allowing endogenous stem and progenitor cells to successfully repair affected tissues</w:t>
      </w:r>
      <w:r w:rsidRPr="00432A10">
        <w:rPr>
          <w:rFonts w:ascii="Book Antiqua" w:hAnsi="Book Antiqua"/>
          <w:noProof/>
          <w:vertAlign w:val="superscript"/>
        </w:rPr>
        <w:t>[102]</w:t>
      </w:r>
      <w:r w:rsidRPr="00432A10">
        <w:rPr>
          <w:rFonts w:ascii="Book Antiqua" w:hAnsi="Book Antiqua"/>
        </w:rPr>
        <w:t>. Accumulating evidence indicates that MSC-derived EVs exhibit immunomodulatory effects by delivering biolog</w:t>
      </w:r>
      <w:r w:rsidR="00551FE6" w:rsidRPr="00432A10">
        <w:rPr>
          <w:rFonts w:ascii="Book Antiqua" w:hAnsi="Book Antiqua"/>
        </w:rPr>
        <w:t>ically</w:t>
      </w:r>
      <w:r w:rsidRPr="00432A10">
        <w:rPr>
          <w:rFonts w:ascii="Book Antiqua" w:hAnsi="Book Antiqua"/>
        </w:rPr>
        <w:t xml:space="preserve"> active nucleic acid and proteins. There is a strong correlation between the expression levels of TGF-β1, pentraxin-related protein-3 </w:t>
      </w:r>
      <w:r w:rsidR="00551FE6" w:rsidRPr="00432A10">
        <w:rPr>
          <w:rFonts w:ascii="Book Antiqua" w:hAnsi="Book Antiqua"/>
        </w:rPr>
        <w:t>(</w:t>
      </w:r>
      <w:r w:rsidRPr="00432A10">
        <w:rPr>
          <w:rFonts w:ascii="Book Antiqua" w:hAnsi="Book Antiqua"/>
        </w:rPr>
        <w:t>also known as TNF-inducible gene 14 protein), let-7b-5p, or miR-21-5p in MSC-derived EVs and their suppressive function</w:t>
      </w:r>
      <w:r w:rsidRPr="00432A10">
        <w:rPr>
          <w:rFonts w:ascii="Book Antiqua" w:hAnsi="Book Antiqua"/>
          <w:noProof/>
          <w:vertAlign w:val="superscript"/>
        </w:rPr>
        <w:t>[103]</w:t>
      </w:r>
      <w:r w:rsidRPr="00432A10">
        <w:rPr>
          <w:rFonts w:ascii="Book Antiqua" w:hAnsi="Book Antiqua"/>
        </w:rPr>
        <w:t>. Moreover, a recent study demonstrated that BM-MSC-derived EVs were incorporated by lymphocytes and decreased their proliferation and differentiation. Interestingly, MSC-derived EVs, by increasing forkhead box P3 expression and reducing the production of IFN-γ, generated a subpopulation of regulatory T cells with suppressive properties. Mechanistically, MSC-derived EVs decreased miR-23a-3p expression and increased expression of its target gene,</w:t>
      </w:r>
      <w:r w:rsidR="005D29A8" w:rsidRPr="00432A10">
        <w:rPr>
          <w:rFonts w:ascii="Book Antiqua" w:hAnsi="Book Antiqua"/>
        </w:rPr>
        <w:t xml:space="preserve"> </w:t>
      </w:r>
      <w:r w:rsidR="005D29A8" w:rsidRPr="00703F5C">
        <w:rPr>
          <w:rFonts w:ascii="Book Antiqua" w:hAnsi="Book Antiqua"/>
        </w:rPr>
        <w:t>t</w:t>
      </w:r>
      <w:r w:rsidRPr="00703F5C">
        <w:rPr>
          <w:rFonts w:ascii="Book Antiqua" w:hAnsi="Book Antiqua"/>
        </w:rPr>
        <w:t xml:space="preserve">ransforming </w:t>
      </w:r>
      <w:r w:rsidR="005D29A8" w:rsidRPr="00703F5C">
        <w:rPr>
          <w:rFonts w:ascii="Book Antiqua" w:hAnsi="Book Antiqua"/>
        </w:rPr>
        <w:t>g</w:t>
      </w:r>
      <w:r w:rsidRPr="00703F5C">
        <w:rPr>
          <w:rFonts w:ascii="Book Antiqua" w:hAnsi="Book Antiqua"/>
        </w:rPr>
        <w:t xml:space="preserve">rowth </w:t>
      </w:r>
      <w:r w:rsidR="005D29A8" w:rsidRPr="00703F5C">
        <w:rPr>
          <w:rFonts w:ascii="Book Antiqua" w:hAnsi="Book Antiqua"/>
        </w:rPr>
        <w:t>f</w:t>
      </w:r>
      <w:r w:rsidRPr="00703F5C">
        <w:rPr>
          <w:rFonts w:ascii="Book Antiqua" w:hAnsi="Book Antiqua"/>
        </w:rPr>
        <w:t xml:space="preserve">actor </w:t>
      </w:r>
      <w:r w:rsidR="005D29A8" w:rsidRPr="00703F5C">
        <w:rPr>
          <w:rFonts w:ascii="Book Antiqua" w:hAnsi="Book Antiqua"/>
        </w:rPr>
        <w:t>b</w:t>
      </w:r>
      <w:r w:rsidRPr="00703F5C">
        <w:rPr>
          <w:rFonts w:ascii="Book Antiqua" w:hAnsi="Book Antiqua"/>
        </w:rPr>
        <w:t xml:space="preserve">eta </w:t>
      </w:r>
      <w:r w:rsidR="005D29A8" w:rsidRPr="00703F5C">
        <w:rPr>
          <w:rFonts w:ascii="Book Antiqua" w:hAnsi="Book Antiqua"/>
        </w:rPr>
        <w:t>r</w:t>
      </w:r>
      <w:r w:rsidRPr="00703F5C">
        <w:rPr>
          <w:rFonts w:ascii="Book Antiqua" w:hAnsi="Book Antiqua"/>
        </w:rPr>
        <w:t>eceptor 2</w:t>
      </w:r>
      <w:r w:rsidRPr="00432A10">
        <w:rPr>
          <w:rFonts w:ascii="Book Antiqua" w:hAnsi="Book Antiqua"/>
        </w:rPr>
        <w:t>, suggesting active participation of TGF-β pathway in this regulation</w:t>
      </w:r>
      <w:r w:rsidRPr="00432A10">
        <w:rPr>
          <w:rFonts w:ascii="Book Antiqua" w:hAnsi="Book Antiqua"/>
          <w:noProof/>
          <w:vertAlign w:val="superscript"/>
        </w:rPr>
        <w:t>[104]</w:t>
      </w:r>
      <w:r w:rsidRPr="00432A10">
        <w:rPr>
          <w:rFonts w:ascii="Book Antiqua" w:hAnsi="Book Antiqua"/>
        </w:rPr>
        <w:t>. Furthermore, early indications suggest that the favorable effects of MSC-derived EVs could be further enhanced by modifying the way in which the donor MSCs are cultured</w:t>
      </w:r>
      <w:r w:rsidRPr="00432A10">
        <w:rPr>
          <w:rFonts w:ascii="Book Antiqua" w:hAnsi="Book Antiqua"/>
          <w:noProof/>
          <w:vertAlign w:val="superscript"/>
        </w:rPr>
        <w:t>[105]</w:t>
      </w:r>
      <w:r w:rsidRPr="00432A10">
        <w:rPr>
          <w:rFonts w:ascii="Book Antiqua" w:hAnsi="Book Antiqua"/>
        </w:rPr>
        <w:t>. In general, the preconditioning of MSCs by an inflammatory milieu is the most used method to increase the immunotherapeutic function of MSC-derived EVs</w:t>
      </w:r>
      <w:r w:rsidRPr="00432A10">
        <w:rPr>
          <w:rFonts w:ascii="Book Antiqua" w:hAnsi="Book Antiqua"/>
          <w:noProof/>
          <w:vertAlign w:val="superscript"/>
        </w:rPr>
        <w:t>[106]</w:t>
      </w:r>
      <w:r w:rsidRPr="00432A10">
        <w:rPr>
          <w:rFonts w:ascii="Book Antiqua" w:hAnsi="Book Antiqua"/>
        </w:rPr>
        <w:t xml:space="preserve">. Exosomes derived from BM-MSCs preconditioned with a low dose of dimethyloxaloylglycine (DMOG) were reported to exert enhanced proangiogenic </w:t>
      </w:r>
      <w:r w:rsidRPr="00432A10">
        <w:rPr>
          <w:rFonts w:ascii="Book Antiqua" w:hAnsi="Book Antiqua"/>
        </w:rPr>
        <w:lastRenderedPageBreak/>
        <w:t>activity during bone regeneration</w:t>
      </w:r>
      <w:r w:rsidRPr="00432A10">
        <w:rPr>
          <w:rFonts w:ascii="Book Antiqua" w:hAnsi="Book Antiqua"/>
          <w:noProof/>
          <w:vertAlign w:val="superscript"/>
        </w:rPr>
        <w:t>[107]</w:t>
      </w:r>
      <w:r w:rsidRPr="00432A10">
        <w:rPr>
          <w:rFonts w:ascii="Book Antiqua" w:hAnsi="Book Antiqua"/>
        </w:rPr>
        <w:t>. S</w:t>
      </w:r>
      <w:r w:rsidRPr="00432A10">
        <w:rPr>
          <w:rFonts w:ascii="Book Antiqua" w:hAnsi="Book Antiqua"/>
          <w:strike/>
        </w:rPr>
        <w:t>e</w:t>
      </w:r>
      <w:r w:rsidRPr="00432A10">
        <w:rPr>
          <w:rFonts w:ascii="Book Antiqua" w:hAnsi="Book Antiqua"/>
        </w:rPr>
        <w:t xml:space="preserve">veral classical pathways related to proliferation and osteogenic and angiogenic differentiations, including </w:t>
      </w:r>
      <w:r w:rsidR="005D29A8" w:rsidRPr="00432A10">
        <w:rPr>
          <w:rFonts w:ascii="Book Antiqua" w:hAnsi="Book Antiqua"/>
        </w:rPr>
        <w:t>y</w:t>
      </w:r>
      <w:r w:rsidRPr="00432A10">
        <w:rPr>
          <w:rFonts w:ascii="Book Antiqua" w:hAnsi="Book Antiqua"/>
        </w:rPr>
        <w:t>es-</w:t>
      </w:r>
      <w:r w:rsidR="005D29A8" w:rsidRPr="00432A10">
        <w:rPr>
          <w:rFonts w:ascii="Book Antiqua" w:hAnsi="Book Antiqua"/>
        </w:rPr>
        <w:t>a</w:t>
      </w:r>
      <w:r w:rsidRPr="00432A10">
        <w:rPr>
          <w:rFonts w:ascii="Book Antiqua" w:hAnsi="Book Antiqua"/>
        </w:rPr>
        <w:t xml:space="preserve">ssociated </w:t>
      </w:r>
      <w:r w:rsidR="005D29A8" w:rsidRPr="00432A10">
        <w:rPr>
          <w:rFonts w:ascii="Book Antiqua" w:hAnsi="Book Antiqua"/>
        </w:rPr>
        <w:t>p</w:t>
      </w:r>
      <w:r w:rsidRPr="00432A10">
        <w:rPr>
          <w:rFonts w:ascii="Book Antiqua" w:hAnsi="Book Antiqua"/>
        </w:rPr>
        <w:t xml:space="preserve">rotein of the Hippo pathway, JAK of the JAK/STAT pathway, p65 of the NF-κB pathway, and β-catenin of the wnt pathway were significantly elevated. In contrast, PTEN and key factors that regulate apoptosis such as </w:t>
      </w:r>
      <w:r w:rsidR="005D29A8" w:rsidRPr="00432A10">
        <w:rPr>
          <w:rFonts w:ascii="Book Antiqua" w:hAnsi="Book Antiqua"/>
        </w:rPr>
        <w:t>p</w:t>
      </w:r>
      <w:r w:rsidRPr="00432A10">
        <w:rPr>
          <w:rFonts w:ascii="Book Antiqua" w:hAnsi="Book Antiqua"/>
        </w:rPr>
        <w:t xml:space="preserve">53 and </w:t>
      </w:r>
      <w:r w:rsidR="005D29A8" w:rsidRPr="00432A10">
        <w:rPr>
          <w:rFonts w:ascii="Book Antiqua" w:hAnsi="Book Antiqua"/>
        </w:rPr>
        <w:t>p</w:t>
      </w:r>
      <w:r w:rsidRPr="00432A10">
        <w:rPr>
          <w:rFonts w:ascii="Book Antiqua" w:hAnsi="Book Antiqua"/>
        </w:rPr>
        <w:t>21 were significantly downregulated</w:t>
      </w:r>
      <w:r w:rsidRPr="00432A10">
        <w:rPr>
          <w:rFonts w:ascii="Book Antiqua" w:hAnsi="Book Antiqua"/>
          <w:noProof/>
          <w:vertAlign w:val="superscript"/>
        </w:rPr>
        <w:t>[107]</w:t>
      </w:r>
      <w:r w:rsidRPr="00432A10">
        <w:rPr>
          <w:rFonts w:ascii="Book Antiqua" w:hAnsi="Book Antiqua"/>
        </w:rPr>
        <w:t>. To mimic hypoxic conditions, DMOG</w:t>
      </w:r>
      <w:r w:rsidRPr="00432A10">
        <w:rPr>
          <w:rFonts w:ascii="Book Antiqua" w:hAnsi="Book Antiqua"/>
          <w:color w:val="FF0000"/>
        </w:rPr>
        <w:t xml:space="preserve"> </w:t>
      </w:r>
      <w:r w:rsidRPr="00432A10">
        <w:rPr>
          <w:rFonts w:ascii="Book Antiqua" w:hAnsi="Book Antiqua"/>
        </w:rPr>
        <w:t>degrades peroxisomes by selectively activating pexophagy in a HIF-2α dependent manner involving autophagy receptor p62</w:t>
      </w:r>
      <w:r w:rsidRPr="00432A10">
        <w:rPr>
          <w:rFonts w:ascii="Book Antiqua" w:hAnsi="Book Antiqua"/>
          <w:noProof/>
          <w:vertAlign w:val="superscript"/>
        </w:rPr>
        <w:t>[108]</w:t>
      </w:r>
      <w:r w:rsidRPr="00432A10">
        <w:rPr>
          <w:rFonts w:ascii="Book Antiqua" w:hAnsi="Book Antiqua"/>
        </w:rPr>
        <w:t>. In addition, thrombin preconditioning of human UCB-MSCs significantly accelerated EV biogenesis and enriched their cargo contents largely via protease-activated receptor-1-mediated pathways</w:t>
      </w:r>
      <w:r w:rsidRPr="00432A10">
        <w:rPr>
          <w:rFonts w:ascii="Book Antiqua" w:hAnsi="Book Antiqua"/>
          <w:noProof/>
          <w:vertAlign w:val="superscript"/>
        </w:rPr>
        <w:t>[109]</w:t>
      </w:r>
      <w:r w:rsidRPr="00432A10">
        <w:rPr>
          <w:rFonts w:ascii="Book Antiqua" w:hAnsi="Book Antiqua"/>
        </w:rPr>
        <w:t>. Recently, MSCs from rat BM were preconditioned with melatonin resulting in an improved therapeutic potential for acute liver ischemic injury</w:t>
      </w:r>
      <w:r w:rsidRPr="00432A10">
        <w:rPr>
          <w:rFonts w:ascii="Book Antiqua" w:hAnsi="Book Antiqua"/>
          <w:noProof/>
          <w:vertAlign w:val="superscript"/>
        </w:rPr>
        <w:t>[110]</w:t>
      </w:r>
      <w:r w:rsidRPr="00432A10">
        <w:rPr>
          <w:rFonts w:ascii="Book Antiqua" w:hAnsi="Book Antiqua"/>
        </w:rPr>
        <w:t>.</w:t>
      </w:r>
    </w:p>
    <w:p w14:paraId="2018D6EF" w14:textId="77777777" w:rsidR="00685CDC" w:rsidRPr="00432A10" w:rsidRDefault="007E7842" w:rsidP="00432A10">
      <w:pPr>
        <w:spacing w:line="360" w:lineRule="auto"/>
        <w:ind w:firstLineChars="100" w:firstLine="240"/>
        <w:contextualSpacing/>
        <w:jc w:val="both"/>
        <w:rPr>
          <w:rFonts w:ascii="Book Antiqua" w:hAnsi="Book Antiqua"/>
          <w:strike/>
          <w:shd w:val="clear" w:color="auto" w:fill="FFFFFF"/>
        </w:rPr>
      </w:pPr>
      <w:r w:rsidRPr="00432A10">
        <w:rPr>
          <w:rFonts w:ascii="Book Antiqua" w:hAnsi="Book Antiqua"/>
        </w:rPr>
        <w:t>Depending on both MSC origin and environment, EVs may display stimulatory or suppressive immune functions. It is likely that the composition of EVs is a critical determinant of their functions. As previously reported, both the immunomodulatory capabilities of distinct vesicle preparations and the responsiveness of individual patients towards MSC-derived EVs are critical factors for a successful therapeutic application of MSC-derived EVs preparations</w:t>
      </w:r>
      <w:r w:rsidRPr="00432A10">
        <w:rPr>
          <w:rFonts w:ascii="Book Antiqua" w:hAnsi="Book Antiqua"/>
          <w:noProof/>
          <w:vertAlign w:val="superscript"/>
        </w:rPr>
        <w:t>[111]</w:t>
      </w:r>
      <w:r w:rsidRPr="00432A10">
        <w:rPr>
          <w:rFonts w:ascii="Book Antiqua" w:hAnsi="Book Antiqua"/>
        </w:rPr>
        <w:t>. Previous studies reported</w:t>
      </w:r>
      <w:r w:rsidRPr="00432A10">
        <w:rPr>
          <w:rFonts w:ascii="Book Antiqua" w:hAnsi="Book Antiqua"/>
          <w:color w:val="FF0000"/>
        </w:rPr>
        <w:t xml:space="preserve"> </w:t>
      </w:r>
      <w:r w:rsidRPr="00432A10">
        <w:rPr>
          <w:rFonts w:ascii="Book Antiqua" w:hAnsi="Book Antiqua"/>
        </w:rPr>
        <w:t>that EVs derived from hypoxic-primed MSCs are packaged with numerous metabolites that are directly associated with immunomodulation, including M2 macrophage polarization and regulatory T lymphocyte induction</w:t>
      </w:r>
      <w:r w:rsidRPr="00432A10">
        <w:rPr>
          <w:rFonts w:ascii="Book Antiqua" w:hAnsi="Book Antiqua"/>
          <w:noProof/>
          <w:vertAlign w:val="superscript"/>
        </w:rPr>
        <w:t>[112]</w:t>
      </w:r>
      <w:r w:rsidRPr="00432A10">
        <w:rPr>
          <w:rFonts w:ascii="Book Antiqua" w:hAnsi="Book Antiqua"/>
        </w:rPr>
        <w:t>. The expression of some cytokines, chemokines, and chemokine receptors such as IL-10, HGF, LIF, CCL2, VEGF-C, CCL20, chemokine CXCL2, CXCL8, CXCL16,</w:t>
      </w:r>
      <w:r w:rsidRPr="00432A10">
        <w:rPr>
          <w:rFonts w:ascii="Book Antiqua" w:hAnsi="Book Antiqua"/>
          <w:shd w:val="clear" w:color="auto" w:fill="FFFFFF"/>
        </w:rPr>
        <w:t xml:space="preserve"> defensin alpha 1</w:t>
      </w:r>
      <w:r w:rsidRPr="00432A10">
        <w:rPr>
          <w:rFonts w:ascii="Book Antiqua" w:hAnsi="Book Antiqua"/>
        </w:rPr>
        <w:t>, human hect domain and RLD 5, and interferon induced transmembrane protein 2 were reported to underline the interplay between EVs and their cellular targets</w:t>
      </w:r>
      <w:r w:rsidRPr="00432A10">
        <w:rPr>
          <w:rFonts w:ascii="Book Antiqua" w:hAnsi="Book Antiqua"/>
          <w:noProof/>
          <w:vertAlign w:val="superscript"/>
        </w:rPr>
        <w:t>[112]</w:t>
      </w:r>
      <w:r w:rsidRPr="00432A10">
        <w:rPr>
          <w:rFonts w:ascii="Book Antiqua" w:hAnsi="Book Antiqua"/>
        </w:rPr>
        <w:t>. These mediators may participate in migration to the site of injury, regulation of inflammation/immune response and modulation of the repair and regeneration process</w:t>
      </w:r>
      <w:r w:rsidRPr="00432A10">
        <w:rPr>
          <w:rFonts w:ascii="Book Antiqua" w:hAnsi="Book Antiqua"/>
          <w:noProof/>
          <w:vertAlign w:val="superscript"/>
        </w:rPr>
        <w:t>[113,114]</w:t>
      </w:r>
      <w:r w:rsidRPr="00432A10">
        <w:rPr>
          <w:rFonts w:ascii="Book Antiqua" w:hAnsi="Book Antiqua"/>
        </w:rPr>
        <w:t>. As we discussed, both pro- and anti-inflammatory signals are present during tissue healing. A critical requisite of MSC-derived EVs is their capacity to support the diametrically opposite pro- and anti-</w:t>
      </w:r>
      <w:r w:rsidRPr="00432A10">
        <w:rPr>
          <w:rFonts w:ascii="Book Antiqua" w:hAnsi="Book Antiqua"/>
        </w:rPr>
        <w:lastRenderedPageBreak/>
        <w:t xml:space="preserve">inflammatory functions at the appropriate time. Recently, preconditioned MSC-derived EVs were described as a novel cell-free strategy for expanding hematopoietic stem cells (HSCs) </w:t>
      </w:r>
      <w:r w:rsidRPr="00432A10">
        <w:rPr>
          <w:rFonts w:ascii="Book Antiqua" w:hAnsi="Book Antiqua"/>
          <w:i/>
          <w:iCs/>
        </w:rPr>
        <w:t>in vitro</w:t>
      </w:r>
      <w:r w:rsidRPr="00432A10">
        <w:rPr>
          <w:rFonts w:ascii="Book Antiqua" w:hAnsi="Book Antiqua"/>
          <w:noProof/>
          <w:vertAlign w:val="superscript"/>
        </w:rPr>
        <w:t>[115]</w:t>
      </w:r>
      <w:r w:rsidRPr="00432A10">
        <w:rPr>
          <w:rFonts w:ascii="Book Antiqua" w:hAnsi="Book Antiqua"/>
        </w:rPr>
        <w:t>. Therefore, MSC-derived EVs contribute to the BM homeostasis but may also display multiple roles in the induction and maintenance of abnormal hematopoiesis</w:t>
      </w:r>
      <w:r w:rsidRPr="00432A10">
        <w:rPr>
          <w:rFonts w:ascii="Book Antiqua" w:hAnsi="Book Antiqua"/>
          <w:noProof/>
          <w:vertAlign w:val="superscript"/>
        </w:rPr>
        <w:t>[116]</w:t>
      </w:r>
      <w:r w:rsidRPr="00432A10">
        <w:rPr>
          <w:rFonts w:ascii="Book Antiqua" w:hAnsi="Book Antiqua"/>
        </w:rPr>
        <w:t>.</w:t>
      </w:r>
    </w:p>
    <w:p w14:paraId="4BD84C09" w14:textId="77777777" w:rsidR="00120D53" w:rsidRDefault="007E7842" w:rsidP="00120D53">
      <w:pPr>
        <w:spacing w:line="360" w:lineRule="auto"/>
        <w:ind w:firstLineChars="100" w:firstLine="240"/>
        <w:contextualSpacing/>
        <w:jc w:val="both"/>
        <w:rPr>
          <w:rFonts w:ascii="Book Antiqua" w:hAnsi="Book Antiqua"/>
          <w:strike/>
          <w:shd w:val="clear" w:color="auto" w:fill="FFFFFF"/>
        </w:rPr>
      </w:pPr>
      <w:r w:rsidRPr="00432A10">
        <w:rPr>
          <w:rFonts w:ascii="Book Antiqua" w:hAnsi="Book Antiqua"/>
        </w:rPr>
        <w:t xml:space="preserve">Currently, the number of clinical trials involving MSC-derived EVs as listed in www.clinicaltrials.gov is substantially limited. </w:t>
      </w:r>
      <w:r w:rsidRPr="00432A10">
        <w:rPr>
          <w:rFonts w:ascii="Book Antiqua" w:hAnsi="Book Antiqua"/>
          <w:shd w:val="clear" w:color="auto" w:fill="FFFFFF"/>
        </w:rPr>
        <w:t>Future experimental designs are still required to deeply understand the therapeutic effects of EVs and their mechanisms of action</w:t>
      </w:r>
      <w:r w:rsidRPr="00432A10">
        <w:rPr>
          <w:rFonts w:ascii="Book Antiqua" w:hAnsi="Book Antiqua"/>
          <w:noProof/>
          <w:shd w:val="clear" w:color="auto" w:fill="FFFFFF"/>
          <w:vertAlign w:val="superscript"/>
        </w:rPr>
        <w:t>[100]</w:t>
      </w:r>
      <w:r w:rsidRPr="00432A10">
        <w:rPr>
          <w:rFonts w:ascii="Book Antiqua" w:hAnsi="Book Antiqua"/>
          <w:shd w:val="clear" w:color="auto" w:fill="FFFFFF"/>
        </w:rPr>
        <w:t xml:space="preserve">. Of importance, the current </w:t>
      </w:r>
      <w:r w:rsidR="00685CDC" w:rsidRPr="00432A10">
        <w:rPr>
          <w:rFonts w:ascii="Book Antiqua" w:hAnsi="Book Antiqua"/>
          <w:shd w:val="clear" w:color="auto" w:fill="FFFFFF"/>
          <w:lang w:eastAsia="zh-CN"/>
        </w:rPr>
        <w:t>coronavirus</w:t>
      </w:r>
      <w:r w:rsidR="00685CDC" w:rsidRPr="00432A10">
        <w:rPr>
          <w:rFonts w:ascii="Book Antiqua" w:hAnsi="Book Antiqua"/>
          <w:shd w:val="clear" w:color="auto" w:fill="FFFFFF"/>
        </w:rPr>
        <w:t xml:space="preserve"> disease 2019 </w:t>
      </w:r>
      <w:r w:rsidR="00685CDC" w:rsidRPr="00432A10">
        <w:rPr>
          <w:rFonts w:ascii="Book Antiqua" w:hAnsi="Book Antiqua"/>
          <w:shd w:val="clear" w:color="auto" w:fill="FFFFFF"/>
          <w:lang w:eastAsia="zh-CN"/>
        </w:rPr>
        <w:t>(</w:t>
      </w:r>
      <w:r w:rsidRPr="00432A10">
        <w:rPr>
          <w:rFonts w:ascii="Book Antiqua" w:hAnsi="Book Antiqua"/>
          <w:shd w:val="clear" w:color="auto" w:fill="FFFFFF"/>
        </w:rPr>
        <w:t>COVID-19</w:t>
      </w:r>
      <w:r w:rsidR="00F83D7B" w:rsidRPr="00432A10">
        <w:rPr>
          <w:rFonts w:ascii="Book Antiqua" w:hAnsi="Book Antiqua"/>
          <w:shd w:val="clear" w:color="auto" w:fill="FFFFFF"/>
        </w:rPr>
        <w:t>)</w:t>
      </w:r>
      <w:r w:rsidRPr="00432A10">
        <w:rPr>
          <w:rFonts w:ascii="Book Antiqua" w:hAnsi="Book Antiqua"/>
          <w:shd w:val="clear" w:color="auto" w:fill="FFFFFF"/>
        </w:rPr>
        <w:t xml:space="preserve"> pandemic, which leads to severe and increased worldwide morbidity and mortality, has rapidly promoted MSCs as potential therapeutic agents to suppress COVID-19.</w:t>
      </w:r>
      <w:r w:rsidRPr="00432A10">
        <w:rPr>
          <w:rFonts w:ascii="Book Antiqua" w:hAnsi="Book Antiqua"/>
        </w:rPr>
        <w:t xml:space="preserve"> In this context, </w:t>
      </w:r>
      <w:r w:rsidRPr="00432A10">
        <w:rPr>
          <w:rFonts w:ascii="Book Antiqua" w:hAnsi="Book Antiqua"/>
          <w:shd w:val="clear" w:color="auto" w:fill="FFFFFF"/>
        </w:rPr>
        <w:t>some registered clinical trials using EVs from MSCs are now under investigations.</w:t>
      </w:r>
      <w:r w:rsidRPr="00432A10">
        <w:rPr>
          <w:rFonts w:ascii="Book Antiqua" w:hAnsi="Book Antiqua"/>
        </w:rPr>
        <w:t xml:space="preserve"> </w:t>
      </w:r>
      <w:r w:rsidRPr="00432A10">
        <w:rPr>
          <w:rFonts w:ascii="Book Antiqua" w:hAnsi="Book Antiqua"/>
          <w:shd w:val="clear" w:color="auto" w:fill="FFFFFF"/>
        </w:rPr>
        <w:t>The rationale for these approaches is supported by a growing body of evidence showing that MSC-derived EV preparations are therapeutically safe and efficient in a wide range of diseases</w:t>
      </w:r>
      <w:r w:rsidRPr="00432A10">
        <w:rPr>
          <w:rFonts w:ascii="Book Antiqua" w:hAnsi="Book Antiqua"/>
          <w:noProof/>
          <w:shd w:val="clear" w:color="auto" w:fill="FFFFFF"/>
          <w:vertAlign w:val="superscript"/>
        </w:rPr>
        <w:t>[117]</w:t>
      </w:r>
      <w:r w:rsidRPr="00432A10">
        <w:rPr>
          <w:rFonts w:ascii="Book Antiqua" w:hAnsi="Book Antiqua"/>
          <w:shd w:val="clear" w:color="auto" w:fill="FFFFFF"/>
        </w:rPr>
        <w:t>.</w:t>
      </w:r>
    </w:p>
    <w:p w14:paraId="3F2BCDFB" w14:textId="19397208" w:rsidR="007E7842" w:rsidRPr="00432A10" w:rsidRDefault="007E7842" w:rsidP="00120D53">
      <w:pPr>
        <w:spacing w:line="360" w:lineRule="auto"/>
        <w:ind w:firstLineChars="100" w:firstLine="240"/>
        <w:contextualSpacing/>
        <w:jc w:val="both"/>
        <w:rPr>
          <w:rFonts w:ascii="Book Antiqua" w:hAnsi="Book Antiqua"/>
          <w:strike/>
          <w:shd w:val="clear" w:color="auto" w:fill="FFFFFF"/>
        </w:rPr>
      </w:pPr>
      <w:r w:rsidRPr="00432A10">
        <w:rPr>
          <w:rFonts w:ascii="Book Antiqua" w:hAnsi="Book Antiqua"/>
          <w:shd w:val="clear" w:color="auto" w:fill="FFFFFF"/>
        </w:rPr>
        <w:t xml:space="preserve">More highlights on </w:t>
      </w:r>
      <w:r w:rsidRPr="00432A10">
        <w:rPr>
          <w:rFonts w:ascii="Book Antiqua" w:hAnsi="Book Antiqua"/>
        </w:rPr>
        <w:t>optimal production, isolation, storage, therapeutic dose, and schedule of EV administration, will increase the safety and efficiency of the therapy</w:t>
      </w:r>
      <w:r w:rsidRPr="00432A10">
        <w:rPr>
          <w:rFonts w:ascii="Book Antiqua" w:hAnsi="Book Antiqua"/>
          <w:noProof/>
          <w:vertAlign w:val="superscript"/>
        </w:rPr>
        <w:t>[118]</w:t>
      </w:r>
      <w:r w:rsidRPr="00432A10">
        <w:rPr>
          <w:rFonts w:ascii="Book Antiqua" w:hAnsi="Book Antiqua"/>
        </w:rPr>
        <w:t>.</w:t>
      </w:r>
      <w:r w:rsidRPr="00432A10">
        <w:rPr>
          <w:rFonts w:ascii="Book Antiqua" w:hAnsi="Book Antiqua"/>
          <w:noProof/>
          <w:shd w:val="clear" w:color="auto" w:fill="FFFFFF"/>
          <w:vertAlign w:val="superscript"/>
        </w:rPr>
        <w:t xml:space="preserve"> </w:t>
      </w:r>
      <w:r w:rsidRPr="00432A10">
        <w:rPr>
          <w:rFonts w:ascii="Book Antiqua" w:hAnsi="Book Antiqua"/>
          <w:shd w:val="clear" w:color="auto" w:fill="FFFFFF"/>
        </w:rPr>
        <w:t>We also need to consider the state of health of the patient before injection, the immune-biology of MSCs and adequate pre-clinical models</w:t>
      </w:r>
      <w:r w:rsidRPr="00432A10">
        <w:rPr>
          <w:rFonts w:ascii="Book Antiqua" w:hAnsi="Book Antiqua"/>
          <w:noProof/>
          <w:shd w:val="clear" w:color="auto" w:fill="FFFFFF"/>
          <w:vertAlign w:val="superscript"/>
        </w:rPr>
        <w:t>[99]</w:t>
      </w:r>
      <w:r w:rsidRPr="00432A10">
        <w:rPr>
          <w:rFonts w:ascii="Book Antiqua" w:hAnsi="Book Antiqua"/>
          <w:shd w:val="clear" w:color="auto" w:fill="FFFFFF"/>
        </w:rPr>
        <w:t>.</w:t>
      </w:r>
      <w:r w:rsidRPr="00432A10">
        <w:rPr>
          <w:rFonts w:ascii="Book Antiqua" w:hAnsi="Book Antiqua"/>
        </w:rPr>
        <w:t xml:space="preserve"> The use of a cell-free preparation based on EVs makes MSCs an important material for the development of new approaches for non-cell-based therapies. Moreover, modulating or preconditioning MSCs to achieve a specific composition of the EV cargo for the </w:t>
      </w:r>
      <w:r w:rsidRPr="00432A10">
        <w:rPr>
          <w:rFonts w:ascii="Book Antiqua" w:hAnsi="Book Antiqua"/>
          <w:i/>
          <w:iCs/>
        </w:rPr>
        <w:t xml:space="preserve">ex vivo </w:t>
      </w:r>
      <w:r w:rsidRPr="00432A10">
        <w:rPr>
          <w:rFonts w:ascii="Book Antiqua" w:hAnsi="Book Antiqua"/>
        </w:rPr>
        <w:t xml:space="preserve">expansion of HSCs is, therefore, a promising strategy that can overcome several challenges associated with the use of </w:t>
      </w:r>
      <w:r w:rsidRPr="00703F5C">
        <w:rPr>
          <w:rFonts w:ascii="Book Antiqua" w:hAnsi="Book Antiqua"/>
        </w:rPr>
        <w:t>naïve/unp</w:t>
      </w:r>
      <w:r w:rsidRPr="00432A10">
        <w:rPr>
          <w:rFonts w:ascii="Book Antiqua" w:hAnsi="Book Antiqua"/>
        </w:rPr>
        <w:t>rimed MSCs.</w:t>
      </w:r>
    </w:p>
    <w:p w14:paraId="5DC0129F" w14:textId="77777777" w:rsidR="00A77B3E" w:rsidRPr="00703F5C" w:rsidRDefault="00A77B3E">
      <w:pPr>
        <w:spacing w:line="360" w:lineRule="auto"/>
        <w:jc w:val="both"/>
        <w:rPr>
          <w:rFonts w:ascii="Book Antiqua" w:hAnsi="Book Antiqua"/>
          <w:color w:val="000000" w:themeColor="text1"/>
        </w:rPr>
      </w:pPr>
    </w:p>
    <w:p w14:paraId="2C974191" w14:textId="77777777"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b/>
          <w:caps/>
          <w:color w:val="000000" w:themeColor="text1"/>
          <w:u w:val="single"/>
        </w:rPr>
        <w:t>CONCLUSION</w:t>
      </w:r>
    </w:p>
    <w:p w14:paraId="209E9D01" w14:textId="523A9559" w:rsidR="007E7842" w:rsidRPr="00432A10" w:rsidRDefault="007E7842" w:rsidP="00432A10">
      <w:pPr>
        <w:spacing w:line="360" w:lineRule="auto"/>
        <w:contextualSpacing/>
        <w:jc w:val="both"/>
        <w:rPr>
          <w:rFonts w:ascii="Book Antiqua" w:hAnsi="Book Antiqua"/>
        </w:rPr>
      </w:pPr>
      <w:r w:rsidRPr="00432A10">
        <w:rPr>
          <w:rFonts w:ascii="Book Antiqua" w:hAnsi="Book Antiqua"/>
        </w:rPr>
        <w:t xml:space="preserve">The research field of MSCs is innovating but needs more studies to address optimal therapeutic efficiency and safety. MSCs hold great promise in the field of immunotherapy and regenerative medicine. Accordingly, a better understanding of </w:t>
      </w:r>
      <w:r w:rsidRPr="00432A10">
        <w:rPr>
          <w:rFonts w:ascii="Book Antiqua" w:hAnsi="Book Antiqua"/>
        </w:rPr>
        <w:lastRenderedPageBreak/>
        <w:t>MSC immune biology will improve their therapeutic value and use</w:t>
      </w:r>
      <w:r w:rsidRPr="00432A10">
        <w:rPr>
          <w:rFonts w:ascii="Book Antiqua" w:hAnsi="Book Antiqua"/>
          <w:noProof/>
          <w:vertAlign w:val="superscript"/>
        </w:rPr>
        <w:t>[4]</w:t>
      </w:r>
      <w:r w:rsidRPr="00432A10">
        <w:rPr>
          <w:rFonts w:ascii="Book Antiqua" w:hAnsi="Book Antiqua"/>
        </w:rPr>
        <w:t>. The development of a cell-free product derived from MSCs such as EVs is the most promising tool to increase the safety of such therapy. EVs should be well-identified in terms of phenotype, functions, and effects. In parallel, enhancing the survival and functions</w:t>
      </w:r>
      <w:r w:rsidRPr="00432A10">
        <w:rPr>
          <w:rFonts w:ascii="Book Antiqua" w:hAnsi="Book Antiqua"/>
          <w:color w:val="000000" w:themeColor="text1"/>
        </w:rPr>
        <w:t xml:space="preserve"> by evaluating the optimal preconditioning strategy</w:t>
      </w:r>
      <w:r w:rsidRPr="00432A10">
        <w:rPr>
          <w:rFonts w:ascii="Book Antiqua" w:hAnsi="Book Antiqua"/>
        </w:rPr>
        <w:t>, will improve the therapeutic beneficial actions of MSCs. It is of the utmost importance that this feature, which is closely dependent on disease environment and patient health status, be identified and understood. The development of both features should enhance the value of MSCs by providing a therapeutic product with high quality, safety, and efficiency.</w:t>
      </w:r>
    </w:p>
    <w:p w14:paraId="33FC4922" w14:textId="77777777" w:rsidR="00A77B3E" w:rsidRPr="00703F5C" w:rsidRDefault="00A77B3E">
      <w:pPr>
        <w:spacing w:line="360" w:lineRule="auto"/>
        <w:jc w:val="both"/>
        <w:rPr>
          <w:rFonts w:ascii="Book Antiqua" w:hAnsi="Book Antiqua"/>
          <w:color w:val="000000" w:themeColor="text1"/>
        </w:rPr>
      </w:pPr>
    </w:p>
    <w:p w14:paraId="320A94F5" w14:textId="15B931D6"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b/>
          <w:color w:val="000000" w:themeColor="text1"/>
        </w:rPr>
        <w:t>REFERENCES</w:t>
      </w:r>
      <w:bookmarkStart w:id="11" w:name="OLE_LINK17"/>
      <w:bookmarkStart w:id="12" w:name="OLE_LINK18"/>
    </w:p>
    <w:p w14:paraId="42342762" w14:textId="77777777" w:rsidR="00772CA2" w:rsidRPr="00432A10" w:rsidRDefault="00772CA2" w:rsidP="00432A10">
      <w:pPr>
        <w:spacing w:line="360" w:lineRule="auto"/>
        <w:jc w:val="both"/>
        <w:rPr>
          <w:rFonts w:ascii="Book Antiqua" w:hAnsi="Book Antiqua"/>
          <w:color w:val="000000"/>
        </w:rPr>
      </w:pPr>
      <w:bookmarkStart w:id="13" w:name="OLE_LINK16"/>
      <w:bookmarkStart w:id="14" w:name="OLE_LINK19"/>
      <w:bookmarkEnd w:id="11"/>
      <w:bookmarkEnd w:id="12"/>
      <w:r w:rsidRPr="00432A10">
        <w:rPr>
          <w:rFonts w:ascii="Book Antiqua" w:hAnsi="Book Antiqua"/>
          <w:color w:val="000000"/>
        </w:rPr>
        <w:t xml:space="preserve">1 </w:t>
      </w:r>
      <w:r w:rsidRPr="00432A10">
        <w:rPr>
          <w:rFonts w:ascii="Book Antiqua" w:hAnsi="Book Antiqua"/>
          <w:b/>
          <w:bCs/>
          <w:color w:val="000000"/>
        </w:rPr>
        <w:t>Giri TK</w:t>
      </w:r>
      <w:r w:rsidRPr="00432A10">
        <w:rPr>
          <w:rFonts w:ascii="Book Antiqua" w:hAnsi="Book Antiqua"/>
          <w:color w:val="000000"/>
        </w:rPr>
        <w:t xml:space="preserve">, Alexander A, Agrawal M, Saraf S, Saraf S, Ajazuddin. Current Status of Stem Cell Therapies in Tissue Repair and Regeneration. </w:t>
      </w:r>
      <w:r w:rsidRPr="00432A10">
        <w:rPr>
          <w:rFonts w:ascii="Book Antiqua" w:hAnsi="Book Antiqua"/>
          <w:i/>
          <w:iCs/>
          <w:color w:val="000000"/>
        </w:rPr>
        <w:t>Curr Stem Cell Res Ther</w:t>
      </w:r>
      <w:r w:rsidRPr="00432A10">
        <w:rPr>
          <w:rFonts w:ascii="Book Antiqua" w:hAnsi="Book Antiqua"/>
          <w:color w:val="000000"/>
        </w:rPr>
        <w:t xml:space="preserve"> 2019; </w:t>
      </w:r>
      <w:r w:rsidRPr="00432A10">
        <w:rPr>
          <w:rFonts w:ascii="Book Antiqua" w:hAnsi="Book Antiqua"/>
          <w:b/>
          <w:bCs/>
          <w:color w:val="000000"/>
        </w:rPr>
        <w:t>14</w:t>
      </w:r>
      <w:r w:rsidRPr="00432A10">
        <w:rPr>
          <w:rFonts w:ascii="Book Antiqua" w:hAnsi="Book Antiqua"/>
          <w:color w:val="000000"/>
        </w:rPr>
        <w:t>: 117-126 [PMID: 29732992 DOI: 10.2174/1574888X13666180502103831]</w:t>
      </w:r>
    </w:p>
    <w:p w14:paraId="65D7C1DA"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2 </w:t>
      </w:r>
      <w:r w:rsidRPr="00432A10">
        <w:rPr>
          <w:rFonts w:ascii="Book Antiqua" w:hAnsi="Book Antiqua"/>
          <w:b/>
          <w:bCs/>
          <w:color w:val="000000"/>
        </w:rPr>
        <w:t>De Francesco F</w:t>
      </w:r>
      <w:r w:rsidRPr="00432A10">
        <w:rPr>
          <w:rFonts w:ascii="Book Antiqua" w:hAnsi="Book Antiqua"/>
          <w:color w:val="000000"/>
        </w:rPr>
        <w:t xml:space="preserve">. Editorial: Mesenchymal Stem Cells and Interactions With Scaffolds - Biomaterials in Regenerative Medicine: From Research to Translational Applications. </w:t>
      </w:r>
      <w:r w:rsidRPr="00432A10">
        <w:rPr>
          <w:rFonts w:ascii="Book Antiqua" w:hAnsi="Book Antiqua"/>
          <w:i/>
          <w:iCs/>
          <w:color w:val="000000"/>
        </w:rPr>
        <w:t>Front Cell Dev Biol</w:t>
      </w:r>
      <w:r w:rsidRPr="00432A10">
        <w:rPr>
          <w:rFonts w:ascii="Book Antiqua" w:hAnsi="Book Antiqua"/>
          <w:color w:val="000000"/>
        </w:rPr>
        <w:t xml:space="preserve"> 2019; </w:t>
      </w:r>
      <w:r w:rsidRPr="00432A10">
        <w:rPr>
          <w:rFonts w:ascii="Book Antiqua" w:hAnsi="Book Antiqua"/>
          <w:b/>
          <w:bCs/>
          <w:color w:val="000000"/>
        </w:rPr>
        <w:t>7</w:t>
      </w:r>
      <w:r w:rsidRPr="00432A10">
        <w:rPr>
          <w:rFonts w:ascii="Book Antiqua" w:hAnsi="Book Antiqua"/>
          <w:color w:val="000000"/>
        </w:rPr>
        <w:t>: 193 [PMID: 31572725 DOI: 10.3389/fcell.2019.00193]</w:t>
      </w:r>
    </w:p>
    <w:p w14:paraId="2134AD93"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3 </w:t>
      </w:r>
      <w:r w:rsidRPr="00432A10">
        <w:rPr>
          <w:rFonts w:ascii="Book Antiqua" w:hAnsi="Book Antiqua"/>
          <w:b/>
          <w:bCs/>
          <w:color w:val="000000"/>
        </w:rPr>
        <w:t>Lim JE</w:t>
      </w:r>
      <w:r w:rsidRPr="00432A10">
        <w:rPr>
          <w:rFonts w:ascii="Book Antiqua" w:hAnsi="Book Antiqua"/>
          <w:color w:val="000000"/>
        </w:rPr>
        <w:t xml:space="preserve">, Son Y. Endogenous Stem Cells in Homeostasis and Aging. </w:t>
      </w:r>
      <w:r w:rsidRPr="00432A10">
        <w:rPr>
          <w:rFonts w:ascii="Book Antiqua" w:hAnsi="Book Antiqua"/>
          <w:i/>
          <w:iCs/>
          <w:color w:val="000000"/>
        </w:rPr>
        <w:t>Tissue Eng Regen Med</w:t>
      </w:r>
      <w:r w:rsidRPr="00432A10">
        <w:rPr>
          <w:rFonts w:ascii="Book Antiqua" w:hAnsi="Book Antiqua"/>
          <w:color w:val="000000"/>
        </w:rPr>
        <w:t xml:space="preserve"> 2017; </w:t>
      </w:r>
      <w:r w:rsidRPr="00432A10">
        <w:rPr>
          <w:rFonts w:ascii="Book Antiqua" w:hAnsi="Book Antiqua"/>
          <w:b/>
          <w:bCs/>
          <w:color w:val="000000"/>
        </w:rPr>
        <w:t>14</w:t>
      </w:r>
      <w:r w:rsidRPr="00432A10">
        <w:rPr>
          <w:rFonts w:ascii="Book Antiqua" w:hAnsi="Book Antiqua"/>
          <w:color w:val="000000"/>
        </w:rPr>
        <w:t>: 679-698 [PMID: 30603520 DOI: 10.1007/s13770-017-0097-3]</w:t>
      </w:r>
    </w:p>
    <w:p w14:paraId="7CF3B106" w14:textId="3C7B223E"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4 </w:t>
      </w:r>
      <w:r w:rsidRPr="00432A10">
        <w:rPr>
          <w:rFonts w:ascii="Book Antiqua" w:hAnsi="Book Antiqua"/>
          <w:b/>
          <w:bCs/>
          <w:color w:val="000000"/>
        </w:rPr>
        <w:t>Najar M</w:t>
      </w:r>
      <w:r w:rsidRPr="00432A10">
        <w:rPr>
          <w:rFonts w:ascii="Book Antiqua" w:hAnsi="Book Antiqua"/>
          <w:color w:val="000000"/>
        </w:rPr>
        <w:t xml:space="preserve">, Bouhtit F, Melki R, Afif H, Hamal A, Fahmi H, Merimi M, Lagneaux L. Mesenchymal Stromal Cell-Based Therapy: New Perspectives and Challenges. </w:t>
      </w:r>
      <w:r w:rsidRPr="00432A10">
        <w:rPr>
          <w:rFonts w:ascii="Book Antiqua" w:hAnsi="Book Antiqua"/>
          <w:i/>
          <w:iCs/>
          <w:color w:val="000000"/>
        </w:rPr>
        <w:t>J Clin Med</w:t>
      </w:r>
      <w:r w:rsidRPr="00432A10">
        <w:rPr>
          <w:rFonts w:ascii="Book Antiqua" w:hAnsi="Book Antiqua"/>
          <w:color w:val="000000"/>
        </w:rPr>
        <w:t xml:space="preserve"> 2019; </w:t>
      </w:r>
      <w:r w:rsidRPr="00432A10">
        <w:rPr>
          <w:rFonts w:ascii="Book Antiqua" w:hAnsi="Book Antiqua"/>
          <w:b/>
          <w:bCs/>
          <w:color w:val="000000"/>
        </w:rPr>
        <w:t>8</w:t>
      </w:r>
      <w:r w:rsidRPr="00432A10">
        <w:rPr>
          <w:rFonts w:ascii="Book Antiqua" w:hAnsi="Book Antiqua"/>
          <w:color w:val="000000"/>
        </w:rPr>
        <w:t xml:space="preserve">: </w:t>
      </w:r>
      <w:r w:rsidR="003B2815" w:rsidRPr="00703F5C">
        <w:rPr>
          <w:rStyle w:val="cit"/>
          <w:rFonts w:ascii="Book Antiqua" w:hAnsi="Book Antiqua"/>
        </w:rPr>
        <w:t>626</w:t>
      </w:r>
      <w:r w:rsidR="003B2815" w:rsidRPr="00432A10">
        <w:rPr>
          <w:rFonts w:ascii="Book Antiqua" w:hAnsi="Book Antiqua"/>
          <w:color w:val="000000"/>
        </w:rPr>
        <w:t xml:space="preserve"> </w:t>
      </w:r>
      <w:r w:rsidRPr="00432A10">
        <w:rPr>
          <w:rFonts w:ascii="Book Antiqua" w:hAnsi="Book Antiqua"/>
          <w:color w:val="000000"/>
        </w:rPr>
        <w:t>[PMID: 31071990 DOI: 10.3390/jcm8050626]</w:t>
      </w:r>
    </w:p>
    <w:p w14:paraId="2BDB1E1B"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5 </w:t>
      </w:r>
      <w:r w:rsidRPr="00432A10">
        <w:rPr>
          <w:rFonts w:ascii="Book Antiqua" w:hAnsi="Book Antiqua"/>
          <w:b/>
          <w:bCs/>
          <w:color w:val="000000"/>
        </w:rPr>
        <w:t>Loebel C</w:t>
      </w:r>
      <w:r w:rsidRPr="00432A10">
        <w:rPr>
          <w:rFonts w:ascii="Book Antiqua" w:hAnsi="Book Antiqua"/>
          <w:color w:val="000000"/>
        </w:rPr>
        <w:t xml:space="preserve">, Burdick JA. Engineering Stem and Stromal Cell Therapies for Musculoskeletal Tissue Repair. </w:t>
      </w:r>
      <w:r w:rsidRPr="00432A10">
        <w:rPr>
          <w:rFonts w:ascii="Book Antiqua" w:hAnsi="Book Antiqua"/>
          <w:i/>
          <w:iCs/>
          <w:color w:val="000000"/>
        </w:rPr>
        <w:t>Cell Stem Cell</w:t>
      </w:r>
      <w:r w:rsidRPr="00432A10">
        <w:rPr>
          <w:rFonts w:ascii="Book Antiqua" w:hAnsi="Book Antiqua"/>
          <w:color w:val="000000"/>
        </w:rPr>
        <w:t xml:space="preserve"> 2018; </w:t>
      </w:r>
      <w:r w:rsidRPr="00432A10">
        <w:rPr>
          <w:rFonts w:ascii="Book Antiqua" w:hAnsi="Book Antiqua"/>
          <w:b/>
          <w:bCs/>
          <w:color w:val="000000"/>
        </w:rPr>
        <w:t>22</w:t>
      </w:r>
      <w:r w:rsidRPr="00432A10">
        <w:rPr>
          <w:rFonts w:ascii="Book Antiqua" w:hAnsi="Book Antiqua"/>
          <w:color w:val="000000"/>
        </w:rPr>
        <w:t>: 325-339 [PMID: 29429944 DOI: 10.1016/j.stem.2018.01.014]</w:t>
      </w:r>
    </w:p>
    <w:p w14:paraId="101EAD15" w14:textId="6CC1C1C2"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6 </w:t>
      </w:r>
      <w:r w:rsidRPr="00432A10">
        <w:rPr>
          <w:rFonts w:ascii="Book Antiqua" w:hAnsi="Book Antiqua"/>
          <w:b/>
          <w:bCs/>
          <w:color w:val="000000"/>
        </w:rPr>
        <w:t>Zhou Y</w:t>
      </w:r>
      <w:r w:rsidRPr="00432A10">
        <w:rPr>
          <w:rFonts w:ascii="Book Antiqua" w:hAnsi="Book Antiqua"/>
          <w:color w:val="000000"/>
        </w:rPr>
        <w:t xml:space="preserve">, Yamamoto Y, Xiao Z, Ochiya T. The Immunomodulatory Functions of Mesenchymal Stromal/Stem Cells Mediated via Paracrine Activity. </w:t>
      </w:r>
      <w:r w:rsidRPr="00432A10">
        <w:rPr>
          <w:rFonts w:ascii="Book Antiqua" w:hAnsi="Book Antiqua"/>
          <w:i/>
          <w:iCs/>
          <w:color w:val="000000"/>
        </w:rPr>
        <w:t>J Clin Med</w:t>
      </w:r>
      <w:r w:rsidRPr="00432A10">
        <w:rPr>
          <w:rFonts w:ascii="Book Antiqua" w:hAnsi="Book Antiqua"/>
          <w:color w:val="000000"/>
        </w:rPr>
        <w:t xml:space="preserve"> 2019; </w:t>
      </w:r>
      <w:r w:rsidRPr="00432A10">
        <w:rPr>
          <w:rFonts w:ascii="Book Antiqua" w:hAnsi="Book Antiqua"/>
          <w:b/>
          <w:bCs/>
          <w:color w:val="000000"/>
        </w:rPr>
        <w:t>8</w:t>
      </w:r>
      <w:r w:rsidRPr="00432A10">
        <w:rPr>
          <w:rFonts w:ascii="Book Antiqua" w:hAnsi="Book Antiqua"/>
          <w:color w:val="000000"/>
        </w:rPr>
        <w:t>:</w:t>
      </w:r>
      <w:r w:rsidR="00D45833" w:rsidRPr="00432A10">
        <w:rPr>
          <w:rFonts w:ascii="Book Antiqua" w:hAnsi="Book Antiqua"/>
          <w:color w:val="000000"/>
        </w:rPr>
        <w:t xml:space="preserve"> 1025</w:t>
      </w:r>
      <w:r w:rsidRPr="00432A10">
        <w:rPr>
          <w:rFonts w:ascii="Book Antiqua" w:hAnsi="Book Antiqua"/>
          <w:color w:val="000000"/>
        </w:rPr>
        <w:t xml:space="preserve"> [PMID: 31336889 DOI: 10.3390/jcm8071025]</w:t>
      </w:r>
    </w:p>
    <w:p w14:paraId="03E2A5BF"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lastRenderedPageBreak/>
        <w:t xml:space="preserve">7 </w:t>
      </w:r>
      <w:r w:rsidRPr="00432A10">
        <w:rPr>
          <w:rFonts w:ascii="Book Antiqua" w:hAnsi="Book Antiqua"/>
          <w:b/>
          <w:bCs/>
          <w:color w:val="000000"/>
        </w:rPr>
        <w:t>Li L</w:t>
      </w:r>
      <w:r w:rsidRPr="00432A10">
        <w:rPr>
          <w:rFonts w:ascii="Book Antiqua" w:hAnsi="Book Antiqua"/>
          <w:color w:val="000000"/>
        </w:rPr>
        <w:t xml:space="preserve">, Chen X, Wang WE, Zeng C. How to Improve the Survival of Transplanted Mesenchymal Stem Cell in Ischemic Heart? </w:t>
      </w:r>
      <w:r w:rsidRPr="00432A10">
        <w:rPr>
          <w:rFonts w:ascii="Book Antiqua" w:hAnsi="Book Antiqua"/>
          <w:i/>
          <w:iCs/>
          <w:color w:val="000000"/>
        </w:rPr>
        <w:t>Stem Cells Int</w:t>
      </w:r>
      <w:r w:rsidRPr="00432A10">
        <w:rPr>
          <w:rFonts w:ascii="Book Antiqua" w:hAnsi="Book Antiqua"/>
          <w:color w:val="000000"/>
        </w:rPr>
        <w:t xml:space="preserve"> 2016; </w:t>
      </w:r>
      <w:r w:rsidRPr="00432A10">
        <w:rPr>
          <w:rFonts w:ascii="Book Antiqua" w:hAnsi="Book Antiqua"/>
          <w:b/>
          <w:bCs/>
          <w:color w:val="000000"/>
        </w:rPr>
        <w:t>2016</w:t>
      </w:r>
      <w:r w:rsidRPr="00432A10">
        <w:rPr>
          <w:rFonts w:ascii="Book Antiqua" w:hAnsi="Book Antiqua"/>
          <w:color w:val="000000"/>
        </w:rPr>
        <w:t>: 9682757 [PMID: 26681958 DOI: 10.1155/2016/9682757]</w:t>
      </w:r>
    </w:p>
    <w:p w14:paraId="28FD3CD2"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8 </w:t>
      </w:r>
      <w:r w:rsidRPr="00432A10">
        <w:rPr>
          <w:rFonts w:ascii="Book Antiqua" w:hAnsi="Book Antiqua"/>
          <w:b/>
          <w:bCs/>
          <w:color w:val="000000"/>
        </w:rPr>
        <w:t>Qi K</w:t>
      </w:r>
      <w:r w:rsidRPr="00432A10">
        <w:rPr>
          <w:rFonts w:ascii="Book Antiqua" w:hAnsi="Book Antiqua"/>
          <w:color w:val="000000"/>
        </w:rPr>
        <w:t xml:space="preserve">, Li N, Zhang Z, Melino G. Tissue regeneration: The crosstalk between mesenchymal stem cells and immune response. </w:t>
      </w:r>
      <w:r w:rsidRPr="00432A10">
        <w:rPr>
          <w:rFonts w:ascii="Book Antiqua" w:hAnsi="Book Antiqua"/>
          <w:i/>
          <w:iCs/>
          <w:color w:val="000000"/>
        </w:rPr>
        <w:t>Cell Immunol</w:t>
      </w:r>
      <w:r w:rsidRPr="00432A10">
        <w:rPr>
          <w:rFonts w:ascii="Book Antiqua" w:hAnsi="Book Antiqua"/>
          <w:color w:val="000000"/>
        </w:rPr>
        <w:t xml:space="preserve"> 2018; </w:t>
      </w:r>
      <w:r w:rsidRPr="00432A10">
        <w:rPr>
          <w:rFonts w:ascii="Book Antiqua" w:hAnsi="Book Antiqua"/>
          <w:b/>
          <w:bCs/>
          <w:color w:val="000000"/>
        </w:rPr>
        <w:t>326</w:t>
      </w:r>
      <w:r w:rsidRPr="00432A10">
        <w:rPr>
          <w:rFonts w:ascii="Book Antiqua" w:hAnsi="Book Antiqua"/>
          <w:color w:val="000000"/>
        </w:rPr>
        <w:t>: 86-93 [PMID: 29221689 DOI: 10.1016/j.cellimm.2017.11.010]</w:t>
      </w:r>
    </w:p>
    <w:p w14:paraId="1613131E"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9 </w:t>
      </w:r>
      <w:r w:rsidRPr="00432A10">
        <w:rPr>
          <w:rFonts w:ascii="Book Antiqua" w:hAnsi="Book Antiqua"/>
          <w:b/>
          <w:bCs/>
          <w:color w:val="000000"/>
        </w:rPr>
        <w:t>Michael S</w:t>
      </w:r>
      <w:r w:rsidRPr="00432A10">
        <w:rPr>
          <w:rFonts w:ascii="Book Antiqua" w:hAnsi="Book Antiqua"/>
          <w:color w:val="000000"/>
        </w:rPr>
        <w:t xml:space="preserve">, Achilleos C, Panayiotou T, Strati K. Inflammation Shapes Stem Cells and Stemness during Infection and Beyond. </w:t>
      </w:r>
      <w:r w:rsidRPr="00432A10">
        <w:rPr>
          <w:rFonts w:ascii="Book Antiqua" w:hAnsi="Book Antiqua"/>
          <w:i/>
          <w:iCs/>
          <w:color w:val="000000"/>
        </w:rPr>
        <w:t>Front Cell Dev Biol</w:t>
      </w:r>
      <w:r w:rsidRPr="00432A10">
        <w:rPr>
          <w:rFonts w:ascii="Book Antiqua" w:hAnsi="Book Antiqua"/>
          <w:color w:val="000000"/>
        </w:rPr>
        <w:t xml:space="preserve"> 2016; </w:t>
      </w:r>
      <w:r w:rsidRPr="00432A10">
        <w:rPr>
          <w:rFonts w:ascii="Book Antiqua" w:hAnsi="Book Antiqua"/>
          <w:b/>
          <w:bCs/>
          <w:color w:val="000000"/>
        </w:rPr>
        <w:t>4</w:t>
      </w:r>
      <w:r w:rsidRPr="00432A10">
        <w:rPr>
          <w:rFonts w:ascii="Book Antiqua" w:hAnsi="Book Antiqua"/>
          <w:color w:val="000000"/>
        </w:rPr>
        <w:t>: 118 [PMID: 27853732 DOI: 10.3389/fcell.2016.00118]</w:t>
      </w:r>
    </w:p>
    <w:p w14:paraId="74D11CAB"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10 </w:t>
      </w:r>
      <w:r w:rsidRPr="00432A10">
        <w:rPr>
          <w:rFonts w:ascii="Book Antiqua" w:hAnsi="Book Antiqua"/>
          <w:b/>
          <w:bCs/>
          <w:color w:val="000000"/>
        </w:rPr>
        <w:t>Guerrouahen BS</w:t>
      </w:r>
      <w:r w:rsidRPr="00432A10">
        <w:rPr>
          <w:rFonts w:ascii="Book Antiqua" w:hAnsi="Book Antiqua"/>
          <w:color w:val="000000"/>
        </w:rPr>
        <w:t xml:space="preserve">, Sidahmed H, Al Sulaiti A, Al Khulaifi M, Cugno C. Enhancing Mesenchymal Stromal Cell Immunomodulation for Treating Conditions Influenced by the Immune System. </w:t>
      </w:r>
      <w:r w:rsidRPr="00432A10">
        <w:rPr>
          <w:rFonts w:ascii="Book Antiqua" w:hAnsi="Book Antiqua"/>
          <w:i/>
          <w:iCs/>
          <w:color w:val="000000"/>
        </w:rPr>
        <w:t>Stem Cells Int</w:t>
      </w:r>
      <w:r w:rsidRPr="00432A10">
        <w:rPr>
          <w:rFonts w:ascii="Book Antiqua" w:hAnsi="Book Antiqua"/>
          <w:color w:val="000000"/>
        </w:rPr>
        <w:t xml:space="preserve"> 2019; </w:t>
      </w:r>
      <w:r w:rsidRPr="00432A10">
        <w:rPr>
          <w:rFonts w:ascii="Book Antiqua" w:hAnsi="Book Antiqua"/>
          <w:b/>
          <w:bCs/>
          <w:color w:val="000000"/>
        </w:rPr>
        <w:t>2019</w:t>
      </w:r>
      <w:r w:rsidRPr="00432A10">
        <w:rPr>
          <w:rFonts w:ascii="Book Antiqua" w:hAnsi="Book Antiqua"/>
          <w:color w:val="000000"/>
        </w:rPr>
        <w:t>: 7219297 [PMID: 31467564 DOI: 10.1155/2019/7219297]</w:t>
      </w:r>
    </w:p>
    <w:p w14:paraId="1545C3DC"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11 </w:t>
      </w:r>
      <w:r w:rsidRPr="00432A10">
        <w:rPr>
          <w:rFonts w:ascii="Book Antiqua" w:hAnsi="Book Antiqua"/>
          <w:b/>
          <w:bCs/>
          <w:color w:val="000000"/>
        </w:rPr>
        <w:t>Shi Y</w:t>
      </w:r>
      <w:r w:rsidRPr="00432A10">
        <w:rPr>
          <w:rFonts w:ascii="Book Antiqua" w:hAnsi="Book Antiqua"/>
          <w:color w:val="000000"/>
        </w:rPr>
        <w:t xml:space="preserve">, Cao J, Wang Y. Rethinking regeneration: empowerment of stem cells by inflammation. </w:t>
      </w:r>
      <w:r w:rsidRPr="00432A10">
        <w:rPr>
          <w:rFonts w:ascii="Book Antiqua" w:hAnsi="Book Antiqua"/>
          <w:i/>
          <w:iCs/>
          <w:color w:val="000000"/>
        </w:rPr>
        <w:t>Cell Death Differ</w:t>
      </w:r>
      <w:r w:rsidRPr="00432A10">
        <w:rPr>
          <w:rFonts w:ascii="Book Antiqua" w:hAnsi="Book Antiqua"/>
          <w:color w:val="000000"/>
        </w:rPr>
        <w:t xml:space="preserve"> 2015; </w:t>
      </w:r>
      <w:r w:rsidRPr="00432A10">
        <w:rPr>
          <w:rFonts w:ascii="Book Antiqua" w:hAnsi="Book Antiqua"/>
          <w:b/>
          <w:bCs/>
          <w:color w:val="000000"/>
        </w:rPr>
        <w:t>22</w:t>
      </w:r>
      <w:r w:rsidRPr="00432A10">
        <w:rPr>
          <w:rFonts w:ascii="Book Antiqua" w:hAnsi="Book Antiqua"/>
          <w:color w:val="000000"/>
        </w:rPr>
        <w:t>: 1891-1892 [PMID: 26549700 DOI: 10.1038/cdd.2015.127]</w:t>
      </w:r>
    </w:p>
    <w:p w14:paraId="30778C97"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12 </w:t>
      </w:r>
      <w:r w:rsidRPr="00432A10">
        <w:rPr>
          <w:rFonts w:ascii="Book Antiqua" w:hAnsi="Book Antiqua"/>
          <w:b/>
          <w:bCs/>
          <w:color w:val="000000"/>
        </w:rPr>
        <w:t>Sobacchi C</w:t>
      </w:r>
      <w:r w:rsidRPr="00432A10">
        <w:rPr>
          <w:rFonts w:ascii="Book Antiqua" w:hAnsi="Book Antiqua"/>
          <w:color w:val="000000"/>
        </w:rPr>
        <w:t xml:space="preserve">, Palagano E, Villa A, Menale C. Soluble Factors on Stage to Direct Mesenchymal Stem Cells Fate. </w:t>
      </w:r>
      <w:r w:rsidRPr="00432A10">
        <w:rPr>
          <w:rFonts w:ascii="Book Antiqua" w:hAnsi="Book Antiqua"/>
          <w:i/>
          <w:iCs/>
          <w:color w:val="000000"/>
        </w:rPr>
        <w:t>Front Bioeng Biotechnol</w:t>
      </w:r>
      <w:r w:rsidRPr="00432A10">
        <w:rPr>
          <w:rFonts w:ascii="Book Antiqua" w:hAnsi="Book Antiqua"/>
          <w:color w:val="000000"/>
        </w:rPr>
        <w:t xml:space="preserve"> 2017; </w:t>
      </w:r>
      <w:r w:rsidRPr="00432A10">
        <w:rPr>
          <w:rFonts w:ascii="Book Antiqua" w:hAnsi="Book Antiqua"/>
          <w:b/>
          <w:bCs/>
          <w:color w:val="000000"/>
        </w:rPr>
        <w:t>5</w:t>
      </w:r>
      <w:r w:rsidRPr="00432A10">
        <w:rPr>
          <w:rFonts w:ascii="Book Antiqua" w:hAnsi="Book Antiqua"/>
          <w:color w:val="000000"/>
        </w:rPr>
        <w:t>: 32 [PMID: 28567372 DOI: 10.3389/fbioe.2017.00032]</w:t>
      </w:r>
    </w:p>
    <w:p w14:paraId="75594323"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13 </w:t>
      </w:r>
      <w:r w:rsidRPr="00432A10">
        <w:rPr>
          <w:rFonts w:ascii="Book Antiqua" w:hAnsi="Book Antiqua"/>
          <w:b/>
          <w:bCs/>
          <w:color w:val="000000"/>
        </w:rPr>
        <w:t>García-Sánchez D</w:t>
      </w:r>
      <w:r w:rsidRPr="00432A10">
        <w:rPr>
          <w:rFonts w:ascii="Book Antiqua" w:hAnsi="Book Antiqua"/>
          <w:color w:val="000000"/>
        </w:rPr>
        <w:t xml:space="preserve">, Fernández D, Rodríguez-Rey JC, Pérez-Campo FM. Enhancing survival, engraftment, and osteogenic potential of mesenchymal stem cells. </w:t>
      </w:r>
      <w:r w:rsidRPr="00432A10">
        <w:rPr>
          <w:rFonts w:ascii="Book Antiqua" w:hAnsi="Book Antiqua"/>
          <w:i/>
          <w:iCs/>
          <w:color w:val="000000"/>
        </w:rPr>
        <w:t>World J Stem Cells</w:t>
      </w:r>
      <w:r w:rsidRPr="00432A10">
        <w:rPr>
          <w:rFonts w:ascii="Book Antiqua" w:hAnsi="Book Antiqua"/>
          <w:color w:val="000000"/>
        </w:rPr>
        <w:t xml:space="preserve"> 2019; </w:t>
      </w:r>
      <w:r w:rsidRPr="00432A10">
        <w:rPr>
          <w:rFonts w:ascii="Book Antiqua" w:hAnsi="Book Antiqua"/>
          <w:b/>
          <w:bCs/>
          <w:color w:val="000000"/>
        </w:rPr>
        <w:t>11</w:t>
      </w:r>
      <w:r w:rsidRPr="00432A10">
        <w:rPr>
          <w:rFonts w:ascii="Book Antiqua" w:hAnsi="Book Antiqua"/>
          <w:color w:val="000000"/>
        </w:rPr>
        <w:t>: 748-763 [PMID: 31692976 DOI: 10.4252/wjsc.v11.i10.748]</w:t>
      </w:r>
    </w:p>
    <w:p w14:paraId="7C717E16" w14:textId="6A1FA0D9"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14 </w:t>
      </w:r>
      <w:r w:rsidRPr="00432A10">
        <w:rPr>
          <w:rFonts w:ascii="Book Antiqua" w:hAnsi="Book Antiqua"/>
          <w:b/>
          <w:bCs/>
          <w:color w:val="000000"/>
        </w:rPr>
        <w:t>Durand N</w:t>
      </w:r>
      <w:r w:rsidRPr="00432A10">
        <w:rPr>
          <w:rFonts w:ascii="Book Antiqua" w:hAnsi="Book Antiqua"/>
          <w:color w:val="000000"/>
        </w:rPr>
        <w:t xml:space="preserve">, Russell A, Zubair AC. Effect of Comedications and Endotoxins on Mesenchymal Stem Cell Secretomes, Migratory and Immunomodulatory Capacity. </w:t>
      </w:r>
      <w:r w:rsidRPr="00432A10">
        <w:rPr>
          <w:rFonts w:ascii="Book Antiqua" w:hAnsi="Book Antiqua"/>
          <w:i/>
          <w:iCs/>
          <w:color w:val="000000"/>
        </w:rPr>
        <w:t>J Clin Med</w:t>
      </w:r>
      <w:r w:rsidRPr="00432A10">
        <w:rPr>
          <w:rFonts w:ascii="Book Antiqua" w:hAnsi="Book Antiqua"/>
          <w:color w:val="000000"/>
        </w:rPr>
        <w:t xml:space="preserve"> 2019; </w:t>
      </w:r>
      <w:r w:rsidRPr="00432A10">
        <w:rPr>
          <w:rFonts w:ascii="Book Antiqua" w:hAnsi="Book Antiqua"/>
          <w:b/>
          <w:bCs/>
          <w:color w:val="000000"/>
        </w:rPr>
        <w:t>8</w:t>
      </w:r>
      <w:r w:rsidRPr="00432A10">
        <w:rPr>
          <w:rFonts w:ascii="Book Antiqua" w:hAnsi="Book Antiqua"/>
          <w:color w:val="000000"/>
        </w:rPr>
        <w:t xml:space="preserve">: </w:t>
      </w:r>
      <w:r w:rsidR="00D45833" w:rsidRPr="00432A10">
        <w:rPr>
          <w:rFonts w:ascii="Book Antiqua" w:hAnsi="Book Antiqua"/>
          <w:color w:val="000000"/>
        </w:rPr>
        <w:t xml:space="preserve">497 </w:t>
      </w:r>
      <w:r w:rsidRPr="00432A10">
        <w:rPr>
          <w:rFonts w:ascii="Book Antiqua" w:hAnsi="Book Antiqua"/>
          <w:color w:val="000000"/>
        </w:rPr>
        <w:t>[PMID: 30979082 DOI: 10.3390/jcm8040497]</w:t>
      </w:r>
    </w:p>
    <w:p w14:paraId="28FF133F"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15 </w:t>
      </w:r>
      <w:r w:rsidRPr="00432A10">
        <w:rPr>
          <w:rFonts w:ascii="Book Antiqua" w:hAnsi="Book Antiqua"/>
          <w:b/>
          <w:bCs/>
          <w:color w:val="000000"/>
        </w:rPr>
        <w:t>Chen Z</w:t>
      </w:r>
      <w:r w:rsidRPr="00432A10">
        <w:rPr>
          <w:rFonts w:ascii="Book Antiqua" w:hAnsi="Book Antiqua"/>
          <w:color w:val="000000"/>
        </w:rPr>
        <w:t xml:space="preserve">, Chen L, Zeng C, Wang WE. Functionally Improved Mesenchymal Stem Cells to Better Treat Myocardial Infarction. </w:t>
      </w:r>
      <w:r w:rsidRPr="00432A10">
        <w:rPr>
          <w:rFonts w:ascii="Book Antiqua" w:hAnsi="Book Antiqua"/>
          <w:i/>
          <w:iCs/>
          <w:color w:val="000000"/>
        </w:rPr>
        <w:t>Stem Cells Int</w:t>
      </w:r>
      <w:r w:rsidRPr="00432A10">
        <w:rPr>
          <w:rFonts w:ascii="Book Antiqua" w:hAnsi="Book Antiqua"/>
          <w:color w:val="000000"/>
        </w:rPr>
        <w:t xml:space="preserve"> 2018; </w:t>
      </w:r>
      <w:r w:rsidRPr="00432A10">
        <w:rPr>
          <w:rFonts w:ascii="Book Antiqua" w:hAnsi="Book Antiqua"/>
          <w:b/>
          <w:bCs/>
          <w:color w:val="000000"/>
        </w:rPr>
        <w:t>2018</w:t>
      </w:r>
      <w:r w:rsidRPr="00432A10">
        <w:rPr>
          <w:rFonts w:ascii="Book Antiqua" w:hAnsi="Book Antiqua"/>
          <w:color w:val="000000"/>
        </w:rPr>
        <w:t>: 7045245 [PMID: 30622568 DOI: 10.1155/2018/7045245]</w:t>
      </w:r>
    </w:p>
    <w:p w14:paraId="5C921819"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lastRenderedPageBreak/>
        <w:t xml:space="preserve">16 </w:t>
      </w:r>
      <w:r w:rsidRPr="00432A10">
        <w:rPr>
          <w:rFonts w:ascii="Book Antiqua" w:hAnsi="Book Antiqua"/>
          <w:b/>
          <w:bCs/>
          <w:color w:val="000000"/>
        </w:rPr>
        <w:t>Saparov A</w:t>
      </w:r>
      <w:r w:rsidRPr="00432A10">
        <w:rPr>
          <w:rFonts w:ascii="Book Antiqua" w:hAnsi="Book Antiqua"/>
          <w:color w:val="000000"/>
        </w:rPr>
        <w:t xml:space="preserve">, Ogay V, Nurgozhin T, Jumabay M, Chen WC. Preconditioning of Human Mesenchymal Stem Cells to Enhance Their Regulation of the Immune Response. </w:t>
      </w:r>
      <w:r w:rsidRPr="00432A10">
        <w:rPr>
          <w:rFonts w:ascii="Book Antiqua" w:hAnsi="Book Antiqua"/>
          <w:i/>
          <w:iCs/>
          <w:color w:val="000000"/>
        </w:rPr>
        <w:t>Stem Cells Int</w:t>
      </w:r>
      <w:r w:rsidRPr="00432A10">
        <w:rPr>
          <w:rFonts w:ascii="Book Antiqua" w:hAnsi="Book Antiqua"/>
          <w:color w:val="000000"/>
        </w:rPr>
        <w:t xml:space="preserve"> 2016; </w:t>
      </w:r>
      <w:r w:rsidRPr="00432A10">
        <w:rPr>
          <w:rFonts w:ascii="Book Antiqua" w:hAnsi="Book Antiqua"/>
          <w:b/>
          <w:bCs/>
          <w:color w:val="000000"/>
        </w:rPr>
        <w:t>2016</w:t>
      </w:r>
      <w:r w:rsidRPr="00432A10">
        <w:rPr>
          <w:rFonts w:ascii="Book Antiqua" w:hAnsi="Book Antiqua"/>
          <w:color w:val="000000"/>
        </w:rPr>
        <w:t>: 3924858 [PMID: 27822228 DOI: 10.1155/2016/3924858]</w:t>
      </w:r>
    </w:p>
    <w:p w14:paraId="6BB36A78"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17 </w:t>
      </w:r>
      <w:r w:rsidRPr="00432A10">
        <w:rPr>
          <w:rFonts w:ascii="Book Antiqua" w:hAnsi="Book Antiqua"/>
          <w:b/>
          <w:bCs/>
          <w:color w:val="000000"/>
        </w:rPr>
        <w:t>Hu C</w:t>
      </w:r>
      <w:r w:rsidRPr="00432A10">
        <w:rPr>
          <w:rFonts w:ascii="Book Antiqua" w:hAnsi="Book Antiqua"/>
          <w:color w:val="000000"/>
        </w:rPr>
        <w:t xml:space="preserve">, Li L. Preconditioning influences mesenchymal stem cell properties in vitro and in vivo. </w:t>
      </w:r>
      <w:r w:rsidRPr="00432A10">
        <w:rPr>
          <w:rFonts w:ascii="Book Antiqua" w:hAnsi="Book Antiqua"/>
          <w:i/>
          <w:iCs/>
          <w:color w:val="000000"/>
        </w:rPr>
        <w:t>J Cell Mol Med</w:t>
      </w:r>
      <w:r w:rsidRPr="00432A10">
        <w:rPr>
          <w:rFonts w:ascii="Book Antiqua" w:hAnsi="Book Antiqua"/>
          <w:color w:val="000000"/>
        </w:rPr>
        <w:t xml:space="preserve"> 2018; </w:t>
      </w:r>
      <w:r w:rsidRPr="00432A10">
        <w:rPr>
          <w:rFonts w:ascii="Book Antiqua" w:hAnsi="Book Antiqua"/>
          <w:b/>
          <w:bCs/>
          <w:color w:val="000000"/>
        </w:rPr>
        <w:t>22</w:t>
      </w:r>
      <w:r w:rsidRPr="00432A10">
        <w:rPr>
          <w:rFonts w:ascii="Book Antiqua" w:hAnsi="Book Antiqua"/>
          <w:color w:val="000000"/>
        </w:rPr>
        <w:t>: 1428-1442 [PMID: 29392844 DOI: 10.1111/jcmm.13492]</w:t>
      </w:r>
    </w:p>
    <w:p w14:paraId="5D08734E"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18 </w:t>
      </w:r>
      <w:r w:rsidRPr="00432A10">
        <w:rPr>
          <w:rFonts w:ascii="Book Antiqua" w:hAnsi="Book Antiqua"/>
          <w:b/>
          <w:bCs/>
          <w:color w:val="000000"/>
        </w:rPr>
        <w:t>Zhao L</w:t>
      </w:r>
      <w:r w:rsidRPr="00432A10">
        <w:rPr>
          <w:rFonts w:ascii="Book Antiqua" w:hAnsi="Book Antiqua"/>
          <w:color w:val="000000"/>
        </w:rPr>
        <w:t xml:space="preserve">, Hu C, Han F, Cai F, Wang J, Chen J. Preconditioning is an effective strategy for improving the efficiency of mesenchymal stem cells in kidney transplantation. </w:t>
      </w:r>
      <w:r w:rsidRPr="00432A10">
        <w:rPr>
          <w:rFonts w:ascii="Book Antiqua" w:hAnsi="Book Antiqua"/>
          <w:i/>
          <w:iCs/>
          <w:color w:val="000000"/>
        </w:rPr>
        <w:t>Stem Cell Res Ther</w:t>
      </w:r>
      <w:r w:rsidRPr="00432A10">
        <w:rPr>
          <w:rFonts w:ascii="Book Antiqua" w:hAnsi="Book Antiqua"/>
          <w:color w:val="000000"/>
        </w:rPr>
        <w:t xml:space="preserve"> 2020; </w:t>
      </w:r>
      <w:r w:rsidRPr="00432A10">
        <w:rPr>
          <w:rFonts w:ascii="Book Antiqua" w:hAnsi="Book Antiqua"/>
          <w:b/>
          <w:bCs/>
          <w:color w:val="000000"/>
        </w:rPr>
        <w:t>11</w:t>
      </w:r>
      <w:r w:rsidRPr="00432A10">
        <w:rPr>
          <w:rFonts w:ascii="Book Antiqua" w:hAnsi="Book Antiqua"/>
          <w:color w:val="000000"/>
        </w:rPr>
        <w:t>: 197 [PMID: 32448356 DOI: 10.1186/s13287-020-01721-8]</w:t>
      </w:r>
    </w:p>
    <w:p w14:paraId="283C5EF7"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19 </w:t>
      </w:r>
      <w:r w:rsidRPr="00432A10">
        <w:rPr>
          <w:rFonts w:ascii="Book Antiqua" w:hAnsi="Book Antiqua"/>
          <w:b/>
          <w:bCs/>
          <w:color w:val="000000"/>
        </w:rPr>
        <w:t>Ocansey DKW</w:t>
      </w:r>
      <w:r w:rsidRPr="00432A10">
        <w:rPr>
          <w:rFonts w:ascii="Book Antiqua" w:hAnsi="Book Antiqua"/>
          <w:color w:val="000000"/>
        </w:rPr>
        <w:t xml:space="preserve">, Pei B, Yan Y, Qian H, Zhang X, Xu W, Mao F. Improved therapeutics of modified mesenchymal stem cells: an update. </w:t>
      </w:r>
      <w:r w:rsidRPr="00432A10">
        <w:rPr>
          <w:rFonts w:ascii="Book Antiqua" w:hAnsi="Book Antiqua"/>
          <w:i/>
          <w:iCs/>
          <w:color w:val="000000"/>
        </w:rPr>
        <w:t>J Transl Med</w:t>
      </w:r>
      <w:r w:rsidRPr="00432A10">
        <w:rPr>
          <w:rFonts w:ascii="Book Antiqua" w:hAnsi="Book Antiqua"/>
          <w:color w:val="000000"/>
        </w:rPr>
        <w:t xml:space="preserve"> 2020; </w:t>
      </w:r>
      <w:r w:rsidRPr="00432A10">
        <w:rPr>
          <w:rFonts w:ascii="Book Antiqua" w:hAnsi="Book Antiqua"/>
          <w:b/>
          <w:bCs/>
          <w:color w:val="000000"/>
        </w:rPr>
        <w:t>18</w:t>
      </w:r>
      <w:r w:rsidRPr="00432A10">
        <w:rPr>
          <w:rFonts w:ascii="Book Antiqua" w:hAnsi="Book Antiqua"/>
          <w:color w:val="000000"/>
        </w:rPr>
        <w:t>: 42 [PMID: 32000804 DOI: 10.1186/s12967-020-02234-x]</w:t>
      </w:r>
    </w:p>
    <w:p w14:paraId="2F13E53A"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20 </w:t>
      </w:r>
      <w:r w:rsidRPr="00432A10">
        <w:rPr>
          <w:rFonts w:ascii="Book Antiqua" w:hAnsi="Book Antiqua"/>
          <w:b/>
          <w:bCs/>
          <w:color w:val="000000"/>
        </w:rPr>
        <w:t>Lee S</w:t>
      </w:r>
      <w:r w:rsidRPr="00432A10">
        <w:rPr>
          <w:rFonts w:ascii="Book Antiqua" w:hAnsi="Book Antiqua"/>
          <w:color w:val="000000"/>
        </w:rPr>
        <w:t xml:space="preserve">, Choi E, Cha MJ, Hwang KC. Cell adhesion and long-term survival of transplanted mesenchymal stem cells: a prerequisite for cell therapy. </w:t>
      </w:r>
      <w:r w:rsidRPr="00432A10">
        <w:rPr>
          <w:rFonts w:ascii="Book Antiqua" w:hAnsi="Book Antiqua"/>
          <w:i/>
          <w:iCs/>
          <w:color w:val="000000"/>
        </w:rPr>
        <w:t>Oxid Med Cell Longev</w:t>
      </w:r>
      <w:r w:rsidRPr="00432A10">
        <w:rPr>
          <w:rFonts w:ascii="Book Antiqua" w:hAnsi="Book Antiqua"/>
          <w:color w:val="000000"/>
        </w:rPr>
        <w:t xml:space="preserve"> 2015; </w:t>
      </w:r>
      <w:r w:rsidRPr="00432A10">
        <w:rPr>
          <w:rFonts w:ascii="Book Antiqua" w:hAnsi="Book Antiqua"/>
          <w:b/>
          <w:bCs/>
          <w:color w:val="000000"/>
        </w:rPr>
        <w:t>2015</w:t>
      </w:r>
      <w:r w:rsidRPr="00432A10">
        <w:rPr>
          <w:rFonts w:ascii="Book Antiqua" w:hAnsi="Book Antiqua"/>
          <w:color w:val="000000"/>
        </w:rPr>
        <w:t>: 632902 [PMID: 25722795 DOI: 10.1155/2015/632902]</w:t>
      </w:r>
    </w:p>
    <w:p w14:paraId="294D9E17"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21 </w:t>
      </w:r>
      <w:r w:rsidRPr="00432A10">
        <w:rPr>
          <w:rFonts w:ascii="Book Antiqua" w:hAnsi="Book Antiqua"/>
          <w:b/>
          <w:bCs/>
          <w:color w:val="000000"/>
        </w:rPr>
        <w:t>Ezquer FE</w:t>
      </w:r>
      <w:r w:rsidRPr="00432A10">
        <w:rPr>
          <w:rFonts w:ascii="Book Antiqua" w:hAnsi="Book Antiqua"/>
          <w:color w:val="000000"/>
        </w:rPr>
        <w:t xml:space="preserve">, Ezquer ME, Vicencio JM, Calligaris SD. Two complementary strategies to improve cell engraftment in mesenchymal stem cell-based therapy: Increasing transplanted cell resistance and increasing tissue receptivity. </w:t>
      </w:r>
      <w:r w:rsidRPr="00432A10">
        <w:rPr>
          <w:rFonts w:ascii="Book Antiqua" w:hAnsi="Book Antiqua"/>
          <w:i/>
          <w:iCs/>
          <w:color w:val="000000"/>
        </w:rPr>
        <w:t>Cell Adh Migr</w:t>
      </w:r>
      <w:r w:rsidRPr="00432A10">
        <w:rPr>
          <w:rFonts w:ascii="Book Antiqua" w:hAnsi="Book Antiqua"/>
          <w:color w:val="000000"/>
        </w:rPr>
        <w:t xml:space="preserve"> 2017; </w:t>
      </w:r>
      <w:r w:rsidRPr="00432A10">
        <w:rPr>
          <w:rFonts w:ascii="Book Antiqua" w:hAnsi="Book Antiqua"/>
          <w:b/>
          <w:bCs/>
          <w:color w:val="000000"/>
        </w:rPr>
        <w:t>11</w:t>
      </w:r>
      <w:r w:rsidRPr="00432A10">
        <w:rPr>
          <w:rFonts w:ascii="Book Antiqua" w:hAnsi="Book Antiqua"/>
          <w:color w:val="000000"/>
        </w:rPr>
        <w:t>: 110-119 [PMID: 27294313 DOI: 10.1080/19336918.2016.1197480]</w:t>
      </w:r>
    </w:p>
    <w:p w14:paraId="21B69ECA"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22 </w:t>
      </w:r>
      <w:r w:rsidRPr="00432A10">
        <w:rPr>
          <w:rFonts w:ascii="Book Antiqua" w:hAnsi="Book Antiqua"/>
          <w:b/>
          <w:bCs/>
          <w:color w:val="000000"/>
        </w:rPr>
        <w:t>Noronha NC</w:t>
      </w:r>
      <w:r w:rsidRPr="00432A10">
        <w:rPr>
          <w:rFonts w:ascii="Book Antiqua" w:hAnsi="Book Antiqua"/>
          <w:color w:val="000000"/>
        </w:rPr>
        <w:t xml:space="preserve">, Mizukami A, Caliári-Oliveira C, Cominal JG, Rocha JLM, Covas DT, Swiech K, Malmegrim KCR. Priming approaches to improve the efficacy of mesenchymal stromal cell-based therapies. </w:t>
      </w:r>
      <w:r w:rsidRPr="00432A10">
        <w:rPr>
          <w:rFonts w:ascii="Book Antiqua" w:hAnsi="Book Antiqua"/>
          <w:i/>
          <w:iCs/>
          <w:color w:val="000000"/>
        </w:rPr>
        <w:t>Stem Cell Res Ther</w:t>
      </w:r>
      <w:r w:rsidRPr="00432A10">
        <w:rPr>
          <w:rFonts w:ascii="Book Antiqua" w:hAnsi="Book Antiqua"/>
          <w:color w:val="000000"/>
        </w:rPr>
        <w:t xml:space="preserve"> 2019; </w:t>
      </w:r>
      <w:r w:rsidRPr="00432A10">
        <w:rPr>
          <w:rFonts w:ascii="Book Antiqua" w:hAnsi="Book Antiqua"/>
          <w:b/>
          <w:bCs/>
          <w:color w:val="000000"/>
        </w:rPr>
        <w:t>10</w:t>
      </w:r>
      <w:r w:rsidRPr="00432A10">
        <w:rPr>
          <w:rFonts w:ascii="Book Antiqua" w:hAnsi="Book Antiqua"/>
          <w:color w:val="000000"/>
        </w:rPr>
        <w:t>: 131 [PMID: 31046833 DOI: 10.1186/s13287-019-1224-y]</w:t>
      </w:r>
    </w:p>
    <w:p w14:paraId="75F67B54"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23 </w:t>
      </w:r>
      <w:r w:rsidRPr="00432A10">
        <w:rPr>
          <w:rFonts w:ascii="Book Antiqua" w:hAnsi="Book Antiqua"/>
          <w:b/>
          <w:bCs/>
          <w:color w:val="000000"/>
        </w:rPr>
        <w:t>Rosová I</w:t>
      </w:r>
      <w:r w:rsidRPr="00432A10">
        <w:rPr>
          <w:rFonts w:ascii="Book Antiqua" w:hAnsi="Book Antiqua"/>
          <w:color w:val="000000"/>
        </w:rPr>
        <w:t xml:space="preserve">, Dao M, Capoccia B, Link D, Nolta JA. Hypoxic preconditioning results in increased motility and improved therapeutic potential of human mesenchymal stem cells. </w:t>
      </w:r>
      <w:r w:rsidRPr="00432A10">
        <w:rPr>
          <w:rFonts w:ascii="Book Antiqua" w:hAnsi="Book Antiqua"/>
          <w:i/>
          <w:iCs/>
          <w:color w:val="000000"/>
        </w:rPr>
        <w:t>Stem Cells</w:t>
      </w:r>
      <w:r w:rsidRPr="00432A10">
        <w:rPr>
          <w:rFonts w:ascii="Book Antiqua" w:hAnsi="Book Antiqua"/>
          <w:color w:val="000000"/>
        </w:rPr>
        <w:t xml:space="preserve"> 2008; </w:t>
      </w:r>
      <w:r w:rsidRPr="00432A10">
        <w:rPr>
          <w:rFonts w:ascii="Book Antiqua" w:hAnsi="Book Antiqua"/>
          <w:b/>
          <w:bCs/>
          <w:color w:val="000000"/>
        </w:rPr>
        <w:t>26</w:t>
      </w:r>
      <w:r w:rsidRPr="00432A10">
        <w:rPr>
          <w:rFonts w:ascii="Book Antiqua" w:hAnsi="Book Antiqua"/>
          <w:color w:val="000000"/>
        </w:rPr>
        <w:t>: 2173-2182 [PMID: 18511601 DOI: 10.1634/stemcells.2007-1104]</w:t>
      </w:r>
    </w:p>
    <w:p w14:paraId="0BE63E74"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24 </w:t>
      </w:r>
      <w:r w:rsidRPr="00432A10">
        <w:rPr>
          <w:rFonts w:ascii="Book Antiqua" w:hAnsi="Book Antiqua"/>
          <w:b/>
          <w:bCs/>
          <w:color w:val="000000"/>
        </w:rPr>
        <w:t>Zhao L</w:t>
      </w:r>
      <w:r w:rsidRPr="00432A10">
        <w:rPr>
          <w:rFonts w:ascii="Book Antiqua" w:hAnsi="Book Antiqua"/>
          <w:color w:val="000000"/>
        </w:rPr>
        <w:t xml:space="preserve">, Hu C, Zhang P, Jiang H, Chen J. Preconditioning strategies for improving the survival rate and paracrine ability of mesenchymal stem cells in acute kidney injury. </w:t>
      </w:r>
      <w:r w:rsidRPr="00432A10">
        <w:rPr>
          <w:rFonts w:ascii="Book Antiqua" w:hAnsi="Book Antiqua"/>
          <w:i/>
          <w:iCs/>
          <w:color w:val="000000"/>
        </w:rPr>
        <w:t>J Cell Mol Med</w:t>
      </w:r>
      <w:r w:rsidRPr="00432A10">
        <w:rPr>
          <w:rFonts w:ascii="Book Antiqua" w:hAnsi="Book Antiqua"/>
          <w:color w:val="000000"/>
        </w:rPr>
        <w:t xml:space="preserve"> 2019; </w:t>
      </w:r>
      <w:r w:rsidRPr="00432A10">
        <w:rPr>
          <w:rFonts w:ascii="Book Antiqua" w:hAnsi="Book Antiqua"/>
          <w:b/>
          <w:bCs/>
          <w:color w:val="000000"/>
        </w:rPr>
        <w:t>23</w:t>
      </w:r>
      <w:r w:rsidRPr="00432A10">
        <w:rPr>
          <w:rFonts w:ascii="Book Antiqua" w:hAnsi="Book Antiqua"/>
          <w:color w:val="000000"/>
        </w:rPr>
        <w:t>: 720-730 [PMID: 30484934 DOI: 10.1111/jcmm.14035]</w:t>
      </w:r>
    </w:p>
    <w:p w14:paraId="1AF6A236"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lastRenderedPageBreak/>
        <w:t xml:space="preserve">25 </w:t>
      </w:r>
      <w:r w:rsidRPr="00432A10">
        <w:rPr>
          <w:rFonts w:ascii="Book Antiqua" w:hAnsi="Book Antiqua"/>
          <w:b/>
          <w:bCs/>
          <w:color w:val="000000"/>
        </w:rPr>
        <w:t>Hwang OK</w:t>
      </w:r>
      <w:r w:rsidRPr="00432A10">
        <w:rPr>
          <w:rFonts w:ascii="Book Antiqua" w:hAnsi="Book Antiqua"/>
          <w:color w:val="000000"/>
        </w:rPr>
        <w:t xml:space="preserve">, Noh YW, Hong JT, Lee JW. Hypoxia Pretreatment Promotes Chondrocyte Differentiation of Human Adipose-Derived Stem Cells via Vascular Endothelial Growth Factor. </w:t>
      </w:r>
      <w:r w:rsidRPr="00432A10">
        <w:rPr>
          <w:rFonts w:ascii="Book Antiqua" w:hAnsi="Book Antiqua"/>
          <w:i/>
          <w:iCs/>
          <w:color w:val="000000"/>
        </w:rPr>
        <w:t>Tissue Eng Regen Med</w:t>
      </w:r>
      <w:r w:rsidRPr="00432A10">
        <w:rPr>
          <w:rFonts w:ascii="Book Antiqua" w:hAnsi="Book Antiqua"/>
          <w:color w:val="000000"/>
        </w:rPr>
        <w:t xml:space="preserve"> 2020; </w:t>
      </w:r>
      <w:r w:rsidRPr="00432A10">
        <w:rPr>
          <w:rFonts w:ascii="Book Antiqua" w:hAnsi="Book Antiqua"/>
          <w:b/>
          <w:bCs/>
          <w:color w:val="000000"/>
        </w:rPr>
        <w:t>17</w:t>
      </w:r>
      <w:r w:rsidRPr="00432A10">
        <w:rPr>
          <w:rFonts w:ascii="Book Antiqua" w:hAnsi="Book Antiqua"/>
          <w:color w:val="000000"/>
        </w:rPr>
        <w:t>: 335-350 [PMID: 32451775 DOI: 10.1007/s13770-020-00265-5]</w:t>
      </w:r>
    </w:p>
    <w:p w14:paraId="02B9C2B2"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26 </w:t>
      </w:r>
      <w:r w:rsidRPr="00432A10">
        <w:rPr>
          <w:rFonts w:ascii="Book Antiqua" w:hAnsi="Book Antiqua"/>
          <w:b/>
          <w:bCs/>
          <w:color w:val="000000"/>
        </w:rPr>
        <w:t>Huang Y</w:t>
      </w:r>
      <w:r w:rsidRPr="00432A10">
        <w:rPr>
          <w:rFonts w:ascii="Book Antiqua" w:hAnsi="Book Antiqua"/>
          <w:color w:val="000000"/>
        </w:rPr>
        <w:t xml:space="preserve">, Tan F, Zhuo Y, Liu J, He J, Duan D, Lu M, Hu Z. Hypoxia-preconditioned olfactory mucosa mesenchymal stem cells abolish cerebral ischemia/reperfusion-induced pyroptosis and apoptotic death of microglial cells by activating HIF-1α. </w:t>
      </w:r>
      <w:r w:rsidRPr="00432A10">
        <w:rPr>
          <w:rFonts w:ascii="Book Antiqua" w:hAnsi="Book Antiqua"/>
          <w:i/>
          <w:iCs/>
          <w:color w:val="000000"/>
        </w:rPr>
        <w:t xml:space="preserve">Aging </w:t>
      </w:r>
      <w:r w:rsidRPr="00432A10">
        <w:rPr>
          <w:rFonts w:ascii="Book Antiqua" w:hAnsi="Book Antiqua"/>
          <w:color w:val="000000"/>
        </w:rPr>
        <w:t xml:space="preserve">(Albany NY) 2020; </w:t>
      </w:r>
      <w:r w:rsidRPr="00432A10">
        <w:rPr>
          <w:rFonts w:ascii="Book Antiqua" w:hAnsi="Book Antiqua"/>
          <w:b/>
          <w:bCs/>
          <w:color w:val="000000"/>
        </w:rPr>
        <w:t>12</w:t>
      </w:r>
      <w:r w:rsidRPr="00432A10">
        <w:rPr>
          <w:rFonts w:ascii="Book Antiqua" w:hAnsi="Book Antiqua"/>
          <w:color w:val="000000"/>
        </w:rPr>
        <w:t>: 10931-10950 [PMID: 32507769 DOI: 10.18632/aging.103307]</w:t>
      </w:r>
    </w:p>
    <w:p w14:paraId="2B6EC84F"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27 </w:t>
      </w:r>
      <w:r w:rsidRPr="00432A10">
        <w:rPr>
          <w:rFonts w:ascii="Book Antiqua" w:hAnsi="Book Antiqua"/>
          <w:b/>
          <w:bCs/>
          <w:color w:val="000000"/>
        </w:rPr>
        <w:t>Martinez VG</w:t>
      </w:r>
      <w:r w:rsidRPr="00432A10">
        <w:rPr>
          <w:rFonts w:ascii="Book Antiqua" w:hAnsi="Book Antiqua"/>
          <w:color w:val="000000"/>
        </w:rPr>
        <w:t xml:space="preserve">, Ontoria-Oviedo I, Ricardo CP, Harding SE, Sacedon R, Varas A, Zapata A, Sepulveda P, Vicente A. Overexpression of hypoxia-inducible factor 1 alpha improves immunomodulation by dental mesenchymal stem cells. </w:t>
      </w:r>
      <w:r w:rsidRPr="00432A10">
        <w:rPr>
          <w:rFonts w:ascii="Book Antiqua" w:hAnsi="Book Antiqua"/>
          <w:i/>
          <w:iCs/>
          <w:color w:val="000000"/>
        </w:rPr>
        <w:t>Stem Cell Res Ther</w:t>
      </w:r>
      <w:r w:rsidRPr="00432A10">
        <w:rPr>
          <w:rFonts w:ascii="Book Antiqua" w:hAnsi="Book Antiqua"/>
          <w:color w:val="000000"/>
        </w:rPr>
        <w:t xml:space="preserve"> 2017; </w:t>
      </w:r>
      <w:r w:rsidRPr="00432A10">
        <w:rPr>
          <w:rFonts w:ascii="Book Antiqua" w:hAnsi="Book Antiqua"/>
          <w:b/>
          <w:bCs/>
          <w:color w:val="000000"/>
        </w:rPr>
        <w:t>8</w:t>
      </w:r>
      <w:r w:rsidRPr="00432A10">
        <w:rPr>
          <w:rFonts w:ascii="Book Antiqua" w:hAnsi="Book Antiqua"/>
          <w:color w:val="000000"/>
        </w:rPr>
        <w:t>: 208 [PMID: 28962641 DOI: 10.1186/s13287-017-0659-2]</w:t>
      </w:r>
    </w:p>
    <w:p w14:paraId="54074788"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28 </w:t>
      </w:r>
      <w:r w:rsidRPr="00432A10">
        <w:rPr>
          <w:rFonts w:ascii="Book Antiqua" w:hAnsi="Book Antiqua"/>
          <w:b/>
          <w:bCs/>
          <w:color w:val="000000"/>
        </w:rPr>
        <w:t>Najar M</w:t>
      </w:r>
      <w:r w:rsidRPr="00432A10">
        <w:rPr>
          <w:rFonts w:ascii="Book Antiqua" w:hAnsi="Book Antiqua"/>
          <w:color w:val="000000"/>
        </w:rPr>
        <w:t xml:space="preserve">, Raicevic G, Fayyad-Kazan H, De Bruyn C, Bron D, Toungouz M, Lagneaux L. Bone Marrow Mesenchymal Stromal Cells Induce Proliferative, Cytokinic and Molecular Changes During the T Cell Response: The Importance of the IL-10/CD210 Axis. </w:t>
      </w:r>
      <w:r w:rsidRPr="00432A10">
        <w:rPr>
          <w:rFonts w:ascii="Book Antiqua" w:hAnsi="Book Antiqua"/>
          <w:i/>
          <w:iCs/>
          <w:color w:val="000000"/>
        </w:rPr>
        <w:t>Stem Cell Rev Rep</w:t>
      </w:r>
      <w:r w:rsidRPr="00432A10">
        <w:rPr>
          <w:rFonts w:ascii="Book Antiqua" w:hAnsi="Book Antiqua"/>
          <w:color w:val="000000"/>
        </w:rPr>
        <w:t xml:space="preserve"> 2015; </w:t>
      </w:r>
      <w:r w:rsidRPr="00432A10">
        <w:rPr>
          <w:rFonts w:ascii="Book Antiqua" w:hAnsi="Book Antiqua"/>
          <w:b/>
          <w:bCs/>
          <w:color w:val="000000"/>
        </w:rPr>
        <w:t>11</w:t>
      </w:r>
      <w:r w:rsidRPr="00432A10">
        <w:rPr>
          <w:rFonts w:ascii="Book Antiqua" w:hAnsi="Book Antiqua"/>
          <w:color w:val="000000"/>
        </w:rPr>
        <w:t>: 442-452 [PMID: 25326368 DOI: 10.1007/s12015-014-9567-3]</w:t>
      </w:r>
    </w:p>
    <w:p w14:paraId="36500C2A"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29 </w:t>
      </w:r>
      <w:r w:rsidRPr="00432A10">
        <w:rPr>
          <w:rFonts w:ascii="Book Antiqua" w:hAnsi="Book Antiqua"/>
          <w:b/>
          <w:bCs/>
          <w:color w:val="000000"/>
        </w:rPr>
        <w:t>Zhao L</w:t>
      </w:r>
      <w:r w:rsidRPr="00432A10">
        <w:rPr>
          <w:rFonts w:ascii="Book Antiqua" w:hAnsi="Book Antiqua"/>
          <w:color w:val="000000"/>
        </w:rPr>
        <w:t xml:space="preserve">, Hu C, Zhang P, Jiang H, Chen J. Melatonin preconditioning is an effective strategy for mesenchymal stem cell-based therapy for kidney disease. </w:t>
      </w:r>
      <w:r w:rsidRPr="00432A10">
        <w:rPr>
          <w:rFonts w:ascii="Book Antiqua" w:hAnsi="Book Antiqua"/>
          <w:i/>
          <w:iCs/>
          <w:color w:val="000000"/>
        </w:rPr>
        <w:t>J Cell Mol Med</w:t>
      </w:r>
      <w:r w:rsidRPr="00432A10">
        <w:rPr>
          <w:rFonts w:ascii="Book Antiqua" w:hAnsi="Book Antiqua"/>
          <w:color w:val="000000"/>
        </w:rPr>
        <w:t xml:space="preserve"> 2020; </w:t>
      </w:r>
      <w:r w:rsidRPr="00432A10">
        <w:rPr>
          <w:rFonts w:ascii="Book Antiqua" w:hAnsi="Book Antiqua"/>
          <w:b/>
          <w:bCs/>
          <w:color w:val="000000"/>
        </w:rPr>
        <w:t>24</w:t>
      </w:r>
      <w:r w:rsidRPr="00432A10">
        <w:rPr>
          <w:rFonts w:ascii="Book Antiqua" w:hAnsi="Book Antiqua"/>
          <w:color w:val="000000"/>
        </w:rPr>
        <w:t>: 25-33 [PMID: 31747719 DOI: 10.1111/jcmm.14769]</w:t>
      </w:r>
    </w:p>
    <w:p w14:paraId="37EF8658"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30 </w:t>
      </w:r>
      <w:r w:rsidRPr="00432A10">
        <w:rPr>
          <w:rFonts w:ascii="Book Antiqua" w:hAnsi="Book Antiqua"/>
          <w:b/>
          <w:bCs/>
          <w:color w:val="000000"/>
        </w:rPr>
        <w:t>Yin L</w:t>
      </w:r>
      <w:r w:rsidRPr="00432A10">
        <w:rPr>
          <w:rFonts w:ascii="Book Antiqua" w:hAnsi="Book Antiqua"/>
          <w:color w:val="000000"/>
        </w:rPr>
        <w:t xml:space="preserve">, Huang D, Liu X, Wang Y, Liu J, Liu F, Yu B. Omentin-1 effects on mesenchymal stem cells: proliferation, apoptosis, and angiogenesis in vitro. </w:t>
      </w:r>
      <w:r w:rsidRPr="00432A10">
        <w:rPr>
          <w:rFonts w:ascii="Book Antiqua" w:hAnsi="Book Antiqua"/>
          <w:i/>
          <w:iCs/>
          <w:color w:val="000000"/>
        </w:rPr>
        <w:t>Stem Cell Res Ther</w:t>
      </w:r>
      <w:r w:rsidRPr="00432A10">
        <w:rPr>
          <w:rFonts w:ascii="Book Antiqua" w:hAnsi="Book Antiqua"/>
          <w:color w:val="000000"/>
        </w:rPr>
        <w:t xml:space="preserve"> 2017; </w:t>
      </w:r>
      <w:r w:rsidRPr="00432A10">
        <w:rPr>
          <w:rFonts w:ascii="Book Antiqua" w:hAnsi="Book Antiqua"/>
          <w:b/>
          <w:bCs/>
          <w:color w:val="000000"/>
        </w:rPr>
        <w:t>8</w:t>
      </w:r>
      <w:r w:rsidRPr="00432A10">
        <w:rPr>
          <w:rFonts w:ascii="Book Antiqua" w:hAnsi="Book Antiqua"/>
          <w:color w:val="000000"/>
        </w:rPr>
        <w:t>: 224 [PMID: 29017592 DOI: 10.1186/s13287-017-0676-1]</w:t>
      </w:r>
    </w:p>
    <w:p w14:paraId="7B01A4B3"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31 </w:t>
      </w:r>
      <w:r w:rsidRPr="00432A10">
        <w:rPr>
          <w:rFonts w:ascii="Book Antiqua" w:hAnsi="Book Antiqua"/>
          <w:b/>
          <w:bCs/>
          <w:color w:val="000000"/>
        </w:rPr>
        <w:t>Mehrbani Azar Y</w:t>
      </w:r>
      <w:r w:rsidRPr="00432A10">
        <w:rPr>
          <w:rFonts w:ascii="Book Antiqua" w:hAnsi="Book Antiqua"/>
          <w:color w:val="000000"/>
        </w:rPr>
        <w:t xml:space="preserve">, Niesler CU, van de Vyver M. Ex vivo antioxidant preconditioning improves the survival rate of bone marrow stem cells in the presence of wound fluid. </w:t>
      </w:r>
      <w:r w:rsidRPr="00432A10">
        <w:rPr>
          <w:rFonts w:ascii="Book Antiqua" w:hAnsi="Book Antiqua"/>
          <w:i/>
          <w:iCs/>
          <w:color w:val="000000"/>
        </w:rPr>
        <w:t>Wound Repair Regen</w:t>
      </w:r>
      <w:r w:rsidRPr="00432A10">
        <w:rPr>
          <w:rFonts w:ascii="Book Antiqua" w:hAnsi="Book Antiqua"/>
          <w:color w:val="000000"/>
        </w:rPr>
        <w:t xml:space="preserve"> 2020; </w:t>
      </w:r>
      <w:r w:rsidRPr="00432A10">
        <w:rPr>
          <w:rFonts w:ascii="Book Antiqua" w:hAnsi="Book Antiqua"/>
          <w:b/>
          <w:bCs/>
          <w:color w:val="000000"/>
        </w:rPr>
        <w:t>28</w:t>
      </w:r>
      <w:r w:rsidRPr="00432A10">
        <w:rPr>
          <w:rFonts w:ascii="Book Antiqua" w:hAnsi="Book Antiqua"/>
          <w:color w:val="000000"/>
        </w:rPr>
        <w:t>: 506-516 [PMID: 32281194 DOI: 10.1111/wrr.12815]</w:t>
      </w:r>
    </w:p>
    <w:p w14:paraId="091852DA" w14:textId="5439DBDE"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32 </w:t>
      </w:r>
      <w:r w:rsidRPr="00432A10">
        <w:rPr>
          <w:rFonts w:ascii="Book Antiqua" w:hAnsi="Book Antiqua"/>
          <w:b/>
          <w:bCs/>
          <w:color w:val="000000"/>
        </w:rPr>
        <w:t>Di Giovanni E</w:t>
      </w:r>
      <w:r w:rsidRPr="00432A10">
        <w:rPr>
          <w:rFonts w:ascii="Book Antiqua" w:hAnsi="Book Antiqua"/>
          <w:color w:val="000000"/>
        </w:rPr>
        <w:t xml:space="preserve">, Buonvino S, Amelio I, Melino S. Glutathione-Allylsulfur Conjugates as Mesenchymal Stem Cells Stimulating Agents for Potential Applications in Tissue Repair. </w:t>
      </w:r>
      <w:r w:rsidRPr="00432A10">
        <w:rPr>
          <w:rFonts w:ascii="Book Antiqua" w:hAnsi="Book Antiqua"/>
          <w:i/>
          <w:iCs/>
          <w:color w:val="000000"/>
        </w:rPr>
        <w:t>Int J Mol Sci</w:t>
      </w:r>
      <w:r w:rsidRPr="00432A10">
        <w:rPr>
          <w:rFonts w:ascii="Book Antiqua" w:hAnsi="Book Antiqua"/>
          <w:color w:val="000000"/>
        </w:rPr>
        <w:t xml:space="preserve"> 2020; </w:t>
      </w:r>
      <w:r w:rsidRPr="00432A10">
        <w:rPr>
          <w:rFonts w:ascii="Book Antiqua" w:hAnsi="Book Antiqua"/>
          <w:b/>
          <w:bCs/>
          <w:color w:val="000000"/>
        </w:rPr>
        <w:t>21</w:t>
      </w:r>
      <w:r w:rsidRPr="00432A10">
        <w:rPr>
          <w:rFonts w:ascii="Book Antiqua" w:hAnsi="Book Antiqua"/>
          <w:color w:val="000000"/>
        </w:rPr>
        <w:t>:</w:t>
      </w:r>
      <w:r w:rsidR="00D45833" w:rsidRPr="00432A10">
        <w:rPr>
          <w:rFonts w:ascii="Book Antiqua" w:hAnsi="Book Antiqua"/>
          <w:color w:val="000000"/>
        </w:rPr>
        <w:t xml:space="preserve"> 1638</w:t>
      </w:r>
      <w:r w:rsidRPr="00432A10">
        <w:rPr>
          <w:rFonts w:ascii="Book Antiqua" w:hAnsi="Book Antiqua"/>
          <w:color w:val="000000"/>
        </w:rPr>
        <w:t xml:space="preserve"> [PMID: 32121252 DOI: 10.3390/ijms21051638]</w:t>
      </w:r>
    </w:p>
    <w:p w14:paraId="052F375C"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lastRenderedPageBreak/>
        <w:t xml:space="preserve">33 </w:t>
      </w:r>
      <w:r w:rsidRPr="00432A10">
        <w:rPr>
          <w:rFonts w:ascii="Book Antiqua" w:hAnsi="Book Antiqua"/>
          <w:b/>
          <w:bCs/>
          <w:color w:val="000000"/>
        </w:rPr>
        <w:t>Basmaeil Y</w:t>
      </w:r>
      <w:r w:rsidRPr="00432A10">
        <w:rPr>
          <w:rFonts w:ascii="Book Antiqua" w:hAnsi="Book Antiqua"/>
          <w:color w:val="000000"/>
        </w:rPr>
        <w:t xml:space="preserve">, Rashid MA, Khatlani T, AlShabibi M, Bahattab E, Abdullah ML, Abomaray F, Kalionis B, Massoudi S, Abumaree M. Preconditioning of Human Decidua Basalis Mesenchymal Stem/Stromal Cells with Glucose Increased Their Engraftment and Anti-diabetic Properties. </w:t>
      </w:r>
      <w:r w:rsidRPr="00432A10">
        <w:rPr>
          <w:rFonts w:ascii="Book Antiqua" w:hAnsi="Book Antiqua"/>
          <w:i/>
          <w:iCs/>
          <w:color w:val="000000"/>
        </w:rPr>
        <w:t>Tissue Eng Regen Med</w:t>
      </w:r>
      <w:r w:rsidRPr="00432A10">
        <w:rPr>
          <w:rFonts w:ascii="Book Antiqua" w:hAnsi="Book Antiqua"/>
          <w:color w:val="000000"/>
        </w:rPr>
        <w:t xml:space="preserve"> 2020; </w:t>
      </w:r>
      <w:r w:rsidRPr="00432A10">
        <w:rPr>
          <w:rFonts w:ascii="Book Antiqua" w:hAnsi="Book Antiqua"/>
          <w:b/>
          <w:bCs/>
          <w:color w:val="000000"/>
        </w:rPr>
        <w:t>17</w:t>
      </w:r>
      <w:r w:rsidRPr="00432A10">
        <w:rPr>
          <w:rFonts w:ascii="Book Antiqua" w:hAnsi="Book Antiqua"/>
          <w:color w:val="000000"/>
        </w:rPr>
        <w:t>: 209-222 [PMID: 32077075 DOI: 10.1007/s13770-020-00239-7]</w:t>
      </w:r>
    </w:p>
    <w:p w14:paraId="7F6B86CE"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34 </w:t>
      </w:r>
      <w:r w:rsidRPr="00432A10">
        <w:rPr>
          <w:rFonts w:ascii="Book Antiqua" w:hAnsi="Book Antiqua"/>
          <w:b/>
          <w:bCs/>
          <w:color w:val="000000"/>
        </w:rPr>
        <w:t>Dos Santos GG</w:t>
      </w:r>
      <w:r w:rsidRPr="00432A10">
        <w:rPr>
          <w:rFonts w:ascii="Book Antiqua" w:hAnsi="Book Antiqua"/>
          <w:color w:val="000000"/>
        </w:rPr>
        <w:t xml:space="preserve">, Hastreiter AA, Sartori T, Borelli P, Fock RA. L-Glutamine in vitro Modulates some Immunomodulatory Properties of Bone Marrow Mesenchymal Stem Cells. </w:t>
      </w:r>
      <w:r w:rsidRPr="00432A10">
        <w:rPr>
          <w:rFonts w:ascii="Book Antiqua" w:hAnsi="Book Antiqua"/>
          <w:i/>
          <w:iCs/>
          <w:color w:val="000000"/>
        </w:rPr>
        <w:t>Stem Cell Rev Rep</w:t>
      </w:r>
      <w:r w:rsidRPr="00432A10">
        <w:rPr>
          <w:rFonts w:ascii="Book Antiqua" w:hAnsi="Book Antiqua"/>
          <w:color w:val="000000"/>
        </w:rPr>
        <w:t xml:space="preserve"> 2017; </w:t>
      </w:r>
      <w:r w:rsidRPr="00432A10">
        <w:rPr>
          <w:rFonts w:ascii="Book Antiqua" w:hAnsi="Book Antiqua"/>
          <w:b/>
          <w:bCs/>
          <w:color w:val="000000"/>
        </w:rPr>
        <w:t>13</w:t>
      </w:r>
      <w:r w:rsidRPr="00432A10">
        <w:rPr>
          <w:rFonts w:ascii="Book Antiqua" w:hAnsi="Book Antiqua"/>
          <w:color w:val="000000"/>
        </w:rPr>
        <w:t>: 482-490 [PMID: 28593472 DOI: 10.1007/s12015-017-9746-0]</w:t>
      </w:r>
    </w:p>
    <w:p w14:paraId="5B1F8A7D"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35 </w:t>
      </w:r>
      <w:r w:rsidRPr="00432A10">
        <w:rPr>
          <w:rFonts w:ascii="Book Antiqua" w:hAnsi="Book Antiqua"/>
          <w:b/>
          <w:bCs/>
          <w:color w:val="000000"/>
        </w:rPr>
        <w:t>Chen Y</w:t>
      </w:r>
      <w:r w:rsidRPr="00432A10">
        <w:rPr>
          <w:rFonts w:ascii="Book Antiqua" w:hAnsi="Book Antiqua"/>
          <w:color w:val="000000"/>
        </w:rPr>
        <w:t xml:space="preserve">, Shu Z, Qian K, Wang J, Zhu H. Harnessing the Properties of Biomaterial to Enhance the Immunomodulation of Mesenchymal Stem Cells. </w:t>
      </w:r>
      <w:r w:rsidRPr="00432A10">
        <w:rPr>
          <w:rFonts w:ascii="Book Antiqua" w:hAnsi="Book Antiqua"/>
          <w:i/>
          <w:iCs/>
          <w:color w:val="000000"/>
        </w:rPr>
        <w:t>Tissue Eng Part B Rev</w:t>
      </w:r>
      <w:r w:rsidRPr="00432A10">
        <w:rPr>
          <w:rFonts w:ascii="Book Antiqua" w:hAnsi="Book Antiqua"/>
          <w:color w:val="000000"/>
        </w:rPr>
        <w:t xml:space="preserve"> 2019; </w:t>
      </w:r>
      <w:r w:rsidRPr="00432A10">
        <w:rPr>
          <w:rFonts w:ascii="Book Antiqua" w:hAnsi="Book Antiqua"/>
          <w:b/>
          <w:bCs/>
          <w:color w:val="000000"/>
        </w:rPr>
        <w:t>25</w:t>
      </w:r>
      <w:r w:rsidRPr="00432A10">
        <w:rPr>
          <w:rFonts w:ascii="Book Antiqua" w:hAnsi="Book Antiqua"/>
          <w:color w:val="000000"/>
        </w:rPr>
        <w:t>: 492-499 [PMID: 31436142 DOI: 10.1089/ten.TEB.2019.0131]</w:t>
      </w:r>
    </w:p>
    <w:p w14:paraId="6410CEC6"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36 </w:t>
      </w:r>
      <w:r w:rsidRPr="00432A10">
        <w:rPr>
          <w:rFonts w:ascii="Book Antiqua" w:hAnsi="Book Antiqua"/>
          <w:b/>
          <w:bCs/>
          <w:color w:val="000000"/>
        </w:rPr>
        <w:t>Philippart P</w:t>
      </w:r>
      <w:r w:rsidRPr="00432A10">
        <w:rPr>
          <w:rFonts w:ascii="Book Antiqua" w:hAnsi="Book Antiqua"/>
          <w:color w:val="000000"/>
        </w:rPr>
        <w:t xml:space="preserve">, Meuleman N, Stamatopoulos B, Najar M, Pieters K, De Bruyn C, Bron D, Lagneaux L. In vivo production of mesenchymal stromal cells after injection of autologous platelet-rich plasma activated by recombinant human soluble tissue factor in the bone marrow of healthy volunteers. </w:t>
      </w:r>
      <w:r w:rsidRPr="00432A10">
        <w:rPr>
          <w:rFonts w:ascii="Book Antiqua" w:hAnsi="Book Antiqua"/>
          <w:i/>
          <w:iCs/>
          <w:color w:val="000000"/>
        </w:rPr>
        <w:t>Tissue Eng Part A</w:t>
      </w:r>
      <w:r w:rsidRPr="00432A10">
        <w:rPr>
          <w:rFonts w:ascii="Book Antiqua" w:hAnsi="Book Antiqua"/>
          <w:color w:val="000000"/>
        </w:rPr>
        <w:t xml:space="preserve"> 2014; </w:t>
      </w:r>
      <w:r w:rsidRPr="00432A10">
        <w:rPr>
          <w:rFonts w:ascii="Book Antiqua" w:hAnsi="Book Antiqua"/>
          <w:b/>
          <w:bCs/>
          <w:color w:val="000000"/>
        </w:rPr>
        <w:t>20</w:t>
      </w:r>
      <w:r w:rsidRPr="00432A10">
        <w:rPr>
          <w:rFonts w:ascii="Book Antiqua" w:hAnsi="Book Antiqua"/>
          <w:color w:val="000000"/>
        </w:rPr>
        <w:t>: 160-170 [PMID: 23924315 DOI: 10.1089/ten.TEA.2013.0244]</w:t>
      </w:r>
    </w:p>
    <w:p w14:paraId="73D97B50"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37 </w:t>
      </w:r>
      <w:r w:rsidRPr="00432A10">
        <w:rPr>
          <w:rFonts w:ascii="Book Antiqua" w:hAnsi="Book Antiqua"/>
          <w:b/>
          <w:bCs/>
          <w:color w:val="000000"/>
        </w:rPr>
        <w:t>Li Y</w:t>
      </w:r>
      <w:r w:rsidRPr="00432A10">
        <w:rPr>
          <w:rFonts w:ascii="Book Antiqua" w:hAnsi="Book Antiqua"/>
          <w:color w:val="000000"/>
        </w:rPr>
        <w:t xml:space="preserve">, Lin F. Mesenchymal stem cells are injured by complement after their contact with serum. </w:t>
      </w:r>
      <w:r w:rsidRPr="00432A10">
        <w:rPr>
          <w:rFonts w:ascii="Book Antiqua" w:hAnsi="Book Antiqua"/>
          <w:i/>
          <w:iCs/>
          <w:color w:val="000000"/>
        </w:rPr>
        <w:t>Blood</w:t>
      </w:r>
      <w:r w:rsidRPr="00432A10">
        <w:rPr>
          <w:rFonts w:ascii="Book Antiqua" w:hAnsi="Book Antiqua"/>
          <w:color w:val="000000"/>
        </w:rPr>
        <w:t xml:space="preserve"> 2012; </w:t>
      </w:r>
      <w:r w:rsidRPr="00432A10">
        <w:rPr>
          <w:rFonts w:ascii="Book Antiqua" w:hAnsi="Book Antiqua"/>
          <w:b/>
          <w:bCs/>
          <w:color w:val="000000"/>
        </w:rPr>
        <w:t>120</w:t>
      </w:r>
      <w:r w:rsidRPr="00432A10">
        <w:rPr>
          <w:rFonts w:ascii="Book Antiqua" w:hAnsi="Book Antiqua"/>
          <w:color w:val="000000"/>
        </w:rPr>
        <w:t>: 3436-3443 [PMID: 22966167 DOI: 10.1182/blood-2012-03-420612]</w:t>
      </w:r>
    </w:p>
    <w:p w14:paraId="795C8FCA"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38 </w:t>
      </w:r>
      <w:r w:rsidRPr="00432A10">
        <w:rPr>
          <w:rFonts w:ascii="Book Antiqua" w:hAnsi="Book Antiqua"/>
          <w:b/>
          <w:bCs/>
          <w:color w:val="000000"/>
        </w:rPr>
        <w:t>Moll G</w:t>
      </w:r>
      <w:r w:rsidRPr="00432A10">
        <w:rPr>
          <w:rFonts w:ascii="Book Antiqua" w:hAnsi="Book Antiqua"/>
          <w:color w:val="000000"/>
        </w:rPr>
        <w:t xml:space="preserve">, Jitschin R, von Bahr L, Rasmusson-Duprez I, Sundberg B, Lönnies L, Elgue G, Nilsson-Ekdahl K, Mougiakakos D, Lambris JD, Ringdén O, Le Blanc K, Nilsson B. Mesenchymal stromal cells engage complement and complement receptor bearing innate effector cells to modulate immune responses. </w:t>
      </w:r>
      <w:r w:rsidRPr="00432A10">
        <w:rPr>
          <w:rFonts w:ascii="Book Antiqua" w:hAnsi="Book Antiqua"/>
          <w:i/>
          <w:iCs/>
          <w:color w:val="000000"/>
        </w:rPr>
        <w:t>PLoS One</w:t>
      </w:r>
      <w:r w:rsidRPr="00432A10">
        <w:rPr>
          <w:rFonts w:ascii="Book Antiqua" w:hAnsi="Book Antiqua"/>
          <w:color w:val="000000"/>
        </w:rPr>
        <w:t xml:space="preserve"> 2011; </w:t>
      </w:r>
      <w:r w:rsidRPr="00432A10">
        <w:rPr>
          <w:rFonts w:ascii="Book Antiqua" w:hAnsi="Book Antiqua"/>
          <w:b/>
          <w:bCs/>
          <w:color w:val="000000"/>
        </w:rPr>
        <w:t>6</w:t>
      </w:r>
      <w:r w:rsidRPr="00432A10">
        <w:rPr>
          <w:rFonts w:ascii="Book Antiqua" w:hAnsi="Book Antiqua"/>
          <w:color w:val="000000"/>
        </w:rPr>
        <w:t>: e21703 [PMID: 21747949 DOI: 10.1371/journal.pone.0021703]</w:t>
      </w:r>
    </w:p>
    <w:p w14:paraId="6F052F97"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39 </w:t>
      </w:r>
      <w:r w:rsidRPr="00432A10">
        <w:rPr>
          <w:rFonts w:ascii="Book Antiqua" w:hAnsi="Book Antiqua"/>
          <w:b/>
          <w:bCs/>
          <w:color w:val="000000"/>
        </w:rPr>
        <w:t>Schraufstatter IU</w:t>
      </w:r>
      <w:r w:rsidRPr="00432A10">
        <w:rPr>
          <w:rFonts w:ascii="Book Antiqua" w:hAnsi="Book Antiqua"/>
          <w:color w:val="000000"/>
        </w:rPr>
        <w:t xml:space="preserve">, Discipio RG, Zhao M, Khaldoyanidi SK. C3a and C5a are chemotactic factors for human mesenchymal stem cells, which cause prolonged ERK1/2 phosphorylation. </w:t>
      </w:r>
      <w:r w:rsidRPr="00432A10">
        <w:rPr>
          <w:rFonts w:ascii="Book Antiqua" w:hAnsi="Book Antiqua"/>
          <w:i/>
          <w:iCs/>
          <w:color w:val="000000"/>
        </w:rPr>
        <w:t>J Immunol</w:t>
      </w:r>
      <w:r w:rsidRPr="00432A10">
        <w:rPr>
          <w:rFonts w:ascii="Book Antiqua" w:hAnsi="Book Antiqua"/>
          <w:color w:val="000000"/>
        </w:rPr>
        <w:t xml:space="preserve"> 2009; </w:t>
      </w:r>
      <w:r w:rsidRPr="00432A10">
        <w:rPr>
          <w:rFonts w:ascii="Book Antiqua" w:hAnsi="Book Antiqua"/>
          <w:b/>
          <w:bCs/>
          <w:color w:val="000000"/>
        </w:rPr>
        <w:t>182</w:t>
      </w:r>
      <w:r w:rsidRPr="00432A10">
        <w:rPr>
          <w:rFonts w:ascii="Book Antiqua" w:hAnsi="Book Antiqua"/>
          <w:color w:val="000000"/>
        </w:rPr>
        <w:t>: 3827-3836 [PMID: 19265162 DOI: 10.4049/jimmunol.0803055]</w:t>
      </w:r>
    </w:p>
    <w:p w14:paraId="34FFB3C2"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lastRenderedPageBreak/>
        <w:t xml:space="preserve">40 </w:t>
      </w:r>
      <w:r w:rsidRPr="00432A10">
        <w:rPr>
          <w:rFonts w:ascii="Book Antiqua" w:hAnsi="Book Antiqua"/>
          <w:b/>
          <w:bCs/>
          <w:color w:val="000000"/>
        </w:rPr>
        <w:t>Gavin C</w:t>
      </w:r>
      <w:r w:rsidRPr="00432A10">
        <w:rPr>
          <w:rFonts w:ascii="Book Antiqua" w:hAnsi="Book Antiqua"/>
          <w:color w:val="000000"/>
        </w:rPr>
        <w:t xml:space="preserve">, Meinke S, Heldring N, Heck KA, Achour A, Iacobaeus E, Höglund P, Le Blanc K, Kadri N. The Complement System Is Essential for the Phagocytosis of Mesenchymal Stromal Cells by Monocytes. </w:t>
      </w:r>
      <w:r w:rsidRPr="00432A10">
        <w:rPr>
          <w:rFonts w:ascii="Book Antiqua" w:hAnsi="Book Antiqua"/>
          <w:i/>
          <w:iCs/>
          <w:color w:val="000000"/>
        </w:rPr>
        <w:t>Front Immunol</w:t>
      </w:r>
      <w:r w:rsidRPr="00432A10">
        <w:rPr>
          <w:rFonts w:ascii="Book Antiqua" w:hAnsi="Book Antiqua"/>
          <w:color w:val="000000"/>
        </w:rPr>
        <w:t xml:space="preserve"> 2019; </w:t>
      </w:r>
      <w:r w:rsidRPr="00432A10">
        <w:rPr>
          <w:rFonts w:ascii="Book Antiqua" w:hAnsi="Book Antiqua"/>
          <w:b/>
          <w:bCs/>
          <w:color w:val="000000"/>
        </w:rPr>
        <w:t>10</w:t>
      </w:r>
      <w:r w:rsidRPr="00432A10">
        <w:rPr>
          <w:rFonts w:ascii="Book Antiqua" w:hAnsi="Book Antiqua"/>
          <w:color w:val="000000"/>
        </w:rPr>
        <w:t>: 2249 [PMID: 31616424 DOI: 10.3389/fimmu.2019.02249]</w:t>
      </w:r>
    </w:p>
    <w:p w14:paraId="509FF5B6"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41 </w:t>
      </w:r>
      <w:r w:rsidRPr="00432A10">
        <w:rPr>
          <w:rFonts w:ascii="Book Antiqua" w:hAnsi="Book Antiqua"/>
          <w:b/>
          <w:bCs/>
          <w:color w:val="000000"/>
        </w:rPr>
        <w:t>Li Y</w:t>
      </w:r>
      <w:r w:rsidRPr="00432A10">
        <w:rPr>
          <w:rFonts w:ascii="Book Antiqua" w:hAnsi="Book Antiqua"/>
          <w:color w:val="000000"/>
        </w:rPr>
        <w:t xml:space="preserve">, Fung J, Lin F. Local Inhibition of Complement Improves Mesenchymal Stem Cell Viability and Function After Administration. </w:t>
      </w:r>
      <w:r w:rsidRPr="00432A10">
        <w:rPr>
          <w:rFonts w:ascii="Book Antiqua" w:hAnsi="Book Antiqua"/>
          <w:i/>
          <w:iCs/>
          <w:color w:val="000000"/>
        </w:rPr>
        <w:t>Mol Ther</w:t>
      </w:r>
      <w:r w:rsidRPr="00432A10">
        <w:rPr>
          <w:rFonts w:ascii="Book Antiqua" w:hAnsi="Book Antiqua"/>
          <w:color w:val="000000"/>
        </w:rPr>
        <w:t xml:space="preserve"> 2016; </w:t>
      </w:r>
      <w:r w:rsidRPr="00432A10">
        <w:rPr>
          <w:rFonts w:ascii="Book Antiqua" w:hAnsi="Book Antiqua"/>
          <w:b/>
          <w:bCs/>
          <w:color w:val="000000"/>
        </w:rPr>
        <w:t>24</w:t>
      </w:r>
      <w:r w:rsidRPr="00432A10">
        <w:rPr>
          <w:rFonts w:ascii="Book Antiqua" w:hAnsi="Book Antiqua"/>
          <w:color w:val="000000"/>
        </w:rPr>
        <w:t>: 1665-1674 [PMID: 27377042 DOI: 10.1038/mt.2016.142]</w:t>
      </w:r>
    </w:p>
    <w:p w14:paraId="23A237F6"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42 </w:t>
      </w:r>
      <w:r w:rsidRPr="00432A10">
        <w:rPr>
          <w:rFonts w:ascii="Book Antiqua" w:hAnsi="Book Antiqua"/>
          <w:b/>
          <w:bCs/>
          <w:color w:val="000000"/>
        </w:rPr>
        <w:t>Zhu X</w:t>
      </w:r>
      <w:r w:rsidRPr="00432A10">
        <w:rPr>
          <w:rFonts w:ascii="Book Antiqua" w:hAnsi="Book Antiqua"/>
          <w:color w:val="000000"/>
        </w:rPr>
        <w:t>, Wang Y, Jiang Q, Jiang H, Lu J, Wang Y, Kong Y, Chang Y, Xu L, Peng J, Hou M, Huang X, Zhang X. All-</w:t>
      </w:r>
      <w:r w:rsidRPr="00432A10">
        <w:rPr>
          <w:rFonts w:ascii="Book Antiqua" w:hAnsi="Book Antiqua"/>
          <w:i/>
          <w:iCs/>
          <w:color w:val="000000"/>
        </w:rPr>
        <w:t>trans</w:t>
      </w:r>
      <w:r w:rsidRPr="00432A10">
        <w:rPr>
          <w:rFonts w:ascii="Book Antiqua" w:hAnsi="Book Antiqua"/>
          <w:color w:val="000000"/>
        </w:rPr>
        <w:t xml:space="preserve"> retinoic acid protects mesenchymal stem cells from immune thrombocytopenia by regulating the complement-interleukin-1β loop. </w:t>
      </w:r>
      <w:r w:rsidRPr="00432A10">
        <w:rPr>
          <w:rFonts w:ascii="Book Antiqua" w:hAnsi="Book Antiqua"/>
          <w:i/>
          <w:iCs/>
          <w:color w:val="000000"/>
        </w:rPr>
        <w:t>Haematologica</w:t>
      </w:r>
      <w:r w:rsidRPr="00432A10">
        <w:rPr>
          <w:rFonts w:ascii="Book Antiqua" w:hAnsi="Book Antiqua"/>
          <w:color w:val="000000"/>
        </w:rPr>
        <w:t xml:space="preserve"> 2019; </w:t>
      </w:r>
      <w:r w:rsidRPr="00432A10">
        <w:rPr>
          <w:rFonts w:ascii="Book Antiqua" w:hAnsi="Book Antiqua"/>
          <w:b/>
          <w:bCs/>
          <w:color w:val="000000"/>
        </w:rPr>
        <w:t>104</w:t>
      </w:r>
      <w:r w:rsidRPr="00432A10">
        <w:rPr>
          <w:rFonts w:ascii="Book Antiqua" w:hAnsi="Book Antiqua"/>
          <w:color w:val="000000"/>
        </w:rPr>
        <w:t>: 1661-1675 [PMID: 30679324 DOI: 10.3324/haematol.2018.204446]</w:t>
      </w:r>
    </w:p>
    <w:p w14:paraId="2149A0FA"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43 </w:t>
      </w:r>
      <w:r w:rsidRPr="00432A10">
        <w:rPr>
          <w:rFonts w:ascii="Book Antiqua" w:hAnsi="Book Antiqua"/>
          <w:b/>
          <w:bCs/>
          <w:color w:val="000000"/>
        </w:rPr>
        <w:t>Abdulkhaleq LA</w:t>
      </w:r>
      <w:r w:rsidRPr="00432A10">
        <w:rPr>
          <w:rFonts w:ascii="Book Antiqua" w:hAnsi="Book Antiqua"/>
          <w:color w:val="000000"/>
        </w:rPr>
        <w:t xml:space="preserve">, Assi MA, Abdullah R, Zamri-Saad M, Taufiq-Yap YH, Hezmee MNM. The crucial roles of inflammatory mediators in inflammation: A review. </w:t>
      </w:r>
      <w:r w:rsidRPr="00432A10">
        <w:rPr>
          <w:rFonts w:ascii="Book Antiqua" w:hAnsi="Book Antiqua"/>
          <w:i/>
          <w:iCs/>
          <w:color w:val="000000"/>
        </w:rPr>
        <w:t>Vet World</w:t>
      </w:r>
      <w:r w:rsidRPr="00432A10">
        <w:rPr>
          <w:rFonts w:ascii="Book Antiqua" w:hAnsi="Book Antiqua"/>
          <w:color w:val="000000"/>
        </w:rPr>
        <w:t xml:space="preserve"> 2018; </w:t>
      </w:r>
      <w:r w:rsidRPr="00432A10">
        <w:rPr>
          <w:rFonts w:ascii="Book Antiqua" w:hAnsi="Book Antiqua"/>
          <w:b/>
          <w:bCs/>
          <w:color w:val="000000"/>
        </w:rPr>
        <w:t>11</w:t>
      </w:r>
      <w:r w:rsidRPr="00432A10">
        <w:rPr>
          <w:rFonts w:ascii="Book Antiqua" w:hAnsi="Book Antiqua"/>
          <w:color w:val="000000"/>
        </w:rPr>
        <w:t>: 627-635 [PMID: 29915501 DOI: 10.14202/vetworld.2018.627-635]</w:t>
      </w:r>
    </w:p>
    <w:p w14:paraId="20B14AAC"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44 </w:t>
      </w:r>
      <w:r w:rsidRPr="00432A10">
        <w:rPr>
          <w:rFonts w:ascii="Book Antiqua" w:hAnsi="Book Antiqua"/>
          <w:b/>
          <w:bCs/>
          <w:color w:val="000000"/>
        </w:rPr>
        <w:t>Zachar L</w:t>
      </w:r>
      <w:r w:rsidRPr="00432A10">
        <w:rPr>
          <w:rFonts w:ascii="Book Antiqua" w:hAnsi="Book Antiqua"/>
          <w:color w:val="000000"/>
        </w:rPr>
        <w:t xml:space="preserve">, Bačenková D, Rosocha J. Activation, homing, and role of the mesenchymal stem cells in the inflammatory environment. </w:t>
      </w:r>
      <w:r w:rsidRPr="00432A10">
        <w:rPr>
          <w:rFonts w:ascii="Book Antiqua" w:hAnsi="Book Antiqua"/>
          <w:i/>
          <w:iCs/>
          <w:color w:val="000000"/>
        </w:rPr>
        <w:t>J Inflamm Res</w:t>
      </w:r>
      <w:r w:rsidRPr="00432A10">
        <w:rPr>
          <w:rFonts w:ascii="Book Antiqua" w:hAnsi="Book Antiqua"/>
          <w:color w:val="000000"/>
        </w:rPr>
        <w:t xml:space="preserve"> 2016; </w:t>
      </w:r>
      <w:r w:rsidRPr="00432A10">
        <w:rPr>
          <w:rFonts w:ascii="Book Antiqua" w:hAnsi="Book Antiqua"/>
          <w:b/>
          <w:bCs/>
          <w:color w:val="000000"/>
        </w:rPr>
        <w:t>9</w:t>
      </w:r>
      <w:r w:rsidRPr="00432A10">
        <w:rPr>
          <w:rFonts w:ascii="Book Antiqua" w:hAnsi="Book Antiqua"/>
          <w:color w:val="000000"/>
        </w:rPr>
        <w:t>: 231-240 [PMID: 28008279 DOI: 10.2147/JIR.S121994]</w:t>
      </w:r>
    </w:p>
    <w:p w14:paraId="4C8A76A2"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45 </w:t>
      </w:r>
      <w:r w:rsidRPr="00432A10">
        <w:rPr>
          <w:rFonts w:ascii="Book Antiqua" w:hAnsi="Book Antiqua"/>
          <w:b/>
          <w:bCs/>
          <w:color w:val="000000"/>
        </w:rPr>
        <w:t>Najar M</w:t>
      </w:r>
      <w:r w:rsidRPr="00432A10">
        <w:rPr>
          <w:rFonts w:ascii="Book Antiqua" w:hAnsi="Book Antiqua"/>
          <w:color w:val="000000"/>
        </w:rPr>
        <w:t xml:space="preserve">, Krayem M, Merimi M, Burny A, Meuleman N, Bron D, Raicevic G, Lagneaux L. Insights into inflammatory priming of mesenchymal stromal cells: functional biological impacts. </w:t>
      </w:r>
      <w:r w:rsidRPr="00432A10">
        <w:rPr>
          <w:rFonts w:ascii="Book Antiqua" w:hAnsi="Book Antiqua"/>
          <w:i/>
          <w:iCs/>
          <w:color w:val="000000"/>
        </w:rPr>
        <w:t>Inflamm Res</w:t>
      </w:r>
      <w:r w:rsidRPr="00432A10">
        <w:rPr>
          <w:rFonts w:ascii="Book Antiqua" w:hAnsi="Book Antiqua"/>
          <w:color w:val="000000"/>
        </w:rPr>
        <w:t xml:space="preserve"> 2018; </w:t>
      </w:r>
      <w:r w:rsidRPr="00432A10">
        <w:rPr>
          <w:rFonts w:ascii="Book Antiqua" w:hAnsi="Book Antiqua"/>
          <w:b/>
          <w:bCs/>
          <w:color w:val="000000"/>
        </w:rPr>
        <w:t>67</w:t>
      </w:r>
      <w:r w:rsidRPr="00432A10">
        <w:rPr>
          <w:rFonts w:ascii="Book Antiqua" w:hAnsi="Book Antiqua"/>
          <w:color w:val="000000"/>
        </w:rPr>
        <w:t>: 467-477 [PMID: 29362849 DOI: 10.1007/s00011-018-1131-1]</w:t>
      </w:r>
    </w:p>
    <w:p w14:paraId="76F60FFF"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46 </w:t>
      </w:r>
      <w:r w:rsidRPr="00432A10">
        <w:rPr>
          <w:rFonts w:ascii="Book Antiqua" w:hAnsi="Book Antiqua"/>
          <w:b/>
          <w:bCs/>
          <w:color w:val="000000"/>
        </w:rPr>
        <w:t>Carvalho AÉS</w:t>
      </w:r>
      <w:r w:rsidRPr="00432A10">
        <w:rPr>
          <w:rFonts w:ascii="Book Antiqua" w:hAnsi="Book Antiqua"/>
          <w:color w:val="000000"/>
        </w:rPr>
        <w:t xml:space="preserve">, Sousa MRR, Alencar-Silva T, Carvalho JL, Saldanha-Araujo F. Mesenchymal stem cells immunomodulation: The road to IFN-γ licensing and the path ahead. </w:t>
      </w:r>
      <w:r w:rsidRPr="00432A10">
        <w:rPr>
          <w:rFonts w:ascii="Book Antiqua" w:hAnsi="Book Antiqua"/>
          <w:i/>
          <w:iCs/>
          <w:color w:val="000000"/>
        </w:rPr>
        <w:t>Cytokine Growth Factor Rev</w:t>
      </w:r>
      <w:r w:rsidRPr="00432A10">
        <w:rPr>
          <w:rFonts w:ascii="Book Antiqua" w:hAnsi="Book Antiqua"/>
          <w:color w:val="000000"/>
        </w:rPr>
        <w:t xml:space="preserve"> 2019; </w:t>
      </w:r>
      <w:r w:rsidRPr="00432A10">
        <w:rPr>
          <w:rFonts w:ascii="Book Antiqua" w:hAnsi="Book Antiqua"/>
          <w:b/>
          <w:bCs/>
          <w:color w:val="000000"/>
        </w:rPr>
        <w:t>47</w:t>
      </w:r>
      <w:r w:rsidRPr="00432A10">
        <w:rPr>
          <w:rFonts w:ascii="Book Antiqua" w:hAnsi="Book Antiqua"/>
          <w:color w:val="000000"/>
        </w:rPr>
        <w:t>: 32-42 [PMID: 31129018 DOI: 10.1016/j.cytogfr.2019.05.006]</w:t>
      </w:r>
    </w:p>
    <w:p w14:paraId="58D0A019"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47 </w:t>
      </w:r>
      <w:r w:rsidRPr="00432A10">
        <w:rPr>
          <w:rFonts w:ascii="Book Antiqua" w:hAnsi="Book Antiqua"/>
          <w:b/>
          <w:bCs/>
          <w:color w:val="000000"/>
        </w:rPr>
        <w:t>Guan Q</w:t>
      </w:r>
      <w:r w:rsidRPr="00432A10">
        <w:rPr>
          <w:rFonts w:ascii="Book Antiqua" w:hAnsi="Book Antiqua"/>
          <w:color w:val="000000"/>
        </w:rPr>
        <w:t xml:space="preserve">, Ezzati P, Spicer V, Krokhin O, Wall D, Wilkins JA. Interferon γ induced compositional changes in human bone marrow derived mesenchymal stem/stromal cells. </w:t>
      </w:r>
      <w:r w:rsidRPr="00432A10">
        <w:rPr>
          <w:rFonts w:ascii="Book Antiqua" w:hAnsi="Book Antiqua"/>
          <w:i/>
          <w:iCs/>
          <w:color w:val="000000"/>
        </w:rPr>
        <w:t>Clin Proteomics</w:t>
      </w:r>
      <w:r w:rsidRPr="00432A10">
        <w:rPr>
          <w:rFonts w:ascii="Book Antiqua" w:hAnsi="Book Antiqua"/>
          <w:color w:val="000000"/>
        </w:rPr>
        <w:t xml:space="preserve"> 2017; </w:t>
      </w:r>
      <w:r w:rsidRPr="00432A10">
        <w:rPr>
          <w:rFonts w:ascii="Book Antiqua" w:hAnsi="Book Antiqua"/>
          <w:b/>
          <w:bCs/>
          <w:color w:val="000000"/>
        </w:rPr>
        <w:t>14</w:t>
      </w:r>
      <w:r w:rsidRPr="00432A10">
        <w:rPr>
          <w:rFonts w:ascii="Book Antiqua" w:hAnsi="Book Antiqua"/>
          <w:color w:val="000000"/>
        </w:rPr>
        <w:t>: 26 [PMID: 28694743 DOI: 10.1186/s12014-017-9161-1]</w:t>
      </w:r>
    </w:p>
    <w:p w14:paraId="569ABFAA"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lastRenderedPageBreak/>
        <w:t xml:space="preserve">48 </w:t>
      </w:r>
      <w:r w:rsidRPr="00432A10">
        <w:rPr>
          <w:rFonts w:ascii="Book Antiqua" w:hAnsi="Book Antiqua"/>
          <w:b/>
          <w:bCs/>
          <w:color w:val="000000"/>
        </w:rPr>
        <w:t>Junior AL</w:t>
      </w:r>
      <w:r w:rsidRPr="00432A10">
        <w:rPr>
          <w:rFonts w:ascii="Book Antiqua" w:hAnsi="Book Antiqua"/>
          <w:color w:val="000000"/>
        </w:rPr>
        <w:t xml:space="preserve">, Pinheiro CCG, Tanikawa DYS, Ferreira JRM, Amano MT, Bueno DF. Mesenchymal Stem Cells from Human Exfoliated Deciduous Teeth and the Orbicularis Oris Muscle: How Do They Behave When Exposed to a Proinflammatory Stimulus? </w:t>
      </w:r>
      <w:r w:rsidRPr="00432A10">
        <w:rPr>
          <w:rFonts w:ascii="Book Antiqua" w:hAnsi="Book Antiqua"/>
          <w:i/>
          <w:iCs/>
          <w:color w:val="000000"/>
        </w:rPr>
        <w:t>Stem Cells Int</w:t>
      </w:r>
      <w:r w:rsidRPr="00432A10">
        <w:rPr>
          <w:rFonts w:ascii="Book Antiqua" w:hAnsi="Book Antiqua"/>
          <w:color w:val="000000"/>
        </w:rPr>
        <w:t xml:space="preserve"> 2020; </w:t>
      </w:r>
      <w:r w:rsidRPr="00432A10">
        <w:rPr>
          <w:rFonts w:ascii="Book Antiqua" w:hAnsi="Book Antiqua"/>
          <w:b/>
          <w:bCs/>
          <w:color w:val="000000"/>
        </w:rPr>
        <w:t>2020</w:t>
      </w:r>
      <w:r w:rsidRPr="00432A10">
        <w:rPr>
          <w:rFonts w:ascii="Book Antiqua" w:hAnsi="Book Antiqua"/>
          <w:color w:val="000000"/>
        </w:rPr>
        <w:t>: 3670412 [PMID: 32184831 DOI: 10.1155/2020/3670412]</w:t>
      </w:r>
    </w:p>
    <w:p w14:paraId="09B7BBC5"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49 </w:t>
      </w:r>
      <w:r w:rsidRPr="00432A10">
        <w:rPr>
          <w:rFonts w:ascii="Book Antiqua" w:hAnsi="Book Antiqua"/>
          <w:b/>
          <w:bCs/>
          <w:color w:val="000000"/>
        </w:rPr>
        <w:t>Zoehler B</w:t>
      </w:r>
      <w:r w:rsidRPr="00432A10">
        <w:rPr>
          <w:rFonts w:ascii="Book Antiqua" w:hAnsi="Book Antiqua"/>
          <w:color w:val="000000"/>
        </w:rPr>
        <w:t xml:space="preserve">, Fracaro L, Senegaglia AC, Bicalho MDG. Infusion of Mesenchymal Stem Cells to Treat Graft Versus Host Disease: the Role of HLA-G and the Impact of its Polymorphisms. </w:t>
      </w:r>
      <w:r w:rsidRPr="00432A10">
        <w:rPr>
          <w:rFonts w:ascii="Book Antiqua" w:hAnsi="Book Antiqua"/>
          <w:i/>
          <w:iCs/>
          <w:color w:val="000000"/>
        </w:rPr>
        <w:t>Stem Cell Rev Rep</w:t>
      </w:r>
      <w:r w:rsidRPr="00432A10">
        <w:rPr>
          <w:rFonts w:ascii="Book Antiqua" w:hAnsi="Book Antiqua"/>
          <w:color w:val="000000"/>
        </w:rPr>
        <w:t xml:space="preserve"> 2020; </w:t>
      </w:r>
      <w:r w:rsidRPr="00432A10">
        <w:rPr>
          <w:rFonts w:ascii="Book Antiqua" w:hAnsi="Book Antiqua"/>
          <w:b/>
          <w:bCs/>
          <w:color w:val="000000"/>
        </w:rPr>
        <w:t>16</w:t>
      </w:r>
      <w:r w:rsidRPr="00432A10">
        <w:rPr>
          <w:rFonts w:ascii="Book Antiqua" w:hAnsi="Book Antiqua"/>
          <w:color w:val="000000"/>
        </w:rPr>
        <w:t>: 459-471 [PMID: 32088839 DOI: 10.1007/s12015-020-09960-1]</w:t>
      </w:r>
    </w:p>
    <w:p w14:paraId="68AB3454"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50 </w:t>
      </w:r>
      <w:r w:rsidRPr="00432A10">
        <w:rPr>
          <w:rFonts w:ascii="Book Antiqua" w:hAnsi="Book Antiqua"/>
          <w:b/>
          <w:bCs/>
          <w:color w:val="000000"/>
        </w:rPr>
        <w:t>Najar M</w:t>
      </w:r>
      <w:r w:rsidRPr="00432A10">
        <w:rPr>
          <w:rFonts w:ascii="Book Antiqua" w:hAnsi="Book Antiqua"/>
          <w:color w:val="000000"/>
        </w:rPr>
        <w:t xml:space="preserve">, Ouhaddi Y, Bouhtit F, Melki R, Afif H, Boukhatem N, Merimi M, Fahmi H. Empowering the immune fate of bone marrow mesenchymal stromal cells: gene and protein changes. </w:t>
      </w:r>
      <w:r w:rsidRPr="00432A10">
        <w:rPr>
          <w:rFonts w:ascii="Book Antiqua" w:hAnsi="Book Antiqua"/>
          <w:i/>
          <w:iCs/>
          <w:color w:val="000000"/>
        </w:rPr>
        <w:t>Inflamm Res</w:t>
      </w:r>
      <w:r w:rsidRPr="00432A10">
        <w:rPr>
          <w:rFonts w:ascii="Book Antiqua" w:hAnsi="Book Antiqua"/>
          <w:color w:val="000000"/>
        </w:rPr>
        <w:t xml:space="preserve"> 2019; </w:t>
      </w:r>
      <w:r w:rsidRPr="00432A10">
        <w:rPr>
          <w:rFonts w:ascii="Book Antiqua" w:hAnsi="Book Antiqua"/>
          <w:b/>
          <w:bCs/>
          <w:color w:val="000000"/>
        </w:rPr>
        <w:t>68</w:t>
      </w:r>
      <w:r w:rsidRPr="00432A10">
        <w:rPr>
          <w:rFonts w:ascii="Book Antiqua" w:hAnsi="Book Antiqua"/>
          <w:color w:val="000000"/>
        </w:rPr>
        <w:t>: 167-176 [PMID: 30426152 DOI: 10.1007/s00011-018-1198-8]</w:t>
      </w:r>
    </w:p>
    <w:p w14:paraId="0B036A76"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51 </w:t>
      </w:r>
      <w:r w:rsidRPr="00432A10">
        <w:rPr>
          <w:rFonts w:ascii="Book Antiqua" w:hAnsi="Book Antiqua"/>
          <w:b/>
          <w:bCs/>
          <w:color w:val="000000"/>
        </w:rPr>
        <w:t>Tu Z</w:t>
      </w:r>
      <w:r w:rsidRPr="00432A10">
        <w:rPr>
          <w:rFonts w:ascii="Book Antiqua" w:hAnsi="Book Antiqua"/>
          <w:color w:val="000000"/>
        </w:rPr>
        <w:t xml:space="preserve">, Li Q, Bu H, Lin F. Mesenchymal stem cells inhibit complement activation by secreting factor H. </w:t>
      </w:r>
      <w:r w:rsidRPr="00432A10">
        <w:rPr>
          <w:rFonts w:ascii="Book Antiqua" w:hAnsi="Book Antiqua"/>
          <w:i/>
          <w:iCs/>
          <w:color w:val="000000"/>
        </w:rPr>
        <w:t>Stem Cells Dev</w:t>
      </w:r>
      <w:r w:rsidRPr="00432A10">
        <w:rPr>
          <w:rFonts w:ascii="Book Antiqua" w:hAnsi="Book Antiqua"/>
          <w:color w:val="000000"/>
        </w:rPr>
        <w:t xml:space="preserve"> 2010; </w:t>
      </w:r>
      <w:r w:rsidRPr="00432A10">
        <w:rPr>
          <w:rFonts w:ascii="Book Antiqua" w:hAnsi="Book Antiqua"/>
          <w:b/>
          <w:bCs/>
          <w:color w:val="000000"/>
        </w:rPr>
        <w:t>19</w:t>
      </w:r>
      <w:r w:rsidRPr="00432A10">
        <w:rPr>
          <w:rFonts w:ascii="Book Antiqua" w:hAnsi="Book Antiqua"/>
          <w:color w:val="000000"/>
        </w:rPr>
        <w:t>: 1803-1809 [PMID: 20163251 DOI: 10.1089/scd.2009.0418]</w:t>
      </w:r>
    </w:p>
    <w:p w14:paraId="1D17F295"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52 </w:t>
      </w:r>
      <w:r w:rsidRPr="00432A10">
        <w:rPr>
          <w:rFonts w:ascii="Book Antiqua" w:hAnsi="Book Antiqua"/>
          <w:b/>
          <w:bCs/>
          <w:color w:val="000000"/>
        </w:rPr>
        <w:t>Davies LC</w:t>
      </w:r>
      <w:r w:rsidRPr="00432A10">
        <w:rPr>
          <w:rFonts w:ascii="Book Antiqua" w:hAnsi="Book Antiqua"/>
          <w:color w:val="000000"/>
        </w:rPr>
        <w:t xml:space="preserve">, Heldring N, Kadri N, Le Blanc K. Mesenchymal Stromal Cell Secretion of Programmed Death-1 Ligands Regulates T Cell Mediated Immunosuppression. </w:t>
      </w:r>
      <w:r w:rsidRPr="00432A10">
        <w:rPr>
          <w:rFonts w:ascii="Book Antiqua" w:hAnsi="Book Antiqua"/>
          <w:i/>
          <w:iCs/>
          <w:color w:val="000000"/>
        </w:rPr>
        <w:t>Stem Cells</w:t>
      </w:r>
      <w:r w:rsidRPr="00432A10">
        <w:rPr>
          <w:rFonts w:ascii="Book Antiqua" w:hAnsi="Book Antiqua"/>
          <w:color w:val="000000"/>
        </w:rPr>
        <w:t xml:space="preserve"> 2017; </w:t>
      </w:r>
      <w:r w:rsidRPr="00432A10">
        <w:rPr>
          <w:rFonts w:ascii="Book Antiqua" w:hAnsi="Book Antiqua"/>
          <w:b/>
          <w:bCs/>
          <w:color w:val="000000"/>
        </w:rPr>
        <w:t>35</w:t>
      </w:r>
      <w:r w:rsidRPr="00432A10">
        <w:rPr>
          <w:rFonts w:ascii="Book Antiqua" w:hAnsi="Book Antiqua"/>
          <w:color w:val="000000"/>
        </w:rPr>
        <w:t>: 766-776 [PMID: 27671847 DOI: 10.1002/stem.2509]</w:t>
      </w:r>
    </w:p>
    <w:p w14:paraId="3AC1FD12" w14:textId="3F418953"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53 </w:t>
      </w:r>
      <w:r w:rsidRPr="00432A10">
        <w:rPr>
          <w:rFonts w:ascii="Book Antiqua" w:hAnsi="Book Antiqua"/>
          <w:b/>
          <w:bCs/>
          <w:color w:val="000000"/>
        </w:rPr>
        <w:t>Buyl K</w:t>
      </w:r>
      <w:r w:rsidRPr="00432A10">
        <w:rPr>
          <w:rFonts w:ascii="Book Antiqua" w:hAnsi="Book Antiqua"/>
          <w:color w:val="000000"/>
        </w:rPr>
        <w:t xml:space="preserve">, Merimi M, Rodrigues RM, Moussa Agha D, Melki R, Vanhaecke T, Bron D, Lewalle P, Meuleman N, Fahmi H, Rogiers V, Lagneaux L, De Kock J, Najar M. The Impact of Cell-Expansion and Inflammation on The Immune-Biology of Human Adipose Tissue-Derived Mesenchymal Stromal Cells. </w:t>
      </w:r>
      <w:r w:rsidRPr="00432A10">
        <w:rPr>
          <w:rFonts w:ascii="Book Antiqua" w:hAnsi="Book Antiqua"/>
          <w:i/>
          <w:iCs/>
          <w:color w:val="000000"/>
        </w:rPr>
        <w:t>J Clin Med</w:t>
      </w:r>
      <w:r w:rsidRPr="00432A10">
        <w:rPr>
          <w:rFonts w:ascii="Book Antiqua" w:hAnsi="Book Antiqua"/>
          <w:color w:val="000000"/>
        </w:rPr>
        <w:t xml:space="preserve"> 2020; </w:t>
      </w:r>
      <w:r w:rsidRPr="00432A10">
        <w:rPr>
          <w:rFonts w:ascii="Book Antiqua" w:hAnsi="Book Antiqua"/>
          <w:b/>
          <w:bCs/>
          <w:color w:val="000000"/>
        </w:rPr>
        <w:t>9</w:t>
      </w:r>
      <w:r w:rsidRPr="00432A10">
        <w:rPr>
          <w:rFonts w:ascii="Book Antiqua" w:hAnsi="Book Antiqua"/>
          <w:color w:val="000000"/>
        </w:rPr>
        <w:t>:</w:t>
      </w:r>
      <w:r w:rsidR="00CD031A" w:rsidRPr="00432A10">
        <w:rPr>
          <w:rFonts w:ascii="Book Antiqua" w:hAnsi="Book Antiqua"/>
          <w:color w:val="000000"/>
        </w:rPr>
        <w:t xml:space="preserve"> 696</w:t>
      </w:r>
      <w:r w:rsidRPr="00432A10">
        <w:rPr>
          <w:rFonts w:ascii="Book Antiqua" w:hAnsi="Book Antiqua"/>
          <w:color w:val="000000"/>
        </w:rPr>
        <w:t xml:space="preserve"> [PMID: 32143473 DOI: 10.3390/jcm9030696]</w:t>
      </w:r>
    </w:p>
    <w:p w14:paraId="3F166532"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54 </w:t>
      </w:r>
      <w:r w:rsidRPr="00432A10">
        <w:rPr>
          <w:rFonts w:ascii="Book Antiqua" w:hAnsi="Book Antiqua"/>
          <w:b/>
          <w:bCs/>
          <w:color w:val="000000"/>
        </w:rPr>
        <w:t>Bulati M</w:t>
      </w:r>
      <w:r w:rsidRPr="00432A10">
        <w:rPr>
          <w:rFonts w:ascii="Book Antiqua" w:hAnsi="Book Antiqua"/>
          <w:color w:val="000000"/>
        </w:rPr>
        <w:t xml:space="preserve">, Miceli V, Gallo A, Amico G, Carcione C, Pampalone M, Conaldi PG. The Immunomodulatory Properties of the Human Amnion-Derived Mesenchymal Stromal/Stem Cells Are Induced by INF-γ Produced by Activated Lymphomonocytes and Are Mediated by Cell-To-Cell Contact and Soluble Factors. </w:t>
      </w:r>
      <w:r w:rsidRPr="00432A10">
        <w:rPr>
          <w:rFonts w:ascii="Book Antiqua" w:hAnsi="Book Antiqua"/>
          <w:i/>
          <w:iCs/>
          <w:color w:val="000000"/>
        </w:rPr>
        <w:t>Front Immunol</w:t>
      </w:r>
      <w:r w:rsidRPr="00432A10">
        <w:rPr>
          <w:rFonts w:ascii="Book Antiqua" w:hAnsi="Book Antiqua"/>
          <w:color w:val="000000"/>
        </w:rPr>
        <w:t xml:space="preserve"> 2020; </w:t>
      </w:r>
      <w:r w:rsidRPr="00432A10">
        <w:rPr>
          <w:rFonts w:ascii="Book Antiqua" w:hAnsi="Book Antiqua"/>
          <w:b/>
          <w:bCs/>
          <w:color w:val="000000"/>
        </w:rPr>
        <w:t>11</w:t>
      </w:r>
      <w:r w:rsidRPr="00432A10">
        <w:rPr>
          <w:rFonts w:ascii="Book Antiqua" w:hAnsi="Book Antiqua"/>
          <w:color w:val="000000"/>
        </w:rPr>
        <w:t>: 54 [PMID: 32117234 DOI: 10.3389/fimmu.2020.00054]</w:t>
      </w:r>
    </w:p>
    <w:p w14:paraId="5934F7D8"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lastRenderedPageBreak/>
        <w:t xml:space="preserve">55 </w:t>
      </w:r>
      <w:r w:rsidRPr="00432A10">
        <w:rPr>
          <w:rFonts w:ascii="Book Antiqua" w:hAnsi="Book Antiqua"/>
          <w:b/>
          <w:bCs/>
          <w:color w:val="000000"/>
        </w:rPr>
        <w:t>García JR</w:t>
      </w:r>
      <w:r w:rsidRPr="00432A10">
        <w:rPr>
          <w:rFonts w:ascii="Book Antiqua" w:hAnsi="Book Antiqua"/>
          <w:color w:val="000000"/>
        </w:rPr>
        <w:t xml:space="preserve">, Quirós M, Han WM, O'Leary MN, Cox GN, Nusrat A, García AJ. IFN-γ-tethered hydrogels enhance mesenchymal stem cell-based immunomodulation and promote tissue repair. </w:t>
      </w:r>
      <w:r w:rsidRPr="00432A10">
        <w:rPr>
          <w:rFonts w:ascii="Book Antiqua" w:hAnsi="Book Antiqua"/>
          <w:i/>
          <w:iCs/>
          <w:color w:val="000000"/>
        </w:rPr>
        <w:t>Biomaterials</w:t>
      </w:r>
      <w:r w:rsidRPr="00432A10">
        <w:rPr>
          <w:rFonts w:ascii="Book Antiqua" w:hAnsi="Book Antiqua"/>
          <w:color w:val="000000"/>
        </w:rPr>
        <w:t xml:space="preserve"> 2019; </w:t>
      </w:r>
      <w:r w:rsidRPr="00432A10">
        <w:rPr>
          <w:rFonts w:ascii="Book Antiqua" w:hAnsi="Book Antiqua"/>
          <w:b/>
          <w:bCs/>
          <w:color w:val="000000"/>
        </w:rPr>
        <w:t>220</w:t>
      </w:r>
      <w:r w:rsidRPr="00432A10">
        <w:rPr>
          <w:rFonts w:ascii="Book Antiqua" w:hAnsi="Book Antiqua"/>
          <w:color w:val="000000"/>
        </w:rPr>
        <w:t>: 119403 [PMID: 31401468 DOI: 10.1016/j.biomaterials.2019.119403]</w:t>
      </w:r>
    </w:p>
    <w:p w14:paraId="6014FAA6"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56 </w:t>
      </w:r>
      <w:r w:rsidRPr="00432A10">
        <w:rPr>
          <w:rFonts w:ascii="Book Antiqua" w:hAnsi="Book Antiqua"/>
          <w:b/>
          <w:bCs/>
          <w:color w:val="000000"/>
        </w:rPr>
        <w:t>Lee SJ</w:t>
      </w:r>
      <w:r w:rsidRPr="00432A10">
        <w:rPr>
          <w:rFonts w:ascii="Book Antiqua" w:hAnsi="Book Antiqua"/>
          <w:color w:val="000000"/>
        </w:rPr>
        <w:t xml:space="preserve">, Kim J, Choi WH, Park SR, Choi BH, Min BH. Immunophenotype and Immune-Modulatory Activities of Human Fetal Cartilage-Derived Progenitor Cells. </w:t>
      </w:r>
      <w:r w:rsidRPr="00432A10">
        <w:rPr>
          <w:rFonts w:ascii="Book Antiqua" w:hAnsi="Book Antiqua"/>
          <w:i/>
          <w:iCs/>
          <w:color w:val="000000"/>
        </w:rPr>
        <w:t>Cell Transplant</w:t>
      </w:r>
      <w:r w:rsidRPr="00432A10">
        <w:rPr>
          <w:rFonts w:ascii="Book Antiqua" w:hAnsi="Book Antiqua"/>
          <w:color w:val="000000"/>
        </w:rPr>
        <w:t xml:space="preserve"> 2019; </w:t>
      </w:r>
      <w:r w:rsidRPr="00432A10">
        <w:rPr>
          <w:rFonts w:ascii="Book Antiqua" w:hAnsi="Book Antiqua"/>
          <w:b/>
          <w:bCs/>
          <w:color w:val="000000"/>
        </w:rPr>
        <w:t>28</w:t>
      </w:r>
      <w:r w:rsidRPr="00432A10">
        <w:rPr>
          <w:rFonts w:ascii="Book Antiqua" w:hAnsi="Book Antiqua"/>
          <w:color w:val="000000"/>
        </w:rPr>
        <w:t>: 932-942 [PMID: 30983392 DOI: 10.1177/0963689719842166]</w:t>
      </w:r>
    </w:p>
    <w:p w14:paraId="1FE0A2B3"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57 </w:t>
      </w:r>
      <w:r w:rsidRPr="00432A10">
        <w:rPr>
          <w:rFonts w:ascii="Book Antiqua" w:hAnsi="Book Antiqua"/>
          <w:b/>
          <w:bCs/>
          <w:color w:val="000000"/>
        </w:rPr>
        <w:t>Najar M</w:t>
      </w:r>
      <w:r w:rsidRPr="00432A10">
        <w:rPr>
          <w:rFonts w:ascii="Book Antiqua" w:hAnsi="Book Antiqua"/>
          <w:color w:val="000000"/>
        </w:rPr>
        <w:t xml:space="preserve">, Crompot E, Raicevic G, Sokal EM, Najimi M, Lagneaux L. Cytokinome of adult-derived human liver stem/progenitor cells: immunological and inflammatory features. </w:t>
      </w:r>
      <w:r w:rsidRPr="00432A10">
        <w:rPr>
          <w:rFonts w:ascii="Book Antiqua" w:hAnsi="Book Antiqua"/>
          <w:i/>
          <w:iCs/>
          <w:color w:val="000000"/>
        </w:rPr>
        <w:t>Hepatobiliary Surg Nutr</w:t>
      </w:r>
      <w:r w:rsidRPr="00432A10">
        <w:rPr>
          <w:rFonts w:ascii="Book Antiqua" w:hAnsi="Book Antiqua"/>
          <w:color w:val="000000"/>
        </w:rPr>
        <w:t xml:space="preserve"> 2018; </w:t>
      </w:r>
      <w:r w:rsidRPr="00432A10">
        <w:rPr>
          <w:rFonts w:ascii="Book Antiqua" w:hAnsi="Book Antiqua"/>
          <w:b/>
          <w:bCs/>
          <w:color w:val="000000"/>
        </w:rPr>
        <w:t>7</w:t>
      </w:r>
      <w:r w:rsidRPr="00432A10">
        <w:rPr>
          <w:rFonts w:ascii="Book Antiqua" w:hAnsi="Book Antiqua"/>
          <w:color w:val="000000"/>
        </w:rPr>
        <w:t>: 331-344 [PMID: 30498709 DOI: 10.21037/hbsn.2018.05.01]</w:t>
      </w:r>
    </w:p>
    <w:p w14:paraId="07CE7231"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58 </w:t>
      </w:r>
      <w:r w:rsidRPr="00432A10">
        <w:rPr>
          <w:rFonts w:ascii="Book Antiqua" w:hAnsi="Book Antiqua"/>
          <w:b/>
          <w:bCs/>
          <w:color w:val="000000"/>
        </w:rPr>
        <w:t>Vigo T</w:t>
      </w:r>
      <w:r w:rsidRPr="00432A10">
        <w:rPr>
          <w:rFonts w:ascii="Book Antiqua" w:hAnsi="Book Antiqua"/>
          <w:color w:val="000000"/>
        </w:rPr>
        <w:t xml:space="preserve">, La Rocca C, Faicchia D, Procaccini C, Ruggieri M, Salvetti M, Centonze D, Matarese G, Uccelli A; MSRUN Network. IFNβ enhances mesenchymal stromal (Stem) cells immunomodulatory function through STAT1-3 activation and mTOR-associated promotion of glucose metabolism. </w:t>
      </w:r>
      <w:r w:rsidRPr="00432A10">
        <w:rPr>
          <w:rFonts w:ascii="Book Antiqua" w:hAnsi="Book Antiqua"/>
          <w:i/>
          <w:iCs/>
          <w:color w:val="000000"/>
        </w:rPr>
        <w:t>Cell Death Dis</w:t>
      </w:r>
      <w:r w:rsidRPr="00432A10">
        <w:rPr>
          <w:rFonts w:ascii="Book Antiqua" w:hAnsi="Book Antiqua"/>
          <w:color w:val="000000"/>
        </w:rPr>
        <w:t xml:space="preserve"> 2019; </w:t>
      </w:r>
      <w:r w:rsidRPr="00432A10">
        <w:rPr>
          <w:rFonts w:ascii="Book Antiqua" w:hAnsi="Book Antiqua"/>
          <w:b/>
          <w:bCs/>
          <w:color w:val="000000"/>
        </w:rPr>
        <w:t>10</w:t>
      </w:r>
      <w:r w:rsidRPr="00432A10">
        <w:rPr>
          <w:rFonts w:ascii="Book Antiqua" w:hAnsi="Book Antiqua"/>
          <w:color w:val="000000"/>
        </w:rPr>
        <w:t>: 85 [PMID: 30692524 DOI: 10.1038/s41419-019-1336-4]</w:t>
      </w:r>
    </w:p>
    <w:p w14:paraId="15FF6804"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59 </w:t>
      </w:r>
      <w:r w:rsidRPr="00432A10">
        <w:rPr>
          <w:rFonts w:ascii="Book Antiqua" w:hAnsi="Book Antiqua"/>
          <w:b/>
          <w:bCs/>
          <w:color w:val="000000"/>
        </w:rPr>
        <w:t>Lee HJ</w:t>
      </w:r>
      <w:r w:rsidRPr="00432A10">
        <w:rPr>
          <w:rFonts w:ascii="Book Antiqua" w:hAnsi="Book Antiqua"/>
          <w:color w:val="000000"/>
        </w:rPr>
        <w:t xml:space="preserve">, Choi B, Kim Y, Lee SE, Jin HJ, Lee HS, Chang EJ, Kim SW. The Upregulation of Toll-Like Receptor 3 via Autocrine IFN-β Signaling Drives the Senescence of Human Umbilical Cord Blood-Derived Mesenchymal Stem Cells Through JAK1. </w:t>
      </w:r>
      <w:r w:rsidRPr="00432A10">
        <w:rPr>
          <w:rFonts w:ascii="Book Antiqua" w:hAnsi="Book Antiqua"/>
          <w:i/>
          <w:iCs/>
          <w:color w:val="000000"/>
        </w:rPr>
        <w:t>Front Immunol</w:t>
      </w:r>
      <w:r w:rsidRPr="00432A10">
        <w:rPr>
          <w:rFonts w:ascii="Book Antiqua" w:hAnsi="Book Antiqua"/>
          <w:color w:val="000000"/>
        </w:rPr>
        <w:t xml:space="preserve"> 2019; </w:t>
      </w:r>
      <w:r w:rsidRPr="00432A10">
        <w:rPr>
          <w:rFonts w:ascii="Book Antiqua" w:hAnsi="Book Antiqua"/>
          <w:b/>
          <w:bCs/>
          <w:color w:val="000000"/>
        </w:rPr>
        <w:t>10</w:t>
      </w:r>
      <w:r w:rsidRPr="00432A10">
        <w:rPr>
          <w:rFonts w:ascii="Book Antiqua" w:hAnsi="Book Antiqua"/>
          <w:color w:val="000000"/>
        </w:rPr>
        <w:t>: 1659 [PMID: 31396213 DOI: 10.3389/fimmu.2019.01659]</w:t>
      </w:r>
    </w:p>
    <w:p w14:paraId="02462D5C"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60 </w:t>
      </w:r>
      <w:r w:rsidRPr="00432A10">
        <w:rPr>
          <w:rFonts w:ascii="Book Antiqua" w:hAnsi="Book Antiqua"/>
          <w:b/>
          <w:bCs/>
          <w:color w:val="000000"/>
        </w:rPr>
        <w:t>Saldaña L</w:t>
      </w:r>
      <w:r w:rsidRPr="00432A10">
        <w:rPr>
          <w:rFonts w:ascii="Book Antiqua" w:hAnsi="Book Antiqua"/>
          <w:color w:val="000000"/>
        </w:rPr>
        <w:t xml:space="preserve">, Bensiamar F, Vallés G, Mancebo FJ, García-Rey E, Vilaboa N. Immunoregulatory potential of mesenchymal stem cells following activation by macrophage-derived soluble factors. </w:t>
      </w:r>
      <w:r w:rsidRPr="00432A10">
        <w:rPr>
          <w:rFonts w:ascii="Book Antiqua" w:hAnsi="Book Antiqua"/>
          <w:i/>
          <w:iCs/>
          <w:color w:val="000000"/>
        </w:rPr>
        <w:t>Stem Cell Res Ther</w:t>
      </w:r>
      <w:r w:rsidRPr="00432A10">
        <w:rPr>
          <w:rFonts w:ascii="Book Antiqua" w:hAnsi="Book Antiqua"/>
          <w:color w:val="000000"/>
        </w:rPr>
        <w:t xml:space="preserve"> 2019; </w:t>
      </w:r>
      <w:r w:rsidRPr="00432A10">
        <w:rPr>
          <w:rFonts w:ascii="Book Antiqua" w:hAnsi="Book Antiqua"/>
          <w:b/>
          <w:bCs/>
          <w:color w:val="000000"/>
        </w:rPr>
        <w:t>10</w:t>
      </w:r>
      <w:r w:rsidRPr="00432A10">
        <w:rPr>
          <w:rFonts w:ascii="Book Antiqua" w:hAnsi="Book Antiqua"/>
          <w:color w:val="000000"/>
        </w:rPr>
        <w:t>: 58 [PMID: 30760316 DOI: 10.1186/s13287-019-1156-6]</w:t>
      </w:r>
    </w:p>
    <w:p w14:paraId="5946D5F9"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61 </w:t>
      </w:r>
      <w:r w:rsidRPr="00432A10">
        <w:rPr>
          <w:rFonts w:ascii="Book Antiqua" w:hAnsi="Book Antiqua"/>
          <w:b/>
          <w:bCs/>
          <w:color w:val="000000"/>
        </w:rPr>
        <w:t>Li Y</w:t>
      </w:r>
      <w:r w:rsidRPr="00432A10">
        <w:rPr>
          <w:rFonts w:ascii="Book Antiqua" w:hAnsi="Book Antiqua"/>
          <w:color w:val="000000"/>
        </w:rPr>
        <w:t xml:space="preserve">, Zhang D, Xu L, Dong L, Zheng J, Lin Y, Huang J, Zhang Y, Tao Y, Zang X, Li D, Du M. Cell-cell contact with proinflammatory macrophages enhances the immunotherapeutic effect of mesenchymal stem cells in two abortion models. </w:t>
      </w:r>
      <w:r w:rsidRPr="00432A10">
        <w:rPr>
          <w:rFonts w:ascii="Book Antiqua" w:hAnsi="Book Antiqua"/>
          <w:i/>
          <w:iCs/>
          <w:color w:val="000000"/>
        </w:rPr>
        <w:t>Cell Mol Immunol</w:t>
      </w:r>
      <w:r w:rsidRPr="00432A10">
        <w:rPr>
          <w:rFonts w:ascii="Book Antiqua" w:hAnsi="Book Antiqua"/>
          <w:color w:val="000000"/>
        </w:rPr>
        <w:t xml:space="preserve"> 2019; </w:t>
      </w:r>
      <w:r w:rsidRPr="00432A10">
        <w:rPr>
          <w:rFonts w:ascii="Book Antiqua" w:hAnsi="Book Antiqua"/>
          <w:b/>
          <w:bCs/>
          <w:color w:val="000000"/>
        </w:rPr>
        <w:t>16</w:t>
      </w:r>
      <w:r w:rsidRPr="00432A10">
        <w:rPr>
          <w:rFonts w:ascii="Book Antiqua" w:hAnsi="Book Antiqua"/>
          <w:color w:val="000000"/>
        </w:rPr>
        <w:t>: 908-920 [PMID: 30778166 DOI: 10.1038/s41423-019-0204-6]</w:t>
      </w:r>
    </w:p>
    <w:p w14:paraId="0D8B8A1A"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lastRenderedPageBreak/>
        <w:t xml:space="preserve">62 </w:t>
      </w:r>
      <w:r w:rsidRPr="00432A10">
        <w:rPr>
          <w:rFonts w:ascii="Book Antiqua" w:hAnsi="Book Antiqua"/>
          <w:b/>
          <w:bCs/>
          <w:color w:val="000000"/>
        </w:rPr>
        <w:t>Najar M</w:t>
      </w:r>
      <w:r w:rsidRPr="00432A10">
        <w:rPr>
          <w:rFonts w:ascii="Book Antiqua" w:hAnsi="Book Antiqua"/>
          <w:color w:val="000000"/>
        </w:rPr>
        <w:t xml:space="preserve">, Raicevic G, Jebbawi F, De Bruyn C, Meuleman N, Bron D, Toungouz M, Lagneaux L. Characterization and functionality of the CD200-CD200R system during mesenchymal stromal cell interactions with T-lymphocytes. </w:t>
      </w:r>
      <w:r w:rsidRPr="00432A10">
        <w:rPr>
          <w:rFonts w:ascii="Book Antiqua" w:hAnsi="Book Antiqua"/>
          <w:i/>
          <w:iCs/>
          <w:color w:val="000000"/>
        </w:rPr>
        <w:t>Immunol Lett</w:t>
      </w:r>
      <w:r w:rsidRPr="00432A10">
        <w:rPr>
          <w:rFonts w:ascii="Book Antiqua" w:hAnsi="Book Antiqua"/>
          <w:color w:val="000000"/>
        </w:rPr>
        <w:t xml:space="preserve"> 2012; </w:t>
      </w:r>
      <w:r w:rsidRPr="00432A10">
        <w:rPr>
          <w:rFonts w:ascii="Book Antiqua" w:hAnsi="Book Antiqua"/>
          <w:b/>
          <w:bCs/>
          <w:color w:val="000000"/>
        </w:rPr>
        <w:t>146</w:t>
      </w:r>
      <w:r w:rsidRPr="00432A10">
        <w:rPr>
          <w:rFonts w:ascii="Book Antiqua" w:hAnsi="Book Antiqua"/>
          <w:color w:val="000000"/>
        </w:rPr>
        <w:t>: 50-56 [PMID: 22575528 DOI: 10.1016/j.imlet.2012.04.017]</w:t>
      </w:r>
    </w:p>
    <w:p w14:paraId="3D3DCD5B"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63 </w:t>
      </w:r>
      <w:r w:rsidRPr="00432A10">
        <w:rPr>
          <w:rFonts w:ascii="Book Antiqua" w:hAnsi="Book Antiqua"/>
          <w:b/>
          <w:bCs/>
          <w:color w:val="000000"/>
        </w:rPr>
        <w:t>Niu J</w:t>
      </w:r>
      <w:r w:rsidRPr="00432A10">
        <w:rPr>
          <w:rFonts w:ascii="Book Antiqua" w:hAnsi="Book Antiqua"/>
          <w:color w:val="000000"/>
        </w:rPr>
        <w:t xml:space="preserve">, Yue W, Le-Le Z, Bin L, Hu X. Mesenchymal stem cells inhibit T cell activation by releasing TGF-β1 from TGF-β1/GARP complex. </w:t>
      </w:r>
      <w:r w:rsidRPr="00432A10">
        <w:rPr>
          <w:rFonts w:ascii="Book Antiqua" w:hAnsi="Book Antiqua"/>
          <w:i/>
          <w:iCs/>
          <w:color w:val="000000"/>
        </w:rPr>
        <w:t>Oncotarget</w:t>
      </w:r>
      <w:r w:rsidRPr="00432A10">
        <w:rPr>
          <w:rFonts w:ascii="Book Antiqua" w:hAnsi="Book Antiqua"/>
          <w:color w:val="000000"/>
        </w:rPr>
        <w:t xml:space="preserve"> 2017; </w:t>
      </w:r>
      <w:r w:rsidRPr="00432A10">
        <w:rPr>
          <w:rFonts w:ascii="Book Antiqua" w:hAnsi="Book Antiqua"/>
          <w:b/>
          <w:bCs/>
          <w:color w:val="000000"/>
        </w:rPr>
        <w:t>8</w:t>
      </w:r>
      <w:r w:rsidRPr="00432A10">
        <w:rPr>
          <w:rFonts w:ascii="Book Antiqua" w:hAnsi="Book Antiqua"/>
          <w:color w:val="000000"/>
        </w:rPr>
        <w:t>: 99784-99800 [PMID: 29245940 DOI: 10.18632/oncotarget.21549]</w:t>
      </w:r>
    </w:p>
    <w:p w14:paraId="06FBE199"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64 </w:t>
      </w:r>
      <w:r w:rsidRPr="00432A10">
        <w:rPr>
          <w:rFonts w:ascii="Book Antiqua" w:hAnsi="Book Antiqua"/>
          <w:b/>
          <w:bCs/>
          <w:color w:val="000000"/>
        </w:rPr>
        <w:t>Carrillo-Gálvez AB</w:t>
      </w:r>
      <w:r w:rsidRPr="00432A10">
        <w:rPr>
          <w:rFonts w:ascii="Book Antiqua" w:hAnsi="Book Antiqua"/>
          <w:color w:val="000000"/>
        </w:rPr>
        <w:t xml:space="preserve">, Gálvez-Peisl S, González-Correa JE, de Haro-Carrillo M, Ayllón V, Carmona-Sáez P, Ramos-Mejía V, Galindo-Moreno P, Cara FE, Granados-Principal S, Muñoz P, Martin F, Anderson P. GARP is a key molecule for mesenchymal stromal cell responses to TGF-β and fundamental to control mitochondrial ROS levels. </w:t>
      </w:r>
      <w:r w:rsidRPr="00432A10">
        <w:rPr>
          <w:rFonts w:ascii="Book Antiqua" w:hAnsi="Book Antiqua"/>
          <w:i/>
          <w:iCs/>
          <w:color w:val="000000"/>
        </w:rPr>
        <w:t>Stem Cells Transl Med</w:t>
      </w:r>
      <w:r w:rsidRPr="00432A10">
        <w:rPr>
          <w:rFonts w:ascii="Book Antiqua" w:hAnsi="Book Antiqua"/>
          <w:color w:val="000000"/>
        </w:rPr>
        <w:t xml:space="preserve"> 2020; </w:t>
      </w:r>
      <w:r w:rsidRPr="00432A10">
        <w:rPr>
          <w:rFonts w:ascii="Book Antiqua" w:hAnsi="Book Antiqua"/>
          <w:b/>
          <w:bCs/>
          <w:color w:val="000000"/>
        </w:rPr>
        <w:t>9</w:t>
      </w:r>
      <w:r w:rsidRPr="00432A10">
        <w:rPr>
          <w:rFonts w:ascii="Book Antiqua" w:hAnsi="Book Antiqua"/>
          <w:color w:val="000000"/>
        </w:rPr>
        <w:t>: 636-650 [PMID: 32073751 DOI: 10.1002/sctm.19-0372]</w:t>
      </w:r>
    </w:p>
    <w:p w14:paraId="080A4D47"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65 </w:t>
      </w:r>
      <w:r w:rsidRPr="00432A10">
        <w:rPr>
          <w:rFonts w:ascii="Book Antiqua" w:hAnsi="Book Antiqua"/>
          <w:b/>
          <w:bCs/>
          <w:color w:val="000000"/>
        </w:rPr>
        <w:t>Ragni E</w:t>
      </w:r>
      <w:r w:rsidRPr="00432A10">
        <w:rPr>
          <w:rFonts w:ascii="Book Antiqua" w:hAnsi="Book Antiqua"/>
          <w:color w:val="000000"/>
        </w:rPr>
        <w:t xml:space="preserve">, Perucca Orfei C, De Luca P, Mondadori C, Viganò M, Colombini A, de Girolamo L. Inflammatory priming enhances mesenchymal stromal cell secretome potential as a clinical product for regenerative medicine approaches through secreted factors and EV-miRNAs: the example of joint disease. </w:t>
      </w:r>
      <w:r w:rsidRPr="00432A10">
        <w:rPr>
          <w:rFonts w:ascii="Book Antiqua" w:hAnsi="Book Antiqua"/>
          <w:i/>
          <w:iCs/>
          <w:color w:val="000000"/>
        </w:rPr>
        <w:t>Stem Cell Res Ther</w:t>
      </w:r>
      <w:r w:rsidRPr="00432A10">
        <w:rPr>
          <w:rFonts w:ascii="Book Antiqua" w:hAnsi="Book Antiqua"/>
          <w:color w:val="000000"/>
        </w:rPr>
        <w:t xml:space="preserve"> 2020; </w:t>
      </w:r>
      <w:r w:rsidRPr="00432A10">
        <w:rPr>
          <w:rFonts w:ascii="Book Antiqua" w:hAnsi="Book Antiqua"/>
          <w:b/>
          <w:bCs/>
          <w:color w:val="000000"/>
        </w:rPr>
        <w:t>11</w:t>
      </w:r>
      <w:r w:rsidRPr="00432A10">
        <w:rPr>
          <w:rFonts w:ascii="Book Antiqua" w:hAnsi="Book Antiqua"/>
          <w:color w:val="000000"/>
        </w:rPr>
        <w:t>: 165 [PMID: 32345351 DOI: 10.1186/s13287-020-01677-9]</w:t>
      </w:r>
    </w:p>
    <w:p w14:paraId="0E435418"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66 </w:t>
      </w:r>
      <w:r w:rsidRPr="00432A10">
        <w:rPr>
          <w:rFonts w:ascii="Book Antiqua" w:hAnsi="Book Antiqua"/>
          <w:b/>
          <w:bCs/>
          <w:color w:val="000000"/>
        </w:rPr>
        <w:t>Wang M</w:t>
      </w:r>
      <w:r w:rsidRPr="00432A10">
        <w:rPr>
          <w:rFonts w:ascii="Book Antiqua" w:hAnsi="Book Antiqua"/>
          <w:color w:val="000000"/>
        </w:rPr>
        <w:t xml:space="preserve">, Yuan Q, Xie L. Mesenchymal Stem Cell-Based Immunomodulation: Properties and Clinical Application. </w:t>
      </w:r>
      <w:r w:rsidRPr="00432A10">
        <w:rPr>
          <w:rFonts w:ascii="Book Antiqua" w:hAnsi="Book Antiqua"/>
          <w:i/>
          <w:iCs/>
          <w:color w:val="000000"/>
        </w:rPr>
        <w:t>Stem Cells Int</w:t>
      </w:r>
      <w:r w:rsidRPr="00432A10">
        <w:rPr>
          <w:rFonts w:ascii="Book Antiqua" w:hAnsi="Book Antiqua"/>
          <w:color w:val="000000"/>
        </w:rPr>
        <w:t xml:space="preserve"> 2018; </w:t>
      </w:r>
      <w:r w:rsidRPr="00432A10">
        <w:rPr>
          <w:rFonts w:ascii="Book Antiqua" w:hAnsi="Book Antiqua"/>
          <w:b/>
          <w:bCs/>
          <w:color w:val="000000"/>
        </w:rPr>
        <w:t>2018</w:t>
      </w:r>
      <w:r w:rsidRPr="00432A10">
        <w:rPr>
          <w:rFonts w:ascii="Book Antiqua" w:hAnsi="Book Antiqua"/>
          <w:color w:val="000000"/>
        </w:rPr>
        <w:t>: 3057624 [PMID: 30013600 DOI: 10.1155/2018/3057624]</w:t>
      </w:r>
    </w:p>
    <w:p w14:paraId="47FDD224"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67 </w:t>
      </w:r>
      <w:r w:rsidRPr="00432A10">
        <w:rPr>
          <w:rFonts w:ascii="Book Antiqua" w:hAnsi="Book Antiqua"/>
          <w:b/>
          <w:bCs/>
          <w:color w:val="000000"/>
        </w:rPr>
        <w:t>Laing AG</w:t>
      </w:r>
      <w:r w:rsidRPr="00432A10">
        <w:rPr>
          <w:rFonts w:ascii="Book Antiqua" w:hAnsi="Book Antiqua"/>
          <w:color w:val="000000"/>
        </w:rPr>
        <w:t xml:space="preserve">, Fanelli G, Ramirez-Valdez A, Lechler RI, Lombardi G, Sharpe PT. Mesenchymal stem cells inhibit T-cell function through conserved induction of cellular stress. </w:t>
      </w:r>
      <w:r w:rsidRPr="00432A10">
        <w:rPr>
          <w:rFonts w:ascii="Book Antiqua" w:hAnsi="Book Antiqua"/>
          <w:i/>
          <w:iCs/>
          <w:color w:val="000000"/>
        </w:rPr>
        <w:t>PLoS One</w:t>
      </w:r>
      <w:r w:rsidRPr="00432A10">
        <w:rPr>
          <w:rFonts w:ascii="Book Antiqua" w:hAnsi="Book Antiqua"/>
          <w:color w:val="000000"/>
        </w:rPr>
        <w:t xml:space="preserve"> 2019; </w:t>
      </w:r>
      <w:r w:rsidRPr="00432A10">
        <w:rPr>
          <w:rFonts w:ascii="Book Antiqua" w:hAnsi="Book Antiqua"/>
          <w:b/>
          <w:bCs/>
          <w:color w:val="000000"/>
        </w:rPr>
        <w:t>14</w:t>
      </w:r>
      <w:r w:rsidRPr="00432A10">
        <w:rPr>
          <w:rFonts w:ascii="Book Antiqua" w:hAnsi="Book Antiqua"/>
          <w:color w:val="000000"/>
        </w:rPr>
        <w:t>: e0213170 [PMID: 30870462 DOI: 10.1371/journal.pone.0213170]</w:t>
      </w:r>
    </w:p>
    <w:p w14:paraId="6F739C79" w14:textId="10AD0425"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68 </w:t>
      </w:r>
      <w:r w:rsidRPr="00432A10">
        <w:rPr>
          <w:rFonts w:ascii="Book Antiqua" w:hAnsi="Book Antiqua"/>
          <w:b/>
          <w:bCs/>
          <w:color w:val="000000"/>
        </w:rPr>
        <w:t>Serejo TRT</w:t>
      </w:r>
      <w:r w:rsidRPr="00432A10">
        <w:rPr>
          <w:rFonts w:ascii="Book Antiqua" w:hAnsi="Book Antiqua"/>
          <w:color w:val="000000"/>
        </w:rPr>
        <w:t xml:space="preserve">, Silva-Carvalho AÉ, Braga LDCF, Neves FAR, Pereira RW, Carvalho JL, Saldanha-Araujo F. Assessment of the Immunosuppressive Potential of INF-γ Licensed Adipose Mesenchymal Stem Cells, Their Secretome and Extracellular Vesicles. </w:t>
      </w:r>
      <w:r w:rsidRPr="00432A10">
        <w:rPr>
          <w:rFonts w:ascii="Book Antiqua" w:hAnsi="Book Antiqua"/>
          <w:i/>
          <w:iCs/>
          <w:color w:val="000000"/>
        </w:rPr>
        <w:t>Cells</w:t>
      </w:r>
      <w:r w:rsidRPr="00432A10">
        <w:rPr>
          <w:rFonts w:ascii="Book Antiqua" w:hAnsi="Book Antiqua"/>
          <w:color w:val="000000"/>
        </w:rPr>
        <w:t xml:space="preserve"> 2019; </w:t>
      </w:r>
      <w:r w:rsidRPr="00432A10">
        <w:rPr>
          <w:rFonts w:ascii="Book Antiqua" w:hAnsi="Book Antiqua"/>
          <w:b/>
          <w:bCs/>
          <w:color w:val="000000"/>
        </w:rPr>
        <w:t>8</w:t>
      </w:r>
      <w:r w:rsidRPr="00432A10">
        <w:rPr>
          <w:rFonts w:ascii="Book Antiqua" w:hAnsi="Book Antiqua"/>
          <w:color w:val="000000"/>
        </w:rPr>
        <w:t xml:space="preserve">: </w:t>
      </w:r>
      <w:r w:rsidR="00755B90" w:rsidRPr="00432A10">
        <w:rPr>
          <w:rFonts w:ascii="Book Antiqua" w:hAnsi="Book Antiqua"/>
          <w:color w:val="000000"/>
        </w:rPr>
        <w:t xml:space="preserve">22 </w:t>
      </w:r>
      <w:r w:rsidRPr="00432A10">
        <w:rPr>
          <w:rFonts w:ascii="Book Antiqua" w:hAnsi="Book Antiqua"/>
          <w:color w:val="000000"/>
        </w:rPr>
        <w:t>[PMID: 30621275 DOI: 10.3390/cells8010022]</w:t>
      </w:r>
    </w:p>
    <w:p w14:paraId="4146AF4A"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lastRenderedPageBreak/>
        <w:t xml:space="preserve">69 </w:t>
      </w:r>
      <w:r w:rsidRPr="00432A10">
        <w:rPr>
          <w:rFonts w:ascii="Book Antiqua" w:hAnsi="Book Antiqua"/>
          <w:b/>
          <w:bCs/>
          <w:color w:val="000000"/>
        </w:rPr>
        <w:t>Wang G</w:t>
      </w:r>
      <w:r w:rsidRPr="00432A10">
        <w:rPr>
          <w:rFonts w:ascii="Book Antiqua" w:hAnsi="Book Antiqua"/>
          <w:color w:val="000000"/>
        </w:rPr>
        <w:t xml:space="preserve">, Cao K, Liu K, Xue Y, Roberts AI, Li F, Han Y, Rabson AB, Wang Y, Shi Y. Kynurenic acid, an IDO metabolite, controls TSG-6-mediated immunosuppression of human mesenchymal stem cells. </w:t>
      </w:r>
      <w:r w:rsidRPr="00432A10">
        <w:rPr>
          <w:rFonts w:ascii="Book Antiqua" w:hAnsi="Book Antiqua"/>
          <w:i/>
          <w:iCs/>
          <w:color w:val="000000"/>
        </w:rPr>
        <w:t>Cell Death Differ</w:t>
      </w:r>
      <w:r w:rsidRPr="00432A10">
        <w:rPr>
          <w:rFonts w:ascii="Book Antiqua" w:hAnsi="Book Antiqua"/>
          <w:color w:val="000000"/>
        </w:rPr>
        <w:t xml:space="preserve"> 2018; </w:t>
      </w:r>
      <w:r w:rsidRPr="00432A10">
        <w:rPr>
          <w:rFonts w:ascii="Book Antiqua" w:hAnsi="Book Antiqua"/>
          <w:b/>
          <w:bCs/>
          <w:color w:val="000000"/>
        </w:rPr>
        <w:t>25</w:t>
      </w:r>
      <w:r w:rsidRPr="00432A10">
        <w:rPr>
          <w:rFonts w:ascii="Book Antiqua" w:hAnsi="Book Antiqua"/>
          <w:color w:val="000000"/>
        </w:rPr>
        <w:t>: 1209-1223 [PMID: 29238069 DOI: 10.1038/s41418-017-0006-2]</w:t>
      </w:r>
    </w:p>
    <w:p w14:paraId="4FBF81EC" w14:textId="3C819BA8"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70 </w:t>
      </w:r>
      <w:r w:rsidRPr="00432A10">
        <w:rPr>
          <w:rFonts w:ascii="Book Antiqua" w:hAnsi="Book Antiqua"/>
          <w:b/>
          <w:bCs/>
          <w:color w:val="000000"/>
        </w:rPr>
        <w:t>De Kock J</w:t>
      </w:r>
      <w:r w:rsidRPr="00432A10">
        <w:rPr>
          <w:rFonts w:ascii="Book Antiqua" w:hAnsi="Book Antiqua"/>
          <w:color w:val="000000"/>
        </w:rPr>
        <w:t xml:space="preserve">, Rodrigues RM, Branson S, Verhoye L, Colemonts-Vroninks H, Rombaut M, Boeckmans J, Neuckermans J, Lequeue S, Buyl K, Merimi M, Moussa Agha D, De Boe V, Lagneaux L, Meuleman P, Vanhaecke T, Najar M. Inflammation Alters the Secretome and Immunomodulatory Properties of Human Skin-Derived Precursor Cells. </w:t>
      </w:r>
      <w:r w:rsidRPr="00432A10">
        <w:rPr>
          <w:rFonts w:ascii="Book Antiqua" w:hAnsi="Book Antiqua"/>
          <w:i/>
          <w:iCs/>
          <w:color w:val="000000"/>
        </w:rPr>
        <w:t>Cells</w:t>
      </w:r>
      <w:r w:rsidRPr="00432A10">
        <w:rPr>
          <w:rFonts w:ascii="Book Antiqua" w:hAnsi="Book Antiqua"/>
          <w:color w:val="000000"/>
        </w:rPr>
        <w:t xml:space="preserve"> 2020; </w:t>
      </w:r>
      <w:r w:rsidRPr="00432A10">
        <w:rPr>
          <w:rFonts w:ascii="Book Antiqua" w:hAnsi="Book Antiqua"/>
          <w:b/>
          <w:bCs/>
          <w:color w:val="000000"/>
        </w:rPr>
        <w:t>9</w:t>
      </w:r>
      <w:r w:rsidRPr="00432A10">
        <w:rPr>
          <w:rFonts w:ascii="Book Antiqua" w:hAnsi="Book Antiqua"/>
          <w:color w:val="000000"/>
        </w:rPr>
        <w:t>:</w:t>
      </w:r>
      <w:r w:rsidR="00032E24" w:rsidRPr="00432A10">
        <w:rPr>
          <w:rFonts w:ascii="Book Antiqua" w:hAnsi="Book Antiqua"/>
          <w:color w:val="000000"/>
        </w:rPr>
        <w:t xml:space="preserve"> 914</w:t>
      </w:r>
      <w:r w:rsidRPr="00432A10">
        <w:rPr>
          <w:rFonts w:ascii="Book Antiqua" w:hAnsi="Book Antiqua"/>
          <w:color w:val="000000"/>
        </w:rPr>
        <w:t xml:space="preserve"> [PMID: 32276503 DOI: 10.3390/cells9040914]</w:t>
      </w:r>
    </w:p>
    <w:p w14:paraId="00E824FD"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71 </w:t>
      </w:r>
      <w:r w:rsidRPr="00432A10">
        <w:rPr>
          <w:rFonts w:ascii="Book Antiqua" w:hAnsi="Book Antiqua"/>
          <w:b/>
          <w:bCs/>
          <w:color w:val="000000"/>
        </w:rPr>
        <w:t>van Megen KM</w:t>
      </w:r>
      <w:r w:rsidRPr="00432A10">
        <w:rPr>
          <w:rFonts w:ascii="Book Antiqua" w:hAnsi="Book Antiqua"/>
          <w:color w:val="000000"/>
        </w:rPr>
        <w:t xml:space="preserve">, van 't Wout ET, Lages Motta J, Dekker B, Nikolic T, Roep BO. Activated Mesenchymal Stromal Cells Process and Present Antigens Regulating Adaptive Immunity. </w:t>
      </w:r>
      <w:r w:rsidRPr="00432A10">
        <w:rPr>
          <w:rFonts w:ascii="Book Antiqua" w:hAnsi="Book Antiqua"/>
          <w:i/>
          <w:iCs/>
          <w:color w:val="000000"/>
        </w:rPr>
        <w:t>Front Immunol</w:t>
      </w:r>
      <w:r w:rsidRPr="00432A10">
        <w:rPr>
          <w:rFonts w:ascii="Book Antiqua" w:hAnsi="Book Antiqua"/>
          <w:color w:val="000000"/>
        </w:rPr>
        <w:t xml:space="preserve"> 2019; </w:t>
      </w:r>
      <w:r w:rsidRPr="00432A10">
        <w:rPr>
          <w:rFonts w:ascii="Book Antiqua" w:hAnsi="Book Antiqua"/>
          <w:b/>
          <w:bCs/>
          <w:color w:val="000000"/>
        </w:rPr>
        <w:t>10</w:t>
      </w:r>
      <w:r w:rsidRPr="00432A10">
        <w:rPr>
          <w:rFonts w:ascii="Book Antiqua" w:hAnsi="Book Antiqua"/>
          <w:color w:val="000000"/>
        </w:rPr>
        <w:t>: 694 [PMID: 31001285 DOI: 10.3389/fimmu.2019.00694]</w:t>
      </w:r>
    </w:p>
    <w:p w14:paraId="64DFA0C0"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72 </w:t>
      </w:r>
      <w:r w:rsidRPr="00432A10">
        <w:rPr>
          <w:rFonts w:ascii="Book Antiqua" w:hAnsi="Book Antiqua"/>
          <w:b/>
          <w:bCs/>
          <w:color w:val="000000"/>
        </w:rPr>
        <w:t>Reis e Sousa C</w:t>
      </w:r>
      <w:r w:rsidRPr="00432A10">
        <w:rPr>
          <w:rFonts w:ascii="Book Antiqua" w:hAnsi="Book Antiqua"/>
          <w:color w:val="000000"/>
        </w:rPr>
        <w:t xml:space="preserve">. Sensing infection and tissue damage. </w:t>
      </w:r>
      <w:r w:rsidRPr="00432A10">
        <w:rPr>
          <w:rFonts w:ascii="Book Antiqua" w:hAnsi="Book Antiqua"/>
          <w:i/>
          <w:iCs/>
          <w:color w:val="000000"/>
        </w:rPr>
        <w:t>EMBO Mol Med</w:t>
      </w:r>
      <w:r w:rsidRPr="00432A10">
        <w:rPr>
          <w:rFonts w:ascii="Book Antiqua" w:hAnsi="Book Antiqua"/>
          <w:color w:val="000000"/>
        </w:rPr>
        <w:t xml:space="preserve"> 2017; </w:t>
      </w:r>
      <w:r w:rsidRPr="00432A10">
        <w:rPr>
          <w:rFonts w:ascii="Book Antiqua" w:hAnsi="Book Antiqua"/>
          <w:b/>
          <w:bCs/>
          <w:color w:val="000000"/>
        </w:rPr>
        <w:t>9</w:t>
      </w:r>
      <w:r w:rsidRPr="00432A10">
        <w:rPr>
          <w:rFonts w:ascii="Book Antiqua" w:hAnsi="Book Antiqua"/>
          <w:color w:val="000000"/>
        </w:rPr>
        <w:t>: 285-288 [PMID: 28119319 DOI: 10.15252/emmm.201607227]</w:t>
      </w:r>
    </w:p>
    <w:p w14:paraId="7226D158"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73 </w:t>
      </w:r>
      <w:r w:rsidRPr="00432A10">
        <w:rPr>
          <w:rFonts w:ascii="Book Antiqua" w:hAnsi="Book Antiqua"/>
          <w:b/>
          <w:bCs/>
          <w:color w:val="000000"/>
        </w:rPr>
        <w:t>Kawai T</w:t>
      </w:r>
      <w:r w:rsidRPr="00432A10">
        <w:rPr>
          <w:rFonts w:ascii="Book Antiqua" w:hAnsi="Book Antiqua"/>
          <w:color w:val="000000"/>
        </w:rPr>
        <w:t xml:space="preserve">, Akira S. The roles of TLRs, RLRs and NLRs in pathogen recognition. </w:t>
      </w:r>
      <w:r w:rsidRPr="00432A10">
        <w:rPr>
          <w:rFonts w:ascii="Book Antiqua" w:hAnsi="Book Antiqua"/>
          <w:i/>
          <w:iCs/>
          <w:color w:val="000000"/>
        </w:rPr>
        <w:t>Int Immunol</w:t>
      </w:r>
      <w:r w:rsidRPr="00432A10">
        <w:rPr>
          <w:rFonts w:ascii="Book Antiqua" w:hAnsi="Book Antiqua"/>
          <w:color w:val="000000"/>
        </w:rPr>
        <w:t xml:space="preserve"> 2009; </w:t>
      </w:r>
      <w:r w:rsidRPr="00432A10">
        <w:rPr>
          <w:rFonts w:ascii="Book Antiqua" w:hAnsi="Book Antiqua"/>
          <w:b/>
          <w:bCs/>
          <w:color w:val="000000"/>
        </w:rPr>
        <w:t>21</w:t>
      </w:r>
      <w:r w:rsidRPr="00432A10">
        <w:rPr>
          <w:rFonts w:ascii="Book Antiqua" w:hAnsi="Book Antiqua"/>
          <w:color w:val="000000"/>
        </w:rPr>
        <w:t>: 317-337 [PMID: 19246554 DOI: 10.1093/intimm/dxp017]</w:t>
      </w:r>
    </w:p>
    <w:p w14:paraId="563A2257"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74 </w:t>
      </w:r>
      <w:r w:rsidRPr="00432A10">
        <w:rPr>
          <w:rFonts w:ascii="Book Antiqua" w:hAnsi="Book Antiqua"/>
          <w:b/>
          <w:bCs/>
          <w:color w:val="000000"/>
        </w:rPr>
        <w:t>Sallustio F</w:t>
      </w:r>
      <w:r w:rsidRPr="00432A10">
        <w:rPr>
          <w:rFonts w:ascii="Book Antiqua" w:hAnsi="Book Antiqua"/>
          <w:color w:val="000000"/>
        </w:rPr>
        <w:t xml:space="preserve">, Curci C, Stasi A, De Palma G, Divella C, Gramignoli R, Castellano G, Gallone A, Gesualdo L. Role of Toll-Like Receptors in Actuating Stem/Progenitor Cell Repair Mechanisms: Different Functions in Different Cells. </w:t>
      </w:r>
      <w:r w:rsidRPr="00432A10">
        <w:rPr>
          <w:rFonts w:ascii="Book Antiqua" w:hAnsi="Book Antiqua"/>
          <w:i/>
          <w:iCs/>
          <w:color w:val="000000"/>
        </w:rPr>
        <w:t>Stem Cells Int</w:t>
      </w:r>
      <w:r w:rsidRPr="00432A10">
        <w:rPr>
          <w:rFonts w:ascii="Book Antiqua" w:hAnsi="Book Antiqua"/>
          <w:color w:val="000000"/>
        </w:rPr>
        <w:t xml:space="preserve"> 2019; </w:t>
      </w:r>
      <w:r w:rsidRPr="00432A10">
        <w:rPr>
          <w:rFonts w:ascii="Book Antiqua" w:hAnsi="Book Antiqua"/>
          <w:b/>
          <w:bCs/>
          <w:color w:val="000000"/>
        </w:rPr>
        <w:t>2019</w:t>
      </w:r>
      <w:r w:rsidRPr="00432A10">
        <w:rPr>
          <w:rFonts w:ascii="Book Antiqua" w:hAnsi="Book Antiqua"/>
          <w:color w:val="000000"/>
        </w:rPr>
        <w:t>: 6795845 [PMID: 31089331 DOI: 10.1155/2019/6795845]</w:t>
      </w:r>
    </w:p>
    <w:p w14:paraId="0F4449BC"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75 </w:t>
      </w:r>
      <w:r w:rsidRPr="00432A10">
        <w:rPr>
          <w:rFonts w:ascii="Book Antiqua" w:hAnsi="Book Antiqua"/>
          <w:b/>
          <w:bCs/>
          <w:color w:val="000000"/>
        </w:rPr>
        <w:t>Bernardo ME</w:t>
      </w:r>
      <w:r w:rsidRPr="00432A10">
        <w:rPr>
          <w:rFonts w:ascii="Book Antiqua" w:hAnsi="Book Antiqua"/>
          <w:color w:val="000000"/>
        </w:rPr>
        <w:t xml:space="preserve">, Fibbe WE. Mesenchymal stromal cells: sensors and switchers of inflammation. </w:t>
      </w:r>
      <w:r w:rsidRPr="00432A10">
        <w:rPr>
          <w:rFonts w:ascii="Book Antiqua" w:hAnsi="Book Antiqua"/>
          <w:i/>
          <w:iCs/>
          <w:color w:val="000000"/>
        </w:rPr>
        <w:t>Cell Stem Cell</w:t>
      </w:r>
      <w:r w:rsidRPr="00432A10">
        <w:rPr>
          <w:rFonts w:ascii="Book Antiqua" w:hAnsi="Book Antiqua"/>
          <w:color w:val="000000"/>
        </w:rPr>
        <w:t xml:space="preserve"> 2013; </w:t>
      </w:r>
      <w:r w:rsidRPr="00432A10">
        <w:rPr>
          <w:rFonts w:ascii="Book Antiqua" w:hAnsi="Book Antiqua"/>
          <w:b/>
          <w:bCs/>
          <w:color w:val="000000"/>
        </w:rPr>
        <w:t>13</w:t>
      </w:r>
      <w:r w:rsidRPr="00432A10">
        <w:rPr>
          <w:rFonts w:ascii="Book Antiqua" w:hAnsi="Book Antiqua"/>
          <w:color w:val="000000"/>
        </w:rPr>
        <w:t>: 392-402 [PMID: 24094322 DOI: 10.1016/j.stem.2013.09.006]</w:t>
      </w:r>
    </w:p>
    <w:p w14:paraId="49CD7AE0"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76 </w:t>
      </w:r>
      <w:r w:rsidRPr="00432A10">
        <w:rPr>
          <w:rFonts w:ascii="Book Antiqua" w:hAnsi="Book Antiqua"/>
          <w:b/>
          <w:bCs/>
          <w:color w:val="000000"/>
        </w:rPr>
        <w:t>Najar M</w:t>
      </w:r>
      <w:r w:rsidRPr="00432A10">
        <w:rPr>
          <w:rFonts w:ascii="Book Antiqua" w:hAnsi="Book Antiqua"/>
          <w:color w:val="000000"/>
        </w:rPr>
        <w:t xml:space="preserve">, Krayem M, Meuleman N, Bron D, Lagneaux L. Mesenchymal Stromal Cells and Toll-Like Receptor Priming: A Critical Review. </w:t>
      </w:r>
      <w:r w:rsidRPr="00432A10">
        <w:rPr>
          <w:rFonts w:ascii="Book Antiqua" w:hAnsi="Book Antiqua"/>
          <w:i/>
          <w:iCs/>
          <w:color w:val="000000"/>
        </w:rPr>
        <w:t>Immune Netw</w:t>
      </w:r>
      <w:r w:rsidRPr="00432A10">
        <w:rPr>
          <w:rFonts w:ascii="Book Antiqua" w:hAnsi="Book Antiqua"/>
          <w:color w:val="000000"/>
        </w:rPr>
        <w:t xml:space="preserve"> 2017; </w:t>
      </w:r>
      <w:r w:rsidRPr="00432A10">
        <w:rPr>
          <w:rFonts w:ascii="Book Antiqua" w:hAnsi="Book Antiqua"/>
          <w:b/>
          <w:bCs/>
          <w:color w:val="000000"/>
        </w:rPr>
        <w:t>17</w:t>
      </w:r>
      <w:r w:rsidRPr="00432A10">
        <w:rPr>
          <w:rFonts w:ascii="Book Antiqua" w:hAnsi="Book Antiqua"/>
          <w:color w:val="000000"/>
        </w:rPr>
        <w:t>: 89-102 [PMID: 28458620 DOI: 10.4110/in.2017.17.2.89]</w:t>
      </w:r>
    </w:p>
    <w:p w14:paraId="6AEFCB73"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77 </w:t>
      </w:r>
      <w:r w:rsidRPr="00432A10">
        <w:rPr>
          <w:rFonts w:ascii="Book Antiqua" w:hAnsi="Book Antiqua"/>
          <w:b/>
          <w:bCs/>
          <w:color w:val="000000"/>
        </w:rPr>
        <w:t>Raicevic G</w:t>
      </w:r>
      <w:r w:rsidRPr="00432A10">
        <w:rPr>
          <w:rFonts w:ascii="Book Antiqua" w:hAnsi="Book Antiqua"/>
          <w:color w:val="000000"/>
        </w:rPr>
        <w:t xml:space="preserve">, Rouas R, Najar M, Stordeur P, Boufker HI, Bron D, Martiat P, Goldman M, Nevessignsky MT, Lagneaux L. Inflammation modifies the pattern and the function </w:t>
      </w:r>
      <w:r w:rsidRPr="00432A10">
        <w:rPr>
          <w:rFonts w:ascii="Book Antiqua" w:hAnsi="Book Antiqua"/>
          <w:color w:val="000000"/>
        </w:rPr>
        <w:lastRenderedPageBreak/>
        <w:t xml:space="preserve">of Toll-like receptors expressed by human mesenchymal stromal cells. </w:t>
      </w:r>
      <w:r w:rsidRPr="00432A10">
        <w:rPr>
          <w:rFonts w:ascii="Book Antiqua" w:hAnsi="Book Antiqua"/>
          <w:i/>
          <w:iCs/>
          <w:color w:val="000000"/>
        </w:rPr>
        <w:t>Hum Immunol</w:t>
      </w:r>
      <w:r w:rsidRPr="00432A10">
        <w:rPr>
          <w:rFonts w:ascii="Book Antiqua" w:hAnsi="Book Antiqua"/>
          <w:color w:val="000000"/>
        </w:rPr>
        <w:t xml:space="preserve"> 2010; </w:t>
      </w:r>
      <w:r w:rsidRPr="00432A10">
        <w:rPr>
          <w:rFonts w:ascii="Book Antiqua" w:hAnsi="Book Antiqua"/>
          <w:b/>
          <w:bCs/>
          <w:color w:val="000000"/>
        </w:rPr>
        <w:t>71</w:t>
      </w:r>
      <w:r w:rsidRPr="00432A10">
        <w:rPr>
          <w:rFonts w:ascii="Book Antiqua" w:hAnsi="Book Antiqua"/>
          <w:color w:val="000000"/>
        </w:rPr>
        <w:t>: 235-244 [PMID: 20034529 DOI: 10.1016/j.humimm.2009.12.005]</w:t>
      </w:r>
    </w:p>
    <w:p w14:paraId="0C5CE015"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78 </w:t>
      </w:r>
      <w:r w:rsidRPr="00432A10">
        <w:rPr>
          <w:rFonts w:ascii="Book Antiqua" w:hAnsi="Book Antiqua"/>
          <w:b/>
          <w:bCs/>
          <w:color w:val="000000"/>
        </w:rPr>
        <w:t>Raicevic G</w:t>
      </w:r>
      <w:r w:rsidRPr="00432A10">
        <w:rPr>
          <w:rFonts w:ascii="Book Antiqua" w:hAnsi="Book Antiqua"/>
          <w:color w:val="000000"/>
        </w:rPr>
        <w:t xml:space="preserve">, Najar M, Stamatopoulos B, De Bruyn C, Meuleman N, Bron D, Toungouz M, Lagneaux L. The source of human mesenchymal stromal cells influences their TLR profile as well as their functional properties. </w:t>
      </w:r>
      <w:r w:rsidRPr="00432A10">
        <w:rPr>
          <w:rFonts w:ascii="Book Antiqua" w:hAnsi="Book Antiqua"/>
          <w:i/>
          <w:iCs/>
          <w:color w:val="000000"/>
        </w:rPr>
        <w:t>Cell Immunol</w:t>
      </w:r>
      <w:r w:rsidRPr="00432A10">
        <w:rPr>
          <w:rFonts w:ascii="Book Antiqua" w:hAnsi="Book Antiqua"/>
          <w:color w:val="000000"/>
        </w:rPr>
        <w:t xml:space="preserve"> 2011; </w:t>
      </w:r>
      <w:r w:rsidRPr="00432A10">
        <w:rPr>
          <w:rFonts w:ascii="Book Antiqua" w:hAnsi="Book Antiqua"/>
          <w:b/>
          <w:bCs/>
          <w:color w:val="000000"/>
        </w:rPr>
        <w:t>270</w:t>
      </w:r>
      <w:r w:rsidRPr="00432A10">
        <w:rPr>
          <w:rFonts w:ascii="Book Antiqua" w:hAnsi="Book Antiqua"/>
          <w:color w:val="000000"/>
        </w:rPr>
        <w:t>: 207-216 [PMID: 21700275 DOI: 10.1016/j.cellimm.2011.05.010]</w:t>
      </w:r>
    </w:p>
    <w:p w14:paraId="620D4F48"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79 </w:t>
      </w:r>
      <w:r w:rsidRPr="00432A10">
        <w:rPr>
          <w:rFonts w:ascii="Book Antiqua" w:hAnsi="Book Antiqua"/>
          <w:b/>
          <w:bCs/>
          <w:color w:val="000000"/>
        </w:rPr>
        <w:t>Jafari M</w:t>
      </w:r>
      <w:r w:rsidRPr="00432A10">
        <w:rPr>
          <w:rFonts w:ascii="Book Antiqua" w:hAnsi="Book Antiqua"/>
          <w:color w:val="000000"/>
        </w:rPr>
        <w:t xml:space="preserve">, Asghari A, Delbandi AA, Jalessi M, Jazayeri MH, Samarei R, Tajik N. Priming TLR3 and TLR4 in human adipose- and olfactory mucosa-derived mesenchymal stromal cells and comparison of their cytokine secretions. </w:t>
      </w:r>
      <w:r w:rsidRPr="00432A10">
        <w:rPr>
          <w:rFonts w:ascii="Book Antiqua" w:hAnsi="Book Antiqua"/>
          <w:i/>
          <w:iCs/>
          <w:color w:val="000000"/>
        </w:rPr>
        <w:t>Cytotechnology</w:t>
      </w:r>
      <w:r w:rsidRPr="00432A10">
        <w:rPr>
          <w:rFonts w:ascii="Book Antiqua" w:hAnsi="Book Antiqua"/>
          <w:color w:val="000000"/>
        </w:rPr>
        <w:t xml:space="preserve"> 2020; </w:t>
      </w:r>
      <w:r w:rsidRPr="00432A10">
        <w:rPr>
          <w:rFonts w:ascii="Book Antiqua" w:hAnsi="Book Antiqua"/>
          <w:b/>
          <w:bCs/>
          <w:color w:val="000000"/>
        </w:rPr>
        <w:t>72</w:t>
      </w:r>
      <w:r w:rsidRPr="00432A10">
        <w:rPr>
          <w:rFonts w:ascii="Book Antiqua" w:hAnsi="Book Antiqua"/>
          <w:color w:val="000000"/>
        </w:rPr>
        <w:t>: 57-68 [PMID: 31898754 DOI: 10.1007/s10616-019-00357-8]</w:t>
      </w:r>
    </w:p>
    <w:p w14:paraId="33A76C33"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80 </w:t>
      </w:r>
      <w:r w:rsidRPr="00432A10">
        <w:rPr>
          <w:rFonts w:ascii="Book Antiqua" w:hAnsi="Book Antiqua"/>
          <w:b/>
          <w:bCs/>
          <w:color w:val="000000"/>
        </w:rPr>
        <w:t>Munir S</w:t>
      </w:r>
      <w:r w:rsidRPr="00432A10">
        <w:rPr>
          <w:rFonts w:ascii="Book Antiqua" w:hAnsi="Book Antiqua"/>
          <w:color w:val="000000"/>
        </w:rPr>
        <w:t xml:space="preserve">, Basu A, Maity P, Krug L, Haas P, Jiang D, Strauss G, Wlaschek M, Geiger H, Singh K, Scharffetter-Kochanek K. TLR4-dependent shaping of the wound site by MSCs accelerates wound healing. </w:t>
      </w:r>
      <w:r w:rsidRPr="00432A10">
        <w:rPr>
          <w:rFonts w:ascii="Book Antiqua" w:hAnsi="Book Antiqua"/>
          <w:i/>
          <w:iCs/>
          <w:color w:val="000000"/>
        </w:rPr>
        <w:t>EMBO Rep</w:t>
      </w:r>
      <w:r w:rsidRPr="00432A10">
        <w:rPr>
          <w:rFonts w:ascii="Book Antiqua" w:hAnsi="Book Antiqua"/>
          <w:color w:val="000000"/>
        </w:rPr>
        <w:t xml:space="preserve"> 2020; </w:t>
      </w:r>
      <w:r w:rsidRPr="00432A10">
        <w:rPr>
          <w:rFonts w:ascii="Book Antiqua" w:hAnsi="Book Antiqua"/>
          <w:b/>
          <w:bCs/>
          <w:color w:val="000000"/>
        </w:rPr>
        <w:t>21</w:t>
      </w:r>
      <w:r w:rsidRPr="00432A10">
        <w:rPr>
          <w:rFonts w:ascii="Book Antiqua" w:hAnsi="Book Antiqua"/>
          <w:color w:val="000000"/>
        </w:rPr>
        <w:t>: e48777 [PMID: 32162777 DOI: 10.15252/embr.201948777]</w:t>
      </w:r>
    </w:p>
    <w:p w14:paraId="38EEC1B6"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81 </w:t>
      </w:r>
      <w:r w:rsidRPr="00432A10">
        <w:rPr>
          <w:rFonts w:ascii="Book Antiqua" w:hAnsi="Book Antiqua"/>
          <w:b/>
          <w:bCs/>
          <w:color w:val="000000"/>
        </w:rPr>
        <w:t>Ramezani Ali Akbari K</w:t>
      </w:r>
      <w:r w:rsidRPr="00432A10">
        <w:rPr>
          <w:rFonts w:ascii="Book Antiqua" w:hAnsi="Book Antiqua"/>
          <w:color w:val="000000"/>
        </w:rPr>
        <w:t xml:space="preserve">, Fathollahi A, Hashemi SM, Pouriran R, Yeganeh F. Activity of Dipeptidyl Peptidase-IV/CD26 and Aminopeptidase N/CD13 in Secretome of Mesenchymal Stem Cells after Treatment with LPS and PMA. </w:t>
      </w:r>
      <w:r w:rsidRPr="00432A10">
        <w:rPr>
          <w:rFonts w:ascii="Book Antiqua" w:hAnsi="Book Antiqua"/>
          <w:i/>
          <w:iCs/>
          <w:color w:val="000000"/>
        </w:rPr>
        <w:t>Iran J Immunol</w:t>
      </w:r>
      <w:r w:rsidRPr="00432A10">
        <w:rPr>
          <w:rFonts w:ascii="Book Antiqua" w:hAnsi="Book Antiqua"/>
          <w:color w:val="000000"/>
        </w:rPr>
        <w:t xml:space="preserve"> 2020; </w:t>
      </w:r>
      <w:r w:rsidRPr="00432A10">
        <w:rPr>
          <w:rFonts w:ascii="Book Antiqua" w:hAnsi="Book Antiqua"/>
          <w:b/>
          <w:bCs/>
          <w:color w:val="000000"/>
        </w:rPr>
        <w:t>17</w:t>
      </w:r>
      <w:r w:rsidRPr="00432A10">
        <w:rPr>
          <w:rFonts w:ascii="Book Antiqua" w:hAnsi="Book Antiqua"/>
          <w:color w:val="000000"/>
        </w:rPr>
        <w:t>: 41-51 [PMID: 32224540 DOI: 10.22034/iji.2020.80293]</w:t>
      </w:r>
    </w:p>
    <w:p w14:paraId="3A8A2D26"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82 </w:t>
      </w:r>
      <w:r w:rsidRPr="00432A10">
        <w:rPr>
          <w:rFonts w:ascii="Book Antiqua" w:hAnsi="Book Antiqua"/>
          <w:b/>
          <w:bCs/>
          <w:color w:val="000000"/>
        </w:rPr>
        <w:t>Raicevic G</w:t>
      </w:r>
      <w:r w:rsidRPr="00432A10">
        <w:rPr>
          <w:rFonts w:ascii="Book Antiqua" w:hAnsi="Book Antiqua"/>
          <w:color w:val="000000"/>
        </w:rPr>
        <w:t xml:space="preserve">, Najar M, Pieters K, De Bruyn C, Meuleman N, Bron D, Toungouz M, Lagneaux L. Inflammation and Toll-like receptor ligation differentially affect the osteogenic potential of human mesenchymal stromal cells depending on their tissue origin. </w:t>
      </w:r>
      <w:r w:rsidRPr="00432A10">
        <w:rPr>
          <w:rFonts w:ascii="Book Antiqua" w:hAnsi="Book Antiqua"/>
          <w:i/>
          <w:iCs/>
          <w:color w:val="000000"/>
        </w:rPr>
        <w:t>Tissue Eng Part A</w:t>
      </w:r>
      <w:r w:rsidRPr="00432A10">
        <w:rPr>
          <w:rFonts w:ascii="Book Antiqua" w:hAnsi="Book Antiqua"/>
          <w:color w:val="000000"/>
        </w:rPr>
        <w:t xml:space="preserve"> 2012; </w:t>
      </w:r>
      <w:r w:rsidRPr="00432A10">
        <w:rPr>
          <w:rFonts w:ascii="Book Antiqua" w:hAnsi="Book Antiqua"/>
          <w:b/>
          <w:bCs/>
          <w:color w:val="000000"/>
        </w:rPr>
        <w:t>18</w:t>
      </w:r>
      <w:r w:rsidRPr="00432A10">
        <w:rPr>
          <w:rFonts w:ascii="Book Antiqua" w:hAnsi="Book Antiqua"/>
          <w:color w:val="000000"/>
        </w:rPr>
        <w:t>: 1410-1418 [PMID: 22429150 DOI: 10.1089/ten.TEA.2011.0434]</w:t>
      </w:r>
    </w:p>
    <w:p w14:paraId="61F2CFF6"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83 </w:t>
      </w:r>
      <w:r w:rsidRPr="00432A10">
        <w:rPr>
          <w:rFonts w:ascii="Book Antiqua" w:hAnsi="Book Antiqua"/>
          <w:b/>
          <w:bCs/>
          <w:color w:val="000000"/>
        </w:rPr>
        <w:t>Silveira GDP</w:t>
      </w:r>
      <w:r w:rsidRPr="00432A10">
        <w:rPr>
          <w:rFonts w:ascii="Book Antiqua" w:hAnsi="Book Antiqua"/>
          <w:color w:val="000000"/>
        </w:rPr>
        <w:t xml:space="preserve">, Ishimura ME, Teixeira D, Galindo LT, Sardinha AA, Porcionatto M, Longo-Maugéri IM. Improvement of Mesenchymal Stem Cell Immunomodulatory Properties by Heat-Killed </w:t>
      </w:r>
      <w:r w:rsidRPr="00432A10">
        <w:rPr>
          <w:rFonts w:ascii="Book Antiqua" w:hAnsi="Book Antiqua"/>
          <w:i/>
          <w:iCs/>
          <w:color w:val="000000"/>
        </w:rPr>
        <w:t>Propionibacterium acnes</w:t>
      </w:r>
      <w:r w:rsidRPr="00432A10">
        <w:rPr>
          <w:rFonts w:ascii="Book Antiqua" w:hAnsi="Book Antiqua"/>
          <w:color w:val="000000"/>
        </w:rPr>
        <w:t xml:space="preserve"> via TLR2. </w:t>
      </w:r>
      <w:r w:rsidRPr="00432A10">
        <w:rPr>
          <w:rFonts w:ascii="Book Antiqua" w:hAnsi="Book Antiqua"/>
          <w:i/>
          <w:iCs/>
          <w:color w:val="000000"/>
        </w:rPr>
        <w:t>Front Mol Neurosci</w:t>
      </w:r>
      <w:r w:rsidRPr="00432A10">
        <w:rPr>
          <w:rFonts w:ascii="Book Antiqua" w:hAnsi="Book Antiqua"/>
          <w:color w:val="000000"/>
        </w:rPr>
        <w:t xml:space="preserve"> 2018; </w:t>
      </w:r>
      <w:r w:rsidRPr="00432A10">
        <w:rPr>
          <w:rFonts w:ascii="Book Antiqua" w:hAnsi="Book Antiqua"/>
          <w:b/>
          <w:bCs/>
          <w:color w:val="000000"/>
        </w:rPr>
        <w:t>11</w:t>
      </w:r>
      <w:r w:rsidRPr="00432A10">
        <w:rPr>
          <w:rFonts w:ascii="Book Antiqua" w:hAnsi="Book Antiqua"/>
          <w:color w:val="000000"/>
        </w:rPr>
        <w:t>: 489 [PMID: 30687005 DOI: 10.3389/fnmol.2018.00489]</w:t>
      </w:r>
    </w:p>
    <w:p w14:paraId="3B21034F"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84 </w:t>
      </w:r>
      <w:r w:rsidRPr="00432A10">
        <w:rPr>
          <w:rFonts w:ascii="Book Antiqua" w:hAnsi="Book Antiqua"/>
          <w:b/>
          <w:bCs/>
          <w:color w:val="000000"/>
        </w:rPr>
        <w:t>Hwa Kim S</w:t>
      </w:r>
      <w:r w:rsidRPr="00432A10">
        <w:rPr>
          <w:rFonts w:ascii="Book Antiqua" w:hAnsi="Book Antiqua"/>
          <w:color w:val="000000"/>
        </w:rPr>
        <w:t xml:space="preserve">, Das A, In Choi H, Hoon Kim K, Choul Chai J, Ran Choi M, Binas B, Sun Park K, Seek Lee Y, Jung KH, Gyu Chai Y. Forkhead box O1 (FOXO1) controls the </w:t>
      </w:r>
      <w:r w:rsidRPr="00432A10">
        <w:rPr>
          <w:rFonts w:ascii="Book Antiqua" w:hAnsi="Book Antiqua"/>
          <w:color w:val="000000"/>
        </w:rPr>
        <w:lastRenderedPageBreak/>
        <w:t xml:space="preserve">migratory response of Toll-like receptor (TLR3)-stimulated human mesenchymal stromal cells. </w:t>
      </w:r>
      <w:r w:rsidRPr="00432A10">
        <w:rPr>
          <w:rFonts w:ascii="Book Antiqua" w:hAnsi="Book Antiqua"/>
          <w:i/>
          <w:iCs/>
          <w:color w:val="000000"/>
        </w:rPr>
        <w:t>J Biol Chem</w:t>
      </w:r>
      <w:r w:rsidRPr="00432A10">
        <w:rPr>
          <w:rFonts w:ascii="Book Antiqua" w:hAnsi="Book Antiqua"/>
          <w:color w:val="000000"/>
        </w:rPr>
        <w:t xml:space="preserve"> 2019; </w:t>
      </w:r>
      <w:r w:rsidRPr="00432A10">
        <w:rPr>
          <w:rFonts w:ascii="Book Antiqua" w:hAnsi="Book Antiqua"/>
          <w:b/>
          <w:bCs/>
          <w:color w:val="000000"/>
        </w:rPr>
        <w:t>294</w:t>
      </w:r>
      <w:r w:rsidRPr="00432A10">
        <w:rPr>
          <w:rFonts w:ascii="Book Antiqua" w:hAnsi="Book Antiqua"/>
          <w:color w:val="000000"/>
        </w:rPr>
        <w:t>: 8424-8437 [PMID: 30944148 DOI: 10.1074/jbc.RA119.008673]</w:t>
      </w:r>
    </w:p>
    <w:p w14:paraId="7C88B999"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85 </w:t>
      </w:r>
      <w:r w:rsidRPr="00432A10">
        <w:rPr>
          <w:rFonts w:ascii="Book Antiqua" w:hAnsi="Book Antiqua"/>
          <w:b/>
          <w:bCs/>
          <w:color w:val="000000"/>
        </w:rPr>
        <w:t>Fayyad-Kazan M</w:t>
      </w:r>
      <w:r w:rsidRPr="00432A10">
        <w:rPr>
          <w:rFonts w:ascii="Book Antiqua" w:hAnsi="Book Antiqua"/>
          <w:color w:val="000000"/>
        </w:rPr>
        <w:t xml:space="preserve">, Najar M, Fayyad-Kazan H, Raicevic G, Lagneaux L. Identification and Evaluation of New Immunoregulatory Genes in Mesenchymal Stromal Cells of Different Origins: Comparison of Normal and Inflammatory Conditions. </w:t>
      </w:r>
      <w:r w:rsidRPr="00432A10">
        <w:rPr>
          <w:rFonts w:ascii="Book Antiqua" w:hAnsi="Book Antiqua"/>
          <w:i/>
          <w:iCs/>
          <w:color w:val="000000"/>
        </w:rPr>
        <w:t>Med Sci Monit Basic Res</w:t>
      </w:r>
      <w:r w:rsidRPr="00432A10">
        <w:rPr>
          <w:rFonts w:ascii="Book Antiqua" w:hAnsi="Book Antiqua"/>
          <w:color w:val="000000"/>
        </w:rPr>
        <w:t xml:space="preserve"> 2017; </w:t>
      </w:r>
      <w:r w:rsidRPr="00432A10">
        <w:rPr>
          <w:rFonts w:ascii="Book Antiqua" w:hAnsi="Book Antiqua"/>
          <w:b/>
          <w:bCs/>
          <w:color w:val="000000"/>
        </w:rPr>
        <w:t>23</w:t>
      </w:r>
      <w:r w:rsidRPr="00432A10">
        <w:rPr>
          <w:rFonts w:ascii="Book Antiqua" w:hAnsi="Book Antiqua"/>
          <w:color w:val="000000"/>
        </w:rPr>
        <w:t>: 87-96 [PMID: 28336906 DOI: 10.12659/msmbr.903518]</w:t>
      </w:r>
    </w:p>
    <w:p w14:paraId="244522DC"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86 </w:t>
      </w:r>
      <w:r w:rsidRPr="00432A10">
        <w:rPr>
          <w:rFonts w:ascii="Book Antiqua" w:hAnsi="Book Antiqua"/>
          <w:b/>
          <w:bCs/>
          <w:color w:val="000000"/>
        </w:rPr>
        <w:t>Najar M</w:t>
      </w:r>
      <w:r w:rsidRPr="00432A10">
        <w:rPr>
          <w:rFonts w:ascii="Book Antiqua" w:hAnsi="Book Antiqua"/>
          <w:color w:val="000000"/>
        </w:rPr>
        <w:t xml:space="preserve">, Fayyad-Kazan M, Raicevic G, Fayyad-Kazan H, Meuleman N, Bron D, Lagneaux L. Advanced Glycation End-Products-, C-Type Lectin- and Cysteinyl/ Leukotriene-Receptors in Distinct Mesenchymal Stromal Cell Populations: Differential Transcriptional Profiles in Response to Inflammation. </w:t>
      </w:r>
      <w:r w:rsidRPr="00432A10">
        <w:rPr>
          <w:rFonts w:ascii="Book Antiqua" w:hAnsi="Book Antiqua"/>
          <w:i/>
          <w:iCs/>
          <w:color w:val="000000"/>
        </w:rPr>
        <w:t>Cell J</w:t>
      </w:r>
      <w:r w:rsidRPr="00432A10">
        <w:rPr>
          <w:rFonts w:ascii="Book Antiqua" w:hAnsi="Book Antiqua"/>
          <w:color w:val="000000"/>
        </w:rPr>
        <w:t xml:space="preserve"> 2018; </w:t>
      </w:r>
      <w:r w:rsidRPr="00432A10">
        <w:rPr>
          <w:rFonts w:ascii="Book Antiqua" w:hAnsi="Book Antiqua"/>
          <w:b/>
          <w:bCs/>
          <w:color w:val="000000"/>
        </w:rPr>
        <w:t>20</w:t>
      </w:r>
      <w:r w:rsidRPr="00432A10">
        <w:rPr>
          <w:rFonts w:ascii="Book Antiqua" w:hAnsi="Book Antiqua"/>
          <w:color w:val="000000"/>
        </w:rPr>
        <w:t>: 250-258 [PMID: 29633603 DOI: 10.22074/cellj.2018.5104]</w:t>
      </w:r>
    </w:p>
    <w:p w14:paraId="0B572A91"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87 </w:t>
      </w:r>
      <w:r w:rsidRPr="00432A10">
        <w:rPr>
          <w:rFonts w:ascii="Book Antiqua" w:hAnsi="Book Antiqua"/>
          <w:b/>
          <w:bCs/>
          <w:color w:val="000000"/>
        </w:rPr>
        <w:t>Poggi A</w:t>
      </w:r>
      <w:r w:rsidRPr="00432A10">
        <w:rPr>
          <w:rFonts w:ascii="Book Antiqua" w:hAnsi="Book Antiqua"/>
          <w:color w:val="000000"/>
        </w:rPr>
        <w:t xml:space="preserve">, Varesano S, Zocchi MR. Corrigendum: How to Hit Mesenchymal Stromal Cells and Make the Tumor Microenvironment Immunostimulant Rather Than Immunosuppressive. </w:t>
      </w:r>
      <w:r w:rsidRPr="00432A10">
        <w:rPr>
          <w:rFonts w:ascii="Book Antiqua" w:hAnsi="Book Antiqua"/>
          <w:i/>
          <w:iCs/>
          <w:color w:val="000000"/>
        </w:rPr>
        <w:t>Front Immunol</w:t>
      </w:r>
      <w:r w:rsidRPr="00432A10">
        <w:rPr>
          <w:rFonts w:ascii="Book Antiqua" w:hAnsi="Book Antiqua"/>
          <w:color w:val="000000"/>
        </w:rPr>
        <w:t xml:space="preserve"> 2018; </w:t>
      </w:r>
      <w:r w:rsidRPr="00432A10">
        <w:rPr>
          <w:rFonts w:ascii="Book Antiqua" w:hAnsi="Book Antiqua"/>
          <w:b/>
          <w:bCs/>
          <w:color w:val="000000"/>
        </w:rPr>
        <w:t>9</w:t>
      </w:r>
      <w:r w:rsidRPr="00432A10">
        <w:rPr>
          <w:rFonts w:ascii="Book Antiqua" w:hAnsi="Book Antiqua"/>
          <w:color w:val="000000"/>
        </w:rPr>
        <w:t>: 1342 [PMID: 29923549 DOI: 10.3389/fimmu.2018.01342]</w:t>
      </w:r>
    </w:p>
    <w:p w14:paraId="2A08AB95"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88 </w:t>
      </w:r>
      <w:r w:rsidRPr="00432A10">
        <w:rPr>
          <w:rFonts w:ascii="Book Antiqua" w:hAnsi="Book Antiqua"/>
          <w:b/>
          <w:bCs/>
          <w:color w:val="000000"/>
        </w:rPr>
        <w:t>Gomzikova MO</w:t>
      </w:r>
      <w:r w:rsidRPr="00432A10">
        <w:rPr>
          <w:rFonts w:ascii="Book Antiqua" w:hAnsi="Book Antiqua"/>
          <w:color w:val="000000"/>
        </w:rPr>
        <w:t xml:space="preserve">, James V, Rizvanov AA. Therapeutic Application of Mesenchymal Stem Cells Derived Extracellular Vesicles for Immunomodulation. </w:t>
      </w:r>
      <w:r w:rsidRPr="00432A10">
        <w:rPr>
          <w:rFonts w:ascii="Book Antiqua" w:hAnsi="Book Antiqua"/>
          <w:i/>
          <w:iCs/>
          <w:color w:val="000000"/>
        </w:rPr>
        <w:t>Front Immunol</w:t>
      </w:r>
      <w:r w:rsidRPr="00432A10">
        <w:rPr>
          <w:rFonts w:ascii="Book Antiqua" w:hAnsi="Book Antiqua"/>
          <w:color w:val="000000"/>
        </w:rPr>
        <w:t xml:space="preserve"> 2019; </w:t>
      </w:r>
      <w:r w:rsidRPr="00432A10">
        <w:rPr>
          <w:rFonts w:ascii="Book Antiqua" w:hAnsi="Book Antiqua"/>
          <w:b/>
          <w:bCs/>
          <w:color w:val="000000"/>
        </w:rPr>
        <w:t>10</w:t>
      </w:r>
      <w:r w:rsidRPr="00432A10">
        <w:rPr>
          <w:rFonts w:ascii="Book Antiqua" w:hAnsi="Book Antiqua"/>
          <w:color w:val="000000"/>
        </w:rPr>
        <w:t>: 2663 [PMID: 31849929 DOI: 10.3389/fimmu.2019.02663]</w:t>
      </w:r>
    </w:p>
    <w:p w14:paraId="29AB41BB"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89 </w:t>
      </w:r>
      <w:r w:rsidRPr="00432A10">
        <w:rPr>
          <w:rFonts w:ascii="Book Antiqua" w:hAnsi="Book Antiqua"/>
          <w:b/>
          <w:bCs/>
          <w:color w:val="000000"/>
        </w:rPr>
        <w:t>Linero I</w:t>
      </w:r>
      <w:r w:rsidRPr="00432A10">
        <w:rPr>
          <w:rFonts w:ascii="Book Antiqua" w:hAnsi="Book Antiqua"/>
          <w:color w:val="000000"/>
        </w:rPr>
        <w:t xml:space="preserve">, Chaparro O. Paracrine effect of mesenchymal stem cells derived from human adipose tissue in bone regeneration. </w:t>
      </w:r>
      <w:r w:rsidRPr="00432A10">
        <w:rPr>
          <w:rFonts w:ascii="Book Antiqua" w:hAnsi="Book Antiqua"/>
          <w:i/>
          <w:iCs/>
          <w:color w:val="000000"/>
        </w:rPr>
        <w:t>PLoS One</w:t>
      </w:r>
      <w:r w:rsidRPr="00432A10">
        <w:rPr>
          <w:rFonts w:ascii="Book Antiqua" w:hAnsi="Book Antiqua"/>
          <w:color w:val="000000"/>
        </w:rPr>
        <w:t xml:space="preserve"> 2014; </w:t>
      </w:r>
      <w:r w:rsidRPr="00432A10">
        <w:rPr>
          <w:rFonts w:ascii="Book Antiqua" w:hAnsi="Book Antiqua"/>
          <w:b/>
          <w:bCs/>
          <w:color w:val="000000"/>
        </w:rPr>
        <w:t>9</w:t>
      </w:r>
      <w:r w:rsidRPr="00432A10">
        <w:rPr>
          <w:rFonts w:ascii="Book Antiqua" w:hAnsi="Book Antiqua"/>
          <w:color w:val="000000"/>
        </w:rPr>
        <w:t>: e107001 [PMID: 25198551 DOI: 10.1371/journal.pone.0107001]</w:t>
      </w:r>
    </w:p>
    <w:p w14:paraId="2A056B2B"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90 </w:t>
      </w:r>
      <w:r w:rsidRPr="00432A10">
        <w:rPr>
          <w:rFonts w:ascii="Book Antiqua" w:hAnsi="Book Antiqua"/>
          <w:b/>
          <w:bCs/>
          <w:color w:val="000000"/>
        </w:rPr>
        <w:t>Abbasi-Malati Z</w:t>
      </w:r>
      <w:r w:rsidRPr="00432A10">
        <w:rPr>
          <w:rFonts w:ascii="Book Antiqua" w:hAnsi="Book Antiqua"/>
          <w:color w:val="000000"/>
        </w:rPr>
        <w:t xml:space="preserve">, Roushandeh AM, Kuwahara Y, Roudkenar MH. Mesenchymal Stem Cells on Horizon: A New Arsenal of Therapeutic Agents. </w:t>
      </w:r>
      <w:r w:rsidRPr="00432A10">
        <w:rPr>
          <w:rFonts w:ascii="Book Antiqua" w:hAnsi="Book Antiqua"/>
          <w:i/>
          <w:iCs/>
          <w:color w:val="000000"/>
        </w:rPr>
        <w:t>Stem Cell Rev Rep</w:t>
      </w:r>
      <w:r w:rsidRPr="00432A10">
        <w:rPr>
          <w:rFonts w:ascii="Book Antiqua" w:hAnsi="Book Antiqua"/>
          <w:color w:val="000000"/>
        </w:rPr>
        <w:t xml:space="preserve"> 2018; </w:t>
      </w:r>
      <w:r w:rsidRPr="00432A10">
        <w:rPr>
          <w:rFonts w:ascii="Book Antiqua" w:hAnsi="Book Antiqua"/>
          <w:b/>
          <w:bCs/>
          <w:color w:val="000000"/>
        </w:rPr>
        <w:t>14</w:t>
      </w:r>
      <w:r w:rsidRPr="00432A10">
        <w:rPr>
          <w:rFonts w:ascii="Book Antiqua" w:hAnsi="Book Antiqua"/>
          <w:color w:val="000000"/>
        </w:rPr>
        <w:t>: 484-499 [PMID: 29687338 DOI: 10.1007/s12015-018-9817-x]</w:t>
      </w:r>
    </w:p>
    <w:p w14:paraId="2CED07FF"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91 </w:t>
      </w:r>
      <w:r w:rsidRPr="00432A10">
        <w:rPr>
          <w:rFonts w:ascii="Book Antiqua" w:hAnsi="Book Antiqua"/>
          <w:b/>
          <w:bCs/>
          <w:color w:val="000000"/>
        </w:rPr>
        <w:t>L PK</w:t>
      </w:r>
      <w:r w:rsidRPr="00432A10">
        <w:rPr>
          <w:rFonts w:ascii="Book Antiqua" w:hAnsi="Book Antiqua"/>
          <w:color w:val="000000"/>
        </w:rPr>
        <w:t xml:space="preserve">, Kandoi S, Misra R, S V, K R, Verma RS. The mesenchymal stem cell secretome: A new paradigm towards cell-free therapeutic mode in regenerative medicine. </w:t>
      </w:r>
      <w:r w:rsidRPr="00432A10">
        <w:rPr>
          <w:rFonts w:ascii="Book Antiqua" w:hAnsi="Book Antiqua"/>
          <w:i/>
          <w:iCs/>
          <w:color w:val="000000"/>
        </w:rPr>
        <w:t>Cytokine Growth Factor Rev</w:t>
      </w:r>
      <w:r w:rsidRPr="00432A10">
        <w:rPr>
          <w:rFonts w:ascii="Book Antiqua" w:hAnsi="Book Antiqua"/>
          <w:color w:val="000000"/>
        </w:rPr>
        <w:t xml:space="preserve"> 2019; </w:t>
      </w:r>
      <w:r w:rsidRPr="00432A10">
        <w:rPr>
          <w:rFonts w:ascii="Book Antiqua" w:hAnsi="Book Antiqua"/>
          <w:b/>
          <w:bCs/>
          <w:color w:val="000000"/>
        </w:rPr>
        <w:t>46</w:t>
      </w:r>
      <w:r w:rsidRPr="00432A10">
        <w:rPr>
          <w:rFonts w:ascii="Book Antiqua" w:hAnsi="Book Antiqua"/>
          <w:color w:val="000000"/>
        </w:rPr>
        <w:t>: 1-9 [PMID: 30954374 DOI: 10.1016/j.cytogfr.2019.04.002]</w:t>
      </w:r>
    </w:p>
    <w:p w14:paraId="1C587E08"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lastRenderedPageBreak/>
        <w:t xml:space="preserve">92 </w:t>
      </w:r>
      <w:r w:rsidRPr="00432A10">
        <w:rPr>
          <w:rFonts w:ascii="Book Antiqua" w:hAnsi="Book Antiqua"/>
          <w:b/>
          <w:bCs/>
          <w:color w:val="000000"/>
        </w:rPr>
        <w:t>Carpintero-Fernández P</w:t>
      </w:r>
      <w:r w:rsidRPr="00432A10">
        <w:rPr>
          <w:rFonts w:ascii="Book Antiqua" w:hAnsi="Book Antiqua"/>
          <w:color w:val="000000"/>
        </w:rPr>
        <w:t xml:space="preserve">, Fafián-Labora J, O'Loghlen A. Technical Advances to Study Extracellular Vesicles. </w:t>
      </w:r>
      <w:r w:rsidRPr="00432A10">
        <w:rPr>
          <w:rFonts w:ascii="Book Antiqua" w:hAnsi="Book Antiqua"/>
          <w:i/>
          <w:iCs/>
          <w:color w:val="000000"/>
        </w:rPr>
        <w:t>Front Mol Biosci</w:t>
      </w:r>
      <w:r w:rsidRPr="00432A10">
        <w:rPr>
          <w:rFonts w:ascii="Book Antiqua" w:hAnsi="Book Antiqua"/>
          <w:color w:val="000000"/>
        </w:rPr>
        <w:t xml:space="preserve"> 2017; </w:t>
      </w:r>
      <w:r w:rsidRPr="00432A10">
        <w:rPr>
          <w:rFonts w:ascii="Book Antiqua" w:hAnsi="Book Antiqua"/>
          <w:b/>
          <w:bCs/>
          <w:color w:val="000000"/>
        </w:rPr>
        <w:t>4</w:t>
      </w:r>
      <w:r w:rsidRPr="00432A10">
        <w:rPr>
          <w:rFonts w:ascii="Book Antiqua" w:hAnsi="Book Antiqua"/>
          <w:color w:val="000000"/>
        </w:rPr>
        <w:t>: 79 [PMID: 29234666 DOI: 10.3389/fmolb.2017.00079]</w:t>
      </w:r>
    </w:p>
    <w:p w14:paraId="09E7BBD2" w14:textId="747E7621"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93 </w:t>
      </w:r>
      <w:r w:rsidRPr="00432A10">
        <w:rPr>
          <w:rFonts w:ascii="Book Antiqua" w:hAnsi="Book Antiqua"/>
          <w:b/>
          <w:bCs/>
          <w:color w:val="000000"/>
        </w:rPr>
        <w:t>Joo HS</w:t>
      </w:r>
      <w:r w:rsidRPr="00432A10">
        <w:rPr>
          <w:rFonts w:ascii="Book Antiqua" w:hAnsi="Book Antiqua"/>
          <w:color w:val="000000"/>
        </w:rPr>
        <w:t xml:space="preserve">, Suh JH, Lee HJ, Bang ES, Lee JM. Current Knowledge and Future Perspectives on Mesenchymal Stem Cell-Derived Exosomes as a New Therapeutic Agent. </w:t>
      </w:r>
      <w:r w:rsidRPr="00432A10">
        <w:rPr>
          <w:rFonts w:ascii="Book Antiqua" w:hAnsi="Book Antiqua"/>
          <w:i/>
          <w:iCs/>
          <w:color w:val="000000"/>
        </w:rPr>
        <w:t>Int J Mol Sci</w:t>
      </w:r>
      <w:r w:rsidRPr="00432A10">
        <w:rPr>
          <w:rFonts w:ascii="Book Antiqua" w:hAnsi="Book Antiqua"/>
          <w:color w:val="000000"/>
        </w:rPr>
        <w:t xml:space="preserve"> 2020; </w:t>
      </w:r>
      <w:r w:rsidRPr="00432A10">
        <w:rPr>
          <w:rFonts w:ascii="Book Antiqua" w:hAnsi="Book Antiqua"/>
          <w:b/>
          <w:bCs/>
          <w:color w:val="000000"/>
        </w:rPr>
        <w:t>21</w:t>
      </w:r>
      <w:r w:rsidRPr="00432A10">
        <w:rPr>
          <w:rFonts w:ascii="Book Antiqua" w:hAnsi="Book Antiqua"/>
          <w:color w:val="000000"/>
        </w:rPr>
        <w:t>:</w:t>
      </w:r>
      <w:r w:rsidR="00032E24" w:rsidRPr="00432A10">
        <w:rPr>
          <w:rFonts w:ascii="Book Antiqua" w:hAnsi="Book Antiqua"/>
          <w:color w:val="000000"/>
        </w:rPr>
        <w:t xml:space="preserve"> 727</w:t>
      </w:r>
      <w:r w:rsidRPr="00432A10">
        <w:rPr>
          <w:rFonts w:ascii="Book Antiqua" w:hAnsi="Book Antiqua"/>
          <w:color w:val="000000"/>
        </w:rPr>
        <w:t xml:space="preserve"> [PMID: 31979113 DOI: 10.3390/ijms21030727]</w:t>
      </w:r>
    </w:p>
    <w:p w14:paraId="1A1D22A3"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94 </w:t>
      </w:r>
      <w:r w:rsidRPr="00432A10">
        <w:rPr>
          <w:rFonts w:ascii="Book Antiqua" w:hAnsi="Book Antiqua"/>
          <w:b/>
          <w:bCs/>
          <w:color w:val="000000"/>
        </w:rPr>
        <w:t>Seo Y</w:t>
      </w:r>
      <w:r w:rsidRPr="00432A10">
        <w:rPr>
          <w:rFonts w:ascii="Book Antiqua" w:hAnsi="Book Antiqua"/>
          <w:color w:val="000000"/>
        </w:rPr>
        <w:t xml:space="preserve">, Kim HS, Hong IS. Stem Cell-Derived Extracellular Vesicles as Immunomodulatory Therapeutics. </w:t>
      </w:r>
      <w:r w:rsidRPr="00432A10">
        <w:rPr>
          <w:rFonts w:ascii="Book Antiqua" w:hAnsi="Book Antiqua"/>
          <w:i/>
          <w:iCs/>
          <w:color w:val="000000"/>
        </w:rPr>
        <w:t>Stem Cells Int</w:t>
      </w:r>
      <w:r w:rsidRPr="00432A10">
        <w:rPr>
          <w:rFonts w:ascii="Book Antiqua" w:hAnsi="Book Antiqua"/>
          <w:color w:val="000000"/>
        </w:rPr>
        <w:t xml:space="preserve"> 2019; </w:t>
      </w:r>
      <w:r w:rsidRPr="00432A10">
        <w:rPr>
          <w:rFonts w:ascii="Book Antiqua" w:hAnsi="Book Antiqua"/>
          <w:b/>
          <w:bCs/>
          <w:color w:val="000000"/>
        </w:rPr>
        <w:t>2019</w:t>
      </w:r>
      <w:r w:rsidRPr="00432A10">
        <w:rPr>
          <w:rFonts w:ascii="Book Antiqua" w:hAnsi="Book Antiqua"/>
          <w:color w:val="000000"/>
        </w:rPr>
        <w:t>: 5126156 [PMID: 30936922 DOI: 10.1155/2019/5126156]</w:t>
      </w:r>
    </w:p>
    <w:p w14:paraId="6AC6754B"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95 </w:t>
      </w:r>
      <w:r w:rsidRPr="00432A10">
        <w:rPr>
          <w:rFonts w:ascii="Book Antiqua" w:hAnsi="Book Antiqua"/>
          <w:b/>
          <w:bCs/>
          <w:color w:val="000000"/>
        </w:rPr>
        <w:t>Varderidou-Minasian S</w:t>
      </w:r>
      <w:r w:rsidRPr="00432A10">
        <w:rPr>
          <w:rFonts w:ascii="Book Antiqua" w:hAnsi="Book Antiqua"/>
          <w:color w:val="000000"/>
        </w:rPr>
        <w:t xml:space="preserve">, Lorenowicz MJ. Mesenchymal stromal/stem cell-derived extracellular vesicles in tissue repair: challenges and opportunities. </w:t>
      </w:r>
      <w:r w:rsidRPr="00432A10">
        <w:rPr>
          <w:rFonts w:ascii="Book Antiqua" w:hAnsi="Book Antiqua"/>
          <w:i/>
          <w:iCs/>
          <w:color w:val="000000"/>
        </w:rPr>
        <w:t>Theranostics</w:t>
      </w:r>
      <w:r w:rsidRPr="00432A10">
        <w:rPr>
          <w:rFonts w:ascii="Book Antiqua" w:hAnsi="Book Antiqua"/>
          <w:color w:val="000000"/>
        </w:rPr>
        <w:t xml:space="preserve"> 2020; </w:t>
      </w:r>
      <w:r w:rsidRPr="00432A10">
        <w:rPr>
          <w:rFonts w:ascii="Book Antiqua" w:hAnsi="Book Antiqua"/>
          <w:b/>
          <w:bCs/>
          <w:color w:val="000000"/>
        </w:rPr>
        <w:t>10</w:t>
      </w:r>
      <w:r w:rsidRPr="00432A10">
        <w:rPr>
          <w:rFonts w:ascii="Book Antiqua" w:hAnsi="Book Antiqua"/>
          <w:color w:val="000000"/>
        </w:rPr>
        <w:t>: 5979-5997 [PMID: 32483432 DOI: 10.7150/thno.40122]</w:t>
      </w:r>
    </w:p>
    <w:p w14:paraId="5A8EB348"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96 </w:t>
      </w:r>
      <w:r w:rsidRPr="00432A10">
        <w:rPr>
          <w:rFonts w:ascii="Book Antiqua" w:hAnsi="Book Antiqua"/>
          <w:b/>
          <w:bCs/>
          <w:color w:val="000000"/>
        </w:rPr>
        <w:t>Lai RC</w:t>
      </w:r>
      <w:r w:rsidRPr="00432A10">
        <w:rPr>
          <w:rFonts w:ascii="Book Antiqua" w:hAnsi="Book Antiqua"/>
          <w:color w:val="000000"/>
        </w:rPr>
        <w:t xml:space="preserve">, Tan SS, Yeo RW, Choo AB, Reiner AT, Su Y, Shen Y, Fu Z, Alexander L, Sze SK, Lim SK. MSC secretes at least 3 EV types each with a unique permutation of membrane lipid, protein and RNA. </w:t>
      </w:r>
      <w:r w:rsidRPr="00432A10">
        <w:rPr>
          <w:rFonts w:ascii="Book Antiqua" w:hAnsi="Book Antiqua"/>
          <w:i/>
          <w:iCs/>
          <w:color w:val="000000"/>
        </w:rPr>
        <w:t>J Extracell Vesicles</w:t>
      </w:r>
      <w:r w:rsidRPr="00432A10">
        <w:rPr>
          <w:rFonts w:ascii="Book Antiqua" w:hAnsi="Book Antiqua"/>
          <w:color w:val="000000"/>
        </w:rPr>
        <w:t xml:space="preserve"> 2016; </w:t>
      </w:r>
      <w:r w:rsidRPr="00432A10">
        <w:rPr>
          <w:rFonts w:ascii="Book Antiqua" w:hAnsi="Book Antiqua"/>
          <w:b/>
          <w:bCs/>
          <w:color w:val="000000"/>
        </w:rPr>
        <w:t>5</w:t>
      </w:r>
      <w:r w:rsidRPr="00432A10">
        <w:rPr>
          <w:rFonts w:ascii="Book Antiqua" w:hAnsi="Book Antiqua"/>
          <w:color w:val="000000"/>
        </w:rPr>
        <w:t>: 29828 [PMID: 26928672 DOI: 10.3402/jev.v5.29828]</w:t>
      </w:r>
    </w:p>
    <w:p w14:paraId="2F80C6DF"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97 </w:t>
      </w:r>
      <w:r w:rsidRPr="00432A10">
        <w:rPr>
          <w:rFonts w:ascii="Book Antiqua" w:hAnsi="Book Antiqua"/>
          <w:b/>
          <w:bCs/>
          <w:color w:val="000000"/>
        </w:rPr>
        <w:t>Witwer KW</w:t>
      </w:r>
      <w:r w:rsidRPr="00432A10">
        <w:rPr>
          <w:rFonts w:ascii="Book Antiqua" w:hAnsi="Book Antiqua"/>
          <w:color w:val="000000"/>
        </w:rPr>
        <w:t xml:space="preserve">, Van Balkom BWM, Bruno S, Choo A, Dominici M, Gimona M, Hill AF, De Kleijn D, Koh M, Lai RC, Mitsialis SA, Ortiz LA, Rohde E, Asada T, Toh WS, Weiss DJ, Zheng L, Giebel B, Lim SK. Defining mesenchymal stromal cell (MSC)-derived small extracellular vesicles for therapeutic applications. </w:t>
      </w:r>
      <w:r w:rsidRPr="00432A10">
        <w:rPr>
          <w:rFonts w:ascii="Book Antiqua" w:hAnsi="Book Antiqua"/>
          <w:i/>
          <w:iCs/>
          <w:color w:val="000000"/>
        </w:rPr>
        <w:t>J Extracell Vesicles</w:t>
      </w:r>
      <w:r w:rsidRPr="00432A10">
        <w:rPr>
          <w:rFonts w:ascii="Book Antiqua" w:hAnsi="Book Antiqua"/>
          <w:color w:val="000000"/>
        </w:rPr>
        <w:t xml:space="preserve"> 2019; </w:t>
      </w:r>
      <w:r w:rsidRPr="00432A10">
        <w:rPr>
          <w:rFonts w:ascii="Book Antiqua" w:hAnsi="Book Antiqua"/>
          <w:b/>
          <w:bCs/>
          <w:color w:val="000000"/>
        </w:rPr>
        <w:t>8</w:t>
      </w:r>
      <w:r w:rsidRPr="00432A10">
        <w:rPr>
          <w:rFonts w:ascii="Book Antiqua" w:hAnsi="Book Antiqua"/>
          <w:color w:val="000000"/>
        </w:rPr>
        <w:t>: 1609206 [PMID: 31069028 DOI: 10.1080/20013078.2019.1609206]</w:t>
      </w:r>
    </w:p>
    <w:p w14:paraId="7A5A1A32"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98 </w:t>
      </w:r>
      <w:r w:rsidRPr="00432A10">
        <w:rPr>
          <w:rFonts w:ascii="Book Antiqua" w:hAnsi="Book Antiqua"/>
          <w:b/>
          <w:bCs/>
          <w:color w:val="000000"/>
        </w:rPr>
        <w:t>Bieback K</w:t>
      </w:r>
      <w:r w:rsidRPr="00432A10">
        <w:rPr>
          <w:rFonts w:ascii="Book Antiqua" w:hAnsi="Book Antiqua"/>
          <w:color w:val="000000"/>
        </w:rPr>
        <w:t xml:space="preserve">, Kuçi S, Schäfer R. Production and quality testing of multipotent mesenchymal stromal cell therapeutics for clinical use. </w:t>
      </w:r>
      <w:r w:rsidRPr="00432A10">
        <w:rPr>
          <w:rFonts w:ascii="Book Antiqua" w:hAnsi="Book Antiqua"/>
          <w:i/>
          <w:iCs/>
          <w:color w:val="000000"/>
        </w:rPr>
        <w:t>Transfusion</w:t>
      </w:r>
      <w:r w:rsidRPr="00432A10">
        <w:rPr>
          <w:rFonts w:ascii="Book Antiqua" w:hAnsi="Book Antiqua"/>
          <w:color w:val="000000"/>
        </w:rPr>
        <w:t xml:space="preserve"> 2019; </w:t>
      </w:r>
      <w:r w:rsidRPr="00432A10">
        <w:rPr>
          <w:rFonts w:ascii="Book Antiqua" w:hAnsi="Book Antiqua"/>
          <w:b/>
          <w:bCs/>
          <w:color w:val="000000"/>
        </w:rPr>
        <w:t>59</w:t>
      </w:r>
      <w:r w:rsidRPr="00432A10">
        <w:rPr>
          <w:rFonts w:ascii="Book Antiqua" w:hAnsi="Book Antiqua"/>
          <w:color w:val="000000"/>
        </w:rPr>
        <w:t>: 2164-2173 [PMID: 30882925 DOI: 10.1111/trf.15252]</w:t>
      </w:r>
    </w:p>
    <w:p w14:paraId="6DABF16A"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99 </w:t>
      </w:r>
      <w:r w:rsidRPr="00432A10">
        <w:rPr>
          <w:rFonts w:ascii="Book Antiqua" w:hAnsi="Book Antiqua"/>
          <w:b/>
          <w:bCs/>
          <w:color w:val="000000"/>
        </w:rPr>
        <w:t>Mendt M</w:t>
      </w:r>
      <w:r w:rsidRPr="00432A10">
        <w:rPr>
          <w:rFonts w:ascii="Book Antiqua" w:hAnsi="Book Antiqua"/>
          <w:color w:val="000000"/>
        </w:rPr>
        <w:t xml:space="preserve">, Rezvani K, Shpall E. Mesenchymal stem cell-derived exosomes for clinical use. </w:t>
      </w:r>
      <w:r w:rsidRPr="00432A10">
        <w:rPr>
          <w:rFonts w:ascii="Book Antiqua" w:hAnsi="Book Antiqua"/>
          <w:i/>
          <w:iCs/>
          <w:color w:val="000000"/>
        </w:rPr>
        <w:t>Bone Marrow Transplant</w:t>
      </w:r>
      <w:r w:rsidRPr="00432A10">
        <w:rPr>
          <w:rFonts w:ascii="Book Antiqua" w:hAnsi="Book Antiqua"/>
          <w:color w:val="000000"/>
        </w:rPr>
        <w:t xml:space="preserve"> 2019; </w:t>
      </w:r>
      <w:r w:rsidRPr="00432A10">
        <w:rPr>
          <w:rFonts w:ascii="Book Antiqua" w:hAnsi="Book Antiqua"/>
          <w:b/>
          <w:bCs/>
          <w:color w:val="000000"/>
        </w:rPr>
        <w:t>54</w:t>
      </w:r>
      <w:r w:rsidRPr="00432A10">
        <w:rPr>
          <w:rFonts w:ascii="Book Antiqua" w:hAnsi="Book Antiqua"/>
          <w:color w:val="000000"/>
        </w:rPr>
        <w:t>: 789-792 [PMID: 31431712 DOI: 10.1038/s41409-019-0616-z]</w:t>
      </w:r>
    </w:p>
    <w:p w14:paraId="78595615"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lastRenderedPageBreak/>
        <w:t xml:space="preserve">100 </w:t>
      </w:r>
      <w:r w:rsidRPr="00432A10">
        <w:rPr>
          <w:rFonts w:ascii="Book Antiqua" w:hAnsi="Book Antiqua"/>
          <w:b/>
          <w:bCs/>
          <w:color w:val="000000"/>
        </w:rPr>
        <w:t>Maacha S</w:t>
      </w:r>
      <w:r w:rsidRPr="00432A10">
        <w:rPr>
          <w:rFonts w:ascii="Book Antiqua" w:hAnsi="Book Antiqua"/>
          <w:color w:val="000000"/>
        </w:rPr>
        <w:t xml:space="preserve">, Sidahmed H, Jacob S, Gentilcore G, Calzone R, Grivel JC, Cugno C. Paracrine Mechanisms of Mesenchymal Stromal Cells in Angiogenesis. </w:t>
      </w:r>
      <w:r w:rsidRPr="00432A10">
        <w:rPr>
          <w:rFonts w:ascii="Book Antiqua" w:hAnsi="Book Antiqua"/>
          <w:i/>
          <w:iCs/>
          <w:color w:val="000000"/>
        </w:rPr>
        <w:t>Stem Cells Int</w:t>
      </w:r>
      <w:r w:rsidRPr="00432A10">
        <w:rPr>
          <w:rFonts w:ascii="Book Antiqua" w:hAnsi="Book Antiqua"/>
          <w:color w:val="000000"/>
        </w:rPr>
        <w:t xml:space="preserve"> 2020; </w:t>
      </w:r>
      <w:r w:rsidRPr="00432A10">
        <w:rPr>
          <w:rFonts w:ascii="Book Antiqua" w:hAnsi="Book Antiqua"/>
          <w:b/>
          <w:bCs/>
          <w:color w:val="000000"/>
        </w:rPr>
        <w:t>2020</w:t>
      </w:r>
      <w:r w:rsidRPr="00432A10">
        <w:rPr>
          <w:rFonts w:ascii="Book Antiqua" w:hAnsi="Book Antiqua"/>
          <w:color w:val="000000"/>
        </w:rPr>
        <w:t>: 4356359 [PMID: 32215017 DOI: 10.1155/2020/4356359]</w:t>
      </w:r>
    </w:p>
    <w:p w14:paraId="16485719"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101 </w:t>
      </w:r>
      <w:r w:rsidRPr="00432A10">
        <w:rPr>
          <w:rFonts w:ascii="Book Antiqua" w:hAnsi="Book Antiqua"/>
          <w:b/>
          <w:bCs/>
          <w:color w:val="000000"/>
        </w:rPr>
        <w:t>Giebel B</w:t>
      </w:r>
      <w:r w:rsidRPr="00432A10">
        <w:rPr>
          <w:rFonts w:ascii="Book Antiqua" w:hAnsi="Book Antiqua"/>
          <w:color w:val="000000"/>
        </w:rPr>
        <w:t xml:space="preserve">, Kordelas L, Börger V. Clinical potential of mesenchymal stem/stromal cell-derived extracellular vesicles. </w:t>
      </w:r>
      <w:r w:rsidRPr="00432A10">
        <w:rPr>
          <w:rFonts w:ascii="Book Antiqua" w:hAnsi="Book Antiqua"/>
          <w:i/>
          <w:iCs/>
          <w:color w:val="000000"/>
        </w:rPr>
        <w:t>Stem Cell Investig</w:t>
      </w:r>
      <w:r w:rsidRPr="00432A10">
        <w:rPr>
          <w:rFonts w:ascii="Book Antiqua" w:hAnsi="Book Antiqua"/>
          <w:color w:val="000000"/>
        </w:rPr>
        <w:t xml:space="preserve"> 2017; </w:t>
      </w:r>
      <w:r w:rsidRPr="00432A10">
        <w:rPr>
          <w:rFonts w:ascii="Book Antiqua" w:hAnsi="Book Antiqua"/>
          <w:b/>
          <w:bCs/>
          <w:color w:val="000000"/>
        </w:rPr>
        <w:t>4</w:t>
      </w:r>
      <w:r w:rsidRPr="00432A10">
        <w:rPr>
          <w:rFonts w:ascii="Book Antiqua" w:hAnsi="Book Antiqua"/>
          <w:color w:val="000000"/>
        </w:rPr>
        <w:t>: 84 [PMID: 29167805 DOI: 10.21037/sci.2017.09.06]</w:t>
      </w:r>
    </w:p>
    <w:p w14:paraId="70420A1C" w14:textId="09F61AA5"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102 </w:t>
      </w:r>
      <w:r w:rsidRPr="00432A10">
        <w:rPr>
          <w:rFonts w:ascii="Book Antiqua" w:hAnsi="Book Antiqua"/>
          <w:b/>
          <w:bCs/>
          <w:color w:val="000000"/>
        </w:rPr>
        <w:t>Börger V</w:t>
      </w:r>
      <w:r w:rsidRPr="00432A10">
        <w:rPr>
          <w:rFonts w:ascii="Book Antiqua" w:hAnsi="Book Antiqua"/>
          <w:color w:val="000000"/>
        </w:rPr>
        <w:t xml:space="preserve">, Bremer M, Ferrer-Tur R, Gockeln L, Stambouli O, Becic A, Giebel B. Mesenchymal Stem/Stromal Cell-Derived Extracellular Vesicles and Their Potential as Novel Immunomodulatory Therapeutic Agents. </w:t>
      </w:r>
      <w:r w:rsidRPr="00432A10">
        <w:rPr>
          <w:rFonts w:ascii="Book Antiqua" w:hAnsi="Book Antiqua"/>
          <w:i/>
          <w:iCs/>
          <w:color w:val="000000"/>
        </w:rPr>
        <w:t>Int J Mol Sci</w:t>
      </w:r>
      <w:r w:rsidRPr="00432A10">
        <w:rPr>
          <w:rFonts w:ascii="Book Antiqua" w:hAnsi="Book Antiqua"/>
          <w:color w:val="000000"/>
        </w:rPr>
        <w:t xml:space="preserve"> 2017; </w:t>
      </w:r>
      <w:r w:rsidRPr="00432A10">
        <w:rPr>
          <w:rFonts w:ascii="Book Antiqua" w:hAnsi="Book Antiqua"/>
          <w:b/>
          <w:bCs/>
          <w:color w:val="000000"/>
        </w:rPr>
        <w:t>18</w:t>
      </w:r>
      <w:r w:rsidRPr="00432A10">
        <w:rPr>
          <w:rFonts w:ascii="Book Antiqua" w:hAnsi="Book Antiqua"/>
          <w:color w:val="000000"/>
        </w:rPr>
        <w:t>:</w:t>
      </w:r>
      <w:r w:rsidR="00E26A8C" w:rsidRPr="00432A10">
        <w:rPr>
          <w:rFonts w:ascii="Book Antiqua" w:hAnsi="Book Antiqua"/>
          <w:color w:val="000000"/>
        </w:rPr>
        <w:t xml:space="preserve"> 1450</w:t>
      </w:r>
      <w:r w:rsidRPr="00432A10">
        <w:rPr>
          <w:rFonts w:ascii="Book Antiqua" w:hAnsi="Book Antiqua"/>
          <w:color w:val="000000"/>
        </w:rPr>
        <w:t xml:space="preserve"> [PMID: 28684664 DOI: 10.3390/ijms18071450]</w:t>
      </w:r>
    </w:p>
    <w:p w14:paraId="308ABE92"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103 </w:t>
      </w:r>
      <w:r w:rsidRPr="00432A10">
        <w:rPr>
          <w:rFonts w:ascii="Book Antiqua" w:hAnsi="Book Antiqua"/>
          <w:b/>
          <w:bCs/>
          <w:color w:val="000000"/>
        </w:rPr>
        <w:t>Kim H</w:t>
      </w:r>
      <w:r w:rsidRPr="00432A10">
        <w:rPr>
          <w:rFonts w:ascii="Book Antiqua" w:hAnsi="Book Antiqua"/>
          <w:color w:val="000000"/>
        </w:rPr>
        <w:t xml:space="preserve">, Lee MJ, Bae EH, Ryu JS, Kaur G, Kim HJ, Kim JY, Barreda H, Jung SY, Choi JM, Shigemoto-Kuroda T, Oh JY, Lee RH. Comprehensive Molecular Profiles of Functionally Effective MSC-Derived Extracellular Vesicles in Immunomodulation. </w:t>
      </w:r>
      <w:r w:rsidRPr="00432A10">
        <w:rPr>
          <w:rFonts w:ascii="Book Antiqua" w:hAnsi="Book Antiqua"/>
          <w:i/>
          <w:iCs/>
          <w:color w:val="000000"/>
        </w:rPr>
        <w:t>Mol Ther</w:t>
      </w:r>
      <w:r w:rsidRPr="00432A10">
        <w:rPr>
          <w:rFonts w:ascii="Book Antiqua" w:hAnsi="Book Antiqua"/>
          <w:color w:val="000000"/>
        </w:rPr>
        <w:t xml:space="preserve"> 2020; </w:t>
      </w:r>
      <w:r w:rsidRPr="00432A10">
        <w:rPr>
          <w:rFonts w:ascii="Book Antiqua" w:hAnsi="Book Antiqua"/>
          <w:b/>
          <w:bCs/>
          <w:color w:val="000000"/>
        </w:rPr>
        <w:t>28</w:t>
      </w:r>
      <w:r w:rsidRPr="00432A10">
        <w:rPr>
          <w:rFonts w:ascii="Book Antiqua" w:hAnsi="Book Antiqua"/>
          <w:color w:val="000000"/>
        </w:rPr>
        <w:t>: 1628-1644 [PMID: 32380062 DOI: 10.1016/j.ymthe.2020.04.020]</w:t>
      </w:r>
    </w:p>
    <w:p w14:paraId="55BDBE2E" w14:textId="1FC96B14"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104 </w:t>
      </w:r>
      <w:r w:rsidRPr="00432A10">
        <w:rPr>
          <w:rFonts w:ascii="Book Antiqua" w:hAnsi="Book Antiqua"/>
          <w:b/>
          <w:bCs/>
          <w:color w:val="000000"/>
        </w:rPr>
        <w:t>Franco da Cunha F</w:t>
      </w:r>
      <w:r w:rsidRPr="00432A10">
        <w:rPr>
          <w:rFonts w:ascii="Book Antiqua" w:hAnsi="Book Antiqua"/>
          <w:color w:val="000000"/>
        </w:rPr>
        <w:t>, Andrade-Oliveira V, Candido de Almeida D, Borges da Silva T, Naffah de Souza Breda C, Costa Cruz M, Faquim-Mauro EL, Antonio Cenedeze M, Ioshie Hiyane M, Pacheco-Silva A, Aparecida Cavinato R, Torrecilhas AC, Olsen Saraiva Câmara N. Extracellular Vesicles isolated from Mesenchymal Stromal Cells Modulate CD4</w:t>
      </w:r>
      <w:r w:rsidRPr="00432A10">
        <w:rPr>
          <w:rFonts w:ascii="Book Antiqua" w:hAnsi="Book Antiqua"/>
          <w:color w:val="000000"/>
          <w:vertAlign w:val="superscript"/>
        </w:rPr>
        <w:t>+</w:t>
      </w:r>
      <w:r w:rsidRPr="00432A10">
        <w:rPr>
          <w:rFonts w:ascii="Book Antiqua" w:hAnsi="Book Antiqua"/>
          <w:color w:val="000000"/>
        </w:rPr>
        <w:t xml:space="preserve"> T Lymphocytes Toward a Regulatory Profile. </w:t>
      </w:r>
      <w:r w:rsidRPr="00432A10">
        <w:rPr>
          <w:rFonts w:ascii="Book Antiqua" w:hAnsi="Book Antiqua"/>
          <w:i/>
          <w:iCs/>
          <w:color w:val="000000"/>
        </w:rPr>
        <w:t>Cells</w:t>
      </w:r>
      <w:r w:rsidRPr="00432A10">
        <w:rPr>
          <w:rFonts w:ascii="Book Antiqua" w:hAnsi="Book Antiqua"/>
          <w:color w:val="000000"/>
        </w:rPr>
        <w:t xml:space="preserve"> 2020; </w:t>
      </w:r>
      <w:r w:rsidRPr="00432A10">
        <w:rPr>
          <w:rFonts w:ascii="Book Antiqua" w:hAnsi="Book Antiqua"/>
          <w:b/>
          <w:bCs/>
          <w:color w:val="000000"/>
        </w:rPr>
        <w:t>9</w:t>
      </w:r>
      <w:r w:rsidRPr="00432A10">
        <w:rPr>
          <w:rFonts w:ascii="Book Antiqua" w:hAnsi="Book Antiqua"/>
          <w:color w:val="000000"/>
        </w:rPr>
        <w:t>:</w:t>
      </w:r>
      <w:r w:rsidR="00E26A8C" w:rsidRPr="00432A10">
        <w:rPr>
          <w:rFonts w:ascii="Book Antiqua" w:hAnsi="Book Antiqua"/>
          <w:color w:val="000000"/>
        </w:rPr>
        <w:t xml:space="preserve"> 1059</w:t>
      </w:r>
      <w:r w:rsidRPr="00432A10">
        <w:rPr>
          <w:rFonts w:ascii="Book Antiqua" w:hAnsi="Book Antiqua"/>
          <w:color w:val="000000"/>
        </w:rPr>
        <w:t xml:space="preserve"> [PMID: 32340348 DOI: 10.3390/cells9041059]</w:t>
      </w:r>
    </w:p>
    <w:p w14:paraId="6B35CE10" w14:textId="6A3E6C84"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105 </w:t>
      </w:r>
      <w:r w:rsidRPr="00432A10">
        <w:rPr>
          <w:rFonts w:ascii="Book Antiqua" w:hAnsi="Book Antiqua"/>
          <w:b/>
          <w:bCs/>
          <w:color w:val="000000"/>
        </w:rPr>
        <w:t>Tsiapalis D</w:t>
      </w:r>
      <w:r w:rsidRPr="00432A10">
        <w:rPr>
          <w:rFonts w:ascii="Book Antiqua" w:hAnsi="Book Antiqua"/>
          <w:color w:val="000000"/>
        </w:rPr>
        <w:t xml:space="preserve">, O'Driscoll L. Mesenchymal Stem Cell Derived Extracellular Vesicles for Tissue Engineering and Regenerative Medicine Applications. </w:t>
      </w:r>
      <w:r w:rsidRPr="00432A10">
        <w:rPr>
          <w:rFonts w:ascii="Book Antiqua" w:hAnsi="Book Antiqua"/>
          <w:i/>
          <w:iCs/>
          <w:color w:val="000000"/>
        </w:rPr>
        <w:t>Cells</w:t>
      </w:r>
      <w:r w:rsidRPr="00432A10">
        <w:rPr>
          <w:rFonts w:ascii="Book Antiqua" w:hAnsi="Book Antiqua"/>
          <w:color w:val="000000"/>
        </w:rPr>
        <w:t xml:space="preserve"> 2020; </w:t>
      </w:r>
      <w:r w:rsidRPr="00432A10">
        <w:rPr>
          <w:rFonts w:ascii="Book Antiqua" w:hAnsi="Book Antiqua"/>
          <w:b/>
          <w:bCs/>
          <w:color w:val="000000"/>
        </w:rPr>
        <w:t>9</w:t>
      </w:r>
      <w:r w:rsidRPr="00432A10">
        <w:rPr>
          <w:rFonts w:ascii="Book Antiqua" w:hAnsi="Book Antiqua"/>
          <w:color w:val="000000"/>
        </w:rPr>
        <w:t>:</w:t>
      </w:r>
      <w:r w:rsidR="00E26A8C" w:rsidRPr="00432A10">
        <w:rPr>
          <w:rFonts w:ascii="Book Antiqua" w:hAnsi="Book Antiqua"/>
          <w:color w:val="000000"/>
        </w:rPr>
        <w:t xml:space="preserve"> 991</w:t>
      </w:r>
      <w:r w:rsidRPr="00432A10">
        <w:rPr>
          <w:rFonts w:ascii="Book Antiqua" w:hAnsi="Book Antiqua"/>
          <w:color w:val="000000"/>
        </w:rPr>
        <w:t xml:space="preserve"> [PMID: 32316248 DOI: 10.3390/cells9040991]</w:t>
      </w:r>
    </w:p>
    <w:p w14:paraId="0A2F3679"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106 </w:t>
      </w:r>
      <w:r w:rsidRPr="00432A10">
        <w:rPr>
          <w:rFonts w:ascii="Book Antiqua" w:hAnsi="Book Antiqua"/>
          <w:b/>
          <w:bCs/>
          <w:color w:val="000000"/>
        </w:rPr>
        <w:t>Martin-Rufino JD</w:t>
      </w:r>
      <w:r w:rsidRPr="00432A10">
        <w:rPr>
          <w:rFonts w:ascii="Book Antiqua" w:hAnsi="Book Antiqua"/>
          <w:color w:val="000000"/>
        </w:rPr>
        <w:t xml:space="preserve">, Espinosa-Lara N, Osugui L, Sanchez-Guijo F. Targeting the Immune System With Mesenchymal Stromal Cell-Derived Extracellular Vesicles: What Is the Cargo's Mechanism of Action? </w:t>
      </w:r>
      <w:r w:rsidRPr="00432A10">
        <w:rPr>
          <w:rFonts w:ascii="Book Antiqua" w:hAnsi="Book Antiqua"/>
          <w:i/>
          <w:iCs/>
          <w:color w:val="000000"/>
        </w:rPr>
        <w:t>Front Bioeng Biotechnol</w:t>
      </w:r>
      <w:r w:rsidRPr="00432A10">
        <w:rPr>
          <w:rFonts w:ascii="Book Antiqua" w:hAnsi="Book Antiqua"/>
          <w:color w:val="000000"/>
        </w:rPr>
        <w:t xml:space="preserve"> 2019; </w:t>
      </w:r>
      <w:r w:rsidRPr="00432A10">
        <w:rPr>
          <w:rFonts w:ascii="Book Antiqua" w:hAnsi="Book Antiqua"/>
          <w:b/>
          <w:bCs/>
          <w:color w:val="000000"/>
        </w:rPr>
        <w:t>7</w:t>
      </w:r>
      <w:r w:rsidRPr="00432A10">
        <w:rPr>
          <w:rFonts w:ascii="Book Antiqua" w:hAnsi="Book Antiqua"/>
          <w:color w:val="000000"/>
        </w:rPr>
        <w:t>: 308 [PMID: 31781552 DOI: 10.3389/fbioe.2019.00308]</w:t>
      </w:r>
    </w:p>
    <w:p w14:paraId="504980C5"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107 </w:t>
      </w:r>
      <w:r w:rsidRPr="00432A10">
        <w:rPr>
          <w:rFonts w:ascii="Book Antiqua" w:hAnsi="Book Antiqua"/>
          <w:b/>
          <w:bCs/>
          <w:color w:val="000000"/>
        </w:rPr>
        <w:t>Liang B</w:t>
      </w:r>
      <w:r w:rsidRPr="00432A10">
        <w:rPr>
          <w:rFonts w:ascii="Book Antiqua" w:hAnsi="Book Antiqua"/>
          <w:color w:val="000000"/>
        </w:rPr>
        <w:t xml:space="preserve">, Liang JM, Ding JN, Xu J, Xu JG, Chai YM. Dimethyloxaloylglycine-stimulated human bone marrow mesenchymal stem cell-derived exosomes enhance </w:t>
      </w:r>
      <w:r w:rsidRPr="00432A10">
        <w:rPr>
          <w:rFonts w:ascii="Book Antiqua" w:hAnsi="Book Antiqua"/>
          <w:color w:val="000000"/>
        </w:rPr>
        <w:lastRenderedPageBreak/>
        <w:t xml:space="preserve">bone regeneration through angiogenesis by targeting the AKT/mTOR pathway. </w:t>
      </w:r>
      <w:r w:rsidRPr="00432A10">
        <w:rPr>
          <w:rFonts w:ascii="Book Antiqua" w:hAnsi="Book Antiqua"/>
          <w:i/>
          <w:iCs/>
          <w:color w:val="000000"/>
        </w:rPr>
        <w:t>Stem Cell Res Ther</w:t>
      </w:r>
      <w:r w:rsidRPr="00432A10">
        <w:rPr>
          <w:rFonts w:ascii="Book Antiqua" w:hAnsi="Book Antiqua"/>
          <w:color w:val="000000"/>
        </w:rPr>
        <w:t xml:space="preserve"> 2019; </w:t>
      </w:r>
      <w:r w:rsidRPr="00432A10">
        <w:rPr>
          <w:rFonts w:ascii="Book Antiqua" w:hAnsi="Book Antiqua"/>
          <w:b/>
          <w:bCs/>
          <w:color w:val="000000"/>
        </w:rPr>
        <w:t>10</w:t>
      </w:r>
      <w:r w:rsidRPr="00432A10">
        <w:rPr>
          <w:rFonts w:ascii="Book Antiqua" w:hAnsi="Book Antiqua"/>
          <w:color w:val="000000"/>
        </w:rPr>
        <w:t>: 335 [PMID: 31747933 DOI: 10.1186/s13287-019-1410-y]</w:t>
      </w:r>
    </w:p>
    <w:p w14:paraId="2EDDE3FA" w14:textId="2D01E4F9"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108 </w:t>
      </w:r>
      <w:r w:rsidRPr="00432A10">
        <w:rPr>
          <w:rFonts w:ascii="Book Antiqua" w:hAnsi="Book Antiqua"/>
          <w:b/>
          <w:bCs/>
          <w:color w:val="000000"/>
        </w:rPr>
        <w:t>Mu Y</w:t>
      </w:r>
      <w:r w:rsidRPr="00432A10">
        <w:rPr>
          <w:rFonts w:ascii="Book Antiqua" w:hAnsi="Book Antiqua"/>
          <w:color w:val="000000"/>
        </w:rPr>
        <w:t xml:space="preserve">, Maharjan Y, Dutta RK, Kim H, Wei X, Kim JH, Kim D, Park C, Park R. Dimethyloxaloylglycine induces pexophagy in a HIF-2α dependent manner involving autophagy receptor p62. </w:t>
      </w:r>
      <w:r w:rsidRPr="00432A10">
        <w:rPr>
          <w:rFonts w:ascii="Book Antiqua" w:hAnsi="Book Antiqua"/>
          <w:i/>
          <w:iCs/>
          <w:color w:val="000000"/>
        </w:rPr>
        <w:t>Biochem Biophys Res Commun</w:t>
      </w:r>
      <w:r w:rsidRPr="00432A10">
        <w:rPr>
          <w:rFonts w:ascii="Book Antiqua" w:hAnsi="Book Antiqua"/>
          <w:color w:val="000000"/>
        </w:rPr>
        <w:t xml:space="preserve"> 2020</w:t>
      </w:r>
      <w:r w:rsidR="00917B1C" w:rsidRPr="00432A10">
        <w:rPr>
          <w:rFonts w:ascii="Book Antiqua" w:hAnsi="Book Antiqua"/>
          <w:color w:val="000000"/>
        </w:rPr>
        <w:t xml:space="preserve">; </w:t>
      </w:r>
      <w:r w:rsidR="00917B1C" w:rsidRPr="00432A10">
        <w:rPr>
          <w:rFonts w:ascii="Book Antiqua" w:hAnsi="Book Antiqua"/>
          <w:b/>
          <w:bCs/>
          <w:color w:val="000000"/>
        </w:rPr>
        <w:t>525</w:t>
      </w:r>
      <w:r w:rsidR="00917B1C" w:rsidRPr="00432A10">
        <w:rPr>
          <w:rFonts w:ascii="Book Antiqua" w:hAnsi="Book Antiqua"/>
          <w:color w:val="000000"/>
        </w:rPr>
        <w:t>: 46-52</w:t>
      </w:r>
      <w:r w:rsidRPr="00432A10">
        <w:rPr>
          <w:rFonts w:ascii="Book Antiqua" w:hAnsi="Book Antiqua"/>
          <w:color w:val="000000"/>
        </w:rPr>
        <w:t xml:space="preserve"> [PMID: 32075719 DOI: 10.1016/j.bbrc.2020.02.051]</w:t>
      </w:r>
    </w:p>
    <w:p w14:paraId="117FC291" w14:textId="0CEE780E"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109 </w:t>
      </w:r>
      <w:r w:rsidRPr="00432A10">
        <w:rPr>
          <w:rFonts w:ascii="Book Antiqua" w:hAnsi="Book Antiqua"/>
          <w:b/>
          <w:bCs/>
          <w:color w:val="000000"/>
        </w:rPr>
        <w:t>Sung DK</w:t>
      </w:r>
      <w:r w:rsidRPr="00432A10">
        <w:rPr>
          <w:rFonts w:ascii="Book Antiqua" w:hAnsi="Book Antiqua"/>
          <w:color w:val="000000"/>
        </w:rPr>
        <w:t xml:space="preserve">, Sung SI, Ahn SY, Chang YS, Park WS. Thrombin Preconditioning Boosts Biogenesis of Extracellular Vesicles from Mesenchymal Stem Cells and Enriches Their Cargo Contents via Protease-Activated Receptor-Mediated Signaling Pathways. </w:t>
      </w:r>
      <w:r w:rsidRPr="00432A10">
        <w:rPr>
          <w:rFonts w:ascii="Book Antiqua" w:hAnsi="Book Antiqua"/>
          <w:i/>
          <w:iCs/>
          <w:color w:val="000000"/>
        </w:rPr>
        <w:t>Int J Mol Sci</w:t>
      </w:r>
      <w:r w:rsidRPr="00432A10">
        <w:rPr>
          <w:rFonts w:ascii="Book Antiqua" w:hAnsi="Book Antiqua"/>
          <w:color w:val="000000"/>
        </w:rPr>
        <w:t xml:space="preserve"> 2019; </w:t>
      </w:r>
      <w:r w:rsidRPr="00432A10">
        <w:rPr>
          <w:rFonts w:ascii="Book Antiqua" w:hAnsi="Book Antiqua"/>
          <w:b/>
          <w:bCs/>
          <w:color w:val="000000"/>
        </w:rPr>
        <w:t>20</w:t>
      </w:r>
      <w:r w:rsidRPr="00432A10">
        <w:rPr>
          <w:rFonts w:ascii="Book Antiqua" w:hAnsi="Book Antiqua"/>
          <w:color w:val="000000"/>
        </w:rPr>
        <w:t xml:space="preserve">: </w:t>
      </w:r>
      <w:r w:rsidR="00917B1C" w:rsidRPr="00432A10">
        <w:rPr>
          <w:rFonts w:ascii="Book Antiqua" w:hAnsi="Book Antiqua"/>
          <w:color w:val="000000"/>
        </w:rPr>
        <w:t xml:space="preserve">2899 </w:t>
      </w:r>
      <w:r w:rsidRPr="00432A10">
        <w:rPr>
          <w:rFonts w:ascii="Book Antiqua" w:hAnsi="Book Antiqua"/>
          <w:color w:val="000000"/>
        </w:rPr>
        <w:t>[PMID: 31197089 DOI: 10.3390/ijms20122899]</w:t>
      </w:r>
    </w:p>
    <w:p w14:paraId="6D57F8DC"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110 </w:t>
      </w:r>
      <w:r w:rsidRPr="00432A10">
        <w:rPr>
          <w:rFonts w:ascii="Book Antiqua" w:hAnsi="Book Antiqua"/>
          <w:b/>
          <w:bCs/>
          <w:color w:val="000000"/>
        </w:rPr>
        <w:t>Alzahrani FA</w:t>
      </w:r>
      <w:r w:rsidRPr="00432A10">
        <w:rPr>
          <w:rFonts w:ascii="Book Antiqua" w:hAnsi="Book Antiqua"/>
          <w:color w:val="000000"/>
        </w:rPr>
        <w:t xml:space="preserve">. Melatonin improves therapeutic potential of mesenchymal stem cells-derived exosomes against renal ischemia-reperfusion injury in rats. </w:t>
      </w:r>
      <w:r w:rsidRPr="00432A10">
        <w:rPr>
          <w:rFonts w:ascii="Book Antiqua" w:hAnsi="Book Antiqua"/>
          <w:i/>
          <w:iCs/>
          <w:color w:val="000000"/>
        </w:rPr>
        <w:t>Am J Transl Res</w:t>
      </w:r>
      <w:r w:rsidRPr="00432A10">
        <w:rPr>
          <w:rFonts w:ascii="Book Antiqua" w:hAnsi="Book Antiqua"/>
          <w:color w:val="000000"/>
        </w:rPr>
        <w:t xml:space="preserve"> 2019; </w:t>
      </w:r>
      <w:r w:rsidRPr="00432A10">
        <w:rPr>
          <w:rFonts w:ascii="Book Antiqua" w:hAnsi="Book Antiqua"/>
          <w:b/>
          <w:bCs/>
          <w:color w:val="000000"/>
        </w:rPr>
        <w:t>11</w:t>
      </w:r>
      <w:r w:rsidRPr="00432A10">
        <w:rPr>
          <w:rFonts w:ascii="Book Antiqua" w:hAnsi="Book Antiqua"/>
          <w:color w:val="000000"/>
        </w:rPr>
        <w:t>: 2887-2907 [PMID: 31217862]</w:t>
      </w:r>
    </w:p>
    <w:p w14:paraId="62F2F500" w14:textId="39673B60"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111 </w:t>
      </w:r>
      <w:r w:rsidRPr="00432A10">
        <w:rPr>
          <w:rFonts w:ascii="Book Antiqua" w:hAnsi="Book Antiqua"/>
          <w:b/>
          <w:bCs/>
          <w:color w:val="000000"/>
        </w:rPr>
        <w:t>Kordelas L</w:t>
      </w:r>
      <w:r w:rsidRPr="00432A10">
        <w:rPr>
          <w:rFonts w:ascii="Book Antiqua" w:hAnsi="Book Antiqua"/>
          <w:color w:val="000000"/>
        </w:rPr>
        <w:t xml:space="preserve">, Schwich E, Dittrich R, Horn PA, Beelen DW, Börger V, Giebel B, Rebmann V. Individual Immune-Modulatory Capabilities of MSC-Derived Extracellular Vesicle (EV) Preparations and Recipient-Dependent Responsiveness. </w:t>
      </w:r>
      <w:r w:rsidRPr="00432A10">
        <w:rPr>
          <w:rFonts w:ascii="Book Antiqua" w:hAnsi="Book Antiqua"/>
          <w:i/>
          <w:iCs/>
          <w:color w:val="000000"/>
        </w:rPr>
        <w:t>Int J Mol Sci</w:t>
      </w:r>
      <w:r w:rsidRPr="00432A10">
        <w:rPr>
          <w:rFonts w:ascii="Book Antiqua" w:hAnsi="Book Antiqua"/>
          <w:color w:val="000000"/>
        </w:rPr>
        <w:t xml:space="preserve"> 2019; </w:t>
      </w:r>
      <w:r w:rsidRPr="00432A10">
        <w:rPr>
          <w:rFonts w:ascii="Book Antiqua" w:hAnsi="Book Antiqua"/>
          <w:b/>
          <w:bCs/>
          <w:color w:val="000000"/>
        </w:rPr>
        <w:t>20</w:t>
      </w:r>
      <w:r w:rsidRPr="00432A10">
        <w:rPr>
          <w:rFonts w:ascii="Book Antiqua" w:hAnsi="Book Antiqua"/>
          <w:color w:val="000000"/>
        </w:rPr>
        <w:t xml:space="preserve">: </w:t>
      </w:r>
      <w:r w:rsidR="00917B1C" w:rsidRPr="00432A10">
        <w:rPr>
          <w:rFonts w:ascii="Book Antiqua" w:hAnsi="Book Antiqua"/>
          <w:color w:val="000000"/>
        </w:rPr>
        <w:t xml:space="preserve">1642 </w:t>
      </w:r>
      <w:r w:rsidRPr="00432A10">
        <w:rPr>
          <w:rFonts w:ascii="Book Antiqua" w:hAnsi="Book Antiqua"/>
          <w:color w:val="000000"/>
        </w:rPr>
        <w:t>[PMID: 30987036 DOI: 10.3390/ijms20071642]</w:t>
      </w:r>
    </w:p>
    <w:p w14:paraId="1DADDC31"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112 </w:t>
      </w:r>
      <w:r w:rsidRPr="00432A10">
        <w:rPr>
          <w:rFonts w:ascii="Book Antiqua" w:hAnsi="Book Antiqua"/>
          <w:b/>
          <w:bCs/>
          <w:color w:val="000000"/>
        </w:rPr>
        <w:t>Showalter MR</w:t>
      </w:r>
      <w:r w:rsidRPr="00432A10">
        <w:rPr>
          <w:rFonts w:ascii="Book Antiqua" w:hAnsi="Book Antiqua"/>
          <w:color w:val="000000"/>
        </w:rPr>
        <w:t xml:space="preserve">, Wancewicz B, Fiehn O, Archard JA, Clayton S, Wagner J, Deng P, Halmai J, Fink KD, Bauer G, Fury B, Perotti NH, Apperson M, Butters J, Belafsky P, Farwell G, Kuhn M, Nolta JA, Anderson JD. Primed mesenchymal stem cells package exosomes with metabolites associated with immunomodulation. </w:t>
      </w:r>
      <w:r w:rsidRPr="00432A10">
        <w:rPr>
          <w:rFonts w:ascii="Book Antiqua" w:hAnsi="Book Antiqua"/>
          <w:i/>
          <w:iCs/>
          <w:color w:val="000000"/>
        </w:rPr>
        <w:t>Biochem Biophys Res Commun</w:t>
      </w:r>
      <w:r w:rsidRPr="00432A10">
        <w:rPr>
          <w:rFonts w:ascii="Book Antiqua" w:hAnsi="Book Antiqua"/>
          <w:color w:val="000000"/>
        </w:rPr>
        <w:t xml:space="preserve"> 2019; </w:t>
      </w:r>
      <w:r w:rsidRPr="00432A10">
        <w:rPr>
          <w:rFonts w:ascii="Book Antiqua" w:hAnsi="Book Antiqua"/>
          <w:b/>
          <w:bCs/>
          <w:color w:val="000000"/>
        </w:rPr>
        <w:t>512</w:t>
      </w:r>
      <w:r w:rsidRPr="00432A10">
        <w:rPr>
          <w:rFonts w:ascii="Book Antiqua" w:hAnsi="Book Antiqua"/>
          <w:color w:val="000000"/>
        </w:rPr>
        <w:t>: 729-735 [PMID: 30926165 DOI: 10.1016/j.bbrc.2019.03.119]</w:t>
      </w:r>
    </w:p>
    <w:p w14:paraId="31E4F973"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113 </w:t>
      </w:r>
      <w:r w:rsidRPr="00432A10">
        <w:rPr>
          <w:rFonts w:ascii="Book Antiqua" w:hAnsi="Book Antiqua"/>
          <w:b/>
          <w:bCs/>
          <w:color w:val="000000"/>
        </w:rPr>
        <w:t>Mardpour S</w:t>
      </w:r>
      <w:r w:rsidRPr="00432A10">
        <w:rPr>
          <w:rFonts w:ascii="Book Antiqua" w:hAnsi="Book Antiqua"/>
          <w:color w:val="000000"/>
        </w:rPr>
        <w:t xml:space="preserve">, Hamidieh AA, Taleahmad S, Sharifzad F, Taghikhani A, Baharvand H. Interaction between mesenchymal stromal cell-derived extracellular vesicles and immune cells by distinct protein content. </w:t>
      </w:r>
      <w:r w:rsidRPr="00432A10">
        <w:rPr>
          <w:rFonts w:ascii="Book Antiqua" w:hAnsi="Book Antiqua"/>
          <w:i/>
          <w:iCs/>
          <w:color w:val="000000"/>
        </w:rPr>
        <w:t>J Cell Physiol</w:t>
      </w:r>
      <w:r w:rsidRPr="00432A10">
        <w:rPr>
          <w:rFonts w:ascii="Book Antiqua" w:hAnsi="Book Antiqua"/>
          <w:color w:val="000000"/>
        </w:rPr>
        <w:t xml:space="preserve"> 2019; </w:t>
      </w:r>
      <w:r w:rsidRPr="00432A10">
        <w:rPr>
          <w:rFonts w:ascii="Book Antiqua" w:hAnsi="Book Antiqua"/>
          <w:b/>
          <w:bCs/>
          <w:color w:val="000000"/>
        </w:rPr>
        <w:t>234</w:t>
      </w:r>
      <w:r w:rsidRPr="00432A10">
        <w:rPr>
          <w:rFonts w:ascii="Book Antiqua" w:hAnsi="Book Antiqua"/>
          <w:color w:val="000000"/>
        </w:rPr>
        <w:t>: 8249-8258 [PMID: 30378105 DOI: 10.1002/jcp.27669]</w:t>
      </w:r>
    </w:p>
    <w:p w14:paraId="38428CB7"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114 </w:t>
      </w:r>
      <w:r w:rsidRPr="00432A10">
        <w:rPr>
          <w:rFonts w:ascii="Book Antiqua" w:hAnsi="Book Antiqua"/>
          <w:b/>
          <w:bCs/>
          <w:color w:val="000000"/>
        </w:rPr>
        <w:t>Carreras-Planella L</w:t>
      </w:r>
      <w:r w:rsidRPr="00432A10">
        <w:rPr>
          <w:rFonts w:ascii="Book Antiqua" w:hAnsi="Book Antiqua"/>
          <w:color w:val="000000"/>
        </w:rPr>
        <w:t xml:space="preserve">, Monguió-Tortajada M, Borràs FE, Franquesa M. Immunomodulatory Effect of MSC on B Cells Is Independent of Secreted Extracellular </w:t>
      </w:r>
      <w:r w:rsidRPr="00432A10">
        <w:rPr>
          <w:rFonts w:ascii="Book Antiqua" w:hAnsi="Book Antiqua"/>
          <w:color w:val="000000"/>
        </w:rPr>
        <w:lastRenderedPageBreak/>
        <w:t xml:space="preserve">Vesicles. </w:t>
      </w:r>
      <w:r w:rsidRPr="00432A10">
        <w:rPr>
          <w:rFonts w:ascii="Book Antiqua" w:hAnsi="Book Antiqua"/>
          <w:i/>
          <w:iCs/>
          <w:color w:val="000000"/>
        </w:rPr>
        <w:t>Front Immunol</w:t>
      </w:r>
      <w:r w:rsidRPr="00432A10">
        <w:rPr>
          <w:rFonts w:ascii="Book Antiqua" w:hAnsi="Book Antiqua"/>
          <w:color w:val="000000"/>
        </w:rPr>
        <w:t xml:space="preserve"> 2019; </w:t>
      </w:r>
      <w:r w:rsidRPr="00432A10">
        <w:rPr>
          <w:rFonts w:ascii="Book Antiqua" w:hAnsi="Book Antiqua"/>
          <w:b/>
          <w:bCs/>
          <w:color w:val="000000"/>
        </w:rPr>
        <w:t>10</w:t>
      </w:r>
      <w:r w:rsidRPr="00432A10">
        <w:rPr>
          <w:rFonts w:ascii="Book Antiqua" w:hAnsi="Book Antiqua"/>
          <w:color w:val="000000"/>
        </w:rPr>
        <w:t>: 1288 [PMID: 31244839 DOI: 10.3389/fimmu.2019.01288]</w:t>
      </w:r>
    </w:p>
    <w:p w14:paraId="6C1D1D72"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115 </w:t>
      </w:r>
      <w:r w:rsidRPr="00432A10">
        <w:rPr>
          <w:rFonts w:ascii="Book Antiqua" w:hAnsi="Book Antiqua"/>
          <w:b/>
          <w:bCs/>
          <w:color w:val="000000"/>
        </w:rPr>
        <w:t>Budgude P</w:t>
      </w:r>
      <w:r w:rsidRPr="00432A10">
        <w:rPr>
          <w:rFonts w:ascii="Book Antiqua" w:hAnsi="Book Antiqua"/>
          <w:color w:val="000000"/>
        </w:rPr>
        <w:t xml:space="preserve">, Kale V, Vaidya A. Mesenchymal stromal cell-derived extracellular vesicles as cell-free biologics for the ex vivo expansion of hematopoietic stem cells. </w:t>
      </w:r>
      <w:r w:rsidRPr="00432A10">
        <w:rPr>
          <w:rFonts w:ascii="Book Antiqua" w:hAnsi="Book Antiqua"/>
          <w:i/>
          <w:iCs/>
          <w:color w:val="000000"/>
        </w:rPr>
        <w:t>Cell Biol Int</w:t>
      </w:r>
      <w:r w:rsidRPr="00432A10">
        <w:rPr>
          <w:rFonts w:ascii="Book Antiqua" w:hAnsi="Book Antiqua"/>
          <w:color w:val="000000"/>
        </w:rPr>
        <w:t xml:space="preserve"> 2020; </w:t>
      </w:r>
      <w:r w:rsidRPr="00432A10">
        <w:rPr>
          <w:rFonts w:ascii="Book Antiqua" w:hAnsi="Book Antiqua"/>
          <w:b/>
          <w:bCs/>
          <w:color w:val="000000"/>
        </w:rPr>
        <w:t>44</w:t>
      </w:r>
      <w:r w:rsidRPr="00432A10">
        <w:rPr>
          <w:rFonts w:ascii="Book Antiqua" w:hAnsi="Book Antiqua"/>
          <w:color w:val="000000"/>
        </w:rPr>
        <w:t>: 1078-1102 [PMID: 32009258 DOI: 10.1002/cbin.11313]</w:t>
      </w:r>
    </w:p>
    <w:p w14:paraId="33FF9DDE" w14:textId="228A00A5"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116 </w:t>
      </w:r>
      <w:r w:rsidRPr="00432A10">
        <w:rPr>
          <w:rFonts w:ascii="Book Antiqua" w:hAnsi="Book Antiqua"/>
          <w:b/>
          <w:bCs/>
          <w:color w:val="000000"/>
        </w:rPr>
        <w:t>Batsali AK</w:t>
      </w:r>
      <w:r w:rsidRPr="00432A10">
        <w:rPr>
          <w:rFonts w:ascii="Book Antiqua" w:hAnsi="Book Antiqua"/>
          <w:color w:val="000000"/>
        </w:rPr>
        <w:t xml:space="preserve">, Georgopoulou A, Mavroudi I, Matheakakis A, Pontikoglou CG, Papadaki HA. The Role of Bone Marrow Mesenchymal Stem Cell Derived Extracellular Vesicles (MSC-EVs) in Normal and Abnormal Hematopoiesis and Their Therapeutic Potential. </w:t>
      </w:r>
      <w:r w:rsidRPr="00432A10">
        <w:rPr>
          <w:rFonts w:ascii="Book Antiqua" w:hAnsi="Book Antiqua"/>
          <w:i/>
          <w:iCs/>
          <w:color w:val="000000"/>
        </w:rPr>
        <w:t>J Clin Med</w:t>
      </w:r>
      <w:r w:rsidRPr="00432A10">
        <w:rPr>
          <w:rFonts w:ascii="Book Antiqua" w:hAnsi="Book Antiqua"/>
          <w:color w:val="000000"/>
        </w:rPr>
        <w:t xml:space="preserve"> 2020; </w:t>
      </w:r>
      <w:r w:rsidRPr="00432A10">
        <w:rPr>
          <w:rFonts w:ascii="Book Antiqua" w:hAnsi="Book Antiqua"/>
          <w:b/>
          <w:bCs/>
          <w:color w:val="000000"/>
        </w:rPr>
        <w:t>9</w:t>
      </w:r>
      <w:r w:rsidRPr="00432A10">
        <w:rPr>
          <w:rFonts w:ascii="Book Antiqua" w:hAnsi="Book Antiqua"/>
          <w:color w:val="000000"/>
        </w:rPr>
        <w:t xml:space="preserve">: </w:t>
      </w:r>
      <w:r w:rsidR="00917B1C" w:rsidRPr="00432A10">
        <w:rPr>
          <w:rFonts w:ascii="Book Antiqua" w:hAnsi="Book Antiqua"/>
          <w:color w:val="000000"/>
        </w:rPr>
        <w:t xml:space="preserve">856 </w:t>
      </w:r>
      <w:r w:rsidRPr="00432A10">
        <w:rPr>
          <w:rFonts w:ascii="Book Antiqua" w:hAnsi="Book Antiqua"/>
          <w:color w:val="000000"/>
        </w:rPr>
        <w:t>[PMID: 32245055 DOI: 10.3390/jcm9030856]</w:t>
      </w:r>
    </w:p>
    <w:p w14:paraId="70582670" w14:textId="77777777" w:rsidR="00772CA2" w:rsidRPr="00432A10" w:rsidRDefault="00772CA2" w:rsidP="00432A10">
      <w:pPr>
        <w:spacing w:line="360" w:lineRule="auto"/>
        <w:jc w:val="both"/>
        <w:rPr>
          <w:rFonts w:ascii="Book Antiqua" w:hAnsi="Book Antiqua"/>
          <w:color w:val="000000"/>
        </w:rPr>
      </w:pPr>
      <w:r w:rsidRPr="00432A10">
        <w:rPr>
          <w:rFonts w:ascii="Book Antiqua" w:hAnsi="Book Antiqua"/>
          <w:color w:val="000000"/>
        </w:rPr>
        <w:t xml:space="preserve">117 </w:t>
      </w:r>
      <w:r w:rsidRPr="00432A10">
        <w:rPr>
          <w:rFonts w:ascii="Book Antiqua" w:hAnsi="Book Antiqua"/>
          <w:b/>
          <w:bCs/>
          <w:color w:val="000000"/>
        </w:rPr>
        <w:t>Börger V</w:t>
      </w:r>
      <w:r w:rsidRPr="00432A10">
        <w:rPr>
          <w:rFonts w:ascii="Book Antiqua" w:hAnsi="Book Antiqua"/>
          <w:color w:val="000000"/>
        </w:rPr>
        <w:t xml:space="preserve">, Weiss DJ, Anderson JD, Borràs FE, Bussolati B, Carter DRF, Dominici M, Falcón-Pérez JM, Gimona M, Hill AF, Hoffman AM, de Kleijn D, Levine BL, Lim R, Lötvall J, Mitsialis SA, Monguió-Tortajada M, Muraca M, Nieuwland R, Nowocin A, O'Driscoll L, Ortiz LA, Phinney DG, Reischl I, Rohde E, Sanzenbacher R, Théry C, Toh WS, Witwer KW, Lim SK, Giebel B. International Society for Extracellular Vesicles and International Society for Cell and Gene Therapy statement on extracellular vesicles from mesenchymal stromal cells and other cells: considerations for potential therapeutic agents to suppress coronavirus disease-19. </w:t>
      </w:r>
      <w:r w:rsidRPr="00432A10">
        <w:rPr>
          <w:rFonts w:ascii="Book Antiqua" w:hAnsi="Book Antiqua"/>
          <w:i/>
          <w:iCs/>
          <w:color w:val="000000"/>
        </w:rPr>
        <w:t>Cytotherapy</w:t>
      </w:r>
      <w:r w:rsidRPr="00432A10">
        <w:rPr>
          <w:rFonts w:ascii="Book Antiqua" w:hAnsi="Book Antiqua"/>
          <w:color w:val="000000"/>
        </w:rPr>
        <w:t xml:space="preserve"> 2020; </w:t>
      </w:r>
      <w:r w:rsidRPr="00432A10">
        <w:rPr>
          <w:rFonts w:ascii="Book Antiqua" w:hAnsi="Book Antiqua"/>
          <w:b/>
          <w:bCs/>
          <w:color w:val="000000"/>
        </w:rPr>
        <w:t>22</w:t>
      </w:r>
      <w:r w:rsidRPr="00432A10">
        <w:rPr>
          <w:rFonts w:ascii="Book Antiqua" w:hAnsi="Book Antiqua"/>
          <w:color w:val="000000"/>
        </w:rPr>
        <w:t>: 482-485 [PMID: 32425691 DOI: 10.1016/j.jcyt.2020.05.002]</w:t>
      </w:r>
    </w:p>
    <w:p w14:paraId="00C779E6"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118 </w:t>
      </w:r>
      <w:r w:rsidRPr="00432A10">
        <w:rPr>
          <w:rFonts w:ascii="Book Antiqua" w:hAnsi="Book Antiqua"/>
          <w:b/>
          <w:bCs/>
          <w:color w:val="000000"/>
        </w:rPr>
        <w:t>Rohde E</w:t>
      </w:r>
      <w:r w:rsidRPr="00432A10">
        <w:rPr>
          <w:rFonts w:ascii="Book Antiqua" w:hAnsi="Book Antiqua"/>
          <w:color w:val="000000"/>
        </w:rPr>
        <w:t xml:space="preserve">, Pachler K, Gimona M. Manufacturing and characterization of extracellular vesicles from umbilical cord-derived mesenchymal stromal cells for clinical testing. </w:t>
      </w:r>
      <w:r w:rsidRPr="00432A10">
        <w:rPr>
          <w:rFonts w:ascii="Book Antiqua" w:hAnsi="Book Antiqua"/>
          <w:i/>
          <w:iCs/>
          <w:color w:val="000000"/>
        </w:rPr>
        <w:t>Cytotherapy</w:t>
      </w:r>
      <w:r w:rsidRPr="00432A10">
        <w:rPr>
          <w:rFonts w:ascii="Book Antiqua" w:hAnsi="Book Antiqua"/>
          <w:color w:val="000000"/>
        </w:rPr>
        <w:t xml:space="preserve"> 2019; </w:t>
      </w:r>
      <w:r w:rsidRPr="00432A10">
        <w:rPr>
          <w:rFonts w:ascii="Book Antiqua" w:hAnsi="Book Antiqua"/>
          <w:b/>
          <w:bCs/>
          <w:color w:val="000000"/>
        </w:rPr>
        <w:t>21</w:t>
      </w:r>
      <w:r w:rsidRPr="00432A10">
        <w:rPr>
          <w:rFonts w:ascii="Book Antiqua" w:hAnsi="Book Antiqua"/>
          <w:color w:val="000000"/>
        </w:rPr>
        <w:t>: 581-592 [PMID: 30979664 DOI: 10.1016/j.jcyt.2018.12.006]</w:t>
      </w:r>
    </w:p>
    <w:bookmarkEnd w:id="13"/>
    <w:bookmarkEnd w:id="14"/>
    <w:p w14:paraId="5B014D33" w14:textId="77777777" w:rsidR="0068614B" w:rsidRPr="00703F5C" w:rsidRDefault="0068614B">
      <w:pPr>
        <w:spacing w:line="360" w:lineRule="auto"/>
        <w:jc w:val="both"/>
        <w:rPr>
          <w:rFonts w:ascii="Book Antiqua" w:hAnsi="Book Antiqua"/>
          <w:color w:val="000000" w:themeColor="text1"/>
        </w:rPr>
        <w:sectPr w:rsidR="0068614B" w:rsidRPr="00703F5C">
          <w:pgSz w:w="12240" w:h="15840"/>
          <w:pgMar w:top="1440" w:right="1440" w:bottom="1440" w:left="1440" w:header="720" w:footer="720" w:gutter="0"/>
          <w:cols w:space="720"/>
          <w:docGrid w:linePitch="360"/>
        </w:sectPr>
      </w:pPr>
    </w:p>
    <w:p w14:paraId="5BFB8155" w14:textId="5967713C" w:rsidR="00A77B3E" w:rsidRPr="00432A10" w:rsidRDefault="003559A2">
      <w:pPr>
        <w:spacing w:line="360" w:lineRule="auto"/>
        <w:jc w:val="both"/>
        <w:rPr>
          <w:rFonts w:ascii="Book Antiqua" w:eastAsia="Book Antiqua" w:hAnsi="Book Antiqua" w:cs="Book Antiqua"/>
          <w:b/>
          <w:color w:val="000000" w:themeColor="text1"/>
        </w:rPr>
      </w:pPr>
      <w:r w:rsidRPr="00432A10">
        <w:rPr>
          <w:rFonts w:ascii="Book Antiqua" w:eastAsia="Book Antiqua" w:hAnsi="Book Antiqua" w:cs="Book Antiqua"/>
          <w:b/>
          <w:color w:val="000000" w:themeColor="text1"/>
        </w:rPr>
        <w:lastRenderedPageBreak/>
        <w:t>Footnotes</w:t>
      </w:r>
    </w:p>
    <w:p w14:paraId="5A9D719E" w14:textId="000B00CD"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b/>
          <w:bCs/>
          <w:color w:val="000000" w:themeColor="text1"/>
        </w:rPr>
        <w:t xml:space="preserve">Conflict-of-interest statement: </w:t>
      </w:r>
      <w:r w:rsidR="002949EA" w:rsidRPr="00432A10">
        <w:rPr>
          <w:rFonts w:ascii="Book Antiqua" w:eastAsia="Book Antiqua" w:hAnsi="Book Antiqua" w:cs="Book Antiqua"/>
          <w:color w:val="000000" w:themeColor="text1"/>
        </w:rPr>
        <w:t>The a</w:t>
      </w:r>
      <w:r w:rsidR="0017692F" w:rsidRPr="00432A10">
        <w:rPr>
          <w:rFonts w:ascii="Book Antiqua" w:eastAsia="Book Antiqua" w:hAnsi="Book Antiqua" w:cs="Book Antiqua"/>
          <w:color w:val="000000" w:themeColor="text1"/>
        </w:rPr>
        <w:t>uthors declare no conflict of interests.</w:t>
      </w:r>
    </w:p>
    <w:p w14:paraId="651CAF23" w14:textId="77777777" w:rsidR="00A77B3E" w:rsidRPr="00703F5C" w:rsidRDefault="00A77B3E">
      <w:pPr>
        <w:spacing w:line="360" w:lineRule="auto"/>
        <w:jc w:val="both"/>
        <w:rPr>
          <w:rFonts w:ascii="Book Antiqua" w:hAnsi="Book Antiqua"/>
          <w:color w:val="000000" w:themeColor="text1"/>
        </w:rPr>
      </w:pPr>
    </w:p>
    <w:p w14:paraId="1877AB68" w14:textId="77777777"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b/>
          <w:bCs/>
          <w:color w:val="000000" w:themeColor="text1"/>
        </w:rPr>
        <w:t xml:space="preserve">Open-Access: </w:t>
      </w:r>
      <w:r w:rsidRPr="00432A10">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1F77884" w14:textId="77777777" w:rsidR="00A77B3E" w:rsidRPr="00703F5C" w:rsidRDefault="00A77B3E">
      <w:pPr>
        <w:spacing w:line="360" w:lineRule="auto"/>
        <w:jc w:val="both"/>
        <w:rPr>
          <w:rFonts w:ascii="Book Antiqua" w:hAnsi="Book Antiqua"/>
          <w:color w:val="000000" w:themeColor="text1"/>
        </w:rPr>
      </w:pPr>
    </w:p>
    <w:p w14:paraId="4DD74196" w14:textId="07D93E00"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b/>
          <w:color w:val="000000" w:themeColor="text1"/>
        </w:rPr>
        <w:t xml:space="preserve">Manuscript source: </w:t>
      </w:r>
      <w:r w:rsidRPr="00432A10">
        <w:rPr>
          <w:rFonts w:ascii="Book Antiqua" w:eastAsia="Book Antiqua" w:hAnsi="Book Antiqua" w:cs="Book Antiqua"/>
          <w:color w:val="000000" w:themeColor="text1"/>
        </w:rPr>
        <w:t xml:space="preserve">Invited </w:t>
      </w:r>
      <w:r w:rsidR="008A1983" w:rsidRPr="00432A10">
        <w:rPr>
          <w:rFonts w:ascii="Book Antiqua" w:eastAsia="Book Antiqua" w:hAnsi="Book Antiqua" w:cs="Book Antiqua"/>
          <w:color w:val="000000" w:themeColor="text1"/>
        </w:rPr>
        <w:t>m</w:t>
      </w:r>
      <w:r w:rsidRPr="00432A10">
        <w:rPr>
          <w:rFonts w:ascii="Book Antiqua" w:eastAsia="Book Antiqua" w:hAnsi="Book Antiqua" w:cs="Book Antiqua"/>
          <w:color w:val="000000" w:themeColor="text1"/>
        </w:rPr>
        <w:t>anuscript</w:t>
      </w:r>
    </w:p>
    <w:p w14:paraId="55FBE4F8" w14:textId="77777777" w:rsidR="00A77B3E" w:rsidRPr="00703F5C" w:rsidRDefault="00A77B3E">
      <w:pPr>
        <w:spacing w:line="360" w:lineRule="auto"/>
        <w:jc w:val="both"/>
        <w:rPr>
          <w:rFonts w:ascii="Book Antiqua" w:hAnsi="Book Antiqua"/>
          <w:color w:val="000000" w:themeColor="text1"/>
        </w:rPr>
      </w:pPr>
    </w:p>
    <w:p w14:paraId="3B8BD0E4" w14:textId="77777777"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b/>
          <w:color w:val="000000" w:themeColor="text1"/>
        </w:rPr>
        <w:t xml:space="preserve">Peer-review started: </w:t>
      </w:r>
      <w:r w:rsidRPr="00432A10">
        <w:rPr>
          <w:rFonts w:ascii="Book Antiqua" w:eastAsia="Book Antiqua" w:hAnsi="Book Antiqua" w:cs="Book Antiqua"/>
          <w:color w:val="000000" w:themeColor="text1"/>
        </w:rPr>
        <w:t>June 23, 2020</w:t>
      </w:r>
    </w:p>
    <w:p w14:paraId="7DD989A6" w14:textId="77777777"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b/>
          <w:color w:val="000000" w:themeColor="text1"/>
        </w:rPr>
        <w:t xml:space="preserve">First decision: </w:t>
      </w:r>
      <w:r w:rsidRPr="00432A10">
        <w:rPr>
          <w:rFonts w:ascii="Book Antiqua" w:eastAsia="Book Antiqua" w:hAnsi="Book Antiqua" w:cs="Book Antiqua"/>
          <w:color w:val="000000" w:themeColor="text1"/>
        </w:rPr>
        <w:t>July 30, 2020</w:t>
      </w:r>
    </w:p>
    <w:p w14:paraId="1D82A8CE" w14:textId="5C08434D"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b/>
          <w:color w:val="000000" w:themeColor="text1"/>
        </w:rPr>
        <w:t xml:space="preserve">Article in press: </w:t>
      </w:r>
      <w:r w:rsidR="000413CE" w:rsidRPr="007C51BD">
        <w:rPr>
          <w:rFonts w:ascii="Book Antiqua" w:eastAsia="Book Antiqua" w:hAnsi="Book Antiqua" w:cs="Book Antiqua"/>
          <w:color w:val="000000"/>
        </w:rPr>
        <w:t>September 25, 2020</w:t>
      </w:r>
    </w:p>
    <w:p w14:paraId="3892B849" w14:textId="77777777" w:rsidR="00A77B3E" w:rsidRPr="00703F5C" w:rsidRDefault="00A77B3E">
      <w:pPr>
        <w:spacing w:line="360" w:lineRule="auto"/>
        <w:jc w:val="both"/>
        <w:rPr>
          <w:rFonts w:ascii="Book Antiqua" w:hAnsi="Book Antiqua"/>
          <w:color w:val="000000" w:themeColor="text1"/>
        </w:rPr>
      </w:pPr>
    </w:p>
    <w:p w14:paraId="6FB48D00" w14:textId="1077E6AF"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b/>
          <w:color w:val="000000" w:themeColor="text1"/>
        </w:rPr>
        <w:t xml:space="preserve">Specialty type: </w:t>
      </w:r>
      <w:r w:rsidR="008A1983" w:rsidRPr="00432A10">
        <w:rPr>
          <w:rFonts w:ascii="Book Antiqua" w:eastAsia="Book Antiqua" w:hAnsi="Book Antiqua" w:cs="Book Antiqua"/>
          <w:color w:val="000000" w:themeColor="text1"/>
        </w:rPr>
        <w:t>Cell and tissue engineering</w:t>
      </w:r>
    </w:p>
    <w:p w14:paraId="7C9239F3" w14:textId="77777777"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b/>
          <w:color w:val="000000" w:themeColor="text1"/>
        </w:rPr>
        <w:t xml:space="preserve">Country/Territory of origin: </w:t>
      </w:r>
      <w:r w:rsidRPr="00432A10">
        <w:rPr>
          <w:rFonts w:ascii="Book Antiqua" w:eastAsia="Book Antiqua" w:hAnsi="Book Antiqua" w:cs="Book Antiqua"/>
          <w:color w:val="000000" w:themeColor="text1"/>
        </w:rPr>
        <w:t>Canada</w:t>
      </w:r>
    </w:p>
    <w:p w14:paraId="10C61059" w14:textId="77777777"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b/>
          <w:color w:val="000000" w:themeColor="text1"/>
        </w:rPr>
        <w:t>Peer-review report’s scientific quality classification</w:t>
      </w:r>
    </w:p>
    <w:p w14:paraId="196DDD8F" w14:textId="77777777"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color w:val="000000" w:themeColor="text1"/>
        </w:rPr>
        <w:t>Grade A (Excellent): 0</w:t>
      </w:r>
    </w:p>
    <w:p w14:paraId="26D96568" w14:textId="77777777"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color w:val="000000" w:themeColor="text1"/>
        </w:rPr>
        <w:t>Grade B (Very good): 0</w:t>
      </w:r>
    </w:p>
    <w:p w14:paraId="7D1411EE" w14:textId="77777777"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color w:val="000000" w:themeColor="text1"/>
        </w:rPr>
        <w:t>Grade C (Good): C</w:t>
      </w:r>
    </w:p>
    <w:p w14:paraId="0600DEC9" w14:textId="77777777"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color w:val="000000" w:themeColor="text1"/>
        </w:rPr>
        <w:t>Grade D (Fair): 0</w:t>
      </w:r>
    </w:p>
    <w:p w14:paraId="6A6F7A4B" w14:textId="77777777"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color w:val="000000" w:themeColor="text1"/>
        </w:rPr>
        <w:t>Grade E (Poor): 0</w:t>
      </w:r>
    </w:p>
    <w:p w14:paraId="51B36EB4" w14:textId="77777777" w:rsidR="00A77B3E" w:rsidRPr="00703F5C" w:rsidRDefault="00A77B3E">
      <w:pPr>
        <w:spacing w:line="360" w:lineRule="auto"/>
        <w:jc w:val="both"/>
        <w:rPr>
          <w:rFonts w:ascii="Book Antiqua" w:hAnsi="Book Antiqua"/>
          <w:color w:val="000000" w:themeColor="text1"/>
        </w:rPr>
      </w:pPr>
    </w:p>
    <w:p w14:paraId="1877A0C1" w14:textId="611AC0D8" w:rsidR="008A1983" w:rsidRPr="00432A10" w:rsidRDefault="003559A2">
      <w:pPr>
        <w:spacing w:line="360" w:lineRule="auto"/>
        <w:jc w:val="both"/>
        <w:rPr>
          <w:rFonts w:ascii="Book Antiqua" w:eastAsia="Book Antiqua" w:hAnsi="Book Antiqua" w:cs="Book Antiqua"/>
          <w:b/>
          <w:color w:val="000000" w:themeColor="text1"/>
        </w:rPr>
      </w:pPr>
      <w:r w:rsidRPr="00432A10">
        <w:rPr>
          <w:rFonts w:ascii="Book Antiqua" w:eastAsia="Book Antiqua" w:hAnsi="Book Antiqua" w:cs="Book Antiqua"/>
          <w:b/>
          <w:color w:val="000000" w:themeColor="text1"/>
        </w:rPr>
        <w:t xml:space="preserve">P-Reviewer: </w:t>
      </w:r>
      <w:r w:rsidRPr="00432A10">
        <w:rPr>
          <w:rFonts w:ascii="Book Antiqua" w:eastAsia="Book Antiqua" w:hAnsi="Book Antiqua" w:cs="Book Antiqua"/>
          <w:color w:val="000000" w:themeColor="text1"/>
        </w:rPr>
        <w:t>Gao BL</w:t>
      </w:r>
      <w:r w:rsidRPr="00432A10">
        <w:rPr>
          <w:rFonts w:ascii="Book Antiqua" w:eastAsia="Book Antiqua" w:hAnsi="Book Antiqua" w:cs="Book Antiqua"/>
          <w:b/>
          <w:color w:val="000000" w:themeColor="text1"/>
        </w:rPr>
        <w:t xml:space="preserve"> S-Editor: </w:t>
      </w:r>
      <w:r w:rsidRPr="00432A10">
        <w:rPr>
          <w:rFonts w:ascii="Book Antiqua" w:eastAsia="Book Antiqua" w:hAnsi="Book Antiqua" w:cs="Book Antiqua"/>
          <w:color w:val="000000" w:themeColor="text1"/>
        </w:rPr>
        <w:t>Yan JP</w:t>
      </w:r>
      <w:r w:rsidRPr="00432A10">
        <w:rPr>
          <w:rFonts w:ascii="Book Antiqua" w:eastAsia="Book Antiqua" w:hAnsi="Book Antiqua" w:cs="Book Antiqua"/>
          <w:b/>
          <w:color w:val="000000" w:themeColor="text1"/>
        </w:rPr>
        <w:t xml:space="preserve"> L-Editor: </w:t>
      </w:r>
      <w:r w:rsidR="000413CE" w:rsidRPr="000413CE">
        <w:rPr>
          <w:rFonts w:ascii="Book Antiqua" w:hAnsi="Book Antiqua" w:cs="Book Antiqua" w:hint="eastAsia"/>
          <w:color w:val="000000" w:themeColor="text1"/>
          <w:lang w:eastAsia="zh-CN"/>
        </w:rPr>
        <w:t>A</w:t>
      </w:r>
      <w:r w:rsidR="000413CE">
        <w:rPr>
          <w:rFonts w:ascii="Book Antiqua" w:hAnsi="Book Antiqua" w:cs="Book Antiqua" w:hint="eastAsia"/>
          <w:b/>
          <w:color w:val="000000" w:themeColor="text1"/>
          <w:lang w:eastAsia="zh-CN"/>
        </w:rPr>
        <w:t xml:space="preserve"> </w:t>
      </w:r>
      <w:r w:rsidRPr="00432A10">
        <w:rPr>
          <w:rFonts w:ascii="Book Antiqua" w:eastAsia="Book Antiqua" w:hAnsi="Book Antiqua" w:cs="Book Antiqua"/>
          <w:b/>
          <w:color w:val="000000" w:themeColor="text1"/>
        </w:rPr>
        <w:t xml:space="preserve">P-Editor: </w:t>
      </w:r>
      <w:r w:rsidR="000413CE" w:rsidRPr="000413CE">
        <w:rPr>
          <w:rFonts w:ascii="Book Antiqua" w:eastAsia="Book Antiqua" w:hAnsi="Book Antiqua" w:cs="Book Antiqua"/>
          <w:color w:val="000000" w:themeColor="text1"/>
        </w:rPr>
        <w:t>Ma YJ</w:t>
      </w:r>
    </w:p>
    <w:p w14:paraId="18D6B4D8" w14:textId="77777777" w:rsidR="0068614B" w:rsidRPr="00703F5C" w:rsidRDefault="0068614B">
      <w:pPr>
        <w:spacing w:line="360" w:lineRule="auto"/>
        <w:jc w:val="both"/>
        <w:rPr>
          <w:rFonts w:ascii="Book Antiqua" w:hAnsi="Book Antiqua"/>
          <w:color w:val="000000" w:themeColor="text1"/>
        </w:rPr>
        <w:sectPr w:rsidR="0068614B" w:rsidRPr="00703F5C">
          <w:pgSz w:w="12240" w:h="15840"/>
          <w:pgMar w:top="1440" w:right="1440" w:bottom="1440" w:left="1440" w:header="720" w:footer="720" w:gutter="0"/>
          <w:cols w:space="720"/>
          <w:docGrid w:linePitch="360"/>
        </w:sectPr>
      </w:pPr>
    </w:p>
    <w:p w14:paraId="7FE47352" w14:textId="77777777" w:rsidR="007C01D9" w:rsidRPr="00432A10" w:rsidRDefault="007C01D9" w:rsidP="00432A10">
      <w:pPr>
        <w:pStyle w:val="EndNoteBibliography"/>
        <w:spacing w:after="0" w:line="360" w:lineRule="auto"/>
        <w:contextualSpacing/>
        <w:jc w:val="both"/>
        <w:rPr>
          <w:rFonts w:ascii="Book Antiqua" w:hAnsi="Book Antiqua" w:cs="Times New Roman"/>
          <w:b/>
          <w:bCs/>
          <w:sz w:val="24"/>
          <w:szCs w:val="24"/>
        </w:rPr>
      </w:pPr>
      <w:r w:rsidRPr="00432A10">
        <w:rPr>
          <w:rFonts w:ascii="Book Antiqua" w:hAnsi="Book Antiqua" w:cs="Times New Roman"/>
          <w:b/>
          <w:bCs/>
          <w:sz w:val="24"/>
          <w:szCs w:val="24"/>
        </w:rPr>
        <w:lastRenderedPageBreak/>
        <w:t>Figure Legends</w:t>
      </w:r>
    </w:p>
    <w:p w14:paraId="37324625" w14:textId="2BDFDB82" w:rsidR="005C6CB6" w:rsidRPr="00703F5C" w:rsidRDefault="005C6CB6" w:rsidP="00703F5C">
      <w:pPr>
        <w:spacing w:line="360" w:lineRule="auto"/>
        <w:jc w:val="both"/>
        <w:rPr>
          <w:rFonts w:ascii="Book Antiqua" w:eastAsia="SimSun" w:hAnsi="Book Antiqua" w:cs="SimSun"/>
          <w:lang w:eastAsia="zh-CN"/>
        </w:rPr>
      </w:pPr>
      <w:r w:rsidRPr="00703F5C">
        <w:rPr>
          <w:rFonts w:ascii="Book Antiqua" w:eastAsia="SimSun" w:hAnsi="Book Antiqua" w:cs="SimSun"/>
          <w:noProof/>
        </w:rPr>
        <w:drawing>
          <wp:inline distT="0" distB="0" distL="0" distR="0" wp14:anchorId="5F03FDF3" wp14:editId="43A71F66">
            <wp:extent cx="2869200" cy="4334400"/>
            <wp:effectExtent l="0" t="0" r="762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9200" cy="4334400"/>
                    </a:xfrm>
                    <a:prstGeom prst="rect">
                      <a:avLst/>
                    </a:prstGeom>
                    <a:noFill/>
                    <a:ln>
                      <a:noFill/>
                    </a:ln>
                  </pic:spPr>
                </pic:pic>
              </a:graphicData>
            </a:graphic>
          </wp:inline>
        </w:drawing>
      </w:r>
    </w:p>
    <w:p w14:paraId="50E0C464" w14:textId="71BC7502" w:rsidR="00F62DBD" w:rsidRPr="00703F5C" w:rsidRDefault="005C6CB6" w:rsidP="00432A10">
      <w:pPr>
        <w:spacing w:line="360" w:lineRule="auto"/>
        <w:jc w:val="both"/>
        <w:rPr>
          <w:rFonts w:ascii="Book Antiqua" w:hAnsi="Book Antiqua"/>
          <w:color w:val="000000" w:themeColor="text1"/>
          <w:lang w:eastAsia="zh-CN"/>
        </w:rPr>
      </w:pPr>
      <w:r w:rsidRPr="00703F5C">
        <w:rPr>
          <w:rFonts w:ascii="Book Antiqua" w:hAnsi="Book Antiqua"/>
          <w:b/>
          <w:bCs/>
          <w:color w:val="000000" w:themeColor="text1"/>
          <w:lang w:eastAsia="zh-CN"/>
        </w:rPr>
        <w:t>Figure 1 A flow chart</w:t>
      </w:r>
      <w:r w:rsidR="006206C2" w:rsidRPr="00703F5C">
        <w:rPr>
          <w:rFonts w:ascii="Book Antiqua" w:hAnsi="Book Antiqua"/>
          <w:b/>
          <w:bCs/>
          <w:color w:val="000000" w:themeColor="text1"/>
          <w:lang w:eastAsia="zh-CN"/>
        </w:rPr>
        <w:t xml:space="preserve"> showing the use of the cell-free approach </w:t>
      </w:r>
      <w:r w:rsidR="00E4667F">
        <w:rPr>
          <w:rFonts w:ascii="Book Antiqua" w:hAnsi="Book Antiqua"/>
          <w:b/>
          <w:bCs/>
          <w:color w:val="000000" w:themeColor="text1"/>
          <w:lang w:eastAsia="zh-CN"/>
        </w:rPr>
        <w:t>to</w:t>
      </w:r>
      <w:r w:rsidR="006206C2" w:rsidRPr="00703F5C">
        <w:rPr>
          <w:rFonts w:ascii="Book Antiqua" w:hAnsi="Book Antiqua"/>
          <w:b/>
          <w:bCs/>
          <w:color w:val="000000" w:themeColor="text1"/>
          <w:lang w:eastAsia="zh-CN"/>
        </w:rPr>
        <w:t xml:space="preserve"> enhance the safety of </w:t>
      </w:r>
      <w:bookmarkStart w:id="15" w:name="OLE_LINK20"/>
      <w:bookmarkStart w:id="16" w:name="OLE_LINK21"/>
      <w:r w:rsidR="006206C2" w:rsidRPr="00703F5C">
        <w:rPr>
          <w:rFonts w:ascii="Book Antiqua" w:hAnsi="Book Antiqua"/>
          <w:b/>
          <w:bCs/>
          <w:color w:val="000000" w:themeColor="text1"/>
          <w:lang w:eastAsia="zh-CN"/>
        </w:rPr>
        <w:t>mesenchymal stromal cell</w:t>
      </w:r>
      <w:bookmarkEnd w:id="15"/>
      <w:bookmarkEnd w:id="16"/>
      <w:r w:rsidR="006206C2" w:rsidRPr="00703F5C">
        <w:rPr>
          <w:rFonts w:ascii="Book Antiqua" w:hAnsi="Book Antiqua"/>
          <w:b/>
          <w:bCs/>
          <w:color w:val="000000" w:themeColor="text1"/>
          <w:lang w:eastAsia="zh-CN"/>
        </w:rPr>
        <w:t>-based therapy.</w:t>
      </w:r>
      <w:r w:rsidR="00432A10">
        <w:rPr>
          <w:rFonts w:ascii="Book Antiqua" w:hAnsi="Book Antiqua"/>
          <w:b/>
          <w:bCs/>
          <w:color w:val="000000" w:themeColor="text1"/>
          <w:lang w:eastAsia="zh-CN"/>
        </w:rPr>
        <w:t xml:space="preserve"> </w:t>
      </w:r>
      <w:bookmarkStart w:id="17" w:name="OLE_LINK22"/>
      <w:bookmarkStart w:id="18" w:name="OLE_LINK23"/>
      <w:r w:rsidR="00432A10" w:rsidRPr="00703F5C">
        <w:rPr>
          <w:rFonts w:ascii="Book Antiqua" w:hAnsi="Book Antiqua"/>
          <w:color w:val="000000" w:themeColor="text1"/>
          <w:lang w:eastAsia="zh-CN"/>
        </w:rPr>
        <w:t>MSC: Mesenchymal stromal cell; EVs: Extracellular vesicles.</w:t>
      </w:r>
    </w:p>
    <w:bookmarkEnd w:id="17"/>
    <w:bookmarkEnd w:id="18"/>
    <w:p w14:paraId="323B8EB3" w14:textId="2CE92B5C" w:rsidR="00B319D5" w:rsidRPr="00703F5C" w:rsidRDefault="006206C2" w:rsidP="00432A10">
      <w:pPr>
        <w:spacing w:line="360" w:lineRule="auto"/>
        <w:jc w:val="both"/>
        <w:rPr>
          <w:rFonts w:ascii="Book Antiqua" w:hAnsi="Book Antiqua"/>
          <w:b/>
          <w:bCs/>
          <w:color w:val="000000" w:themeColor="text1"/>
          <w:lang w:eastAsia="zh-CN"/>
        </w:rPr>
        <w:sectPr w:rsidR="00B319D5" w:rsidRPr="00703F5C">
          <w:pgSz w:w="12240" w:h="15840"/>
          <w:pgMar w:top="1440" w:right="1440" w:bottom="1440" w:left="1440" w:header="720" w:footer="720" w:gutter="0"/>
          <w:cols w:space="720"/>
          <w:docGrid w:linePitch="360"/>
        </w:sectPr>
      </w:pPr>
      <w:r w:rsidRPr="00703F5C">
        <w:rPr>
          <w:rFonts w:ascii="Book Antiqua" w:hAnsi="Book Antiqua"/>
          <w:b/>
          <w:bCs/>
          <w:color w:val="000000" w:themeColor="text1"/>
          <w:lang w:eastAsia="zh-CN"/>
        </w:rPr>
        <w:t xml:space="preserve"> </w:t>
      </w:r>
    </w:p>
    <w:p w14:paraId="2D2E99C8" w14:textId="44AFC303" w:rsidR="00B319D5" w:rsidRPr="00703F5C" w:rsidRDefault="00B319D5" w:rsidP="00703F5C">
      <w:pPr>
        <w:spacing w:line="360" w:lineRule="auto"/>
        <w:jc w:val="both"/>
        <w:rPr>
          <w:rFonts w:ascii="Book Antiqua" w:eastAsia="SimSun" w:hAnsi="Book Antiqua" w:cs="SimSun"/>
          <w:lang w:eastAsia="zh-CN"/>
        </w:rPr>
      </w:pPr>
      <w:r w:rsidRPr="00703F5C">
        <w:rPr>
          <w:rFonts w:ascii="Book Antiqua" w:eastAsia="SimSun" w:hAnsi="Book Antiqua" w:cs="SimSun"/>
          <w:noProof/>
        </w:rPr>
        <w:lastRenderedPageBreak/>
        <w:drawing>
          <wp:inline distT="0" distB="0" distL="0" distR="0" wp14:anchorId="383D929E" wp14:editId="4E9BA903">
            <wp:extent cx="5943600" cy="3194050"/>
            <wp:effectExtent l="0" t="0" r="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194050"/>
                    </a:xfrm>
                    <a:prstGeom prst="rect">
                      <a:avLst/>
                    </a:prstGeom>
                    <a:noFill/>
                    <a:ln>
                      <a:noFill/>
                    </a:ln>
                  </pic:spPr>
                </pic:pic>
              </a:graphicData>
            </a:graphic>
          </wp:inline>
        </w:drawing>
      </w:r>
    </w:p>
    <w:p w14:paraId="1511CBF1" w14:textId="60C08A85" w:rsidR="00432A10" w:rsidRPr="00F47D50" w:rsidRDefault="00F62DBD" w:rsidP="00432A10">
      <w:pPr>
        <w:spacing w:line="360" w:lineRule="auto"/>
        <w:jc w:val="both"/>
        <w:rPr>
          <w:rFonts w:ascii="Book Antiqua" w:hAnsi="Book Antiqua"/>
          <w:color w:val="000000" w:themeColor="text1"/>
          <w:lang w:eastAsia="zh-CN"/>
        </w:rPr>
      </w:pPr>
      <w:r w:rsidRPr="00703F5C">
        <w:rPr>
          <w:rFonts w:ascii="Book Antiqua" w:hAnsi="Book Antiqua"/>
          <w:b/>
          <w:bCs/>
          <w:color w:val="000000" w:themeColor="text1"/>
          <w:lang w:eastAsia="zh-CN"/>
        </w:rPr>
        <w:t>Figure 2</w:t>
      </w:r>
      <w:r w:rsidR="00B6521F" w:rsidRPr="00703F5C">
        <w:rPr>
          <w:rFonts w:ascii="Book Antiqua" w:hAnsi="Book Antiqua"/>
          <w:b/>
          <w:bCs/>
          <w:color w:val="000000" w:themeColor="text1"/>
          <w:lang w:eastAsia="zh-CN"/>
        </w:rPr>
        <w:t xml:space="preserve"> </w:t>
      </w:r>
      <w:bookmarkStart w:id="19" w:name="_Hlk51621322"/>
      <w:r w:rsidR="00B319D5" w:rsidRPr="00703F5C">
        <w:rPr>
          <w:rFonts w:ascii="Book Antiqua" w:hAnsi="Book Antiqua"/>
          <w:b/>
          <w:bCs/>
          <w:color w:val="000000" w:themeColor="text1"/>
          <w:lang w:eastAsia="zh-CN"/>
        </w:rPr>
        <w:t>Mesenchymal stromal cells</w:t>
      </w:r>
      <w:bookmarkEnd w:id="19"/>
      <w:r w:rsidR="00B319D5" w:rsidRPr="00703F5C">
        <w:rPr>
          <w:rFonts w:ascii="Book Antiqua" w:hAnsi="Book Antiqua"/>
          <w:b/>
          <w:bCs/>
          <w:color w:val="000000" w:themeColor="text1"/>
          <w:lang w:eastAsia="zh-CN"/>
        </w:rPr>
        <w:t xml:space="preserve"> as a promising therapeutic strategy with improved efficiency and safety.</w:t>
      </w:r>
      <w:r w:rsidR="00432A10">
        <w:rPr>
          <w:rFonts w:ascii="Book Antiqua" w:hAnsi="Book Antiqua"/>
          <w:b/>
          <w:bCs/>
          <w:color w:val="000000" w:themeColor="text1"/>
          <w:lang w:eastAsia="zh-CN"/>
        </w:rPr>
        <w:t xml:space="preserve"> </w:t>
      </w:r>
      <w:r w:rsidR="00432A10" w:rsidRPr="00F47D50">
        <w:rPr>
          <w:rFonts w:ascii="Book Antiqua" w:hAnsi="Book Antiqua"/>
          <w:color w:val="000000" w:themeColor="text1"/>
          <w:lang w:eastAsia="zh-CN"/>
        </w:rPr>
        <w:t>MSC: Mesenchymal stromal cell; EV</w:t>
      </w:r>
      <w:r w:rsidR="00432A10" w:rsidRPr="00F47D50">
        <w:rPr>
          <w:rFonts w:ascii="Book Antiqua" w:hAnsi="Book Antiqua" w:hint="eastAsia"/>
          <w:color w:val="000000" w:themeColor="text1"/>
          <w:lang w:eastAsia="zh-CN"/>
        </w:rPr>
        <w:t>s</w:t>
      </w:r>
      <w:r w:rsidR="00432A10" w:rsidRPr="00F47D50">
        <w:rPr>
          <w:rFonts w:ascii="Book Antiqua" w:hAnsi="Book Antiqua"/>
          <w:color w:val="000000" w:themeColor="text1"/>
          <w:lang w:eastAsia="zh-CN"/>
        </w:rPr>
        <w:t>: E</w:t>
      </w:r>
      <w:r w:rsidR="00432A10" w:rsidRPr="00F47D50">
        <w:rPr>
          <w:rFonts w:ascii="Book Antiqua" w:hAnsi="Book Antiqua" w:hint="eastAsia"/>
          <w:color w:val="000000" w:themeColor="text1"/>
          <w:lang w:eastAsia="zh-CN"/>
        </w:rPr>
        <w:t>xt</w:t>
      </w:r>
      <w:r w:rsidR="00432A10" w:rsidRPr="00F47D50">
        <w:rPr>
          <w:rFonts w:ascii="Book Antiqua" w:hAnsi="Book Antiqua"/>
          <w:color w:val="000000" w:themeColor="text1"/>
          <w:lang w:eastAsia="zh-CN"/>
        </w:rPr>
        <w:t>racellular vesicles.</w:t>
      </w:r>
    </w:p>
    <w:p w14:paraId="525E8EE5" w14:textId="66C9A4B4" w:rsidR="00D76B43" w:rsidRPr="00703F5C" w:rsidRDefault="00D76B43" w:rsidP="00432A10">
      <w:pPr>
        <w:spacing w:line="360" w:lineRule="auto"/>
        <w:jc w:val="both"/>
        <w:rPr>
          <w:rFonts w:ascii="Book Antiqua" w:hAnsi="Book Antiqua"/>
          <w:b/>
          <w:bCs/>
          <w:color w:val="000000" w:themeColor="text1"/>
          <w:lang w:eastAsia="zh-CN"/>
        </w:rPr>
        <w:sectPr w:rsidR="00D76B43" w:rsidRPr="00703F5C">
          <w:pgSz w:w="12240" w:h="15840"/>
          <w:pgMar w:top="1440" w:right="1440" w:bottom="1440" w:left="1440" w:header="720" w:footer="720" w:gutter="0"/>
          <w:cols w:space="720"/>
          <w:docGrid w:linePitch="360"/>
        </w:sectPr>
      </w:pPr>
    </w:p>
    <w:p w14:paraId="03A2728B" w14:textId="5D5CFF1F" w:rsidR="00D76B43" w:rsidRPr="00703F5C" w:rsidRDefault="00D76B43" w:rsidP="00703F5C">
      <w:pPr>
        <w:spacing w:line="360" w:lineRule="auto"/>
        <w:jc w:val="both"/>
        <w:rPr>
          <w:rFonts w:ascii="Book Antiqua" w:eastAsia="SimSun" w:hAnsi="Book Antiqua" w:cs="SimSun"/>
          <w:lang w:eastAsia="zh-CN"/>
        </w:rPr>
      </w:pPr>
      <w:r w:rsidRPr="00703F5C">
        <w:rPr>
          <w:rFonts w:ascii="Book Antiqua" w:eastAsia="SimSun" w:hAnsi="Book Antiqua" w:cs="SimSun"/>
          <w:noProof/>
        </w:rPr>
        <w:lastRenderedPageBreak/>
        <w:drawing>
          <wp:inline distT="0" distB="0" distL="0" distR="0" wp14:anchorId="651221AA" wp14:editId="7F5E3D27">
            <wp:extent cx="5943600" cy="13995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399540"/>
                    </a:xfrm>
                    <a:prstGeom prst="rect">
                      <a:avLst/>
                    </a:prstGeom>
                    <a:noFill/>
                    <a:ln>
                      <a:noFill/>
                    </a:ln>
                  </pic:spPr>
                </pic:pic>
              </a:graphicData>
            </a:graphic>
          </wp:inline>
        </w:drawing>
      </w:r>
    </w:p>
    <w:p w14:paraId="0A49A0AD" w14:textId="494046BB" w:rsidR="003E0115" w:rsidRPr="00703F5C" w:rsidRDefault="00D76B43" w:rsidP="00432A10">
      <w:pPr>
        <w:spacing w:line="360" w:lineRule="auto"/>
        <w:jc w:val="both"/>
        <w:rPr>
          <w:rFonts w:ascii="Book Antiqua" w:hAnsi="Book Antiqua"/>
          <w:b/>
          <w:bCs/>
          <w:color w:val="000000" w:themeColor="text1"/>
          <w:lang w:eastAsia="zh-CN"/>
        </w:rPr>
        <w:sectPr w:rsidR="003E0115" w:rsidRPr="00703F5C">
          <w:pgSz w:w="12240" w:h="15840"/>
          <w:pgMar w:top="1440" w:right="1440" w:bottom="1440" w:left="1440" w:header="720" w:footer="720" w:gutter="0"/>
          <w:cols w:space="720"/>
          <w:docGrid w:linePitch="360"/>
        </w:sectPr>
      </w:pPr>
      <w:r w:rsidRPr="00703F5C">
        <w:rPr>
          <w:rFonts w:ascii="Book Antiqua" w:hAnsi="Book Antiqua"/>
          <w:b/>
          <w:bCs/>
          <w:color w:val="000000" w:themeColor="text1"/>
          <w:lang w:eastAsia="zh-CN"/>
        </w:rPr>
        <w:t xml:space="preserve">Figure 3 </w:t>
      </w:r>
      <w:r w:rsidR="00706003" w:rsidRPr="00703F5C">
        <w:rPr>
          <w:rFonts w:ascii="Book Antiqua" w:hAnsi="Book Antiqua"/>
          <w:b/>
          <w:bCs/>
          <w:color w:val="000000" w:themeColor="text1"/>
          <w:lang w:eastAsia="zh-CN"/>
        </w:rPr>
        <w:t xml:space="preserve">Strategies </w:t>
      </w:r>
      <w:r w:rsidR="00B6521F" w:rsidRPr="00703F5C">
        <w:rPr>
          <w:rFonts w:ascii="Book Antiqua" w:hAnsi="Book Antiqua"/>
          <w:b/>
          <w:bCs/>
          <w:color w:val="000000" w:themeColor="text1"/>
          <w:lang w:eastAsia="zh-CN"/>
        </w:rPr>
        <w:t>appli</w:t>
      </w:r>
      <w:r w:rsidR="00706003" w:rsidRPr="00703F5C">
        <w:rPr>
          <w:rFonts w:ascii="Book Antiqua" w:hAnsi="Book Antiqua"/>
          <w:b/>
          <w:bCs/>
          <w:color w:val="000000" w:themeColor="text1"/>
          <w:lang w:eastAsia="zh-CN"/>
        </w:rPr>
        <w:t xml:space="preserve">ed in </w:t>
      </w:r>
      <w:r w:rsidR="00E412A3" w:rsidRPr="00703F5C">
        <w:rPr>
          <w:rFonts w:ascii="Book Antiqua" w:hAnsi="Book Antiqua"/>
          <w:b/>
          <w:bCs/>
          <w:color w:val="000000" w:themeColor="text1"/>
          <w:lang w:eastAsia="zh-CN"/>
        </w:rPr>
        <w:t xml:space="preserve">the </w:t>
      </w:r>
      <w:r w:rsidR="00706003" w:rsidRPr="00703F5C">
        <w:rPr>
          <w:rFonts w:ascii="Book Antiqua" w:hAnsi="Book Antiqua"/>
          <w:b/>
          <w:bCs/>
          <w:color w:val="000000" w:themeColor="text1"/>
          <w:lang w:eastAsia="zh-CN"/>
        </w:rPr>
        <w:t>p</w:t>
      </w:r>
      <w:r w:rsidRPr="00703F5C">
        <w:rPr>
          <w:rFonts w:ascii="Book Antiqua" w:hAnsi="Book Antiqua"/>
          <w:b/>
          <w:bCs/>
          <w:color w:val="000000" w:themeColor="text1"/>
          <w:lang w:eastAsia="zh-CN"/>
        </w:rPr>
        <w:t>reconditioning</w:t>
      </w:r>
      <w:r w:rsidR="0022525F" w:rsidRPr="00703F5C">
        <w:rPr>
          <w:rFonts w:ascii="Book Antiqua" w:hAnsi="Book Antiqua"/>
          <w:b/>
          <w:bCs/>
          <w:color w:val="000000" w:themeColor="text1"/>
          <w:lang w:eastAsia="zh-CN"/>
        </w:rPr>
        <w:t xml:space="preserve"> </w:t>
      </w:r>
      <w:r w:rsidRPr="00703F5C">
        <w:rPr>
          <w:rFonts w:ascii="Book Antiqua" w:hAnsi="Book Antiqua"/>
          <w:b/>
          <w:bCs/>
          <w:color w:val="000000" w:themeColor="text1"/>
          <w:lang w:eastAsia="zh-CN"/>
        </w:rPr>
        <w:t xml:space="preserve">of </w:t>
      </w:r>
      <w:bookmarkStart w:id="20" w:name="_Hlk51620240"/>
      <w:r w:rsidRPr="00703F5C">
        <w:rPr>
          <w:rFonts w:ascii="Book Antiqua" w:hAnsi="Book Antiqua"/>
          <w:b/>
          <w:bCs/>
          <w:color w:val="000000" w:themeColor="text1"/>
          <w:lang w:eastAsia="zh-CN"/>
        </w:rPr>
        <w:t>mesenchymal stromal cells</w:t>
      </w:r>
      <w:bookmarkEnd w:id="20"/>
      <w:r w:rsidRPr="00703F5C">
        <w:rPr>
          <w:rFonts w:ascii="Book Antiqua" w:hAnsi="Book Antiqua"/>
          <w:b/>
          <w:bCs/>
          <w:color w:val="000000" w:themeColor="text1"/>
          <w:lang w:eastAsia="zh-CN"/>
        </w:rPr>
        <w:t>.</w:t>
      </w:r>
      <w:r w:rsidR="00B6521F" w:rsidRPr="00703F5C">
        <w:rPr>
          <w:rFonts w:ascii="Book Antiqua" w:hAnsi="Book Antiqua"/>
          <w:b/>
          <w:bCs/>
          <w:color w:val="000000" w:themeColor="text1"/>
          <w:lang w:eastAsia="zh-CN"/>
        </w:rPr>
        <w:t xml:space="preserve"> </w:t>
      </w:r>
      <w:r w:rsidR="00B6521F" w:rsidRPr="00703F5C">
        <w:rPr>
          <w:rFonts w:ascii="Book Antiqua" w:hAnsi="Book Antiqua"/>
          <w:color w:val="000000" w:themeColor="text1"/>
          <w:lang w:eastAsia="zh-CN"/>
        </w:rPr>
        <w:t xml:space="preserve">MSCs: </w:t>
      </w:r>
      <w:r w:rsidR="00B319D5" w:rsidRPr="00703F5C">
        <w:rPr>
          <w:rFonts w:ascii="Book Antiqua" w:hAnsi="Book Antiqua"/>
          <w:color w:val="000000" w:themeColor="text1"/>
          <w:lang w:eastAsia="zh-CN"/>
        </w:rPr>
        <w:t>M</w:t>
      </w:r>
      <w:r w:rsidR="00B6521F" w:rsidRPr="00703F5C">
        <w:rPr>
          <w:rFonts w:ascii="Book Antiqua" w:hAnsi="Book Antiqua"/>
          <w:color w:val="000000" w:themeColor="text1"/>
          <w:lang w:eastAsia="zh-CN"/>
        </w:rPr>
        <w:t>esenchymal stromal cells.</w:t>
      </w:r>
    </w:p>
    <w:p w14:paraId="032084B4" w14:textId="0904301B" w:rsidR="003E0115" w:rsidRPr="00703F5C" w:rsidRDefault="003E0115" w:rsidP="00703F5C">
      <w:pPr>
        <w:spacing w:line="360" w:lineRule="auto"/>
        <w:jc w:val="both"/>
        <w:rPr>
          <w:rFonts w:ascii="Book Antiqua" w:eastAsia="SimSun" w:hAnsi="Book Antiqua" w:cs="SimSun"/>
          <w:lang w:eastAsia="zh-CN"/>
        </w:rPr>
      </w:pPr>
      <w:r w:rsidRPr="00703F5C">
        <w:rPr>
          <w:rFonts w:ascii="Book Antiqua" w:eastAsia="SimSun" w:hAnsi="Book Antiqua" w:cs="SimSun"/>
          <w:noProof/>
        </w:rPr>
        <w:lastRenderedPageBreak/>
        <w:drawing>
          <wp:inline distT="0" distB="0" distL="0" distR="0" wp14:anchorId="21277E2F" wp14:editId="13419244">
            <wp:extent cx="3187750" cy="333954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7206" cy="3349454"/>
                    </a:xfrm>
                    <a:prstGeom prst="rect">
                      <a:avLst/>
                    </a:prstGeom>
                    <a:noFill/>
                    <a:ln>
                      <a:noFill/>
                    </a:ln>
                  </pic:spPr>
                </pic:pic>
              </a:graphicData>
            </a:graphic>
          </wp:inline>
        </w:drawing>
      </w:r>
    </w:p>
    <w:p w14:paraId="3446780C" w14:textId="264E3C1B" w:rsidR="004C00E4" w:rsidRPr="00432A10" w:rsidRDefault="003E0115" w:rsidP="00432A10">
      <w:pPr>
        <w:spacing w:line="360" w:lineRule="auto"/>
        <w:jc w:val="both"/>
        <w:rPr>
          <w:rFonts w:ascii="Book Antiqua" w:hAnsi="Book Antiqua"/>
          <w:b/>
          <w:bCs/>
          <w:color w:val="000000" w:themeColor="text1"/>
          <w:lang w:eastAsia="zh-CN"/>
        </w:rPr>
        <w:sectPr w:rsidR="004C00E4" w:rsidRPr="00432A10">
          <w:pgSz w:w="12240" w:h="15840"/>
          <w:pgMar w:top="1440" w:right="1440" w:bottom="1440" w:left="1440" w:header="720" w:footer="720" w:gutter="0"/>
          <w:cols w:space="720"/>
          <w:docGrid w:linePitch="360"/>
        </w:sectPr>
      </w:pPr>
      <w:r w:rsidRPr="00432A10">
        <w:rPr>
          <w:rFonts w:ascii="Book Antiqua" w:hAnsi="Book Antiqua"/>
          <w:b/>
          <w:bCs/>
          <w:color w:val="000000" w:themeColor="text1"/>
          <w:lang w:eastAsia="zh-CN"/>
        </w:rPr>
        <w:t xml:space="preserve">Figure 4 </w:t>
      </w:r>
      <w:r w:rsidR="0070642B" w:rsidRPr="00432A10">
        <w:rPr>
          <w:rFonts w:ascii="Book Antiqua" w:hAnsi="Book Antiqua"/>
          <w:b/>
          <w:bCs/>
          <w:color w:val="000000" w:themeColor="text1"/>
          <w:lang w:eastAsia="zh-CN"/>
        </w:rPr>
        <w:t xml:space="preserve">The </w:t>
      </w:r>
      <w:r w:rsidR="00B4422B">
        <w:rPr>
          <w:rFonts w:ascii="Book Antiqua" w:hAnsi="Book Antiqua"/>
          <w:b/>
          <w:bCs/>
          <w:color w:val="000000" w:themeColor="text1"/>
          <w:lang w:eastAsia="zh-CN"/>
        </w:rPr>
        <w:t xml:space="preserve">inflammatory </w:t>
      </w:r>
      <w:r w:rsidR="0070642B" w:rsidRPr="00432A10">
        <w:rPr>
          <w:rFonts w:ascii="Book Antiqua" w:hAnsi="Book Antiqua"/>
          <w:b/>
          <w:bCs/>
          <w:color w:val="000000" w:themeColor="text1"/>
          <w:lang w:eastAsia="zh-CN"/>
        </w:rPr>
        <w:t xml:space="preserve">specific cytokine </w:t>
      </w:r>
      <w:r w:rsidR="00B4422B">
        <w:rPr>
          <w:rFonts w:ascii="Book Antiqua" w:hAnsi="Book Antiqua"/>
          <w:b/>
          <w:bCs/>
          <w:color w:val="000000" w:themeColor="text1"/>
          <w:lang w:eastAsia="zh-CN"/>
        </w:rPr>
        <w:t>environment</w:t>
      </w:r>
      <w:r w:rsidR="0070642B" w:rsidRPr="00432A10">
        <w:rPr>
          <w:rFonts w:ascii="Book Antiqua" w:hAnsi="Book Antiqua"/>
          <w:b/>
          <w:bCs/>
          <w:color w:val="000000" w:themeColor="text1"/>
          <w:lang w:eastAsia="zh-CN"/>
        </w:rPr>
        <w:t xml:space="preserve"> is pivotal in determining the fate and behaviors of mesenchymal stromal cells</w:t>
      </w:r>
      <w:r w:rsidRPr="00432A10">
        <w:rPr>
          <w:rFonts w:ascii="Book Antiqua" w:hAnsi="Book Antiqua"/>
          <w:b/>
          <w:bCs/>
          <w:color w:val="000000" w:themeColor="text1"/>
          <w:lang w:eastAsia="zh-CN"/>
        </w:rPr>
        <w:t>.</w:t>
      </w:r>
      <w:r w:rsidR="00BB780C" w:rsidRPr="00432A10">
        <w:rPr>
          <w:rFonts w:ascii="Book Antiqua" w:hAnsi="Book Antiqua"/>
          <w:b/>
          <w:bCs/>
          <w:color w:val="000000" w:themeColor="text1"/>
          <w:lang w:eastAsia="zh-CN"/>
        </w:rPr>
        <w:t xml:space="preserve"> </w:t>
      </w:r>
      <w:r w:rsidR="00BB780C" w:rsidRPr="00432A10">
        <w:rPr>
          <w:rFonts w:ascii="Book Antiqua" w:hAnsi="Book Antiqua"/>
          <w:color w:val="000000" w:themeColor="text1"/>
          <w:lang w:eastAsia="zh-CN"/>
        </w:rPr>
        <w:t>IFN-γ: Interferon-γ;</w:t>
      </w:r>
      <w:r w:rsidR="000323D4" w:rsidRPr="00432A10">
        <w:rPr>
          <w:rFonts w:ascii="Book Antiqua" w:hAnsi="Book Antiqua"/>
          <w:color w:val="000000" w:themeColor="text1"/>
          <w:lang w:eastAsia="zh-CN"/>
        </w:rPr>
        <w:t xml:space="preserve"> IFN-β: Interferon-β</w:t>
      </w:r>
      <w:r w:rsidR="007E6F3A" w:rsidRPr="00432A10">
        <w:rPr>
          <w:rFonts w:ascii="Book Antiqua" w:hAnsi="Book Antiqua"/>
          <w:color w:val="000000" w:themeColor="text1"/>
          <w:lang w:eastAsia="zh-CN"/>
        </w:rPr>
        <w:t>;</w:t>
      </w:r>
      <w:r w:rsidR="00BB780C" w:rsidRPr="00432A10">
        <w:rPr>
          <w:rFonts w:ascii="Book Antiqua" w:hAnsi="Book Antiqua"/>
          <w:color w:val="000000" w:themeColor="text1"/>
          <w:lang w:eastAsia="zh-CN"/>
        </w:rPr>
        <w:t xml:space="preserve"> IDO: Indoleamine 2,3-dioxygenase.</w:t>
      </w:r>
    </w:p>
    <w:p w14:paraId="0E630075" w14:textId="595C833B" w:rsidR="004C00E4" w:rsidRPr="00703F5C" w:rsidRDefault="004C00E4" w:rsidP="00703F5C">
      <w:pPr>
        <w:spacing w:line="360" w:lineRule="auto"/>
        <w:jc w:val="both"/>
        <w:rPr>
          <w:rFonts w:ascii="Book Antiqua" w:eastAsia="SimSun" w:hAnsi="Book Antiqua" w:cs="SimSun"/>
          <w:lang w:eastAsia="zh-CN"/>
        </w:rPr>
      </w:pPr>
      <w:r w:rsidRPr="00703F5C">
        <w:rPr>
          <w:rFonts w:ascii="Book Antiqua" w:eastAsia="SimSun" w:hAnsi="Book Antiqua" w:cs="SimSun"/>
          <w:noProof/>
        </w:rPr>
        <w:lastRenderedPageBreak/>
        <w:drawing>
          <wp:inline distT="0" distB="0" distL="0" distR="0" wp14:anchorId="5E195F1F" wp14:editId="4D234739">
            <wp:extent cx="2246400" cy="1404000"/>
            <wp:effectExtent l="0" t="0" r="190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6400" cy="1404000"/>
                    </a:xfrm>
                    <a:prstGeom prst="rect">
                      <a:avLst/>
                    </a:prstGeom>
                    <a:noFill/>
                    <a:ln>
                      <a:noFill/>
                    </a:ln>
                  </pic:spPr>
                </pic:pic>
              </a:graphicData>
            </a:graphic>
          </wp:inline>
        </w:drawing>
      </w:r>
    </w:p>
    <w:p w14:paraId="58DD3C2B" w14:textId="00A76FE3" w:rsidR="008A1983" w:rsidRPr="00703F5C" w:rsidRDefault="004C00E4" w:rsidP="00432A10">
      <w:pPr>
        <w:spacing w:line="360" w:lineRule="auto"/>
        <w:jc w:val="both"/>
        <w:rPr>
          <w:rFonts w:ascii="Book Antiqua" w:hAnsi="Book Antiqua"/>
          <w:b/>
          <w:bCs/>
          <w:color w:val="000000" w:themeColor="text1"/>
          <w:lang w:eastAsia="zh-CN"/>
        </w:rPr>
      </w:pPr>
      <w:r w:rsidRPr="00703F5C">
        <w:rPr>
          <w:rFonts w:ascii="Book Antiqua" w:hAnsi="Book Antiqua"/>
          <w:b/>
          <w:bCs/>
          <w:color w:val="000000" w:themeColor="text1"/>
          <w:lang w:eastAsia="zh-CN"/>
        </w:rPr>
        <w:t xml:space="preserve">Figure </w:t>
      </w:r>
      <w:r w:rsidR="00C23D8B" w:rsidRPr="00703F5C">
        <w:rPr>
          <w:rFonts w:ascii="Book Antiqua" w:hAnsi="Book Antiqua"/>
          <w:b/>
          <w:bCs/>
          <w:color w:val="000000" w:themeColor="text1"/>
          <w:lang w:eastAsia="zh-CN"/>
        </w:rPr>
        <w:t>5</w:t>
      </w:r>
      <w:r w:rsidRPr="00703F5C">
        <w:rPr>
          <w:rFonts w:ascii="Book Antiqua" w:hAnsi="Book Antiqua"/>
          <w:b/>
          <w:bCs/>
          <w:color w:val="000000" w:themeColor="text1"/>
          <w:lang w:eastAsia="zh-CN"/>
        </w:rPr>
        <w:t xml:space="preserve"> </w:t>
      </w:r>
      <w:r w:rsidR="00EC1B28">
        <w:rPr>
          <w:rFonts w:ascii="Book Antiqua" w:hAnsi="Book Antiqua"/>
          <w:b/>
          <w:bCs/>
          <w:color w:val="000000" w:themeColor="text1"/>
          <w:lang w:eastAsia="zh-CN"/>
        </w:rPr>
        <w:t>The infectious environment</w:t>
      </w:r>
      <w:r w:rsidR="00C23D8B" w:rsidRPr="00703F5C">
        <w:rPr>
          <w:rFonts w:ascii="Book Antiqua" w:hAnsi="Book Antiqua"/>
          <w:b/>
          <w:bCs/>
          <w:color w:val="000000" w:themeColor="text1"/>
          <w:lang w:eastAsia="zh-CN"/>
        </w:rPr>
        <w:t xml:space="preserve"> </w:t>
      </w:r>
      <w:r w:rsidR="00EC1B28">
        <w:rPr>
          <w:rFonts w:ascii="Book Antiqua" w:hAnsi="Book Antiqua"/>
          <w:b/>
          <w:bCs/>
          <w:color w:val="000000" w:themeColor="text1"/>
          <w:lang w:eastAsia="zh-CN"/>
        </w:rPr>
        <w:t xml:space="preserve">may </w:t>
      </w:r>
      <w:r w:rsidR="00C23D8B" w:rsidRPr="00703F5C">
        <w:rPr>
          <w:rFonts w:ascii="Book Antiqua" w:hAnsi="Book Antiqua"/>
          <w:b/>
          <w:bCs/>
          <w:color w:val="000000" w:themeColor="text1"/>
          <w:lang w:eastAsia="zh-CN"/>
        </w:rPr>
        <w:t xml:space="preserve">modulate </w:t>
      </w:r>
      <w:r w:rsidR="00EC1B28" w:rsidRPr="00703F5C">
        <w:rPr>
          <w:rFonts w:ascii="Book Antiqua" w:hAnsi="Book Antiqua"/>
          <w:b/>
          <w:bCs/>
          <w:color w:val="000000" w:themeColor="text1"/>
          <w:lang w:eastAsia="zh-CN"/>
        </w:rPr>
        <w:t xml:space="preserve">mesenchymal stromal cells </w:t>
      </w:r>
      <w:r w:rsidR="00EC1B28">
        <w:rPr>
          <w:rFonts w:ascii="Book Antiqua" w:hAnsi="Book Antiqua"/>
          <w:b/>
          <w:bCs/>
          <w:color w:val="000000" w:themeColor="text1"/>
          <w:lang w:eastAsia="zh-CN"/>
        </w:rPr>
        <w:t>through different</w:t>
      </w:r>
      <w:r w:rsidR="00C23D8B" w:rsidRPr="00703F5C">
        <w:rPr>
          <w:rFonts w:ascii="Book Antiqua" w:hAnsi="Book Antiqua"/>
          <w:b/>
          <w:bCs/>
          <w:color w:val="000000" w:themeColor="text1"/>
          <w:lang w:eastAsia="zh-CN"/>
        </w:rPr>
        <w:t xml:space="preserve"> pattern and function of </w:t>
      </w:r>
      <w:r w:rsidR="000B2063" w:rsidRPr="00703F5C">
        <w:rPr>
          <w:rFonts w:ascii="Book Antiqua" w:hAnsi="Book Antiqua"/>
          <w:b/>
          <w:bCs/>
          <w:color w:val="000000" w:themeColor="text1"/>
          <w:lang w:eastAsia="zh-CN"/>
        </w:rPr>
        <w:t>toll-like receptors</w:t>
      </w:r>
      <w:r w:rsidRPr="00703F5C">
        <w:rPr>
          <w:rFonts w:ascii="Book Antiqua" w:hAnsi="Book Antiqua"/>
          <w:b/>
          <w:bCs/>
          <w:color w:val="000000" w:themeColor="text1"/>
          <w:lang w:eastAsia="zh-CN"/>
        </w:rPr>
        <w:t>.</w:t>
      </w:r>
      <w:r w:rsidR="00B319D5" w:rsidRPr="00703F5C">
        <w:rPr>
          <w:rFonts w:ascii="Book Antiqua" w:hAnsi="Book Antiqua"/>
          <w:b/>
          <w:bCs/>
          <w:color w:val="000000" w:themeColor="text1"/>
          <w:lang w:eastAsia="zh-CN"/>
        </w:rPr>
        <w:t xml:space="preserve"> </w:t>
      </w:r>
      <w:r w:rsidR="009F63CA" w:rsidRPr="00703F5C">
        <w:rPr>
          <w:rFonts w:ascii="Book Antiqua" w:hAnsi="Book Antiqua"/>
          <w:color w:val="000000" w:themeColor="text1"/>
          <w:lang w:eastAsia="zh-CN"/>
        </w:rPr>
        <w:t>TLRs: Toll-like receptors.</w:t>
      </w:r>
    </w:p>
    <w:sectPr w:rsidR="008A1983" w:rsidRPr="00703F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8AE5B" w14:textId="77777777" w:rsidR="00063615" w:rsidRDefault="00063615" w:rsidP="00ED6BEC">
      <w:r>
        <w:separator/>
      </w:r>
    </w:p>
  </w:endnote>
  <w:endnote w:type="continuationSeparator" w:id="0">
    <w:p w14:paraId="1CF04967" w14:textId="77777777" w:rsidR="00063615" w:rsidRDefault="00063615" w:rsidP="00ED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8E3CD" w14:textId="34B0D39B" w:rsidR="008363BA" w:rsidRPr="008363BA" w:rsidRDefault="008363BA" w:rsidP="008363BA">
    <w:pPr>
      <w:pStyle w:val="Pieddepage"/>
      <w:jc w:val="right"/>
      <w:rPr>
        <w:sz w:val="22"/>
        <w:szCs w:val="21"/>
      </w:rPr>
    </w:pPr>
    <w:r w:rsidRPr="008363BA">
      <w:rPr>
        <w:sz w:val="22"/>
        <w:szCs w:val="21"/>
      </w:rPr>
      <w:fldChar w:fldCharType="begin"/>
    </w:r>
    <w:r w:rsidRPr="008363BA">
      <w:rPr>
        <w:sz w:val="22"/>
        <w:szCs w:val="21"/>
      </w:rPr>
      <w:instrText>PAGE  \* Arabic  \* MERGEFORMAT</w:instrText>
    </w:r>
    <w:r w:rsidRPr="008363BA">
      <w:rPr>
        <w:sz w:val="22"/>
        <w:szCs w:val="21"/>
      </w:rPr>
      <w:fldChar w:fldCharType="separate"/>
    </w:r>
    <w:r w:rsidR="00A2327E" w:rsidRPr="00A2327E">
      <w:rPr>
        <w:noProof/>
        <w:sz w:val="22"/>
        <w:szCs w:val="21"/>
        <w:lang w:val="zh-CN" w:eastAsia="zh-CN"/>
      </w:rPr>
      <w:t>4</w:t>
    </w:r>
    <w:r w:rsidRPr="008363BA">
      <w:rPr>
        <w:sz w:val="22"/>
        <w:szCs w:val="21"/>
      </w:rPr>
      <w:fldChar w:fldCharType="end"/>
    </w:r>
    <w:r w:rsidRPr="008363BA">
      <w:rPr>
        <w:sz w:val="22"/>
        <w:szCs w:val="21"/>
        <w:lang w:val="zh-CN" w:eastAsia="zh-CN"/>
      </w:rPr>
      <w:t xml:space="preserve"> / </w:t>
    </w:r>
    <w:r w:rsidRPr="008363BA">
      <w:rPr>
        <w:sz w:val="22"/>
        <w:szCs w:val="21"/>
      </w:rPr>
      <w:fldChar w:fldCharType="begin"/>
    </w:r>
    <w:r w:rsidRPr="008363BA">
      <w:rPr>
        <w:sz w:val="22"/>
        <w:szCs w:val="21"/>
      </w:rPr>
      <w:instrText>NUMPAGES  \* Arabic  \* MERGEFORMAT</w:instrText>
    </w:r>
    <w:r w:rsidRPr="008363BA">
      <w:rPr>
        <w:sz w:val="22"/>
        <w:szCs w:val="21"/>
      </w:rPr>
      <w:fldChar w:fldCharType="separate"/>
    </w:r>
    <w:r w:rsidR="00A2327E" w:rsidRPr="00A2327E">
      <w:rPr>
        <w:noProof/>
        <w:sz w:val="22"/>
        <w:szCs w:val="21"/>
        <w:lang w:val="zh-CN" w:eastAsia="zh-CN"/>
      </w:rPr>
      <w:t>45</w:t>
    </w:r>
    <w:r w:rsidRPr="008363BA">
      <w:rPr>
        <w:sz w:val="22"/>
        <w:szCs w:val="21"/>
      </w:rPr>
      <w:fldChar w:fldCharType="end"/>
    </w:r>
  </w:p>
  <w:p w14:paraId="57432BDE" w14:textId="77777777" w:rsidR="008363BA" w:rsidRDefault="008363B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44360" w14:textId="77777777" w:rsidR="00063615" w:rsidRDefault="00063615" w:rsidP="00ED6BEC">
      <w:r>
        <w:separator/>
      </w:r>
    </w:p>
  </w:footnote>
  <w:footnote w:type="continuationSeparator" w:id="0">
    <w:p w14:paraId="0414E75F" w14:textId="77777777" w:rsidR="00063615" w:rsidRDefault="00063615" w:rsidP="00ED6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5624"/>
    <w:multiLevelType w:val="hybridMultilevel"/>
    <w:tmpl w:val="DF706A82"/>
    <w:lvl w:ilvl="0" w:tplc="DC289E2E">
      <w:numFmt w:val="bullet"/>
      <w:lvlText w:val=""/>
      <w:lvlJc w:val="left"/>
      <w:pPr>
        <w:ind w:left="720" w:hanging="360"/>
      </w:pPr>
      <w:rPr>
        <w:rFonts w:ascii="Wingdings" w:eastAsiaTheme="minorHAnsi" w:hAnsi="Wingding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43D16A8"/>
    <w:multiLevelType w:val="hybridMultilevel"/>
    <w:tmpl w:val="A008EBA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cta Biomateriali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A77B3E"/>
    <w:rsid w:val="00012530"/>
    <w:rsid w:val="00021C48"/>
    <w:rsid w:val="000323D4"/>
    <w:rsid w:val="00032E24"/>
    <w:rsid w:val="000413CE"/>
    <w:rsid w:val="00063615"/>
    <w:rsid w:val="00080E9A"/>
    <w:rsid w:val="00093FAF"/>
    <w:rsid w:val="00095E69"/>
    <w:rsid w:val="000B2063"/>
    <w:rsid w:val="000B3A6C"/>
    <w:rsid w:val="000E160B"/>
    <w:rsid w:val="000E4580"/>
    <w:rsid w:val="000F3C71"/>
    <w:rsid w:val="00120D53"/>
    <w:rsid w:val="00133AB2"/>
    <w:rsid w:val="001412FD"/>
    <w:rsid w:val="00153DD8"/>
    <w:rsid w:val="0017692F"/>
    <w:rsid w:val="001909F9"/>
    <w:rsid w:val="001B7C8B"/>
    <w:rsid w:val="001C1D44"/>
    <w:rsid w:val="001C51FF"/>
    <w:rsid w:val="00203ABD"/>
    <w:rsid w:val="0022525F"/>
    <w:rsid w:val="00241F00"/>
    <w:rsid w:val="00253D02"/>
    <w:rsid w:val="00291495"/>
    <w:rsid w:val="00291BB7"/>
    <w:rsid w:val="002949EA"/>
    <w:rsid w:val="002B7944"/>
    <w:rsid w:val="00313F2D"/>
    <w:rsid w:val="003319B0"/>
    <w:rsid w:val="003559A2"/>
    <w:rsid w:val="0036296E"/>
    <w:rsid w:val="003B2815"/>
    <w:rsid w:val="003B581E"/>
    <w:rsid w:val="003C3BB8"/>
    <w:rsid w:val="003D3236"/>
    <w:rsid w:val="003E0115"/>
    <w:rsid w:val="003E0506"/>
    <w:rsid w:val="00432A10"/>
    <w:rsid w:val="004B6E88"/>
    <w:rsid w:val="004C00E4"/>
    <w:rsid w:val="004C203F"/>
    <w:rsid w:val="004D359C"/>
    <w:rsid w:val="00551FE6"/>
    <w:rsid w:val="00553683"/>
    <w:rsid w:val="00571548"/>
    <w:rsid w:val="00591DD8"/>
    <w:rsid w:val="005B112F"/>
    <w:rsid w:val="005C6CB6"/>
    <w:rsid w:val="005D2400"/>
    <w:rsid w:val="005D29A8"/>
    <w:rsid w:val="005D4E6F"/>
    <w:rsid w:val="005E4804"/>
    <w:rsid w:val="006206C2"/>
    <w:rsid w:val="00643D97"/>
    <w:rsid w:val="00644C90"/>
    <w:rsid w:val="00685CDC"/>
    <w:rsid w:val="0068614B"/>
    <w:rsid w:val="00692FCC"/>
    <w:rsid w:val="00694F0C"/>
    <w:rsid w:val="006A1F88"/>
    <w:rsid w:val="006B4E80"/>
    <w:rsid w:val="006B75CD"/>
    <w:rsid w:val="006D11BF"/>
    <w:rsid w:val="006D2DFD"/>
    <w:rsid w:val="00703F5C"/>
    <w:rsid w:val="00706003"/>
    <w:rsid w:val="0070642B"/>
    <w:rsid w:val="00713812"/>
    <w:rsid w:val="007214D9"/>
    <w:rsid w:val="00740A74"/>
    <w:rsid w:val="00755B90"/>
    <w:rsid w:val="00772CA2"/>
    <w:rsid w:val="0077688B"/>
    <w:rsid w:val="00792B12"/>
    <w:rsid w:val="007C01D9"/>
    <w:rsid w:val="007C658E"/>
    <w:rsid w:val="007D37BE"/>
    <w:rsid w:val="007E23C3"/>
    <w:rsid w:val="007E6F3A"/>
    <w:rsid w:val="007E7842"/>
    <w:rsid w:val="007F6EC0"/>
    <w:rsid w:val="008363BA"/>
    <w:rsid w:val="00842B5E"/>
    <w:rsid w:val="008A1983"/>
    <w:rsid w:val="008B7874"/>
    <w:rsid w:val="008E7AC7"/>
    <w:rsid w:val="00917B1C"/>
    <w:rsid w:val="009372DE"/>
    <w:rsid w:val="00952284"/>
    <w:rsid w:val="00963F70"/>
    <w:rsid w:val="00974E03"/>
    <w:rsid w:val="0097689E"/>
    <w:rsid w:val="00992EAA"/>
    <w:rsid w:val="009C161A"/>
    <w:rsid w:val="009F63CA"/>
    <w:rsid w:val="00A03057"/>
    <w:rsid w:val="00A0308C"/>
    <w:rsid w:val="00A05864"/>
    <w:rsid w:val="00A2327E"/>
    <w:rsid w:val="00A37740"/>
    <w:rsid w:val="00A7407F"/>
    <w:rsid w:val="00A77B3E"/>
    <w:rsid w:val="00AA262C"/>
    <w:rsid w:val="00AB2263"/>
    <w:rsid w:val="00AB7CA9"/>
    <w:rsid w:val="00AC368F"/>
    <w:rsid w:val="00AD2B2C"/>
    <w:rsid w:val="00B045B4"/>
    <w:rsid w:val="00B23014"/>
    <w:rsid w:val="00B319D5"/>
    <w:rsid w:val="00B4422B"/>
    <w:rsid w:val="00B44994"/>
    <w:rsid w:val="00B44CF5"/>
    <w:rsid w:val="00B4569F"/>
    <w:rsid w:val="00B46F1B"/>
    <w:rsid w:val="00B6521F"/>
    <w:rsid w:val="00B86BBD"/>
    <w:rsid w:val="00BA7602"/>
    <w:rsid w:val="00BB780C"/>
    <w:rsid w:val="00C07982"/>
    <w:rsid w:val="00C17712"/>
    <w:rsid w:val="00C23D8B"/>
    <w:rsid w:val="00C52C2A"/>
    <w:rsid w:val="00C55037"/>
    <w:rsid w:val="00C6736E"/>
    <w:rsid w:val="00CA2A55"/>
    <w:rsid w:val="00CB34BA"/>
    <w:rsid w:val="00CD031A"/>
    <w:rsid w:val="00CE1840"/>
    <w:rsid w:val="00D02A26"/>
    <w:rsid w:val="00D327BF"/>
    <w:rsid w:val="00D45833"/>
    <w:rsid w:val="00D6562D"/>
    <w:rsid w:val="00D74D2F"/>
    <w:rsid w:val="00D76B43"/>
    <w:rsid w:val="00DA0993"/>
    <w:rsid w:val="00DA7764"/>
    <w:rsid w:val="00E01E0F"/>
    <w:rsid w:val="00E05462"/>
    <w:rsid w:val="00E26A8C"/>
    <w:rsid w:val="00E412A3"/>
    <w:rsid w:val="00E444E7"/>
    <w:rsid w:val="00E4667F"/>
    <w:rsid w:val="00E46CC9"/>
    <w:rsid w:val="00E5142B"/>
    <w:rsid w:val="00E82C27"/>
    <w:rsid w:val="00E961F1"/>
    <w:rsid w:val="00E97DD4"/>
    <w:rsid w:val="00EC1B28"/>
    <w:rsid w:val="00ED6BEC"/>
    <w:rsid w:val="00ED7D9A"/>
    <w:rsid w:val="00F01718"/>
    <w:rsid w:val="00F440E6"/>
    <w:rsid w:val="00F62DBD"/>
    <w:rsid w:val="00F83806"/>
    <w:rsid w:val="00F83D7B"/>
    <w:rsid w:val="00F90C3E"/>
    <w:rsid w:val="00F91108"/>
    <w:rsid w:val="00FB214D"/>
    <w:rsid w:val="00FC31AD"/>
    <w:rsid w:val="00FD18CE"/>
    <w:rsid w:val="00FE3412"/>
    <w:rsid w:val="00FE5138"/>
    <w:rsid w:val="00FF7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4F83D"/>
  <w15:docId w15:val="{13CECCAE-F238-4643-8830-6A528350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rsid w:val="00692FCC"/>
    <w:rPr>
      <w:sz w:val="18"/>
      <w:szCs w:val="18"/>
    </w:rPr>
  </w:style>
  <w:style w:type="character" w:customStyle="1" w:styleId="TextedebullesCar">
    <w:name w:val="Texte de bulles Car"/>
    <w:basedOn w:val="Policepardfaut"/>
    <w:link w:val="Textedebulles"/>
    <w:uiPriority w:val="99"/>
    <w:rsid w:val="00692FCC"/>
    <w:rPr>
      <w:sz w:val="18"/>
      <w:szCs w:val="18"/>
    </w:rPr>
  </w:style>
  <w:style w:type="character" w:styleId="Lienhypertexte">
    <w:name w:val="Hyperlink"/>
    <w:basedOn w:val="Policepardfaut"/>
    <w:uiPriority w:val="99"/>
    <w:unhideWhenUsed/>
    <w:rsid w:val="00E01E0F"/>
    <w:rPr>
      <w:color w:val="0000FF" w:themeColor="hyperlink"/>
      <w:u w:val="single"/>
    </w:rPr>
  </w:style>
  <w:style w:type="character" w:customStyle="1" w:styleId="Mentionnonrsolue1">
    <w:name w:val="Mention non résolue1"/>
    <w:basedOn w:val="Policepardfaut"/>
    <w:uiPriority w:val="99"/>
    <w:semiHidden/>
    <w:unhideWhenUsed/>
    <w:rsid w:val="00E01E0F"/>
    <w:rPr>
      <w:color w:val="605E5C"/>
      <w:shd w:val="clear" w:color="auto" w:fill="E1DFDD"/>
    </w:rPr>
  </w:style>
  <w:style w:type="character" w:styleId="Lienhypertextesuivivisit">
    <w:name w:val="FollowedHyperlink"/>
    <w:basedOn w:val="Policepardfaut"/>
    <w:uiPriority w:val="99"/>
    <w:semiHidden/>
    <w:unhideWhenUsed/>
    <w:rsid w:val="00E01E0F"/>
    <w:rPr>
      <w:color w:val="800080" w:themeColor="followedHyperlink"/>
      <w:u w:val="single"/>
    </w:rPr>
  </w:style>
  <w:style w:type="paragraph" w:styleId="En-tte">
    <w:name w:val="header"/>
    <w:basedOn w:val="Normal"/>
    <w:link w:val="En-tteCar"/>
    <w:uiPriority w:val="99"/>
    <w:unhideWhenUsed/>
    <w:rsid w:val="00E01E0F"/>
    <w:pPr>
      <w:tabs>
        <w:tab w:val="center" w:pos="4320"/>
        <w:tab w:val="right" w:pos="8640"/>
      </w:tabs>
    </w:pPr>
    <w:rPr>
      <w:rFonts w:asciiTheme="minorHAnsi" w:hAnsiTheme="minorHAnsi" w:cstheme="minorBidi"/>
      <w:sz w:val="22"/>
      <w:szCs w:val="22"/>
    </w:rPr>
  </w:style>
  <w:style w:type="character" w:customStyle="1" w:styleId="En-tteCar">
    <w:name w:val="En-tête Car"/>
    <w:basedOn w:val="Policepardfaut"/>
    <w:link w:val="En-tte"/>
    <w:uiPriority w:val="99"/>
    <w:rsid w:val="00E01E0F"/>
    <w:rPr>
      <w:rFonts w:asciiTheme="minorHAnsi" w:hAnsiTheme="minorHAnsi" w:cstheme="minorBidi"/>
      <w:sz w:val="22"/>
      <w:szCs w:val="22"/>
    </w:rPr>
  </w:style>
  <w:style w:type="paragraph" w:styleId="Pieddepage">
    <w:name w:val="footer"/>
    <w:basedOn w:val="Normal"/>
    <w:link w:val="PieddepageCar"/>
    <w:uiPriority w:val="99"/>
    <w:unhideWhenUsed/>
    <w:rsid w:val="00E01E0F"/>
    <w:pPr>
      <w:tabs>
        <w:tab w:val="center" w:pos="4320"/>
        <w:tab w:val="right" w:pos="8640"/>
      </w:tabs>
    </w:pPr>
    <w:rPr>
      <w:rFonts w:ascii="Book Antiqua" w:hAnsi="Book Antiqua" w:cstheme="minorBidi"/>
      <w:szCs w:val="22"/>
    </w:rPr>
  </w:style>
  <w:style w:type="character" w:customStyle="1" w:styleId="PieddepageCar">
    <w:name w:val="Pied de page Car"/>
    <w:basedOn w:val="Policepardfaut"/>
    <w:link w:val="Pieddepage"/>
    <w:uiPriority w:val="99"/>
    <w:rsid w:val="00E01E0F"/>
    <w:rPr>
      <w:rFonts w:ascii="Book Antiqua" w:hAnsi="Book Antiqua" w:cstheme="minorBidi"/>
      <w:sz w:val="24"/>
      <w:szCs w:val="22"/>
    </w:rPr>
  </w:style>
  <w:style w:type="character" w:styleId="Marquedecommentaire">
    <w:name w:val="annotation reference"/>
    <w:basedOn w:val="Policepardfaut"/>
    <w:uiPriority w:val="99"/>
    <w:semiHidden/>
    <w:unhideWhenUsed/>
    <w:rsid w:val="00E01E0F"/>
    <w:rPr>
      <w:sz w:val="16"/>
      <w:szCs w:val="16"/>
    </w:rPr>
  </w:style>
  <w:style w:type="paragraph" w:styleId="Commentaire">
    <w:name w:val="annotation text"/>
    <w:basedOn w:val="Normal"/>
    <w:link w:val="CommentaireCar"/>
    <w:uiPriority w:val="99"/>
    <w:semiHidden/>
    <w:unhideWhenUsed/>
    <w:rsid w:val="00E01E0F"/>
    <w:pPr>
      <w:spacing w:after="160"/>
    </w:pPr>
    <w:rPr>
      <w:rFonts w:asciiTheme="minorHAnsi" w:hAnsiTheme="minorHAnsi" w:cstheme="minorBidi"/>
      <w:sz w:val="20"/>
      <w:szCs w:val="20"/>
    </w:rPr>
  </w:style>
  <w:style w:type="character" w:customStyle="1" w:styleId="CommentaireCar">
    <w:name w:val="Commentaire Car"/>
    <w:basedOn w:val="Policepardfaut"/>
    <w:link w:val="Commentaire"/>
    <w:uiPriority w:val="99"/>
    <w:semiHidden/>
    <w:rsid w:val="00E01E0F"/>
    <w:rPr>
      <w:rFonts w:asciiTheme="minorHAnsi" w:hAnsiTheme="minorHAnsi" w:cstheme="minorBidi"/>
    </w:rPr>
  </w:style>
  <w:style w:type="paragraph" w:styleId="Objetducommentaire">
    <w:name w:val="annotation subject"/>
    <w:basedOn w:val="Commentaire"/>
    <w:next w:val="Commentaire"/>
    <w:link w:val="ObjetducommentaireCar"/>
    <w:uiPriority w:val="99"/>
    <w:semiHidden/>
    <w:unhideWhenUsed/>
    <w:rsid w:val="00E01E0F"/>
    <w:rPr>
      <w:b/>
      <w:bCs/>
    </w:rPr>
  </w:style>
  <w:style w:type="character" w:customStyle="1" w:styleId="ObjetducommentaireCar">
    <w:name w:val="Objet du commentaire Car"/>
    <w:basedOn w:val="CommentaireCar"/>
    <w:link w:val="Objetducommentaire"/>
    <w:uiPriority w:val="99"/>
    <w:semiHidden/>
    <w:rsid w:val="00E01E0F"/>
    <w:rPr>
      <w:rFonts w:asciiTheme="minorHAnsi" w:hAnsiTheme="minorHAnsi" w:cstheme="minorBidi"/>
      <w:b/>
      <w:bCs/>
    </w:rPr>
  </w:style>
  <w:style w:type="character" w:customStyle="1" w:styleId="UnresolvedMention1">
    <w:name w:val="Unresolved Mention1"/>
    <w:basedOn w:val="Policepardfaut"/>
    <w:uiPriority w:val="99"/>
    <w:semiHidden/>
    <w:unhideWhenUsed/>
    <w:rsid w:val="00E01E0F"/>
    <w:rPr>
      <w:color w:val="605E5C"/>
      <w:shd w:val="clear" w:color="auto" w:fill="E1DFDD"/>
    </w:rPr>
  </w:style>
  <w:style w:type="character" w:styleId="Accentuation">
    <w:name w:val="Emphasis"/>
    <w:basedOn w:val="Policepardfaut"/>
    <w:uiPriority w:val="20"/>
    <w:qFormat/>
    <w:rsid w:val="00E01E0F"/>
    <w:rPr>
      <w:i/>
      <w:iCs/>
    </w:rPr>
  </w:style>
  <w:style w:type="paragraph" w:styleId="Paragraphedeliste">
    <w:name w:val="List Paragraph"/>
    <w:basedOn w:val="Normal"/>
    <w:uiPriority w:val="34"/>
    <w:qFormat/>
    <w:rsid w:val="00E01E0F"/>
    <w:pPr>
      <w:spacing w:after="160" w:line="480" w:lineRule="auto"/>
      <w:ind w:left="720"/>
      <w:contextualSpacing/>
    </w:pPr>
    <w:rPr>
      <w:rFonts w:asciiTheme="minorHAnsi" w:hAnsiTheme="minorHAnsi" w:cstheme="minorBidi"/>
      <w:sz w:val="22"/>
      <w:szCs w:val="22"/>
    </w:rPr>
  </w:style>
  <w:style w:type="paragraph" w:customStyle="1" w:styleId="Default">
    <w:name w:val="Default"/>
    <w:rsid w:val="00E01E0F"/>
    <w:pPr>
      <w:autoSpaceDE w:val="0"/>
      <w:autoSpaceDN w:val="0"/>
      <w:adjustRightInd w:val="0"/>
    </w:pPr>
    <w:rPr>
      <w:rFonts w:ascii="Calibri" w:hAnsi="Calibri" w:cs="Calibri"/>
      <w:color w:val="000000"/>
      <w:sz w:val="24"/>
      <w:szCs w:val="24"/>
    </w:rPr>
  </w:style>
  <w:style w:type="paragraph" w:customStyle="1" w:styleId="EndNoteBibliographyTitle">
    <w:name w:val="EndNote Bibliography Title"/>
    <w:basedOn w:val="Normal"/>
    <w:link w:val="EndNoteBibliographyTitleChar"/>
    <w:rsid w:val="00E01E0F"/>
    <w:pPr>
      <w:spacing w:line="480" w:lineRule="auto"/>
      <w:jc w:val="center"/>
    </w:pPr>
    <w:rPr>
      <w:rFonts w:ascii="Calibri" w:hAnsi="Calibri" w:cs="Calibri"/>
      <w:noProof/>
      <w:sz w:val="22"/>
      <w:szCs w:val="22"/>
    </w:rPr>
  </w:style>
  <w:style w:type="character" w:customStyle="1" w:styleId="EndNoteBibliographyTitleChar">
    <w:name w:val="EndNote Bibliography Title Char"/>
    <w:basedOn w:val="Policepardfaut"/>
    <w:link w:val="EndNoteBibliographyTitle"/>
    <w:rsid w:val="00E01E0F"/>
    <w:rPr>
      <w:rFonts w:ascii="Calibri" w:hAnsi="Calibri" w:cs="Calibri"/>
      <w:noProof/>
      <w:sz w:val="22"/>
      <w:szCs w:val="22"/>
    </w:rPr>
  </w:style>
  <w:style w:type="paragraph" w:customStyle="1" w:styleId="EndNoteBibliography">
    <w:name w:val="EndNote Bibliography"/>
    <w:basedOn w:val="Normal"/>
    <w:link w:val="EndNoteBibliographyChar"/>
    <w:rsid w:val="00E01E0F"/>
    <w:pPr>
      <w:spacing w:after="160"/>
    </w:pPr>
    <w:rPr>
      <w:rFonts w:ascii="Calibri" w:hAnsi="Calibri" w:cs="Calibri"/>
      <w:noProof/>
      <w:sz w:val="22"/>
      <w:szCs w:val="22"/>
    </w:rPr>
  </w:style>
  <w:style w:type="character" w:customStyle="1" w:styleId="EndNoteBibliographyChar">
    <w:name w:val="EndNote Bibliography Char"/>
    <w:basedOn w:val="Policepardfaut"/>
    <w:link w:val="EndNoteBibliography"/>
    <w:rsid w:val="00E01E0F"/>
    <w:rPr>
      <w:rFonts w:ascii="Calibri" w:hAnsi="Calibri" w:cs="Calibri"/>
      <w:noProof/>
      <w:sz w:val="22"/>
      <w:szCs w:val="22"/>
    </w:rPr>
  </w:style>
  <w:style w:type="character" w:customStyle="1" w:styleId="cit">
    <w:name w:val="cit"/>
    <w:basedOn w:val="Policepardfaut"/>
    <w:rsid w:val="003B2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7873">
      <w:bodyDiv w:val="1"/>
      <w:marLeft w:val="0"/>
      <w:marRight w:val="0"/>
      <w:marTop w:val="0"/>
      <w:marBottom w:val="0"/>
      <w:divBdr>
        <w:top w:val="none" w:sz="0" w:space="0" w:color="auto"/>
        <w:left w:val="none" w:sz="0" w:space="0" w:color="auto"/>
        <w:bottom w:val="none" w:sz="0" w:space="0" w:color="auto"/>
        <w:right w:val="none" w:sz="0" w:space="0" w:color="auto"/>
      </w:divBdr>
      <w:divsChild>
        <w:div w:id="29307697">
          <w:marLeft w:val="0"/>
          <w:marRight w:val="0"/>
          <w:marTop w:val="0"/>
          <w:marBottom w:val="0"/>
          <w:divBdr>
            <w:top w:val="none" w:sz="0" w:space="0" w:color="auto"/>
            <w:left w:val="none" w:sz="0" w:space="0" w:color="auto"/>
            <w:bottom w:val="none" w:sz="0" w:space="0" w:color="auto"/>
            <w:right w:val="none" w:sz="0" w:space="0" w:color="auto"/>
          </w:divBdr>
        </w:div>
      </w:divsChild>
    </w:div>
    <w:div w:id="231425192">
      <w:bodyDiv w:val="1"/>
      <w:marLeft w:val="0"/>
      <w:marRight w:val="0"/>
      <w:marTop w:val="0"/>
      <w:marBottom w:val="0"/>
      <w:divBdr>
        <w:top w:val="none" w:sz="0" w:space="0" w:color="auto"/>
        <w:left w:val="none" w:sz="0" w:space="0" w:color="auto"/>
        <w:bottom w:val="none" w:sz="0" w:space="0" w:color="auto"/>
        <w:right w:val="none" w:sz="0" w:space="0" w:color="auto"/>
      </w:divBdr>
      <w:divsChild>
        <w:div w:id="464200827">
          <w:marLeft w:val="0"/>
          <w:marRight w:val="0"/>
          <w:marTop w:val="0"/>
          <w:marBottom w:val="0"/>
          <w:divBdr>
            <w:top w:val="none" w:sz="0" w:space="0" w:color="auto"/>
            <w:left w:val="none" w:sz="0" w:space="0" w:color="auto"/>
            <w:bottom w:val="none" w:sz="0" w:space="0" w:color="auto"/>
            <w:right w:val="none" w:sz="0" w:space="0" w:color="auto"/>
          </w:divBdr>
        </w:div>
      </w:divsChild>
    </w:div>
    <w:div w:id="479733068">
      <w:bodyDiv w:val="1"/>
      <w:marLeft w:val="0"/>
      <w:marRight w:val="0"/>
      <w:marTop w:val="0"/>
      <w:marBottom w:val="0"/>
      <w:divBdr>
        <w:top w:val="none" w:sz="0" w:space="0" w:color="auto"/>
        <w:left w:val="none" w:sz="0" w:space="0" w:color="auto"/>
        <w:bottom w:val="none" w:sz="0" w:space="0" w:color="auto"/>
        <w:right w:val="none" w:sz="0" w:space="0" w:color="auto"/>
      </w:divBdr>
      <w:divsChild>
        <w:div w:id="2072581899">
          <w:marLeft w:val="0"/>
          <w:marRight w:val="0"/>
          <w:marTop w:val="0"/>
          <w:marBottom w:val="0"/>
          <w:divBdr>
            <w:top w:val="none" w:sz="0" w:space="0" w:color="auto"/>
            <w:left w:val="none" w:sz="0" w:space="0" w:color="auto"/>
            <w:bottom w:val="none" w:sz="0" w:space="0" w:color="auto"/>
            <w:right w:val="none" w:sz="0" w:space="0" w:color="auto"/>
          </w:divBdr>
        </w:div>
      </w:divsChild>
    </w:div>
    <w:div w:id="1170289585">
      <w:bodyDiv w:val="1"/>
      <w:marLeft w:val="0"/>
      <w:marRight w:val="0"/>
      <w:marTop w:val="0"/>
      <w:marBottom w:val="0"/>
      <w:divBdr>
        <w:top w:val="none" w:sz="0" w:space="0" w:color="auto"/>
        <w:left w:val="none" w:sz="0" w:space="0" w:color="auto"/>
        <w:bottom w:val="none" w:sz="0" w:space="0" w:color="auto"/>
        <w:right w:val="none" w:sz="0" w:space="0" w:color="auto"/>
      </w:divBdr>
      <w:divsChild>
        <w:div w:id="1522164571">
          <w:marLeft w:val="0"/>
          <w:marRight w:val="0"/>
          <w:marTop w:val="0"/>
          <w:marBottom w:val="0"/>
          <w:divBdr>
            <w:top w:val="none" w:sz="0" w:space="0" w:color="auto"/>
            <w:left w:val="none" w:sz="0" w:space="0" w:color="auto"/>
            <w:bottom w:val="none" w:sz="0" w:space="0" w:color="auto"/>
            <w:right w:val="none" w:sz="0" w:space="0" w:color="auto"/>
          </w:divBdr>
        </w:div>
      </w:divsChild>
    </w:div>
    <w:div w:id="1201437006">
      <w:bodyDiv w:val="1"/>
      <w:marLeft w:val="0"/>
      <w:marRight w:val="0"/>
      <w:marTop w:val="0"/>
      <w:marBottom w:val="0"/>
      <w:divBdr>
        <w:top w:val="none" w:sz="0" w:space="0" w:color="auto"/>
        <w:left w:val="none" w:sz="0" w:space="0" w:color="auto"/>
        <w:bottom w:val="none" w:sz="0" w:space="0" w:color="auto"/>
        <w:right w:val="none" w:sz="0" w:space="0" w:color="auto"/>
      </w:divBdr>
      <w:divsChild>
        <w:div w:id="379986141">
          <w:marLeft w:val="0"/>
          <w:marRight w:val="0"/>
          <w:marTop w:val="0"/>
          <w:marBottom w:val="0"/>
          <w:divBdr>
            <w:top w:val="none" w:sz="0" w:space="0" w:color="auto"/>
            <w:left w:val="none" w:sz="0" w:space="0" w:color="auto"/>
            <w:bottom w:val="none" w:sz="0" w:space="0" w:color="auto"/>
            <w:right w:val="none" w:sz="0" w:space="0" w:color="auto"/>
          </w:divBdr>
        </w:div>
      </w:divsChild>
    </w:div>
    <w:div w:id="1829906625">
      <w:bodyDiv w:val="1"/>
      <w:marLeft w:val="0"/>
      <w:marRight w:val="0"/>
      <w:marTop w:val="0"/>
      <w:marBottom w:val="0"/>
      <w:divBdr>
        <w:top w:val="none" w:sz="0" w:space="0" w:color="auto"/>
        <w:left w:val="none" w:sz="0" w:space="0" w:color="auto"/>
        <w:bottom w:val="none" w:sz="0" w:space="0" w:color="auto"/>
        <w:right w:val="none" w:sz="0" w:space="0" w:color="auto"/>
      </w:divBdr>
      <w:divsChild>
        <w:div w:id="1471707421">
          <w:marLeft w:val="0"/>
          <w:marRight w:val="0"/>
          <w:marTop w:val="0"/>
          <w:marBottom w:val="0"/>
          <w:divBdr>
            <w:top w:val="none" w:sz="0" w:space="0" w:color="auto"/>
            <w:left w:val="none" w:sz="0" w:space="0" w:color="auto"/>
            <w:bottom w:val="none" w:sz="0" w:space="0" w:color="auto"/>
            <w:right w:val="none" w:sz="0" w:space="0" w:color="auto"/>
          </w:divBdr>
        </w:div>
      </w:divsChild>
    </w:div>
    <w:div w:id="1950580089">
      <w:bodyDiv w:val="1"/>
      <w:marLeft w:val="0"/>
      <w:marRight w:val="0"/>
      <w:marTop w:val="0"/>
      <w:marBottom w:val="0"/>
      <w:divBdr>
        <w:top w:val="none" w:sz="0" w:space="0" w:color="auto"/>
        <w:left w:val="none" w:sz="0" w:space="0" w:color="auto"/>
        <w:bottom w:val="none" w:sz="0" w:space="0" w:color="auto"/>
        <w:right w:val="none" w:sz="0" w:space="0" w:color="auto"/>
      </w:divBdr>
      <w:divsChild>
        <w:div w:id="20389644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ajar@ulb.ac.be"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E8F02-1D0A-47AB-975C-46D59D67C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45</Pages>
  <Words>12033</Words>
  <Characters>68591</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 XU</dc:creator>
  <cp:lastModifiedBy>etudiant.biotech</cp:lastModifiedBy>
  <cp:revision>13</cp:revision>
  <dcterms:created xsi:type="dcterms:W3CDTF">2020-09-25T17:18:00Z</dcterms:created>
  <dcterms:modified xsi:type="dcterms:W3CDTF">2021-01-21T08:54:00Z</dcterms:modified>
</cp:coreProperties>
</file>