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8AA63" w14:textId="77777777" w:rsidR="00A77B3E" w:rsidRDefault="004A07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5D44A0" w14:textId="6625BD41" w:rsidR="00A77B3E" w:rsidRDefault="004A07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57772</w:t>
      </w:r>
      <w:r w:rsidR="00F410E4">
        <w:rPr>
          <w:rFonts w:ascii="Book Antiqua" w:eastAsia="Book Antiqua" w:hAnsi="Book Antiqua" w:cs="Book Antiqua"/>
          <w:color w:val="000000"/>
        </w:rPr>
        <w:t xml:space="preserve"> </w:t>
      </w:r>
    </w:p>
    <w:p w14:paraId="2B1E6B7E" w14:textId="77777777" w:rsidR="00A77B3E" w:rsidRDefault="004A07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0E918C" w14:textId="77777777" w:rsidR="00A77B3E" w:rsidRDefault="00A77B3E">
      <w:pPr>
        <w:spacing w:line="360" w:lineRule="auto"/>
        <w:jc w:val="both"/>
      </w:pPr>
    </w:p>
    <w:p w14:paraId="4EF27A5B" w14:textId="111C8A0D" w:rsidR="00A77B3E" w:rsidRDefault="004A0702">
      <w:pPr>
        <w:spacing w:line="360" w:lineRule="auto"/>
        <w:jc w:val="both"/>
      </w:pPr>
      <w:r>
        <w:rPr>
          <w:rFonts w:ascii="Book Antiqua" w:eastAsia="Book Antiqua" w:hAnsi="Book Antiqua" w:cs="Book Antiqua"/>
          <w:b/>
          <w:color w:val="000000"/>
        </w:rPr>
        <w:t xml:space="preserve">Ascaris-mimicking common bile duct stone: </w:t>
      </w:r>
      <w:r w:rsidR="00AB45EB">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474CCE5F" w14:textId="77777777" w:rsidR="00A77B3E" w:rsidRDefault="00A77B3E">
      <w:pPr>
        <w:spacing w:line="360" w:lineRule="auto"/>
        <w:jc w:val="both"/>
      </w:pPr>
    </w:p>
    <w:p w14:paraId="68960021" w14:textId="42816AE6" w:rsidR="00A77B3E" w:rsidRDefault="00AB45EB">
      <w:pPr>
        <w:spacing w:line="360" w:lineRule="auto"/>
        <w:jc w:val="both"/>
      </w:pPr>
      <w:r>
        <w:rPr>
          <w:rFonts w:ascii="Book Antiqua" w:eastAsia="Book Antiqua" w:hAnsi="Book Antiqua" w:cs="Book Antiqua"/>
          <w:color w:val="000000"/>
        </w:rPr>
        <w:t xml:space="preserve">Choi SY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A0702">
        <w:rPr>
          <w:rFonts w:ascii="Book Antiqua" w:eastAsia="Book Antiqua" w:hAnsi="Book Antiqua" w:cs="Book Antiqua"/>
          <w:color w:val="000000"/>
        </w:rPr>
        <w:t>Ascaris-mimicking common bile duct stone</w:t>
      </w:r>
    </w:p>
    <w:p w14:paraId="5D8FE839" w14:textId="77777777" w:rsidR="00A77B3E" w:rsidRDefault="00A77B3E">
      <w:pPr>
        <w:spacing w:line="360" w:lineRule="auto"/>
        <w:jc w:val="both"/>
      </w:pPr>
    </w:p>
    <w:p w14:paraId="74CCC4AC" w14:textId="77777777" w:rsidR="00A77B3E" w:rsidRDefault="004A0702">
      <w:pPr>
        <w:spacing w:line="360" w:lineRule="auto"/>
        <w:jc w:val="both"/>
      </w:pPr>
      <w:proofErr w:type="spellStart"/>
      <w:r>
        <w:rPr>
          <w:rFonts w:ascii="Book Antiqua" w:eastAsia="Book Antiqua" w:hAnsi="Book Antiqua" w:cs="Book Antiqua"/>
          <w:color w:val="000000"/>
        </w:rPr>
        <w:t>Seo-Youn</w:t>
      </w:r>
      <w:proofErr w:type="spellEnd"/>
      <w:r>
        <w:rPr>
          <w:rFonts w:ascii="Book Antiqua" w:eastAsia="Book Antiqua" w:hAnsi="Book Antiqua" w:cs="Book Antiqua"/>
          <w:color w:val="000000"/>
        </w:rPr>
        <w:t xml:space="preserve"> Choi, Ha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Jo, Yun Nah Lee, Ji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Lee, Min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Sanghyeok</w:t>
      </w:r>
      <w:proofErr w:type="spellEnd"/>
      <w:r>
        <w:rPr>
          <w:rFonts w:ascii="Book Antiqua" w:eastAsia="Book Antiqua" w:hAnsi="Book Antiqua" w:cs="Book Antiqua"/>
          <w:color w:val="000000"/>
        </w:rPr>
        <w:t xml:space="preserve"> Lim, </w:t>
      </w:r>
      <w:proofErr w:type="spellStart"/>
      <w:r>
        <w:rPr>
          <w:rFonts w:ascii="Book Antiqua" w:eastAsia="Book Antiqua" w:hAnsi="Book Antiqua" w:cs="Book Antiqua"/>
          <w:color w:val="000000"/>
        </w:rPr>
        <w:t>Boem</w:t>
      </w:r>
      <w:proofErr w:type="spellEnd"/>
      <w:r>
        <w:rPr>
          <w:rFonts w:ascii="Book Antiqua" w:eastAsia="Book Antiqua" w:hAnsi="Book Antiqua" w:cs="Book Antiqua"/>
          <w:color w:val="000000"/>
        </w:rPr>
        <w:t xml:space="preserve"> Ha Yi</w:t>
      </w:r>
    </w:p>
    <w:p w14:paraId="6EA1DEE3" w14:textId="77777777" w:rsidR="00A77B3E" w:rsidRDefault="00A77B3E">
      <w:pPr>
        <w:spacing w:line="360" w:lineRule="auto"/>
        <w:jc w:val="both"/>
      </w:pPr>
    </w:p>
    <w:p w14:paraId="52F09397" w14:textId="77777777" w:rsidR="00A77B3E" w:rsidRDefault="004A0702">
      <w:pPr>
        <w:spacing w:line="360" w:lineRule="auto"/>
        <w:jc w:val="both"/>
      </w:pPr>
      <w:proofErr w:type="spellStart"/>
      <w:r>
        <w:rPr>
          <w:rFonts w:ascii="Book Antiqua" w:eastAsia="Book Antiqua" w:hAnsi="Book Antiqua" w:cs="Book Antiqua"/>
          <w:b/>
          <w:bCs/>
          <w:color w:val="000000"/>
        </w:rPr>
        <w:t>Seo-Youn</w:t>
      </w:r>
      <w:proofErr w:type="spellEnd"/>
      <w:r>
        <w:rPr>
          <w:rFonts w:ascii="Book Antiqua" w:eastAsia="Book Antiqua" w:hAnsi="Book Antiqua" w:cs="Book Antiqua"/>
          <w:b/>
          <w:bCs/>
          <w:color w:val="000000"/>
        </w:rPr>
        <w:t xml:space="preserve"> Choi, Ha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Jo, Ji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Lee, Min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Lee, </w:t>
      </w:r>
      <w:proofErr w:type="spellStart"/>
      <w:r>
        <w:rPr>
          <w:rFonts w:ascii="Book Antiqua" w:eastAsia="Book Antiqua" w:hAnsi="Book Antiqua" w:cs="Book Antiqua"/>
          <w:b/>
          <w:bCs/>
          <w:color w:val="000000"/>
        </w:rPr>
        <w:t>Sanghyeok</w:t>
      </w:r>
      <w:proofErr w:type="spellEnd"/>
      <w:r>
        <w:rPr>
          <w:rFonts w:ascii="Book Antiqua" w:eastAsia="Book Antiqua" w:hAnsi="Book Antiqua" w:cs="Book Antiqua"/>
          <w:b/>
          <w:bCs/>
          <w:color w:val="000000"/>
        </w:rPr>
        <w:t xml:space="preserve"> Lim, </w:t>
      </w:r>
      <w:proofErr w:type="spellStart"/>
      <w:r>
        <w:rPr>
          <w:rFonts w:ascii="Book Antiqua" w:eastAsia="Book Antiqua" w:hAnsi="Book Antiqua" w:cs="Book Antiqua"/>
          <w:b/>
          <w:bCs/>
          <w:color w:val="000000"/>
        </w:rPr>
        <w:t>Boem</w:t>
      </w:r>
      <w:proofErr w:type="spellEnd"/>
      <w:r>
        <w:rPr>
          <w:rFonts w:ascii="Book Antiqua" w:eastAsia="Book Antiqua" w:hAnsi="Book Antiqua" w:cs="Book Antiqua"/>
          <w:b/>
          <w:bCs/>
          <w:color w:val="000000"/>
        </w:rPr>
        <w:t xml:space="preserve"> Ha Yi,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w:t>
      </w:r>
    </w:p>
    <w:p w14:paraId="725ADBB3" w14:textId="77777777" w:rsidR="00A77B3E" w:rsidRDefault="00A77B3E">
      <w:pPr>
        <w:spacing w:line="360" w:lineRule="auto"/>
        <w:jc w:val="both"/>
      </w:pPr>
    </w:p>
    <w:p w14:paraId="22AB45AF" w14:textId="77777777" w:rsidR="00A77B3E" w:rsidRDefault="004A0702">
      <w:pPr>
        <w:spacing w:line="360" w:lineRule="auto"/>
        <w:jc w:val="both"/>
      </w:pPr>
      <w:r>
        <w:rPr>
          <w:rFonts w:ascii="Book Antiqua" w:eastAsia="Book Antiqua" w:hAnsi="Book Antiqua" w:cs="Book Antiqua"/>
          <w:b/>
          <w:bCs/>
          <w:color w:val="000000"/>
        </w:rPr>
        <w:t xml:space="preserve">Yun Nah Lee, </w:t>
      </w:r>
      <w:r>
        <w:rPr>
          <w:rFonts w:ascii="Book Antiqua" w:eastAsia="Book Antiqua" w:hAnsi="Book Antiqua" w:cs="Book Antiqua"/>
          <w:color w:val="000000"/>
        </w:rPr>
        <w:t xml:space="preserve">Digestive disease center and research institute,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w:t>
      </w:r>
    </w:p>
    <w:p w14:paraId="1F9D1488" w14:textId="77777777" w:rsidR="00A77B3E" w:rsidRDefault="00A77B3E">
      <w:pPr>
        <w:spacing w:line="360" w:lineRule="auto"/>
        <w:jc w:val="both"/>
      </w:pPr>
    </w:p>
    <w:p w14:paraId="68296398" w14:textId="69EF45A1" w:rsidR="00A77B3E" w:rsidRDefault="004A070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Jo and SY Choi conceptualized the case report; YN Lee performed investigation; JE Lee, MH Lee, and S Lim curated data; HE Jo and SY </w:t>
      </w:r>
      <w:proofErr w:type="spellStart"/>
      <w:r>
        <w:rPr>
          <w:rFonts w:ascii="Book Antiqua" w:eastAsia="Book Antiqua" w:hAnsi="Book Antiqua" w:cs="Book Antiqua"/>
          <w:color w:val="000000"/>
        </w:rPr>
        <w:t>choi</w:t>
      </w:r>
      <w:proofErr w:type="spellEnd"/>
      <w:r>
        <w:rPr>
          <w:rFonts w:ascii="Book Antiqua" w:eastAsia="Book Antiqua" w:hAnsi="Book Antiqua" w:cs="Book Antiqua"/>
          <w:color w:val="000000"/>
        </w:rPr>
        <w:t xml:space="preserve"> wrote original draft; YN Lee, JE Lee, MH Lee, S Lim, and BH Yi have reviewed and edited the original draft; All authors have approved the final manuscript.</w:t>
      </w:r>
    </w:p>
    <w:p w14:paraId="16DEB548" w14:textId="77777777" w:rsidR="00A77B3E" w:rsidRDefault="00A77B3E">
      <w:pPr>
        <w:spacing w:line="360" w:lineRule="auto"/>
        <w:jc w:val="both"/>
      </w:pPr>
    </w:p>
    <w:p w14:paraId="78DD56AE" w14:textId="142CB481" w:rsidR="00A77B3E" w:rsidRDefault="004A0702">
      <w:pPr>
        <w:spacing w:line="360" w:lineRule="auto"/>
        <w:jc w:val="both"/>
      </w:pPr>
      <w:r>
        <w:rPr>
          <w:rFonts w:ascii="Book Antiqua" w:eastAsia="Book Antiqua" w:hAnsi="Book Antiqua" w:cs="Book Antiqua"/>
          <w:b/>
          <w:bCs/>
          <w:color w:val="000000"/>
          <w:szCs w:val="20"/>
        </w:rPr>
        <w:t xml:space="preserve">Supported by </w:t>
      </w:r>
      <w:proofErr w:type="spellStart"/>
      <w:r>
        <w:rPr>
          <w:rFonts w:ascii="Book Antiqua" w:eastAsia="Book Antiqua" w:hAnsi="Book Antiqua" w:cs="Book Antiqua"/>
          <w:color w:val="000000"/>
          <w:szCs w:val="20"/>
        </w:rPr>
        <w:t>Soonchunhyang</w:t>
      </w:r>
      <w:proofErr w:type="spellEnd"/>
      <w:r>
        <w:rPr>
          <w:rFonts w:ascii="Book Antiqua" w:eastAsia="Book Antiqua" w:hAnsi="Book Antiqua" w:cs="Book Antiqua"/>
          <w:color w:val="000000"/>
          <w:szCs w:val="20"/>
        </w:rPr>
        <w:t xml:space="preserve"> University Research Fund</w:t>
      </w:r>
      <w:r w:rsidR="00AB45EB">
        <w:rPr>
          <w:rFonts w:ascii="Book Antiqua" w:eastAsia="Book Antiqua" w:hAnsi="Book Antiqua" w:cs="Book Antiqua"/>
          <w:color w:val="000000"/>
        </w:rPr>
        <w:t>, No. 20200019.</w:t>
      </w:r>
    </w:p>
    <w:p w14:paraId="5E535502" w14:textId="77777777" w:rsidR="00A77B3E" w:rsidRDefault="00A77B3E">
      <w:pPr>
        <w:spacing w:line="360" w:lineRule="auto"/>
        <w:jc w:val="both"/>
      </w:pPr>
    </w:p>
    <w:p w14:paraId="3DF11B0C" w14:textId="77777777" w:rsidR="00A77B3E" w:rsidRDefault="004A070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Seo-Youn</w:t>
      </w:r>
      <w:proofErr w:type="spellEnd"/>
      <w:r>
        <w:rPr>
          <w:rFonts w:ascii="Book Antiqua" w:eastAsia="Book Antiqua" w:hAnsi="Book Antiqua" w:cs="Book Antiqua"/>
          <w:b/>
          <w:bCs/>
          <w:color w:val="000000"/>
        </w:rPr>
        <w:t xml:space="preserve"> Choi, MD, PhD, Assistant Professor,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170 </w:t>
      </w:r>
      <w:proofErr w:type="spellStart"/>
      <w:r>
        <w:rPr>
          <w:rFonts w:ascii="Book Antiqua" w:eastAsia="Book Antiqua" w:hAnsi="Book Antiqua" w:cs="Book Antiqua"/>
          <w:color w:val="000000"/>
        </w:rPr>
        <w:t>Jomaru-ro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Kyeong-gi</w:t>
      </w:r>
      <w:proofErr w:type="spellEnd"/>
      <w:r>
        <w:rPr>
          <w:rFonts w:ascii="Book Antiqua" w:eastAsia="Book Antiqua" w:hAnsi="Book Antiqua" w:cs="Book Antiqua"/>
          <w:color w:val="000000"/>
        </w:rPr>
        <w:t xml:space="preserve"> do,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Si, Republic of Korea,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 sychoi@schmc.ac.kr</w:t>
      </w:r>
    </w:p>
    <w:p w14:paraId="65A775B9" w14:textId="77777777" w:rsidR="00A77B3E" w:rsidRDefault="00A77B3E">
      <w:pPr>
        <w:spacing w:line="360" w:lineRule="auto"/>
        <w:jc w:val="both"/>
      </w:pPr>
    </w:p>
    <w:p w14:paraId="645C164B" w14:textId="77777777" w:rsidR="00A77B3E" w:rsidRDefault="004A07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2020</w:t>
      </w:r>
    </w:p>
    <w:p w14:paraId="3BD01E27" w14:textId="332EE291" w:rsidR="00A77B3E" w:rsidRDefault="004A0702">
      <w:pPr>
        <w:spacing w:line="360" w:lineRule="auto"/>
        <w:jc w:val="both"/>
      </w:pPr>
      <w:r>
        <w:rPr>
          <w:rFonts w:ascii="Book Antiqua" w:eastAsia="Book Antiqua" w:hAnsi="Book Antiqua" w:cs="Book Antiqua"/>
          <w:b/>
          <w:bCs/>
          <w:color w:val="000000"/>
        </w:rPr>
        <w:t xml:space="preserve">Revised: </w:t>
      </w:r>
      <w:r w:rsidR="00AB45EB">
        <w:rPr>
          <w:rFonts w:ascii="Book Antiqua" w:eastAsia="Book Antiqua" w:hAnsi="Book Antiqua" w:cs="Book Antiqua"/>
          <w:color w:val="000000"/>
        </w:rPr>
        <w:t>August 4, 2020</w:t>
      </w:r>
    </w:p>
    <w:p w14:paraId="3A218F04" w14:textId="0D4CEA8E" w:rsidR="00A77B3E" w:rsidRPr="00E5141B" w:rsidRDefault="004A0702" w:rsidP="00E5141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lastRenderedPageBreak/>
        <w:t xml:space="preserve">Accepted: </w:t>
      </w:r>
      <w:r w:rsidR="00E5141B">
        <w:rPr>
          <w:rFonts w:ascii="Book Antiqua" w:hAnsi="Book Antiqua" w:cs="Arial"/>
          <w:color w:val="000000" w:themeColor="text1"/>
          <w:shd w:val="clear" w:color="auto" w:fill="FFFFFF"/>
        </w:rPr>
        <w:t>August 26, 2020</w:t>
      </w:r>
    </w:p>
    <w:p w14:paraId="347865EB" w14:textId="77777777" w:rsidR="00A77B3E" w:rsidRDefault="004A0702">
      <w:pPr>
        <w:spacing w:line="360" w:lineRule="auto"/>
        <w:jc w:val="both"/>
      </w:pPr>
      <w:r>
        <w:rPr>
          <w:rFonts w:ascii="Book Antiqua" w:eastAsia="Book Antiqua" w:hAnsi="Book Antiqua" w:cs="Book Antiqua"/>
          <w:b/>
          <w:bCs/>
          <w:color w:val="000000"/>
        </w:rPr>
        <w:t xml:space="preserve">Published online: </w:t>
      </w:r>
    </w:p>
    <w:p w14:paraId="09EABD9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D772B50" w14:textId="77777777" w:rsidR="00A77B3E" w:rsidRDefault="004A0702">
      <w:pPr>
        <w:spacing w:line="360" w:lineRule="auto"/>
        <w:jc w:val="both"/>
      </w:pPr>
      <w:r>
        <w:rPr>
          <w:rFonts w:ascii="Book Antiqua" w:eastAsia="Book Antiqua" w:hAnsi="Book Antiqua" w:cs="Book Antiqua"/>
          <w:b/>
          <w:color w:val="000000"/>
        </w:rPr>
        <w:lastRenderedPageBreak/>
        <w:t>Abstract</w:t>
      </w:r>
    </w:p>
    <w:p w14:paraId="2FC5420D" w14:textId="77777777" w:rsidR="00A77B3E" w:rsidRDefault="004A0702">
      <w:pPr>
        <w:spacing w:line="360" w:lineRule="auto"/>
        <w:jc w:val="both"/>
      </w:pPr>
      <w:r>
        <w:rPr>
          <w:rFonts w:ascii="Book Antiqua" w:eastAsia="Book Antiqua" w:hAnsi="Book Antiqua" w:cs="Book Antiqua"/>
          <w:color w:val="000000"/>
        </w:rPr>
        <w:t>BACKGROUND</w:t>
      </w:r>
    </w:p>
    <w:p w14:paraId="3D83CA15" w14:textId="5A857BCD" w:rsidR="00A77B3E" w:rsidRDefault="004A0702">
      <w:pPr>
        <w:spacing w:line="360" w:lineRule="auto"/>
        <w:jc w:val="both"/>
      </w:pPr>
      <w:r>
        <w:rPr>
          <w:rFonts w:ascii="Book Antiqua" w:eastAsia="Book Antiqua" w:hAnsi="Book Antiqua" w:cs="Book Antiqua"/>
          <w:color w:val="000000"/>
          <w:szCs w:val="20"/>
        </w:rPr>
        <w:t>In most cases, it is not difficult to differentiate common bile duct (CBD) stone from Ascaris infection because they are different disease entities and have different imaging findings. The two diseases usually demonstrate unique characteristic findings on computed tomography or magnetic resonance cholangiopancreatography. However, we report a rare case from our experience in which a CBD stone mimicked and was misdiagnosed as Ascaris.</w:t>
      </w:r>
    </w:p>
    <w:p w14:paraId="03EC6DE9" w14:textId="77777777" w:rsidR="00A77B3E" w:rsidRDefault="00A77B3E">
      <w:pPr>
        <w:spacing w:line="360" w:lineRule="auto"/>
        <w:jc w:val="both"/>
      </w:pPr>
    </w:p>
    <w:p w14:paraId="204134CD" w14:textId="77777777" w:rsidR="00A77B3E" w:rsidRDefault="004A0702">
      <w:pPr>
        <w:spacing w:line="360" w:lineRule="auto"/>
        <w:jc w:val="both"/>
      </w:pPr>
      <w:r>
        <w:rPr>
          <w:rFonts w:ascii="Book Antiqua" w:eastAsia="Book Antiqua" w:hAnsi="Book Antiqua" w:cs="Book Antiqua"/>
          <w:color w:val="000000"/>
        </w:rPr>
        <w:t>CASE SUMMARY</w:t>
      </w:r>
    </w:p>
    <w:p w14:paraId="009355F2" w14:textId="4DEB5E02" w:rsidR="00A77B3E" w:rsidRDefault="004A0702">
      <w:pPr>
        <w:spacing w:line="360" w:lineRule="auto"/>
        <w:jc w:val="both"/>
      </w:pPr>
      <w:r>
        <w:rPr>
          <w:rFonts w:ascii="Book Antiqua" w:eastAsia="Book Antiqua" w:hAnsi="Book Antiqua" w:cs="Book Antiqua"/>
          <w:color w:val="000000"/>
          <w:szCs w:val="20"/>
        </w:rPr>
        <w:t xml:space="preserve">A 72-year-old male presented with elevated serum liver enzymes. </w:t>
      </w:r>
      <w:r w:rsidR="00AB45EB">
        <w:rPr>
          <w:rFonts w:ascii="Book Antiqua" w:eastAsia="Book Antiqua" w:hAnsi="Book Antiqua" w:cs="Book Antiqua"/>
          <w:color w:val="000000"/>
        </w:rPr>
        <w:t>Computed tomography</w:t>
      </w:r>
      <w:r>
        <w:rPr>
          <w:rFonts w:ascii="Book Antiqua" w:eastAsia="Book Antiqua" w:hAnsi="Book Antiqua" w:cs="Book Antiqua"/>
          <w:color w:val="000000"/>
          <w:szCs w:val="20"/>
        </w:rPr>
        <w:t xml:space="preserve"> showed a hyper-attenuated, elongated lesion in the CBD lumen and associated biliary inflammation. Magnetic resonance cholangiopancreatography and endoscopic retrograde cholangiopancreatography revealed a linear filling defect in the bile duct. Moreover, elongated echogenic material with a central hypoechogenic area was seen on endoscopic ultrasound. Although the imaging findings caused us to suspect infection with the nematode Ascaris, the lesion was revealed to be a dark-brown-colored CBD stone through endoscopic extraction. </w:t>
      </w:r>
    </w:p>
    <w:p w14:paraId="2F54E49B" w14:textId="77777777" w:rsidR="00A77B3E" w:rsidRDefault="00A77B3E">
      <w:pPr>
        <w:spacing w:line="360" w:lineRule="auto"/>
        <w:jc w:val="both"/>
      </w:pPr>
    </w:p>
    <w:p w14:paraId="66D2D0EB" w14:textId="77777777" w:rsidR="00A77B3E" w:rsidRDefault="004A0702">
      <w:pPr>
        <w:spacing w:line="360" w:lineRule="auto"/>
        <w:jc w:val="both"/>
      </w:pPr>
      <w:r>
        <w:rPr>
          <w:rFonts w:ascii="Book Antiqua" w:eastAsia="Book Antiqua" w:hAnsi="Book Antiqua" w:cs="Book Antiqua"/>
          <w:color w:val="000000"/>
        </w:rPr>
        <w:t>CONCLUSION</w:t>
      </w:r>
    </w:p>
    <w:p w14:paraId="40A5BF12" w14:textId="77777777" w:rsidR="00A77B3E" w:rsidRDefault="004A0702">
      <w:pPr>
        <w:spacing w:line="360" w:lineRule="auto"/>
        <w:jc w:val="both"/>
      </w:pPr>
      <w:r>
        <w:rPr>
          <w:rFonts w:ascii="Book Antiqua" w:eastAsia="Book Antiqua" w:hAnsi="Book Antiqua" w:cs="Book Antiqua"/>
          <w:color w:val="000000"/>
          <w:szCs w:val="20"/>
        </w:rPr>
        <w:t>We report a rare case of a CBD stone that mimicked Ascaris. We also review the literature for side-by-side comparisons of the imaging features of CBD stones and ascariasis.</w:t>
      </w:r>
    </w:p>
    <w:p w14:paraId="319FE2B7" w14:textId="77777777" w:rsidR="00A77B3E" w:rsidRDefault="00A77B3E">
      <w:pPr>
        <w:spacing w:line="360" w:lineRule="auto"/>
        <w:jc w:val="both"/>
      </w:pPr>
    </w:p>
    <w:p w14:paraId="5DC963C4" w14:textId="2908F032" w:rsidR="00A77B3E" w:rsidRDefault="004A0702">
      <w:pPr>
        <w:spacing w:line="360" w:lineRule="auto"/>
        <w:jc w:val="both"/>
      </w:pPr>
      <w:r>
        <w:rPr>
          <w:rFonts w:ascii="Book Antiqua" w:eastAsia="Book Antiqua" w:hAnsi="Book Antiqua" w:cs="Book Antiqua"/>
          <w:b/>
          <w:bCs/>
          <w:color w:val="000000"/>
        </w:rPr>
        <w:t xml:space="preserve">Key words: </w:t>
      </w:r>
      <w:r w:rsidR="00E44E72" w:rsidRPr="00E44E72">
        <w:rPr>
          <w:rFonts w:ascii="Book Antiqua" w:eastAsia="Book Antiqua" w:hAnsi="Book Antiqua" w:cs="Book Antiqua"/>
          <w:color w:val="000000"/>
        </w:rPr>
        <w:t>C</w:t>
      </w:r>
      <w:r w:rsidR="00E44E72">
        <w:rPr>
          <w:rFonts w:ascii="Book Antiqua" w:eastAsia="Book Antiqua" w:hAnsi="Book Antiqua" w:cs="Book Antiqua"/>
          <w:color w:val="000000"/>
        </w:rPr>
        <w:t>ase report; C</w:t>
      </w:r>
      <w:r>
        <w:rPr>
          <w:rFonts w:ascii="Book Antiqua" w:eastAsia="Book Antiqua" w:hAnsi="Book Antiqua" w:cs="Book Antiqua"/>
          <w:color w:val="000000"/>
        </w:rPr>
        <w:t xml:space="preserve">ommon bile duct; </w:t>
      </w:r>
      <w:r w:rsidR="00E44E72">
        <w:rPr>
          <w:rFonts w:ascii="Book Antiqua" w:eastAsia="Book Antiqua" w:hAnsi="Book Antiqua" w:cs="Book Antiqua"/>
          <w:color w:val="000000"/>
        </w:rPr>
        <w:t>G</w:t>
      </w:r>
      <w:r>
        <w:rPr>
          <w:rFonts w:ascii="Book Antiqua" w:eastAsia="Book Antiqua" w:hAnsi="Book Antiqua" w:cs="Book Antiqua"/>
          <w:color w:val="000000"/>
        </w:rPr>
        <w:t xml:space="preserve">allstones; </w:t>
      </w:r>
      <w:r w:rsidR="00E44E72">
        <w:rPr>
          <w:rFonts w:ascii="Book Antiqua" w:eastAsia="Book Antiqua" w:hAnsi="Book Antiqua" w:cs="Book Antiqua"/>
          <w:color w:val="000000"/>
        </w:rPr>
        <w:t>A</w:t>
      </w:r>
      <w:r>
        <w:rPr>
          <w:rFonts w:ascii="Book Antiqua" w:eastAsia="Book Antiqua" w:hAnsi="Book Antiqua" w:cs="Book Antiqua"/>
          <w:color w:val="000000"/>
        </w:rPr>
        <w:t xml:space="preserve">scaris; </w:t>
      </w:r>
      <w:r w:rsidR="00E44E72">
        <w:rPr>
          <w:rFonts w:ascii="Book Antiqua" w:eastAsia="Book Antiqua" w:hAnsi="Book Antiqua" w:cs="Book Antiqua"/>
          <w:color w:val="000000"/>
        </w:rPr>
        <w:t>A</w:t>
      </w:r>
      <w:r>
        <w:rPr>
          <w:rFonts w:ascii="Book Antiqua" w:eastAsia="Book Antiqua" w:hAnsi="Book Antiqua" w:cs="Book Antiqua"/>
          <w:color w:val="000000"/>
        </w:rPr>
        <w:t xml:space="preserve">scariasis; </w:t>
      </w:r>
      <w:r w:rsidR="00E44E72">
        <w:rPr>
          <w:rFonts w:ascii="Book Antiqua" w:eastAsia="Book Antiqua" w:hAnsi="Book Antiqua" w:cs="Book Antiqua"/>
          <w:color w:val="000000"/>
        </w:rPr>
        <w:t>M</w:t>
      </w:r>
      <w:r>
        <w:rPr>
          <w:rFonts w:ascii="Book Antiqua" w:eastAsia="Book Antiqua" w:hAnsi="Book Antiqua" w:cs="Book Antiqua"/>
          <w:color w:val="000000"/>
        </w:rPr>
        <w:t xml:space="preserve">ultidetector computed tomography; </w:t>
      </w:r>
      <w:r w:rsidR="00E44E72">
        <w:rPr>
          <w:rFonts w:ascii="Book Antiqua" w:eastAsia="Book Antiqua" w:hAnsi="Book Antiqua" w:cs="Book Antiqua"/>
          <w:color w:val="000000"/>
        </w:rPr>
        <w:t>M</w:t>
      </w:r>
      <w:r>
        <w:rPr>
          <w:rFonts w:ascii="Book Antiqua" w:eastAsia="Book Antiqua" w:hAnsi="Book Antiqua" w:cs="Book Antiqua"/>
          <w:color w:val="000000"/>
        </w:rPr>
        <w:t>agnetic resonance cholangiopancreatography</w:t>
      </w:r>
    </w:p>
    <w:p w14:paraId="12053584" w14:textId="77777777" w:rsidR="00A77B3E" w:rsidRDefault="00A77B3E">
      <w:pPr>
        <w:spacing w:line="360" w:lineRule="auto"/>
        <w:jc w:val="both"/>
      </w:pPr>
    </w:p>
    <w:p w14:paraId="6CE2BE3A" w14:textId="180BE13C" w:rsidR="00A77B3E" w:rsidRDefault="004A0702">
      <w:pPr>
        <w:spacing w:line="360" w:lineRule="auto"/>
        <w:jc w:val="both"/>
      </w:pPr>
      <w:r>
        <w:rPr>
          <w:rFonts w:ascii="Book Antiqua" w:eastAsia="Book Antiqua" w:hAnsi="Book Antiqua" w:cs="Book Antiqua"/>
          <w:color w:val="000000"/>
        </w:rPr>
        <w:t xml:space="preserve">Choi SY, Jo HE, Lee YN, Lee JE, Lee MH, Lim S, Yi BH. Ascaris-mimicking common bile duct stone: </w:t>
      </w:r>
      <w:r w:rsidR="00AB45EB">
        <w:rPr>
          <w:rFonts w:ascii="Book Antiqua" w:eastAsia="Book Antiqua" w:hAnsi="Book Antiqua" w:cs="Book Antiqua"/>
          <w:color w:val="000000"/>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1A89687" w14:textId="77777777" w:rsidR="00A77B3E" w:rsidRDefault="00A77B3E">
      <w:pPr>
        <w:spacing w:line="360" w:lineRule="auto"/>
        <w:jc w:val="both"/>
      </w:pPr>
    </w:p>
    <w:p w14:paraId="4BA3A2C4" w14:textId="2AE7FFD3" w:rsidR="00A77B3E" w:rsidRDefault="004A070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Although </w:t>
      </w:r>
      <w:r w:rsidR="00AB45EB">
        <w:rPr>
          <w:rFonts w:ascii="Book Antiqua" w:eastAsia="Book Antiqua" w:hAnsi="Book Antiqua" w:cs="Book Antiqua"/>
          <w:color w:val="000000"/>
        </w:rPr>
        <w:t>common bile duct</w:t>
      </w:r>
      <w:r>
        <w:rPr>
          <w:rFonts w:ascii="Book Antiqua" w:eastAsia="Book Antiqua" w:hAnsi="Book Antiqua" w:cs="Book Antiqua"/>
          <w:color w:val="000000"/>
        </w:rPr>
        <w:t xml:space="preserve"> stone and Ascaris are not commonly discussed as differential diagnosis each other, they can be misunderstood in case of the elongated </w:t>
      </w:r>
      <w:r w:rsidR="00AB45EB">
        <w:rPr>
          <w:rFonts w:ascii="Book Antiqua" w:eastAsia="Book Antiqua" w:hAnsi="Book Antiqua" w:cs="Book Antiqua"/>
          <w:color w:val="000000"/>
        </w:rPr>
        <w:t>common bile duct</w:t>
      </w:r>
      <w:r>
        <w:rPr>
          <w:rFonts w:ascii="Book Antiqua" w:eastAsia="Book Antiqua" w:hAnsi="Book Antiqua" w:cs="Book Antiqua"/>
          <w:color w:val="000000"/>
        </w:rPr>
        <w:t xml:space="preserve"> stone. We should be able to learn the differential points through this case.</w:t>
      </w:r>
    </w:p>
    <w:p w14:paraId="4FA16B24" w14:textId="0BDC0E10" w:rsidR="00A77B3E" w:rsidRDefault="00AB45EB">
      <w:pPr>
        <w:spacing w:line="360" w:lineRule="auto"/>
        <w:jc w:val="both"/>
      </w:pPr>
      <w:r>
        <w:br w:type="page"/>
      </w:r>
      <w:r w:rsidR="004A0702">
        <w:rPr>
          <w:rFonts w:ascii="Book Antiqua" w:eastAsia="Book Antiqua" w:hAnsi="Book Antiqua" w:cs="Book Antiqua"/>
          <w:b/>
          <w:color w:val="000000"/>
          <w:u w:val="single"/>
        </w:rPr>
        <w:lastRenderedPageBreak/>
        <w:t>INTRODUCTION</w:t>
      </w:r>
    </w:p>
    <w:p w14:paraId="7E9814FF" w14:textId="608F3B5C" w:rsidR="00A77B3E" w:rsidRDefault="004A0702">
      <w:pPr>
        <w:spacing w:line="360" w:lineRule="auto"/>
        <w:jc w:val="both"/>
      </w:pPr>
      <w:r>
        <w:rPr>
          <w:rFonts w:ascii="Book Antiqua" w:eastAsia="Book Antiqua" w:hAnsi="Book Antiqua" w:cs="Book Antiqua"/>
          <w:color w:val="000000"/>
          <w:szCs w:val="20"/>
        </w:rPr>
        <w:t xml:space="preserve">Choledocholithiasis, or common bile duct (CBD) stones, is a relatively common disease, and 10% to 15% of people with gallstones also have stones in the bile </w:t>
      </w:r>
      <w:proofErr w:type="gramStart"/>
      <w:r>
        <w:rPr>
          <w:rFonts w:ascii="Book Antiqua" w:eastAsia="Book Antiqua" w:hAnsi="Book Antiqua" w:cs="Book Antiqua"/>
          <w:color w:val="000000"/>
          <w:szCs w:val="20"/>
        </w:rPr>
        <w:t>duct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1,2]</w:t>
      </w:r>
      <w:r w:rsidR="005B7356">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Biliary stones usually have angulated shapes or lamellated appearances and commonly accompany biliary inflammation. CBD stones are not difficult to diagnose when they manifest as high-density lesions in the distal CBD lumen without enhancement on computed tomography (CT) and when they demonstrate biliary filling defects with relatively low signal intensity on T2-weighted images of magnetic resonance (MR) </w:t>
      </w:r>
      <w:proofErr w:type="gramStart"/>
      <w:r>
        <w:rPr>
          <w:rFonts w:ascii="Book Antiqua" w:eastAsia="Book Antiqua" w:hAnsi="Book Antiqua" w:cs="Book Antiqua"/>
          <w:color w:val="000000"/>
          <w:szCs w:val="20"/>
        </w:rPr>
        <w:t>cholangiography</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w:t>
      </w:r>
      <w:r w:rsidR="005B7356" w:rsidRPr="005B7356">
        <w:rPr>
          <w:rFonts w:ascii="Book Antiqua" w:eastAsia="Book Antiqua" w:hAnsi="Book Antiqua" w:cs="Book Antiqua"/>
          <w:color w:val="000000"/>
          <w:szCs w:val="20"/>
        </w:rPr>
        <w:t>.</w:t>
      </w:r>
    </w:p>
    <w:p w14:paraId="2B6A816F" w14:textId="3F325E8D" w:rsidR="00A77B3E" w:rsidRPr="005B7356" w:rsidRDefault="004A0702" w:rsidP="005B7356">
      <w:pPr>
        <w:spacing w:line="360" w:lineRule="auto"/>
        <w:ind w:firstLineChars="100" w:firstLine="240"/>
        <w:jc w:val="both"/>
      </w:pPr>
      <w:r>
        <w:rPr>
          <w:rFonts w:ascii="Book Antiqua" w:eastAsia="Book Antiqua" w:hAnsi="Book Antiqua" w:cs="Book Antiqua"/>
          <w:color w:val="000000"/>
          <w:szCs w:val="20"/>
        </w:rPr>
        <w:t xml:space="preserve">However, Ascaris infection can complicate diagnosis of choledocholithiasis. Although its incidence has been decreasing, ascariasis is still an important cause of </w:t>
      </w:r>
      <w:proofErr w:type="spellStart"/>
      <w:r>
        <w:rPr>
          <w:rFonts w:ascii="Book Antiqua" w:eastAsia="Book Antiqua" w:hAnsi="Book Antiqua" w:cs="Book Antiqua"/>
          <w:color w:val="000000"/>
          <w:szCs w:val="20"/>
        </w:rPr>
        <w:t>pancreatobiliary</w:t>
      </w:r>
      <w:proofErr w:type="spellEnd"/>
      <w:r>
        <w:rPr>
          <w:rFonts w:ascii="Book Antiqua" w:eastAsia="Book Antiqua" w:hAnsi="Book Antiqua" w:cs="Book Antiqua"/>
          <w:color w:val="000000"/>
          <w:szCs w:val="20"/>
        </w:rPr>
        <w:t xml:space="preserve"> disease in Asia, Africa, and South America. The worms are usually found in the intestinal lumen, but they occasionally move into the bile duct and gallbladder through the ampulla of </w:t>
      </w:r>
      <w:proofErr w:type="spellStart"/>
      <w:proofErr w:type="gramStart"/>
      <w:r>
        <w:rPr>
          <w:rFonts w:ascii="Book Antiqua" w:eastAsia="Book Antiqua" w:hAnsi="Book Antiqua" w:cs="Book Antiqua"/>
          <w:color w:val="000000"/>
          <w:szCs w:val="20"/>
        </w:rPr>
        <w:t>Vater</w:t>
      </w:r>
      <w:proofErr w:type="spellEnd"/>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3]</w:t>
      </w:r>
      <w:r w:rsidR="005B7356">
        <w:rPr>
          <w:rFonts w:ascii="Book Antiqua" w:eastAsia="Book Antiqua" w:hAnsi="Book Antiqua" w:cs="Book Antiqua"/>
          <w:color w:val="000000"/>
          <w:szCs w:val="25"/>
        </w:rPr>
        <w:t>.</w:t>
      </w:r>
      <w:r>
        <w:rPr>
          <w:rFonts w:ascii="Book Antiqua" w:eastAsia="Book Antiqua" w:hAnsi="Book Antiqua" w:cs="Book Antiqua"/>
          <w:color w:val="000000"/>
          <w:szCs w:val="20"/>
        </w:rPr>
        <w:t xml:space="preserve"> Diagnosis of hepatobiliary ascariasis can be made by visualizing the larvae in the biliary tree, as they may manifest as a cylindrical filling defect with or without movement on imaging </w:t>
      </w:r>
      <w:proofErr w:type="gramStart"/>
      <w:r>
        <w:rPr>
          <w:rFonts w:ascii="Book Antiqua" w:eastAsia="Book Antiqua" w:hAnsi="Book Antiqua" w:cs="Book Antiqua"/>
          <w:color w:val="000000"/>
          <w:szCs w:val="20"/>
        </w:rPr>
        <w:t>studies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4]</w:t>
      </w:r>
      <w:r w:rsidR="005B7356">
        <w:rPr>
          <w:rFonts w:ascii="Book Antiqua" w:eastAsia="Book Antiqua" w:hAnsi="Book Antiqua" w:cs="Book Antiqua"/>
          <w:color w:val="000000"/>
          <w:szCs w:val="25"/>
        </w:rPr>
        <w:t>.</w:t>
      </w:r>
    </w:p>
    <w:p w14:paraId="2FF45079" w14:textId="77777777" w:rsidR="00A77B3E" w:rsidRDefault="004A0702" w:rsidP="005B7356">
      <w:pPr>
        <w:spacing w:line="360" w:lineRule="auto"/>
        <w:ind w:firstLineChars="100" w:firstLine="240"/>
        <w:jc w:val="both"/>
      </w:pPr>
      <w:r>
        <w:rPr>
          <w:rFonts w:ascii="Book Antiqua" w:eastAsia="Book Antiqua" w:hAnsi="Book Antiqua" w:cs="Book Antiqua"/>
          <w:color w:val="000000"/>
          <w:szCs w:val="20"/>
        </w:rPr>
        <w:t xml:space="preserve">Usually, there is little confusion in differentiation of CBD stone and Ascaris since they are different disease entities with different imaging manifestations. However, we report a case of a CBD stone that mimicked and was misdiagnosed as </w:t>
      </w:r>
      <w:r>
        <w:rPr>
          <w:rFonts w:ascii="Book Antiqua" w:eastAsia="Book Antiqua" w:hAnsi="Book Antiqua" w:cs="Book Antiqua"/>
          <w:i/>
          <w:iCs/>
          <w:color w:val="000000"/>
          <w:szCs w:val="20"/>
        </w:rPr>
        <w:t>Ascaris lumbricoides</w:t>
      </w:r>
      <w:r>
        <w:rPr>
          <w:rFonts w:ascii="Book Antiqua" w:eastAsia="Book Antiqua" w:hAnsi="Book Antiqua" w:cs="Book Antiqua"/>
          <w:color w:val="000000"/>
          <w:szCs w:val="20"/>
        </w:rPr>
        <w:t>.</w:t>
      </w:r>
    </w:p>
    <w:p w14:paraId="4AC000EE" w14:textId="77777777" w:rsidR="00A77B3E" w:rsidRDefault="00A77B3E">
      <w:pPr>
        <w:spacing w:line="360" w:lineRule="auto"/>
        <w:jc w:val="both"/>
      </w:pPr>
    </w:p>
    <w:p w14:paraId="42F09589" w14:textId="77777777" w:rsidR="00A77B3E" w:rsidRDefault="004A0702">
      <w:pPr>
        <w:spacing w:line="360" w:lineRule="auto"/>
        <w:jc w:val="both"/>
      </w:pPr>
      <w:r>
        <w:rPr>
          <w:rFonts w:ascii="Book Antiqua" w:eastAsia="Book Antiqua" w:hAnsi="Book Antiqua" w:cs="Book Antiqua"/>
          <w:b/>
          <w:color w:val="000000"/>
          <w:u w:val="single"/>
        </w:rPr>
        <w:t>CASE PRESENTATION</w:t>
      </w:r>
    </w:p>
    <w:p w14:paraId="22A571E7" w14:textId="77777777" w:rsidR="00A77B3E" w:rsidRDefault="004A0702">
      <w:pPr>
        <w:spacing w:line="360" w:lineRule="auto"/>
        <w:jc w:val="both"/>
      </w:pPr>
      <w:r>
        <w:rPr>
          <w:rFonts w:ascii="Book Antiqua" w:eastAsia="Book Antiqua" w:hAnsi="Book Antiqua" w:cs="Book Antiqua"/>
          <w:b/>
          <w:i/>
          <w:color w:val="000000"/>
        </w:rPr>
        <w:t>Chief complaints</w:t>
      </w:r>
    </w:p>
    <w:p w14:paraId="400F692F" w14:textId="77777777" w:rsidR="00A77B3E" w:rsidRDefault="004A0702">
      <w:pPr>
        <w:spacing w:line="360" w:lineRule="auto"/>
        <w:jc w:val="both"/>
      </w:pPr>
      <w:r>
        <w:rPr>
          <w:rFonts w:ascii="Book Antiqua" w:eastAsia="Book Antiqua" w:hAnsi="Book Antiqua" w:cs="Book Antiqua"/>
          <w:color w:val="000000"/>
          <w:szCs w:val="20"/>
        </w:rPr>
        <w:t xml:space="preserve">A 72-year-old male visited our outpatient clinic with elevated liver enzymes. </w:t>
      </w:r>
    </w:p>
    <w:p w14:paraId="2A4307BE" w14:textId="77777777" w:rsidR="00A77B3E" w:rsidRDefault="00A77B3E">
      <w:pPr>
        <w:spacing w:line="360" w:lineRule="auto"/>
        <w:jc w:val="both"/>
      </w:pPr>
    </w:p>
    <w:p w14:paraId="688CCB6E" w14:textId="77777777" w:rsidR="00A77B3E" w:rsidRDefault="004A0702">
      <w:pPr>
        <w:spacing w:line="360" w:lineRule="auto"/>
        <w:jc w:val="both"/>
      </w:pPr>
      <w:r>
        <w:rPr>
          <w:rFonts w:ascii="Book Antiqua" w:eastAsia="Book Antiqua" w:hAnsi="Book Antiqua" w:cs="Book Antiqua"/>
          <w:b/>
          <w:i/>
          <w:color w:val="000000"/>
        </w:rPr>
        <w:t>History of present illness</w:t>
      </w:r>
    </w:p>
    <w:p w14:paraId="7C6518C5" w14:textId="77777777" w:rsidR="00A77B3E" w:rsidRDefault="004A0702">
      <w:pPr>
        <w:spacing w:line="360" w:lineRule="auto"/>
        <w:jc w:val="both"/>
      </w:pPr>
      <w:r>
        <w:rPr>
          <w:rFonts w:ascii="Book Antiqua" w:eastAsia="Book Antiqua" w:hAnsi="Book Antiqua" w:cs="Book Antiqua"/>
          <w:color w:val="000000"/>
          <w:szCs w:val="20"/>
        </w:rPr>
        <w:t>He did not complain of any symptoms.</w:t>
      </w:r>
    </w:p>
    <w:p w14:paraId="4D74274A" w14:textId="77777777" w:rsidR="00A77B3E" w:rsidRDefault="00A77B3E">
      <w:pPr>
        <w:spacing w:line="360" w:lineRule="auto"/>
        <w:jc w:val="both"/>
      </w:pPr>
    </w:p>
    <w:p w14:paraId="7C14271C" w14:textId="77777777" w:rsidR="00A77B3E" w:rsidRDefault="004A0702">
      <w:pPr>
        <w:spacing w:line="360" w:lineRule="auto"/>
        <w:jc w:val="both"/>
      </w:pPr>
      <w:r>
        <w:rPr>
          <w:rFonts w:ascii="Book Antiqua" w:eastAsia="Book Antiqua" w:hAnsi="Book Antiqua" w:cs="Book Antiqua"/>
          <w:b/>
          <w:i/>
          <w:color w:val="000000"/>
        </w:rPr>
        <w:t>History of past illness</w:t>
      </w:r>
    </w:p>
    <w:p w14:paraId="2C2D4639" w14:textId="77777777" w:rsidR="00A77B3E" w:rsidRDefault="004A0702">
      <w:pPr>
        <w:spacing w:line="360" w:lineRule="auto"/>
        <w:jc w:val="both"/>
      </w:pPr>
      <w:r>
        <w:rPr>
          <w:rFonts w:ascii="Book Antiqua" w:eastAsia="Book Antiqua" w:hAnsi="Book Antiqua" w:cs="Book Antiqua"/>
          <w:color w:val="000000"/>
          <w:szCs w:val="20"/>
        </w:rPr>
        <w:lastRenderedPageBreak/>
        <w:t>He had been previously admitted to our hospital for a liver abscess about 10 years prior, when he had visited our outpatient clinic.</w:t>
      </w:r>
    </w:p>
    <w:p w14:paraId="5FEBC5A8" w14:textId="77777777" w:rsidR="00A77B3E" w:rsidRDefault="00A77B3E">
      <w:pPr>
        <w:spacing w:line="360" w:lineRule="auto"/>
        <w:jc w:val="both"/>
      </w:pPr>
    </w:p>
    <w:p w14:paraId="730AACC6" w14:textId="77777777" w:rsidR="00A77B3E" w:rsidRDefault="004A0702">
      <w:pPr>
        <w:spacing w:line="360" w:lineRule="auto"/>
        <w:jc w:val="both"/>
      </w:pPr>
      <w:r>
        <w:rPr>
          <w:rFonts w:ascii="Book Antiqua" w:eastAsia="Book Antiqua" w:hAnsi="Book Antiqua" w:cs="Book Antiqua"/>
          <w:b/>
          <w:i/>
          <w:color w:val="000000"/>
        </w:rPr>
        <w:t>Physical examination</w:t>
      </w:r>
    </w:p>
    <w:p w14:paraId="7B931399" w14:textId="27FD6833" w:rsidR="00A77B3E" w:rsidRDefault="005B7356">
      <w:pPr>
        <w:spacing w:line="360" w:lineRule="auto"/>
        <w:jc w:val="both"/>
      </w:pPr>
      <w:r>
        <w:rPr>
          <w:rFonts w:ascii="Book Antiqua" w:eastAsia="Book Antiqua" w:hAnsi="Book Antiqua" w:cs="Book Antiqua"/>
          <w:color w:val="000000"/>
          <w:szCs w:val="20"/>
        </w:rPr>
        <w:t>T</w:t>
      </w:r>
      <w:r w:rsidR="004A0702">
        <w:rPr>
          <w:rFonts w:ascii="Book Antiqua" w:eastAsia="Book Antiqua" w:hAnsi="Book Antiqua" w:cs="Book Antiqua"/>
          <w:color w:val="000000"/>
          <w:szCs w:val="20"/>
        </w:rPr>
        <w:t>here were no remarkable signs, and his vital signs were normal.</w:t>
      </w:r>
    </w:p>
    <w:p w14:paraId="5463D588" w14:textId="77777777" w:rsidR="00A77B3E" w:rsidRDefault="00A77B3E">
      <w:pPr>
        <w:spacing w:line="360" w:lineRule="auto"/>
        <w:jc w:val="both"/>
      </w:pPr>
    </w:p>
    <w:p w14:paraId="1503B37A" w14:textId="77777777" w:rsidR="00A77B3E" w:rsidRDefault="004A0702">
      <w:pPr>
        <w:spacing w:line="360" w:lineRule="auto"/>
        <w:jc w:val="both"/>
      </w:pPr>
      <w:r>
        <w:rPr>
          <w:rFonts w:ascii="Book Antiqua" w:eastAsia="Book Antiqua" w:hAnsi="Book Antiqua" w:cs="Book Antiqua"/>
          <w:b/>
          <w:i/>
          <w:color w:val="000000"/>
        </w:rPr>
        <w:t>Laboratory examinations</w:t>
      </w:r>
    </w:p>
    <w:p w14:paraId="4A090678" w14:textId="77777777" w:rsidR="00A77B3E" w:rsidRDefault="004A0702">
      <w:pPr>
        <w:spacing w:line="360" w:lineRule="auto"/>
        <w:jc w:val="both"/>
      </w:pPr>
      <w:r>
        <w:rPr>
          <w:rFonts w:ascii="Book Antiqua" w:eastAsia="Book Antiqua" w:hAnsi="Book Antiqua" w:cs="Book Antiqua"/>
          <w:color w:val="000000"/>
          <w:szCs w:val="20"/>
        </w:rPr>
        <w:t>Laboratory values revealed conspicuous elevation of alkaline phosphatase and gamma-glutamyl transpeptidase (γ-GT) in addition to mild elevation of serum amylase.</w:t>
      </w:r>
    </w:p>
    <w:p w14:paraId="5749F771" w14:textId="77777777" w:rsidR="00A77B3E" w:rsidRDefault="00A77B3E">
      <w:pPr>
        <w:spacing w:line="360" w:lineRule="auto"/>
        <w:jc w:val="both"/>
      </w:pPr>
    </w:p>
    <w:p w14:paraId="4BA69FB0" w14:textId="77777777" w:rsidR="00A77B3E" w:rsidRDefault="004A0702">
      <w:pPr>
        <w:spacing w:line="360" w:lineRule="auto"/>
        <w:jc w:val="both"/>
      </w:pPr>
      <w:r>
        <w:rPr>
          <w:rFonts w:ascii="Book Antiqua" w:eastAsia="Book Antiqua" w:hAnsi="Book Antiqua" w:cs="Book Antiqua"/>
          <w:b/>
          <w:i/>
          <w:color w:val="000000"/>
        </w:rPr>
        <w:t>Imaging examinations</w:t>
      </w:r>
    </w:p>
    <w:p w14:paraId="52490385" w14:textId="034B9594" w:rsidR="00A77B3E" w:rsidRDefault="004A0702">
      <w:pPr>
        <w:spacing w:line="360" w:lineRule="auto"/>
        <w:jc w:val="both"/>
      </w:pPr>
      <w:r>
        <w:rPr>
          <w:rFonts w:ascii="Book Antiqua" w:eastAsia="Book Antiqua" w:hAnsi="Book Antiqua" w:cs="Book Antiqua"/>
          <w:color w:val="000000"/>
          <w:szCs w:val="20"/>
        </w:rPr>
        <w:t>On CT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A and B), a hyper-attenuated, thin, linear-shaped lesion was found in the lumen of the distal CBD. In addition, dilated intrahepatic bile ducts and periductal enhancement on the arterial phase suggested inflammatory changes of the intrahepatic bile duct. MR cholangiopancreatography (MRCP;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C and D) revealed a thin, linear filling defect in the lumen of the dilated CBD that had low signal intensity on T2-weighted images, and the findings were sufficient to diagnose a parasitic larva, such as Ascaris. Subsequently, endoscopic retrograde cholangiopancreatography (ERCP) demonstrated a tubular filling defect in the dilated CBD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E), and a linear, hyperechoic lesion with a central low-echoic area was seen on endoscopic ultrasound (EUS)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F). </w:t>
      </w:r>
    </w:p>
    <w:p w14:paraId="5618E453" w14:textId="77777777" w:rsidR="00A77B3E" w:rsidRDefault="00A77B3E">
      <w:pPr>
        <w:spacing w:line="360" w:lineRule="auto"/>
        <w:jc w:val="both"/>
      </w:pPr>
    </w:p>
    <w:p w14:paraId="13FC2A48" w14:textId="77777777" w:rsidR="00A77B3E" w:rsidRDefault="004A0702">
      <w:pPr>
        <w:spacing w:line="360" w:lineRule="auto"/>
        <w:jc w:val="both"/>
      </w:pPr>
      <w:r>
        <w:rPr>
          <w:rFonts w:ascii="Book Antiqua" w:eastAsia="Book Antiqua" w:hAnsi="Book Antiqua" w:cs="Book Antiqua"/>
          <w:b/>
          <w:color w:val="000000"/>
          <w:u w:val="single"/>
        </w:rPr>
        <w:t>MULTIDISCIPLINARY EXPERT CONSULTATION</w:t>
      </w:r>
    </w:p>
    <w:p w14:paraId="4BEED5BC" w14:textId="302AF119" w:rsidR="00A77B3E" w:rsidRDefault="004A0702">
      <w:pPr>
        <w:spacing w:line="360" w:lineRule="auto"/>
        <w:jc w:val="both"/>
      </w:pPr>
      <w:r>
        <w:rPr>
          <w:rFonts w:ascii="Book Antiqua" w:eastAsia="Book Antiqua" w:hAnsi="Book Antiqua" w:cs="Book Antiqua"/>
          <w:color w:val="000000"/>
          <w:szCs w:val="20"/>
        </w:rPr>
        <w:t>After removal by an endoscopic procedure, the lesion was found to be a tubular-shaped CBD stone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G). </w:t>
      </w:r>
    </w:p>
    <w:p w14:paraId="248A7560" w14:textId="77777777" w:rsidR="00A77B3E" w:rsidRDefault="00A77B3E">
      <w:pPr>
        <w:spacing w:line="360" w:lineRule="auto"/>
        <w:jc w:val="both"/>
      </w:pPr>
    </w:p>
    <w:p w14:paraId="6EC5A2D0" w14:textId="77777777" w:rsidR="00A77B3E" w:rsidRDefault="004A0702">
      <w:pPr>
        <w:spacing w:line="360" w:lineRule="auto"/>
        <w:jc w:val="both"/>
      </w:pPr>
      <w:r>
        <w:rPr>
          <w:rFonts w:ascii="Book Antiqua" w:eastAsia="Book Antiqua" w:hAnsi="Book Antiqua" w:cs="Book Antiqua"/>
          <w:b/>
          <w:color w:val="000000"/>
          <w:u w:val="single"/>
        </w:rPr>
        <w:t>FINAL DIAGNOSIS</w:t>
      </w:r>
    </w:p>
    <w:p w14:paraId="2F03F595" w14:textId="77777777" w:rsidR="00A77B3E" w:rsidRDefault="004A0702">
      <w:pPr>
        <w:spacing w:line="360" w:lineRule="auto"/>
        <w:jc w:val="both"/>
      </w:pPr>
      <w:r>
        <w:rPr>
          <w:rFonts w:ascii="Book Antiqua" w:eastAsia="Book Antiqua" w:hAnsi="Book Antiqua" w:cs="Book Antiqua"/>
          <w:color w:val="000000"/>
          <w:szCs w:val="20"/>
        </w:rPr>
        <w:t>The final diagnosis was CBD stone.</w:t>
      </w:r>
    </w:p>
    <w:p w14:paraId="45F11DE2" w14:textId="77777777" w:rsidR="00A77B3E" w:rsidRDefault="00A77B3E">
      <w:pPr>
        <w:spacing w:line="360" w:lineRule="auto"/>
        <w:jc w:val="both"/>
      </w:pPr>
    </w:p>
    <w:p w14:paraId="4E144F40" w14:textId="77777777" w:rsidR="00A77B3E" w:rsidRDefault="004A0702">
      <w:pPr>
        <w:spacing w:line="360" w:lineRule="auto"/>
        <w:jc w:val="both"/>
      </w:pPr>
      <w:r>
        <w:rPr>
          <w:rFonts w:ascii="Book Antiqua" w:eastAsia="Book Antiqua" w:hAnsi="Book Antiqua" w:cs="Book Antiqua"/>
          <w:b/>
          <w:color w:val="000000"/>
          <w:u w:val="single"/>
        </w:rPr>
        <w:lastRenderedPageBreak/>
        <w:t>TREATMENT</w:t>
      </w:r>
    </w:p>
    <w:p w14:paraId="7C313685" w14:textId="3B06A8F5" w:rsidR="00A77B3E" w:rsidRDefault="004A0702">
      <w:pPr>
        <w:spacing w:line="360" w:lineRule="auto"/>
        <w:jc w:val="both"/>
      </w:pPr>
      <w:r>
        <w:rPr>
          <w:rFonts w:ascii="Book Antiqua" w:eastAsia="Book Antiqua" w:hAnsi="Book Antiqua" w:cs="Book Antiqua"/>
          <w:color w:val="000000"/>
          <w:szCs w:val="20"/>
        </w:rPr>
        <w:t>The patient was treated with antibiotics for three days and was discharged without any complications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w:t>
      </w:r>
      <w:r w:rsidR="00E20B66">
        <w:rPr>
          <w:rFonts w:ascii="Book Antiqua" w:eastAsia="Book Antiqua" w:hAnsi="Book Antiqua" w:cs="Book Antiqua"/>
          <w:color w:val="000000"/>
          <w:szCs w:val="20"/>
        </w:rPr>
        <w:t>2</w:t>
      </w:r>
      <w:r>
        <w:rPr>
          <w:rFonts w:ascii="Book Antiqua" w:eastAsia="Book Antiqua" w:hAnsi="Book Antiqua" w:cs="Book Antiqua"/>
          <w:color w:val="000000"/>
          <w:szCs w:val="20"/>
        </w:rPr>
        <w:t>).</w:t>
      </w:r>
    </w:p>
    <w:p w14:paraId="07057838" w14:textId="77777777" w:rsidR="00A77B3E" w:rsidRDefault="00A77B3E">
      <w:pPr>
        <w:spacing w:line="360" w:lineRule="auto"/>
        <w:jc w:val="both"/>
      </w:pPr>
    </w:p>
    <w:p w14:paraId="77E19F08" w14:textId="77777777" w:rsidR="00A77B3E" w:rsidRDefault="004A0702">
      <w:pPr>
        <w:spacing w:line="360" w:lineRule="auto"/>
        <w:jc w:val="both"/>
      </w:pPr>
      <w:r>
        <w:rPr>
          <w:rFonts w:ascii="Book Antiqua" w:eastAsia="Book Antiqua" w:hAnsi="Book Antiqua" w:cs="Book Antiqua"/>
          <w:b/>
          <w:color w:val="000000"/>
          <w:u w:val="single"/>
        </w:rPr>
        <w:t>OUTCOME AND FOLLOW-UP</w:t>
      </w:r>
    </w:p>
    <w:p w14:paraId="259EF9EF" w14:textId="77777777" w:rsidR="00A77B3E" w:rsidRDefault="004A0702">
      <w:pPr>
        <w:spacing w:line="360" w:lineRule="auto"/>
        <w:jc w:val="both"/>
      </w:pPr>
      <w:r>
        <w:rPr>
          <w:rFonts w:ascii="Book Antiqua" w:eastAsia="Book Antiqua" w:hAnsi="Book Antiqua" w:cs="Book Antiqua"/>
          <w:color w:val="000000"/>
          <w:szCs w:val="20"/>
        </w:rPr>
        <w:t>Subsequent follow-up blood tests conducted at an outpatient clinic showed gradual decrease in the abnormal liver function test values.</w:t>
      </w:r>
    </w:p>
    <w:p w14:paraId="5EE6FB65" w14:textId="77777777" w:rsidR="00A77B3E" w:rsidRDefault="00A77B3E">
      <w:pPr>
        <w:spacing w:line="360" w:lineRule="auto"/>
        <w:jc w:val="both"/>
      </w:pPr>
    </w:p>
    <w:p w14:paraId="5E474D06" w14:textId="77777777" w:rsidR="00A77B3E" w:rsidRDefault="004A0702">
      <w:pPr>
        <w:spacing w:line="360" w:lineRule="auto"/>
        <w:jc w:val="both"/>
      </w:pPr>
      <w:r>
        <w:rPr>
          <w:rFonts w:ascii="Book Antiqua" w:eastAsia="Book Antiqua" w:hAnsi="Book Antiqua" w:cs="Book Antiqua"/>
          <w:b/>
          <w:color w:val="000000"/>
          <w:u w:val="single"/>
        </w:rPr>
        <w:t>DISCUSSION</w:t>
      </w:r>
    </w:p>
    <w:p w14:paraId="7062B844" w14:textId="5365DFB8" w:rsidR="00A77B3E" w:rsidRDefault="004A0702">
      <w:pPr>
        <w:spacing w:line="360" w:lineRule="auto"/>
        <w:jc w:val="both"/>
      </w:pPr>
      <w:r>
        <w:rPr>
          <w:rFonts w:ascii="Book Antiqua" w:eastAsia="Book Antiqua" w:hAnsi="Book Antiqua" w:cs="Book Antiqua"/>
          <w:color w:val="000000"/>
          <w:szCs w:val="20"/>
        </w:rPr>
        <w:t xml:space="preserve">Unless it is radiolucent, a CBD stone is not difficult to diagnose on CT. Biliary stones can appear in various attenuations on CT, and only about 20% show high </w:t>
      </w:r>
      <w:proofErr w:type="gramStart"/>
      <w:r>
        <w:rPr>
          <w:rFonts w:ascii="Book Antiqua" w:eastAsia="Book Antiqua" w:hAnsi="Book Antiqua" w:cs="Book Antiqua"/>
          <w:color w:val="000000"/>
          <w:szCs w:val="20"/>
        </w:rPr>
        <w:t>attenuation</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Most biliary stones are either round or amorphous-shaped. In addition to the imaging findings from the biliary stone itself, low attenuated bile surrounding the stone and associated ductal dilatation or narrowing can improve the likelihood of correct diagnosis of biliary </w:t>
      </w:r>
      <w:proofErr w:type="gramStart"/>
      <w:r>
        <w:rPr>
          <w:rFonts w:ascii="Book Antiqua" w:eastAsia="Book Antiqua" w:hAnsi="Book Antiqua" w:cs="Book Antiqua"/>
          <w:color w:val="000000"/>
          <w:szCs w:val="20"/>
        </w:rPr>
        <w:t>stone</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 xml:space="preserve">. In addition, a signal void in the CBD or a fluid level with low signal intensity in the dependent portion of the CBD on MR imaging can suggest a CBD </w:t>
      </w:r>
      <w:proofErr w:type="gramStart"/>
      <w:r>
        <w:rPr>
          <w:rFonts w:ascii="Book Antiqua" w:eastAsia="Book Antiqua" w:hAnsi="Book Antiqua" w:cs="Book Antiqua"/>
          <w:color w:val="000000"/>
          <w:szCs w:val="20"/>
        </w:rPr>
        <w:t>stone</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xml:space="preserve">. Even though ERCP is an invasive procedure, it has the benefit of simultaneous diagnosis and </w:t>
      </w:r>
      <w:proofErr w:type="gramStart"/>
      <w:r>
        <w:rPr>
          <w:rFonts w:ascii="Book Antiqua" w:eastAsia="Book Antiqua" w:hAnsi="Book Antiqua" w:cs="Book Antiqua"/>
          <w:color w:val="000000"/>
          <w:szCs w:val="20"/>
        </w:rPr>
        <w:t>treatment</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7]</w:t>
      </w:r>
      <w:r>
        <w:rPr>
          <w:rFonts w:ascii="Book Antiqua" w:eastAsia="Book Antiqua" w:hAnsi="Book Antiqua" w:cs="Book Antiqua"/>
          <w:color w:val="000000"/>
          <w:szCs w:val="20"/>
        </w:rPr>
        <w:t xml:space="preserve">. Moreover, EUS has excellent diagnostic ability when it is performed with ERCP, and a biliary stone can be characteristically seen as a hyperechoic lesion accompanying a posterior acoustic shadow in the CBD on </w:t>
      </w:r>
      <w:proofErr w:type="gramStart"/>
      <w:r>
        <w:rPr>
          <w:rFonts w:ascii="Book Antiqua" w:eastAsia="Book Antiqua" w:hAnsi="Book Antiqua" w:cs="Book Antiqua"/>
          <w:color w:val="000000"/>
          <w:szCs w:val="20"/>
        </w:rPr>
        <w:t>EUS</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8,9]</w:t>
      </w:r>
      <w:r>
        <w:rPr>
          <w:rFonts w:ascii="Book Antiqua" w:eastAsia="Book Antiqua" w:hAnsi="Book Antiqua" w:cs="Book Antiqua"/>
          <w:color w:val="000000"/>
          <w:szCs w:val="20"/>
        </w:rPr>
        <w:t>.</w:t>
      </w:r>
    </w:p>
    <w:p w14:paraId="164407C9" w14:textId="75A5AB8A" w:rsidR="00A77B3E" w:rsidRDefault="004A0702" w:rsidP="005B7356">
      <w:pPr>
        <w:spacing w:line="360" w:lineRule="auto"/>
        <w:ind w:firstLineChars="100" w:firstLine="240"/>
        <w:jc w:val="both"/>
      </w:pPr>
      <w:r>
        <w:rPr>
          <w:rFonts w:ascii="Book Antiqua" w:eastAsia="Book Antiqua" w:hAnsi="Book Antiqua" w:cs="Book Antiqua"/>
          <w:color w:val="000000"/>
          <w:szCs w:val="20"/>
        </w:rPr>
        <w:t xml:space="preserve">On the other hand, Ascaris can appear as an elongated, high-density structure in the biliary tree on CT, although this modality is only used as complementary for </w:t>
      </w:r>
      <w:proofErr w:type="gramStart"/>
      <w:r>
        <w:rPr>
          <w:rFonts w:ascii="Book Antiqua" w:eastAsia="Book Antiqua" w:hAnsi="Book Antiqua" w:cs="Book Antiqua"/>
          <w:color w:val="000000"/>
          <w:szCs w:val="20"/>
        </w:rPr>
        <w:t>diagnosis</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xml:space="preserve">. On MR cholangiogram, Ascaris demonstrates a “double-tube” appearance, a hypointense tubular defect inside the CBD with central hyperintense material representing the fluid-filled gut of the </w:t>
      </w:r>
      <w:proofErr w:type="gramStart"/>
      <w:r>
        <w:rPr>
          <w:rFonts w:ascii="Book Antiqua" w:eastAsia="Book Antiqua" w:hAnsi="Book Antiqua" w:cs="Book Antiqua"/>
          <w:color w:val="000000"/>
          <w:szCs w:val="20"/>
        </w:rPr>
        <w:t>worm</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xml:space="preserve">. On ERCP, the worm is seen as an intraductal filling defect with motility in the bile </w:t>
      </w:r>
      <w:proofErr w:type="gramStart"/>
      <w:r>
        <w:rPr>
          <w:rFonts w:ascii="Book Antiqua" w:eastAsia="Book Antiqua" w:hAnsi="Book Antiqua" w:cs="Book Antiqua"/>
          <w:color w:val="000000"/>
          <w:szCs w:val="20"/>
        </w:rPr>
        <w:t>duct</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4,11]</w:t>
      </w:r>
      <w:r>
        <w:rPr>
          <w:rFonts w:ascii="Book Antiqua" w:eastAsia="Book Antiqua" w:hAnsi="Book Antiqua" w:cs="Book Antiqua"/>
          <w:color w:val="000000"/>
          <w:szCs w:val="20"/>
        </w:rPr>
        <w:t xml:space="preserve">. The difference between CBD stone and Ascaris is even more obvious on EUS, in which the parasite appears as a spherical-shaped hyperechogenic lesion without posterior acoustic </w:t>
      </w:r>
      <w:proofErr w:type="gramStart"/>
      <w:r>
        <w:rPr>
          <w:rFonts w:ascii="Book Antiqua" w:eastAsia="Book Antiqua" w:hAnsi="Book Antiqua" w:cs="Book Antiqua"/>
          <w:color w:val="000000"/>
          <w:szCs w:val="20"/>
        </w:rPr>
        <w:t>shadowing</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w:t>
      </w:r>
    </w:p>
    <w:p w14:paraId="4AEB5FE5" w14:textId="67BB1649" w:rsidR="00A77B3E" w:rsidRDefault="004A0702" w:rsidP="005B7356">
      <w:pPr>
        <w:spacing w:line="360" w:lineRule="auto"/>
        <w:ind w:firstLineChars="100" w:firstLine="240"/>
        <w:jc w:val="both"/>
      </w:pPr>
      <w:r>
        <w:rPr>
          <w:rFonts w:ascii="Book Antiqua" w:eastAsia="Book Antiqua" w:hAnsi="Book Antiqua" w:cs="Book Antiqua"/>
          <w:color w:val="000000"/>
          <w:szCs w:val="20"/>
        </w:rPr>
        <w:lastRenderedPageBreak/>
        <w:t xml:space="preserve">To the best of our knowledge, there has been only one case report of CBD stone mimicking </w:t>
      </w:r>
      <w:r>
        <w:rPr>
          <w:rFonts w:ascii="Book Antiqua" w:eastAsia="Book Antiqua" w:hAnsi="Book Antiqua" w:cs="Book Antiqua"/>
          <w:i/>
          <w:iCs/>
          <w:color w:val="000000"/>
          <w:szCs w:val="20"/>
        </w:rPr>
        <w:t>Ascaris lumbricoides</w:t>
      </w:r>
      <w:r>
        <w:rPr>
          <w:rFonts w:ascii="Book Antiqua" w:eastAsia="Book Antiqua" w:hAnsi="Book Antiqua" w:cs="Book Antiqua"/>
          <w:color w:val="000000"/>
          <w:szCs w:val="20"/>
        </w:rPr>
        <w:t xml:space="preserve">, and the report only described the sonographic </w:t>
      </w:r>
      <w:proofErr w:type="gramStart"/>
      <w:r>
        <w:rPr>
          <w:rFonts w:ascii="Book Antiqua" w:eastAsia="Book Antiqua" w:hAnsi="Book Antiqua" w:cs="Book Antiqua"/>
          <w:color w:val="000000"/>
          <w:szCs w:val="20"/>
        </w:rPr>
        <w:t>findings</w:t>
      </w:r>
      <w:r w:rsidR="005B7356">
        <w:rPr>
          <w:rFonts w:ascii="Book Antiqua" w:eastAsia="Book Antiqua" w:hAnsi="Book Antiqua" w:cs="Book Antiqua"/>
          <w:color w:val="000000"/>
          <w:szCs w:val="25"/>
          <w:vertAlign w:val="superscript"/>
        </w:rPr>
        <w:t>[</w:t>
      </w:r>
      <w:proofErr w:type="gramEnd"/>
      <w:r w:rsidR="005B7356">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Thus, it is not thought to be difficult to distinguish CBD stone from Ascaris infestation on imaging or clinical findings. Although they share radiologic findings of a non-enhancing high-density lesion on CT and a filling defect on T2-weighted images on MR, these two diseases rarely are part of the same differential diagnoses because their typical presentations are different. However, if these typical imaging features are not seen, differential diagnosis for tubular structures in the CBD could be confusing. Although we had never previously experienced an elongated-shaped CBD stone, we did experience an ascariasis patient who manifested similar imaging findings to the present case (Supplementary Fig</w:t>
      </w:r>
      <w:r w:rsidR="005B7356">
        <w:rPr>
          <w:rFonts w:ascii="Book Antiqua" w:eastAsia="Book Antiqua" w:hAnsi="Book Antiqua" w:cs="Book Antiqua"/>
          <w:color w:val="000000"/>
          <w:szCs w:val="20"/>
        </w:rPr>
        <w:t>ure</w:t>
      </w:r>
      <w:r>
        <w:rPr>
          <w:rFonts w:ascii="Book Antiqua" w:eastAsia="Book Antiqua" w:hAnsi="Book Antiqua" w:cs="Book Antiqua"/>
          <w:color w:val="000000"/>
          <w:szCs w:val="20"/>
        </w:rPr>
        <w:t xml:space="preserve"> 1). </w:t>
      </w:r>
    </w:p>
    <w:p w14:paraId="42CA9EAC" w14:textId="7EF09A6A" w:rsidR="00A77B3E" w:rsidRDefault="004A0702" w:rsidP="005B7356">
      <w:pPr>
        <w:spacing w:line="360" w:lineRule="auto"/>
        <w:ind w:firstLineChars="100" w:firstLine="240"/>
        <w:jc w:val="both"/>
      </w:pPr>
      <w:r>
        <w:rPr>
          <w:rFonts w:ascii="Book Antiqua" w:eastAsia="Book Antiqua" w:hAnsi="Book Antiqua" w:cs="Book Antiqua"/>
          <w:color w:val="000000"/>
          <w:szCs w:val="20"/>
        </w:rPr>
        <w:t xml:space="preserve">In the present case, not only did the stone appear very similarly shaped to an Ascaris worm on CT and MR cholangiography, but it was also mistaken for Ascaris on EUS due to its elongated shape with a central hypoechoic area, rather than the nodular or angular appearance of a typical CBD stone. However, Ascaris could have been distinguished from a CBD stone in the present case by the relatively longer (15-49 cm) and thicker (2-6 mm in </w:t>
      </w:r>
      <w:proofErr w:type="gramStart"/>
      <w:r>
        <w:rPr>
          <w:rFonts w:ascii="Book Antiqua" w:eastAsia="Book Antiqua" w:hAnsi="Book Antiqua" w:cs="Book Antiqua"/>
          <w:color w:val="000000"/>
          <w:szCs w:val="20"/>
        </w:rPr>
        <w:t>females)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xml:space="preserve"> body size of Ascaris compared to CBD stones, even if no motility was observed</w:t>
      </w:r>
      <w:r w:rsidR="005B7356">
        <w:rPr>
          <w:rFonts w:ascii="Book Antiqua" w:eastAsia="Book Antiqua" w:hAnsi="Book Antiqua" w:cs="Book Antiqua"/>
          <w:color w:val="000000"/>
          <w:szCs w:val="25"/>
          <w:vertAlign w:val="superscript"/>
        </w:rPr>
        <w:t>[14]</w:t>
      </w:r>
      <w:r>
        <w:rPr>
          <w:rFonts w:ascii="Book Antiqua" w:eastAsia="Book Antiqua" w:hAnsi="Book Antiqua" w:cs="Book Antiqua"/>
          <w:color w:val="000000"/>
          <w:szCs w:val="20"/>
        </w:rPr>
        <w:t>.</w:t>
      </w:r>
    </w:p>
    <w:p w14:paraId="7235F516" w14:textId="77777777" w:rsidR="00A77B3E" w:rsidRDefault="004A0702" w:rsidP="005B7356">
      <w:pPr>
        <w:spacing w:line="360" w:lineRule="auto"/>
        <w:ind w:firstLineChars="100" w:firstLine="240"/>
        <w:jc w:val="both"/>
      </w:pPr>
      <w:r>
        <w:rPr>
          <w:rFonts w:ascii="Book Antiqua" w:eastAsia="Book Antiqua" w:hAnsi="Book Antiqua" w:cs="Book Antiqua"/>
          <w:color w:val="000000"/>
          <w:szCs w:val="20"/>
        </w:rPr>
        <w:t xml:space="preserve">Although this was a rare case of CBD stone mimicking biliary ascariasis, it serves as a reminder that patients complaining of biliary colic or imaging finding of an elongated filling defect occupying the CBD should not be diagnosed by shape alone, and a CBD stone can mimic biliary Ascaris.  </w:t>
      </w:r>
    </w:p>
    <w:p w14:paraId="1B084D92" w14:textId="77777777" w:rsidR="00A77B3E" w:rsidRDefault="00A77B3E">
      <w:pPr>
        <w:spacing w:line="360" w:lineRule="auto"/>
        <w:jc w:val="both"/>
      </w:pPr>
    </w:p>
    <w:p w14:paraId="2894A831" w14:textId="77777777" w:rsidR="00A77B3E" w:rsidRDefault="004A0702">
      <w:pPr>
        <w:spacing w:line="360" w:lineRule="auto"/>
        <w:jc w:val="both"/>
      </w:pPr>
      <w:r>
        <w:rPr>
          <w:rFonts w:ascii="Book Antiqua" w:eastAsia="Book Antiqua" w:hAnsi="Book Antiqua" w:cs="Book Antiqua"/>
          <w:b/>
          <w:color w:val="000000"/>
          <w:u w:val="single"/>
        </w:rPr>
        <w:t>CONCLUSION</w:t>
      </w:r>
    </w:p>
    <w:p w14:paraId="238425CF" w14:textId="41D38B4D" w:rsidR="00E749DD" w:rsidRDefault="004A0702">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Although CBD stone and Ascaris are not commonly discussed in the same differential diagnosis, they can be confused in cases with an elongated CBD stone.</w:t>
      </w:r>
    </w:p>
    <w:p w14:paraId="6B93D4CC" w14:textId="77777777" w:rsidR="00B22748" w:rsidRDefault="00B22748">
      <w:pPr>
        <w:spacing w:line="360" w:lineRule="auto"/>
        <w:jc w:val="both"/>
      </w:pPr>
    </w:p>
    <w:p w14:paraId="33BF5120" w14:textId="77777777" w:rsidR="00A77B3E" w:rsidRDefault="004A0702">
      <w:pPr>
        <w:spacing w:line="360" w:lineRule="auto"/>
        <w:jc w:val="both"/>
      </w:pPr>
      <w:r>
        <w:rPr>
          <w:rFonts w:ascii="Book Antiqua" w:eastAsia="Book Antiqua" w:hAnsi="Book Antiqua" w:cs="Book Antiqua"/>
          <w:b/>
          <w:color w:val="000000"/>
        </w:rPr>
        <w:t>REFERENCES</w:t>
      </w:r>
    </w:p>
    <w:p w14:paraId="3985DFDA" w14:textId="77777777" w:rsidR="005B7356" w:rsidRDefault="005B7356" w:rsidP="005B7356">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Tazuma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Gallstone disease: Epidemiology, pathogenesis, and classification of biliary stones (common bile duct and intrahepatic).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1075-1083 [PMID: 17127189 DOI: 10.1016/j.bpg.2006.05.009]</w:t>
      </w:r>
    </w:p>
    <w:p w14:paraId="5FE98D5A" w14:textId="77777777" w:rsidR="005B7356" w:rsidRDefault="005B7356" w:rsidP="005B73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Yeh BM</w:t>
      </w:r>
      <w:r>
        <w:rPr>
          <w:rFonts w:ascii="Book Antiqua" w:eastAsia="Book Antiqua" w:hAnsi="Book Antiqua" w:cs="Book Antiqua"/>
          <w:color w:val="000000"/>
        </w:rPr>
        <w:t xml:space="preserve">, Liu PS, Soto JA, </w:t>
      </w:r>
      <w:proofErr w:type="spellStart"/>
      <w:r>
        <w:rPr>
          <w:rFonts w:ascii="Book Antiqua" w:eastAsia="Book Antiqua" w:hAnsi="Book Antiqua" w:cs="Book Antiqua"/>
          <w:color w:val="000000"/>
        </w:rPr>
        <w:t>Corvera</w:t>
      </w:r>
      <w:proofErr w:type="spellEnd"/>
      <w:r>
        <w:rPr>
          <w:rFonts w:ascii="Book Antiqua" w:eastAsia="Book Antiqua" w:hAnsi="Book Antiqua" w:cs="Book Antiqua"/>
          <w:color w:val="000000"/>
        </w:rPr>
        <w:t xml:space="preserve"> CA, Hussain HK. MR imaging and CT of the biliary tract.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1669-1688 [PMID: 19959515 DOI: 10.1148/rg.296095514]</w:t>
      </w:r>
    </w:p>
    <w:p w14:paraId="1DE0A9C3" w14:textId="77777777" w:rsidR="005B7356" w:rsidRDefault="005B7356" w:rsidP="005B73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Lim JH</w:t>
      </w:r>
      <w:r>
        <w:rPr>
          <w:rFonts w:ascii="Book Antiqua" w:eastAsia="Book Antiqua" w:hAnsi="Book Antiqua" w:cs="Book Antiqua"/>
          <w:color w:val="000000"/>
        </w:rPr>
        <w:t xml:space="preserve">, Kim SY, Park CM. Parasitic diseases of the biliary tract.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1596-1603 [PMID: 17515382 DOI: 10.2214/AJR.06.1172]</w:t>
      </w:r>
    </w:p>
    <w:p w14:paraId="4EDD5F2D" w14:textId="4C0E7B68" w:rsidR="005B7356" w:rsidRDefault="005B7356" w:rsidP="005B735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Das AK</w:t>
      </w:r>
      <w:r>
        <w:rPr>
          <w:rFonts w:ascii="Book Antiqua" w:eastAsia="Book Antiqua" w:hAnsi="Book Antiqua" w:cs="Book Antiqua"/>
          <w:color w:val="000000"/>
        </w:rPr>
        <w:t xml:space="preserve">. Hepatic and biliary ascariasis. </w:t>
      </w:r>
      <w:r>
        <w:rPr>
          <w:rFonts w:ascii="Book Antiqua" w:eastAsia="Book Antiqua" w:hAnsi="Book Antiqua" w:cs="Book Antiqua"/>
          <w:i/>
          <w:iCs/>
          <w:color w:val="000000"/>
        </w:rPr>
        <w:t>J Glob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65-72 [PMID: 24926166 DOI: 10.4103/0974-777</w:t>
      </w:r>
      <w:r w:rsidR="00E82131" w:rsidRPr="00E82131">
        <w:rPr>
          <w:rFonts w:ascii="Book Antiqua" w:eastAsia="Book Antiqua" w:hAnsi="Book Antiqua" w:cs="Book Antiqua"/>
          <w:color w:val="000000"/>
        </w:rPr>
        <w:t>X</w:t>
      </w:r>
      <w:r>
        <w:rPr>
          <w:rFonts w:ascii="Book Antiqua" w:eastAsia="Book Antiqua" w:hAnsi="Book Antiqua" w:cs="Book Antiqua"/>
          <w:color w:val="000000"/>
        </w:rPr>
        <w:t>.132042]</w:t>
      </w:r>
    </w:p>
    <w:p w14:paraId="1D992A2D" w14:textId="77777777" w:rsidR="005B7356" w:rsidRDefault="005B7356" w:rsidP="005B735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Miller FH</w:t>
      </w:r>
      <w:r>
        <w:rPr>
          <w:rFonts w:ascii="Book Antiqua" w:eastAsia="Book Antiqua" w:hAnsi="Book Antiqua" w:cs="Book Antiqua"/>
          <w:color w:val="000000"/>
        </w:rPr>
        <w:t xml:space="preserve">, Hwang CM, Gabriel H, </w:t>
      </w:r>
      <w:proofErr w:type="spellStart"/>
      <w:r>
        <w:rPr>
          <w:rFonts w:ascii="Book Antiqua" w:eastAsia="Book Antiqua" w:hAnsi="Book Antiqua" w:cs="Book Antiqua"/>
          <w:color w:val="000000"/>
        </w:rPr>
        <w:t>Goodhartz</w:t>
      </w:r>
      <w:proofErr w:type="spellEnd"/>
      <w:r>
        <w:rPr>
          <w:rFonts w:ascii="Book Antiqua" w:eastAsia="Book Antiqua" w:hAnsi="Book Antiqua" w:cs="Book Antiqua"/>
          <w:color w:val="000000"/>
        </w:rPr>
        <w:t xml:space="preserve"> LA, Omar AJ, Parsons WG 3rd. Contrast-enhanced helical CT of choledocholithiasis.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181</w:t>
      </w:r>
      <w:r>
        <w:rPr>
          <w:rFonts w:ascii="Book Antiqua" w:eastAsia="Book Antiqua" w:hAnsi="Book Antiqua" w:cs="Book Antiqua"/>
          <w:color w:val="000000"/>
        </w:rPr>
        <w:t>: 125-130 [PMID: 12818842 DOI: 10.2214/ajr.181.1.1810125]</w:t>
      </w:r>
    </w:p>
    <w:p w14:paraId="17F3B83F" w14:textId="77777777" w:rsidR="005B7356" w:rsidRDefault="005B7356" w:rsidP="005B735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Das CJ</w:t>
      </w:r>
      <w:r>
        <w:rPr>
          <w:rFonts w:ascii="Book Antiqua" w:eastAsia="Book Antiqua" w:hAnsi="Book Antiqua" w:cs="Book Antiqua"/>
          <w:color w:val="000000"/>
        </w:rPr>
        <w:t xml:space="preserve">, Kumar J, Debnath J, Chaudhry A. Imaging of ascariasis. </w:t>
      </w:r>
      <w:proofErr w:type="spellStart"/>
      <w:r>
        <w:rPr>
          <w:rFonts w:ascii="Book Antiqua" w:eastAsia="Book Antiqua" w:hAnsi="Book Antiqua" w:cs="Book Antiqua"/>
          <w:i/>
          <w:iCs/>
          <w:color w:val="000000"/>
        </w:rPr>
        <w:t>Australas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500-506 [PMID: 17958683 DOI: 10.1111/j.1440-1673.2007.01887.x]</w:t>
      </w:r>
    </w:p>
    <w:p w14:paraId="7BF00FB1" w14:textId="77777777" w:rsidR="005B7356" w:rsidRDefault="005B7356" w:rsidP="005B73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Fulcher AS</w:t>
      </w:r>
      <w:r>
        <w:rPr>
          <w:rFonts w:ascii="Book Antiqua" w:eastAsia="Book Antiqua" w:hAnsi="Book Antiqua" w:cs="Book Antiqua"/>
          <w:color w:val="000000"/>
        </w:rPr>
        <w:t xml:space="preserve">. MRCP and ERCP in the diagnosis of common bile duct stones.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56</w:t>
      </w:r>
      <w:r>
        <w:rPr>
          <w:rFonts w:ascii="Book Antiqua" w:eastAsia="Book Antiqua" w:hAnsi="Book Antiqua" w:cs="Book Antiqua"/>
          <w:color w:val="000000"/>
        </w:rPr>
        <w:t>: S178-S182 [PMID: 12447264 DOI: 10.1067/mge.2002.129029]</w:t>
      </w:r>
    </w:p>
    <w:p w14:paraId="4396EC17" w14:textId="77777777" w:rsidR="005B7356" w:rsidRDefault="005B7356" w:rsidP="005B735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Petrov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Savides</w:t>
      </w:r>
      <w:proofErr w:type="spellEnd"/>
      <w:r>
        <w:rPr>
          <w:rFonts w:ascii="Book Antiqua" w:eastAsia="Book Antiqua" w:hAnsi="Book Antiqua" w:cs="Book Antiqua"/>
          <w:color w:val="000000"/>
        </w:rPr>
        <w:t xml:space="preserve"> TJ. Systematic review of endoscopic ultrasonography versus endoscopic retrograde cholangiopancreatography for suspected choledocholithiasis.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96</w:t>
      </w:r>
      <w:r>
        <w:rPr>
          <w:rFonts w:ascii="Book Antiqua" w:eastAsia="Book Antiqua" w:hAnsi="Book Antiqua" w:cs="Book Antiqua"/>
          <w:color w:val="000000"/>
        </w:rPr>
        <w:t>: 967-974 [PMID: 19644975 DOI: 10.1002/bjs.6667]</w:t>
      </w:r>
    </w:p>
    <w:p w14:paraId="0FEC12B0" w14:textId="77777777" w:rsidR="005B7356" w:rsidRDefault="005B7356" w:rsidP="005B735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Kondo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Akahane</w:t>
      </w:r>
      <w:proofErr w:type="spellEnd"/>
      <w:r>
        <w:rPr>
          <w:rFonts w:ascii="Book Antiqua" w:eastAsia="Book Antiqua" w:hAnsi="Book Antiqua" w:cs="Book Antiqua"/>
          <w:color w:val="000000"/>
        </w:rPr>
        <w:t xml:space="preserve"> M, Toda N, </w:t>
      </w:r>
      <w:proofErr w:type="spellStart"/>
      <w:r>
        <w:rPr>
          <w:rFonts w:ascii="Book Antiqua" w:eastAsia="Book Antiqua" w:hAnsi="Book Antiqua" w:cs="Book Antiqua"/>
          <w:color w:val="000000"/>
        </w:rPr>
        <w:t>Sasahira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Yamamoto N, Hirano K, Komatsu Y, Tada M, Yoshida H,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Ohtomo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Detection of common bile duct stones: comparison between endoscopic ultrasonography, magnetic resonance cholangiography, and helical-computed-tomographic cholangiography.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271-275 [PMID: 15837409 DOI: 10.1016/j.ejrad.2004.07.007]</w:t>
      </w:r>
    </w:p>
    <w:p w14:paraId="6E95A5BA" w14:textId="6AD43B09" w:rsidR="005B7356" w:rsidRDefault="005B7356" w:rsidP="005B735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Ng KK</w:t>
      </w:r>
      <w:r>
        <w:rPr>
          <w:rFonts w:ascii="Book Antiqua" w:eastAsia="Book Antiqua" w:hAnsi="Book Antiqua" w:cs="Book Antiqua"/>
          <w:color w:val="000000"/>
        </w:rPr>
        <w:t xml:space="preserve">, Wong HF, Kong MS, Chiu LC, Tan CF, Wan YL. Biliary ascariasis: CT, MR cholangiopancreatography, and navigator endoscopic appearance--report of a case of acute biliary obstruction.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470-472 [PMID: 10475930</w:t>
      </w:r>
      <w:r w:rsidR="00E82131">
        <w:rPr>
          <w:rFonts w:ascii="Book Antiqua" w:eastAsia="Book Antiqua" w:hAnsi="Book Antiqua" w:cs="Book Antiqua"/>
          <w:color w:val="000000"/>
        </w:rPr>
        <w:t xml:space="preserve"> </w:t>
      </w:r>
      <w:r w:rsidR="00E82131" w:rsidRPr="00E82131">
        <w:rPr>
          <w:rFonts w:ascii="Book Antiqua" w:eastAsia="Book Antiqua" w:hAnsi="Book Antiqua" w:cs="Book Antiqua"/>
          <w:color w:val="000000"/>
        </w:rPr>
        <w:t>DOI: 10.1007/s002619900542</w:t>
      </w:r>
      <w:r>
        <w:rPr>
          <w:rFonts w:ascii="Book Antiqua" w:eastAsia="Book Antiqua" w:hAnsi="Book Antiqua" w:cs="Book Antiqua"/>
          <w:color w:val="000000"/>
        </w:rPr>
        <w:t>]</w:t>
      </w:r>
    </w:p>
    <w:p w14:paraId="7E03CED2" w14:textId="77777777" w:rsidR="005B7356" w:rsidRDefault="005B7356" w:rsidP="005B7356">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Misra</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Awasthy</w:t>
      </w:r>
      <w:proofErr w:type="spellEnd"/>
      <w:r>
        <w:rPr>
          <w:rFonts w:ascii="Book Antiqua" w:eastAsia="Book Antiqua" w:hAnsi="Book Antiqua" w:cs="Book Antiqua"/>
          <w:color w:val="000000"/>
        </w:rPr>
        <w:t xml:space="preserve"> DN, Dwivedi M. Choledocholithiasis mimicking Ascaris lumbricoides: problem in ultrasound differential diagnosis. </w:t>
      </w:r>
      <w:r>
        <w:rPr>
          <w:rFonts w:ascii="Book Antiqua" w:eastAsia="Book Antiqua" w:hAnsi="Book Antiqua" w:cs="Book Antiqua"/>
          <w:i/>
          <w:iCs/>
          <w:color w:val="000000"/>
        </w:rPr>
        <w:t xml:space="preserve">Trop </w:t>
      </w:r>
      <w:proofErr w:type="spellStart"/>
      <w:r>
        <w:rPr>
          <w:rFonts w:ascii="Book Antiqua" w:eastAsia="Book Antiqua" w:hAnsi="Book Antiqua" w:cs="Book Antiqua"/>
          <w:i/>
          <w:iCs/>
          <w:color w:val="000000"/>
        </w:rPr>
        <w:t>Doct</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110-111 [PMID: 10418307 DOI: 10.1177/004947559902900219]</w:t>
      </w:r>
    </w:p>
    <w:p w14:paraId="73225109" w14:textId="77777777" w:rsidR="005B7356" w:rsidRDefault="005B7356" w:rsidP="005B735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P. EUS of pancreatic ascariasis.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47-48 [PMID: 29523472 DOI: 10.1016/j.ajg.2018.02.011]</w:t>
      </w:r>
    </w:p>
    <w:p w14:paraId="068BC521" w14:textId="03407B24" w:rsidR="005B7356" w:rsidRDefault="005B7356" w:rsidP="005B7356">
      <w:pPr>
        <w:spacing w:line="360" w:lineRule="auto"/>
        <w:jc w:val="both"/>
      </w:pPr>
      <w:r w:rsidRPr="00E82131">
        <w:rPr>
          <w:rFonts w:ascii="Book Antiqua" w:eastAsia="Book Antiqua" w:hAnsi="Book Antiqua" w:cs="Book Antiqua"/>
          <w:color w:val="000000"/>
          <w:highlight w:val="yellow"/>
        </w:rPr>
        <w:t xml:space="preserve">13 </w:t>
      </w:r>
      <w:r w:rsidRPr="00E82131">
        <w:rPr>
          <w:rFonts w:ascii="Book Antiqua" w:eastAsia="Book Antiqua" w:hAnsi="Book Antiqua" w:cs="Book Antiqua"/>
          <w:b/>
          <w:bCs/>
          <w:color w:val="000000"/>
          <w:highlight w:val="yellow"/>
        </w:rPr>
        <w:t>Roberts LS,</w:t>
      </w:r>
      <w:r w:rsidRPr="00E82131">
        <w:rPr>
          <w:rFonts w:ascii="Book Antiqua" w:eastAsia="Book Antiqua" w:hAnsi="Book Antiqua" w:cs="Book Antiqua"/>
          <w:color w:val="000000"/>
          <w:highlight w:val="yellow"/>
        </w:rPr>
        <w:t xml:space="preserve"> </w:t>
      </w:r>
      <w:proofErr w:type="spellStart"/>
      <w:r w:rsidRPr="00E82131">
        <w:rPr>
          <w:rFonts w:ascii="Book Antiqua" w:eastAsia="Book Antiqua" w:hAnsi="Book Antiqua" w:cs="Book Antiqua"/>
          <w:color w:val="000000"/>
          <w:highlight w:val="yellow"/>
        </w:rPr>
        <w:t>Janovy</w:t>
      </w:r>
      <w:proofErr w:type="spellEnd"/>
      <w:r w:rsidRPr="00E82131">
        <w:rPr>
          <w:rFonts w:ascii="Book Antiqua" w:eastAsia="Book Antiqua" w:hAnsi="Book Antiqua" w:cs="Book Antiqua"/>
          <w:color w:val="000000"/>
          <w:highlight w:val="yellow"/>
        </w:rPr>
        <w:t>, Jr J. Foundations of parasitology. 8th ed. Boston, MA: McGraw-Hill, 2008</w:t>
      </w:r>
    </w:p>
    <w:p w14:paraId="3B162408" w14:textId="77777777" w:rsidR="005B7356" w:rsidRDefault="005B7356" w:rsidP="005B735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Dold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Holland CV. Ascaris and ascariasis. </w:t>
      </w:r>
      <w:r>
        <w:rPr>
          <w:rFonts w:ascii="Book Antiqua" w:eastAsia="Book Antiqua" w:hAnsi="Book Antiqua" w:cs="Book Antiqua"/>
          <w:i/>
          <w:iCs/>
          <w:color w:val="000000"/>
        </w:rPr>
        <w:t>Microbes Infect</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632-637 [PMID: 20934531 DOI: 10.1016/j.micinf.2010.09.012]</w:t>
      </w:r>
    </w:p>
    <w:p w14:paraId="46665413" w14:textId="77777777" w:rsidR="00A77B3E" w:rsidRDefault="00A77B3E">
      <w:pPr>
        <w:spacing w:line="360" w:lineRule="auto"/>
        <w:ind w:hanging="720"/>
        <w:jc w:val="both"/>
        <w:sectPr w:rsidR="00A77B3E">
          <w:pgSz w:w="12240" w:h="15840"/>
          <w:pgMar w:top="1440" w:right="1440" w:bottom="1440" w:left="1440" w:header="720" w:footer="720" w:gutter="0"/>
          <w:cols w:space="720"/>
          <w:docGrid w:linePitch="360"/>
        </w:sectPr>
      </w:pPr>
    </w:p>
    <w:p w14:paraId="5EB436F7" w14:textId="77777777" w:rsidR="00A77B3E" w:rsidRDefault="004A0702" w:rsidP="004A0702">
      <w:pPr>
        <w:spacing w:line="360" w:lineRule="auto"/>
        <w:ind w:left="720" w:hanging="720"/>
        <w:jc w:val="both"/>
      </w:pPr>
      <w:r>
        <w:rPr>
          <w:rFonts w:ascii="Book Antiqua" w:eastAsia="Book Antiqua" w:hAnsi="Book Antiqua" w:cs="Book Antiqua"/>
          <w:b/>
          <w:color w:val="000000"/>
        </w:rPr>
        <w:lastRenderedPageBreak/>
        <w:t>Footnotes</w:t>
      </w:r>
    </w:p>
    <w:p w14:paraId="42AD96B2" w14:textId="77777777" w:rsidR="00A77B3E" w:rsidRDefault="004A0702">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This case report was approved by the institutional review board at our institution. The need for informed consent was waived.</w:t>
      </w:r>
    </w:p>
    <w:p w14:paraId="187AF2E6" w14:textId="77777777" w:rsidR="00A77B3E" w:rsidRDefault="00A77B3E">
      <w:pPr>
        <w:spacing w:line="360" w:lineRule="auto"/>
        <w:jc w:val="both"/>
      </w:pPr>
    </w:p>
    <w:p w14:paraId="3FC518ED" w14:textId="77777777" w:rsidR="00A77B3E" w:rsidRDefault="004A0702">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state that they have no conflict of interest.</w:t>
      </w:r>
    </w:p>
    <w:p w14:paraId="075A1EDB" w14:textId="77777777" w:rsidR="00A77B3E" w:rsidRDefault="00A77B3E">
      <w:pPr>
        <w:spacing w:line="360" w:lineRule="auto"/>
        <w:jc w:val="both"/>
      </w:pPr>
    </w:p>
    <w:p w14:paraId="275E7A79" w14:textId="7D9520BC" w:rsidR="00A77B3E" w:rsidRDefault="004A0702">
      <w:pPr>
        <w:spacing w:line="360" w:lineRule="auto"/>
        <w:jc w:val="both"/>
      </w:pPr>
      <w:r>
        <w:rPr>
          <w:rFonts w:ascii="Book Antiqua" w:eastAsia="Book Antiqua" w:hAnsi="Book Antiqua" w:cs="Book Antiqua"/>
          <w:b/>
          <w:bCs/>
          <w:color w:val="000000"/>
          <w:szCs w:val="20"/>
        </w:rPr>
        <w:t xml:space="preserve">CARE Checklist (2016) statement: </w:t>
      </w:r>
      <w:r w:rsidR="00072DB8">
        <w:rPr>
          <w:rFonts w:ascii="Book Antiqua" w:eastAsia="Book Antiqua" w:hAnsi="Book Antiqua" w:cs="Book Antiqua"/>
          <w:color w:val="000000"/>
          <w:szCs w:val="21"/>
        </w:rPr>
        <w:t>The authors have read the CARE Checklist (2016), and the manuscript was prepared and revised according to the CARE Checklist (2016).</w:t>
      </w:r>
    </w:p>
    <w:p w14:paraId="6E8D2F4C" w14:textId="77777777" w:rsidR="00A77B3E" w:rsidRDefault="00A77B3E">
      <w:pPr>
        <w:spacing w:line="360" w:lineRule="auto"/>
        <w:jc w:val="both"/>
      </w:pPr>
    </w:p>
    <w:p w14:paraId="395C716B" w14:textId="77777777" w:rsidR="00A77B3E" w:rsidRDefault="004A07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77E49F" w14:textId="77777777" w:rsidR="00A77B3E" w:rsidRDefault="00A77B3E">
      <w:pPr>
        <w:spacing w:line="360" w:lineRule="auto"/>
        <w:jc w:val="both"/>
      </w:pPr>
    </w:p>
    <w:p w14:paraId="548A7DEE" w14:textId="29C5EB7E" w:rsidR="00A77B3E" w:rsidRDefault="004A070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72DB8">
        <w:rPr>
          <w:rFonts w:ascii="Book Antiqua" w:eastAsia="Book Antiqua" w:hAnsi="Book Antiqua" w:cs="Book Antiqua"/>
          <w:color w:val="000000"/>
        </w:rPr>
        <w:t>m</w:t>
      </w:r>
      <w:r>
        <w:rPr>
          <w:rFonts w:ascii="Book Antiqua" w:eastAsia="Book Antiqua" w:hAnsi="Book Antiqua" w:cs="Book Antiqua"/>
          <w:color w:val="000000"/>
        </w:rPr>
        <w:t>anuscript</w:t>
      </w:r>
    </w:p>
    <w:p w14:paraId="600DE8F4" w14:textId="77777777" w:rsidR="00A77B3E" w:rsidRDefault="00A77B3E">
      <w:pPr>
        <w:spacing w:line="360" w:lineRule="auto"/>
        <w:jc w:val="both"/>
      </w:pPr>
    </w:p>
    <w:p w14:paraId="10AEBC26" w14:textId="77777777" w:rsidR="00A77B3E" w:rsidRDefault="004A07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2020</w:t>
      </w:r>
    </w:p>
    <w:p w14:paraId="1A74B9AD" w14:textId="77777777" w:rsidR="00A77B3E" w:rsidRDefault="004A07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0B03DA59" w14:textId="77777777" w:rsidR="00A77B3E" w:rsidRDefault="004A0702">
      <w:pPr>
        <w:spacing w:line="360" w:lineRule="auto"/>
        <w:jc w:val="both"/>
      </w:pPr>
      <w:r>
        <w:rPr>
          <w:rFonts w:ascii="Book Antiqua" w:eastAsia="Book Antiqua" w:hAnsi="Book Antiqua" w:cs="Book Antiqua"/>
          <w:b/>
          <w:color w:val="000000"/>
        </w:rPr>
        <w:t xml:space="preserve">Article in press: </w:t>
      </w:r>
    </w:p>
    <w:p w14:paraId="2DDC3A29" w14:textId="77777777" w:rsidR="00A77B3E" w:rsidRDefault="00A77B3E">
      <w:pPr>
        <w:spacing w:line="360" w:lineRule="auto"/>
        <w:jc w:val="both"/>
      </w:pPr>
    </w:p>
    <w:p w14:paraId="74B008B7" w14:textId="49BB96FC" w:rsidR="00A77B3E" w:rsidRDefault="004A0702">
      <w:pPr>
        <w:spacing w:line="360" w:lineRule="auto"/>
        <w:jc w:val="both"/>
      </w:pPr>
      <w:r>
        <w:rPr>
          <w:rFonts w:ascii="Book Antiqua" w:eastAsia="Book Antiqua" w:hAnsi="Book Antiqua" w:cs="Book Antiqua"/>
          <w:b/>
          <w:color w:val="000000"/>
        </w:rPr>
        <w:t xml:space="preserve">Specialty type: </w:t>
      </w:r>
      <w:r w:rsidR="00072DB8" w:rsidRPr="00176A24">
        <w:rPr>
          <w:rFonts w:ascii="Book Antiqua" w:eastAsia="Book Antiqua" w:hAnsi="Book Antiqua" w:cs="Book Antiqua"/>
          <w:color w:val="000000"/>
        </w:rPr>
        <w:t>Medicine, research and experimental</w:t>
      </w:r>
    </w:p>
    <w:p w14:paraId="204B3BCF" w14:textId="77777777" w:rsidR="00A77B3E" w:rsidRDefault="004A07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1423A43" w14:textId="77777777" w:rsidR="00A77B3E" w:rsidRDefault="004A0702">
      <w:pPr>
        <w:spacing w:line="360" w:lineRule="auto"/>
        <w:jc w:val="both"/>
      </w:pPr>
      <w:r>
        <w:rPr>
          <w:rFonts w:ascii="Book Antiqua" w:eastAsia="Book Antiqua" w:hAnsi="Book Antiqua" w:cs="Book Antiqua"/>
          <w:b/>
          <w:color w:val="000000"/>
        </w:rPr>
        <w:t>Peer-review report’s scientific quality classification</w:t>
      </w:r>
    </w:p>
    <w:p w14:paraId="64C1C972" w14:textId="77777777" w:rsidR="00A77B3E" w:rsidRDefault="004A0702">
      <w:pPr>
        <w:spacing w:line="360" w:lineRule="auto"/>
        <w:jc w:val="both"/>
      </w:pPr>
      <w:r>
        <w:rPr>
          <w:rFonts w:ascii="Book Antiqua" w:eastAsia="Book Antiqua" w:hAnsi="Book Antiqua" w:cs="Book Antiqua"/>
          <w:color w:val="000000"/>
        </w:rPr>
        <w:t>Grade A (Excellent): 0</w:t>
      </w:r>
    </w:p>
    <w:p w14:paraId="795A0197" w14:textId="77777777" w:rsidR="00A77B3E" w:rsidRDefault="004A0702">
      <w:pPr>
        <w:spacing w:line="360" w:lineRule="auto"/>
        <w:jc w:val="both"/>
      </w:pPr>
      <w:r>
        <w:rPr>
          <w:rFonts w:ascii="Book Antiqua" w:eastAsia="Book Antiqua" w:hAnsi="Book Antiqua" w:cs="Book Antiqua"/>
          <w:color w:val="000000"/>
        </w:rPr>
        <w:t>Grade B (Very good): 0</w:t>
      </w:r>
    </w:p>
    <w:p w14:paraId="0CFBE7BC" w14:textId="77777777" w:rsidR="00A77B3E" w:rsidRDefault="004A0702">
      <w:pPr>
        <w:spacing w:line="360" w:lineRule="auto"/>
        <w:jc w:val="both"/>
      </w:pPr>
      <w:r>
        <w:rPr>
          <w:rFonts w:ascii="Book Antiqua" w:eastAsia="Book Antiqua" w:hAnsi="Book Antiqua" w:cs="Book Antiqua"/>
          <w:color w:val="000000"/>
        </w:rPr>
        <w:t>Grade C (Good): C</w:t>
      </w:r>
    </w:p>
    <w:p w14:paraId="36F5BDBC" w14:textId="77777777" w:rsidR="00A77B3E" w:rsidRDefault="004A0702">
      <w:pPr>
        <w:spacing w:line="360" w:lineRule="auto"/>
        <w:jc w:val="both"/>
      </w:pPr>
      <w:r>
        <w:rPr>
          <w:rFonts w:ascii="Book Antiqua" w:eastAsia="Book Antiqua" w:hAnsi="Book Antiqua" w:cs="Book Antiqua"/>
          <w:color w:val="000000"/>
        </w:rPr>
        <w:lastRenderedPageBreak/>
        <w:t>Grade D (Fair): 0</w:t>
      </w:r>
    </w:p>
    <w:p w14:paraId="0C7CB61C" w14:textId="77777777" w:rsidR="00A77B3E" w:rsidRDefault="004A0702">
      <w:pPr>
        <w:spacing w:line="360" w:lineRule="auto"/>
        <w:jc w:val="both"/>
      </w:pPr>
      <w:r>
        <w:rPr>
          <w:rFonts w:ascii="Book Antiqua" w:eastAsia="Book Antiqua" w:hAnsi="Book Antiqua" w:cs="Book Antiqua"/>
          <w:color w:val="000000"/>
        </w:rPr>
        <w:t>Grade E (Poor): 0</w:t>
      </w:r>
    </w:p>
    <w:p w14:paraId="2762F75C" w14:textId="77777777" w:rsidR="00A77B3E" w:rsidRDefault="00A77B3E">
      <w:pPr>
        <w:spacing w:line="360" w:lineRule="auto"/>
        <w:jc w:val="both"/>
      </w:pPr>
    </w:p>
    <w:p w14:paraId="1AB85E30" w14:textId="724BAC94" w:rsidR="00A77B3E" w:rsidRDefault="004A070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Geramizadeh</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r w:rsidR="00072DB8">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072DB8">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02698E14" w14:textId="77777777" w:rsidR="00C37A13" w:rsidRDefault="00C37A13">
      <w:pPr>
        <w:spacing w:line="360" w:lineRule="auto"/>
        <w:jc w:val="both"/>
        <w:sectPr w:rsidR="00C37A13">
          <w:pgSz w:w="12240" w:h="15840"/>
          <w:pgMar w:top="1440" w:right="1440" w:bottom="1440" w:left="1440" w:header="720" w:footer="720" w:gutter="0"/>
          <w:cols w:space="720"/>
          <w:docGrid w:linePitch="360"/>
        </w:sectPr>
      </w:pPr>
    </w:p>
    <w:p w14:paraId="22E49C97" w14:textId="35F41459" w:rsidR="00DE4120" w:rsidRPr="00E8141A" w:rsidRDefault="004A0702">
      <w:pPr>
        <w:spacing w:line="360" w:lineRule="auto"/>
        <w:jc w:val="both"/>
        <w:rPr>
          <w:rFonts w:ascii="Book Antiqua" w:eastAsia="Book Antiqua" w:hAnsi="Book Antiqua" w:cs="Book Antiqua"/>
          <w:color w:val="000000"/>
          <w:szCs w:val="20"/>
        </w:rPr>
      </w:pPr>
      <w:r>
        <w:rPr>
          <w:rFonts w:ascii="Book Antiqua" w:eastAsia="Book Antiqua" w:hAnsi="Book Antiqua" w:cs="Book Antiqua"/>
          <w:b/>
          <w:color w:val="000000"/>
        </w:rPr>
        <w:lastRenderedPageBreak/>
        <w:t>Figure Legends</w:t>
      </w:r>
    </w:p>
    <w:p w14:paraId="19CBF12E" w14:textId="2BF4768B" w:rsidR="00A77B3E" w:rsidRDefault="00DE4120">
      <w:pPr>
        <w:spacing w:line="360" w:lineRule="auto"/>
        <w:jc w:val="both"/>
        <w:rPr>
          <w:rFonts w:ascii="Book Antiqua" w:eastAsia="Book Antiqua" w:hAnsi="Book Antiqua" w:cs="Book Antiqua"/>
          <w:color w:val="000000"/>
          <w:szCs w:val="20"/>
        </w:rPr>
      </w:pPr>
      <w:r>
        <w:rPr>
          <w:noProof/>
          <w:lang w:eastAsia="zh-CN"/>
        </w:rPr>
        <w:drawing>
          <wp:inline distT="0" distB="0" distL="0" distR="0" wp14:anchorId="6519CD61" wp14:editId="305D9B20">
            <wp:extent cx="5943600" cy="2199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99640"/>
                    </a:xfrm>
                    <a:prstGeom prst="rect">
                      <a:avLst/>
                    </a:prstGeom>
                  </pic:spPr>
                </pic:pic>
              </a:graphicData>
            </a:graphic>
          </wp:inline>
        </w:drawing>
      </w:r>
    </w:p>
    <w:p w14:paraId="48ED8B29" w14:textId="50403C5C" w:rsidR="00DE4120" w:rsidRDefault="00DE4120">
      <w:pPr>
        <w:spacing w:line="360" w:lineRule="auto"/>
        <w:jc w:val="both"/>
      </w:pPr>
      <w:r>
        <w:rPr>
          <w:noProof/>
          <w:lang w:eastAsia="zh-CN"/>
        </w:rPr>
        <w:drawing>
          <wp:inline distT="0" distB="0" distL="0" distR="0" wp14:anchorId="081BA711" wp14:editId="2844B74C">
            <wp:extent cx="5943600" cy="207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73275"/>
                    </a:xfrm>
                    <a:prstGeom prst="rect">
                      <a:avLst/>
                    </a:prstGeom>
                  </pic:spPr>
                </pic:pic>
              </a:graphicData>
            </a:graphic>
          </wp:inline>
        </w:drawing>
      </w:r>
    </w:p>
    <w:p w14:paraId="4B58751B" w14:textId="0C75BD7A" w:rsidR="00DF2BC1" w:rsidRDefault="00DF2BC1">
      <w:pPr>
        <w:spacing w:line="360" w:lineRule="auto"/>
        <w:jc w:val="both"/>
      </w:pPr>
      <w:r>
        <w:rPr>
          <w:noProof/>
          <w:lang w:eastAsia="zh-CN"/>
        </w:rPr>
        <w:drawing>
          <wp:inline distT="0" distB="0" distL="0" distR="0" wp14:anchorId="1BF2A4CC" wp14:editId="3CAC55DD">
            <wp:extent cx="5943600" cy="27997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99715"/>
                    </a:xfrm>
                    <a:prstGeom prst="rect">
                      <a:avLst/>
                    </a:prstGeom>
                  </pic:spPr>
                </pic:pic>
              </a:graphicData>
            </a:graphic>
          </wp:inline>
        </w:drawing>
      </w:r>
    </w:p>
    <w:p w14:paraId="37581AB5" w14:textId="14175C19" w:rsidR="00E20B66" w:rsidRDefault="004A070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w:t>
      </w:r>
      <w:r w:rsidR="00E20B66">
        <w:rPr>
          <w:rFonts w:ascii="Book Antiqua" w:eastAsia="Book Antiqua" w:hAnsi="Book Antiqua" w:cs="Book Antiqua"/>
          <w:b/>
          <w:bCs/>
          <w:color w:val="000000"/>
          <w:szCs w:val="20"/>
        </w:rPr>
        <w:t>1</w:t>
      </w:r>
      <w:r>
        <w:rPr>
          <w:rFonts w:ascii="Book Antiqua" w:eastAsia="Book Antiqua" w:hAnsi="Book Antiqua" w:cs="Book Antiqua"/>
          <w:b/>
          <w:bCs/>
          <w:color w:val="000000"/>
          <w:szCs w:val="20"/>
        </w:rPr>
        <w:t xml:space="preserve"> </w:t>
      </w:r>
      <w:r w:rsidRPr="00DF2BC1">
        <w:rPr>
          <w:rFonts w:ascii="Book Antiqua" w:eastAsia="Book Antiqua" w:hAnsi="Book Antiqua" w:cs="Book Antiqua"/>
          <w:b/>
          <w:bCs/>
          <w:color w:val="000000"/>
          <w:szCs w:val="20"/>
        </w:rPr>
        <w:t xml:space="preserve">A 72-year-old male with a distal </w:t>
      </w:r>
      <w:bookmarkStart w:id="0" w:name="_Hlk48568101"/>
      <w:r w:rsidRPr="00DF2BC1">
        <w:rPr>
          <w:rFonts w:ascii="Book Antiqua" w:eastAsia="Book Antiqua" w:hAnsi="Book Antiqua" w:cs="Book Antiqua"/>
          <w:b/>
          <w:bCs/>
          <w:color w:val="000000"/>
          <w:szCs w:val="20"/>
        </w:rPr>
        <w:t>common bile duct</w:t>
      </w:r>
      <w:bookmarkEnd w:id="0"/>
      <w:r w:rsidRPr="00DF2BC1">
        <w:rPr>
          <w:rFonts w:ascii="Book Antiqua" w:eastAsia="Book Antiqua" w:hAnsi="Book Antiqua" w:cs="Book Antiqua"/>
          <w:b/>
          <w:bCs/>
          <w:color w:val="000000"/>
          <w:szCs w:val="20"/>
        </w:rPr>
        <w:t xml:space="preserve"> stone mimicking Ascaris</w:t>
      </w:r>
      <w:r>
        <w:rPr>
          <w:rFonts w:ascii="Book Antiqua" w:eastAsia="Book Antiqua" w:hAnsi="Book Antiqua" w:cs="Book Antiqua"/>
          <w:color w:val="000000"/>
          <w:szCs w:val="20"/>
        </w:rPr>
        <w:t>. A</w:t>
      </w:r>
      <w:r w:rsidR="00DF2BC1">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 xml:space="preserve">B: Coronal reformatted images of contrast-enhanced computed tomography </w:t>
      </w:r>
      <w:r>
        <w:rPr>
          <w:rFonts w:ascii="Book Antiqua" w:eastAsia="Book Antiqua" w:hAnsi="Book Antiqua" w:cs="Book Antiqua"/>
          <w:color w:val="000000"/>
          <w:szCs w:val="20"/>
        </w:rPr>
        <w:lastRenderedPageBreak/>
        <w:t xml:space="preserve">showed a </w:t>
      </w:r>
      <w:proofErr w:type="spellStart"/>
      <w:r>
        <w:rPr>
          <w:rFonts w:ascii="Book Antiqua" w:eastAsia="Book Antiqua" w:hAnsi="Book Antiqua" w:cs="Book Antiqua"/>
          <w:color w:val="000000"/>
          <w:szCs w:val="20"/>
        </w:rPr>
        <w:t>hyperattenuated</w:t>
      </w:r>
      <w:proofErr w:type="spellEnd"/>
      <w:r>
        <w:rPr>
          <w:rFonts w:ascii="Book Antiqua" w:eastAsia="Book Antiqua" w:hAnsi="Book Antiqua" w:cs="Book Antiqua"/>
          <w:color w:val="000000"/>
          <w:szCs w:val="20"/>
        </w:rPr>
        <w:t xml:space="preserve">, elongated lesion inside the distal </w:t>
      </w:r>
      <w:r w:rsidR="00DF2BC1" w:rsidRPr="00DF2BC1">
        <w:rPr>
          <w:rFonts w:ascii="Book Antiqua" w:eastAsia="Book Antiqua" w:hAnsi="Book Antiqua" w:cs="Book Antiqua"/>
          <w:color w:val="000000"/>
          <w:szCs w:val="20"/>
        </w:rPr>
        <w:t xml:space="preserve">common bile duct </w:t>
      </w:r>
      <w:r w:rsidR="00DF2BC1">
        <w:rPr>
          <w:rFonts w:ascii="Book Antiqua" w:eastAsia="Book Antiqua" w:hAnsi="Book Antiqua" w:cs="Book Antiqua"/>
          <w:color w:val="000000"/>
          <w:szCs w:val="20"/>
        </w:rPr>
        <w:t>(</w:t>
      </w:r>
      <w:r>
        <w:rPr>
          <w:rFonts w:ascii="Book Antiqua" w:eastAsia="Book Antiqua" w:hAnsi="Book Antiqua" w:cs="Book Antiqua"/>
          <w:color w:val="000000"/>
          <w:szCs w:val="20"/>
        </w:rPr>
        <w:t>CBD</w:t>
      </w:r>
      <w:r w:rsidR="00DF2BC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lumen (arrows); C</w:t>
      </w:r>
      <w:r w:rsidR="00DF2BC1">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D: A T2-weighted coronal image revealed a linear filling defect in the distal CBD lumen with mild ductal dilatation, findings that mimic an Ascaris worm; E</w:t>
      </w:r>
      <w:r w:rsidR="00DF2BC1">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F: An elongated tubular filling defect was seen on endoscopic retrograde cholangiopancreatography, and a hyperechoic lesion with a central hypoechoic area was seen on endoscopic ultrasound; G: A dark-brown-colored CBD stone was discovered through endoscopic removal.</w:t>
      </w:r>
    </w:p>
    <w:p w14:paraId="682CA734" w14:textId="45DDB4EA" w:rsidR="00DE4120" w:rsidRDefault="00E20B66">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noProof/>
          <w:lang w:eastAsia="zh-CN"/>
        </w:rPr>
        <w:lastRenderedPageBreak/>
        <w:drawing>
          <wp:inline distT="0" distB="0" distL="0" distR="0" wp14:anchorId="4CE28D6A" wp14:editId="2A57E936">
            <wp:extent cx="4319619" cy="5924593"/>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9619" cy="5924593"/>
                    </a:xfrm>
                    <a:prstGeom prst="rect">
                      <a:avLst/>
                    </a:prstGeom>
                  </pic:spPr>
                </pic:pic>
              </a:graphicData>
            </a:graphic>
          </wp:inline>
        </w:drawing>
      </w:r>
    </w:p>
    <w:p w14:paraId="4A056107" w14:textId="29A9A88F" w:rsidR="00A77B3E" w:rsidRPr="0039663D" w:rsidRDefault="00E20B66" w:rsidP="0039663D">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2 </w:t>
      </w:r>
      <w:r w:rsidRPr="00040FC2">
        <w:rPr>
          <w:rFonts w:ascii="Book Antiqua" w:eastAsia="Book Antiqua" w:hAnsi="Book Antiqua" w:cs="Book Antiqua"/>
          <w:b/>
          <w:bCs/>
          <w:color w:val="000000"/>
          <w:szCs w:val="20"/>
        </w:rPr>
        <w:t>Timeline of the patient’s illness.</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CT: Computed tomography; CBD: Common bile duct; MRCP: Magnetic resonance cholangiopancreatography; ERCP: Endoscopic retrograde cholangiopancreatography; EUS: Endoscopic ultrasound.</w:t>
      </w:r>
    </w:p>
    <w:sectPr w:rsidR="00A77B3E" w:rsidRPr="003966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858E2" w14:textId="77777777" w:rsidR="000F5655" w:rsidRDefault="000F5655" w:rsidP="00E529A6">
      <w:r>
        <w:separator/>
      </w:r>
    </w:p>
  </w:endnote>
  <w:endnote w:type="continuationSeparator" w:id="0">
    <w:p w14:paraId="32C59C34" w14:textId="77777777" w:rsidR="000F5655" w:rsidRDefault="000F5655" w:rsidP="00E5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3432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47EFABD" w14:textId="3203299B" w:rsidR="00E529A6" w:rsidRPr="00E529A6" w:rsidRDefault="00E529A6" w:rsidP="00E529A6">
            <w:pPr>
              <w:pStyle w:val="a5"/>
              <w:jc w:val="right"/>
              <w:rPr>
                <w:rFonts w:ascii="Book Antiqua" w:hAnsi="Book Antiqua"/>
                <w:sz w:val="24"/>
                <w:szCs w:val="24"/>
              </w:rPr>
            </w:pPr>
            <w:r w:rsidRPr="00E529A6">
              <w:rPr>
                <w:rFonts w:ascii="Book Antiqua" w:hAnsi="Book Antiqua"/>
                <w:sz w:val="24"/>
                <w:szCs w:val="24"/>
                <w:lang w:val="zh-CN" w:eastAsia="zh-CN"/>
              </w:rPr>
              <w:t xml:space="preserve"> </w:t>
            </w:r>
            <w:r w:rsidRPr="00E529A6">
              <w:rPr>
                <w:rFonts w:ascii="Book Antiqua" w:hAnsi="Book Antiqua"/>
                <w:sz w:val="24"/>
                <w:szCs w:val="24"/>
              </w:rPr>
              <w:fldChar w:fldCharType="begin"/>
            </w:r>
            <w:r w:rsidRPr="00E529A6">
              <w:rPr>
                <w:rFonts w:ascii="Book Antiqua" w:hAnsi="Book Antiqua"/>
                <w:sz w:val="24"/>
                <w:szCs w:val="24"/>
              </w:rPr>
              <w:instrText>PAGE</w:instrText>
            </w:r>
            <w:r w:rsidRPr="00E529A6">
              <w:rPr>
                <w:rFonts w:ascii="Book Antiqua" w:hAnsi="Book Antiqua"/>
                <w:sz w:val="24"/>
                <w:szCs w:val="24"/>
              </w:rPr>
              <w:fldChar w:fldCharType="separate"/>
            </w:r>
            <w:r w:rsidR="00F410E4">
              <w:rPr>
                <w:rFonts w:ascii="Book Antiqua" w:hAnsi="Book Antiqua"/>
                <w:noProof/>
                <w:sz w:val="24"/>
                <w:szCs w:val="24"/>
              </w:rPr>
              <w:t>15</w:t>
            </w:r>
            <w:r w:rsidRPr="00E529A6">
              <w:rPr>
                <w:rFonts w:ascii="Book Antiqua" w:hAnsi="Book Antiqua"/>
                <w:sz w:val="24"/>
                <w:szCs w:val="24"/>
              </w:rPr>
              <w:fldChar w:fldCharType="end"/>
            </w:r>
            <w:r w:rsidRPr="00E529A6">
              <w:rPr>
                <w:rFonts w:ascii="Book Antiqua" w:hAnsi="Book Antiqua"/>
                <w:sz w:val="24"/>
                <w:szCs w:val="24"/>
                <w:lang w:val="zh-CN" w:eastAsia="zh-CN"/>
              </w:rPr>
              <w:t xml:space="preserve"> / </w:t>
            </w:r>
            <w:r w:rsidRPr="00E529A6">
              <w:rPr>
                <w:rFonts w:ascii="Book Antiqua" w:hAnsi="Book Antiqua"/>
                <w:sz w:val="24"/>
                <w:szCs w:val="24"/>
              </w:rPr>
              <w:fldChar w:fldCharType="begin"/>
            </w:r>
            <w:r w:rsidRPr="00E529A6">
              <w:rPr>
                <w:rFonts w:ascii="Book Antiqua" w:hAnsi="Book Antiqua"/>
                <w:sz w:val="24"/>
                <w:szCs w:val="24"/>
              </w:rPr>
              <w:instrText>NUMPAGES</w:instrText>
            </w:r>
            <w:r w:rsidRPr="00E529A6">
              <w:rPr>
                <w:rFonts w:ascii="Book Antiqua" w:hAnsi="Book Antiqua"/>
                <w:sz w:val="24"/>
                <w:szCs w:val="24"/>
              </w:rPr>
              <w:fldChar w:fldCharType="separate"/>
            </w:r>
            <w:r w:rsidR="00F410E4">
              <w:rPr>
                <w:rFonts w:ascii="Book Antiqua" w:hAnsi="Book Antiqua"/>
                <w:noProof/>
                <w:sz w:val="24"/>
                <w:szCs w:val="24"/>
              </w:rPr>
              <w:t>15</w:t>
            </w:r>
            <w:r w:rsidRPr="00E529A6">
              <w:rPr>
                <w:rFonts w:ascii="Book Antiqua" w:hAnsi="Book Antiqua"/>
                <w:sz w:val="24"/>
                <w:szCs w:val="24"/>
              </w:rPr>
              <w:fldChar w:fldCharType="end"/>
            </w:r>
          </w:p>
        </w:sdtContent>
      </w:sdt>
    </w:sdtContent>
  </w:sdt>
  <w:p w14:paraId="1D4724F3" w14:textId="77777777" w:rsidR="00E529A6" w:rsidRDefault="00E529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C7B4B" w14:textId="77777777" w:rsidR="000F5655" w:rsidRDefault="000F5655" w:rsidP="00E529A6">
      <w:r>
        <w:separator/>
      </w:r>
    </w:p>
  </w:footnote>
  <w:footnote w:type="continuationSeparator" w:id="0">
    <w:p w14:paraId="174CE546" w14:textId="77777777" w:rsidR="000F5655" w:rsidRDefault="000F5655" w:rsidP="00E529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F8E"/>
    <w:rsid w:val="00040FC2"/>
    <w:rsid w:val="00072DB8"/>
    <w:rsid w:val="000A40E0"/>
    <w:rsid w:val="000E10B6"/>
    <w:rsid w:val="000F5655"/>
    <w:rsid w:val="001D054E"/>
    <w:rsid w:val="002A56F9"/>
    <w:rsid w:val="002D7323"/>
    <w:rsid w:val="00380F22"/>
    <w:rsid w:val="0039663D"/>
    <w:rsid w:val="003B7F1C"/>
    <w:rsid w:val="004031D8"/>
    <w:rsid w:val="00444195"/>
    <w:rsid w:val="004557D6"/>
    <w:rsid w:val="004668F2"/>
    <w:rsid w:val="004A0702"/>
    <w:rsid w:val="004E644D"/>
    <w:rsid w:val="00591E33"/>
    <w:rsid w:val="005B7356"/>
    <w:rsid w:val="00685D6D"/>
    <w:rsid w:val="006C32EC"/>
    <w:rsid w:val="008D2F09"/>
    <w:rsid w:val="00931136"/>
    <w:rsid w:val="00981F2E"/>
    <w:rsid w:val="00A77B3E"/>
    <w:rsid w:val="00AB45EB"/>
    <w:rsid w:val="00B22748"/>
    <w:rsid w:val="00B3520F"/>
    <w:rsid w:val="00BE5A7F"/>
    <w:rsid w:val="00C37A13"/>
    <w:rsid w:val="00CA2A55"/>
    <w:rsid w:val="00CE0A15"/>
    <w:rsid w:val="00DE4120"/>
    <w:rsid w:val="00DF2BC1"/>
    <w:rsid w:val="00E20B66"/>
    <w:rsid w:val="00E44E72"/>
    <w:rsid w:val="00E5141B"/>
    <w:rsid w:val="00E529A6"/>
    <w:rsid w:val="00E749DD"/>
    <w:rsid w:val="00E8141A"/>
    <w:rsid w:val="00E82131"/>
    <w:rsid w:val="00F41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24ECA2"/>
  <w15:docId w15:val="{76AB4949-C56D-47E4-B631-5D94EFF2B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529A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529A6"/>
    <w:rPr>
      <w:sz w:val="18"/>
      <w:szCs w:val="18"/>
    </w:rPr>
  </w:style>
  <w:style w:type="paragraph" w:styleId="a5">
    <w:name w:val="footer"/>
    <w:basedOn w:val="a"/>
    <w:link w:val="a6"/>
    <w:uiPriority w:val="99"/>
    <w:unhideWhenUsed/>
    <w:rsid w:val="00E529A6"/>
    <w:pPr>
      <w:tabs>
        <w:tab w:val="center" w:pos="4153"/>
        <w:tab w:val="right" w:pos="8306"/>
      </w:tabs>
      <w:snapToGrid w:val="0"/>
    </w:pPr>
    <w:rPr>
      <w:sz w:val="18"/>
      <w:szCs w:val="18"/>
    </w:rPr>
  </w:style>
  <w:style w:type="character" w:customStyle="1" w:styleId="a6">
    <w:name w:val="页脚 字符"/>
    <w:basedOn w:val="a0"/>
    <w:link w:val="a5"/>
    <w:uiPriority w:val="99"/>
    <w:rsid w:val="00E529A6"/>
    <w:rPr>
      <w:sz w:val="18"/>
      <w:szCs w:val="18"/>
    </w:rPr>
  </w:style>
  <w:style w:type="character" w:styleId="a7">
    <w:name w:val="annotation reference"/>
    <w:basedOn w:val="a0"/>
    <w:semiHidden/>
    <w:unhideWhenUsed/>
    <w:rsid w:val="00981F2E"/>
    <w:rPr>
      <w:sz w:val="18"/>
      <w:szCs w:val="18"/>
    </w:rPr>
  </w:style>
  <w:style w:type="paragraph" w:styleId="a8">
    <w:name w:val="annotation text"/>
    <w:basedOn w:val="a"/>
    <w:link w:val="a9"/>
    <w:semiHidden/>
    <w:unhideWhenUsed/>
    <w:rsid w:val="00981F2E"/>
  </w:style>
  <w:style w:type="character" w:customStyle="1" w:styleId="a9">
    <w:name w:val="批注文字 字符"/>
    <w:basedOn w:val="a0"/>
    <w:link w:val="a8"/>
    <w:semiHidden/>
    <w:rsid w:val="00981F2E"/>
    <w:rPr>
      <w:sz w:val="24"/>
      <w:szCs w:val="24"/>
    </w:rPr>
  </w:style>
  <w:style w:type="paragraph" w:styleId="aa">
    <w:name w:val="annotation subject"/>
    <w:basedOn w:val="a8"/>
    <w:next w:val="a8"/>
    <w:link w:val="ab"/>
    <w:semiHidden/>
    <w:unhideWhenUsed/>
    <w:rsid w:val="00981F2E"/>
    <w:rPr>
      <w:b/>
      <w:bCs/>
    </w:rPr>
  </w:style>
  <w:style w:type="character" w:customStyle="1" w:styleId="ab">
    <w:name w:val="批注主题 字符"/>
    <w:basedOn w:val="a9"/>
    <w:link w:val="aa"/>
    <w:semiHidden/>
    <w:rsid w:val="00981F2E"/>
    <w:rPr>
      <w:b/>
      <w:bCs/>
      <w:sz w:val="24"/>
      <w:szCs w:val="24"/>
    </w:rPr>
  </w:style>
  <w:style w:type="paragraph" w:styleId="ac">
    <w:name w:val="Balloon Text"/>
    <w:basedOn w:val="a"/>
    <w:link w:val="ad"/>
    <w:rsid w:val="00981F2E"/>
    <w:rPr>
      <w:rFonts w:asciiTheme="majorHAnsi" w:eastAsiaTheme="majorEastAsia" w:hAnsiTheme="majorHAnsi" w:cstheme="majorBidi"/>
      <w:sz w:val="18"/>
      <w:szCs w:val="18"/>
    </w:rPr>
  </w:style>
  <w:style w:type="character" w:customStyle="1" w:styleId="ad">
    <w:name w:val="批注框文本 字符"/>
    <w:basedOn w:val="a0"/>
    <w:link w:val="ac"/>
    <w:rsid w:val="00981F2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974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0900C-4253-40FF-BE29-A1B81764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2238</Words>
  <Characters>12761</Characters>
  <Application>Microsoft Office Word</Application>
  <DocSecurity>0</DocSecurity>
  <Lines>106</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2020-08-25T18:00:00Z</dcterms:created>
  <dcterms:modified xsi:type="dcterms:W3CDTF">2020-08-25T18:00:00Z</dcterms:modified>
</cp:coreProperties>
</file>