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A3BE4"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Name of Journal: </w:t>
      </w:r>
      <w:r w:rsidRPr="00CC4376">
        <w:rPr>
          <w:rFonts w:ascii="Book Antiqua" w:eastAsia="Book Antiqua" w:hAnsi="Book Antiqua" w:cs="Book Antiqua"/>
          <w:i/>
        </w:rPr>
        <w:t>World Journal of Clinical Cases</w:t>
      </w:r>
    </w:p>
    <w:p w14:paraId="10987D1D"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Manuscript NO: </w:t>
      </w:r>
      <w:r w:rsidRPr="00CC4376">
        <w:rPr>
          <w:rFonts w:ascii="Book Antiqua" w:eastAsia="Book Antiqua" w:hAnsi="Book Antiqua" w:cs="Book Antiqua"/>
        </w:rPr>
        <w:t>57897</w:t>
      </w:r>
    </w:p>
    <w:p w14:paraId="45046893"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Manuscript Type: </w:t>
      </w:r>
      <w:r w:rsidRPr="00CC4376">
        <w:rPr>
          <w:rFonts w:ascii="Book Antiqua" w:eastAsia="Book Antiqua" w:hAnsi="Book Antiqua" w:cs="Book Antiqua"/>
        </w:rPr>
        <w:t>CASE REPORT</w:t>
      </w:r>
    </w:p>
    <w:p w14:paraId="552C9B3B" w14:textId="77777777" w:rsidR="00A77B3E" w:rsidRPr="00CC4376" w:rsidRDefault="00A77B3E" w:rsidP="00CC4376">
      <w:pPr>
        <w:snapToGrid w:val="0"/>
        <w:spacing w:line="360" w:lineRule="auto"/>
        <w:jc w:val="both"/>
      </w:pPr>
    </w:p>
    <w:p w14:paraId="2B4BF961" w14:textId="7713EFA4" w:rsidR="00A77B3E" w:rsidRPr="00CC4376" w:rsidRDefault="002D0EF9" w:rsidP="00CC4376">
      <w:pPr>
        <w:snapToGrid w:val="0"/>
        <w:spacing w:line="360" w:lineRule="auto"/>
        <w:jc w:val="both"/>
      </w:pPr>
      <w:bookmarkStart w:id="0" w:name="_Hlk51578708"/>
      <w:r w:rsidRPr="00CC4376">
        <w:rPr>
          <w:rFonts w:ascii="Book Antiqua" w:eastAsia="Book Antiqua" w:hAnsi="Book Antiqua" w:cs="Book Antiqua"/>
          <w:b/>
          <w:bCs/>
        </w:rPr>
        <w:t xml:space="preserve">Chinese patient with cerebrotendinous xanthomatosis confirmed by genetic testing: A case report and </w:t>
      </w:r>
      <w:r w:rsidR="00C52416" w:rsidRPr="00CC4376">
        <w:rPr>
          <w:rFonts w:ascii="Book Antiqua" w:eastAsia="Book Antiqua" w:hAnsi="Book Antiqua" w:cs="Book Antiqua"/>
          <w:b/>
          <w:bCs/>
        </w:rPr>
        <w:t xml:space="preserve">literature </w:t>
      </w:r>
      <w:r w:rsidRPr="00CC4376">
        <w:rPr>
          <w:rFonts w:ascii="Book Antiqua" w:eastAsia="Book Antiqua" w:hAnsi="Book Antiqua" w:cs="Book Antiqua"/>
          <w:b/>
          <w:bCs/>
        </w:rPr>
        <w:t xml:space="preserve">review </w:t>
      </w:r>
    </w:p>
    <w:bookmarkEnd w:id="0"/>
    <w:p w14:paraId="1CAADB01" w14:textId="77777777" w:rsidR="00A77B3E" w:rsidRPr="00CC4376" w:rsidRDefault="00A77B3E" w:rsidP="00CC4376">
      <w:pPr>
        <w:snapToGrid w:val="0"/>
        <w:spacing w:line="360" w:lineRule="auto"/>
        <w:jc w:val="both"/>
      </w:pPr>
    </w:p>
    <w:p w14:paraId="61A063E4" w14:textId="4A904A96" w:rsidR="00A77B3E" w:rsidRPr="00CC4376" w:rsidRDefault="002D0EF9" w:rsidP="00CC4376">
      <w:pPr>
        <w:snapToGrid w:val="0"/>
        <w:spacing w:line="360" w:lineRule="auto"/>
        <w:jc w:val="both"/>
      </w:pPr>
      <w:r w:rsidRPr="00CC4376">
        <w:rPr>
          <w:rFonts w:ascii="Book Antiqua" w:eastAsia="Book Antiqua" w:hAnsi="Book Antiqua" w:cs="Book Antiqua"/>
        </w:rPr>
        <w:t>Cao LX</w:t>
      </w:r>
      <w:r w:rsidRPr="00CC4376">
        <w:rPr>
          <w:rFonts w:ascii="Book Antiqua" w:eastAsia="Book Antiqua" w:hAnsi="Book Antiqua" w:cs="Book Antiqua"/>
          <w:i/>
          <w:iCs/>
        </w:rPr>
        <w:t xml:space="preserve"> et al</w:t>
      </w:r>
      <w:r w:rsidRPr="00CC4376">
        <w:rPr>
          <w:rFonts w:ascii="Book Antiqua" w:eastAsia="Book Antiqua" w:hAnsi="Book Antiqua" w:cs="Book Antiqua"/>
        </w:rPr>
        <w:t xml:space="preserve">. Clinical and genetic features of </w:t>
      </w:r>
      <w:r w:rsidR="005B0C3C" w:rsidRPr="00CC4376">
        <w:rPr>
          <w:rFonts w:ascii="Book Antiqua" w:eastAsia="Book Antiqua" w:hAnsi="Book Antiqua" w:cs="Book Antiqua"/>
        </w:rPr>
        <w:t>CTX</w:t>
      </w:r>
    </w:p>
    <w:p w14:paraId="61251A50" w14:textId="77777777" w:rsidR="00A77B3E" w:rsidRPr="00CC4376" w:rsidRDefault="00A77B3E" w:rsidP="00CC4376">
      <w:pPr>
        <w:snapToGrid w:val="0"/>
        <w:spacing w:line="360" w:lineRule="auto"/>
        <w:jc w:val="both"/>
      </w:pPr>
    </w:p>
    <w:p w14:paraId="676F4BE6" w14:textId="77777777" w:rsidR="00A77B3E" w:rsidRPr="00CC4376" w:rsidRDefault="002D0EF9" w:rsidP="00CC4376">
      <w:pPr>
        <w:snapToGrid w:val="0"/>
        <w:spacing w:line="360" w:lineRule="auto"/>
        <w:jc w:val="both"/>
      </w:pPr>
      <w:r w:rsidRPr="00CC4376">
        <w:rPr>
          <w:rFonts w:ascii="Book Antiqua" w:eastAsia="Book Antiqua" w:hAnsi="Book Antiqua" w:cs="Book Antiqua"/>
        </w:rPr>
        <w:t>Lan-Xiao Cao, Mi Yang, Ying Liu, Wen-Ying Long, Guo-Hua Zhao</w:t>
      </w:r>
    </w:p>
    <w:p w14:paraId="33BF926B" w14:textId="77777777" w:rsidR="00A77B3E" w:rsidRPr="00CC4376" w:rsidRDefault="00A77B3E" w:rsidP="00CC4376">
      <w:pPr>
        <w:snapToGrid w:val="0"/>
        <w:spacing w:line="360" w:lineRule="auto"/>
        <w:jc w:val="both"/>
      </w:pPr>
    </w:p>
    <w:p w14:paraId="5760E0DF"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Lan-Xiao Cao, Mi Yang, Guo-Hua Zhao, </w:t>
      </w:r>
      <w:r w:rsidRPr="00CC4376">
        <w:rPr>
          <w:rFonts w:ascii="Book Antiqua" w:eastAsia="Book Antiqua" w:hAnsi="Book Antiqua" w:cs="Book Antiqua"/>
        </w:rPr>
        <w:t>Department of Neurology, The Fourth Affiliated Hospital, Zhejiang University School of Medicine, Yiwu 322000, Zhejiang Province, China</w:t>
      </w:r>
    </w:p>
    <w:p w14:paraId="3A9FA839" w14:textId="77777777" w:rsidR="00A77B3E" w:rsidRPr="00CC4376" w:rsidRDefault="00A77B3E" w:rsidP="00CC4376">
      <w:pPr>
        <w:snapToGrid w:val="0"/>
        <w:spacing w:line="360" w:lineRule="auto"/>
        <w:jc w:val="both"/>
      </w:pPr>
    </w:p>
    <w:p w14:paraId="1A056B0D"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Ying Liu, Wen-Ying Long, </w:t>
      </w:r>
      <w:r w:rsidRPr="00CC4376">
        <w:rPr>
          <w:rFonts w:ascii="Book Antiqua" w:eastAsia="Book Antiqua" w:hAnsi="Book Antiqua" w:cs="Book Antiqua"/>
        </w:rPr>
        <w:t>Central Laboratory, The Fourth Affiliated Hospital, Zhejiang University School of Medicine, Yiwu 322000, Zhejiang Province, China</w:t>
      </w:r>
    </w:p>
    <w:p w14:paraId="5CE88B1E" w14:textId="77777777" w:rsidR="00A77B3E" w:rsidRPr="00CC4376" w:rsidRDefault="00A77B3E" w:rsidP="00CC4376">
      <w:pPr>
        <w:snapToGrid w:val="0"/>
        <w:spacing w:line="360" w:lineRule="auto"/>
        <w:jc w:val="both"/>
      </w:pPr>
    </w:p>
    <w:p w14:paraId="602DDCFB" w14:textId="20B46032"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Author contributions: </w:t>
      </w:r>
      <w:r w:rsidRPr="00CC4376">
        <w:rPr>
          <w:rFonts w:ascii="Book Antiqua" w:eastAsia="Book Antiqua" w:hAnsi="Book Antiqua" w:cs="Book Antiqua"/>
        </w:rPr>
        <w:t xml:space="preserve">Cao LX analyzed the data and drafted the manuscript for intellectual content; Yang M played a major role in the acquisition of data; Liu Y interpreted the patient data; Zhao GH and Long WY revised the manuscript for intellectual content; </w:t>
      </w:r>
      <w:r w:rsidR="00E720A5" w:rsidRPr="00CC4376">
        <w:rPr>
          <w:rFonts w:ascii="Book Antiqua" w:eastAsia="Book Antiqua" w:hAnsi="Book Antiqua" w:cs="Book Antiqua"/>
        </w:rPr>
        <w:t>A</w:t>
      </w:r>
      <w:r w:rsidRPr="00CC4376">
        <w:rPr>
          <w:rFonts w:ascii="Book Antiqua" w:eastAsia="Book Antiqua" w:hAnsi="Book Antiqua" w:cs="Book Antiqua"/>
        </w:rPr>
        <w:t>ll authors read and approved the final manuscript.</w:t>
      </w:r>
    </w:p>
    <w:p w14:paraId="5A837647" w14:textId="77777777" w:rsidR="00A77B3E" w:rsidRPr="00CC4376" w:rsidRDefault="00A77B3E" w:rsidP="00CC4376">
      <w:pPr>
        <w:snapToGrid w:val="0"/>
        <w:spacing w:line="360" w:lineRule="auto"/>
        <w:jc w:val="both"/>
      </w:pPr>
    </w:p>
    <w:p w14:paraId="005D6D9E" w14:textId="1E0C45FF"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Supported by </w:t>
      </w:r>
      <w:r w:rsidRPr="00CC4376">
        <w:rPr>
          <w:rFonts w:ascii="Book Antiqua" w:eastAsia="Book Antiqua" w:hAnsi="Book Antiqua" w:cs="Book Antiqua"/>
        </w:rPr>
        <w:t xml:space="preserve">Zhejiang Province Medical Science and Technology Project, No. 2020RC061 and </w:t>
      </w:r>
      <w:r w:rsidR="00960655" w:rsidRPr="00CC4376">
        <w:rPr>
          <w:rFonts w:ascii="Book Antiqua" w:eastAsia="Book Antiqua" w:hAnsi="Book Antiqua" w:cs="Book Antiqua"/>
        </w:rPr>
        <w:t xml:space="preserve">No. </w:t>
      </w:r>
      <w:r w:rsidRPr="00CC4376">
        <w:rPr>
          <w:rFonts w:ascii="Book Antiqua" w:eastAsia="Book Antiqua" w:hAnsi="Book Antiqua" w:cs="Book Antiqua"/>
        </w:rPr>
        <w:t>2019ZD021; Jinhua Bureau of Science and Technology Project, No. 2020-3-004.</w:t>
      </w:r>
    </w:p>
    <w:p w14:paraId="1B43087D" w14:textId="77777777" w:rsidR="00A77B3E" w:rsidRPr="00CC4376" w:rsidRDefault="00A77B3E" w:rsidP="00CC4376">
      <w:pPr>
        <w:snapToGrid w:val="0"/>
        <w:spacing w:line="360" w:lineRule="auto"/>
        <w:jc w:val="both"/>
      </w:pPr>
    </w:p>
    <w:p w14:paraId="75A95ED4"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lastRenderedPageBreak/>
        <w:t xml:space="preserve">Corresponding author: Guo-Hua Zhao, MD, Doctor, </w:t>
      </w:r>
      <w:r w:rsidRPr="00CC4376">
        <w:rPr>
          <w:rFonts w:ascii="Book Antiqua" w:eastAsia="Book Antiqua" w:hAnsi="Book Antiqua" w:cs="Book Antiqua"/>
        </w:rPr>
        <w:t>Department of Neurology, The Fourth Affiliated Hospital, Zhejiang University School of Medicine, N1 Shangcheng Avenue Yiwu, Yiwu 322000, Zhejiang Province, China. gzhao@zju.edu.cn</w:t>
      </w:r>
    </w:p>
    <w:p w14:paraId="7DA7D4D0" w14:textId="77777777" w:rsidR="00A77B3E" w:rsidRPr="00CC4376" w:rsidRDefault="00A77B3E" w:rsidP="00CC4376">
      <w:pPr>
        <w:snapToGrid w:val="0"/>
        <w:spacing w:line="360" w:lineRule="auto"/>
        <w:jc w:val="both"/>
      </w:pPr>
    </w:p>
    <w:p w14:paraId="2A9C1BB0"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Received: </w:t>
      </w:r>
      <w:r w:rsidRPr="00CC4376">
        <w:rPr>
          <w:rFonts w:ascii="Book Antiqua" w:eastAsia="Book Antiqua" w:hAnsi="Book Antiqua" w:cs="Book Antiqua"/>
        </w:rPr>
        <w:t>July 15, 2020</w:t>
      </w:r>
    </w:p>
    <w:p w14:paraId="41DEE69C"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Revised: </w:t>
      </w:r>
      <w:r w:rsidRPr="00CC4376">
        <w:rPr>
          <w:rFonts w:ascii="Book Antiqua" w:eastAsia="Book Antiqua" w:hAnsi="Book Antiqua" w:cs="Book Antiqua"/>
        </w:rPr>
        <w:t>August 9, 2020</w:t>
      </w:r>
    </w:p>
    <w:p w14:paraId="1F41C6F1" w14:textId="499320EF"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Accepted: </w:t>
      </w:r>
      <w:r w:rsidR="00153C23" w:rsidRPr="00CC4376">
        <w:rPr>
          <w:rFonts w:ascii="Book Antiqua" w:eastAsia="Book Antiqua" w:hAnsi="Book Antiqua" w:cs="Book Antiqua"/>
        </w:rPr>
        <w:t>September 23, 2020</w:t>
      </w:r>
    </w:p>
    <w:p w14:paraId="3979BDFA"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Published online: </w:t>
      </w:r>
    </w:p>
    <w:p w14:paraId="0E7A0307" w14:textId="77777777" w:rsidR="00A77B3E" w:rsidRPr="00CC4376" w:rsidRDefault="00A77B3E" w:rsidP="00CC4376">
      <w:pPr>
        <w:snapToGrid w:val="0"/>
        <w:spacing w:line="360" w:lineRule="auto"/>
        <w:jc w:val="both"/>
        <w:sectPr w:rsidR="00A77B3E" w:rsidRPr="00CC4376">
          <w:footerReference w:type="default" r:id="rId6"/>
          <w:pgSz w:w="12240" w:h="15840"/>
          <w:pgMar w:top="1440" w:right="1440" w:bottom="1440" w:left="1440" w:header="720" w:footer="720" w:gutter="0"/>
          <w:cols w:space="720"/>
          <w:docGrid w:linePitch="360"/>
        </w:sectPr>
      </w:pPr>
    </w:p>
    <w:p w14:paraId="79D2E9E6" w14:textId="77777777" w:rsidR="00A77B3E" w:rsidRPr="00CC4376" w:rsidRDefault="002D0EF9" w:rsidP="00CC4376">
      <w:pPr>
        <w:snapToGrid w:val="0"/>
        <w:spacing w:line="360" w:lineRule="auto"/>
        <w:jc w:val="both"/>
      </w:pPr>
      <w:r w:rsidRPr="00CC4376">
        <w:rPr>
          <w:rFonts w:ascii="Book Antiqua" w:eastAsia="Book Antiqua" w:hAnsi="Book Antiqua" w:cs="Book Antiqua"/>
          <w:b/>
        </w:rPr>
        <w:lastRenderedPageBreak/>
        <w:t>Abstract</w:t>
      </w:r>
    </w:p>
    <w:p w14:paraId="2B640BE6" w14:textId="77777777" w:rsidR="00A77B3E" w:rsidRPr="00CC4376" w:rsidRDefault="002D0EF9" w:rsidP="00CC4376">
      <w:pPr>
        <w:snapToGrid w:val="0"/>
        <w:spacing w:line="360" w:lineRule="auto"/>
        <w:jc w:val="both"/>
      </w:pPr>
      <w:r w:rsidRPr="00CC4376">
        <w:rPr>
          <w:rFonts w:ascii="Book Antiqua" w:eastAsia="Book Antiqua" w:hAnsi="Book Antiqua" w:cs="Book Antiqua"/>
        </w:rPr>
        <w:t>BACKGROUND</w:t>
      </w:r>
    </w:p>
    <w:p w14:paraId="38294D66" w14:textId="72F479A1" w:rsidR="00A77B3E" w:rsidRPr="00CC4376" w:rsidRDefault="002D0EF9" w:rsidP="00CC4376">
      <w:pPr>
        <w:snapToGrid w:val="0"/>
        <w:spacing w:line="360" w:lineRule="auto"/>
        <w:jc w:val="both"/>
      </w:pPr>
      <w:r w:rsidRPr="00CC4376">
        <w:rPr>
          <w:rFonts w:ascii="Book Antiqua" w:eastAsia="Book Antiqua" w:hAnsi="Book Antiqua" w:cs="Book Antiqua"/>
        </w:rPr>
        <w:t>Cerebrotendinous xanthomatosis (CTX) is a treatable autosomal recessive inherited metabolic disorder. It results from a deficiency of sterol 27-hydroxylase (CYP27A1), which is a mitochondrial cytochrome P450 enzyme that catalyzes the hydroxylation of cholesterol and modulates cholesterol homeostasis. Patients with CYP27A1 deficiency show symptoms related to excessive accumulation of cholesterol and cholestanol in lipophilic tissues such as the brain, eyes, tendons, and vessels</w:t>
      </w:r>
      <w:r w:rsidR="00E720A5" w:rsidRPr="00CC4376">
        <w:rPr>
          <w:rFonts w:ascii="Book Antiqua" w:eastAsia="Book Antiqua" w:hAnsi="Book Antiqua" w:cs="Book Antiqua"/>
        </w:rPr>
        <w:t>,</w:t>
      </w:r>
      <w:r w:rsidRPr="00CC4376">
        <w:rPr>
          <w:rFonts w:ascii="Book Antiqua" w:eastAsia="Book Antiqua" w:hAnsi="Book Antiqua" w:cs="Book Antiqua"/>
        </w:rPr>
        <w:t xml:space="preserve"> resulting in juvenile cataracts, tendon xanthoma, chronic diarrhea, cognitive impairment, ataxia, spastic paraplegia, and peripheral neuropathy. CTX is underdiagnosed as knowledge of the disorder is mainly based on case reports.</w:t>
      </w:r>
    </w:p>
    <w:p w14:paraId="238B098A" w14:textId="77777777" w:rsidR="00A77B3E" w:rsidRPr="00CC4376" w:rsidRDefault="00A77B3E" w:rsidP="00CC4376">
      <w:pPr>
        <w:snapToGrid w:val="0"/>
        <w:spacing w:line="360" w:lineRule="auto"/>
        <w:jc w:val="both"/>
      </w:pPr>
    </w:p>
    <w:p w14:paraId="27F9B18D" w14:textId="77777777" w:rsidR="00A77B3E" w:rsidRPr="00CC4376" w:rsidRDefault="002D0EF9" w:rsidP="00CC4376">
      <w:pPr>
        <w:snapToGrid w:val="0"/>
        <w:spacing w:line="360" w:lineRule="auto"/>
        <w:jc w:val="both"/>
      </w:pPr>
      <w:r w:rsidRPr="00CC4376">
        <w:rPr>
          <w:rFonts w:ascii="Book Antiqua" w:eastAsia="Book Antiqua" w:hAnsi="Book Antiqua" w:cs="Book Antiqua"/>
        </w:rPr>
        <w:t>CASE SUMMARY</w:t>
      </w:r>
    </w:p>
    <w:p w14:paraId="311D2D77" w14:textId="7C480B89" w:rsidR="00A77B3E" w:rsidRPr="00CC4376" w:rsidRDefault="002D0EF9" w:rsidP="00CC4376">
      <w:pPr>
        <w:snapToGrid w:val="0"/>
        <w:spacing w:line="360" w:lineRule="auto"/>
        <w:jc w:val="both"/>
      </w:pPr>
      <w:r w:rsidRPr="00CC4376">
        <w:rPr>
          <w:rFonts w:ascii="Book Antiqua" w:eastAsia="Book Antiqua" w:hAnsi="Book Antiqua" w:cs="Book Antiqua"/>
        </w:rPr>
        <w:t>A Chinese family with CTX consisting of one patient and four heterozygous carriers was studied. The patient is a 47-year-old male</w:t>
      </w:r>
      <w:r w:rsidR="00E720A5" w:rsidRPr="00CC4376">
        <w:rPr>
          <w:rFonts w:ascii="Book Antiqua" w:eastAsia="Book Antiqua" w:hAnsi="Book Antiqua" w:cs="Book Antiqua"/>
        </w:rPr>
        <w:t>, who</w:t>
      </w:r>
      <w:r w:rsidRPr="00CC4376">
        <w:rPr>
          <w:rFonts w:ascii="Book Antiqua" w:eastAsia="Book Antiqua" w:hAnsi="Book Antiqua" w:cs="Book Antiqua"/>
        </w:rPr>
        <w:t xml:space="preserve"> mainly </w:t>
      </w:r>
      <w:r w:rsidR="00E720A5" w:rsidRPr="00CC4376">
        <w:rPr>
          <w:rFonts w:ascii="Book Antiqua" w:eastAsia="Book Antiqua" w:hAnsi="Book Antiqua" w:cs="Book Antiqua"/>
        </w:rPr>
        <w:t xml:space="preserve">had </w:t>
      </w:r>
      <w:r w:rsidRPr="00CC4376">
        <w:rPr>
          <w:rFonts w:ascii="Book Antiqua" w:eastAsia="Book Antiqua" w:hAnsi="Book Antiqua" w:cs="Book Antiqua"/>
        </w:rPr>
        <w:t xml:space="preserve">psychiatric signs but without some cardinal features of CTX such as cataracts, cerebellar ataxia, pyramidal signs and chronic diarrhea. There was a significant increase in </w:t>
      </w:r>
      <w:r w:rsidR="00E720A5" w:rsidRPr="00CC4376">
        <w:rPr>
          <w:rFonts w:ascii="Book Antiqua" w:eastAsia="Book Antiqua" w:hAnsi="Book Antiqua" w:cs="Book Antiqua"/>
        </w:rPr>
        <w:t xml:space="preserve">the </w:t>
      </w:r>
      <w:r w:rsidRPr="00CC4376">
        <w:rPr>
          <w:rFonts w:ascii="Book Antiqua" w:eastAsia="Book Antiqua" w:hAnsi="Book Antiqua" w:cs="Book Antiqua"/>
        </w:rPr>
        <w:t>concentration of free fatty acid compared to normal range. Doppler ultrasound of the urinary system showed multiple left kidney stones, a right kidney cyst, and a hypoechoic area in the bladder</w:t>
      </w:r>
      <w:r w:rsidR="00E720A5" w:rsidRPr="00CC4376">
        <w:rPr>
          <w:rFonts w:ascii="Book Antiqua" w:eastAsia="Book Antiqua" w:hAnsi="Book Antiqua" w:cs="Book Antiqua"/>
        </w:rPr>
        <w:t>,</w:t>
      </w:r>
      <w:r w:rsidRPr="00CC4376">
        <w:rPr>
          <w:rFonts w:ascii="Book Antiqua" w:eastAsia="Book Antiqua" w:hAnsi="Book Antiqua" w:cs="Book Antiqua"/>
        </w:rPr>
        <w:t xml:space="preserve"> which could move with body position. Sagittal and axial magnetic resonance imaging (MRI) of the right ankle joint showed apparent enlargement of the right Achilles tendon and upper medial malleolus flexor tendon, abnormal thickening of the plantar fat, and a small amount of exudation around the fascia in front of the Achilles tendon. Cerebral MRI suggested white matter (WM) demyelination and slight cerebral atrophy. The diagnosis was confirmed by targeted sequencing, which identified compound heterozygous mutations in exon 2 and intron 7 of the</w:t>
      </w:r>
      <w:r w:rsidRPr="00CC4376">
        <w:rPr>
          <w:rFonts w:ascii="Book Antiqua" w:eastAsia="Book Antiqua" w:hAnsi="Book Antiqua" w:cs="Book Antiqua"/>
          <w:i/>
          <w:iCs/>
        </w:rPr>
        <w:t xml:space="preserve"> CYP27A1</w:t>
      </w:r>
      <w:r w:rsidRPr="00CC4376">
        <w:rPr>
          <w:rFonts w:ascii="Book Antiqua" w:eastAsia="Book Antiqua" w:hAnsi="Book Antiqua" w:cs="Book Antiqua"/>
        </w:rPr>
        <w:t xml:space="preserve"> gene (c.435G&gt;T, c.1263+1G&gt;A). </w:t>
      </w:r>
      <w:r w:rsidR="00E720A5" w:rsidRPr="00CC4376">
        <w:rPr>
          <w:rFonts w:ascii="Book Antiqua" w:eastAsia="Book Antiqua" w:hAnsi="Book Antiqua" w:cs="Book Antiqua"/>
        </w:rPr>
        <w:t xml:space="preserve">Treatment for 3 wk </w:t>
      </w:r>
      <w:r w:rsidRPr="00CC4376">
        <w:rPr>
          <w:rFonts w:ascii="Book Antiqua" w:eastAsia="Book Antiqua" w:hAnsi="Book Antiqua" w:cs="Book Antiqua"/>
        </w:rPr>
        <w:t xml:space="preserve">with a combination of lipid-lowering and antipsychotic therapy improved his psychiatric symptoms and normalized </w:t>
      </w:r>
      <w:r w:rsidR="00E720A5" w:rsidRPr="00CC4376">
        <w:rPr>
          <w:rFonts w:ascii="Book Antiqua" w:eastAsia="Book Antiqua" w:hAnsi="Book Antiqua" w:cs="Book Antiqua"/>
        </w:rPr>
        <w:t xml:space="preserve">the </w:t>
      </w:r>
      <w:r w:rsidRPr="00CC4376">
        <w:rPr>
          <w:rFonts w:ascii="Book Antiqua" w:eastAsia="Book Antiqua" w:hAnsi="Book Antiqua" w:cs="Book Antiqua"/>
        </w:rPr>
        <w:t>levels of serum free fatty acid. Sediments in the bladder disappeared after therapy.</w:t>
      </w:r>
    </w:p>
    <w:p w14:paraId="43352D37" w14:textId="77777777" w:rsidR="00CC4376" w:rsidRDefault="00CC4376" w:rsidP="00CC4376">
      <w:pPr>
        <w:snapToGrid w:val="0"/>
        <w:spacing w:line="360" w:lineRule="auto"/>
        <w:jc w:val="both"/>
        <w:rPr>
          <w:rFonts w:ascii="Book Antiqua" w:eastAsia="Book Antiqua" w:hAnsi="Book Antiqua" w:cs="Book Antiqua"/>
        </w:rPr>
      </w:pPr>
    </w:p>
    <w:p w14:paraId="2C511A41" w14:textId="54224EC8" w:rsidR="00A77B3E" w:rsidRPr="00CC4376" w:rsidRDefault="002D0EF9" w:rsidP="00CC4376">
      <w:pPr>
        <w:snapToGrid w:val="0"/>
        <w:spacing w:line="360" w:lineRule="auto"/>
        <w:jc w:val="both"/>
      </w:pPr>
      <w:r w:rsidRPr="00CC4376">
        <w:rPr>
          <w:rFonts w:ascii="Book Antiqua" w:eastAsia="Book Antiqua" w:hAnsi="Book Antiqua" w:cs="Book Antiqua"/>
        </w:rPr>
        <w:t>CONCLUSION</w:t>
      </w:r>
    </w:p>
    <w:p w14:paraId="3E68EBEE" w14:textId="72EF8698" w:rsidR="00A77B3E" w:rsidRPr="00CC4376" w:rsidRDefault="002D0EF9" w:rsidP="00CC4376">
      <w:pPr>
        <w:snapToGrid w:val="0"/>
        <w:spacing w:line="360" w:lineRule="auto"/>
        <w:jc w:val="both"/>
      </w:pPr>
      <w:r w:rsidRPr="00CC4376">
        <w:rPr>
          <w:rFonts w:ascii="Book Antiqua" w:eastAsia="Book Antiqua" w:hAnsi="Book Antiqua" w:cs="Book Antiqua"/>
          <w:i/>
          <w:iCs/>
        </w:rPr>
        <w:t xml:space="preserve">CYP27A1 </w:t>
      </w:r>
      <w:r w:rsidRPr="00CC4376">
        <w:rPr>
          <w:rFonts w:ascii="Book Antiqua" w:eastAsia="Book Antiqua" w:hAnsi="Book Antiqua" w:cs="Book Antiqua"/>
        </w:rPr>
        <w:t>genetic analysis should be the definitive method for CTX diagnosis. This case suggests that urinary system diseases may be neglected in CTX patients. The clinical, biological, radiological, and genetic characteristics of CTX are summ</w:t>
      </w:r>
      <w:r w:rsidR="00DE7192" w:rsidRPr="00CC4376">
        <w:rPr>
          <w:rFonts w:ascii="Book Antiqua" w:eastAsia="Book Antiqua" w:hAnsi="Book Antiqua" w:cs="Book Antiqua"/>
        </w:rPr>
        <w:t>a</w:t>
      </w:r>
      <w:r w:rsidRPr="00CC4376">
        <w:rPr>
          <w:rFonts w:ascii="Book Antiqua" w:eastAsia="Book Antiqua" w:hAnsi="Book Antiqua" w:cs="Book Antiqua"/>
        </w:rPr>
        <w:t>rized to promote early diagnosis and treatment of this disease.</w:t>
      </w:r>
    </w:p>
    <w:p w14:paraId="5A2FEBC4" w14:textId="77777777" w:rsidR="00A77B3E" w:rsidRPr="00CC4376" w:rsidRDefault="00A77B3E" w:rsidP="00CC4376">
      <w:pPr>
        <w:snapToGrid w:val="0"/>
        <w:spacing w:line="360" w:lineRule="auto"/>
        <w:jc w:val="both"/>
      </w:pPr>
    </w:p>
    <w:p w14:paraId="7B74A407" w14:textId="1BC1F61E"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Key Words: </w:t>
      </w:r>
      <w:r w:rsidRPr="00CC4376">
        <w:rPr>
          <w:rFonts w:ascii="Book Antiqua" w:eastAsia="Book Antiqua" w:hAnsi="Book Antiqua" w:cs="Book Antiqua"/>
        </w:rPr>
        <w:t xml:space="preserve">Cerebrotendinous xanthomatosis; CYP27A1; Clinical; Genetic; Cholestanol; </w:t>
      </w:r>
      <w:r w:rsidR="005C1962" w:rsidRPr="00CC4376">
        <w:rPr>
          <w:rFonts w:ascii="Book Antiqua" w:eastAsia="Book Antiqua" w:hAnsi="Book Antiqua" w:cs="Book Antiqua"/>
        </w:rPr>
        <w:t xml:space="preserve">Case report; </w:t>
      </w:r>
      <w:r w:rsidRPr="00CC4376">
        <w:rPr>
          <w:rFonts w:ascii="Book Antiqua" w:eastAsia="Book Antiqua" w:hAnsi="Book Antiqua" w:cs="Book Antiqua"/>
        </w:rPr>
        <w:t>Metabolic diseases</w:t>
      </w:r>
    </w:p>
    <w:p w14:paraId="44C59AFA" w14:textId="77777777" w:rsidR="00A77B3E" w:rsidRPr="00CC4376" w:rsidRDefault="00A77B3E" w:rsidP="00CC4376">
      <w:pPr>
        <w:snapToGrid w:val="0"/>
        <w:spacing w:line="360" w:lineRule="auto"/>
        <w:jc w:val="both"/>
      </w:pPr>
    </w:p>
    <w:p w14:paraId="6BD73B2A" w14:textId="31E04AC1" w:rsidR="00A77B3E" w:rsidRPr="00CC4376" w:rsidRDefault="002D0EF9" w:rsidP="00CC4376">
      <w:pPr>
        <w:snapToGrid w:val="0"/>
        <w:spacing w:line="360" w:lineRule="auto"/>
        <w:jc w:val="both"/>
      </w:pPr>
      <w:r w:rsidRPr="00CC4376">
        <w:rPr>
          <w:rFonts w:ascii="Book Antiqua" w:eastAsia="Book Antiqua" w:hAnsi="Book Antiqua" w:cs="Book Antiqua"/>
        </w:rPr>
        <w:t>Cao LX, Yang M, Liu Y, Long WY, Zhao GH.</w:t>
      </w:r>
      <w:r w:rsidR="004C0178" w:rsidRPr="004C0178">
        <w:rPr>
          <w:rFonts w:ascii="Book Antiqua" w:eastAsia="Book Antiqua" w:hAnsi="Book Antiqua" w:cs="Book Antiqua"/>
          <w:b/>
          <w:bCs/>
        </w:rPr>
        <w:t xml:space="preserve"> </w:t>
      </w:r>
      <w:r w:rsidR="004C0178" w:rsidRPr="004C0178">
        <w:rPr>
          <w:rFonts w:ascii="Book Antiqua" w:eastAsia="Book Antiqua" w:hAnsi="Book Antiqua" w:cs="Book Antiqua"/>
        </w:rPr>
        <w:t>Chinese patient with cerebrotendinous xanthomatosis confirmed by genetic testing: A case report and literature review</w:t>
      </w:r>
      <w:r w:rsidRPr="00CC4376">
        <w:rPr>
          <w:rFonts w:ascii="Book Antiqua" w:eastAsia="Book Antiqua" w:hAnsi="Book Antiqua" w:cs="Book Antiqua"/>
        </w:rPr>
        <w:t xml:space="preserve">. </w:t>
      </w:r>
      <w:r w:rsidRPr="00CC4376">
        <w:rPr>
          <w:rFonts w:ascii="Book Antiqua" w:eastAsia="Book Antiqua" w:hAnsi="Book Antiqua" w:cs="Book Antiqua"/>
          <w:i/>
          <w:iCs/>
        </w:rPr>
        <w:t>World J Clin Cases</w:t>
      </w:r>
      <w:r w:rsidRPr="00CC4376">
        <w:rPr>
          <w:rFonts w:ascii="Book Antiqua" w:eastAsia="Book Antiqua" w:hAnsi="Book Antiqua" w:cs="Book Antiqua"/>
        </w:rPr>
        <w:t xml:space="preserve"> 2020; In press</w:t>
      </w:r>
    </w:p>
    <w:p w14:paraId="3B05AC00" w14:textId="77777777" w:rsidR="00A77B3E" w:rsidRPr="00CC4376" w:rsidRDefault="00A77B3E" w:rsidP="00CC4376">
      <w:pPr>
        <w:snapToGrid w:val="0"/>
        <w:spacing w:line="360" w:lineRule="auto"/>
        <w:jc w:val="both"/>
      </w:pPr>
    </w:p>
    <w:p w14:paraId="30F6FC5E" w14:textId="49077602"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Core Tip: </w:t>
      </w:r>
      <w:r w:rsidR="0005621A" w:rsidRPr="00CC4376">
        <w:rPr>
          <w:rFonts w:ascii="Book Antiqua" w:eastAsia="Book Antiqua" w:hAnsi="Book Antiqua" w:cs="Book Antiqua"/>
        </w:rPr>
        <w:t xml:space="preserve">Cerebrotendinous xanthomatosis (CTX) is a metabolic disorder inherited in an autosomal recessive manner. </w:t>
      </w:r>
      <w:r w:rsidR="00E720A5" w:rsidRPr="00CC4376">
        <w:rPr>
          <w:rFonts w:ascii="Book Antiqua" w:eastAsia="Book Antiqua" w:hAnsi="Book Antiqua" w:cs="Book Antiqua"/>
        </w:rPr>
        <w:t xml:space="preserve">A total of </w:t>
      </w:r>
      <w:r w:rsidR="0005621A" w:rsidRPr="00CC4376">
        <w:rPr>
          <w:rFonts w:ascii="Book Antiqua" w:eastAsia="Book Antiqua" w:hAnsi="Book Antiqua" w:cs="Book Antiqua"/>
        </w:rPr>
        <w:t>520 CTX case reports published in the literature world</w:t>
      </w:r>
      <w:r w:rsidR="00E720A5" w:rsidRPr="00CC4376">
        <w:rPr>
          <w:rFonts w:ascii="Book Antiqua" w:eastAsia="Book Antiqua" w:hAnsi="Book Antiqua" w:cs="Book Antiqua"/>
        </w:rPr>
        <w:t>wide</w:t>
      </w:r>
      <w:r w:rsidR="0005621A" w:rsidRPr="00CC4376">
        <w:rPr>
          <w:rFonts w:ascii="Book Antiqua" w:eastAsia="Book Antiqua" w:hAnsi="Book Antiqua" w:cs="Book Antiqua"/>
        </w:rPr>
        <w:t xml:space="preserve"> are reviewed to promote </w:t>
      </w:r>
      <w:r w:rsidR="00E720A5" w:rsidRPr="00CC4376">
        <w:rPr>
          <w:rFonts w:ascii="Book Antiqua" w:eastAsia="Book Antiqua" w:hAnsi="Book Antiqua" w:cs="Book Antiqua"/>
        </w:rPr>
        <w:t xml:space="preserve">a </w:t>
      </w:r>
      <w:r w:rsidR="0005621A" w:rsidRPr="00CC4376">
        <w:rPr>
          <w:rFonts w:ascii="Book Antiqua" w:eastAsia="Book Antiqua" w:hAnsi="Book Antiqua" w:cs="Book Antiqua"/>
        </w:rPr>
        <w:t xml:space="preserve">better understanding of the clinical and genetic characteristics of CTX. Cataract is the most common symptom with a frequency of 80.37%, and xanthoma is the second most common systemic symptom of CTX. </w:t>
      </w:r>
      <w:r w:rsidR="00E720A5" w:rsidRPr="00CC4376">
        <w:rPr>
          <w:rFonts w:ascii="Book Antiqua" w:eastAsia="Book Antiqua" w:hAnsi="Book Antiqua" w:cs="Book Antiqua"/>
        </w:rPr>
        <w:t xml:space="preserve">In all, </w:t>
      </w:r>
      <w:r w:rsidR="0005621A" w:rsidRPr="00CC4376">
        <w:rPr>
          <w:rFonts w:ascii="Book Antiqua" w:eastAsia="Book Antiqua" w:hAnsi="Book Antiqua" w:cs="Book Antiqua"/>
        </w:rPr>
        <w:t>56.57% of patients showed electroencephalogram abnormalities including diffuse slowing</w:t>
      </w:r>
      <w:r w:rsidR="00E720A5" w:rsidRPr="00CC4376">
        <w:rPr>
          <w:rFonts w:ascii="Book Antiqua" w:eastAsia="Book Antiqua" w:hAnsi="Book Antiqua" w:cs="Book Antiqua"/>
        </w:rPr>
        <w:t>,</w:t>
      </w:r>
      <w:r w:rsidR="0005621A" w:rsidRPr="00CC4376">
        <w:rPr>
          <w:rFonts w:ascii="Book Antiqua" w:eastAsia="Book Antiqua" w:hAnsi="Book Antiqua" w:cs="Book Antiqua"/>
        </w:rPr>
        <w:t xml:space="preserve"> and 76.72% had abnormal magnetic resonance images. Bilateral hyperintensity of the dentate nuclei and surrounding white matter on T2 and </w:t>
      </w:r>
      <w:r w:rsidR="00E720A5" w:rsidRPr="00CC4376">
        <w:rPr>
          <w:rFonts w:ascii="Book Antiqua" w:eastAsia="Book Antiqua" w:hAnsi="Book Antiqua" w:cs="Book Antiqua"/>
        </w:rPr>
        <w:t>f</w:t>
      </w:r>
      <w:r w:rsidR="0005621A" w:rsidRPr="00CC4376">
        <w:rPr>
          <w:rFonts w:ascii="Book Antiqua" w:eastAsia="Book Antiqua" w:hAnsi="Book Antiqua" w:cs="Book Antiqua"/>
        </w:rPr>
        <w:t>luid</w:t>
      </w:r>
      <w:r w:rsidR="00E720A5" w:rsidRPr="00CC4376">
        <w:rPr>
          <w:rFonts w:ascii="Book Antiqua" w:eastAsia="Book Antiqua" w:hAnsi="Book Antiqua" w:cs="Book Antiqua"/>
        </w:rPr>
        <w:t>-a</w:t>
      </w:r>
      <w:r w:rsidR="0005621A" w:rsidRPr="00CC4376">
        <w:rPr>
          <w:rFonts w:ascii="Book Antiqua" w:eastAsia="Book Antiqua" w:hAnsi="Book Antiqua" w:cs="Book Antiqua"/>
        </w:rPr>
        <w:t xml:space="preserve">ttenuated </w:t>
      </w:r>
      <w:r w:rsidR="00E720A5" w:rsidRPr="00CC4376">
        <w:rPr>
          <w:rFonts w:ascii="Book Antiqua" w:eastAsia="Book Antiqua" w:hAnsi="Book Antiqua" w:cs="Book Antiqua"/>
        </w:rPr>
        <w:t>i</w:t>
      </w:r>
      <w:r w:rsidR="0005621A" w:rsidRPr="00CC4376">
        <w:rPr>
          <w:rFonts w:ascii="Book Antiqua" w:eastAsia="Book Antiqua" w:hAnsi="Book Antiqua" w:cs="Book Antiqua"/>
        </w:rPr>
        <w:t xml:space="preserve">nversion </w:t>
      </w:r>
      <w:r w:rsidR="00E720A5" w:rsidRPr="00CC4376">
        <w:rPr>
          <w:rFonts w:ascii="Book Antiqua" w:eastAsia="Book Antiqua" w:hAnsi="Book Antiqua" w:cs="Book Antiqua"/>
        </w:rPr>
        <w:t>r</w:t>
      </w:r>
      <w:r w:rsidR="0005621A" w:rsidRPr="00CC4376">
        <w:rPr>
          <w:rFonts w:ascii="Book Antiqua" w:eastAsia="Book Antiqua" w:hAnsi="Book Antiqua" w:cs="Book Antiqua"/>
        </w:rPr>
        <w:t>ecovery sequences is considered a representative radiological feature of CTX.</w:t>
      </w:r>
    </w:p>
    <w:p w14:paraId="0E3C6C8E" w14:textId="71E1CD0B" w:rsidR="00A77B3E" w:rsidRPr="00CC4376" w:rsidRDefault="00B85ECC" w:rsidP="00CC4376">
      <w:pPr>
        <w:snapToGrid w:val="0"/>
        <w:spacing w:line="360" w:lineRule="auto"/>
        <w:jc w:val="both"/>
      </w:pPr>
      <w:r w:rsidRPr="00CC4376">
        <w:rPr>
          <w:rFonts w:ascii="Book Antiqua" w:eastAsia="Book Antiqua" w:hAnsi="Book Antiqua" w:cs="Book Antiqua"/>
          <w:b/>
          <w:caps/>
          <w:u w:val="single"/>
        </w:rPr>
        <w:br w:type="page"/>
      </w:r>
      <w:r w:rsidR="002D0EF9" w:rsidRPr="00CC4376">
        <w:rPr>
          <w:rFonts w:ascii="Book Antiqua" w:eastAsia="Book Antiqua" w:hAnsi="Book Antiqua" w:cs="Book Antiqua"/>
          <w:b/>
          <w:caps/>
          <w:u w:val="single"/>
        </w:rPr>
        <w:lastRenderedPageBreak/>
        <w:t>INTRODUCTION</w:t>
      </w:r>
    </w:p>
    <w:p w14:paraId="60F57A0A" w14:textId="4544E352" w:rsidR="00A77B3E" w:rsidRPr="00CC4376" w:rsidRDefault="002D0EF9" w:rsidP="00CC4376">
      <w:pPr>
        <w:snapToGrid w:val="0"/>
        <w:spacing w:line="360" w:lineRule="auto"/>
        <w:jc w:val="both"/>
      </w:pPr>
      <w:r w:rsidRPr="00CC4376">
        <w:rPr>
          <w:rFonts w:ascii="Book Antiqua" w:eastAsia="Book Antiqua" w:hAnsi="Book Antiqua" w:cs="Book Antiqua"/>
        </w:rPr>
        <w:t xml:space="preserve">Cerebrotendinous xanthomatosis (CTX) is a metabolic disorder inherited in an autosomal recessive manner. It is caused by mutations of the </w:t>
      </w:r>
      <w:r w:rsidRPr="00CC4376">
        <w:rPr>
          <w:rFonts w:ascii="Book Antiqua" w:eastAsia="Book Antiqua" w:hAnsi="Book Antiqua" w:cs="Book Antiqua"/>
          <w:i/>
          <w:iCs/>
        </w:rPr>
        <w:t xml:space="preserve">CYP27A1 </w:t>
      </w:r>
      <w:r w:rsidRPr="00CC4376">
        <w:rPr>
          <w:rFonts w:ascii="Book Antiqua" w:eastAsia="Book Antiqua" w:hAnsi="Book Antiqua" w:cs="Book Antiqua"/>
        </w:rPr>
        <w:t>gene</w:t>
      </w:r>
      <w:r w:rsidR="00404D17" w:rsidRPr="00CC4376">
        <w:rPr>
          <w:rFonts w:ascii="Book Antiqua" w:eastAsia="Book Antiqua" w:hAnsi="Book Antiqua" w:cs="Book Antiqua"/>
        </w:rPr>
        <w:t>,</w:t>
      </w:r>
      <w:r w:rsidRPr="00CC4376">
        <w:rPr>
          <w:rFonts w:ascii="Book Antiqua" w:eastAsia="Book Antiqua" w:hAnsi="Book Antiqua" w:cs="Book Antiqua"/>
        </w:rPr>
        <w:t xml:space="preserve"> which encodes sterol 27-hydroxylase</w:t>
      </w:r>
      <w:r w:rsidRPr="00CC4376">
        <w:rPr>
          <w:rFonts w:ascii="Book Antiqua" w:eastAsia="Book Antiqua" w:hAnsi="Book Antiqua" w:cs="Book Antiqua"/>
          <w:vertAlign w:val="superscript"/>
        </w:rPr>
        <w:t>[1]</w:t>
      </w:r>
      <w:r w:rsidRPr="00CC4376">
        <w:rPr>
          <w:rFonts w:ascii="Book Antiqua" w:eastAsia="Book Antiqua" w:hAnsi="Book Antiqua" w:cs="Book Antiqua"/>
        </w:rPr>
        <w:t>. Sterol 27-hydroxylase is a cytochrome P450 enzyme which converts cholesterol into polar metabolites that can leave cells rapidly, leading to excessive accumulation of cholesterol and cholestanol in lipophilic tissues like the brain, eyes, tendons and blood vessels, and also increasing the risk of premature atherosclerosis</w:t>
      </w:r>
      <w:r w:rsidRPr="00CC4376">
        <w:rPr>
          <w:rFonts w:ascii="Book Antiqua" w:eastAsia="Book Antiqua" w:hAnsi="Book Antiqua" w:cs="Book Antiqua"/>
          <w:vertAlign w:val="superscript"/>
        </w:rPr>
        <w:t>[2-4]</w:t>
      </w:r>
      <w:r w:rsidRPr="00CC4376">
        <w:rPr>
          <w:rFonts w:ascii="Book Antiqua" w:eastAsia="Book Antiqua" w:hAnsi="Book Antiqua" w:cs="Book Antiqua"/>
        </w:rPr>
        <w:t>. The core clinical manifestations are juvenile cataracts, tendon xanthoma, chronic diarrhea, and neurological symptoms such as intellectual disability, cognitive decline, ataxia, spastic paraplegia, peripheral neuropathy, Parkinsonism, and epilepsy. Other symptoms include psychiatric and behavioral disturbances, spinal xanthomatosis, oromandibular dystonia, osteoporosis with multiple fractures, neonatal cholestasis, pediatric hepatology, chronic renal failure and cardiovascular and cerebrovascular atherosclerosis</w:t>
      </w:r>
      <w:r w:rsidRPr="00CC4376">
        <w:rPr>
          <w:rFonts w:ascii="Book Antiqua" w:eastAsia="Book Antiqua" w:hAnsi="Book Antiqua" w:cs="Book Antiqua"/>
          <w:vertAlign w:val="superscript"/>
        </w:rPr>
        <w:t>[5-11]</w:t>
      </w:r>
      <w:r w:rsidRPr="00CC4376">
        <w:rPr>
          <w:rFonts w:ascii="Book Antiqua" w:eastAsia="Book Antiqua" w:hAnsi="Book Antiqua" w:cs="Book Antiqua"/>
        </w:rPr>
        <w:t>.</w:t>
      </w:r>
      <w:r w:rsidR="00BA5D52" w:rsidRPr="00CC4376">
        <w:rPr>
          <w:lang w:eastAsia="zh-CN"/>
        </w:rPr>
        <w:t xml:space="preserve"> </w:t>
      </w:r>
      <w:r w:rsidRPr="00CC4376">
        <w:rPr>
          <w:rFonts w:ascii="Book Antiqua" w:eastAsia="Book Antiqua" w:hAnsi="Book Antiqua" w:cs="Book Antiqua"/>
        </w:rPr>
        <w:t>CTX is underdiagnosed as knowledge of the disorder is mainly based on case reports, and although several hundred of these exist the actual number of patients is likely to be much greater. In addition, prevalence of CTX varies in different ethnic groups. In Caucasian populations, the rate has been found to range from 1/70000</w:t>
      </w:r>
      <w:r w:rsidRPr="00CC4376">
        <w:rPr>
          <w:rFonts w:ascii="Book Antiqua" w:eastAsia="Book Antiqua" w:hAnsi="Book Antiqua" w:cs="Book Antiqua"/>
          <w:vertAlign w:val="superscript"/>
        </w:rPr>
        <w:t>[12]</w:t>
      </w:r>
      <w:r w:rsidRPr="00CC4376">
        <w:rPr>
          <w:rFonts w:ascii="Book Antiqua" w:eastAsia="Book Antiqua" w:hAnsi="Book Antiqua" w:cs="Book Antiqua"/>
        </w:rPr>
        <w:t xml:space="preserve"> to 5/100000</w:t>
      </w:r>
      <w:r w:rsidRPr="00CC4376">
        <w:rPr>
          <w:rFonts w:ascii="Book Antiqua" w:eastAsia="Book Antiqua" w:hAnsi="Book Antiqua" w:cs="Book Antiqua"/>
          <w:vertAlign w:val="superscript"/>
        </w:rPr>
        <w:t>[13]</w:t>
      </w:r>
      <w:r w:rsidRPr="00CC4376">
        <w:rPr>
          <w:rFonts w:ascii="Book Antiqua" w:eastAsia="Book Antiqua" w:hAnsi="Book Antiqua" w:cs="Book Antiqua"/>
        </w:rPr>
        <w:t>. A worldwide epidemiological study calculated allele frequency of the 57 CTX-causing mutations in an ExAC cohort of approximately 60000 unrelated adults, placing the incidence of CTX at 1/36072-1/75601 in South Asians, 1/64247–1/64712 in East Asians, 1/71677-1/148914 in Americans, 1/134970-1/461358 in Europeans, and 1/263222-1/468624 in Africans</w:t>
      </w:r>
      <w:r w:rsidRPr="00CC4376">
        <w:rPr>
          <w:rFonts w:ascii="Book Antiqua" w:eastAsia="Book Antiqua" w:hAnsi="Book Antiqua" w:cs="Book Antiqua"/>
          <w:vertAlign w:val="superscript"/>
        </w:rPr>
        <w:t>[14]</w:t>
      </w:r>
      <w:r w:rsidRPr="00CC4376">
        <w:rPr>
          <w:rFonts w:ascii="Book Antiqua" w:eastAsia="Book Antiqua" w:hAnsi="Book Antiqua" w:cs="Book Antiqua"/>
        </w:rPr>
        <w:t>.</w:t>
      </w:r>
    </w:p>
    <w:p w14:paraId="4457C5C6" w14:textId="7ED1AC3C"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To date, at least 50 variants of 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 have been identified</w:t>
      </w:r>
      <w:r w:rsidRPr="00CC4376">
        <w:rPr>
          <w:rFonts w:ascii="Book Antiqua" w:eastAsia="Book Antiqua" w:hAnsi="Book Antiqua" w:cs="Book Antiqua"/>
          <w:vertAlign w:val="superscript"/>
        </w:rPr>
        <w:t>[15]</w:t>
      </w:r>
      <w:r w:rsidRPr="00CC4376">
        <w:rPr>
          <w:rFonts w:ascii="Book Antiqua" w:eastAsia="Book Antiqua" w:hAnsi="Book Antiqua" w:cs="Book Antiqua"/>
        </w:rPr>
        <w:t>. Molecular analysis is a widely</w:t>
      </w:r>
      <w:r w:rsidR="00404D17" w:rsidRPr="00CC4376">
        <w:rPr>
          <w:rFonts w:ascii="Book Antiqua" w:eastAsia="Book Antiqua" w:hAnsi="Book Antiqua" w:cs="Book Antiqua"/>
        </w:rPr>
        <w:t xml:space="preserve"> </w:t>
      </w:r>
      <w:r w:rsidRPr="00CC4376">
        <w:rPr>
          <w:rFonts w:ascii="Book Antiqua" w:eastAsia="Book Antiqua" w:hAnsi="Book Antiqua" w:cs="Book Antiqua"/>
        </w:rPr>
        <w:t xml:space="preserve">used tool for confirming a CTX diagnosis. However, it is difficult to establish the genotype and phenotype relationships of this disorder due to clinical heterogeneity. In one study, even twins with same pathogenic </w:t>
      </w:r>
      <w:r w:rsidRPr="00CC4376">
        <w:rPr>
          <w:rFonts w:ascii="Book Antiqua" w:eastAsia="Book Antiqua" w:hAnsi="Book Antiqua" w:cs="Book Antiqua"/>
          <w:i/>
          <w:iCs/>
        </w:rPr>
        <w:t>CYP27A1</w:t>
      </w:r>
      <w:r w:rsidRPr="00CC4376">
        <w:rPr>
          <w:rFonts w:ascii="Book Antiqua" w:eastAsia="Book Antiqua" w:hAnsi="Book Antiqua" w:cs="Book Antiqua"/>
        </w:rPr>
        <w:t xml:space="preserve"> mutations and similar lifestyles and diets presented with heterogeneous clinical features</w:t>
      </w:r>
      <w:r w:rsidRPr="00CC4376">
        <w:rPr>
          <w:rFonts w:ascii="Book Antiqua" w:eastAsia="Book Antiqua" w:hAnsi="Book Antiqua" w:cs="Book Antiqua"/>
          <w:vertAlign w:val="superscript"/>
        </w:rPr>
        <w:t>[16]</w:t>
      </w:r>
      <w:r w:rsidRPr="00CC4376">
        <w:rPr>
          <w:rFonts w:ascii="Book Antiqua" w:eastAsia="Book Antiqua" w:hAnsi="Book Antiqua" w:cs="Book Antiqua"/>
        </w:rPr>
        <w:t xml:space="preserve">. CTX is a treatable disease, but the effect of therapy is heavily dependent on the age of the patient receiving medication. There may be a delay of 20-25 years between the first symptoms in </w:t>
      </w:r>
      <w:r w:rsidRPr="00CC4376">
        <w:rPr>
          <w:rFonts w:ascii="Book Antiqua" w:eastAsia="Book Antiqua" w:hAnsi="Book Antiqua" w:cs="Book Antiqua"/>
        </w:rPr>
        <w:lastRenderedPageBreak/>
        <w:t>childhood (for instance, diarrhea, cataracts, intellectual disability and epilepsy) and later symptoms including apparent neurological disturbances such as walking difficulties and cognitive impairment</w:t>
      </w:r>
      <w:r w:rsidRPr="00CC4376">
        <w:rPr>
          <w:rFonts w:ascii="Book Antiqua" w:eastAsia="Book Antiqua" w:hAnsi="Book Antiqua" w:cs="Book Antiqua"/>
          <w:vertAlign w:val="superscript"/>
        </w:rPr>
        <w:t>[17]</w:t>
      </w:r>
      <w:r w:rsidRPr="00CC4376">
        <w:rPr>
          <w:rFonts w:ascii="Book Antiqua" w:eastAsia="Book Antiqua" w:hAnsi="Book Antiqua" w:cs="Book Antiqua"/>
        </w:rPr>
        <w:t>. The age at onset of symptoms is inevitably affected by recall bias and may not be accurate. Shortening the diagnostic delay should be given greater importance in clinical practice, not only for neurologists but also for pediatricians, psychiatrists and ophthalmologists.</w:t>
      </w:r>
    </w:p>
    <w:p w14:paraId="764B053C"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Herein, we report the clinical, imaging and molecular characteristics of a Chinese patient with CTX confirmed by genetic testing. Meanwhile, 520 CTX case reports published in the past 30 years are reviewed to promote better understanding of the clinical and genetic characteristics of CTX.</w:t>
      </w:r>
    </w:p>
    <w:p w14:paraId="3714B380" w14:textId="77777777" w:rsidR="00A77B3E" w:rsidRPr="00CC4376" w:rsidRDefault="00A77B3E" w:rsidP="00CC4376">
      <w:pPr>
        <w:snapToGrid w:val="0"/>
        <w:spacing w:line="360" w:lineRule="auto"/>
        <w:jc w:val="both"/>
      </w:pPr>
    </w:p>
    <w:p w14:paraId="30371423"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CASE PRESENTATION</w:t>
      </w:r>
    </w:p>
    <w:p w14:paraId="4C0C4600"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Chief complaints</w:t>
      </w:r>
    </w:p>
    <w:p w14:paraId="0DE64C30" w14:textId="77777777" w:rsidR="00A77B3E" w:rsidRPr="00CC4376" w:rsidRDefault="002D0EF9" w:rsidP="00CC4376">
      <w:pPr>
        <w:snapToGrid w:val="0"/>
        <w:spacing w:line="360" w:lineRule="auto"/>
        <w:jc w:val="both"/>
      </w:pPr>
      <w:r w:rsidRPr="00CC4376">
        <w:rPr>
          <w:rFonts w:ascii="Book Antiqua" w:eastAsia="Book Antiqua" w:hAnsi="Book Antiqua" w:cs="Book Antiqua"/>
        </w:rPr>
        <w:t>A 47-year-old male was admitted to our institution with a history of intellectual disability for more than 30 years and behavioral abnormalities for the past 3 mo. He had a poor academic performance, having dropped out after completing elementary school. The patient could talk with others in daily life, but he was unable to do housework.</w:t>
      </w:r>
    </w:p>
    <w:p w14:paraId="57058D46" w14:textId="77777777" w:rsidR="00A77B3E" w:rsidRPr="00CC4376" w:rsidRDefault="00A77B3E" w:rsidP="00CC4376">
      <w:pPr>
        <w:snapToGrid w:val="0"/>
        <w:spacing w:line="360" w:lineRule="auto"/>
        <w:jc w:val="both"/>
      </w:pPr>
    </w:p>
    <w:p w14:paraId="0B09AD58"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History of present illness</w:t>
      </w:r>
    </w:p>
    <w:p w14:paraId="0D4BC690" w14:textId="4CC965C5" w:rsidR="00A77B3E" w:rsidRPr="00CC4376" w:rsidRDefault="002D0EF9" w:rsidP="00CC4376">
      <w:pPr>
        <w:snapToGrid w:val="0"/>
        <w:spacing w:line="360" w:lineRule="auto"/>
        <w:jc w:val="both"/>
      </w:pPr>
      <w:r w:rsidRPr="00CC4376">
        <w:rPr>
          <w:rFonts w:ascii="Book Antiqua" w:eastAsia="Book Antiqua" w:hAnsi="Book Antiqua" w:cs="Book Antiqua"/>
        </w:rPr>
        <w:t xml:space="preserve">Three months ago, he underwent an operation for renal calculus, after which he showed progressive delusion (he believed unreasonably that he had a serious disease and was going to die), combined with slow response and speech reduction. </w:t>
      </w:r>
      <w:r w:rsidR="00404D17" w:rsidRPr="00CC4376">
        <w:rPr>
          <w:rFonts w:ascii="Book Antiqua" w:eastAsia="Book Antiqua" w:hAnsi="Book Antiqua" w:cs="Book Antiqua"/>
        </w:rPr>
        <w:t>At 1 wk</w:t>
      </w:r>
      <w:r w:rsidRPr="00CC4376">
        <w:rPr>
          <w:rFonts w:ascii="Book Antiqua" w:eastAsia="Book Antiqua" w:hAnsi="Book Antiqua" w:cs="Book Antiqua"/>
        </w:rPr>
        <w:t xml:space="preserve"> before admission, he was unable to answer questions and developed an eating difficulty, incontinence, fever (T ≤ 38.2 °C) and severe weight loss. Chronic diarrhea was absent.</w:t>
      </w:r>
    </w:p>
    <w:p w14:paraId="6A0C9895" w14:textId="77777777" w:rsidR="00A77B3E" w:rsidRPr="00CC4376" w:rsidRDefault="00A77B3E" w:rsidP="00CC4376">
      <w:pPr>
        <w:snapToGrid w:val="0"/>
        <w:spacing w:line="360" w:lineRule="auto"/>
        <w:jc w:val="both"/>
      </w:pPr>
    </w:p>
    <w:p w14:paraId="00466AEB"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Personal and family history</w:t>
      </w:r>
    </w:p>
    <w:p w14:paraId="2880643B" w14:textId="16D68845" w:rsidR="00A77B3E" w:rsidRPr="00CC4376" w:rsidRDefault="002D0EF9" w:rsidP="00CC4376">
      <w:pPr>
        <w:snapToGrid w:val="0"/>
        <w:spacing w:line="360" w:lineRule="auto"/>
        <w:jc w:val="both"/>
      </w:pPr>
      <w:r w:rsidRPr="00CC4376">
        <w:rPr>
          <w:rFonts w:ascii="Book Antiqua" w:eastAsia="Book Antiqua" w:hAnsi="Book Antiqua" w:cs="Book Antiqua"/>
        </w:rPr>
        <w:t xml:space="preserve">The proband is the </w:t>
      </w:r>
      <w:r w:rsidR="00CC4376">
        <w:rPr>
          <w:rFonts w:ascii="Book Antiqua" w:eastAsia="Book Antiqua" w:hAnsi="Book Antiqua" w:cs="Book Antiqua"/>
        </w:rPr>
        <w:t>4</w:t>
      </w:r>
      <w:r w:rsidR="00CC4376" w:rsidRPr="004C0178">
        <w:rPr>
          <w:rFonts w:ascii="Book Antiqua" w:eastAsia="Book Antiqua" w:hAnsi="Book Antiqua" w:cs="Book Antiqua"/>
          <w:vertAlign w:val="superscript"/>
        </w:rPr>
        <w:t>th</w:t>
      </w:r>
      <w:r w:rsidR="00CC4376">
        <w:rPr>
          <w:rFonts w:ascii="Book Antiqua" w:eastAsia="Book Antiqua" w:hAnsi="Book Antiqua" w:cs="Book Antiqua"/>
        </w:rPr>
        <w:t xml:space="preserve"> </w:t>
      </w:r>
      <w:r w:rsidRPr="00CC4376">
        <w:rPr>
          <w:rFonts w:ascii="Book Antiqua" w:eastAsia="Book Antiqua" w:hAnsi="Book Antiqua" w:cs="Book Antiqua"/>
        </w:rPr>
        <w:t xml:space="preserve">child of </w:t>
      </w:r>
      <w:r w:rsidR="00CC4376">
        <w:rPr>
          <w:rFonts w:ascii="Book Antiqua" w:eastAsia="Book Antiqua" w:hAnsi="Book Antiqua" w:cs="Book Antiqua"/>
        </w:rPr>
        <w:t>5</w:t>
      </w:r>
      <w:r w:rsidR="00CC4376" w:rsidRPr="00CC4376">
        <w:rPr>
          <w:rFonts w:ascii="Book Antiqua" w:eastAsia="Book Antiqua" w:hAnsi="Book Antiqua" w:cs="Book Antiqua"/>
        </w:rPr>
        <w:t xml:space="preserve"> </w:t>
      </w:r>
      <w:r w:rsidRPr="00CC4376">
        <w:rPr>
          <w:rFonts w:ascii="Book Antiqua" w:eastAsia="Book Antiqua" w:hAnsi="Book Antiqua" w:cs="Book Antiqua"/>
        </w:rPr>
        <w:t xml:space="preserve">in a non-consanguineous Chinese family. His family history was negative for symptoms related to neurological disorders. He was divorced twice and had no children, and did not have a history of smoking or drinking. The </w:t>
      </w:r>
      <w:r w:rsidRPr="00CC4376">
        <w:rPr>
          <w:rFonts w:ascii="Book Antiqua" w:eastAsia="Book Antiqua" w:hAnsi="Book Antiqua" w:cs="Book Antiqua"/>
        </w:rPr>
        <w:lastRenderedPageBreak/>
        <w:t>proband’s parents had died and his mother had a history of uremia. All of his four sisters are healthy (Figure 1A).</w:t>
      </w:r>
    </w:p>
    <w:p w14:paraId="5C4BB536"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Physical examination</w:t>
      </w:r>
    </w:p>
    <w:p w14:paraId="5F73C3B0" w14:textId="77777777" w:rsidR="00A77B3E" w:rsidRPr="00CC4376" w:rsidRDefault="002D0EF9" w:rsidP="00CC4376">
      <w:pPr>
        <w:snapToGrid w:val="0"/>
        <w:spacing w:line="360" w:lineRule="auto"/>
        <w:jc w:val="both"/>
      </w:pPr>
      <w:r w:rsidRPr="00CC4376">
        <w:rPr>
          <w:rFonts w:ascii="Book Antiqua" w:eastAsia="Book Antiqua" w:hAnsi="Book Antiqua" w:cs="Book Antiqua"/>
        </w:rPr>
        <w:t>The patient had dark skin and a poor mental state (Figure 2A). Neurological examination indicated cervical rigidity and Kernig sign. Deep tendon reflexes and limb muscle strength were normal. Babinski sign was negative. Enlarged Achilles tendons and nodules on the bilateral tibial tubercles were observed (Figure 2B and C). There was no evidence of cataract or xanthomas at other sites such as the eyelids.</w:t>
      </w:r>
    </w:p>
    <w:p w14:paraId="7727266E" w14:textId="77777777" w:rsidR="00A77B3E" w:rsidRPr="00CC4376" w:rsidRDefault="00A77B3E" w:rsidP="00CC4376">
      <w:pPr>
        <w:snapToGrid w:val="0"/>
        <w:spacing w:line="360" w:lineRule="auto"/>
        <w:jc w:val="both"/>
      </w:pPr>
    </w:p>
    <w:p w14:paraId="33FA2E97"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Laboratory examinations</w:t>
      </w:r>
    </w:p>
    <w:p w14:paraId="1FDA2E99" w14:textId="77777777" w:rsidR="00A77B3E" w:rsidRPr="00CC4376" w:rsidRDefault="002D0EF9" w:rsidP="00CC4376">
      <w:pPr>
        <w:snapToGrid w:val="0"/>
        <w:spacing w:line="360" w:lineRule="auto"/>
        <w:jc w:val="both"/>
      </w:pPr>
      <w:r w:rsidRPr="00CC4376">
        <w:rPr>
          <w:rFonts w:ascii="Book Antiqua" w:eastAsia="Book Antiqua" w:hAnsi="Book Antiqua" w:cs="Book Antiqua"/>
        </w:rPr>
        <w:t>The laboratory results were as follows: increased leukocyte count, neutrophil ratio and high erythrocyte sedimentation rate. There was also a significant increase in concentration of free fatty acid compared to normal range. In contrast, levels of high-density lipoprotein cholesterol were low. Serum cholesterol, glucose, electrolytes, and adrenocorticotropic hormone (ACTH) levels were all normal, as were the liver function tests. Doppler ultrasound of the urinary system showed multiple left kidney stones, a right kidney cyst, and a hypoechoic area in the bladder which could move with body position (Figure 2D). Cerebrospinal fluid protein was mildly elevated: 680.4 mg/L (normal range: 150-400 mg/L).</w:t>
      </w:r>
    </w:p>
    <w:p w14:paraId="103A71F6" w14:textId="77777777" w:rsidR="00A77B3E" w:rsidRPr="00CC4376" w:rsidRDefault="00A77B3E" w:rsidP="00CC4376">
      <w:pPr>
        <w:snapToGrid w:val="0"/>
        <w:spacing w:line="360" w:lineRule="auto"/>
        <w:jc w:val="both"/>
      </w:pPr>
    </w:p>
    <w:p w14:paraId="2D329DB2"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Imaging examinations</w:t>
      </w:r>
    </w:p>
    <w:p w14:paraId="09D87967"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X-ray of the lower limbs showed soft tissue swelling above the tibial tuberosities bilaterally (Figure 2E). Sagittal and axial magnetic resonance imaging (MRI) of the right ankle joint showed apparent enlargement of the right Achilles tendon and upper medial malleolus flexor tendon (consisting of low signal intensity on both T1- and T2-weighted images), abnormal thickening of the plantar fat, and a small amount of exudation around the fascia in front of the Achilles tendon (Figure 2F). The electroencephalogram (EEG) showed increased slow activities than normal and electrophysiological examination found mixed sensorimotor neuropathy of the upper and lower limbs. Cerebral MRI </w:t>
      </w:r>
      <w:r w:rsidRPr="00CC4376">
        <w:rPr>
          <w:rFonts w:ascii="Book Antiqua" w:eastAsia="Book Antiqua" w:hAnsi="Book Antiqua" w:cs="Book Antiqua"/>
        </w:rPr>
        <w:lastRenderedPageBreak/>
        <w:t>suggested white matter (WM) demyelination and slight cerebral atrophy (Figure 2G and H).</w:t>
      </w:r>
    </w:p>
    <w:p w14:paraId="50B61FB0" w14:textId="77777777" w:rsidR="00A77B3E" w:rsidRPr="00CC4376" w:rsidRDefault="00A77B3E" w:rsidP="00CC4376">
      <w:pPr>
        <w:snapToGrid w:val="0"/>
        <w:spacing w:line="360" w:lineRule="auto"/>
        <w:jc w:val="both"/>
      </w:pPr>
    </w:p>
    <w:p w14:paraId="75EA7069"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Genetic testing</w:t>
      </w:r>
    </w:p>
    <w:p w14:paraId="3DE7654E" w14:textId="77777777" w:rsidR="00A77B3E" w:rsidRPr="00CC4376" w:rsidRDefault="002D0EF9" w:rsidP="00CC4376">
      <w:pPr>
        <w:snapToGrid w:val="0"/>
        <w:spacing w:line="360" w:lineRule="auto"/>
        <w:jc w:val="both"/>
      </w:pPr>
      <w:r w:rsidRPr="00CC4376">
        <w:rPr>
          <w:rFonts w:ascii="Book Antiqua" w:eastAsia="Book Antiqua" w:hAnsi="Book Antiqua" w:cs="Book Antiqua"/>
        </w:rPr>
        <w:t>Genomic DNA was isolated from blood samples of the patient and his four healthy sisters. Mutation screening of all exons and flanking regions was performed on the patient’s sample by targeted sequencing as previously reported</w:t>
      </w:r>
      <w:r w:rsidRPr="00CC4376">
        <w:rPr>
          <w:rFonts w:ascii="Book Antiqua" w:eastAsia="Book Antiqua" w:hAnsi="Book Antiqua" w:cs="Book Antiqua"/>
          <w:vertAlign w:val="superscript"/>
        </w:rPr>
        <w:t>[18]</w:t>
      </w:r>
      <w:r w:rsidRPr="00CC4376">
        <w:rPr>
          <w:rFonts w:ascii="Book Antiqua" w:eastAsia="Book Antiqua" w:hAnsi="Book Antiqua" w:cs="Book Antiqua"/>
        </w:rPr>
        <w:t xml:space="preserve">. Targeted sequencing revealed that the proband had compound heterozygous mutations in 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 and that his four sisters were mutation carriers (Figure 1B-E, Table 2). Both of the variants found are known pathogenic mutations of CTX. The variant in exon 2 (c.435G&gt;T, p.Gly145Gly), a functionally silent nucleotide substitution, has been reported to activate a 5’ splice site, leading to alternative pre-mRNA splicing</w:t>
      </w:r>
      <w:r w:rsidRPr="00CC4376">
        <w:rPr>
          <w:rFonts w:ascii="Book Antiqua" w:eastAsia="Book Antiqua" w:hAnsi="Book Antiqua" w:cs="Book Antiqua"/>
          <w:vertAlign w:val="superscript"/>
        </w:rPr>
        <w:t>[19]</w:t>
      </w:r>
      <w:r w:rsidRPr="00CC4376">
        <w:rPr>
          <w:rFonts w:ascii="Book Antiqua" w:eastAsia="Book Antiqua" w:hAnsi="Book Antiqua" w:cs="Book Antiqua"/>
        </w:rPr>
        <w:t>. The other variant (c.1263+1G&gt;A) is a splice site mutation that disrupts normal mRNA splicing and results in exon 7 being skipped in the transcript</w:t>
      </w:r>
      <w:r w:rsidRPr="00CC4376">
        <w:rPr>
          <w:rFonts w:ascii="Book Antiqua" w:eastAsia="Book Antiqua" w:hAnsi="Book Antiqua" w:cs="Book Antiqua"/>
          <w:vertAlign w:val="superscript"/>
        </w:rPr>
        <w:t>[20]</w:t>
      </w:r>
      <w:r w:rsidRPr="00CC4376">
        <w:rPr>
          <w:rFonts w:ascii="Book Antiqua" w:eastAsia="Book Antiqua" w:hAnsi="Book Antiqua" w:cs="Book Antiqua"/>
        </w:rPr>
        <w:t>. In Italian and Japanese patients, the variant has been found to cause loss of a heme binding domain, a vital part of hydroxylase, and to damage bile acid synthesis</w:t>
      </w:r>
      <w:r w:rsidRPr="00CC4376">
        <w:rPr>
          <w:rFonts w:ascii="Book Antiqua" w:eastAsia="Book Antiqua" w:hAnsi="Book Antiqua" w:cs="Book Antiqua"/>
          <w:vertAlign w:val="superscript"/>
        </w:rPr>
        <w:t>[20,21]</w:t>
      </w:r>
      <w:r w:rsidRPr="00CC4376">
        <w:rPr>
          <w:rFonts w:ascii="Book Antiqua" w:eastAsia="Book Antiqua" w:hAnsi="Book Antiqua" w:cs="Book Antiqua"/>
        </w:rPr>
        <w:t>.</w:t>
      </w:r>
    </w:p>
    <w:p w14:paraId="7126303C" w14:textId="77777777" w:rsidR="00A77B3E" w:rsidRPr="00CC4376" w:rsidRDefault="00A77B3E" w:rsidP="00CC4376">
      <w:pPr>
        <w:snapToGrid w:val="0"/>
        <w:spacing w:line="360" w:lineRule="auto"/>
        <w:jc w:val="both"/>
      </w:pPr>
    </w:p>
    <w:p w14:paraId="611551E6"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FINAL DIAGNOSIS</w:t>
      </w:r>
    </w:p>
    <w:p w14:paraId="09F3D82C"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On the basis of the clinical features and the results of supplemental studies, a diagnosis of CTX was the first conclusion. Addison’s disease, listed as a differential diagnosis due to his skin pigmentation and intellectual disability, was excluded due to the normal level of serum cortisol and ACTH. The diagnosis of CTX was confirmed by genetic analysis, which showed compound pathogenic heterozygous mutations in 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w:t>
      </w:r>
    </w:p>
    <w:p w14:paraId="6AB8CDDF" w14:textId="77777777" w:rsidR="00A77B3E" w:rsidRPr="00CC4376" w:rsidRDefault="00A77B3E" w:rsidP="00CC4376">
      <w:pPr>
        <w:snapToGrid w:val="0"/>
        <w:spacing w:line="360" w:lineRule="auto"/>
        <w:jc w:val="both"/>
      </w:pPr>
    </w:p>
    <w:p w14:paraId="4EBEE590"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TREATMENT</w:t>
      </w:r>
    </w:p>
    <w:p w14:paraId="0C79A154" w14:textId="00402DA4" w:rsidR="00A77B3E" w:rsidRPr="00CC4376" w:rsidRDefault="002D0EF9" w:rsidP="00CC4376">
      <w:pPr>
        <w:snapToGrid w:val="0"/>
        <w:spacing w:line="360" w:lineRule="auto"/>
        <w:jc w:val="both"/>
      </w:pPr>
      <w:r w:rsidRPr="00CC4376">
        <w:rPr>
          <w:rFonts w:ascii="Book Antiqua" w:eastAsia="Book Antiqua" w:hAnsi="Book Antiqua" w:cs="Book Antiqua"/>
        </w:rPr>
        <w:t xml:space="preserve">The patient was treated with a combination of 10 mg rosuvastatin once per night, 10 mg of ezetimibe once per night, and paliperidone (1 mg in the morning and 2 mg at night). He was provided with 0.25 g chenodeoxycholic acid (CDCA) three times per day in our </w:t>
      </w:r>
      <w:r w:rsidRPr="00CC4376">
        <w:rPr>
          <w:rFonts w:ascii="Book Antiqua" w:eastAsia="Book Antiqua" w:hAnsi="Book Antiqua" w:cs="Book Antiqua"/>
        </w:rPr>
        <w:lastRenderedPageBreak/>
        <w:t>hospital. He was also provided enteral nutritional support through a nasogastric feeding tube.</w:t>
      </w:r>
    </w:p>
    <w:p w14:paraId="312EC917" w14:textId="77777777" w:rsidR="00A77B3E" w:rsidRPr="00CC4376" w:rsidRDefault="00A77B3E" w:rsidP="00CC4376">
      <w:pPr>
        <w:snapToGrid w:val="0"/>
        <w:spacing w:line="360" w:lineRule="auto"/>
        <w:jc w:val="both"/>
      </w:pPr>
    </w:p>
    <w:p w14:paraId="6AE54C52"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OUTCOME AND FOLLOW-UP</w:t>
      </w:r>
    </w:p>
    <w:p w14:paraId="79ADE53D" w14:textId="39238B73" w:rsidR="00A77B3E" w:rsidRPr="00CC4376" w:rsidRDefault="002D0EF9" w:rsidP="00CC4376">
      <w:pPr>
        <w:snapToGrid w:val="0"/>
        <w:spacing w:line="360" w:lineRule="auto"/>
        <w:jc w:val="both"/>
      </w:pPr>
      <w:r w:rsidRPr="00CC4376">
        <w:rPr>
          <w:rFonts w:ascii="Book Antiqua" w:eastAsia="Book Antiqua" w:hAnsi="Book Antiqua" w:cs="Book Antiqua"/>
        </w:rPr>
        <w:t>After a 3</w:t>
      </w:r>
      <w:r w:rsidR="00F01760" w:rsidRPr="00CC4376">
        <w:rPr>
          <w:rFonts w:ascii="Book Antiqua" w:eastAsia="Book Antiqua" w:hAnsi="Book Antiqua" w:cs="Book Antiqua"/>
        </w:rPr>
        <w:t xml:space="preserve"> </w:t>
      </w:r>
      <w:r w:rsidRPr="00CC4376">
        <w:rPr>
          <w:rFonts w:ascii="Book Antiqua" w:eastAsia="Book Antiqua" w:hAnsi="Book Antiqua" w:cs="Book Antiqua"/>
        </w:rPr>
        <w:t>wk treatment program, the patient’s skin became brighter, he showed an improvement of mental symptoms, and his psychiatric symptoms substantially improved. He could answer simple questions correctly and walk with help. The serum free fatty acid level decreased to less than half of the pretreatment level (from 1127.7 μmol/L to 523.1 μmol/L). The urinary system B-ultrasounds performed after treatment suggested sediments in the bladder had disappeared. After he was discharged, he persisted the medication of CDCA.</w:t>
      </w:r>
    </w:p>
    <w:p w14:paraId="1F405451" w14:textId="77777777" w:rsidR="00A77B3E" w:rsidRPr="00CC4376" w:rsidRDefault="00A77B3E" w:rsidP="00CC4376">
      <w:pPr>
        <w:snapToGrid w:val="0"/>
        <w:spacing w:line="360" w:lineRule="auto"/>
        <w:jc w:val="both"/>
      </w:pPr>
    </w:p>
    <w:p w14:paraId="01EF6459"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DISCUSSION</w:t>
      </w:r>
    </w:p>
    <w:p w14:paraId="57E9514B" w14:textId="77777777" w:rsidR="00A77B3E" w:rsidRPr="00CC4376" w:rsidRDefault="002D0EF9" w:rsidP="00CC4376">
      <w:pPr>
        <w:snapToGrid w:val="0"/>
        <w:spacing w:line="360" w:lineRule="auto"/>
        <w:jc w:val="both"/>
      </w:pPr>
      <w:r w:rsidRPr="00CC4376">
        <w:rPr>
          <w:rFonts w:ascii="Book Antiqua" w:eastAsia="Book Antiqua" w:hAnsi="Book Antiqua" w:cs="Book Antiqua"/>
        </w:rPr>
        <w:t>CTX, MIM# 213700, is a rare hereditary lipid storage disease whose precise epidemiological features are unknown because findings largely depend on case reports</w:t>
      </w:r>
      <w:r w:rsidRPr="00CC4376">
        <w:rPr>
          <w:rFonts w:ascii="Book Antiqua" w:eastAsia="Book Antiqua" w:hAnsi="Book Antiqua" w:cs="Book Antiqua"/>
          <w:vertAlign w:val="superscript"/>
        </w:rPr>
        <w:t>[11]</w:t>
      </w:r>
      <w:r w:rsidRPr="00CC4376">
        <w:rPr>
          <w:rFonts w:ascii="Book Antiqua" w:eastAsia="Book Antiqua" w:hAnsi="Book Antiqua" w:cs="Book Antiqua"/>
        </w:rPr>
        <w:t>. In the past 30 years, more than 500 CTX cases have been reported worldwide, with the highest frequencies reported in Italy, the Netherlands, Spain, Japan, and China (Figure 3). We have reviewed previous literature reporting CTX cases and summarize the clinical and genetic features of patients in supplementary Table 1.</w:t>
      </w:r>
    </w:p>
    <w:p w14:paraId="2CE09579" w14:textId="77777777" w:rsidR="00A77B3E" w:rsidRPr="00CC4376" w:rsidRDefault="00A77B3E" w:rsidP="00CC4376">
      <w:pPr>
        <w:snapToGrid w:val="0"/>
        <w:spacing w:line="360" w:lineRule="auto"/>
        <w:jc w:val="both"/>
      </w:pPr>
    </w:p>
    <w:p w14:paraId="16C4E14A" w14:textId="77777777" w:rsidR="008C36E6" w:rsidRPr="00CC4376" w:rsidRDefault="008C36E6" w:rsidP="00CC4376">
      <w:pPr>
        <w:snapToGrid w:val="0"/>
        <w:spacing w:line="360" w:lineRule="auto"/>
        <w:jc w:val="both"/>
        <w:rPr>
          <w:rFonts w:ascii="Book Antiqua" w:eastAsia="Book Antiqua" w:hAnsi="Book Antiqua" w:cs="Book Antiqua"/>
          <w:b/>
          <w:bCs/>
          <w:i/>
          <w:iCs/>
        </w:rPr>
      </w:pPr>
      <w:r w:rsidRPr="00CC4376">
        <w:rPr>
          <w:rFonts w:ascii="Book Antiqua" w:eastAsia="Book Antiqua" w:hAnsi="Book Antiqua" w:cs="Book Antiqua"/>
          <w:b/>
          <w:bCs/>
          <w:i/>
          <w:iCs/>
        </w:rPr>
        <w:t>Clinical characteristics of CTX</w:t>
      </w:r>
    </w:p>
    <w:p w14:paraId="414CEF14" w14:textId="77777777" w:rsidR="00A77B3E" w:rsidRPr="00CC4376" w:rsidRDefault="002D0EF9" w:rsidP="00CC4376">
      <w:pPr>
        <w:snapToGrid w:val="0"/>
        <w:spacing w:line="360" w:lineRule="auto"/>
        <w:jc w:val="both"/>
      </w:pPr>
      <w:r w:rsidRPr="00CC4376">
        <w:rPr>
          <w:rFonts w:ascii="Book Antiqua" w:eastAsia="Book Antiqua" w:hAnsi="Book Antiqua" w:cs="Book Antiqua"/>
        </w:rPr>
        <w:t>CTX patients from all over the world share certain clinical features, which are shown in Figure 3. Also shown are features in Italian and Japanese populations as representatives for Caucasians and Asians, to highlight characteristics from different origins.</w:t>
      </w:r>
    </w:p>
    <w:p w14:paraId="3F7CAB81"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In 520 global CTX cases (Figure 3, supplementary Table 1), cataract is the most common symptom with a frequency of 80.37%, and it is usually diagnosed in the second decade of life</w:t>
      </w:r>
      <w:r w:rsidRPr="00CC4376">
        <w:rPr>
          <w:rFonts w:ascii="Book Antiqua" w:eastAsia="Book Antiqua" w:hAnsi="Book Antiqua" w:cs="Book Antiqua"/>
          <w:vertAlign w:val="superscript"/>
        </w:rPr>
        <w:t>[17]</w:t>
      </w:r>
      <w:r w:rsidRPr="00CC4376">
        <w:rPr>
          <w:rFonts w:ascii="Book Antiqua" w:eastAsia="Book Antiqua" w:hAnsi="Book Antiqua" w:cs="Book Antiqua"/>
        </w:rPr>
        <w:t>. However, its diagnostic role is less evident in Japan as only 60.00% of patients showed this sign</w:t>
      </w:r>
      <w:r w:rsidRPr="00CC4376">
        <w:rPr>
          <w:rFonts w:ascii="Book Antiqua" w:eastAsia="Book Antiqua" w:hAnsi="Book Antiqua" w:cs="Book Antiqua"/>
          <w:vertAlign w:val="superscript"/>
        </w:rPr>
        <w:t>[11]</w:t>
      </w:r>
      <w:r w:rsidRPr="00CC4376">
        <w:rPr>
          <w:rFonts w:ascii="Book Antiqua" w:eastAsia="Book Antiqua" w:hAnsi="Book Antiqua" w:cs="Book Antiqua"/>
        </w:rPr>
        <w:t>. Xanthoma is the second most common systemic symptom of CTX, and it is notable that it has a much higher frequency in Japanese patients (95.0%)</w:t>
      </w:r>
      <w:r w:rsidRPr="00CC4376">
        <w:rPr>
          <w:rFonts w:ascii="Book Antiqua" w:eastAsia="Book Antiqua" w:hAnsi="Book Antiqua" w:cs="Book Antiqua"/>
          <w:vertAlign w:val="superscript"/>
        </w:rPr>
        <w:t>[11]</w:t>
      </w:r>
      <w:r w:rsidRPr="00CC4376">
        <w:rPr>
          <w:rFonts w:ascii="Book Antiqua" w:eastAsia="Book Antiqua" w:hAnsi="Book Antiqua" w:cs="Book Antiqua"/>
        </w:rPr>
        <w:t xml:space="preserve">. </w:t>
      </w:r>
      <w:r w:rsidRPr="00CC4376">
        <w:rPr>
          <w:rFonts w:ascii="Book Antiqua" w:eastAsia="Book Antiqua" w:hAnsi="Book Antiqua" w:cs="Book Antiqua"/>
        </w:rPr>
        <w:lastRenderedPageBreak/>
        <w:t>Cognitive impairment is the most common neurological presentation, followed by pyramidal signs and cerebellar ataxia (72.95% and 63.89%, respectively). Peripheral neuropathy and chronic diarrhea are also very common, particularly in Italian patients, where the prevalence rates were 78.87% and 70.00%, respectively. Epilepsy is a relatively unusual presentation of CTX, but it sometimes appears as the initial symptom; thus CTX should be considered as a possible cause of seizure</w:t>
      </w:r>
      <w:r w:rsidRPr="00CC4376">
        <w:rPr>
          <w:rFonts w:ascii="Book Antiqua" w:eastAsia="Book Antiqua" w:hAnsi="Book Antiqua" w:cs="Book Antiqua"/>
          <w:vertAlign w:val="superscript"/>
        </w:rPr>
        <w:t>[11]</w:t>
      </w:r>
      <w:r w:rsidRPr="00CC4376">
        <w:rPr>
          <w:rFonts w:ascii="Book Antiqua" w:eastAsia="Book Antiqua" w:hAnsi="Book Antiqua" w:cs="Book Antiqua"/>
        </w:rPr>
        <w:t>. Parkinsonism is less frequent and is usually seen at an older age</w:t>
      </w:r>
      <w:r w:rsidRPr="00CC4376">
        <w:rPr>
          <w:rFonts w:ascii="Book Antiqua" w:eastAsia="Book Antiqua" w:hAnsi="Book Antiqua" w:cs="Book Antiqua"/>
          <w:vertAlign w:val="superscript"/>
        </w:rPr>
        <w:t>[11]</w:t>
      </w:r>
      <w:r w:rsidRPr="00CC4376">
        <w:rPr>
          <w:rFonts w:ascii="Book Antiqua" w:eastAsia="Book Antiqua" w:hAnsi="Book Antiqua" w:cs="Book Antiqua"/>
        </w:rPr>
        <w:t>.</w:t>
      </w:r>
    </w:p>
    <w:p w14:paraId="2CCC5A84" w14:textId="23A98E53"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Awareness of psychiatric signs in CTX is growing in neurologists and psychiatrists, but these signs are rarely isolated in CTX</w:t>
      </w:r>
      <w:r w:rsidRPr="00CC4376">
        <w:rPr>
          <w:rFonts w:ascii="Book Antiqua" w:eastAsia="Book Antiqua" w:hAnsi="Book Antiqua" w:cs="Book Antiqua"/>
          <w:vertAlign w:val="superscript"/>
        </w:rPr>
        <w:t>[22]</w:t>
      </w:r>
      <w:r w:rsidR="00F01760" w:rsidRPr="00CC4376">
        <w:rPr>
          <w:rFonts w:ascii="Book Antiqua" w:eastAsia="Book Antiqua" w:hAnsi="Book Antiqua" w:cs="Book Antiqua"/>
        </w:rPr>
        <w:t xml:space="preserve">, </w:t>
      </w:r>
      <w:r w:rsidRPr="00CC4376">
        <w:rPr>
          <w:rFonts w:ascii="Book Antiqua" w:eastAsia="Book Antiqua" w:hAnsi="Book Antiqua" w:cs="Book Antiqua"/>
        </w:rPr>
        <w:t>as seen in the present case. They are characterized by learning difficulties/cognitive impairment in childhood or adolescence; and behavioral disturbance, affective/mood disorders, personality changes and psychotic disorders in the advanced stage of the disease</w:t>
      </w:r>
      <w:r w:rsidRPr="00CC4376">
        <w:rPr>
          <w:rFonts w:ascii="Book Antiqua" w:eastAsia="Book Antiqua" w:hAnsi="Book Antiqua" w:cs="Book Antiqua"/>
          <w:vertAlign w:val="superscript"/>
        </w:rPr>
        <w:t>[23]</w:t>
      </w:r>
      <w:r w:rsidRPr="00CC4376">
        <w:rPr>
          <w:rFonts w:ascii="Book Antiqua" w:eastAsia="Book Antiqua" w:hAnsi="Book Antiqua" w:cs="Book Antiqua"/>
        </w:rPr>
        <w:t>.</w:t>
      </w:r>
    </w:p>
    <w:p w14:paraId="36B94DF3"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The multiple systematic features in patients indicate that almost every organ is involved in this disease. Other than the symptoms mentioned above, aberrant calcium deposits in the urinary system, nephrocalcinosis, nephrolithiasis and renal failure have been reported in CTX, although with a relatively low incidence</w:t>
      </w:r>
      <w:r w:rsidRPr="00CC4376">
        <w:rPr>
          <w:rFonts w:ascii="Book Antiqua" w:eastAsia="Book Antiqua" w:hAnsi="Book Antiqua" w:cs="Book Antiqua"/>
          <w:vertAlign w:val="superscript"/>
        </w:rPr>
        <w:t>[11,24]</w:t>
      </w:r>
      <w:r w:rsidRPr="00CC4376">
        <w:rPr>
          <w:rFonts w:ascii="Book Antiqua" w:eastAsia="Book Antiqua" w:hAnsi="Book Antiqua" w:cs="Book Antiqua"/>
        </w:rPr>
        <w:t>. The patient in this paper had a history of renal calculus and sediments in the bladder, which disappeared after treatment and might be associated with increased urinary bile alcohols. We cannot rule out the possibility that these urinary system diseases are neglected in CTX cases. More valuable clinical features are likely to be identified if complete examinations were performed in every CTX patient.</w:t>
      </w:r>
    </w:p>
    <w:p w14:paraId="7DF02E80"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Phenotypes of CTX can vary considerably in intrafamilial cases, even in identical twins having similar lifestyles</w:t>
      </w:r>
      <w:r w:rsidRPr="00CC4376">
        <w:rPr>
          <w:rFonts w:ascii="Book Antiqua" w:eastAsia="Book Antiqua" w:hAnsi="Book Antiqua" w:cs="Book Antiqua"/>
          <w:vertAlign w:val="superscript"/>
        </w:rPr>
        <w:t>[16,25]</w:t>
      </w:r>
      <w:r w:rsidRPr="00CC4376">
        <w:rPr>
          <w:rFonts w:ascii="Book Antiqua" w:eastAsia="Book Antiqua" w:hAnsi="Book Antiqua" w:cs="Book Antiqua"/>
        </w:rPr>
        <w:t>. Different phenotypes may be associated with certain genetic modifiers or epigenetic changes that are undiscovered today</w:t>
      </w:r>
      <w:r w:rsidRPr="00CC4376">
        <w:rPr>
          <w:rFonts w:ascii="Book Antiqua" w:eastAsia="Book Antiqua" w:hAnsi="Book Antiqua" w:cs="Book Antiqua"/>
          <w:vertAlign w:val="superscript"/>
        </w:rPr>
        <w:t>[16]</w:t>
      </w:r>
      <w:r w:rsidRPr="00CC4376">
        <w:rPr>
          <w:rFonts w:ascii="Book Antiqua" w:eastAsia="Book Antiqua" w:hAnsi="Book Antiqua" w:cs="Book Antiqua"/>
        </w:rPr>
        <w:t xml:space="preserve">. Whether environmental factors play a role in the pathogenesis of CTX is still unclear. Mignarri </w:t>
      </w:r>
      <w:r w:rsidRPr="00CC4376">
        <w:rPr>
          <w:rFonts w:ascii="Book Antiqua" w:eastAsia="Book Antiqua" w:hAnsi="Book Antiqua" w:cs="Book Antiqua"/>
          <w:i/>
          <w:iCs/>
        </w:rPr>
        <w:t>et al</w:t>
      </w:r>
      <w:r w:rsidRPr="00CC4376">
        <w:rPr>
          <w:rFonts w:ascii="Book Antiqua" w:eastAsia="Book Antiqua" w:hAnsi="Book Antiqua" w:cs="Book Antiqua"/>
          <w:vertAlign w:val="superscript"/>
        </w:rPr>
        <w:t>[17]</w:t>
      </w:r>
      <w:r w:rsidRPr="00CC4376">
        <w:rPr>
          <w:rFonts w:ascii="Book Antiqua" w:eastAsia="Book Antiqua" w:hAnsi="Book Antiqua" w:cs="Book Antiqua"/>
        </w:rPr>
        <w:t xml:space="preserve"> developed a simple and effective diagnostic tool named the suspicion index. Using this tool, our patient received a total score of 225, which is a very strong indicator for CTX. However, these authors also recommended that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genetic analysis should be the definitive method for diagnosis</w:t>
      </w:r>
      <w:r w:rsidRPr="00CC4376">
        <w:rPr>
          <w:rFonts w:ascii="Book Antiqua" w:eastAsia="Book Antiqua" w:hAnsi="Book Antiqua" w:cs="Book Antiqua"/>
          <w:vertAlign w:val="superscript"/>
        </w:rPr>
        <w:t>[17]</w:t>
      </w:r>
      <w:r w:rsidRPr="00CC4376">
        <w:rPr>
          <w:rFonts w:ascii="Book Antiqua" w:eastAsia="Book Antiqua" w:hAnsi="Book Antiqua" w:cs="Book Antiqua"/>
        </w:rPr>
        <w:t>.</w:t>
      </w:r>
    </w:p>
    <w:p w14:paraId="0234F2CB" w14:textId="77777777" w:rsidR="00A77B3E" w:rsidRPr="00CC4376" w:rsidRDefault="00A77B3E" w:rsidP="00CC4376">
      <w:pPr>
        <w:snapToGrid w:val="0"/>
        <w:spacing w:line="360" w:lineRule="auto"/>
        <w:jc w:val="both"/>
      </w:pPr>
    </w:p>
    <w:p w14:paraId="445306D3" w14:textId="77777777" w:rsidR="00A77B3E" w:rsidRPr="00CC4376" w:rsidRDefault="002D0EF9" w:rsidP="00CC4376">
      <w:pPr>
        <w:snapToGrid w:val="0"/>
        <w:spacing w:line="360" w:lineRule="auto"/>
        <w:jc w:val="both"/>
        <w:rPr>
          <w:b/>
          <w:bCs/>
          <w:i/>
          <w:iCs/>
        </w:rPr>
      </w:pPr>
      <w:r w:rsidRPr="00CC4376">
        <w:rPr>
          <w:rFonts w:ascii="Book Antiqua" w:eastAsia="Book Antiqua" w:hAnsi="Book Antiqua" w:cs="Book Antiqua"/>
          <w:b/>
          <w:bCs/>
          <w:i/>
          <w:iCs/>
        </w:rPr>
        <w:t>Genetic features</w:t>
      </w:r>
    </w:p>
    <w:p w14:paraId="4039A585"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 is located in chromosome locus 2q35 and consists of 9 exons and 8 introns that encode 531 amino acids. Known pathogenic mutations causing CTX are distributed in all exons and in introns 2, 4, 6, 7 and 8</w:t>
      </w:r>
      <w:r w:rsidRPr="00CC4376">
        <w:rPr>
          <w:rFonts w:ascii="Book Antiqua" w:eastAsia="Book Antiqua" w:hAnsi="Book Antiqua" w:cs="Book Antiqua"/>
          <w:vertAlign w:val="superscript"/>
        </w:rPr>
        <w:t>[26,27]</w:t>
      </w:r>
      <w:r w:rsidRPr="00CC4376">
        <w:rPr>
          <w:rFonts w:ascii="Book Antiqua" w:eastAsia="Book Antiqua" w:hAnsi="Book Antiqua" w:cs="Book Antiqua"/>
        </w:rPr>
        <w:t>, but nearly half of all mutations are found in exons 6-8</w:t>
      </w:r>
      <w:r w:rsidRPr="00CC4376">
        <w:rPr>
          <w:rFonts w:ascii="Book Antiqua" w:eastAsia="Book Antiqua" w:hAnsi="Book Antiqua" w:cs="Book Antiqua"/>
          <w:vertAlign w:val="superscript"/>
        </w:rPr>
        <w:t>[26]</w:t>
      </w:r>
      <w:r w:rsidRPr="00CC4376">
        <w:rPr>
          <w:rFonts w:ascii="Book Antiqua" w:eastAsia="Book Antiqua" w:hAnsi="Book Antiqua" w:cs="Book Antiqua"/>
        </w:rPr>
        <w:t>. A genetic review in 2006 of 49 different mutations suggested that 45% are missense mutations, 20% are nonsense mutations, and 18% are splice site mutations. The remaining mutations were seven deletions (14%) and one insertion (2%)</w:t>
      </w:r>
      <w:r w:rsidRPr="00CC4376">
        <w:rPr>
          <w:rFonts w:ascii="Book Antiqua" w:eastAsia="Book Antiqua" w:hAnsi="Book Antiqua" w:cs="Book Antiqua"/>
          <w:vertAlign w:val="superscript"/>
        </w:rPr>
        <w:t>[1]</w:t>
      </w:r>
      <w:r w:rsidRPr="00CC4376">
        <w:rPr>
          <w:rFonts w:ascii="Book Antiqua" w:eastAsia="Book Antiqua" w:hAnsi="Book Antiqua" w:cs="Book Antiqua"/>
        </w:rPr>
        <w:t>. Missense mutations could impair the stability and catalytic efficacy of the enzyme; splice site mutations cause abnormal splicing and exon skipping; and deletion, insertion and nonsense mutations lead to a truncation of the mRNA and an incomplete enzyme structure</w:t>
      </w:r>
      <w:r w:rsidRPr="00CC4376">
        <w:rPr>
          <w:rFonts w:ascii="Book Antiqua" w:eastAsia="Book Antiqua" w:hAnsi="Book Antiqua" w:cs="Book Antiqua"/>
          <w:vertAlign w:val="superscript"/>
        </w:rPr>
        <w:t>[26]</w:t>
      </w:r>
      <w:r w:rsidRPr="00CC4376">
        <w:rPr>
          <w:rFonts w:ascii="Book Antiqua" w:eastAsia="Book Antiqua" w:hAnsi="Book Antiqua" w:cs="Book Antiqua"/>
        </w:rPr>
        <w:t>. It was reported that some mutations occurred more frequently in some ethnic groups, such as c.1214G&gt;A (p.R405Q) in Japanese patients, c.1183C&gt;T (p.R395C) in patients of Spanish origin and c.646G&gt;C (p.A216P) in Italian patients</w:t>
      </w:r>
      <w:r w:rsidRPr="00CC4376">
        <w:rPr>
          <w:rFonts w:ascii="Book Antiqua" w:eastAsia="Book Antiqua" w:hAnsi="Book Antiqua" w:cs="Book Antiqua"/>
          <w:vertAlign w:val="superscript"/>
        </w:rPr>
        <w:t>[1,11,15]</w:t>
      </w:r>
      <w:r w:rsidRPr="00CC4376">
        <w:rPr>
          <w:rFonts w:ascii="Book Antiqua" w:eastAsia="Book Antiqua" w:hAnsi="Book Antiqua" w:cs="Book Antiqua"/>
        </w:rPr>
        <w:t>.</w:t>
      </w:r>
    </w:p>
    <w:p w14:paraId="7E8FBA20"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No published case report has yet identified mutations in genes other than CYP27A1 in CTX patients</w:t>
      </w:r>
      <w:r w:rsidRPr="00CC4376">
        <w:rPr>
          <w:rFonts w:ascii="Book Antiqua" w:eastAsia="Book Antiqua" w:hAnsi="Book Antiqua" w:cs="Book Antiqua"/>
          <w:vertAlign w:val="superscript"/>
        </w:rPr>
        <w:t>[28]</w:t>
      </w:r>
      <w:r w:rsidRPr="00CC4376">
        <w:rPr>
          <w:rFonts w:ascii="Book Antiqua" w:eastAsia="Book Antiqua" w:hAnsi="Book Antiqua" w:cs="Book Antiqua"/>
        </w:rPr>
        <w:t>. It is not yet certain if there are any correlations between phenotypes and genotypes in this rare disease</w:t>
      </w:r>
      <w:r w:rsidRPr="00CC4376">
        <w:rPr>
          <w:rFonts w:ascii="Book Antiqua" w:eastAsia="Book Antiqua" w:hAnsi="Book Antiqua" w:cs="Book Antiqua"/>
          <w:vertAlign w:val="superscript"/>
        </w:rPr>
        <w:t>[1,29]</w:t>
      </w:r>
      <w:r w:rsidRPr="00CC4376">
        <w:rPr>
          <w:rFonts w:ascii="Book Antiqua" w:eastAsia="Book Antiqua" w:hAnsi="Book Antiqua" w:cs="Book Antiqua"/>
        </w:rPr>
        <w:t xml:space="preserve">. In 2018, Sekijima </w:t>
      </w:r>
      <w:r w:rsidRPr="00CC4376">
        <w:rPr>
          <w:rFonts w:ascii="Book Antiqua" w:eastAsia="Book Antiqua" w:hAnsi="Book Antiqua" w:cs="Book Antiqua"/>
          <w:i/>
          <w:iCs/>
        </w:rPr>
        <w:t>et al</w:t>
      </w:r>
      <w:r w:rsidRPr="00CC4376">
        <w:rPr>
          <w:rFonts w:ascii="Book Antiqua" w:eastAsia="Book Antiqua" w:hAnsi="Book Antiqua" w:cs="Book Antiqua"/>
          <w:vertAlign w:val="superscript"/>
        </w:rPr>
        <w:t>[11]</w:t>
      </w:r>
      <w:r w:rsidRPr="00CC4376">
        <w:rPr>
          <w:rFonts w:ascii="Book Antiqua" w:eastAsia="Book Antiqua" w:hAnsi="Book Antiqua" w:cs="Book Antiqua"/>
        </w:rPr>
        <w:t xml:space="preserve"> discovered that three mutations were associated with certain phenotypes in Japanese patients: c.1421G&gt;A (p.R474Q) was associated with the classical form; c.1214G&gt;A (p.R405Q) with the spinal form; and c.435G&gt;T (p.G145G) with the non-neurological CTX form. In Chinese population, the most frequent CTX-causing variants were c.410G&gt;A (p.R137Q) and c.379C&gt;T (p.R127W)</w:t>
      </w:r>
      <w:r w:rsidRPr="00CC4376">
        <w:rPr>
          <w:rFonts w:ascii="Book Antiqua" w:eastAsia="Book Antiqua" w:hAnsi="Book Antiqua" w:cs="Book Antiqua"/>
          <w:vertAlign w:val="superscript"/>
        </w:rPr>
        <w:t>[30,31]</w:t>
      </w:r>
      <w:r w:rsidRPr="00CC4376">
        <w:rPr>
          <w:rFonts w:ascii="Book Antiqua" w:eastAsia="Book Antiqua" w:hAnsi="Book Antiqua" w:cs="Book Antiqua"/>
        </w:rPr>
        <w:t xml:space="preserve">. </w:t>
      </w:r>
      <w:r w:rsidRPr="00CC4376">
        <w:rPr>
          <w:rFonts w:ascii="Book Antiqua" w:eastAsia="Book Antiqua" w:hAnsi="Book Antiqua" w:cs="Book Antiqua"/>
          <w:i/>
          <w:iCs/>
        </w:rPr>
        <w:t>CYP27A1</w:t>
      </w:r>
      <w:r w:rsidRPr="00CC4376">
        <w:rPr>
          <w:rFonts w:ascii="Book Antiqua" w:eastAsia="Book Antiqua" w:hAnsi="Book Antiqua" w:cs="Book Antiqua"/>
        </w:rPr>
        <w:t xml:space="preserve"> is also considered a causative gene of coronary artery disease, possibly related to its effect on reverse cholesterol transport</w:t>
      </w:r>
      <w:r w:rsidRPr="00CC4376">
        <w:rPr>
          <w:rFonts w:ascii="Book Antiqua" w:eastAsia="Book Antiqua" w:hAnsi="Book Antiqua" w:cs="Book Antiqua"/>
          <w:vertAlign w:val="superscript"/>
        </w:rPr>
        <w:t>[32]</w:t>
      </w:r>
      <w:r w:rsidRPr="00CC4376">
        <w:rPr>
          <w:rFonts w:ascii="Book Antiqua" w:eastAsia="Book Antiqua" w:hAnsi="Book Antiqua" w:cs="Book Antiqua"/>
        </w:rPr>
        <w:t>.</w:t>
      </w:r>
    </w:p>
    <w:p w14:paraId="6AE46385" w14:textId="77777777" w:rsidR="00A77B3E" w:rsidRPr="00CC4376" w:rsidRDefault="00A77B3E" w:rsidP="00CC4376">
      <w:pPr>
        <w:snapToGrid w:val="0"/>
        <w:spacing w:line="360" w:lineRule="auto"/>
        <w:jc w:val="both"/>
      </w:pPr>
    </w:p>
    <w:p w14:paraId="56CAD5EF" w14:textId="77777777" w:rsidR="00A77B3E" w:rsidRPr="00CC4376" w:rsidRDefault="002D0EF9" w:rsidP="00CC4376">
      <w:pPr>
        <w:snapToGrid w:val="0"/>
        <w:spacing w:line="360" w:lineRule="auto"/>
        <w:jc w:val="both"/>
        <w:rPr>
          <w:b/>
          <w:bCs/>
          <w:i/>
          <w:iCs/>
        </w:rPr>
      </w:pPr>
      <w:r w:rsidRPr="00CC4376">
        <w:rPr>
          <w:rFonts w:ascii="Book Antiqua" w:eastAsia="Book Antiqua" w:hAnsi="Book Antiqua" w:cs="Book Antiqua"/>
          <w:b/>
          <w:bCs/>
          <w:i/>
          <w:iCs/>
        </w:rPr>
        <w:t>Biological and imaging features</w:t>
      </w:r>
    </w:p>
    <w:p w14:paraId="3E7E0BF7" w14:textId="77777777" w:rsidR="00A77B3E" w:rsidRPr="00CC4376" w:rsidRDefault="002D0EF9" w:rsidP="00CC4376">
      <w:pPr>
        <w:snapToGrid w:val="0"/>
        <w:spacing w:line="360" w:lineRule="auto"/>
        <w:jc w:val="both"/>
      </w:pPr>
      <w:r w:rsidRPr="00CC4376">
        <w:rPr>
          <w:rFonts w:ascii="Book Antiqua" w:eastAsia="Book Antiqua" w:hAnsi="Book Antiqua" w:cs="Book Antiqua"/>
        </w:rPr>
        <w:t>The biochemical abnormalities detected in CTX are significant for diagnosis. The lack of sterol 27-hydroxylase inhibits the conversion of cholesterol into cholic and chenodeoxycholic acids in the liver</w:t>
      </w:r>
      <w:r w:rsidRPr="00CC4376">
        <w:rPr>
          <w:rFonts w:ascii="Book Antiqua" w:eastAsia="Book Antiqua" w:hAnsi="Book Antiqua" w:cs="Book Antiqua"/>
          <w:vertAlign w:val="superscript"/>
        </w:rPr>
        <w:t>[12]</w:t>
      </w:r>
      <w:r w:rsidRPr="00CC4376">
        <w:rPr>
          <w:rFonts w:ascii="Book Antiqua" w:eastAsia="Book Antiqua" w:hAnsi="Book Antiqua" w:cs="Book Antiqua"/>
        </w:rPr>
        <w:t xml:space="preserve">. The serum levels of cholesterol and triglyceride are usually normal while cholestanol levels are markedly high in the blood, bile and </w:t>
      </w:r>
      <w:r w:rsidRPr="00CC4376">
        <w:rPr>
          <w:rFonts w:ascii="Book Antiqua" w:eastAsia="Book Antiqua" w:hAnsi="Book Antiqua" w:cs="Book Antiqua"/>
        </w:rPr>
        <w:lastRenderedPageBreak/>
        <w:t>tendon xanthoma</w:t>
      </w:r>
      <w:r w:rsidRPr="00CC4376">
        <w:rPr>
          <w:rFonts w:ascii="Book Antiqua" w:eastAsia="Book Antiqua" w:hAnsi="Book Antiqua" w:cs="Book Antiqua"/>
          <w:vertAlign w:val="superscript"/>
        </w:rPr>
        <w:t>[12]</w:t>
      </w:r>
      <w:r w:rsidRPr="00CC4376">
        <w:rPr>
          <w:rFonts w:ascii="Book Antiqua" w:eastAsia="Book Antiqua" w:hAnsi="Book Antiqua" w:cs="Book Antiqua"/>
        </w:rPr>
        <w:t>. Since cholesterol synthesis is systematically decreased, cholesterol precursors increase substantially; this could also be regarded as a hallmark of CTX</w:t>
      </w:r>
      <w:r w:rsidRPr="00CC4376">
        <w:rPr>
          <w:rFonts w:ascii="Book Antiqua" w:eastAsia="Book Antiqua" w:hAnsi="Book Antiqua" w:cs="Book Antiqua"/>
          <w:vertAlign w:val="superscript"/>
        </w:rPr>
        <w:t>[33]</w:t>
      </w:r>
      <w:r w:rsidRPr="00CC4376">
        <w:rPr>
          <w:rFonts w:ascii="Book Antiqua" w:eastAsia="Book Antiqua" w:hAnsi="Book Antiqua" w:cs="Book Antiqua"/>
        </w:rPr>
        <w:t>. Although a high cholestanol level indicates CTX, it does not correlate with any symptoms or disability at diagnosis assessed by the Expanded Disability Status Scale</w:t>
      </w:r>
      <w:r w:rsidRPr="00CC4376">
        <w:rPr>
          <w:rFonts w:ascii="Book Antiqua" w:eastAsia="Book Antiqua" w:hAnsi="Book Antiqua" w:cs="Book Antiqua"/>
          <w:vertAlign w:val="superscript"/>
        </w:rPr>
        <w:t>[34]</w:t>
      </w:r>
      <w:r w:rsidRPr="00CC4376">
        <w:rPr>
          <w:rFonts w:ascii="Book Antiqua" w:eastAsia="Book Antiqua" w:hAnsi="Book Antiqua" w:cs="Book Antiqua"/>
        </w:rPr>
        <w:t>.</w:t>
      </w:r>
    </w:p>
    <w:p w14:paraId="049DC9EB" w14:textId="4A908166"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Fast atom bombardment mass spectrometry is a semiquanti</w:t>
      </w:r>
      <w:r w:rsidR="006F136A">
        <w:rPr>
          <w:rFonts w:ascii="Book Antiqua" w:eastAsia="Book Antiqua" w:hAnsi="Book Antiqua" w:cs="Book Antiqua"/>
        </w:rPr>
        <w:t>ta</w:t>
      </w:r>
      <w:r w:rsidRPr="00CC4376">
        <w:rPr>
          <w:rFonts w:ascii="Book Antiqua" w:eastAsia="Book Antiqua" w:hAnsi="Book Antiqua" w:cs="Book Antiqua"/>
        </w:rPr>
        <w:t>tive technique which can be applied to analyze urinary bile acids. It will strongly support a diagnosis of CTX if increased bile alcohol glucuronides and reduced primary bile acid are detected</w:t>
      </w:r>
      <w:r w:rsidRPr="00CC4376">
        <w:rPr>
          <w:rFonts w:ascii="Book Antiqua" w:eastAsia="Book Antiqua" w:hAnsi="Book Antiqua" w:cs="Book Antiqua"/>
          <w:vertAlign w:val="superscript"/>
        </w:rPr>
        <w:t>[35]</w:t>
      </w:r>
      <w:r w:rsidRPr="00CC4376">
        <w:rPr>
          <w:rFonts w:ascii="Book Antiqua" w:eastAsia="Book Antiqua" w:hAnsi="Book Antiqua" w:cs="Book Antiqua"/>
        </w:rPr>
        <w:t>. However, when the urinary bile acid profile is consistent with CTX, propofol administration should be taken into account as another possible cause, to avoid misdiagnoses</w:t>
      </w:r>
      <w:r w:rsidRPr="00CC4376">
        <w:rPr>
          <w:rFonts w:ascii="Book Antiqua" w:eastAsia="Book Antiqua" w:hAnsi="Book Antiqua" w:cs="Book Antiqua"/>
          <w:vertAlign w:val="superscript"/>
        </w:rPr>
        <w:t>[36]</w:t>
      </w:r>
      <w:r w:rsidRPr="00CC4376">
        <w:rPr>
          <w:rFonts w:ascii="Book Antiqua" w:eastAsia="Book Antiqua" w:hAnsi="Book Antiqua" w:cs="Book Antiqua"/>
        </w:rPr>
        <w:t>. The combination of extremely low levels of 27-hydroxycholesterol (&lt; 5 ng/mL or lower than the detection limit) and extremely high serum levels of 7 alpha-hydroxycholesterol (7α-OH-C) or 7 alpha-hydroxy-4-cholesten-3-one (7αC4) is a distinctive feature of CTX</w:t>
      </w:r>
      <w:r w:rsidRPr="00CC4376">
        <w:rPr>
          <w:rFonts w:ascii="Book Antiqua" w:eastAsia="Book Antiqua" w:hAnsi="Book Antiqua" w:cs="Book Antiqua"/>
          <w:vertAlign w:val="superscript"/>
        </w:rPr>
        <w:t>[36]</w:t>
      </w:r>
      <w:r w:rsidRPr="00CC4376">
        <w:rPr>
          <w:rFonts w:ascii="Book Antiqua" w:eastAsia="Book Antiqua" w:hAnsi="Book Antiqua" w:cs="Book Antiqua"/>
        </w:rPr>
        <w:t>. Both 7α-OH-C and 7αC4 have been suggested as ideal biomarkers for evaluating treatment effects</w:t>
      </w:r>
      <w:r w:rsidRPr="00CC4376">
        <w:rPr>
          <w:rFonts w:ascii="Book Antiqua" w:eastAsia="Book Antiqua" w:hAnsi="Book Antiqua" w:cs="Book Antiqua"/>
          <w:vertAlign w:val="superscript"/>
        </w:rPr>
        <w:t>[37]</w:t>
      </w:r>
      <w:r w:rsidRPr="00CC4376">
        <w:rPr>
          <w:rFonts w:ascii="Book Antiqua" w:eastAsia="Book Antiqua" w:hAnsi="Book Antiqua" w:cs="Book Antiqua"/>
        </w:rPr>
        <w:t>.</w:t>
      </w:r>
    </w:p>
    <w:p w14:paraId="3457DEEA" w14:textId="77C7B19F"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With respect to auxiliary examinations, 56.57% of patients showed EEG abnormalities including diffuse slowing, which is a common feature of CTX patients. In addition, 76.72% had abnormal magnetic resonance (MR) images (supplementary Table 1). The main brain MRI abnormalities include supratentorial and infratentorial atrophy, as well as T2W/FLAIR (</w:t>
      </w:r>
      <w:r w:rsidR="00F01760" w:rsidRPr="00CC4376">
        <w:rPr>
          <w:rFonts w:ascii="Book Antiqua" w:eastAsia="Book Antiqua" w:hAnsi="Book Antiqua" w:cs="Book Antiqua"/>
        </w:rPr>
        <w:t>f</w:t>
      </w:r>
      <w:r w:rsidRPr="00CC4376">
        <w:rPr>
          <w:rFonts w:ascii="Book Antiqua" w:eastAsia="Book Antiqua" w:hAnsi="Book Antiqua" w:cs="Book Antiqua"/>
        </w:rPr>
        <w:t>luid</w:t>
      </w:r>
      <w:r w:rsidR="00F01760" w:rsidRPr="00CC4376">
        <w:rPr>
          <w:rFonts w:ascii="Book Antiqua" w:eastAsia="Book Antiqua" w:hAnsi="Book Antiqua" w:cs="Book Antiqua"/>
        </w:rPr>
        <w:t>-attenuated</w:t>
      </w:r>
      <w:r w:rsidRPr="00CC4376">
        <w:rPr>
          <w:rFonts w:ascii="Book Antiqua" w:eastAsia="Book Antiqua" w:hAnsi="Book Antiqua" w:cs="Book Antiqua"/>
        </w:rPr>
        <w:t xml:space="preserve"> </w:t>
      </w:r>
      <w:r w:rsidR="00F01760" w:rsidRPr="00CC4376">
        <w:rPr>
          <w:rFonts w:ascii="Book Antiqua" w:eastAsia="Book Antiqua" w:hAnsi="Book Antiqua" w:cs="Book Antiqua"/>
        </w:rPr>
        <w:t>i</w:t>
      </w:r>
      <w:r w:rsidRPr="00CC4376">
        <w:rPr>
          <w:rFonts w:ascii="Book Antiqua" w:eastAsia="Book Antiqua" w:hAnsi="Book Antiqua" w:cs="Book Antiqua"/>
        </w:rPr>
        <w:t xml:space="preserve">nversion </w:t>
      </w:r>
      <w:r w:rsidR="00F01760" w:rsidRPr="00CC4376">
        <w:rPr>
          <w:rFonts w:ascii="Book Antiqua" w:eastAsia="Book Antiqua" w:hAnsi="Book Antiqua" w:cs="Book Antiqua"/>
        </w:rPr>
        <w:t>r</w:t>
      </w:r>
      <w:r w:rsidRPr="00CC4376">
        <w:rPr>
          <w:rFonts w:ascii="Book Antiqua" w:eastAsia="Book Antiqua" w:hAnsi="Book Antiqua" w:cs="Book Antiqua"/>
        </w:rPr>
        <w:t>ecovery) hyperintensity involving the subcortical, periventricular and cerebellar WM and the brainstem</w:t>
      </w:r>
      <w:r w:rsidRPr="00CC4376">
        <w:rPr>
          <w:rFonts w:ascii="Book Antiqua" w:eastAsia="Book Antiqua" w:hAnsi="Book Antiqua" w:cs="Book Antiqua"/>
          <w:vertAlign w:val="superscript"/>
        </w:rPr>
        <w:t>[38]</w:t>
      </w:r>
      <w:r w:rsidRPr="00CC4376">
        <w:rPr>
          <w:rFonts w:ascii="Book Antiqua" w:eastAsia="Book Antiqua" w:hAnsi="Book Antiqua" w:cs="Book Antiqua"/>
        </w:rPr>
        <w:t>. Bilateral hyperintensity of the dentate nuclei (DN) and surrounding WM on T2 and FLAIR sequences is considered a representative radiological feature of CTX</w:t>
      </w:r>
      <w:r w:rsidRPr="00CC4376">
        <w:rPr>
          <w:rFonts w:ascii="Book Antiqua" w:eastAsia="Book Antiqua" w:hAnsi="Book Antiqua" w:cs="Book Antiqua"/>
          <w:vertAlign w:val="superscript"/>
        </w:rPr>
        <w:t>[39,40]</w:t>
      </w:r>
      <w:r w:rsidRPr="00CC4376">
        <w:rPr>
          <w:rFonts w:ascii="Book Antiqua" w:eastAsia="Book Antiqua" w:hAnsi="Book Antiqua" w:cs="Book Antiqua"/>
        </w:rPr>
        <w:t>. DN plays a critical role in saccade motor planning within a network that involves the frontal cortex and basal ganglia</w:t>
      </w:r>
      <w:r w:rsidRPr="00CC4376">
        <w:rPr>
          <w:rFonts w:ascii="Book Antiqua" w:eastAsia="Book Antiqua" w:hAnsi="Book Antiqua" w:cs="Book Antiqua"/>
          <w:vertAlign w:val="superscript"/>
        </w:rPr>
        <w:t>[41]</w:t>
      </w:r>
      <w:r w:rsidRPr="00CC4376">
        <w:rPr>
          <w:rFonts w:ascii="Book Antiqua" w:eastAsia="Book Antiqua" w:hAnsi="Book Antiqua" w:cs="Book Antiqua"/>
        </w:rPr>
        <w:t>. Patients with DN lesions showed abnormal latency of reflexive and voluntary saccades, impaired precision and more uncorrected directional errors</w:t>
      </w:r>
      <w:r w:rsidRPr="00CC4376">
        <w:rPr>
          <w:rFonts w:ascii="Book Antiqua" w:eastAsia="Book Antiqua" w:hAnsi="Book Antiqua" w:cs="Book Antiqua"/>
          <w:vertAlign w:val="superscript"/>
        </w:rPr>
        <w:t>[41]</w:t>
      </w:r>
      <w:r w:rsidRPr="00CC4376">
        <w:rPr>
          <w:rFonts w:ascii="Book Antiqua" w:eastAsia="Book Antiqua" w:hAnsi="Book Antiqua" w:cs="Book Antiqua"/>
        </w:rPr>
        <w:t>. There is a strong correlation between DN hyperintensity in brain MRI and neurological manifestations including ataxia, spasticity and cognitive impairment</w:t>
      </w:r>
      <w:r w:rsidRPr="00CC4376">
        <w:rPr>
          <w:rFonts w:ascii="Book Antiqua" w:eastAsia="Book Antiqua" w:hAnsi="Book Antiqua" w:cs="Book Antiqua"/>
          <w:vertAlign w:val="superscript"/>
        </w:rPr>
        <w:t>[38]</w:t>
      </w:r>
      <w:r w:rsidRPr="00CC4376">
        <w:rPr>
          <w:rFonts w:ascii="Book Antiqua" w:eastAsia="Book Antiqua" w:hAnsi="Book Antiqua" w:cs="Book Antiqua"/>
        </w:rPr>
        <w:t>. Patients without DN hyperintensity are considered to have a better prognosis</w:t>
      </w:r>
      <w:r w:rsidRPr="00CC4376">
        <w:rPr>
          <w:rFonts w:ascii="Book Antiqua" w:eastAsia="Book Antiqua" w:hAnsi="Book Antiqua" w:cs="Book Antiqua"/>
          <w:vertAlign w:val="superscript"/>
        </w:rPr>
        <w:t>[38]</w:t>
      </w:r>
      <w:r w:rsidRPr="00CC4376">
        <w:rPr>
          <w:rFonts w:ascii="Book Antiqua" w:eastAsia="Book Antiqua" w:hAnsi="Book Antiqua" w:cs="Book Antiqua"/>
        </w:rPr>
        <w:t>.</w:t>
      </w:r>
    </w:p>
    <w:p w14:paraId="2A0F86BC" w14:textId="42F625FC"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lastRenderedPageBreak/>
        <w:t xml:space="preserve">A </w:t>
      </w:r>
      <w:r w:rsidR="00F01760" w:rsidRPr="00CC4376">
        <w:rPr>
          <w:rFonts w:ascii="Book Antiqua" w:eastAsia="Book Antiqua" w:hAnsi="Book Antiqua" w:cs="Book Antiqua"/>
        </w:rPr>
        <w:t>6</w:t>
      </w:r>
      <w:r w:rsidRPr="00CC4376">
        <w:rPr>
          <w:rFonts w:ascii="Book Antiqua" w:eastAsia="Book Antiqua" w:hAnsi="Book Antiqua" w:cs="Book Antiqua"/>
        </w:rPr>
        <w:t>-year MR follow-up study revealed that cerebellar hyperintensity in T1-weighted and FLAIR images tend to be replaced by hypointense areas, suggesting vacuolation</w:t>
      </w:r>
      <w:r w:rsidRPr="00CC4376">
        <w:rPr>
          <w:rFonts w:ascii="Book Antiqua" w:eastAsia="Book Antiqua" w:hAnsi="Book Antiqua" w:cs="Book Antiqua"/>
          <w:vertAlign w:val="superscript"/>
        </w:rPr>
        <w:t>[42]</w:t>
      </w:r>
      <w:r w:rsidRPr="00CC4376">
        <w:rPr>
          <w:rFonts w:ascii="Book Antiqua" w:eastAsia="Book Antiqua" w:hAnsi="Book Antiqua" w:cs="Book Antiqua"/>
        </w:rPr>
        <w:t>. Cerebellar hyperintensity on FLAIR images is probably due to lipid deposits, while hypointense areas may indicate cerebellar degeneration because of cholestanol-induced apoptosis or other mechanisms causing axonal injury</w:t>
      </w:r>
      <w:r w:rsidRPr="00CC4376">
        <w:rPr>
          <w:rFonts w:ascii="Book Antiqua" w:eastAsia="Book Antiqua" w:hAnsi="Book Antiqua" w:cs="Book Antiqua"/>
          <w:vertAlign w:val="superscript"/>
        </w:rPr>
        <w:t>[42,43]</w:t>
      </w:r>
      <w:r w:rsidRPr="00CC4376">
        <w:rPr>
          <w:rFonts w:ascii="Book Antiqua" w:eastAsia="Book Antiqua" w:hAnsi="Book Antiqua" w:cs="Book Antiqua"/>
        </w:rPr>
        <w:t>. Cerebellar vacuolation and calcification have been observed in a large number of patients. The former was positively related to the extent of DN hyperintensity in T1W and FLAIR images, and could be a useful indicator of disease progression and inadequate therapeutic response</w:t>
      </w:r>
      <w:r w:rsidRPr="00CC4376">
        <w:rPr>
          <w:rFonts w:ascii="Book Antiqua" w:eastAsia="Book Antiqua" w:hAnsi="Book Antiqua" w:cs="Book Antiqua"/>
          <w:vertAlign w:val="superscript"/>
        </w:rPr>
        <w:t>[38]</w:t>
      </w:r>
      <w:r w:rsidRPr="00CC4376">
        <w:rPr>
          <w:rFonts w:ascii="Book Antiqua" w:eastAsia="Book Antiqua" w:hAnsi="Book Antiqua" w:cs="Book Antiqua"/>
        </w:rPr>
        <w:t>. Additionally, cerebral micro- and macro</w:t>
      </w:r>
      <w:r w:rsidR="00A62A07" w:rsidRPr="00CC4376">
        <w:rPr>
          <w:rFonts w:ascii="Book Antiqua" w:eastAsia="Book Antiqua" w:hAnsi="Book Antiqua" w:cs="Book Antiqua"/>
        </w:rPr>
        <w:t>-</w:t>
      </w:r>
      <w:r w:rsidRPr="00CC4376">
        <w:rPr>
          <w:rFonts w:ascii="Book Antiqua" w:eastAsia="Book Antiqua" w:hAnsi="Book Antiqua" w:cs="Book Antiqua"/>
        </w:rPr>
        <w:t>angiopathies such as micro</w:t>
      </w:r>
      <w:r w:rsidR="00A62A07" w:rsidRPr="00CC4376">
        <w:rPr>
          <w:rFonts w:ascii="Book Antiqua" w:eastAsia="Book Antiqua" w:hAnsi="Book Antiqua" w:cs="Book Antiqua"/>
        </w:rPr>
        <w:t>-</w:t>
      </w:r>
      <w:r w:rsidRPr="00CC4376">
        <w:rPr>
          <w:rFonts w:ascii="Book Antiqua" w:eastAsia="Book Antiqua" w:hAnsi="Book Antiqua" w:cs="Book Antiqua"/>
        </w:rPr>
        <w:t>hemorrhages, vascular dilatation and calcification are common in CTX patients</w:t>
      </w:r>
      <w:r w:rsidRPr="00CC4376">
        <w:rPr>
          <w:rFonts w:ascii="Book Antiqua" w:eastAsia="Book Antiqua" w:hAnsi="Book Antiqua" w:cs="Book Antiqua"/>
          <w:vertAlign w:val="superscript"/>
        </w:rPr>
        <w:t>[44]</w:t>
      </w:r>
      <w:r w:rsidRPr="00CC4376">
        <w:rPr>
          <w:rFonts w:ascii="Book Antiqua" w:eastAsia="Book Antiqua" w:hAnsi="Book Antiqua" w:cs="Book Antiqua"/>
        </w:rPr>
        <w:t>. The xanthomas located within the ventricular region have also been observed in CTX cases</w:t>
      </w:r>
      <w:r w:rsidRPr="00CC4376">
        <w:rPr>
          <w:rFonts w:ascii="Book Antiqua" w:eastAsia="Book Antiqua" w:hAnsi="Book Antiqua" w:cs="Book Antiqua"/>
          <w:vertAlign w:val="superscript"/>
        </w:rPr>
        <w:t>[45]</w:t>
      </w:r>
      <w:r w:rsidRPr="00CC4376">
        <w:rPr>
          <w:rFonts w:ascii="Book Antiqua" w:eastAsia="Book Antiqua" w:hAnsi="Book Antiqua" w:cs="Book Antiqua"/>
        </w:rPr>
        <w:t>.</w:t>
      </w:r>
    </w:p>
    <w:p w14:paraId="30B097F7"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The main components of xanthoma are connective tissue and foam cells (foamy macrophages) bathed in cholestanol, cholesterol, cholesterol esters, triglycerides and phospholipids</w:t>
      </w:r>
      <w:r w:rsidRPr="00CC4376">
        <w:rPr>
          <w:rFonts w:ascii="Book Antiqua" w:eastAsia="Book Antiqua" w:hAnsi="Book Antiqua" w:cs="Book Antiqua"/>
          <w:vertAlign w:val="superscript"/>
        </w:rPr>
        <w:t>[46]</w:t>
      </w:r>
      <w:r w:rsidRPr="00CC4376">
        <w:rPr>
          <w:rFonts w:ascii="Book Antiqua" w:eastAsia="Book Antiqua" w:hAnsi="Book Antiqua" w:cs="Book Antiqua"/>
        </w:rPr>
        <w:t>. The presence of Touton giant cells is a characteristic pathological finding</w:t>
      </w:r>
      <w:r w:rsidRPr="00CC4376">
        <w:rPr>
          <w:rFonts w:ascii="Book Antiqua" w:eastAsia="Book Antiqua" w:hAnsi="Book Antiqua" w:cs="Book Antiqua"/>
          <w:vertAlign w:val="superscript"/>
        </w:rPr>
        <w:t>[47]</w:t>
      </w:r>
      <w:r w:rsidRPr="00CC4376">
        <w:rPr>
          <w:rFonts w:ascii="Book Antiqua" w:eastAsia="Book Antiqua" w:hAnsi="Book Antiqua" w:cs="Book Antiqua"/>
        </w:rPr>
        <w:t>. The development of tendon xanthomas may be associated with low-grade tendon inflammation</w:t>
      </w:r>
      <w:r w:rsidRPr="00CC4376">
        <w:rPr>
          <w:rFonts w:ascii="Book Antiqua" w:eastAsia="Book Antiqua" w:hAnsi="Book Antiqua" w:cs="Book Antiqua"/>
          <w:vertAlign w:val="superscript"/>
        </w:rPr>
        <w:t>[48]</w:t>
      </w:r>
      <w:r w:rsidRPr="00CC4376">
        <w:rPr>
          <w:rFonts w:ascii="Book Antiqua" w:eastAsia="Book Antiqua" w:hAnsi="Book Antiqua" w:cs="Book Antiqua"/>
        </w:rPr>
        <w:t>. A tendon MRI study indicated that the enlargement of tendon xanthomas is primarily due to an increase in tendon water content, rather than in fat content</w:t>
      </w:r>
      <w:r w:rsidRPr="00CC4376">
        <w:rPr>
          <w:rFonts w:ascii="Book Antiqua" w:eastAsia="Book Antiqua" w:hAnsi="Book Antiqua" w:cs="Book Antiqua"/>
          <w:vertAlign w:val="superscript"/>
        </w:rPr>
        <w:t>[49]</w:t>
      </w:r>
      <w:r w:rsidRPr="00CC4376">
        <w:rPr>
          <w:rFonts w:ascii="Book Antiqua" w:eastAsia="Book Antiqua" w:hAnsi="Book Antiqua" w:cs="Book Antiqua"/>
        </w:rPr>
        <w:t>. Tendinous xanthomas have different appearances on MR depending on the proportions of the following components: cholesterol, which does not produce a measurable signal; triglycerides, which produce a high signal on T1-weighted images; and associated inflammation, which causes high signal intensity regions in contrast-enhanced T1-weighted images</w:t>
      </w:r>
      <w:r w:rsidRPr="00CC4376">
        <w:rPr>
          <w:rFonts w:ascii="Book Antiqua" w:eastAsia="Book Antiqua" w:hAnsi="Book Antiqua" w:cs="Book Antiqua"/>
          <w:vertAlign w:val="superscript"/>
        </w:rPr>
        <w:t>[46,50,51]</w:t>
      </w:r>
      <w:r w:rsidRPr="00CC4376">
        <w:rPr>
          <w:rFonts w:ascii="Book Antiqua" w:eastAsia="Book Antiqua" w:hAnsi="Book Antiqua" w:cs="Book Antiqua"/>
        </w:rPr>
        <w:t>. The diffuse reticulated pattern of xanthomas on axial images is a representative MRI feature of tendinous xanthoma</w:t>
      </w:r>
      <w:r w:rsidRPr="00CC4376">
        <w:rPr>
          <w:rFonts w:ascii="Book Antiqua" w:eastAsia="Book Antiqua" w:hAnsi="Book Antiqua" w:cs="Book Antiqua"/>
          <w:vertAlign w:val="superscript"/>
        </w:rPr>
        <w:t>[52]</w:t>
      </w:r>
      <w:r w:rsidRPr="00CC4376">
        <w:rPr>
          <w:rFonts w:ascii="Book Antiqua" w:eastAsia="Book Antiqua" w:hAnsi="Book Antiqua" w:cs="Book Antiqua"/>
        </w:rPr>
        <w:t>. This patient’s MRI showed enlargement of the Achilles tendon, which showed up as low signal intensity on both T1- and T2-weighted images. This fits well with previous reports and could be attributed to the low percentage of triglycerides</w:t>
      </w:r>
      <w:r w:rsidRPr="00CC4376">
        <w:rPr>
          <w:rFonts w:ascii="Book Antiqua" w:eastAsia="Book Antiqua" w:hAnsi="Book Antiqua" w:cs="Book Antiqua"/>
          <w:vertAlign w:val="superscript"/>
        </w:rPr>
        <w:t>[46]</w:t>
      </w:r>
      <w:r w:rsidRPr="00CC4376">
        <w:rPr>
          <w:rFonts w:ascii="Book Antiqua" w:eastAsia="Book Antiqua" w:hAnsi="Book Antiqua" w:cs="Book Antiqua"/>
        </w:rPr>
        <w:t>.</w:t>
      </w:r>
    </w:p>
    <w:p w14:paraId="01C2A504"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In conclusion, we described a 47-year-old patient displaying psychiatric and behavioral disturbances, cognitive decline, a history of renal calculus, bilateral xanthomas of the Achilles tendon and tibial tubercles, peripheral neuropathy, high signal intensity in the </w:t>
      </w:r>
      <w:r w:rsidRPr="00CC4376">
        <w:rPr>
          <w:rFonts w:ascii="Book Antiqua" w:eastAsia="Book Antiqua" w:hAnsi="Book Antiqua" w:cs="Book Antiqua"/>
        </w:rPr>
        <w:lastRenderedPageBreak/>
        <w:t xml:space="preserve">WM and mild cerebral atrophy on brain MRI. The diagnosis was confirmed by compound heterozygous mutations in exon 2 (c.435G&gt;T, p.Gly145Gly) and intron 7 (c.1263+1G&gt;A) of 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 These lead to alternative pre-mRNA splicing and a skipping of exon 7 in the transcript, respectively. Three weeks′ treatment with a combination of lipid-lowering and antipsychotic therapy improved his psychiatric symptoms and normalized levels of serum free fatty acid. Sediments in the bladder disappeared after therapy.</w:t>
      </w:r>
    </w:p>
    <w:p w14:paraId="23414C78" w14:textId="77777777" w:rsidR="00A77B3E" w:rsidRPr="00CC4376" w:rsidRDefault="00A77B3E" w:rsidP="00CC4376">
      <w:pPr>
        <w:snapToGrid w:val="0"/>
        <w:spacing w:line="360" w:lineRule="auto"/>
        <w:jc w:val="both"/>
      </w:pPr>
    </w:p>
    <w:p w14:paraId="1B1F4C0C"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CONCLUSION</w:t>
      </w:r>
    </w:p>
    <w:p w14:paraId="1AB53889" w14:textId="781C0CE2" w:rsidR="00A77B3E" w:rsidRPr="00CC4376" w:rsidRDefault="002D0EF9" w:rsidP="00CC4376">
      <w:pPr>
        <w:snapToGrid w:val="0"/>
        <w:spacing w:line="360" w:lineRule="auto"/>
        <w:jc w:val="both"/>
      </w:pPr>
      <w:r w:rsidRPr="00CC4376">
        <w:rPr>
          <w:rFonts w:ascii="Book Antiqua" w:eastAsia="Book Antiqua" w:hAnsi="Book Antiqua" w:cs="Book Antiqua"/>
        </w:rPr>
        <w:t>CTX is an underdiagnosed inherited metabolic disease, and has a good biological and clinical response to the treatment of CDCA supplementation initiated at an early age. The screening methods for CTX in newborns need to be improved and performed in larger populations. We believe that our work will familiarize readers with the clinical, biological, radiological, and genetic features of CTX. In the future, as physicians become more familiar with this disease, and as testing and treatment methods evolve, an increasing number of CTX patients will benefit from earlier diagnosis and better clinical outcomes.</w:t>
      </w:r>
    </w:p>
    <w:p w14:paraId="3546A0E2" w14:textId="77777777" w:rsidR="00A77B3E" w:rsidRPr="00CC4376" w:rsidRDefault="00A77B3E" w:rsidP="00CC4376">
      <w:pPr>
        <w:snapToGrid w:val="0"/>
        <w:spacing w:line="360" w:lineRule="auto"/>
        <w:jc w:val="both"/>
      </w:pPr>
    </w:p>
    <w:p w14:paraId="7196D205"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ACKNOWLEDGEMENTS</w:t>
      </w:r>
    </w:p>
    <w:p w14:paraId="4203F471" w14:textId="77777777" w:rsidR="00A77B3E" w:rsidRPr="00CC4376" w:rsidRDefault="002D0EF9" w:rsidP="00CC4376">
      <w:pPr>
        <w:snapToGrid w:val="0"/>
        <w:spacing w:line="360" w:lineRule="auto"/>
        <w:jc w:val="both"/>
      </w:pPr>
      <w:r w:rsidRPr="00CC4376">
        <w:rPr>
          <w:rFonts w:ascii="Book Antiqua" w:eastAsia="Book Antiqua" w:hAnsi="Book Antiqua" w:cs="Book Antiqua"/>
        </w:rPr>
        <w:t>We appreciate the family members for participating in our study.</w:t>
      </w:r>
    </w:p>
    <w:p w14:paraId="2CC558CF" w14:textId="77777777" w:rsidR="00A77B3E" w:rsidRPr="00CC4376" w:rsidRDefault="00A77B3E" w:rsidP="00CC4376">
      <w:pPr>
        <w:snapToGrid w:val="0"/>
        <w:spacing w:line="360" w:lineRule="auto"/>
        <w:jc w:val="both"/>
      </w:pPr>
    </w:p>
    <w:p w14:paraId="29ECDB29"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REFERENCES</w:t>
      </w:r>
    </w:p>
    <w:p w14:paraId="23CD2360"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 </w:t>
      </w:r>
      <w:r w:rsidRPr="00CC4376">
        <w:rPr>
          <w:rFonts w:ascii="Book Antiqua" w:eastAsia="Book Antiqua" w:hAnsi="Book Antiqua" w:cs="Book Antiqua"/>
          <w:b/>
          <w:bCs/>
        </w:rPr>
        <w:t>Gallus GN</w:t>
      </w:r>
      <w:r w:rsidRPr="00CC4376">
        <w:rPr>
          <w:rFonts w:ascii="Book Antiqua" w:eastAsia="Book Antiqua" w:hAnsi="Book Antiqua" w:cs="Book Antiqua"/>
        </w:rPr>
        <w:t xml:space="preserve">, Dotti MT, Federico A. Clinical and molecular diagnosis of cerebrotendinous xanthomatosis with a review of the mutations in the CYP27A1 gene. </w:t>
      </w:r>
      <w:r w:rsidRPr="00CC4376">
        <w:rPr>
          <w:rFonts w:ascii="Book Antiqua" w:eastAsia="Book Antiqua" w:hAnsi="Book Antiqua" w:cs="Book Antiqua"/>
          <w:i/>
          <w:iCs/>
        </w:rPr>
        <w:t>Neurol Sci</w:t>
      </w:r>
      <w:r w:rsidRPr="00CC4376">
        <w:rPr>
          <w:rFonts w:ascii="Book Antiqua" w:eastAsia="Book Antiqua" w:hAnsi="Book Antiqua" w:cs="Book Antiqua"/>
        </w:rPr>
        <w:t xml:space="preserve"> 2006; </w:t>
      </w:r>
      <w:r w:rsidRPr="00CC4376">
        <w:rPr>
          <w:rFonts w:ascii="Book Antiqua" w:eastAsia="Book Antiqua" w:hAnsi="Book Antiqua" w:cs="Book Antiqua"/>
          <w:b/>
          <w:bCs/>
        </w:rPr>
        <w:t>27</w:t>
      </w:r>
      <w:r w:rsidRPr="00CC4376">
        <w:rPr>
          <w:rFonts w:ascii="Book Antiqua" w:eastAsia="Book Antiqua" w:hAnsi="Book Antiqua" w:cs="Book Antiqua"/>
        </w:rPr>
        <w:t>: 143-149 [PMID: 16816916 DOI: 10.1007/s10072-006-0618-7]</w:t>
      </w:r>
    </w:p>
    <w:p w14:paraId="0FD2DA8B"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 </w:t>
      </w:r>
      <w:r w:rsidRPr="00CC4376">
        <w:rPr>
          <w:rFonts w:ascii="Book Antiqua" w:eastAsia="Book Antiqua" w:hAnsi="Book Antiqua" w:cs="Book Antiqua"/>
          <w:b/>
          <w:bCs/>
        </w:rPr>
        <w:t>von Bahr S</w:t>
      </w:r>
      <w:r w:rsidRPr="00CC4376">
        <w:rPr>
          <w:rFonts w:ascii="Book Antiqua" w:eastAsia="Book Antiqua" w:hAnsi="Book Antiqua" w:cs="Book Antiqua"/>
        </w:rPr>
        <w:t xml:space="preserve">, Movin T, Papadogiannakis N, Pikuleva I, Rönnow P, Diczfalusy U, Björkhem I. Mechanism of accumulation of cholesterol and cholestanol in tendons and the role of sterol 27-hydroxylase (CYP27A1). </w:t>
      </w:r>
      <w:r w:rsidRPr="00CC4376">
        <w:rPr>
          <w:rFonts w:ascii="Book Antiqua" w:eastAsia="Book Antiqua" w:hAnsi="Book Antiqua" w:cs="Book Antiqua"/>
          <w:i/>
          <w:iCs/>
        </w:rPr>
        <w:t>Arterioscler Thromb Vasc Biol</w:t>
      </w:r>
      <w:r w:rsidRPr="00CC4376">
        <w:rPr>
          <w:rFonts w:ascii="Book Antiqua" w:eastAsia="Book Antiqua" w:hAnsi="Book Antiqua" w:cs="Book Antiqua"/>
        </w:rPr>
        <w:t xml:space="preserve"> 2002; </w:t>
      </w:r>
      <w:r w:rsidRPr="00CC4376">
        <w:rPr>
          <w:rFonts w:ascii="Book Antiqua" w:eastAsia="Book Antiqua" w:hAnsi="Book Antiqua" w:cs="Book Antiqua"/>
          <w:b/>
          <w:bCs/>
        </w:rPr>
        <w:t>22</w:t>
      </w:r>
      <w:r w:rsidRPr="00CC4376">
        <w:rPr>
          <w:rFonts w:ascii="Book Antiqua" w:eastAsia="Book Antiqua" w:hAnsi="Book Antiqua" w:cs="Book Antiqua"/>
        </w:rPr>
        <w:t>: 1129-1135 [PMID: 12117727 DOI: 10.1161/01.ATV.0000022600.61391.A5]</w:t>
      </w:r>
    </w:p>
    <w:p w14:paraId="2716B09C"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3 </w:t>
      </w:r>
      <w:r w:rsidRPr="00CC4376">
        <w:rPr>
          <w:rFonts w:ascii="Book Antiqua" w:eastAsia="Book Antiqua" w:hAnsi="Book Antiqua" w:cs="Book Antiqua"/>
          <w:b/>
          <w:bCs/>
        </w:rPr>
        <w:t>Federico A</w:t>
      </w:r>
      <w:r w:rsidRPr="00CC4376">
        <w:rPr>
          <w:rFonts w:ascii="Book Antiqua" w:eastAsia="Book Antiqua" w:hAnsi="Book Antiqua" w:cs="Book Antiqua"/>
        </w:rPr>
        <w:t xml:space="preserve">, Dotti MT. Cerebrotendinous xanthomatosis: clinical manifestations, diagnostic criteria, pathogenesis, and therapy. </w:t>
      </w:r>
      <w:r w:rsidRPr="00CC4376">
        <w:rPr>
          <w:rFonts w:ascii="Book Antiqua" w:eastAsia="Book Antiqua" w:hAnsi="Book Antiqua" w:cs="Book Antiqua"/>
          <w:i/>
          <w:iCs/>
        </w:rPr>
        <w:t>J Child Neurol</w:t>
      </w:r>
      <w:r w:rsidRPr="00CC4376">
        <w:rPr>
          <w:rFonts w:ascii="Book Antiqua" w:eastAsia="Book Antiqua" w:hAnsi="Book Antiqua" w:cs="Book Antiqua"/>
        </w:rPr>
        <w:t xml:space="preserve"> 2003; </w:t>
      </w:r>
      <w:r w:rsidRPr="00CC4376">
        <w:rPr>
          <w:rFonts w:ascii="Book Antiqua" w:eastAsia="Book Antiqua" w:hAnsi="Book Antiqua" w:cs="Book Antiqua"/>
          <w:b/>
          <w:bCs/>
        </w:rPr>
        <w:t>18</w:t>
      </w:r>
      <w:r w:rsidRPr="00CC4376">
        <w:rPr>
          <w:rFonts w:ascii="Book Antiqua" w:eastAsia="Book Antiqua" w:hAnsi="Book Antiqua" w:cs="Book Antiqua"/>
        </w:rPr>
        <w:t>: 633-638 [PMID: 14572142 DOI: 10.1177/08830738030180091001]</w:t>
      </w:r>
    </w:p>
    <w:p w14:paraId="2C82074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 </w:t>
      </w:r>
      <w:r w:rsidRPr="00CC4376">
        <w:rPr>
          <w:rFonts w:ascii="Book Antiqua" w:eastAsia="Book Antiqua" w:hAnsi="Book Antiqua" w:cs="Book Antiqua"/>
          <w:b/>
          <w:bCs/>
        </w:rPr>
        <w:t>Kalidas K</w:t>
      </w:r>
      <w:r w:rsidRPr="00CC4376">
        <w:rPr>
          <w:rFonts w:ascii="Book Antiqua" w:eastAsia="Book Antiqua" w:hAnsi="Book Antiqua" w:cs="Book Antiqua"/>
        </w:rPr>
        <w:t xml:space="preserve">, Behrouz R. Inherited metabolic disorders and cerebral infarction. </w:t>
      </w:r>
      <w:r w:rsidRPr="00CC4376">
        <w:rPr>
          <w:rFonts w:ascii="Book Antiqua" w:eastAsia="Book Antiqua" w:hAnsi="Book Antiqua" w:cs="Book Antiqua"/>
          <w:i/>
          <w:iCs/>
        </w:rPr>
        <w:t>Expert Rev Neurother</w:t>
      </w:r>
      <w:r w:rsidRPr="00CC4376">
        <w:rPr>
          <w:rFonts w:ascii="Book Antiqua" w:eastAsia="Book Antiqua" w:hAnsi="Book Antiqua" w:cs="Book Antiqua"/>
        </w:rPr>
        <w:t xml:space="preserve"> 2008; </w:t>
      </w:r>
      <w:r w:rsidRPr="00CC4376">
        <w:rPr>
          <w:rFonts w:ascii="Book Antiqua" w:eastAsia="Book Antiqua" w:hAnsi="Book Antiqua" w:cs="Book Antiqua"/>
          <w:b/>
          <w:bCs/>
        </w:rPr>
        <w:t>8</w:t>
      </w:r>
      <w:r w:rsidRPr="00CC4376">
        <w:rPr>
          <w:rFonts w:ascii="Book Antiqua" w:eastAsia="Book Antiqua" w:hAnsi="Book Antiqua" w:cs="Book Antiqua"/>
        </w:rPr>
        <w:t>: 1731-1741 [PMID: 18986243 DOI: 10.1586/14737175.8.11.1731]</w:t>
      </w:r>
    </w:p>
    <w:p w14:paraId="135EB20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5 </w:t>
      </w:r>
      <w:r w:rsidRPr="00CC4376">
        <w:rPr>
          <w:rFonts w:ascii="Book Antiqua" w:eastAsia="Book Antiqua" w:hAnsi="Book Antiqua" w:cs="Book Antiqua"/>
          <w:b/>
          <w:bCs/>
        </w:rPr>
        <w:t>Bartholdi D</w:t>
      </w:r>
      <w:r w:rsidRPr="00CC4376">
        <w:rPr>
          <w:rFonts w:ascii="Book Antiqua" w:eastAsia="Book Antiqua" w:hAnsi="Book Antiqua" w:cs="Book Antiqua"/>
        </w:rPr>
        <w:t xml:space="preserve">, Zumsteg D, Verrips A, Wevers RA, Sistermans E, Hess K, Jung HH. Spinal phenotype of cerebrotendinous xanthomatosis--a pitfall in the diagnosis of multiple sclerosis. </w:t>
      </w:r>
      <w:r w:rsidRPr="00CC4376">
        <w:rPr>
          <w:rFonts w:ascii="Book Antiqua" w:eastAsia="Book Antiqua" w:hAnsi="Book Antiqua" w:cs="Book Antiqua"/>
          <w:i/>
          <w:iCs/>
        </w:rPr>
        <w:t>J Neurol</w:t>
      </w:r>
      <w:r w:rsidRPr="00CC4376">
        <w:rPr>
          <w:rFonts w:ascii="Book Antiqua" w:eastAsia="Book Antiqua" w:hAnsi="Book Antiqua" w:cs="Book Antiqua"/>
        </w:rPr>
        <w:t xml:space="preserve"> 2004; </w:t>
      </w:r>
      <w:r w:rsidRPr="00CC4376">
        <w:rPr>
          <w:rFonts w:ascii="Book Antiqua" w:eastAsia="Book Antiqua" w:hAnsi="Book Antiqua" w:cs="Book Antiqua"/>
          <w:b/>
          <w:bCs/>
        </w:rPr>
        <w:t>251</w:t>
      </w:r>
      <w:r w:rsidRPr="00CC4376">
        <w:rPr>
          <w:rFonts w:ascii="Book Antiqua" w:eastAsia="Book Antiqua" w:hAnsi="Book Antiqua" w:cs="Book Antiqua"/>
        </w:rPr>
        <w:t>: 105-107 [PMID: 14999499 DOI: 10.1007/s00415-004-0221-x]</w:t>
      </w:r>
    </w:p>
    <w:p w14:paraId="32E13C1E"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6 </w:t>
      </w:r>
      <w:r w:rsidRPr="00CC4376">
        <w:rPr>
          <w:rFonts w:ascii="Book Antiqua" w:eastAsia="Book Antiqua" w:hAnsi="Book Antiqua" w:cs="Book Antiqua"/>
          <w:b/>
          <w:bCs/>
        </w:rPr>
        <w:t>Valdivielso P</w:t>
      </w:r>
      <w:r w:rsidRPr="00CC4376">
        <w:rPr>
          <w:rFonts w:ascii="Book Antiqua" w:eastAsia="Book Antiqua" w:hAnsi="Book Antiqua" w:cs="Book Antiqua"/>
        </w:rPr>
        <w:t xml:space="preserve">, Calandra S, Durán JC, Garuti R, Herrera E, González P. Coronary heart disease in a patient with cerebrotendinous xanthomatosis. </w:t>
      </w:r>
      <w:r w:rsidRPr="00CC4376">
        <w:rPr>
          <w:rFonts w:ascii="Book Antiqua" w:eastAsia="Book Antiqua" w:hAnsi="Book Antiqua" w:cs="Book Antiqua"/>
          <w:i/>
          <w:iCs/>
        </w:rPr>
        <w:t>J Intern Med</w:t>
      </w:r>
      <w:r w:rsidRPr="00CC4376">
        <w:rPr>
          <w:rFonts w:ascii="Book Antiqua" w:eastAsia="Book Antiqua" w:hAnsi="Book Antiqua" w:cs="Book Antiqua"/>
        </w:rPr>
        <w:t xml:space="preserve"> 2004; </w:t>
      </w:r>
      <w:r w:rsidRPr="00CC4376">
        <w:rPr>
          <w:rFonts w:ascii="Book Antiqua" w:eastAsia="Book Antiqua" w:hAnsi="Book Antiqua" w:cs="Book Antiqua"/>
          <w:b/>
          <w:bCs/>
        </w:rPr>
        <w:t>255</w:t>
      </w:r>
      <w:r w:rsidRPr="00CC4376">
        <w:rPr>
          <w:rFonts w:ascii="Book Antiqua" w:eastAsia="Book Antiqua" w:hAnsi="Book Antiqua" w:cs="Book Antiqua"/>
        </w:rPr>
        <w:t>: 680-683 [PMID: 15147532 DOI: 10.1111/j.1365-2796.2004.01316.x]</w:t>
      </w:r>
    </w:p>
    <w:p w14:paraId="05CC28DD"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7 </w:t>
      </w:r>
      <w:r w:rsidRPr="00CC4376">
        <w:rPr>
          <w:rFonts w:ascii="Book Antiqua" w:eastAsia="Book Antiqua" w:hAnsi="Book Antiqua" w:cs="Book Antiqua"/>
          <w:b/>
          <w:bCs/>
        </w:rPr>
        <w:t>von Bahr S</w:t>
      </w:r>
      <w:r w:rsidRPr="00CC4376">
        <w:rPr>
          <w:rFonts w:ascii="Book Antiqua" w:eastAsia="Book Antiqua" w:hAnsi="Book Antiqua" w:cs="Book Antiqua"/>
        </w:rPr>
        <w:t xml:space="preserve">, Björkhem I, Van't Hooft F, Alvelius G, Nemeth A, Sjövall J, Fischler B. Mutation in the sterol 27-hydroxylase gene associated with fatal cholestasis in infancy. </w:t>
      </w:r>
      <w:r w:rsidRPr="00CC4376">
        <w:rPr>
          <w:rFonts w:ascii="Book Antiqua" w:eastAsia="Book Antiqua" w:hAnsi="Book Antiqua" w:cs="Book Antiqua"/>
          <w:i/>
          <w:iCs/>
        </w:rPr>
        <w:t>J Pediatr Gastroenterol Nutr</w:t>
      </w:r>
      <w:r w:rsidRPr="00CC4376">
        <w:rPr>
          <w:rFonts w:ascii="Book Antiqua" w:eastAsia="Book Antiqua" w:hAnsi="Book Antiqua" w:cs="Book Antiqua"/>
        </w:rPr>
        <w:t xml:space="preserve"> 2005; </w:t>
      </w:r>
      <w:r w:rsidRPr="00CC4376">
        <w:rPr>
          <w:rFonts w:ascii="Book Antiqua" w:eastAsia="Book Antiqua" w:hAnsi="Book Antiqua" w:cs="Book Antiqua"/>
          <w:b/>
          <w:bCs/>
        </w:rPr>
        <w:t>40</w:t>
      </w:r>
      <w:r w:rsidRPr="00CC4376">
        <w:rPr>
          <w:rFonts w:ascii="Book Antiqua" w:eastAsia="Book Antiqua" w:hAnsi="Book Antiqua" w:cs="Book Antiqua"/>
        </w:rPr>
        <w:t>: 481-486 [PMID: 15795599 DOI: 10.1097/01.mpg.0000150419.23031.2a]</w:t>
      </w:r>
    </w:p>
    <w:p w14:paraId="04485139"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8 </w:t>
      </w:r>
      <w:r w:rsidRPr="00CC4376">
        <w:rPr>
          <w:rFonts w:ascii="Book Antiqua" w:eastAsia="Book Antiqua" w:hAnsi="Book Antiqua" w:cs="Book Antiqua"/>
          <w:b/>
          <w:bCs/>
        </w:rPr>
        <w:t>Kaneko H</w:t>
      </w:r>
      <w:r w:rsidRPr="00CC4376">
        <w:rPr>
          <w:rFonts w:ascii="Book Antiqua" w:eastAsia="Book Antiqua" w:hAnsi="Book Antiqua" w:cs="Book Antiqua"/>
        </w:rPr>
        <w:t xml:space="preserve">, Hirose M, Katada S, Takahashi T, Naruse S, Tsuchiya M, Yoshida T, Nakagawa M, Onodera O, Nishizawa M, Ikeuchi T. Novel GFAP mutation in patient with adult-onset Alexander disease presenting with spastic ataxia. </w:t>
      </w:r>
      <w:r w:rsidRPr="00CC4376">
        <w:rPr>
          <w:rFonts w:ascii="Book Antiqua" w:eastAsia="Book Antiqua" w:hAnsi="Book Antiqua" w:cs="Book Antiqua"/>
          <w:i/>
          <w:iCs/>
        </w:rPr>
        <w:t>Mov Disord</w:t>
      </w:r>
      <w:r w:rsidRPr="00CC4376">
        <w:rPr>
          <w:rFonts w:ascii="Book Antiqua" w:eastAsia="Book Antiqua" w:hAnsi="Book Antiqua" w:cs="Book Antiqua"/>
        </w:rPr>
        <w:t xml:space="preserve"> 2009; </w:t>
      </w:r>
      <w:r w:rsidRPr="00CC4376">
        <w:rPr>
          <w:rFonts w:ascii="Book Antiqua" w:eastAsia="Book Antiqua" w:hAnsi="Book Antiqua" w:cs="Book Antiqua"/>
          <w:b/>
          <w:bCs/>
        </w:rPr>
        <w:t>24</w:t>
      </w:r>
      <w:r w:rsidRPr="00CC4376">
        <w:rPr>
          <w:rFonts w:ascii="Book Antiqua" w:eastAsia="Book Antiqua" w:hAnsi="Book Antiqua" w:cs="Book Antiqua"/>
        </w:rPr>
        <w:t>: 1393-1395 [PMID: 19412928 DOI: 10.1002/mds.22556]</w:t>
      </w:r>
    </w:p>
    <w:p w14:paraId="6560AE41"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9 </w:t>
      </w:r>
      <w:r w:rsidRPr="00CC4376">
        <w:rPr>
          <w:rFonts w:ascii="Book Antiqua" w:eastAsia="Book Antiqua" w:hAnsi="Book Antiqua" w:cs="Book Antiqua"/>
          <w:b/>
          <w:bCs/>
        </w:rPr>
        <w:t>Gallus GN</w:t>
      </w:r>
      <w:r w:rsidRPr="00CC4376">
        <w:rPr>
          <w:rFonts w:ascii="Book Antiqua" w:eastAsia="Book Antiqua" w:hAnsi="Book Antiqua" w:cs="Book Antiqua"/>
        </w:rPr>
        <w:t xml:space="preserve">, Dotti MT, Mignarri A, Rufa A, Da Pozzo P, Cardaioli E, Federico A. Four novel CYP27A1 mutations in seven Italian patients with CTX. </w:t>
      </w:r>
      <w:r w:rsidRPr="00CC4376">
        <w:rPr>
          <w:rFonts w:ascii="Book Antiqua" w:eastAsia="Book Antiqua" w:hAnsi="Book Antiqua" w:cs="Book Antiqua"/>
          <w:i/>
          <w:iCs/>
        </w:rPr>
        <w:t>Eur J Neurol</w:t>
      </w:r>
      <w:r w:rsidRPr="00CC4376">
        <w:rPr>
          <w:rFonts w:ascii="Book Antiqua" w:eastAsia="Book Antiqua" w:hAnsi="Book Antiqua" w:cs="Book Antiqua"/>
        </w:rPr>
        <w:t xml:space="preserve"> 2010; </w:t>
      </w:r>
      <w:r w:rsidRPr="00CC4376">
        <w:rPr>
          <w:rFonts w:ascii="Book Antiqua" w:eastAsia="Book Antiqua" w:hAnsi="Book Antiqua" w:cs="Book Antiqua"/>
          <w:b/>
          <w:bCs/>
        </w:rPr>
        <w:t>17</w:t>
      </w:r>
      <w:r w:rsidRPr="00CC4376">
        <w:rPr>
          <w:rFonts w:ascii="Book Antiqua" w:eastAsia="Book Antiqua" w:hAnsi="Book Antiqua" w:cs="Book Antiqua"/>
        </w:rPr>
        <w:t>: 1259-1262 [PMID: 20402754 DOI: 10.1111/j.1468-1331.2010.03002.x]</w:t>
      </w:r>
    </w:p>
    <w:p w14:paraId="4909D672"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10 </w:t>
      </w:r>
      <w:r w:rsidRPr="00CC4376">
        <w:rPr>
          <w:rFonts w:ascii="Book Antiqua" w:eastAsia="Book Antiqua" w:hAnsi="Book Antiqua" w:cs="Book Antiqua"/>
          <w:b/>
          <w:bCs/>
        </w:rPr>
        <w:t>Degos B</w:t>
      </w:r>
      <w:r w:rsidRPr="00CC4376">
        <w:rPr>
          <w:rFonts w:ascii="Book Antiqua" w:eastAsia="Book Antiqua" w:hAnsi="Book Antiqua" w:cs="Book Antiqua"/>
        </w:rPr>
        <w:t xml:space="preserve">, Nadjar Y, Amador Mdel M, Lamari F, Sedel F, Roze E, Couvert P, Mochel F. Natural history of cerebrotendinous xanthomatosis: a paediatric disease diagnosed in adulthood. </w:t>
      </w:r>
      <w:r w:rsidRPr="00CC4376">
        <w:rPr>
          <w:rFonts w:ascii="Book Antiqua" w:eastAsia="Book Antiqua" w:hAnsi="Book Antiqua" w:cs="Book Antiqua"/>
          <w:i/>
          <w:iCs/>
        </w:rPr>
        <w:t>Orphanet J Rare Dis</w:t>
      </w:r>
      <w:r w:rsidRPr="00CC4376">
        <w:rPr>
          <w:rFonts w:ascii="Book Antiqua" w:eastAsia="Book Antiqua" w:hAnsi="Book Antiqua" w:cs="Book Antiqua"/>
        </w:rPr>
        <w:t xml:space="preserve"> 2016; </w:t>
      </w:r>
      <w:r w:rsidRPr="00CC4376">
        <w:rPr>
          <w:rFonts w:ascii="Book Antiqua" w:eastAsia="Book Antiqua" w:hAnsi="Book Antiqua" w:cs="Book Antiqua"/>
          <w:b/>
          <w:bCs/>
        </w:rPr>
        <w:t>11</w:t>
      </w:r>
      <w:r w:rsidRPr="00CC4376">
        <w:rPr>
          <w:rFonts w:ascii="Book Antiqua" w:eastAsia="Book Antiqua" w:hAnsi="Book Antiqua" w:cs="Book Antiqua"/>
        </w:rPr>
        <w:t>: 41 [PMID: 27084087 DOI: 10.1186/s13023-016-0419-x]</w:t>
      </w:r>
    </w:p>
    <w:p w14:paraId="19749D4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11 </w:t>
      </w:r>
      <w:r w:rsidRPr="00CC4376">
        <w:rPr>
          <w:rFonts w:ascii="Book Antiqua" w:eastAsia="Book Antiqua" w:hAnsi="Book Antiqua" w:cs="Book Antiqua"/>
          <w:b/>
          <w:bCs/>
        </w:rPr>
        <w:t>Sekijima Y</w:t>
      </w:r>
      <w:r w:rsidRPr="00CC4376">
        <w:rPr>
          <w:rFonts w:ascii="Book Antiqua" w:eastAsia="Book Antiqua" w:hAnsi="Book Antiqua" w:cs="Book Antiqua"/>
        </w:rPr>
        <w:t xml:space="preserve">, Koyama S, Yoshinaga T, Koinuma M, Inaba Y. Nationwide survey on cerebrotendinous xanthomatosis in Japan. </w:t>
      </w:r>
      <w:r w:rsidRPr="00CC4376">
        <w:rPr>
          <w:rFonts w:ascii="Book Antiqua" w:eastAsia="Book Antiqua" w:hAnsi="Book Antiqua" w:cs="Book Antiqua"/>
          <w:i/>
          <w:iCs/>
        </w:rPr>
        <w:t>J Hum Genet</w:t>
      </w:r>
      <w:r w:rsidRPr="00CC4376">
        <w:rPr>
          <w:rFonts w:ascii="Book Antiqua" w:eastAsia="Book Antiqua" w:hAnsi="Book Antiqua" w:cs="Book Antiqua"/>
        </w:rPr>
        <w:t xml:space="preserve"> 2018; </w:t>
      </w:r>
      <w:r w:rsidRPr="00CC4376">
        <w:rPr>
          <w:rFonts w:ascii="Book Antiqua" w:eastAsia="Book Antiqua" w:hAnsi="Book Antiqua" w:cs="Book Antiqua"/>
          <w:b/>
          <w:bCs/>
        </w:rPr>
        <w:t>63</w:t>
      </w:r>
      <w:r w:rsidRPr="00CC4376">
        <w:rPr>
          <w:rFonts w:ascii="Book Antiqua" w:eastAsia="Book Antiqua" w:hAnsi="Book Antiqua" w:cs="Book Antiqua"/>
        </w:rPr>
        <w:t>: 271-280 [PMID: 29321515 DOI: 10.1038/s10038-017-0389-4]</w:t>
      </w:r>
    </w:p>
    <w:p w14:paraId="29C323D5"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12 </w:t>
      </w:r>
      <w:r w:rsidRPr="00CC4376">
        <w:rPr>
          <w:rFonts w:ascii="Book Antiqua" w:eastAsia="Book Antiqua" w:hAnsi="Book Antiqua" w:cs="Book Antiqua"/>
          <w:b/>
          <w:bCs/>
        </w:rPr>
        <w:t>Rafiq M</w:t>
      </w:r>
      <w:r w:rsidRPr="00CC4376">
        <w:rPr>
          <w:rFonts w:ascii="Book Antiqua" w:eastAsia="Book Antiqua" w:hAnsi="Book Antiqua" w:cs="Book Antiqua"/>
        </w:rPr>
        <w:t xml:space="preserve">, Sharrack N, Shaw PJ, Hadjivassiliou M. A neurological rarity not to be missed: cerebrotendinous xanthomatosis. </w:t>
      </w:r>
      <w:r w:rsidRPr="00CC4376">
        <w:rPr>
          <w:rFonts w:ascii="Book Antiqua" w:eastAsia="Book Antiqua" w:hAnsi="Book Antiqua" w:cs="Book Antiqua"/>
          <w:i/>
          <w:iCs/>
        </w:rPr>
        <w:t>Pract Neurol</w:t>
      </w:r>
      <w:r w:rsidRPr="00CC4376">
        <w:rPr>
          <w:rFonts w:ascii="Book Antiqua" w:eastAsia="Book Antiqua" w:hAnsi="Book Antiqua" w:cs="Book Antiqua"/>
        </w:rPr>
        <w:t xml:space="preserve"> 2011; </w:t>
      </w:r>
      <w:r w:rsidRPr="00CC4376">
        <w:rPr>
          <w:rFonts w:ascii="Book Antiqua" w:eastAsia="Book Antiqua" w:hAnsi="Book Antiqua" w:cs="Book Antiqua"/>
          <w:b/>
          <w:bCs/>
        </w:rPr>
        <w:t>11</w:t>
      </w:r>
      <w:r w:rsidRPr="00CC4376">
        <w:rPr>
          <w:rFonts w:ascii="Book Antiqua" w:eastAsia="Book Antiqua" w:hAnsi="Book Antiqua" w:cs="Book Antiqua"/>
        </w:rPr>
        <w:t>: 296-300 [PMID: 21921005 DOI: 10.1136/practneurol-2011-000003]</w:t>
      </w:r>
    </w:p>
    <w:p w14:paraId="3E427733"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13 </w:t>
      </w:r>
      <w:r w:rsidRPr="00CC4376">
        <w:rPr>
          <w:rFonts w:ascii="Book Antiqua" w:eastAsia="Book Antiqua" w:hAnsi="Book Antiqua" w:cs="Book Antiqua"/>
          <w:b/>
          <w:bCs/>
        </w:rPr>
        <w:t>Lorincz MT</w:t>
      </w:r>
      <w:r w:rsidRPr="00CC4376">
        <w:rPr>
          <w:rFonts w:ascii="Book Antiqua" w:eastAsia="Book Antiqua" w:hAnsi="Book Antiqua" w:cs="Book Antiqua"/>
        </w:rPr>
        <w:t xml:space="preserve">, Rainier S, Thomas D, Fink JK. Cerebrotendinous xanthomatosis: possible higher prevalence than previously recognized. </w:t>
      </w:r>
      <w:r w:rsidRPr="00CC4376">
        <w:rPr>
          <w:rFonts w:ascii="Book Antiqua" w:eastAsia="Book Antiqua" w:hAnsi="Book Antiqua" w:cs="Book Antiqua"/>
          <w:i/>
          <w:iCs/>
        </w:rPr>
        <w:t>Arch Neurol</w:t>
      </w:r>
      <w:r w:rsidRPr="00CC4376">
        <w:rPr>
          <w:rFonts w:ascii="Book Antiqua" w:eastAsia="Book Antiqua" w:hAnsi="Book Antiqua" w:cs="Book Antiqua"/>
        </w:rPr>
        <w:t xml:space="preserve"> 2005; </w:t>
      </w:r>
      <w:r w:rsidRPr="00CC4376">
        <w:rPr>
          <w:rFonts w:ascii="Book Antiqua" w:eastAsia="Book Antiqua" w:hAnsi="Book Antiqua" w:cs="Book Antiqua"/>
          <w:b/>
          <w:bCs/>
        </w:rPr>
        <w:t>62</w:t>
      </w:r>
      <w:r w:rsidRPr="00CC4376">
        <w:rPr>
          <w:rFonts w:ascii="Book Antiqua" w:eastAsia="Book Antiqua" w:hAnsi="Book Antiqua" w:cs="Book Antiqua"/>
        </w:rPr>
        <w:t>: 1459-1463 [PMID: 16157755 DOI: 10.1001/archneur.62.9.1459]</w:t>
      </w:r>
    </w:p>
    <w:p w14:paraId="16E3AAA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14 </w:t>
      </w:r>
      <w:r w:rsidRPr="00CC4376">
        <w:rPr>
          <w:rFonts w:ascii="Book Antiqua" w:eastAsia="Book Antiqua" w:hAnsi="Book Antiqua" w:cs="Book Antiqua"/>
          <w:b/>
          <w:bCs/>
        </w:rPr>
        <w:t>Appadurai V</w:t>
      </w:r>
      <w:r w:rsidRPr="00CC4376">
        <w:rPr>
          <w:rFonts w:ascii="Book Antiqua" w:eastAsia="Book Antiqua" w:hAnsi="Book Antiqua" w:cs="Book Antiqua"/>
        </w:rPr>
        <w:t xml:space="preserve">, DeBarber A, Chiang PW, Patel SB, Steiner RD, Tyler C, Bonnen PE. Apparent underdiagnosis of Cerebrotendinous Xanthomatosis revealed by analysis of ~60,000 human exomes. </w:t>
      </w:r>
      <w:r w:rsidRPr="00CC4376">
        <w:rPr>
          <w:rFonts w:ascii="Book Antiqua" w:eastAsia="Book Antiqua" w:hAnsi="Book Antiqua" w:cs="Book Antiqua"/>
          <w:i/>
          <w:iCs/>
        </w:rPr>
        <w:t>Mol Genet Metab</w:t>
      </w:r>
      <w:r w:rsidRPr="00CC4376">
        <w:rPr>
          <w:rFonts w:ascii="Book Antiqua" w:eastAsia="Book Antiqua" w:hAnsi="Book Antiqua" w:cs="Book Antiqua"/>
        </w:rPr>
        <w:t xml:space="preserve"> 2015; </w:t>
      </w:r>
      <w:r w:rsidRPr="00CC4376">
        <w:rPr>
          <w:rFonts w:ascii="Book Antiqua" w:eastAsia="Book Antiqua" w:hAnsi="Book Antiqua" w:cs="Book Antiqua"/>
          <w:b/>
          <w:bCs/>
        </w:rPr>
        <w:t>116</w:t>
      </w:r>
      <w:r w:rsidRPr="00CC4376">
        <w:rPr>
          <w:rFonts w:ascii="Book Antiqua" w:eastAsia="Book Antiqua" w:hAnsi="Book Antiqua" w:cs="Book Antiqua"/>
        </w:rPr>
        <w:t>: 298-304 [PMID: 26643207 DOI: 10.1016/j.ymgme.2015.10.010]</w:t>
      </w:r>
    </w:p>
    <w:p w14:paraId="3717B62B"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15 </w:t>
      </w:r>
      <w:r w:rsidRPr="00CC4376">
        <w:rPr>
          <w:rFonts w:ascii="Book Antiqua" w:eastAsia="Book Antiqua" w:hAnsi="Book Antiqua" w:cs="Book Antiqua"/>
          <w:b/>
          <w:bCs/>
        </w:rPr>
        <w:t>Smalley SV</w:t>
      </w:r>
      <w:r w:rsidRPr="00CC4376">
        <w:rPr>
          <w:rFonts w:ascii="Book Antiqua" w:eastAsia="Book Antiqua" w:hAnsi="Book Antiqua" w:cs="Book Antiqua"/>
        </w:rPr>
        <w:t xml:space="preserve">, Preiss Y, Suazo J, Vega JA, Angellotti I, Lagos CF, Rivera E, Kleinsteuber K, Campion J, Martínez JA, Maiz A, Santos JL. Novel splice-affecting variants in CYP27A1 gene in two Chilean patients with Cerebrotendinous Xanthomatosis. </w:t>
      </w:r>
      <w:r w:rsidRPr="00CC4376">
        <w:rPr>
          <w:rFonts w:ascii="Book Antiqua" w:eastAsia="Book Antiqua" w:hAnsi="Book Antiqua" w:cs="Book Antiqua"/>
          <w:i/>
          <w:iCs/>
        </w:rPr>
        <w:t>Genet Mol Biol</w:t>
      </w:r>
      <w:r w:rsidRPr="00CC4376">
        <w:rPr>
          <w:rFonts w:ascii="Book Antiqua" w:eastAsia="Book Antiqua" w:hAnsi="Book Antiqua" w:cs="Book Antiqua"/>
        </w:rPr>
        <w:t xml:space="preserve"> 2015; </w:t>
      </w:r>
      <w:r w:rsidRPr="00CC4376">
        <w:rPr>
          <w:rFonts w:ascii="Book Antiqua" w:eastAsia="Book Antiqua" w:hAnsi="Book Antiqua" w:cs="Book Antiqua"/>
          <w:b/>
          <w:bCs/>
        </w:rPr>
        <w:t>38</w:t>
      </w:r>
      <w:r w:rsidRPr="00CC4376">
        <w:rPr>
          <w:rFonts w:ascii="Book Antiqua" w:eastAsia="Book Antiqua" w:hAnsi="Book Antiqua" w:cs="Book Antiqua"/>
        </w:rPr>
        <w:t>: 30-36 [PMID: 25983621 DOI: 10.1590/S1415-475738120140087]</w:t>
      </w:r>
    </w:p>
    <w:p w14:paraId="23B46B1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16 </w:t>
      </w:r>
      <w:r w:rsidRPr="00CC4376">
        <w:rPr>
          <w:rFonts w:ascii="Book Antiqua" w:eastAsia="Book Antiqua" w:hAnsi="Book Antiqua" w:cs="Book Antiqua"/>
          <w:b/>
          <w:bCs/>
        </w:rPr>
        <w:t>Zádori D</w:t>
      </w:r>
      <w:r w:rsidRPr="00CC4376">
        <w:rPr>
          <w:rFonts w:ascii="Book Antiqua" w:eastAsia="Book Antiqua" w:hAnsi="Book Antiqua" w:cs="Book Antiqua"/>
        </w:rPr>
        <w:t xml:space="preserve">, Szpisjak L, Madar L, Varga VE, Csányi B, Bencsik K, Balogh I, Harangi M, Kereszty É, Vécsei L, Klivényi P. Different phenotypes in identical twins with cerebrotendinous xanthomatosis: case series. </w:t>
      </w:r>
      <w:r w:rsidRPr="00CC4376">
        <w:rPr>
          <w:rFonts w:ascii="Book Antiqua" w:eastAsia="Book Antiqua" w:hAnsi="Book Antiqua" w:cs="Book Antiqua"/>
          <w:i/>
          <w:iCs/>
        </w:rPr>
        <w:t>Neurol Sci</w:t>
      </w:r>
      <w:r w:rsidRPr="00CC4376">
        <w:rPr>
          <w:rFonts w:ascii="Book Antiqua" w:eastAsia="Book Antiqua" w:hAnsi="Book Antiqua" w:cs="Book Antiqua"/>
        </w:rPr>
        <w:t xml:space="preserve"> 2017; </w:t>
      </w:r>
      <w:r w:rsidRPr="00CC4376">
        <w:rPr>
          <w:rFonts w:ascii="Book Antiqua" w:eastAsia="Book Antiqua" w:hAnsi="Book Antiqua" w:cs="Book Antiqua"/>
          <w:b/>
          <w:bCs/>
        </w:rPr>
        <w:t>38</w:t>
      </w:r>
      <w:r w:rsidRPr="00CC4376">
        <w:rPr>
          <w:rFonts w:ascii="Book Antiqua" w:eastAsia="Book Antiqua" w:hAnsi="Book Antiqua" w:cs="Book Antiqua"/>
        </w:rPr>
        <w:t>: 481-483 [PMID: 27888347 DOI: 10.1007/s10072-016-2776-6]</w:t>
      </w:r>
    </w:p>
    <w:p w14:paraId="5B7DE2B1"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17 </w:t>
      </w:r>
      <w:r w:rsidRPr="00CC4376">
        <w:rPr>
          <w:rFonts w:ascii="Book Antiqua" w:eastAsia="Book Antiqua" w:hAnsi="Book Antiqua" w:cs="Book Antiqua"/>
          <w:b/>
          <w:bCs/>
        </w:rPr>
        <w:t>Mignarri A</w:t>
      </w:r>
      <w:r w:rsidRPr="00CC4376">
        <w:rPr>
          <w:rFonts w:ascii="Book Antiqua" w:eastAsia="Book Antiqua" w:hAnsi="Book Antiqua" w:cs="Book Antiqua"/>
        </w:rPr>
        <w:t xml:space="preserve">, Gallus GN, Dotti MT, Federico A. A suspicion index for early diagnosis and treatment of cerebrotendinous xanthomatosis. </w:t>
      </w:r>
      <w:r w:rsidRPr="00CC4376">
        <w:rPr>
          <w:rFonts w:ascii="Book Antiqua" w:eastAsia="Book Antiqua" w:hAnsi="Book Antiqua" w:cs="Book Antiqua"/>
          <w:i/>
          <w:iCs/>
        </w:rPr>
        <w:t>J Inherit Metab Dis</w:t>
      </w:r>
      <w:r w:rsidRPr="00CC4376">
        <w:rPr>
          <w:rFonts w:ascii="Book Antiqua" w:eastAsia="Book Antiqua" w:hAnsi="Book Antiqua" w:cs="Book Antiqua"/>
        </w:rPr>
        <w:t xml:space="preserve"> 2014; </w:t>
      </w:r>
      <w:r w:rsidRPr="00CC4376">
        <w:rPr>
          <w:rFonts w:ascii="Book Antiqua" w:eastAsia="Book Antiqua" w:hAnsi="Book Antiqua" w:cs="Book Antiqua"/>
          <w:b/>
          <w:bCs/>
        </w:rPr>
        <w:t>37</w:t>
      </w:r>
      <w:r w:rsidRPr="00CC4376">
        <w:rPr>
          <w:rFonts w:ascii="Book Antiqua" w:eastAsia="Book Antiqua" w:hAnsi="Book Antiqua" w:cs="Book Antiqua"/>
        </w:rPr>
        <w:t>: 421-429 [PMID: 24442603 DOI: 10.1007/s10545-013-9674-3]</w:t>
      </w:r>
    </w:p>
    <w:p w14:paraId="076E921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18 </w:t>
      </w:r>
      <w:r w:rsidRPr="00CC4376">
        <w:rPr>
          <w:rFonts w:ascii="Book Antiqua" w:eastAsia="Book Antiqua" w:hAnsi="Book Antiqua" w:cs="Book Antiqua"/>
          <w:b/>
          <w:bCs/>
        </w:rPr>
        <w:t>Xu H</w:t>
      </w:r>
      <w:r w:rsidRPr="00CC4376">
        <w:rPr>
          <w:rFonts w:ascii="Book Antiqua" w:eastAsia="Book Antiqua" w:hAnsi="Book Antiqua" w:cs="Book Antiqua"/>
        </w:rPr>
        <w:t xml:space="preserve">, Zhang C, Cao L, Song J, Xu X, Zhang B, Chen B, Zhao G. ATL3 gene mutation in a Chinese family with hereditary sensory neuropathy type 1F. </w:t>
      </w:r>
      <w:r w:rsidRPr="00CC4376">
        <w:rPr>
          <w:rFonts w:ascii="Book Antiqua" w:eastAsia="Book Antiqua" w:hAnsi="Book Antiqua" w:cs="Book Antiqua"/>
          <w:i/>
          <w:iCs/>
        </w:rPr>
        <w:t>J Peripher Nerv Syst</w:t>
      </w:r>
      <w:r w:rsidRPr="00CC4376">
        <w:rPr>
          <w:rFonts w:ascii="Book Antiqua" w:eastAsia="Book Antiqua" w:hAnsi="Book Antiqua" w:cs="Book Antiqua"/>
        </w:rPr>
        <w:t xml:space="preserve"> 2019; </w:t>
      </w:r>
      <w:r w:rsidRPr="00CC4376">
        <w:rPr>
          <w:rFonts w:ascii="Book Antiqua" w:eastAsia="Book Antiqua" w:hAnsi="Book Antiqua" w:cs="Book Antiqua"/>
          <w:b/>
          <w:bCs/>
        </w:rPr>
        <w:t>24</w:t>
      </w:r>
      <w:r w:rsidRPr="00CC4376">
        <w:rPr>
          <w:rFonts w:ascii="Book Antiqua" w:eastAsia="Book Antiqua" w:hAnsi="Book Antiqua" w:cs="Book Antiqua"/>
        </w:rPr>
        <w:t>: 150-155 [PMID: 30680846 DOI: 10.1111/jns.12309]</w:t>
      </w:r>
    </w:p>
    <w:p w14:paraId="37E85F5E"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19 </w:t>
      </w:r>
      <w:r w:rsidRPr="00CC4376">
        <w:rPr>
          <w:rFonts w:ascii="Book Antiqua" w:eastAsia="Book Antiqua" w:hAnsi="Book Antiqua" w:cs="Book Antiqua"/>
          <w:b/>
          <w:bCs/>
        </w:rPr>
        <w:t>Chen W</w:t>
      </w:r>
      <w:r w:rsidRPr="00CC4376">
        <w:rPr>
          <w:rFonts w:ascii="Book Antiqua" w:eastAsia="Book Antiqua" w:hAnsi="Book Antiqua" w:cs="Book Antiqua"/>
        </w:rPr>
        <w:t xml:space="preserve">, Kubota S, Teramoto T, Nishimura Y, Yonemoto K, Seyama Y. Silent nucleotide substitution in the sterol 27-hydroxylase gene (CYP 27) leads to alternative pre-mRNA splicing by activating a cryptic 5' splice site at the mutant codon in cerebrotendinous xanthomatosis patients. </w:t>
      </w:r>
      <w:r w:rsidRPr="00CC4376">
        <w:rPr>
          <w:rFonts w:ascii="Book Antiqua" w:eastAsia="Book Antiqua" w:hAnsi="Book Antiqua" w:cs="Book Antiqua"/>
          <w:i/>
          <w:iCs/>
        </w:rPr>
        <w:t>Biochemistry</w:t>
      </w:r>
      <w:r w:rsidRPr="00CC4376">
        <w:rPr>
          <w:rFonts w:ascii="Book Antiqua" w:eastAsia="Book Antiqua" w:hAnsi="Book Antiqua" w:cs="Book Antiqua"/>
        </w:rPr>
        <w:t xml:space="preserve"> 1998; </w:t>
      </w:r>
      <w:r w:rsidRPr="00CC4376">
        <w:rPr>
          <w:rFonts w:ascii="Book Antiqua" w:eastAsia="Book Antiqua" w:hAnsi="Book Antiqua" w:cs="Book Antiqua"/>
          <w:b/>
          <w:bCs/>
        </w:rPr>
        <w:t>37</w:t>
      </w:r>
      <w:r w:rsidRPr="00CC4376">
        <w:rPr>
          <w:rFonts w:ascii="Book Antiqua" w:eastAsia="Book Antiqua" w:hAnsi="Book Antiqua" w:cs="Book Antiqua"/>
        </w:rPr>
        <w:t>: 4420-4428 [PMID: 9521761 DOI: 10.1021/bi972940a]</w:t>
      </w:r>
    </w:p>
    <w:p w14:paraId="689F6426"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20 </w:t>
      </w:r>
      <w:r w:rsidRPr="00CC4376">
        <w:rPr>
          <w:rFonts w:ascii="Book Antiqua" w:eastAsia="Book Antiqua" w:hAnsi="Book Antiqua" w:cs="Book Antiqua"/>
          <w:b/>
          <w:bCs/>
        </w:rPr>
        <w:t>Shiga K</w:t>
      </w:r>
      <w:r w:rsidRPr="00CC4376">
        <w:rPr>
          <w:rFonts w:ascii="Book Antiqua" w:eastAsia="Book Antiqua" w:hAnsi="Book Antiqua" w:cs="Book Antiqua"/>
        </w:rPr>
        <w:t xml:space="preserve">, Fukuyama R, Kimura S, Nakajima K, Fushiki S. Mutation of the sterol 27-hydroxylase gene (CYP27) results in truncation of mRNA expressed in leucocytes in a Japanese family with cerebrotendinous xanthomatosis. </w:t>
      </w:r>
      <w:r w:rsidRPr="00CC4376">
        <w:rPr>
          <w:rFonts w:ascii="Book Antiqua" w:eastAsia="Book Antiqua" w:hAnsi="Book Antiqua" w:cs="Book Antiqua"/>
          <w:i/>
          <w:iCs/>
        </w:rPr>
        <w:t>J Neurol Neurosurg Psychiatry</w:t>
      </w:r>
      <w:r w:rsidRPr="00CC4376">
        <w:rPr>
          <w:rFonts w:ascii="Book Antiqua" w:eastAsia="Book Antiqua" w:hAnsi="Book Antiqua" w:cs="Book Antiqua"/>
        </w:rPr>
        <w:t xml:space="preserve"> 1999; </w:t>
      </w:r>
      <w:r w:rsidRPr="00CC4376">
        <w:rPr>
          <w:rFonts w:ascii="Book Antiqua" w:eastAsia="Book Antiqua" w:hAnsi="Book Antiqua" w:cs="Book Antiqua"/>
          <w:b/>
          <w:bCs/>
        </w:rPr>
        <w:t>67</w:t>
      </w:r>
      <w:r w:rsidRPr="00CC4376">
        <w:rPr>
          <w:rFonts w:ascii="Book Antiqua" w:eastAsia="Book Antiqua" w:hAnsi="Book Antiqua" w:cs="Book Antiqua"/>
        </w:rPr>
        <w:t>: 675-677 [PMID: 10519880 DOI: 10.1136/jnnp.67.5.675]</w:t>
      </w:r>
    </w:p>
    <w:p w14:paraId="45D1FF30"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21 </w:t>
      </w:r>
      <w:r w:rsidRPr="00CC4376">
        <w:rPr>
          <w:rFonts w:ascii="Book Antiqua" w:eastAsia="Book Antiqua" w:hAnsi="Book Antiqua" w:cs="Book Antiqua"/>
          <w:b/>
          <w:bCs/>
        </w:rPr>
        <w:t>Garuti R</w:t>
      </w:r>
      <w:r w:rsidRPr="00CC4376">
        <w:rPr>
          <w:rFonts w:ascii="Book Antiqua" w:eastAsia="Book Antiqua" w:hAnsi="Book Antiqua" w:cs="Book Antiqua"/>
        </w:rPr>
        <w:t xml:space="preserve">, Lelli N, Barozzini M, Tiozzo R, Dotti MT, Federico A, Ottomano AM, Croce A, Bertolini S, Calandra S. Cerebrotendinous xanthomatosis caused by two new mutations of the sterol-27-hydroxylase gene that disrupt mRNA splicing. </w:t>
      </w:r>
      <w:r w:rsidRPr="00CC4376">
        <w:rPr>
          <w:rFonts w:ascii="Book Antiqua" w:eastAsia="Book Antiqua" w:hAnsi="Book Antiqua" w:cs="Book Antiqua"/>
          <w:i/>
          <w:iCs/>
        </w:rPr>
        <w:t>J Lipid Res</w:t>
      </w:r>
      <w:r w:rsidRPr="00CC4376">
        <w:rPr>
          <w:rFonts w:ascii="Book Antiqua" w:eastAsia="Book Antiqua" w:hAnsi="Book Antiqua" w:cs="Book Antiqua"/>
        </w:rPr>
        <w:t xml:space="preserve"> 1996; </w:t>
      </w:r>
      <w:r w:rsidRPr="00CC4376">
        <w:rPr>
          <w:rFonts w:ascii="Book Antiqua" w:eastAsia="Book Antiqua" w:hAnsi="Book Antiqua" w:cs="Book Antiqua"/>
          <w:b/>
          <w:bCs/>
        </w:rPr>
        <w:t>37</w:t>
      </w:r>
      <w:r w:rsidRPr="00CC4376">
        <w:rPr>
          <w:rFonts w:ascii="Book Antiqua" w:eastAsia="Book Antiqua" w:hAnsi="Book Antiqua" w:cs="Book Antiqua"/>
        </w:rPr>
        <w:t>: 1459-1467 [PMID: 8827518]</w:t>
      </w:r>
    </w:p>
    <w:p w14:paraId="2437B82B"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22 </w:t>
      </w:r>
      <w:r w:rsidRPr="00CC4376">
        <w:rPr>
          <w:rFonts w:ascii="Book Antiqua" w:eastAsia="Book Antiqua" w:hAnsi="Book Antiqua" w:cs="Book Antiqua"/>
          <w:b/>
          <w:bCs/>
        </w:rPr>
        <w:t>Sedel F</w:t>
      </w:r>
      <w:r w:rsidRPr="00CC4376">
        <w:rPr>
          <w:rFonts w:ascii="Book Antiqua" w:eastAsia="Book Antiqua" w:hAnsi="Book Antiqua" w:cs="Book Antiqua"/>
        </w:rPr>
        <w:t xml:space="preserve">, Baumann N, Turpin JC, Lyon-Caen O, Saudubray JM, Cohen D. Psychiatric manifestations revealing inborn errors of metabolism in adolescents and adults. </w:t>
      </w:r>
      <w:r w:rsidRPr="00CC4376">
        <w:rPr>
          <w:rFonts w:ascii="Book Antiqua" w:eastAsia="Book Antiqua" w:hAnsi="Book Antiqua" w:cs="Book Antiqua"/>
          <w:i/>
          <w:iCs/>
        </w:rPr>
        <w:t>J Inherit Metab Dis</w:t>
      </w:r>
      <w:r w:rsidRPr="00CC4376">
        <w:rPr>
          <w:rFonts w:ascii="Book Antiqua" w:eastAsia="Book Antiqua" w:hAnsi="Book Antiqua" w:cs="Book Antiqua"/>
        </w:rPr>
        <w:t xml:space="preserve"> 2007; </w:t>
      </w:r>
      <w:r w:rsidRPr="00CC4376">
        <w:rPr>
          <w:rFonts w:ascii="Book Antiqua" w:eastAsia="Book Antiqua" w:hAnsi="Book Antiqua" w:cs="Book Antiqua"/>
          <w:b/>
          <w:bCs/>
        </w:rPr>
        <w:t>30</w:t>
      </w:r>
      <w:r w:rsidRPr="00CC4376">
        <w:rPr>
          <w:rFonts w:ascii="Book Antiqua" w:eastAsia="Book Antiqua" w:hAnsi="Book Antiqua" w:cs="Book Antiqua"/>
        </w:rPr>
        <w:t>: 631-641 [PMID: 17694356 DOI: 10.1007/s10545-007-0661-4]</w:t>
      </w:r>
    </w:p>
    <w:p w14:paraId="08A11A66"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23 </w:t>
      </w:r>
      <w:r w:rsidRPr="00CC4376">
        <w:rPr>
          <w:rFonts w:ascii="Book Antiqua" w:eastAsia="Book Antiqua" w:hAnsi="Book Antiqua" w:cs="Book Antiqua"/>
          <w:b/>
          <w:bCs/>
        </w:rPr>
        <w:t>Fraidakis MJ</w:t>
      </w:r>
      <w:r w:rsidRPr="00CC4376">
        <w:rPr>
          <w:rFonts w:ascii="Book Antiqua" w:eastAsia="Book Antiqua" w:hAnsi="Book Antiqua" w:cs="Book Antiqua"/>
        </w:rPr>
        <w:t xml:space="preserve">. Psychiatric manifestations in cerebrotendinous xanthomatosis. </w:t>
      </w:r>
      <w:r w:rsidRPr="00CC4376">
        <w:rPr>
          <w:rFonts w:ascii="Book Antiqua" w:eastAsia="Book Antiqua" w:hAnsi="Book Antiqua" w:cs="Book Antiqua"/>
          <w:i/>
          <w:iCs/>
        </w:rPr>
        <w:t>Transl Psychiatry</w:t>
      </w:r>
      <w:r w:rsidRPr="00CC4376">
        <w:rPr>
          <w:rFonts w:ascii="Book Antiqua" w:eastAsia="Book Antiqua" w:hAnsi="Book Antiqua" w:cs="Book Antiqua"/>
        </w:rPr>
        <w:t xml:space="preserve"> 2013; </w:t>
      </w:r>
      <w:r w:rsidRPr="00CC4376">
        <w:rPr>
          <w:rFonts w:ascii="Book Antiqua" w:eastAsia="Book Antiqua" w:hAnsi="Book Antiqua" w:cs="Book Antiqua"/>
          <w:b/>
          <w:bCs/>
        </w:rPr>
        <w:t>3</w:t>
      </w:r>
      <w:r w:rsidRPr="00CC4376">
        <w:rPr>
          <w:rFonts w:ascii="Book Antiqua" w:eastAsia="Book Antiqua" w:hAnsi="Book Antiqua" w:cs="Book Antiqua"/>
        </w:rPr>
        <w:t>: e302 [PMID: 24002088 DOI: 10.1038/tp.2013.76]</w:t>
      </w:r>
    </w:p>
    <w:p w14:paraId="277E6730"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24 </w:t>
      </w:r>
      <w:r w:rsidRPr="00CC4376">
        <w:rPr>
          <w:rFonts w:ascii="Book Antiqua" w:eastAsia="Book Antiqua" w:hAnsi="Book Antiqua" w:cs="Book Antiqua"/>
          <w:b/>
          <w:bCs/>
        </w:rPr>
        <w:t>Chang WN</w:t>
      </w:r>
      <w:r w:rsidRPr="00CC4376">
        <w:rPr>
          <w:rFonts w:ascii="Book Antiqua" w:eastAsia="Book Antiqua" w:hAnsi="Book Antiqua" w:cs="Book Antiqua"/>
        </w:rPr>
        <w:t xml:space="preserve">, Cheng YF. Nephrolithiasis and nephrocalcinosis in cerebrotendinous xanthomatosis: report of three siblings. </w:t>
      </w:r>
      <w:r w:rsidRPr="00CC4376">
        <w:rPr>
          <w:rFonts w:ascii="Book Antiqua" w:eastAsia="Book Antiqua" w:hAnsi="Book Antiqua" w:cs="Book Antiqua"/>
          <w:i/>
          <w:iCs/>
        </w:rPr>
        <w:t>Eur Neurol</w:t>
      </w:r>
      <w:r w:rsidRPr="00CC4376">
        <w:rPr>
          <w:rFonts w:ascii="Book Antiqua" w:eastAsia="Book Antiqua" w:hAnsi="Book Antiqua" w:cs="Book Antiqua"/>
        </w:rPr>
        <w:t xml:space="preserve"> 1995; </w:t>
      </w:r>
      <w:r w:rsidRPr="00CC4376">
        <w:rPr>
          <w:rFonts w:ascii="Book Antiqua" w:eastAsia="Book Antiqua" w:hAnsi="Book Antiqua" w:cs="Book Antiqua"/>
          <w:b/>
          <w:bCs/>
        </w:rPr>
        <w:t>35</w:t>
      </w:r>
      <w:r w:rsidRPr="00CC4376">
        <w:rPr>
          <w:rFonts w:ascii="Book Antiqua" w:eastAsia="Book Antiqua" w:hAnsi="Book Antiqua" w:cs="Book Antiqua"/>
        </w:rPr>
        <w:t>: 55-57 [PMID: 7737249 DOI: 10.1159/000117091]</w:t>
      </w:r>
    </w:p>
    <w:p w14:paraId="374975C1"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25 </w:t>
      </w:r>
      <w:r w:rsidRPr="00CC4376">
        <w:rPr>
          <w:rFonts w:ascii="Book Antiqua" w:eastAsia="Book Antiqua" w:hAnsi="Book Antiqua" w:cs="Book Antiqua"/>
          <w:b/>
          <w:bCs/>
        </w:rPr>
        <w:t>Verrips A</w:t>
      </w:r>
      <w:r w:rsidRPr="00CC4376">
        <w:rPr>
          <w:rFonts w:ascii="Book Antiqua" w:eastAsia="Book Antiqua" w:hAnsi="Book Antiqua" w:cs="Book Antiqua"/>
        </w:rPr>
        <w:t xml:space="preserve">, van Engelen BG, Wevers RA, van Geel BM, Cruysberg JR, van den Heuvel LP, Keyser A, Gabreëls FJ. Presence of diarrhea and absence of tendon xanthomas in patients with cerebrotendinous xanthomatosis. </w:t>
      </w:r>
      <w:r w:rsidRPr="00CC4376">
        <w:rPr>
          <w:rFonts w:ascii="Book Antiqua" w:eastAsia="Book Antiqua" w:hAnsi="Book Antiqua" w:cs="Book Antiqua"/>
          <w:i/>
          <w:iCs/>
        </w:rPr>
        <w:t>Arch Neurol</w:t>
      </w:r>
      <w:r w:rsidRPr="00CC4376">
        <w:rPr>
          <w:rFonts w:ascii="Book Antiqua" w:eastAsia="Book Antiqua" w:hAnsi="Book Antiqua" w:cs="Book Antiqua"/>
        </w:rPr>
        <w:t xml:space="preserve"> 2000; </w:t>
      </w:r>
      <w:r w:rsidRPr="00CC4376">
        <w:rPr>
          <w:rFonts w:ascii="Book Antiqua" w:eastAsia="Book Antiqua" w:hAnsi="Book Antiqua" w:cs="Book Antiqua"/>
          <w:b/>
          <w:bCs/>
        </w:rPr>
        <w:t>57</w:t>
      </w:r>
      <w:r w:rsidRPr="00CC4376">
        <w:rPr>
          <w:rFonts w:ascii="Book Antiqua" w:eastAsia="Book Antiqua" w:hAnsi="Book Antiqua" w:cs="Book Antiqua"/>
        </w:rPr>
        <w:t>: 520-524 [PMID: 10768627 DOI: 10.1001/archneur.57.4.520]</w:t>
      </w:r>
    </w:p>
    <w:p w14:paraId="1837345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26 </w:t>
      </w:r>
      <w:r w:rsidRPr="00CC4376">
        <w:rPr>
          <w:rFonts w:ascii="Book Antiqua" w:eastAsia="Book Antiqua" w:hAnsi="Book Antiqua" w:cs="Book Antiqua"/>
          <w:b/>
          <w:bCs/>
        </w:rPr>
        <w:t>Lorbek G</w:t>
      </w:r>
      <w:r w:rsidRPr="00CC4376">
        <w:rPr>
          <w:rFonts w:ascii="Book Antiqua" w:eastAsia="Book Antiqua" w:hAnsi="Book Antiqua" w:cs="Book Antiqua"/>
        </w:rPr>
        <w:t xml:space="preserve">, Lewinska M, Rozman D. Cytochrome P450s in the synthesis of cholesterol and bile acids--from mouse models to human diseases. </w:t>
      </w:r>
      <w:r w:rsidRPr="00CC4376">
        <w:rPr>
          <w:rFonts w:ascii="Book Antiqua" w:eastAsia="Book Antiqua" w:hAnsi="Book Antiqua" w:cs="Book Antiqua"/>
          <w:i/>
          <w:iCs/>
        </w:rPr>
        <w:t>FEBS J</w:t>
      </w:r>
      <w:r w:rsidRPr="00CC4376">
        <w:rPr>
          <w:rFonts w:ascii="Book Antiqua" w:eastAsia="Book Antiqua" w:hAnsi="Book Antiqua" w:cs="Book Antiqua"/>
        </w:rPr>
        <w:t xml:space="preserve"> 2012; </w:t>
      </w:r>
      <w:r w:rsidRPr="00CC4376">
        <w:rPr>
          <w:rFonts w:ascii="Book Antiqua" w:eastAsia="Book Antiqua" w:hAnsi="Book Antiqua" w:cs="Book Antiqua"/>
          <w:b/>
          <w:bCs/>
        </w:rPr>
        <w:t>279</w:t>
      </w:r>
      <w:r w:rsidRPr="00CC4376">
        <w:rPr>
          <w:rFonts w:ascii="Book Antiqua" w:eastAsia="Book Antiqua" w:hAnsi="Book Antiqua" w:cs="Book Antiqua"/>
        </w:rPr>
        <w:t>: 1516-1533 [PMID: 22111624 DOI: 10.1111/j.1742-4658.2011.08432.x]</w:t>
      </w:r>
    </w:p>
    <w:p w14:paraId="18E0F063"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27 </w:t>
      </w:r>
      <w:r w:rsidRPr="00CC4376">
        <w:rPr>
          <w:rFonts w:ascii="Book Antiqua" w:eastAsia="Book Antiqua" w:hAnsi="Book Antiqua" w:cs="Book Antiqua"/>
          <w:b/>
          <w:bCs/>
        </w:rPr>
        <w:t>Nie S</w:t>
      </w:r>
      <w:r w:rsidRPr="00CC4376">
        <w:rPr>
          <w:rFonts w:ascii="Book Antiqua" w:eastAsia="Book Antiqua" w:hAnsi="Book Antiqua" w:cs="Book Antiqua"/>
        </w:rPr>
        <w:t xml:space="preserve">, Chen G, Cao X, Zhang Y. Cerebrotendinous xanthomatosis: a comprehensive review of pathogenesis, clinical manifestations, diagnosis, and management. </w:t>
      </w:r>
      <w:r w:rsidRPr="00CC4376">
        <w:rPr>
          <w:rFonts w:ascii="Book Antiqua" w:eastAsia="Book Antiqua" w:hAnsi="Book Antiqua" w:cs="Book Antiqua"/>
          <w:i/>
          <w:iCs/>
        </w:rPr>
        <w:t>Orphanet J Rare Dis</w:t>
      </w:r>
      <w:r w:rsidRPr="00CC4376">
        <w:rPr>
          <w:rFonts w:ascii="Book Antiqua" w:eastAsia="Book Antiqua" w:hAnsi="Book Antiqua" w:cs="Book Antiqua"/>
        </w:rPr>
        <w:t xml:space="preserve"> 2014; </w:t>
      </w:r>
      <w:r w:rsidRPr="00CC4376">
        <w:rPr>
          <w:rFonts w:ascii="Book Antiqua" w:eastAsia="Book Antiqua" w:hAnsi="Book Antiqua" w:cs="Book Antiqua"/>
          <w:b/>
          <w:bCs/>
        </w:rPr>
        <w:t>9</w:t>
      </w:r>
      <w:r w:rsidRPr="00CC4376">
        <w:rPr>
          <w:rFonts w:ascii="Book Antiqua" w:eastAsia="Book Antiqua" w:hAnsi="Book Antiqua" w:cs="Book Antiqua"/>
        </w:rPr>
        <w:t>: 179 [PMID: 25424010 DOI: 10.1186/s13023-014-0179-4]</w:t>
      </w:r>
    </w:p>
    <w:p w14:paraId="0872D192"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28 </w:t>
      </w:r>
      <w:r w:rsidRPr="00CC4376">
        <w:rPr>
          <w:rFonts w:ascii="Book Antiqua" w:eastAsia="Book Antiqua" w:hAnsi="Book Antiqua" w:cs="Book Antiqua"/>
          <w:b/>
          <w:bCs/>
        </w:rPr>
        <w:t>Jiao H</w:t>
      </w:r>
      <w:r w:rsidRPr="00CC4376">
        <w:rPr>
          <w:rFonts w:ascii="Book Antiqua" w:eastAsia="Book Antiqua" w:hAnsi="Book Antiqua" w:cs="Book Antiqua"/>
        </w:rPr>
        <w:t xml:space="preserve">, Olin M, Hansson M, Eggertsen G, Eriksson M, Angelin B, Björkhem I. Unique case of cerebrotendinous xanthomatosis revisited: All the mutations responsible for this </w:t>
      </w:r>
      <w:r w:rsidRPr="00CC4376">
        <w:rPr>
          <w:rFonts w:ascii="Book Antiqua" w:eastAsia="Book Antiqua" w:hAnsi="Book Antiqua" w:cs="Book Antiqua"/>
        </w:rPr>
        <w:lastRenderedPageBreak/>
        <w:t xml:space="preserve">disease are present in the CYP27A1 gene. </w:t>
      </w:r>
      <w:r w:rsidRPr="00CC4376">
        <w:rPr>
          <w:rFonts w:ascii="Book Antiqua" w:eastAsia="Book Antiqua" w:hAnsi="Book Antiqua" w:cs="Book Antiqua"/>
          <w:i/>
          <w:iCs/>
        </w:rPr>
        <w:t>J Intern Med</w:t>
      </w:r>
      <w:r w:rsidRPr="00CC4376">
        <w:rPr>
          <w:rFonts w:ascii="Book Antiqua" w:eastAsia="Book Antiqua" w:hAnsi="Book Antiqua" w:cs="Book Antiqua"/>
        </w:rPr>
        <w:t xml:space="preserve"> 2018; </w:t>
      </w:r>
      <w:r w:rsidRPr="00CC4376">
        <w:rPr>
          <w:rFonts w:ascii="Book Antiqua" w:eastAsia="Book Antiqua" w:hAnsi="Book Antiqua" w:cs="Book Antiqua"/>
          <w:b/>
          <w:bCs/>
        </w:rPr>
        <w:t>283</w:t>
      </w:r>
      <w:r w:rsidRPr="00CC4376">
        <w:rPr>
          <w:rFonts w:ascii="Book Antiqua" w:eastAsia="Book Antiqua" w:hAnsi="Book Antiqua" w:cs="Book Antiqua"/>
        </w:rPr>
        <w:t>: 604-606 [PMID: 29095540 DOI: 10.1111/joim.12709]</w:t>
      </w:r>
    </w:p>
    <w:p w14:paraId="37DE8C15"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29 </w:t>
      </w:r>
      <w:r w:rsidRPr="00CC4376">
        <w:rPr>
          <w:rFonts w:ascii="Book Antiqua" w:eastAsia="Book Antiqua" w:hAnsi="Book Antiqua" w:cs="Book Antiqua"/>
          <w:b/>
          <w:bCs/>
        </w:rPr>
        <w:t>Pilo-de-la-Fuente B</w:t>
      </w:r>
      <w:r w:rsidRPr="00CC4376">
        <w:rPr>
          <w:rFonts w:ascii="Book Antiqua" w:eastAsia="Book Antiqua" w:hAnsi="Book Antiqua" w:cs="Book Antiqua"/>
        </w:rPr>
        <w:t xml:space="preserve">, Jimenez-Escrig A, Lorenzo JR, Pardo J, Arias M, Ares-Luque A, Duarte J, Muñiz-Pérez S, Sobrido MJ. Cerebrotendinous xanthomatosis in Spain: clinical, prognostic, and genetic survey. </w:t>
      </w:r>
      <w:r w:rsidRPr="00CC4376">
        <w:rPr>
          <w:rFonts w:ascii="Book Antiqua" w:eastAsia="Book Antiqua" w:hAnsi="Book Antiqua" w:cs="Book Antiqua"/>
          <w:i/>
          <w:iCs/>
        </w:rPr>
        <w:t>Eur J Neurol</w:t>
      </w:r>
      <w:r w:rsidRPr="00CC4376">
        <w:rPr>
          <w:rFonts w:ascii="Book Antiqua" w:eastAsia="Book Antiqua" w:hAnsi="Book Antiqua" w:cs="Book Antiqua"/>
        </w:rPr>
        <w:t xml:space="preserve"> 2011; </w:t>
      </w:r>
      <w:r w:rsidRPr="00CC4376">
        <w:rPr>
          <w:rFonts w:ascii="Book Antiqua" w:eastAsia="Book Antiqua" w:hAnsi="Book Antiqua" w:cs="Book Antiqua"/>
          <w:b/>
          <w:bCs/>
        </w:rPr>
        <w:t>18</w:t>
      </w:r>
      <w:r w:rsidRPr="00CC4376">
        <w:rPr>
          <w:rFonts w:ascii="Book Antiqua" w:eastAsia="Book Antiqua" w:hAnsi="Book Antiqua" w:cs="Book Antiqua"/>
        </w:rPr>
        <w:t>: 1203-1211 [PMID: 21645175 DOI: 10.1111/j.1468-1331.2011.03439.x]</w:t>
      </w:r>
    </w:p>
    <w:p w14:paraId="6FB0C463"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30 </w:t>
      </w:r>
      <w:r w:rsidRPr="00CC4376">
        <w:rPr>
          <w:rFonts w:ascii="Book Antiqua" w:eastAsia="Book Antiqua" w:hAnsi="Book Antiqua" w:cs="Book Antiqua"/>
          <w:b/>
          <w:bCs/>
        </w:rPr>
        <w:t>Chen C</w:t>
      </w:r>
      <w:r w:rsidRPr="00CC4376">
        <w:rPr>
          <w:rFonts w:ascii="Book Antiqua" w:eastAsia="Book Antiqua" w:hAnsi="Book Antiqua" w:cs="Book Antiqua"/>
        </w:rPr>
        <w:t xml:space="preserve">, Zhang Y, Wu H, Sun YM, Cai YH, Wu JJ, Wang J, Gong LY, Ding ZT. Clinical and molecular genetic features of cerebrotendinous xanthomatosis patients in Chinese families. </w:t>
      </w:r>
      <w:r w:rsidRPr="00CC4376">
        <w:rPr>
          <w:rFonts w:ascii="Book Antiqua" w:eastAsia="Book Antiqua" w:hAnsi="Book Antiqua" w:cs="Book Antiqua"/>
          <w:i/>
          <w:iCs/>
        </w:rPr>
        <w:t>Metab Brain Dis</w:t>
      </w:r>
      <w:r w:rsidRPr="00CC4376">
        <w:rPr>
          <w:rFonts w:ascii="Book Antiqua" w:eastAsia="Book Antiqua" w:hAnsi="Book Antiqua" w:cs="Book Antiqua"/>
        </w:rPr>
        <w:t xml:space="preserve"> 2017; </w:t>
      </w:r>
      <w:r w:rsidRPr="00CC4376">
        <w:rPr>
          <w:rFonts w:ascii="Book Antiqua" w:eastAsia="Book Antiqua" w:hAnsi="Book Antiqua" w:cs="Book Antiqua"/>
          <w:b/>
          <w:bCs/>
        </w:rPr>
        <w:t>32</w:t>
      </w:r>
      <w:r w:rsidRPr="00CC4376">
        <w:rPr>
          <w:rFonts w:ascii="Book Antiqua" w:eastAsia="Book Antiqua" w:hAnsi="Book Antiqua" w:cs="Book Antiqua"/>
        </w:rPr>
        <w:t>: 1609-1618 [PMID: 28623566 DOI: 10.1007/s11011-017-0047-8]</w:t>
      </w:r>
    </w:p>
    <w:p w14:paraId="6B6B0418"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31 </w:t>
      </w:r>
      <w:r w:rsidRPr="00CC4376">
        <w:rPr>
          <w:rFonts w:ascii="Book Antiqua" w:eastAsia="Book Antiqua" w:hAnsi="Book Antiqua" w:cs="Book Antiqua"/>
          <w:b/>
          <w:bCs/>
        </w:rPr>
        <w:t>Tao QQ</w:t>
      </w:r>
      <w:r w:rsidRPr="00CC4376">
        <w:rPr>
          <w:rFonts w:ascii="Book Antiqua" w:eastAsia="Book Antiqua" w:hAnsi="Book Antiqua" w:cs="Book Antiqua"/>
        </w:rPr>
        <w:t xml:space="preserve">, Zhang Y, Lin HX, Dong HL, Ni W, Wu ZY. Clinical and genetic characteristics of Chinese patients with cerebrotendinous xanthomatosis. </w:t>
      </w:r>
      <w:r w:rsidRPr="00CC4376">
        <w:rPr>
          <w:rFonts w:ascii="Book Antiqua" w:eastAsia="Book Antiqua" w:hAnsi="Book Antiqua" w:cs="Book Antiqua"/>
          <w:i/>
          <w:iCs/>
        </w:rPr>
        <w:t>Orphanet J Rare Dis</w:t>
      </w:r>
      <w:r w:rsidRPr="00CC4376">
        <w:rPr>
          <w:rFonts w:ascii="Book Antiqua" w:eastAsia="Book Antiqua" w:hAnsi="Book Antiqua" w:cs="Book Antiqua"/>
        </w:rPr>
        <w:t xml:space="preserve"> 2019; </w:t>
      </w:r>
      <w:r w:rsidRPr="00CC4376">
        <w:rPr>
          <w:rFonts w:ascii="Book Antiqua" w:eastAsia="Book Antiqua" w:hAnsi="Book Antiqua" w:cs="Book Antiqua"/>
          <w:b/>
          <w:bCs/>
        </w:rPr>
        <w:t>14</w:t>
      </w:r>
      <w:r w:rsidRPr="00CC4376">
        <w:rPr>
          <w:rFonts w:ascii="Book Antiqua" w:eastAsia="Book Antiqua" w:hAnsi="Book Antiqua" w:cs="Book Antiqua"/>
        </w:rPr>
        <w:t>: 282 [PMID: 31796091 DOI: 10.1186/s13023-019-1252-9]</w:t>
      </w:r>
    </w:p>
    <w:p w14:paraId="03890FE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32 </w:t>
      </w:r>
      <w:r w:rsidRPr="00CC4376">
        <w:rPr>
          <w:rFonts w:ascii="Book Antiqua" w:eastAsia="Book Antiqua" w:hAnsi="Book Antiqua" w:cs="Book Antiqua"/>
          <w:b/>
          <w:bCs/>
        </w:rPr>
        <w:t>Inanloorahatloo K</w:t>
      </w:r>
      <w:r w:rsidRPr="00CC4376">
        <w:rPr>
          <w:rFonts w:ascii="Book Antiqua" w:eastAsia="Book Antiqua" w:hAnsi="Book Antiqua" w:cs="Book Antiqua"/>
        </w:rPr>
        <w:t xml:space="preserve">, Zand Parsa AF, Huse K, Rasooli P, Davaran S, Platzer M, Fan JB, Amini S, Steemers F, Elahi E. Mutation in CYP27A1 identified in family with coronary artery disease. </w:t>
      </w:r>
      <w:r w:rsidRPr="00CC4376">
        <w:rPr>
          <w:rFonts w:ascii="Book Antiqua" w:eastAsia="Book Antiqua" w:hAnsi="Book Antiqua" w:cs="Book Antiqua"/>
          <w:i/>
          <w:iCs/>
        </w:rPr>
        <w:t>Eur J Med Genet</w:t>
      </w:r>
      <w:r w:rsidRPr="00CC4376">
        <w:rPr>
          <w:rFonts w:ascii="Book Antiqua" w:eastAsia="Book Antiqua" w:hAnsi="Book Antiqua" w:cs="Book Antiqua"/>
        </w:rPr>
        <w:t xml:space="preserve"> 2013; </w:t>
      </w:r>
      <w:r w:rsidRPr="00CC4376">
        <w:rPr>
          <w:rFonts w:ascii="Book Antiqua" w:eastAsia="Book Antiqua" w:hAnsi="Book Antiqua" w:cs="Book Antiqua"/>
          <w:b/>
          <w:bCs/>
        </w:rPr>
        <w:t>56</w:t>
      </w:r>
      <w:r w:rsidRPr="00CC4376">
        <w:rPr>
          <w:rFonts w:ascii="Book Antiqua" w:eastAsia="Book Antiqua" w:hAnsi="Book Antiqua" w:cs="Book Antiqua"/>
        </w:rPr>
        <w:t>: 655-660 [PMID: 24080357 DOI: 10.1016/j.ejmg.2013.09.008]</w:t>
      </w:r>
    </w:p>
    <w:p w14:paraId="3C34864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33 </w:t>
      </w:r>
      <w:r w:rsidRPr="00CC4376">
        <w:rPr>
          <w:rFonts w:ascii="Book Antiqua" w:eastAsia="Book Antiqua" w:hAnsi="Book Antiqua" w:cs="Book Antiqua"/>
          <w:b/>
          <w:bCs/>
        </w:rPr>
        <w:t>de Sain-van der Velden MG</w:t>
      </w:r>
      <w:r w:rsidRPr="00CC4376">
        <w:rPr>
          <w:rFonts w:ascii="Book Antiqua" w:eastAsia="Book Antiqua" w:hAnsi="Book Antiqua" w:cs="Book Antiqua"/>
        </w:rPr>
        <w:t xml:space="preserve">, Verrips A, Prinsen BH, de Barse M, Berger R, Visser G. Elevated cholesterol precursors other than cholestanol can also be a hallmark for CTX. </w:t>
      </w:r>
      <w:r w:rsidRPr="00CC4376">
        <w:rPr>
          <w:rFonts w:ascii="Book Antiqua" w:eastAsia="Book Antiqua" w:hAnsi="Book Antiqua" w:cs="Book Antiqua"/>
          <w:i/>
          <w:iCs/>
        </w:rPr>
        <w:t>J Inherit Metab Dis</w:t>
      </w:r>
      <w:r w:rsidRPr="00CC4376">
        <w:rPr>
          <w:rFonts w:ascii="Book Antiqua" w:eastAsia="Book Antiqua" w:hAnsi="Book Antiqua" w:cs="Book Antiqua"/>
        </w:rPr>
        <w:t xml:space="preserve"> 2008; </w:t>
      </w:r>
      <w:r w:rsidRPr="00CC4376">
        <w:rPr>
          <w:rFonts w:ascii="Book Antiqua" w:eastAsia="Book Antiqua" w:hAnsi="Book Antiqua" w:cs="Book Antiqua"/>
          <w:b/>
          <w:bCs/>
        </w:rPr>
        <w:t xml:space="preserve">31 </w:t>
      </w:r>
      <w:r w:rsidRPr="00CC4376">
        <w:rPr>
          <w:rFonts w:ascii="Book Antiqua" w:eastAsia="Book Antiqua" w:hAnsi="Book Antiqua" w:cs="Book Antiqua"/>
        </w:rPr>
        <w:t>Suppl 2: S387-S393 [PMID: 18949577 DOI: 10.1007/s10545-008-0963-1]</w:t>
      </w:r>
    </w:p>
    <w:p w14:paraId="461159AB"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34 </w:t>
      </w:r>
      <w:r w:rsidRPr="00CC4376">
        <w:rPr>
          <w:rFonts w:ascii="Book Antiqua" w:eastAsia="Book Antiqua" w:hAnsi="Book Antiqua" w:cs="Book Antiqua"/>
          <w:b/>
          <w:bCs/>
        </w:rPr>
        <w:t>Wallon D</w:t>
      </w:r>
      <w:r w:rsidRPr="00CC4376">
        <w:rPr>
          <w:rFonts w:ascii="Book Antiqua" w:eastAsia="Book Antiqua" w:hAnsi="Book Antiqua" w:cs="Book Antiqua"/>
        </w:rPr>
        <w:t xml:space="preserve">, Guyant-Maréchal L, Laquerrière A, Wevers RA, Martinaud O, Kluijtmans LA, Yntema HG, Saugier-Veber P, Hannequin D. Clinical imaging and neuropathological correlations in an unusual case of cerebrotendinous xanthomatosis. </w:t>
      </w:r>
      <w:r w:rsidRPr="00CC4376">
        <w:rPr>
          <w:rFonts w:ascii="Book Antiqua" w:eastAsia="Book Antiqua" w:hAnsi="Book Antiqua" w:cs="Book Antiqua"/>
          <w:i/>
          <w:iCs/>
        </w:rPr>
        <w:t>Clin Neuropathol</w:t>
      </w:r>
      <w:r w:rsidRPr="00CC4376">
        <w:rPr>
          <w:rFonts w:ascii="Book Antiqua" w:eastAsia="Book Antiqua" w:hAnsi="Book Antiqua" w:cs="Book Antiqua"/>
        </w:rPr>
        <w:t xml:space="preserve"> 2010; </w:t>
      </w:r>
      <w:r w:rsidRPr="00CC4376">
        <w:rPr>
          <w:rFonts w:ascii="Book Antiqua" w:eastAsia="Book Antiqua" w:hAnsi="Book Antiqua" w:cs="Book Antiqua"/>
          <w:b/>
          <w:bCs/>
        </w:rPr>
        <w:t>29</w:t>
      </w:r>
      <w:r w:rsidRPr="00CC4376">
        <w:rPr>
          <w:rFonts w:ascii="Book Antiqua" w:eastAsia="Book Antiqua" w:hAnsi="Book Antiqua" w:cs="Book Antiqua"/>
        </w:rPr>
        <w:t>: 361-364 [PMID: 21073839 DOI: 10.5414/npp29361]</w:t>
      </w:r>
    </w:p>
    <w:p w14:paraId="22A9CE37"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35 </w:t>
      </w:r>
      <w:r w:rsidRPr="00CC4376">
        <w:rPr>
          <w:rFonts w:ascii="Book Antiqua" w:eastAsia="Book Antiqua" w:hAnsi="Book Antiqua" w:cs="Book Antiqua"/>
          <w:b/>
          <w:bCs/>
        </w:rPr>
        <w:t>Pierre G</w:t>
      </w:r>
      <w:r w:rsidRPr="00CC4376">
        <w:rPr>
          <w:rFonts w:ascii="Book Antiqua" w:eastAsia="Book Antiqua" w:hAnsi="Book Antiqua" w:cs="Book Antiqua"/>
        </w:rPr>
        <w:t xml:space="preserve">, Setchell K, Blyth J, Preece MA, Chakrapani A, McKiernan P. Prospective treatment of cerebrotendinous xanthomatosis with cholic acid therapy. </w:t>
      </w:r>
      <w:r w:rsidRPr="00CC4376">
        <w:rPr>
          <w:rFonts w:ascii="Book Antiqua" w:eastAsia="Book Antiqua" w:hAnsi="Book Antiqua" w:cs="Book Antiqua"/>
          <w:i/>
          <w:iCs/>
        </w:rPr>
        <w:t>J Inherit Metab Dis</w:t>
      </w:r>
      <w:r w:rsidRPr="00CC4376">
        <w:rPr>
          <w:rFonts w:ascii="Book Antiqua" w:eastAsia="Book Antiqua" w:hAnsi="Book Antiqua" w:cs="Book Antiqua"/>
        </w:rPr>
        <w:t xml:space="preserve"> 2008; </w:t>
      </w:r>
      <w:r w:rsidRPr="00CC4376">
        <w:rPr>
          <w:rFonts w:ascii="Book Antiqua" w:eastAsia="Book Antiqua" w:hAnsi="Book Antiqua" w:cs="Book Antiqua"/>
          <w:b/>
          <w:bCs/>
        </w:rPr>
        <w:t xml:space="preserve">31 </w:t>
      </w:r>
      <w:r w:rsidRPr="00CC4376">
        <w:rPr>
          <w:rFonts w:ascii="Book Antiqua" w:eastAsia="Book Antiqua" w:hAnsi="Book Antiqua" w:cs="Book Antiqua"/>
        </w:rPr>
        <w:t>Suppl 2: S241-S245 [PMID: 19125350 DOI: 10.1007/s10545-008-0815-z]</w:t>
      </w:r>
    </w:p>
    <w:p w14:paraId="6758C655"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36 </w:t>
      </w:r>
      <w:r w:rsidRPr="00CC4376">
        <w:rPr>
          <w:rFonts w:ascii="Book Antiqua" w:eastAsia="Book Antiqua" w:hAnsi="Book Antiqua" w:cs="Book Antiqua"/>
          <w:b/>
          <w:bCs/>
        </w:rPr>
        <w:t>Claesen JLA</w:t>
      </w:r>
      <w:r w:rsidRPr="00CC4376">
        <w:rPr>
          <w:rFonts w:ascii="Book Antiqua" w:eastAsia="Book Antiqua" w:hAnsi="Book Antiqua" w:cs="Book Antiqua"/>
        </w:rPr>
        <w:t xml:space="preserve">, Koomen E, Schene IF, Jans JJM, Mast N, Pikuleva IA, van der Ham M, de Sain-van der Velden MGM, Fuchs SA. Misdiagnosis of CTX due to propofol: The interference of total intravenous propofol anaesthesia with bile acid profiling. </w:t>
      </w:r>
      <w:r w:rsidRPr="00CC4376">
        <w:rPr>
          <w:rFonts w:ascii="Book Antiqua" w:eastAsia="Book Antiqua" w:hAnsi="Book Antiqua" w:cs="Book Antiqua"/>
          <w:i/>
          <w:iCs/>
        </w:rPr>
        <w:t>J Inherit Metab Dis</w:t>
      </w:r>
      <w:r w:rsidRPr="00CC4376">
        <w:rPr>
          <w:rFonts w:ascii="Book Antiqua" w:eastAsia="Book Antiqua" w:hAnsi="Book Antiqua" w:cs="Book Antiqua"/>
        </w:rPr>
        <w:t xml:space="preserve"> 2020; </w:t>
      </w:r>
      <w:r w:rsidRPr="00CC4376">
        <w:rPr>
          <w:rFonts w:ascii="Book Antiqua" w:eastAsia="Book Antiqua" w:hAnsi="Book Antiqua" w:cs="Book Antiqua"/>
          <w:b/>
          <w:bCs/>
        </w:rPr>
        <w:t>43</w:t>
      </w:r>
      <w:r w:rsidRPr="00CC4376">
        <w:rPr>
          <w:rFonts w:ascii="Book Antiqua" w:eastAsia="Book Antiqua" w:hAnsi="Book Antiqua" w:cs="Book Antiqua"/>
        </w:rPr>
        <w:t>: 843-851 [PMID: 31990370 DOI: 10.1002/jimd.12219]</w:t>
      </w:r>
    </w:p>
    <w:p w14:paraId="53BD871D"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37 </w:t>
      </w:r>
      <w:r w:rsidRPr="00CC4376">
        <w:rPr>
          <w:rFonts w:ascii="Book Antiqua" w:eastAsia="Book Antiqua" w:hAnsi="Book Antiqua" w:cs="Book Antiqua"/>
          <w:b/>
          <w:bCs/>
        </w:rPr>
        <w:t>Lütjohann D</w:t>
      </w:r>
      <w:r w:rsidRPr="00CC4376">
        <w:rPr>
          <w:rFonts w:ascii="Book Antiqua" w:eastAsia="Book Antiqua" w:hAnsi="Book Antiqua" w:cs="Book Antiqua"/>
        </w:rPr>
        <w:t xml:space="preserve">, Stellaard F, Björkhem I. Levels of 7alpha-hydroxycholesterol and/or 7alpha-hydroxy-4-cholest-3-one are the optimal biochemical markers for the evaluation of treatment of cerebrotendinous xanthomatosis. </w:t>
      </w:r>
      <w:r w:rsidRPr="00CC4376">
        <w:rPr>
          <w:rFonts w:ascii="Book Antiqua" w:eastAsia="Book Antiqua" w:hAnsi="Book Antiqua" w:cs="Book Antiqua"/>
          <w:i/>
          <w:iCs/>
        </w:rPr>
        <w:t>J Neurol</w:t>
      </w:r>
      <w:r w:rsidRPr="00CC4376">
        <w:rPr>
          <w:rFonts w:ascii="Book Antiqua" w:eastAsia="Book Antiqua" w:hAnsi="Book Antiqua" w:cs="Book Antiqua"/>
        </w:rPr>
        <w:t xml:space="preserve"> 2020; </w:t>
      </w:r>
      <w:r w:rsidRPr="00CC4376">
        <w:rPr>
          <w:rFonts w:ascii="Book Antiqua" w:eastAsia="Book Antiqua" w:hAnsi="Book Antiqua" w:cs="Book Antiqua"/>
          <w:b/>
          <w:bCs/>
        </w:rPr>
        <w:t>267</w:t>
      </w:r>
      <w:r w:rsidRPr="00CC4376">
        <w:rPr>
          <w:rFonts w:ascii="Book Antiqua" w:eastAsia="Book Antiqua" w:hAnsi="Book Antiqua" w:cs="Book Antiqua"/>
        </w:rPr>
        <w:t>: 572-573 [PMID: 31781930 DOI: 10.1007/s00415-019-09650-0]</w:t>
      </w:r>
    </w:p>
    <w:p w14:paraId="28F55461"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38 </w:t>
      </w:r>
      <w:r w:rsidRPr="00CC4376">
        <w:rPr>
          <w:rFonts w:ascii="Book Antiqua" w:eastAsia="Book Antiqua" w:hAnsi="Book Antiqua" w:cs="Book Antiqua"/>
          <w:b/>
          <w:bCs/>
        </w:rPr>
        <w:t>Mignarri A</w:t>
      </w:r>
      <w:r w:rsidRPr="00CC4376">
        <w:rPr>
          <w:rFonts w:ascii="Book Antiqua" w:eastAsia="Book Antiqua" w:hAnsi="Book Antiqua" w:cs="Book Antiqua"/>
        </w:rPr>
        <w:t xml:space="preserve">, Dotti MT, Federico A, De Stefano N, Battaglini M, Grazzini I, Galluzzi P, Monti L. The spectrum of magnetic resonance findings in cerebrotendinous xanthomatosis: redefinition and evidence of new markers of disease progression. </w:t>
      </w:r>
      <w:r w:rsidRPr="00CC4376">
        <w:rPr>
          <w:rFonts w:ascii="Book Antiqua" w:eastAsia="Book Antiqua" w:hAnsi="Book Antiqua" w:cs="Book Antiqua"/>
          <w:i/>
          <w:iCs/>
        </w:rPr>
        <w:t>J Neurol</w:t>
      </w:r>
      <w:r w:rsidRPr="00CC4376">
        <w:rPr>
          <w:rFonts w:ascii="Book Antiqua" w:eastAsia="Book Antiqua" w:hAnsi="Book Antiqua" w:cs="Book Antiqua"/>
        </w:rPr>
        <w:t xml:space="preserve"> 2017; </w:t>
      </w:r>
      <w:r w:rsidRPr="00CC4376">
        <w:rPr>
          <w:rFonts w:ascii="Book Antiqua" w:eastAsia="Book Antiqua" w:hAnsi="Book Antiqua" w:cs="Book Antiqua"/>
          <w:b/>
          <w:bCs/>
        </w:rPr>
        <w:t>264</w:t>
      </w:r>
      <w:r w:rsidRPr="00CC4376">
        <w:rPr>
          <w:rFonts w:ascii="Book Antiqua" w:eastAsia="Book Antiqua" w:hAnsi="Book Antiqua" w:cs="Book Antiqua"/>
        </w:rPr>
        <w:t>: 862-874 [PMID: 28324197 DOI: 10.1007/s00415-017-8440-0]</w:t>
      </w:r>
    </w:p>
    <w:p w14:paraId="66B2D5D7"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39 </w:t>
      </w:r>
      <w:r w:rsidRPr="00CC4376">
        <w:rPr>
          <w:rFonts w:ascii="Book Antiqua" w:eastAsia="Book Antiqua" w:hAnsi="Book Antiqua" w:cs="Book Antiqua"/>
          <w:b/>
          <w:bCs/>
        </w:rPr>
        <w:t>Barkhof F</w:t>
      </w:r>
      <w:r w:rsidRPr="00CC4376">
        <w:rPr>
          <w:rFonts w:ascii="Book Antiqua" w:eastAsia="Book Antiqua" w:hAnsi="Book Antiqua" w:cs="Book Antiqua"/>
        </w:rPr>
        <w:t xml:space="preserve">, Verrips A, Wesseling P, van Der Knaap MS, van Engelen BG, Gabreëls FJ, Keyser A, Wevers RA, Valk J. Cerebrotendinous xanthomatosis: the spectrum of imaging findings and the correlation with neuropathologic findings. </w:t>
      </w:r>
      <w:r w:rsidRPr="00CC4376">
        <w:rPr>
          <w:rFonts w:ascii="Book Antiqua" w:eastAsia="Book Antiqua" w:hAnsi="Book Antiqua" w:cs="Book Antiqua"/>
          <w:i/>
          <w:iCs/>
        </w:rPr>
        <w:t>Radiology</w:t>
      </w:r>
      <w:r w:rsidRPr="00CC4376">
        <w:rPr>
          <w:rFonts w:ascii="Book Antiqua" w:eastAsia="Book Antiqua" w:hAnsi="Book Antiqua" w:cs="Book Antiqua"/>
        </w:rPr>
        <w:t xml:space="preserve"> 2000; </w:t>
      </w:r>
      <w:r w:rsidRPr="00CC4376">
        <w:rPr>
          <w:rFonts w:ascii="Book Antiqua" w:eastAsia="Book Antiqua" w:hAnsi="Book Antiqua" w:cs="Book Antiqua"/>
          <w:b/>
          <w:bCs/>
        </w:rPr>
        <w:t>217</w:t>
      </w:r>
      <w:r w:rsidRPr="00CC4376">
        <w:rPr>
          <w:rFonts w:ascii="Book Antiqua" w:eastAsia="Book Antiqua" w:hAnsi="Book Antiqua" w:cs="Book Antiqua"/>
        </w:rPr>
        <w:t>: 869-876 [PMID: 11110956 DOI: 10.1148/radiology.217.3.r00dc03869]</w:t>
      </w:r>
    </w:p>
    <w:p w14:paraId="75C299AE"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40 </w:t>
      </w:r>
      <w:r w:rsidRPr="00CC4376">
        <w:rPr>
          <w:rFonts w:ascii="Book Antiqua" w:eastAsia="Book Antiqua" w:hAnsi="Book Antiqua" w:cs="Book Antiqua"/>
          <w:b/>
          <w:bCs/>
        </w:rPr>
        <w:t>De Stefano N</w:t>
      </w:r>
      <w:r w:rsidRPr="00CC4376">
        <w:rPr>
          <w:rFonts w:ascii="Book Antiqua" w:eastAsia="Book Antiqua" w:hAnsi="Book Antiqua" w:cs="Book Antiqua"/>
        </w:rPr>
        <w:t xml:space="preserve">, Dotti MT, Mortilla M, Federico A. Magnetic resonance imaging and spectroscopic changes in brains of patients with cerebrotendinous xanthomatosis. </w:t>
      </w:r>
      <w:r w:rsidRPr="00CC4376">
        <w:rPr>
          <w:rFonts w:ascii="Book Antiqua" w:eastAsia="Book Antiqua" w:hAnsi="Book Antiqua" w:cs="Book Antiqua"/>
          <w:i/>
          <w:iCs/>
        </w:rPr>
        <w:t>Brain</w:t>
      </w:r>
      <w:r w:rsidRPr="00CC4376">
        <w:rPr>
          <w:rFonts w:ascii="Book Antiqua" w:eastAsia="Book Antiqua" w:hAnsi="Book Antiqua" w:cs="Book Antiqua"/>
        </w:rPr>
        <w:t xml:space="preserve"> 2001; </w:t>
      </w:r>
      <w:r w:rsidRPr="00CC4376">
        <w:rPr>
          <w:rFonts w:ascii="Book Antiqua" w:eastAsia="Book Antiqua" w:hAnsi="Book Antiqua" w:cs="Book Antiqua"/>
          <w:b/>
          <w:bCs/>
        </w:rPr>
        <w:t>124</w:t>
      </w:r>
      <w:r w:rsidRPr="00CC4376">
        <w:rPr>
          <w:rFonts w:ascii="Book Antiqua" w:eastAsia="Book Antiqua" w:hAnsi="Book Antiqua" w:cs="Book Antiqua"/>
        </w:rPr>
        <w:t>: 121-131 [PMID: 11133792 DOI: 10.1093/brain/124.1.121]</w:t>
      </w:r>
    </w:p>
    <w:p w14:paraId="458E9CB9"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41 </w:t>
      </w:r>
      <w:r w:rsidRPr="00CC4376">
        <w:rPr>
          <w:rFonts w:ascii="Book Antiqua" w:eastAsia="Book Antiqua" w:hAnsi="Book Antiqua" w:cs="Book Antiqua"/>
          <w:b/>
          <w:bCs/>
        </w:rPr>
        <w:t>Rosini F</w:t>
      </w:r>
      <w:r w:rsidRPr="00CC4376">
        <w:rPr>
          <w:rFonts w:ascii="Book Antiqua" w:eastAsia="Book Antiqua" w:hAnsi="Book Antiqua" w:cs="Book Antiqua"/>
        </w:rPr>
        <w:t xml:space="preserve">, Pretegiani E, Mignarri A, Optican LM, Serchi V, De Stefano N, Battaglini M, Monti L, Dotti MT, Federico A, Rufa A. The role of dentate nuclei in human oculomotor control: insights from cerebrotendinous xanthomatosis. </w:t>
      </w:r>
      <w:r w:rsidRPr="00CC4376">
        <w:rPr>
          <w:rFonts w:ascii="Book Antiqua" w:eastAsia="Book Antiqua" w:hAnsi="Book Antiqua" w:cs="Book Antiqua"/>
          <w:i/>
          <w:iCs/>
        </w:rPr>
        <w:t>J Physiol</w:t>
      </w:r>
      <w:r w:rsidRPr="00CC4376">
        <w:rPr>
          <w:rFonts w:ascii="Book Antiqua" w:eastAsia="Book Antiqua" w:hAnsi="Book Antiqua" w:cs="Book Antiqua"/>
        </w:rPr>
        <w:t xml:space="preserve"> 2017; </w:t>
      </w:r>
      <w:r w:rsidRPr="00CC4376">
        <w:rPr>
          <w:rFonts w:ascii="Book Antiqua" w:eastAsia="Book Antiqua" w:hAnsi="Book Antiqua" w:cs="Book Antiqua"/>
          <w:b/>
          <w:bCs/>
        </w:rPr>
        <w:t>595</w:t>
      </w:r>
      <w:r w:rsidRPr="00CC4376">
        <w:rPr>
          <w:rFonts w:ascii="Book Antiqua" w:eastAsia="Book Antiqua" w:hAnsi="Book Antiqua" w:cs="Book Antiqua"/>
        </w:rPr>
        <w:t>: 3607-3620 [PMID: 28168705 DOI: 10.1113/JP273670]</w:t>
      </w:r>
    </w:p>
    <w:p w14:paraId="0B1F506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42 </w:t>
      </w:r>
      <w:r w:rsidRPr="00CC4376">
        <w:rPr>
          <w:rFonts w:ascii="Book Antiqua" w:eastAsia="Book Antiqua" w:hAnsi="Book Antiqua" w:cs="Book Antiqua"/>
          <w:b/>
          <w:bCs/>
        </w:rPr>
        <w:t>Mignarri A</w:t>
      </w:r>
      <w:r w:rsidRPr="00CC4376">
        <w:rPr>
          <w:rFonts w:ascii="Book Antiqua" w:eastAsia="Book Antiqua" w:hAnsi="Book Antiqua" w:cs="Book Antiqua"/>
        </w:rPr>
        <w:t xml:space="preserve">, Dotti MT, Del Puppo M, Gallus GN, Giorgio A, Cerase A, Monti L. Cerebrotendinous xanthomatosis with progressive cerebellar vacuolation : six-year MRI follow-up. </w:t>
      </w:r>
      <w:r w:rsidRPr="00CC4376">
        <w:rPr>
          <w:rFonts w:ascii="Book Antiqua" w:eastAsia="Book Antiqua" w:hAnsi="Book Antiqua" w:cs="Book Antiqua"/>
          <w:i/>
          <w:iCs/>
        </w:rPr>
        <w:t>Neuroradiology</w:t>
      </w:r>
      <w:r w:rsidRPr="00CC4376">
        <w:rPr>
          <w:rFonts w:ascii="Book Antiqua" w:eastAsia="Book Antiqua" w:hAnsi="Book Antiqua" w:cs="Book Antiqua"/>
        </w:rPr>
        <w:t xml:space="preserve"> 2012; </w:t>
      </w:r>
      <w:r w:rsidRPr="00CC4376">
        <w:rPr>
          <w:rFonts w:ascii="Book Antiqua" w:eastAsia="Book Antiqua" w:hAnsi="Book Antiqua" w:cs="Book Antiqua"/>
          <w:b/>
          <w:bCs/>
        </w:rPr>
        <w:t>54</w:t>
      </w:r>
      <w:r w:rsidRPr="00CC4376">
        <w:rPr>
          <w:rFonts w:ascii="Book Antiqua" w:eastAsia="Book Antiqua" w:hAnsi="Book Antiqua" w:cs="Book Antiqua"/>
        </w:rPr>
        <w:t>: 649-651 [PMID: 22415344 DOI: 10.1007/s00234-012-1026-8]</w:t>
      </w:r>
    </w:p>
    <w:p w14:paraId="4B5D6307"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43 </w:t>
      </w:r>
      <w:r w:rsidRPr="00CC4376">
        <w:rPr>
          <w:rFonts w:ascii="Book Antiqua" w:eastAsia="Book Antiqua" w:hAnsi="Book Antiqua" w:cs="Book Antiqua"/>
          <w:b/>
          <w:bCs/>
        </w:rPr>
        <w:t>Inoue K</w:t>
      </w:r>
      <w:r w:rsidRPr="00CC4376">
        <w:rPr>
          <w:rFonts w:ascii="Book Antiqua" w:eastAsia="Book Antiqua" w:hAnsi="Book Antiqua" w:cs="Book Antiqua"/>
        </w:rPr>
        <w:t xml:space="preserve">, Kubota S, Seyama Y. Cholestanol induces apoptosis of cerebellar neuronal cells. </w:t>
      </w:r>
      <w:r w:rsidRPr="00CC4376">
        <w:rPr>
          <w:rFonts w:ascii="Book Antiqua" w:eastAsia="Book Antiqua" w:hAnsi="Book Antiqua" w:cs="Book Antiqua"/>
          <w:i/>
          <w:iCs/>
        </w:rPr>
        <w:t>Biochem Biophys Res Commun</w:t>
      </w:r>
      <w:r w:rsidRPr="00CC4376">
        <w:rPr>
          <w:rFonts w:ascii="Book Antiqua" w:eastAsia="Book Antiqua" w:hAnsi="Book Antiqua" w:cs="Book Antiqua"/>
        </w:rPr>
        <w:t xml:space="preserve"> 1999; </w:t>
      </w:r>
      <w:r w:rsidRPr="00CC4376">
        <w:rPr>
          <w:rFonts w:ascii="Book Antiqua" w:eastAsia="Book Antiqua" w:hAnsi="Book Antiqua" w:cs="Book Antiqua"/>
          <w:b/>
          <w:bCs/>
        </w:rPr>
        <w:t>256</w:t>
      </w:r>
      <w:r w:rsidRPr="00CC4376">
        <w:rPr>
          <w:rFonts w:ascii="Book Antiqua" w:eastAsia="Book Antiqua" w:hAnsi="Book Antiqua" w:cs="Book Antiqua"/>
        </w:rPr>
        <w:t>: 198-203 [PMID: 10066446 DOI: 10.1006/bbrc.1998.9497]</w:t>
      </w:r>
    </w:p>
    <w:p w14:paraId="58ACDFEE"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44 </w:t>
      </w:r>
      <w:r w:rsidRPr="00CC4376">
        <w:rPr>
          <w:rFonts w:ascii="Book Antiqua" w:eastAsia="Book Antiqua" w:hAnsi="Book Antiqua" w:cs="Book Antiqua"/>
          <w:b/>
          <w:bCs/>
        </w:rPr>
        <w:t>Androdias G</w:t>
      </w:r>
      <w:r w:rsidRPr="00CC4376">
        <w:rPr>
          <w:rFonts w:ascii="Book Antiqua" w:eastAsia="Book Antiqua" w:hAnsi="Book Antiqua" w:cs="Book Antiqua"/>
        </w:rPr>
        <w:t xml:space="preserve">, Vukusic S, Gignoux L, Boespflug-Tanguy O, Acquaviva C, Zabot MT, Couvert P, Carrie A, Confavreux C, Labauge P. Leukodystrophy with a cerebellar cystic aspect and intracranial atherosclerosis: an atypical presentation of cerebrotendinous xanthomatosis. </w:t>
      </w:r>
      <w:r w:rsidRPr="00CC4376">
        <w:rPr>
          <w:rFonts w:ascii="Book Antiqua" w:eastAsia="Book Antiqua" w:hAnsi="Book Antiqua" w:cs="Book Antiqua"/>
          <w:i/>
          <w:iCs/>
        </w:rPr>
        <w:t>J Neurol</w:t>
      </w:r>
      <w:r w:rsidRPr="00CC4376">
        <w:rPr>
          <w:rFonts w:ascii="Book Antiqua" w:eastAsia="Book Antiqua" w:hAnsi="Book Antiqua" w:cs="Book Antiqua"/>
        </w:rPr>
        <w:t xml:space="preserve"> 2012; </w:t>
      </w:r>
      <w:r w:rsidRPr="00CC4376">
        <w:rPr>
          <w:rFonts w:ascii="Book Antiqua" w:eastAsia="Book Antiqua" w:hAnsi="Book Antiqua" w:cs="Book Antiqua"/>
          <w:b/>
          <w:bCs/>
        </w:rPr>
        <w:t>259</w:t>
      </w:r>
      <w:r w:rsidRPr="00CC4376">
        <w:rPr>
          <w:rFonts w:ascii="Book Antiqua" w:eastAsia="Book Antiqua" w:hAnsi="Book Antiqua" w:cs="Book Antiqua"/>
        </w:rPr>
        <w:t>: 364-366 [PMID: 21769531 DOI: 10.1007/s00415-011-6167-x]</w:t>
      </w:r>
    </w:p>
    <w:p w14:paraId="7B1785D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45 </w:t>
      </w:r>
      <w:r w:rsidRPr="00CC4376">
        <w:rPr>
          <w:rFonts w:ascii="Book Antiqua" w:eastAsia="Book Antiqua" w:hAnsi="Book Antiqua" w:cs="Book Antiqua"/>
          <w:b/>
          <w:bCs/>
        </w:rPr>
        <w:t>Brienza M</w:t>
      </w:r>
      <w:r w:rsidRPr="00CC4376">
        <w:rPr>
          <w:rFonts w:ascii="Book Antiqua" w:eastAsia="Book Antiqua" w:hAnsi="Book Antiqua" w:cs="Book Antiqua"/>
        </w:rPr>
        <w:t xml:space="preserve">, Fiermonte G, Cambieri C, Mignarri A, Dotti MT, Fiorelli M. Enlarging brain xanthomas in a patient with cerebrotendinous xanthomatosis. </w:t>
      </w:r>
      <w:r w:rsidRPr="00CC4376">
        <w:rPr>
          <w:rFonts w:ascii="Book Antiqua" w:eastAsia="Book Antiqua" w:hAnsi="Book Antiqua" w:cs="Book Antiqua"/>
          <w:i/>
          <w:iCs/>
        </w:rPr>
        <w:t>J Inherit Metab Dis</w:t>
      </w:r>
      <w:r w:rsidRPr="00CC4376">
        <w:rPr>
          <w:rFonts w:ascii="Book Antiqua" w:eastAsia="Book Antiqua" w:hAnsi="Book Antiqua" w:cs="Book Antiqua"/>
        </w:rPr>
        <w:t xml:space="preserve"> 2015; </w:t>
      </w:r>
      <w:r w:rsidRPr="00CC4376">
        <w:rPr>
          <w:rFonts w:ascii="Book Antiqua" w:eastAsia="Book Antiqua" w:hAnsi="Book Antiqua" w:cs="Book Antiqua"/>
          <w:b/>
          <w:bCs/>
        </w:rPr>
        <w:t>38</w:t>
      </w:r>
      <w:r w:rsidRPr="00CC4376">
        <w:rPr>
          <w:rFonts w:ascii="Book Antiqua" w:eastAsia="Book Antiqua" w:hAnsi="Book Antiqua" w:cs="Book Antiqua"/>
        </w:rPr>
        <w:t>: 981-982 [PMID: 25567502 DOI: 10.1007/s10545-014-9805-5]</w:t>
      </w:r>
    </w:p>
    <w:p w14:paraId="5077C91A"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46 </w:t>
      </w:r>
      <w:r w:rsidRPr="00CC4376">
        <w:rPr>
          <w:rFonts w:ascii="Book Antiqua" w:eastAsia="Book Antiqua" w:hAnsi="Book Antiqua" w:cs="Book Antiqua"/>
          <w:b/>
          <w:bCs/>
        </w:rPr>
        <w:t>Smithard A</w:t>
      </w:r>
      <w:r w:rsidRPr="00CC4376">
        <w:rPr>
          <w:rFonts w:ascii="Book Antiqua" w:eastAsia="Book Antiqua" w:hAnsi="Book Antiqua" w:cs="Book Antiqua"/>
        </w:rPr>
        <w:t xml:space="preserve">, Lamyman MJ, McCarthy CL, Gibbons CL, Cooke PJ, Athanasou N. Cerebrotendinous xanthomatosis presenting with bilateral Achilles tendon xanthomata. </w:t>
      </w:r>
      <w:r w:rsidRPr="00CC4376">
        <w:rPr>
          <w:rFonts w:ascii="Book Antiqua" w:eastAsia="Book Antiqua" w:hAnsi="Book Antiqua" w:cs="Book Antiqua"/>
          <w:i/>
          <w:iCs/>
        </w:rPr>
        <w:t>Skeletal Radiol</w:t>
      </w:r>
      <w:r w:rsidRPr="00CC4376">
        <w:rPr>
          <w:rFonts w:ascii="Book Antiqua" w:eastAsia="Book Antiqua" w:hAnsi="Book Antiqua" w:cs="Book Antiqua"/>
        </w:rPr>
        <w:t xml:space="preserve"> 2007; </w:t>
      </w:r>
      <w:r w:rsidRPr="00CC4376">
        <w:rPr>
          <w:rFonts w:ascii="Book Antiqua" w:eastAsia="Book Antiqua" w:hAnsi="Book Antiqua" w:cs="Book Antiqua"/>
          <w:b/>
          <w:bCs/>
        </w:rPr>
        <w:t>36</w:t>
      </w:r>
      <w:r w:rsidRPr="00CC4376">
        <w:rPr>
          <w:rFonts w:ascii="Book Antiqua" w:eastAsia="Book Antiqua" w:hAnsi="Book Antiqua" w:cs="Book Antiqua"/>
        </w:rPr>
        <w:t>: 171-175 [PMID: 16715243 DOI: 10.1007/s00256-006-0139-8]</w:t>
      </w:r>
    </w:p>
    <w:p w14:paraId="1E6AC57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47 </w:t>
      </w:r>
      <w:r w:rsidRPr="00CC4376">
        <w:rPr>
          <w:rFonts w:ascii="Book Antiqua" w:eastAsia="Book Antiqua" w:hAnsi="Book Antiqua" w:cs="Book Antiqua"/>
          <w:b/>
          <w:bCs/>
        </w:rPr>
        <w:t>Pudhiavan A</w:t>
      </w:r>
      <w:r w:rsidRPr="00CC4376">
        <w:rPr>
          <w:rFonts w:ascii="Book Antiqua" w:eastAsia="Book Antiqua" w:hAnsi="Book Antiqua" w:cs="Book Antiqua"/>
        </w:rPr>
        <w:t xml:space="preserve">, Agrawal A, Chaudhari S, Shukla A. Cerebrotendinous xanthomatosis--the spectrum of imaging findings. </w:t>
      </w:r>
      <w:r w:rsidRPr="00CC4376">
        <w:rPr>
          <w:rFonts w:ascii="Book Antiqua" w:eastAsia="Book Antiqua" w:hAnsi="Book Antiqua" w:cs="Book Antiqua"/>
          <w:i/>
          <w:iCs/>
        </w:rPr>
        <w:t>J Radiol Case Rep</w:t>
      </w:r>
      <w:r w:rsidRPr="00CC4376">
        <w:rPr>
          <w:rFonts w:ascii="Book Antiqua" w:eastAsia="Book Antiqua" w:hAnsi="Book Antiqua" w:cs="Book Antiqua"/>
        </w:rPr>
        <w:t xml:space="preserve"> 2013; </w:t>
      </w:r>
      <w:r w:rsidRPr="00CC4376">
        <w:rPr>
          <w:rFonts w:ascii="Book Antiqua" w:eastAsia="Book Antiqua" w:hAnsi="Book Antiqua" w:cs="Book Antiqua"/>
          <w:b/>
          <w:bCs/>
        </w:rPr>
        <w:t>7</w:t>
      </w:r>
      <w:r w:rsidRPr="00CC4376">
        <w:rPr>
          <w:rFonts w:ascii="Book Antiqua" w:eastAsia="Book Antiqua" w:hAnsi="Book Antiqua" w:cs="Book Antiqua"/>
        </w:rPr>
        <w:t>: 1-9 [PMID: 23705046 DOI: 10.3941/jrcr.v7i4.1338]</w:t>
      </w:r>
    </w:p>
    <w:p w14:paraId="0126F420"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48 </w:t>
      </w:r>
      <w:r w:rsidRPr="00CC4376">
        <w:rPr>
          <w:rFonts w:ascii="Book Antiqua" w:eastAsia="Book Antiqua" w:hAnsi="Book Antiqua" w:cs="Book Antiqua"/>
          <w:b/>
          <w:bCs/>
        </w:rPr>
        <w:t>Abate M</w:t>
      </w:r>
      <w:r w:rsidRPr="00CC4376">
        <w:rPr>
          <w:rFonts w:ascii="Book Antiqua" w:eastAsia="Book Antiqua" w:hAnsi="Book Antiqua" w:cs="Book Antiqua"/>
        </w:rPr>
        <w:t xml:space="preserve">, Schiavone C, Salini V, Andia I. Occurrence of tendon pathologies in metabolic disorders. </w:t>
      </w:r>
      <w:r w:rsidRPr="00CC4376">
        <w:rPr>
          <w:rFonts w:ascii="Book Antiqua" w:eastAsia="Book Antiqua" w:hAnsi="Book Antiqua" w:cs="Book Antiqua"/>
          <w:i/>
          <w:iCs/>
        </w:rPr>
        <w:t>Rheumatology (Oxford)</w:t>
      </w:r>
      <w:r w:rsidRPr="00CC4376">
        <w:rPr>
          <w:rFonts w:ascii="Book Antiqua" w:eastAsia="Book Antiqua" w:hAnsi="Book Antiqua" w:cs="Book Antiqua"/>
        </w:rPr>
        <w:t xml:space="preserve"> 2013; </w:t>
      </w:r>
      <w:r w:rsidRPr="00CC4376">
        <w:rPr>
          <w:rFonts w:ascii="Book Antiqua" w:eastAsia="Book Antiqua" w:hAnsi="Book Antiqua" w:cs="Book Antiqua"/>
          <w:b/>
          <w:bCs/>
        </w:rPr>
        <w:t>52</w:t>
      </w:r>
      <w:r w:rsidRPr="00CC4376">
        <w:rPr>
          <w:rFonts w:ascii="Book Antiqua" w:eastAsia="Book Antiqua" w:hAnsi="Book Antiqua" w:cs="Book Antiqua"/>
        </w:rPr>
        <w:t>: 599-608 [PMID: 23315787 DOI: 10.1093/rheumatology/kes395]</w:t>
      </w:r>
    </w:p>
    <w:p w14:paraId="4E702D71"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49 </w:t>
      </w:r>
      <w:r w:rsidRPr="00CC4376">
        <w:rPr>
          <w:rFonts w:ascii="Book Antiqua" w:eastAsia="Book Antiqua" w:hAnsi="Book Antiqua" w:cs="Book Antiqua"/>
          <w:b/>
          <w:bCs/>
        </w:rPr>
        <w:t>Griffith JF</w:t>
      </w:r>
      <w:r w:rsidRPr="00CC4376">
        <w:rPr>
          <w:rFonts w:ascii="Book Antiqua" w:eastAsia="Book Antiqua" w:hAnsi="Book Antiqua" w:cs="Book Antiqua"/>
        </w:rPr>
        <w:t xml:space="preserve">, Hu M, Yeung DKW, Guo P, Lam SL, Xiao F, Wang D, Tomlinson B. Achilles Tendon Xanthomas: Fat-Water Separation at Baseline and after Treatment. </w:t>
      </w:r>
      <w:r w:rsidRPr="00CC4376">
        <w:rPr>
          <w:rFonts w:ascii="Book Antiqua" w:eastAsia="Book Antiqua" w:hAnsi="Book Antiqua" w:cs="Book Antiqua"/>
          <w:i/>
          <w:iCs/>
        </w:rPr>
        <w:t>Radiology</w:t>
      </w:r>
      <w:r w:rsidRPr="00CC4376">
        <w:rPr>
          <w:rFonts w:ascii="Book Antiqua" w:eastAsia="Book Antiqua" w:hAnsi="Book Antiqua" w:cs="Book Antiqua"/>
        </w:rPr>
        <w:t xml:space="preserve"> 2017; </w:t>
      </w:r>
      <w:r w:rsidRPr="00CC4376">
        <w:rPr>
          <w:rFonts w:ascii="Book Antiqua" w:eastAsia="Book Antiqua" w:hAnsi="Book Antiqua" w:cs="Book Antiqua"/>
          <w:b/>
          <w:bCs/>
        </w:rPr>
        <w:t>285</w:t>
      </w:r>
      <w:r w:rsidRPr="00CC4376">
        <w:rPr>
          <w:rFonts w:ascii="Book Antiqua" w:eastAsia="Book Antiqua" w:hAnsi="Book Antiqua" w:cs="Book Antiqua"/>
        </w:rPr>
        <w:t>: 876-884 [PMID: 28825891 DOI: 10.1148/radiol.2017161435]</w:t>
      </w:r>
    </w:p>
    <w:p w14:paraId="408C1C46"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50 </w:t>
      </w:r>
      <w:r w:rsidRPr="00CC4376">
        <w:rPr>
          <w:rFonts w:ascii="Book Antiqua" w:eastAsia="Book Antiqua" w:hAnsi="Book Antiqua" w:cs="Book Antiqua"/>
          <w:b/>
          <w:bCs/>
        </w:rPr>
        <w:t>Otake S</w:t>
      </w:r>
      <w:r w:rsidRPr="00CC4376">
        <w:rPr>
          <w:rFonts w:ascii="Book Antiqua" w:eastAsia="Book Antiqua" w:hAnsi="Book Antiqua" w:cs="Book Antiqua"/>
        </w:rPr>
        <w:t xml:space="preserve">, Imagumbai N, Tajima A, Ohba S. Unusual high signal intensity on MR images in a patient with multiple tendinous xanthomas. </w:t>
      </w:r>
      <w:r w:rsidRPr="00CC4376">
        <w:rPr>
          <w:rFonts w:ascii="Book Antiqua" w:eastAsia="Book Antiqua" w:hAnsi="Book Antiqua" w:cs="Book Antiqua"/>
          <w:i/>
          <w:iCs/>
        </w:rPr>
        <w:t>Eur Radiol</w:t>
      </w:r>
      <w:r w:rsidRPr="00CC4376">
        <w:rPr>
          <w:rFonts w:ascii="Book Antiqua" w:eastAsia="Book Antiqua" w:hAnsi="Book Antiqua" w:cs="Book Antiqua"/>
        </w:rPr>
        <w:t xml:space="preserve"> 1997; </w:t>
      </w:r>
      <w:r w:rsidRPr="00CC4376">
        <w:rPr>
          <w:rFonts w:ascii="Book Antiqua" w:eastAsia="Book Antiqua" w:hAnsi="Book Antiqua" w:cs="Book Antiqua"/>
          <w:b/>
          <w:bCs/>
        </w:rPr>
        <w:t>7</w:t>
      </w:r>
      <w:r w:rsidRPr="00CC4376">
        <w:rPr>
          <w:rFonts w:ascii="Book Antiqua" w:eastAsia="Book Antiqua" w:hAnsi="Book Antiqua" w:cs="Book Antiqua"/>
        </w:rPr>
        <w:t>: 1025-1027 [PMID: 9265667 DOI: 10.1007/s003300050245]</w:t>
      </w:r>
    </w:p>
    <w:p w14:paraId="5A256EAA"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51 </w:t>
      </w:r>
      <w:r w:rsidRPr="00CC4376">
        <w:rPr>
          <w:rFonts w:ascii="Book Antiqua" w:eastAsia="Book Antiqua" w:hAnsi="Book Antiqua" w:cs="Book Antiqua"/>
          <w:b/>
          <w:bCs/>
        </w:rPr>
        <w:t>Liem MS</w:t>
      </w:r>
      <w:r w:rsidRPr="00CC4376">
        <w:rPr>
          <w:rFonts w:ascii="Book Antiqua" w:eastAsia="Book Antiqua" w:hAnsi="Book Antiqua" w:cs="Book Antiqua"/>
        </w:rPr>
        <w:t xml:space="preserve">, Leuven JA, Bloem JL, Schipper J. Magnetic resonance imaging of Achilles tendon xanthomas in familial hypercholesterolemia. </w:t>
      </w:r>
      <w:r w:rsidRPr="00CC4376">
        <w:rPr>
          <w:rFonts w:ascii="Book Antiqua" w:eastAsia="Book Antiqua" w:hAnsi="Book Antiqua" w:cs="Book Antiqua"/>
          <w:i/>
          <w:iCs/>
        </w:rPr>
        <w:t>Skeletal Radiol</w:t>
      </w:r>
      <w:r w:rsidRPr="00CC4376">
        <w:rPr>
          <w:rFonts w:ascii="Book Antiqua" w:eastAsia="Book Antiqua" w:hAnsi="Book Antiqua" w:cs="Book Antiqua"/>
        </w:rPr>
        <w:t xml:space="preserve"> 1992; </w:t>
      </w:r>
      <w:r w:rsidRPr="00CC4376">
        <w:rPr>
          <w:rFonts w:ascii="Book Antiqua" w:eastAsia="Book Antiqua" w:hAnsi="Book Antiqua" w:cs="Book Antiqua"/>
          <w:b/>
          <w:bCs/>
        </w:rPr>
        <w:t>21</w:t>
      </w:r>
      <w:r w:rsidRPr="00CC4376">
        <w:rPr>
          <w:rFonts w:ascii="Book Antiqua" w:eastAsia="Book Antiqua" w:hAnsi="Book Antiqua" w:cs="Book Antiqua"/>
        </w:rPr>
        <w:t>: 453-457 [PMID: 1439898 DOI: 10.1007/BF00190990]</w:t>
      </w:r>
    </w:p>
    <w:p w14:paraId="6913434D"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52 </w:t>
      </w:r>
      <w:r w:rsidRPr="00CC4376">
        <w:rPr>
          <w:rFonts w:ascii="Book Antiqua" w:eastAsia="Book Antiqua" w:hAnsi="Book Antiqua" w:cs="Book Antiqua"/>
          <w:b/>
          <w:bCs/>
        </w:rPr>
        <w:t>Bude RO</w:t>
      </w:r>
      <w:r w:rsidRPr="00CC4376">
        <w:rPr>
          <w:rFonts w:ascii="Book Antiqua" w:eastAsia="Book Antiqua" w:hAnsi="Book Antiqua" w:cs="Book Antiqua"/>
        </w:rPr>
        <w:t xml:space="preserve">, Adler RS, Bassett DR. Diagnosis of Achilles tendon xanthoma in patients with heterozygous familial hypercholesterolemia: MR </w:t>
      </w:r>
      <w:r w:rsidRPr="00CC4376">
        <w:rPr>
          <w:rFonts w:ascii="Book Antiqua" w:eastAsia="Book Antiqua" w:hAnsi="Book Antiqua" w:cs="Book Antiqua"/>
          <w:i/>
          <w:iCs/>
        </w:rPr>
        <w:t>vs</w:t>
      </w:r>
      <w:r w:rsidRPr="00CC4376">
        <w:rPr>
          <w:rFonts w:ascii="Book Antiqua" w:eastAsia="Book Antiqua" w:hAnsi="Book Antiqua" w:cs="Book Antiqua"/>
        </w:rPr>
        <w:t xml:space="preserve"> sonography. </w:t>
      </w:r>
      <w:r w:rsidRPr="00CC4376">
        <w:rPr>
          <w:rFonts w:ascii="Book Antiqua" w:eastAsia="Book Antiqua" w:hAnsi="Book Antiqua" w:cs="Book Antiqua"/>
          <w:i/>
          <w:iCs/>
        </w:rPr>
        <w:t>AJR Am J Roentgenol</w:t>
      </w:r>
      <w:r w:rsidRPr="00CC4376">
        <w:rPr>
          <w:rFonts w:ascii="Book Antiqua" w:eastAsia="Book Antiqua" w:hAnsi="Book Antiqua" w:cs="Book Antiqua"/>
        </w:rPr>
        <w:t xml:space="preserve"> 1994; </w:t>
      </w:r>
      <w:r w:rsidRPr="00CC4376">
        <w:rPr>
          <w:rFonts w:ascii="Book Antiqua" w:eastAsia="Book Antiqua" w:hAnsi="Book Antiqua" w:cs="Book Antiqua"/>
          <w:b/>
          <w:bCs/>
        </w:rPr>
        <w:t>162</w:t>
      </w:r>
      <w:r w:rsidRPr="00CC4376">
        <w:rPr>
          <w:rFonts w:ascii="Book Antiqua" w:eastAsia="Book Antiqua" w:hAnsi="Book Antiqua" w:cs="Book Antiqua"/>
        </w:rPr>
        <w:t>: 913-917 [PMID: 8141017 DOI: 10.2214/ajr.162.4.8141017]</w:t>
      </w:r>
    </w:p>
    <w:p w14:paraId="6D04F867" w14:textId="77777777" w:rsidR="00A77B3E" w:rsidRPr="00CC4376" w:rsidRDefault="00A77B3E" w:rsidP="00CC4376">
      <w:pPr>
        <w:snapToGrid w:val="0"/>
        <w:spacing w:line="360" w:lineRule="auto"/>
        <w:jc w:val="both"/>
        <w:sectPr w:rsidR="00A77B3E" w:rsidRPr="00CC4376">
          <w:pgSz w:w="12240" w:h="15840"/>
          <w:pgMar w:top="1440" w:right="1440" w:bottom="1440" w:left="1440" w:header="720" w:footer="720" w:gutter="0"/>
          <w:cols w:space="720"/>
          <w:docGrid w:linePitch="360"/>
        </w:sectPr>
      </w:pPr>
    </w:p>
    <w:p w14:paraId="72BA6A3F" w14:textId="77777777" w:rsidR="00A77B3E" w:rsidRPr="00CC4376" w:rsidRDefault="002D0EF9" w:rsidP="00CC4376">
      <w:pPr>
        <w:snapToGrid w:val="0"/>
        <w:spacing w:line="360" w:lineRule="auto"/>
        <w:jc w:val="both"/>
      </w:pPr>
      <w:r w:rsidRPr="00CC4376">
        <w:rPr>
          <w:rFonts w:ascii="Book Antiqua" w:eastAsia="Book Antiqua" w:hAnsi="Book Antiqua" w:cs="Book Antiqua"/>
          <w:b/>
        </w:rPr>
        <w:lastRenderedPageBreak/>
        <w:t>Footnotes</w:t>
      </w:r>
    </w:p>
    <w:p w14:paraId="748AE334" w14:textId="0270B8CC"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Informed consent statement: </w:t>
      </w:r>
      <w:r w:rsidR="009667FC" w:rsidRPr="00CC4376">
        <w:rPr>
          <w:rFonts w:ascii="Book Antiqua" w:eastAsia="Book Antiqua" w:hAnsi="Book Antiqua" w:cs="Book Antiqua"/>
        </w:rPr>
        <w:t>Informed written consent was obtained from the patient for publication of this report and any accompanying images.</w:t>
      </w:r>
    </w:p>
    <w:p w14:paraId="0F3B2686" w14:textId="77777777" w:rsidR="00A77B3E" w:rsidRPr="00CC4376" w:rsidRDefault="00A77B3E" w:rsidP="00CC4376">
      <w:pPr>
        <w:snapToGrid w:val="0"/>
        <w:spacing w:line="360" w:lineRule="auto"/>
        <w:jc w:val="both"/>
      </w:pPr>
    </w:p>
    <w:p w14:paraId="6B41940E"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Conflict-of-interest statement: </w:t>
      </w:r>
      <w:r w:rsidRPr="00CC4376">
        <w:rPr>
          <w:rFonts w:ascii="Book Antiqua" w:eastAsia="Book Antiqua" w:hAnsi="Book Antiqua" w:cs="Book Antiqua"/>
        </w:rPr>
        <w:t>The authors declare that they have no competing interests.</w:t>
      </w:r>
    </w:p>
    <w:p w14:paraId="4DD9D1D3" w14:textId="77777777" w:rsidR="00A77B3E" w:rsidRPr="00CC4376" w:rsidRDefault="00A77B3E" w:rsidP="00CC4376">
      <w:pPr>
        <w:snapToGrid w:val="0"/>
        <w:spacing w:line="360" w:lineRule="auto"/>
        <w:jc w:val="both"/>
      </w:pPr>
    </w:p>
    <w:p w14:paraId="3853657E" w14:textId="20419C4C"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CARE Checklist (2016) statement: </w:t>
      </w:r>
      <w:r w:rsidR="009667FC" w:rsidRPr="00CC4376">
        <w:rPr>
          <w:rFonts w:ascii="Book Antiqua" w:eastAsia="Book Antiqua" w:hAnsi="Book Antiqua" w:cs="Book Antiqua"/>
        </w:rPr>
        <w:t>The authors have read the CARE Checklist (2016), and the manuscript was prepared and revised according to the CARE Checklist (2016).</w:t>
      </w:r>
    </w:p>
    <w:p w14:paraId="72696471" w14:textId="77777777" w:rsidR="00A77B3E" w:rsidRPr="00CC4376" w:rsidRDefault="00A77B3E" w:rsidP="00CC4376">
      <w:pPr>
        <w:snapToGrid w:val="0"/>
        <w:spacing w:line="360" w:lineRule="auto"/>
        <w:jc w:val="both"/>
      </w:pPr>
    </w:p>
    <w:p w14:paraId="503F42CE"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Open-Access: </w:t>
      </w:r>
      <w:r w:rsidRPr="00CC437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F2A723" w14:textId="77777777" w:rsidR="00A77B3E" w:rsidRPr="00CC4376" w:rsidRDefault="00A77B3E" w:rsidP="00CC4376">
      <w:pPr>
        <w:snapToGrid w:val="0"/>
        <w:spacing w:line="360" w:lineRule="auto"/>
        <w:jc w:val="both"/>
      </w:pPr>
    </w:p>
    <w:p w14:paraId="6902BC6F" w14:textId="7E5B89B8" w:rsidR="00A77B3E" w:rsidRPr="00CC4376" w:rsidRDefault="002D0EF9" w:rsidP="00CC4376">
      <w:pPr>
        <w:snapToGrid w:val="0"/>
        <w:spacing w:line="360" w:lineRule="auto"/>
        <w:jc w:val="both"/>
      </w:pPr>
      <w:r w:rsidRPr="00CC4376">
        <w:rPr>
          <w:rFonts w:ascii="Book Antiqua" w:eastAsia="Book Antiqua" w:hAnsi="Book Antiqua" w:cs="Book Antiqua"/>
          <w:b/>
        </w:rPr>
        <w:t xml:space="preserve">Manuscript source: </w:t>
      </w:r>
      <w:r w:rsidRPr="00CC4376">
        <w:rPr>
          <w:rFonts w:ascii="Book Antiqua" w:eastAsia="Book Antiqua" w:hAnsi="Book Antiqua" w:cs="Book Antiqua"/>
        </w:rPr>
        <w:t xml:space="preserve">Unsolicited </w:t>
      </w:r>
      <w:r w:rsidR="009667FC" w:rsidRPr="00CC4376">
        <w:rPr>
          <w:rFonts w:ascii="Book Antiqua" w:eastAsia="Book Antiqua" w:hAnsi="Book Antiqua" w:cs="Book Antiqua"/>
        </w:rPr>
        <w:t>m</w:t>
      </w:r>
      <w:r w:rsidRPr="00CC4376">
        <w:rPr>
          <w:rFonts w:ascii="Book Antiqua" w:eastAsia="Book Antiqua" w:hAnsi="Book Antiqua" w:cs="Book Antiqua"/>
        </w:rPr>
        <w:t>anuscript</w:t>
      </w:r>
    </w:p>
    <w:p w14:paraId="2903DC8C" w14:textId="77777777" w:rsidR="00A77B3E" w:rsidRPr="00CC4376" w:rsidRDefault="00A77B3E" w:rsidP="00CC4376">
      <w:pPr>
        <w:snapToGrid w:val="0"/>
        <w:spacing w:line="360" w:lineRule="auto"/>
        <w:jc w:val="both"/>
      </w:pPr>
    </w:p>
    <w:p w14:paraId="1430A1C2"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Peer-review started: </w:t>
      </w:r>
      <w:r w:rsidRPr="00CC4376">
        <w:rPr>
          <w:rFonts w:ascii="Book Antiqua" w:eastAsia="Book Antiqua" w:hAnsi="Book Antiqua" w:cs="Book Antiqua"/>
        </w:rPr>
        <w:t>July 12, 2020</w:t>
      </w:r>
    </w:p>
    <w:p w14:paraId="28BA3A1D"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First decision: </w:t>
      </w:r>
      <w:r w:rsidRPr="00CC4376">
        <w:rPr>
          <w:rFonts w:ascii="Book Antiqua" w:eastAsia="Book Antiqua" w:hAnsi="Book Antiqua" w:cs="Book Antiqua"/>
        </w:rPr>
        <w:t>August 8, 2020</w:t>
      </w:r>
    </w:p>
    <w:p w14:paraId="0B542B94"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Article in press: </w:t>
      </w:r>
    </w:p>
    <w:p w14:paraId="3718735B" w14:textId="77777777" w:rsidR="00A77B3E" w:rsidRPr="00CC4376" w:rsidRDefault="00A77B3E" w:rsidP="00CC4376">
      <w:pPr>
        <w:snapToGrid w:val="0"/>
        <w:spacing w:line="360" w:lineRule="auto"/>
        <w:jc w:val="both"/>
      </w:pPr>
    </w:p>
    <w:p w14:paraId="400E3271" w14:textId="3E123F3B" w:rsidR="00A77B3E" w:rsidRPr="00CC4376" w:rsidRDefault="002D0EF9" w:rsidP="00CC4376">
      <w:pPr>
        <w:snapToGrid w:val="0"/>
        <w:spacing w:line="360" w:lineRule="auto"/>
        <w:jc w:val="both"/>
      </w:pPr>
      <w:r w:rsidRPr="00CC4376">
        <w:rPr>
          <w:rFonts w:ascii="Book Antiqua" w:eastAsia="Book Antiqua" w:hAnsi="Book Antiqua" w:cs="Book Antiqua"/>
          <w:b/>
        </w:rPr>
        <w:t xml:space="preserve">Specialty type: </w:t>
      </w:r>
      <w:r w:rsidR="009667FC" w:rsidRPr="00CC4376">
        <w:rPr>
          <w:rFonts w:ascii="Book Antiqua" w:hAnsi="Book Antiqua" w:cs="宋体"/>
        </w:rPr>
        <w:t>Medicine, research and experimental</w:t>
      </w:r>
    </w:p>
    <w:p w14:paraId="7BB1DE5B"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Country/Territory of origin: </w:t>
      </w:r>
      <w:r w:rsidRPr="00CC4376">
        <w:rPr>
          <w:rFonts w:ascii="Book Antiqua" w:eastAsia="Book Antiqua" w:hAnsi="Book Antiqua" w:cs="Book Antiqua"/>
        </w:rPr>
        <w:t>China</w:t>
      </w:r>
    </w:p>
    <w:p w14:paraId="71AC49EF"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Peer-review report’s scientific quality classification</w:t>
      </w:r>
    </w:p>
    <w:p w14:paraId="799D3FD8" w14:textId="77777777" w:rsidR="00A77B3E" w:rsidRPr="00CC4376" w:rsidRDefault="002D0EF9" w:rsidP="00CC4376">
      <w:pPr>
        <w:snapToGrid w:val="0"/>
        <w:spacing w:line="360" w:lineRule="auto"/>
        <w:jc w:val="both"/>
      </w:pPr>
      <w:r w:rsidRPr="00CC4376">
        <w:rPr>
          <w:rFonts w:ascii="Book Antiqua" w:eastAsia="Book Antiqua" w:hAnsi="Book Antiqua" w:cs="Book Antiqua"/>
        </w:rPr>
        <w:t>Grade A (Excellent): 0</w:t>
      </w:r>
    </w:p>
    <w:p w14:paraId="20A74293" w14:textId="77777777" w:rsidR="00A77B3E" w:rsidRPr="00CC4376" w:rsidRDefault="002D0EF9" w:rsidP="00CC4376">
      <w:pPr>
        <w:snapToGrid w:val="0"/>
        <w:spacing w:line="360" w:lineRule="auto"/>
        <w:jc w:val="both"/>
      </w:pPr>
      <w:r w:rsidRPr="00CC4376">
        <w:rPr>
          <w:rFonts w:ascii="Book Antiqua" w:eastAsia="Book Antiqua" w:hAnsi="Book Antiqua" w:cs="Book Antiqua"/>
        </w:rPr>
        <w:t>Grade B (Very good): 0</w:t>
      </w:r>
    </w:p>
    <w:p w14:paraId="4BB1B3AE" w14:textId="77777777" w:rsidR="00A77B3E" w:rsidRPr="00CC4376" w:rsidRDefault="002D0EF9" w:rsidP="00CC4376">
      <w:pPr>
        <w:snapToGrid w:val="0"/>
        <w:spacing w:line="360" w:lineRule="auto"/>
        <w:jc w:val="both"/>
      </w:pPr>
      <w:r w:rsidRPr="00CC4376">
        <w:rPr>
          <w:rFonts w:ascii="Book Antiqua" w:eastAsia="Book Antiqua" w:hAnsi="Book Antiqua" w:cs="Book Antiqua"/>
        </w:rPr>
        <w:t>Grade C (Good): C</w:t>
      </w:r>
    </w:p>
    <w:p w14:paraId="7B46EF7A" w14:textId="77777777" w:rsidR="00A77B3E" w:rsidRPr="00CC4376" w:rsidRDefault="002D0EF9" w:rsidP="00CC4376">
      <w:pPr>
        <w:snapToGrid w:val="0"/>
        <w:spacing w:line="360" w:lineRule="auto"/>
        <w:jc w:val="both"/>
      </w:pPr>
      <w:r w:rsidRPr="00CC4376">
        <w:rPr>
          <w:rFonts w:ascii="Book Antiqua" w:eastAsia="Book Antiqua" w:hAnsi="Book Antiqua" w:cs="Book Antiqua"/>
        </w:rPr>
        <w:t>Grade D (Fair): 0</w:t>
      </w:r>
    </w:p>
    <w:p w14:paraId="6B5E1048" w14:textId="77777777" w:rsidR="00A77B3E" w:rsidRPr="00CC4376" w:rsidRDefault="002D0EF9" w:rsidP="00CC4376">
      <w:pPr>
        <w:snapToGrid w:val="0"/>
        <w:spacing w:line="360" w:lineRule="auto"/>
        <w:jc w:val="both"/>
      </w:pPr>
      <w:r w:rsidRPr="00CC4376">
        <w:rPr>
          <w:rFonts w:ascii="Book Antiqua" w:eastAsia="Book Antiqua" w:hAnsi="Book Antiqua" w:cs="Book Antiqua"/>
        </w:rPr>
        <w:lastRenderedPageBreak/>
        <w:t>Grade E (Poor): 0</w:t>
      </w:r>
    </w:p>
    <w:p w14:paraId="12A388D4" w14:textId="77777777" w:rsidR="00A77B3E" w:rsidRPr="00CC4376" w:rsidRDefault="00A77B3E" w:rsidP="00CC4376">
      <w:pPr>
        <w:snapToGrid w:val="0"/>
        <w:spacing w:line="360" w:lineRule="auto"/>
        <w:jc w:val="both"/>
      </w:pPr>
    </w:p>
    <w:p w14:paraId="26C4EB6F" w14:textId="6DB852BE" w:rsidR="00A77B3E" w:rsidRPr="00CC4376" w:rsidRDefault="002D0EF9" w:rsidP="00CC4376">
      <w:pPr>
        <w:snapToGrid w:val="0"/>
        <w:spacing w:line="360" w:lineRule="auto"/>
        <w:jc w:val="both"/>
        <w:rPr>
          <w:rFonts w:ascii="Book Antiqua" w:eastAsia="Book Antiqua" w:hAnsi="Book Antiqua" w:cs="Book Antiqua"/>
          <w:b/>
        </w:rPr>
      </w:pPr>
      <w:r w:rsidRPr="00CC4376">
        <w:rPr>
          <w:rFonts w:ascii="Book Antiqua" w:eastAsia="Book Antiqua" w:hAnsi="Book Antiqua" w:cs="Book Antiqua"/>
          <w:b/>
        </w:rPr>
        <w:t xml:space="preserve">P-Reviewer: </w:t>
      </w:r>
      <w:r w:rsidRPr="00CC4376">
        <w:rPr>
          <w:rFonts w:ascii="Book Antiqua" w:eastAsia="Book Antiqua" w:hAnsi="Book Antiqua" w:cs="Book Antiqua"/>
        </w:rPr>
        <w:t>Wu ZY</w:t>
      </w:r>
      <w:r w:rsidRPr="00CC4376">
        <w:rPr>
          <w:rFonts w:ascii="Book Antiqua" w:eastAsia="Book Antiqua" w:hAnsi="Book Antiqua" w:cs="Book Antiqua"/>
          <w:b/>
        </w:rPr>
        <w:t xml:space="preserve"> S-Editor: </w:t>
      </w:r>
      <w:r w:rsidRPr="00CC4376">
        <w:rPr>
          <w:rFonts w:ascii="Book Antiqua" w:eastAsia="Book Antiqua" w:hAnsi="Book Antiqua" w:cs="Book Antiqua"/>
        </w:rPr>
        <w:t>Huang P</w:t>
      </w:r>
      <w:r w:rsidRPr="00CC4376">
        <w:rPr>
          <w:rFonts w:ascii="Book Antiqua" w:eastAsia="Book Antiqua" w:hAnsi="Book Antiqua" w:cs="Book Antiqua"/>
          <w:b/>
        </w:rPr>
        <w:t xml:space="preserve"> L-Editor: </w:t>
      </w:r>
      <w:r w:rsidR="00404E6F" w:rsidRPr="00CC4376">
        <w:rPr>
          <w:rFonts w:ascii="Book Antiqua" w:eastAsia="Book Antiqua" w:hAnsi="Book Antiqua" w:cs="Book Antiqua"/>
          <w:bCs/>
        </w:rPr>
        <w:t>Filipodia</w:t>
      </w:r>
      <w:r w:rsidRPr="00CC4376">
        <w:rPr>
          <w:rFonts w:ascii="Book Antiqua" w:eastAsia="Book Antiqua" w:hAnsi="Book Antiqua" w:cs="Book Antiqua"/>
          <w:b/>
        </w:rPr>
        <w:t xml:space="preserve"> P-Editor: </w:t>
      </w:r>
    </w:p>
    <w:p w14:paraId="4F474D77" w14:textId="77777777" w:rsidR="00914D3A" w:rsidRPr="00CC4376" w:rsidRDefault="00914D3A" w:rsidP="00CC4376">
      <w:pPr>
        <w:snapToGrid w:val="0"/>
        <w:spacing w:line="360" w:lineRule="auto"/>
        <w:jc w:val="both"/>
        <w:sectPr w:rsidR="00914D3A" w:rsidRPr="00CC4376">
          <w:pgSz w:w="12240" w:h="15840"/>
          <w:pgMar w:top="1440" w:right="1440" w:bottom="1440" w:left="1440" w:header="720" w:footer="720" w:gutter="0"/>
          <w:cols w:space="720"/>
          <w:docGrid w:linePitch="360"/>
        </w:sectPr>
      </w:pPr>
    </w:p>
    <w:p w14:paraId="6B88C090" w14:textId="7E6734BF" w:rsidR="00A77B3E" w:rsidRPr="00CC4376" w:rsidRDefault="002D0EF9" w:rsidP="00CC4376">
      <w:pPr>
        <w:snapToGrid w:val="0"/>
        <w:spacing w:line="360" w:lineRule="auto"/>
        <w:jc w:val="both"/>
        <w:rPr>
          <w:rFonts w:ascii="Book Antiqua" w:eastAsia="Book Antiqua" w:hAnsi="Book Antiqua" w:cs="Book Antiqua"/>
          <w:b/>
        </w:rPr>
      </w:pPr>
      <w:r w:rsidRPr="00CC4376">
        <w:rPr>
          <w:rFonts w:ascii="Book Antiqua" w:eastAsia="Book Antiqua" w:hAnsi="Book Antiqua" w:cs="Book Antiqua"/>
          <w:b/>
        </w:rPr>
        <w:lastRenderedPageBreak/>
        <w:t>Figure Legends</w:t>
      </w:r>
    </w:p>
    <w:p w14:paraId="585F8A2E" w14:textId="75E2FDC8" w:rsidR="00C473D8" w:rsidRPr="00CC4376" w:rsidRDefault="00C473D8" w:rsidP="00CC4376">
      <w:pPr>
        <w:snapToGrid w:val="0"/>
        <w:spacing w:line="360" w:lineRule="auto"/>
        <w:jc w:val="both"/>
      </w:pPr>
      <w:r w:rsidRPr="00CC4376">
        <w:rPr>
          <w:noProof/>
          <w:lang w:eastAsia="zh-CN"/>
        </w:rPr>
        <w:drawing>
          <wp:inline distT="0" distB="0" distL="0" distR="0" wp14:anchorId="202EEA41" wp14:editId="60DB6693">
            <wp:extent cx="3912042" cy="3260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3919834" cy="3266528"/>
                    </a:xfrm>
                    <a:prstGeom prst="rect">
                      <a:avLst/>
                    </a:prstGeom>
                  </pic:spPr>
                </pic:pic>
              </a:graphicData>
            </a:graphic>
          </wp:inline>
        </w:drawing>
      </w:r>
    </w:p>
    <w:p w14:paraId="716EDFDD" w14:textId="67274039" w:rsidR="00C473D8" w:rsidRPr="00CC4376" w:rsidRDefault="00C473D8" w:rsidP="00CC4376">
      <w:pPr>
        <w:snapToGrid w:val="0"/>
        <w:spacing w:line="360" w:lineRule="auto"/>
        <w:jc w:val="both"/>
      </w:pPr>
      <w:r w:rsidRPr="00CC4376">
        <w:rPr>
          <w:rFonts w:ascii="Book Antiqua" w:eastAsia="Book Antiqua" w:hAnsi="Book Antiqua" w:cs="Book Antiqua"/>
          <w:b/>
          <w:bCs/>
        </w:rPr>
        <w:t>Figure 1 The pedigree of the family and the genetic test results.</w:t>
      </w:r>
      <w:r w:rsidRPr="00CC4376">
        <w:rPr>
          <w:rFonts w:ascii="Book Antiqua" w:eastAsia="Book Antiqua" w:hAnsi="Book Antiqua" w:cs="Book Antiqua"/>
        </w:rPr>
        <w:t xml:space="preserve"> A: The pedigree of the family with compound heterozygous </w:t>
      </w:r>
      <w:r w:rsidRPr="00CC4376">
        <w:rPr>
          <w:rFonts w:ascii="Book Antiqua" w:eastAsia="Book Antiqua" w:hAnsi="Book Antiqua" w:cs="Book Antiqua"/>
          <w:i/>
          <w:iCs/>
        </w:rPr>
        <w:t>CYP27A1</w:t>
      </w:r>
      <w:r w:rsidRPr="00CC4376">
        <w:rPr>
          <w:rFonts w:ascii="Book Antiqua" w:eastAsia="Book Antiqua" w:hAnsi="Book Antiqua" w:cs="Book Antiqua"/>
        </w:rPr>
        <w:t xml:space="preserve"> mutations; B and D: The normal control sequences; C: The variant in intron 7 (c.1263+1G&gt;A); E: The variant in exon 2 (c.435G&gt;T, p.Gly145Gly).</w:t>
      </w:r>
      <w:r w:rsidR="001C28B7" w:rsidRPr="00CC4376">
        <w:rPr>
          <w:rFonts w:ascii="Book Antiqua" w:eastAsia="Book Antiqua" w:hAnsi="Book Antiqua" w:cs="Book Antiqua"/>
        </w:rPr>
        <w:t xml:space="preserve"> </w:t>
      </w:r>
      <w:r w:rsidRPr="00CC4376">
        <w:rPr>
          <w:rFonts w:ascii="Book Antiqua" w:eastAsia="Book Antiqua" w:hAnsi="Book Antiqua" w:cs="Book Antiqua"/>
        </w:rPr>
        <w:t xml:space="preserve">Family members II:2 and II:5 were carriers of c.1263+1G&gt;A and family members II:1 and II:3 were the carriers of c.435G&gt;T. Family member II:4 carried the compound heterozygous </w:t>
      </w:r>
      <w:r w:rsidRPr="00CC4376">
        <w:rPr>
          <w:rFonts w:ascii="Book Antiqua" w:eastAsia="Book Antiqua" w:hAnsi="Book Antiqua" w:cs="Book Antiqua"/>
          <w:i/>
          <w:iCs/>
        </w:rPr>
        <w:t>CYP27A1</w:t>
      </w:r>
      <w:r w:rsidRPr="00CC4376">
        <w:rPr>
          <w:rFonts w:ascii="Book Antiqua" w:eastAsia="Book Antiqua" w:hAnsi="Book Antiqua" w:cs="Book Antiqua"/>
        </w:rPr>
        <w:t xml:space="preserve"> mutations.</w:t>
      </w:r>
    </w:p>
    <w:p w14:paraId="438E4E48" w14:textId="49F3EC32" w:rsidR="00C473D8" w:rsidRPr="00CC4376" w:rsidRDefault="00C473D8" w:rsidP="00CC4376">
      <w:pPr>
        <w:snapToGrid w:val="0"/>
        <w:spacing w:line="360" w:lineRule="auto"/>
        <w:jc w:val="both"/>
        <w:rPr>
          <w:rFonts w:ascii="Book Antiqua" w:eastAsia="Book Antiqua" w:hAnsi="Book Antiqua" w:cs="Book Antiqua"/>
          <w:b/>
          <w:bCs/>
        </w:rPr>
      </w:pPr>
      <w:r w:rsidRPr="00CC4376">
        <w:rPr>
          <w:rFonts w:ascii="Book Antiqua" w:eastAsia="Book Antiqua" w:hAnsi="Book Antiqua" w:cs="Book Antiqua"/>
          <w:b/>
          <w:bCs/>
        </w:rPr>
        <w:br w:type="page"/>
      </w:r>
      <w:r w:rsidRPr="00CC4376">
        <w:rPr>
          <w:rFonts w:ascii="Book Antiqua" w:eastAsia="Book Antiqua" w:hAnsi="Book Antiqua" w:cs="Book Antiqua"/>
          <w:noProof/>
          <w:lang w:eastAsia="zh-CN"/>
        </w:rPr>
        <w:lastRenderedPageBreak/>
        <w:drawing>
          <wp:inline distT="0" distB="0" distL="0" distR="0" wp14:anchorId="2DB918E0" wp14:editId="32F0B980">
            <wp:extent cx="5943600" cy="25965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96515"/>
                    </a:xfrm>
                    <a:prstGeom prst="rect">
                      <a:avLst/>
                    </a:prstGeom>
                  </pic:spPr>
                </pic:pic>
              </a:graphicData>
            </a:graphic>
          </wp:inline>
        </w:drawing>
      </w:r>
    </w:p>
    <w:p w14:paraId="6FC6087D" w14:textId="72CB60EE" w:rsidR="00C473D8" w:rsidRPr="00CC4376" w:rsidRDefault="00C473D8" w:rsidP="00CC4376">
      <w:pPr>
        <w:snapToGrid w:val="0"/>
        <w:spacing w:line="360" w:lineRule="auto"/>
        <w:jc w:val="both"/>
      </w:pPr>
      <w:r w:rsidRPr="00CC4376">
        <w:rPr>
          <w:rFonts w:ascii="Book Antiqua" w:eastAsia="Book Antiqua" w:hAnsi="Book Antiqua" w:cs="Book Antiqua"/>
          <w:b/>
          <w:bCs/>
        </w:rPr>
        <w:t xml:space="preserve">Figure 2 Clinical and imaging data of the patient. </w:t>
      </w:r>
      <w:r w:rsidRPr="00CC4376">
        <w:rPr>
          <w:rFonts w:ascii="Book Antiqua" w:eastAsia="Book Antiqua" w:hAnsi="Book Antiqua" w:cs="Book Antiqua"/>
        </w:rPr>
        <w:t xml:space="preserve">A: The dark skin and poor mental state of the patient; B: Arrowheads show the nodules on the bilateral tibial tubercles; C: Arrowheads show the enlarged Achilles tendons; D: B-ultrasound of the urinary system, showing the hypoechoic area (arrowhead) in the bladder which can move with body position; E: X-ray of the lower limbs showing swelling of the soft tissue below the bilateral tibial tuberosities (arrowheads); F: Sagittal T1-weighted magnetic resonance (MR) image showing fusiform swelling of the right Achilles tendon and upper medial malleolus flexor tendon, abnormal thickening of the plantar fat, and a small amount of exudation around the fascia in front of the Achilles tendon; G: Axial T2-weighted MR image suggesting mild ventricular enlargement and cerebral atrophy; H: Axial </w:t>
      </w:r>
      <w:r w:rsidR="001C28B7" w:rsidRPr="00CC4376">
        <w:rPr>
          <w:rFonts w:ascii="Book Antiqua" w:eastAsia="Book Antiqua" w:hAnsi="Book Antiqua" w:cs="Book Antiqua"/>
        </w:rPr>
        <w:t>f</w:t>
      </w:r>
      <w:r w:rsidRPr="00CC4376">
        <w:rPr>
          <w:rFonts w:ascii="Book Antiqua" w:eastAsia="Book Antiqua" w:hAnsi="Book Antiqua" w:cs="Book Antiqua"/>
        </w:rPr>
        <w:t>luid</w:t>
      </w:r>
      <w:r w:rsidR="001C28B7" w:rsidRPr="00CC4376">
        <w:rPr>
          <w:rFonts w:ascii="Book Antiqua" w:eastAsia="Book Antiqua" w:hAnsi="Book Antiqua" w:cs="Book Antiqua"/>
        </w:rPr>
        <w:t>-a</w:t>
      </w:r>
      <w:r w:rsidRPr="00CC4376">
        <w:rPr>
          <w:rFonts w:ascii="Book Antiqua" w:eastAsia="Book Antiqua" w:hAnsi="Book Antiqua" w:cs="Book Antiqua"/>
        </w:rPr>
        <w:t xml:space="preserve">ttenuated </w:t>
      </w:r>
      <w:r w:rsidR="001C28B7" w:rsidRPr="00CC4376">
        <w:rPr>
          <w:rFonts w:ascii="Book Antiqua" w:eastAsia="Book Antiqua" w:hAnsi="Book Antiqua" w:cs="Book Antiqua"/>
        </w:rPr>
        <w:t>i</w:t>
      </w:r>
      <w:r w:rsidRPr="00CC4376">
        <w:rPr>
          <w:rFonts w:ascii="Book Antiqua" w:eastAsia="Book Antiqua" w:hAnsi="Book Antiqua" w:cs="Book Antiqua"/>
        </w:rPr>
        <w:t xml:space="preserve">nversion </w:t>
      </w:r>
      <w:r w:rsidR="001C28B7" w:rsidRPr="00CC4376">
        <w:rPr>
          <w:rFonts w:ascii="Book Antiqua" w:eastAsia="Book Antiqua" w:hAnsi="Book Antiqua" w:cs="Book Antiqua"/>
        </w:rPr>
        <w:t>r</w:t>
      </w:r>
      <w:r w:rsidRPr="00CC4376">
        <w:rPr>
          <w:rFonts w:ascii="Book Antiqua" w:eastAsia="Book Antiqua" w:hAnsi="Book Antiqua" w:cs="Book Antiqua"/>
        </w:rPr>
        <w:t>ecovery MR image showing an abnormal hyperintense signal around the ventricle posterior horn bilaterally (arrowheads).</w:t>
      </w:r>
    </w:p>
    <w:p w14:paraId="45745568" w14:textId="305EC8BD" w:rsidR="00C473D8" w:rsidRPr="00CC4376" w:rsidRDefault="00C473D8" w:rsidP="00CC4376">
      <w:pPr>
        <w:snapToGrid w:val="0"/>
        <w:spacing w:line="360" w:lineRule="auto"/>
        <w:jc w:val="both"/>
        <w:rPr>
          <w:rFonts w:ascii="Book Antiqua" w:eastAsia="Book Antiqua" w:hAnsi="Book Antiqua" w:cs="Book Antiqua"/>
          <w:b/>
          <w:bCs/>
        </w:rPr>
      </w:pPr>
      <w:r w:rsidRPr="00CC4376">
        <w:rPr>
          <w:rFonts w:ascii="Book Antiqua" w:eastAsia="Book Antiqua" w:hAnsi="Book Antiqua" w:cs="Book Antiqua"/>
          <w:b/>
          <w:bCs/>
        </w:rPr>
        <w:br w:type="page"/>
      </w:r>
      <w:r w:rsidRPr="00CC4376">
        <w:rPr>
          <w:rFonts w:ascii="Book Antiqua" w:eastAsia="Book Antiqua" w:hAnsi="Book Antiqua" w:cs="Book Antiqua"/>
          <w:noProof/>
          <w:lang w:eastAsia="zh-CN"/>
        </w:rPr>
        <w:lastRenderedPageBreak/>
        <w:drawing>
          <wp:inline distT="0" distB="0" distL="0" distR="0" wp14:anchorId="3F47D03B" wp14:editId="06A8572B">
            <wp:extent cx="5943600" cy="5666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666740"/>
                    </a:xfrm>
                    <a:prstGeom prst="rect">
                      <a:avLst/>
                    </a:prstGeom>
                  </pic:spPr>
                </pic:pic>
              </a:graphicData>
            </a:graphic>
          </wp:inline>
        </w:drawing>
      </w:r>
    </w:p>
    <w:p w14:paraId="49545573" w14:textId="7F528B8F" w:rsidR="00C473D8" w:rsidRPr="00CC4376" w:rsidRDefault="00C473D8" w:rsidP="00CC4376">
      <w:pPr>
        <w:snapToGrid w:val="0"/>
        <w:spacing w:line="360" w:lineRule="auto"/>
        <w:jc w:val="both"/>
        <w:rPr>
          <w:rFonts w:ascii="Book Antiqua" w:eastAsia="Book Antiqua" w:hAnsi="Book Antiqua" w:cs="Book Antiqua"/>
        </w:rPr>
      </w:pPr>
      <w:r w:rsidRPr="00CC4376">
        <w:rPr>
          <w:rFonts w:ascii="Book Antiqua" w:eastAsia="Book Antiqua" w:hAnsi="Book Antiqua" w:cs="Book Antiqua"/>
          <w:b/>
          <w:bCs/>
        </w:rPr>
        <w:t xml:space="preserve">Figure 3 Main symptoms in cerebrotendinous xanthomatosis case reports from different ethnic groups. </w:t>
      </w:r>
      <w:r w:rsidR="00FB5D24" w:rsidRPr="00CC4376">
        <w:rPr>
          <w:rFonts w:ascii="Book Antiqua" w:eastAsia="Book Antiqua" w:hAnsi="Book Antiqua" w:cs="Book Antiqua"/>
          <w:vertAlign w:val="superscript"/>
        </w:rPr>
        <w:t>1</w:t>
      </w:r>
      <w:r w:rsidR="00FB5D24" w:rsidRPr="00CC4376">
        <w:rPr>
          <w:rFonts w:ascii="Book Antiqua" w:eastAsia="Book Antiqua" w:hAnsi="Book Antiqua" w:cs="Book Antiqua"/>
        </w:rPr>
        <w:t xml:space="preserve">Refers to other origins and unclassified cases. </w:t>
      </w:r>
      <w:r w:rsidRPr="00CC4376">
        <w:rPr>
          <w:rFonts w:ascii="Book Antiqua" w:eastAsia="Book Antiqua" w:hAnsi="Book Antiqua" w:cs="Book Antiqua"/>
        </w:rPr>
        <w:t xml:space="preserve">A: The number of cerebrotendinous xanthomatosis (CTX) case reports from different origins in the past 30 years; B: Comparison of the frequencies of the main symptoms in CTX patients from all over the world. </w:t>
      </w:r>
    </w:p>
    <w:p w14:paraId="2FD11E6C" w14:textId="3D723E1B" w:rsidR="00C473D8" w:rsidRPr="00CC4376" w:rsidRDefault="00C473D8" w:rsidP="00CC4376">
      <w:pPr>
        <w:snapToGrid w:val="0"/>
        <w:spacing w:line="360" w:lineRule="auto"/>
        <w:jc w:val="both"/>
        <w:rPr>
          <w:rFonts w:ascii="Book Antiqua" w:eastAsia="Book Antiqua" w:hAnsi="Book Antiqua" w:cs="Book Antiqua"/>
        </w:rPr>
      </w:pPr>
      <w:r w:rsidRPr="00CC4376">
        <w:rPr>
          <w:rFonts w:ascii="Book Antiqua" w:eastAsia="Book Antiqua" w:hAnsi="Book Antiqua" w:cs="Book Antiqua"/>
        </w:rPr>
        <w:br w:type="page"/>
      </w:r>
      <w:r w:rsidRPr="00CC4376">
        <w:rPr>
          <w:rFonts w:ascii="Book Antiqua" w:eastAsia="Book Antiqua" w:hAnsi="Book Antiqua" w:cs="Book Antiqua"/>
          <w:b/>
          <w:bCs/>
        </w:rPr>
        <w:lastRenderedPageBreak/>
        <w:t>Table 1 Laboratory results in the index patient</w:t>
      </w:r>
    </w:p>
    <w:tbl>
      <w:tblPr>
        <w:tblpPr w:leftFromText="180" w:rightFromText="180" w:vertAnchor="text" w:horzAnchor="page" w:tblpXSpec="center" w:tblpY="129"/>
        <w:tblOverlap w:val="never"/>
        <w:tblW w:w="5000" w:type="pct"/>
        <w:tblCellMar>
          <w:left w:w="0" w:type="dxa"/>
          <w:right w:w="0" w:type="dxa"/>
        </w:tblCellMar>
        <w:tblLook w:val="04A0" w:firstRow="1" w:lastRow="0" w:firstColumn="1" w:lastColumn="0" w:noHBand="0" w:noVBand="1"/>
      </w:tblPr>
      <w:tblGrid>
        <w:gridCol w:w="1098"/>
        <w:gridCol w:w="744"/>
        <w:gridCol w:w="1324"/>
        <w:gridCol w:w="1182"/>
        <w:gridCol w:w="640"/>
        <w:gridCol w:w="1324"/>
        <w:gridCol w:w="1084"/>
        <w:gridCol w:w="640"/>
        <w:gridCol w:w="1324"/>
      </w:tblGrid>
      <w:tr w:rsidR="00CC4376" w:rsidRPr="00CC4376" w14:paraId="46DB872D" w14:textId="77777777" w:rsidTr="00F44031">
        <w:trPr>
          <w:trHeight w:val="280"/>
        </w:trPr>
        <w:tc>
          <w:tcPr>
            <w:tcW w:w="951" w:type="pct"/>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5A847085" w14:textId="77777777" w:rsidR="00C473D8" w:rsidRPr="00CC4376" w:rsidRDefault="00C473D8" w:rsidP="00CC4376">
            <w:pPr>
              <w:snapToGrid w:val="0"/>
              <w:spacing w:line="360" w:lineRule="auto"/>
              <w:jc w:val="both"/>
              <w:rPr>
                <w:rFonts w:ascii="Book Antiqua" w:eastAsia="宋体" w:hAnsi="Book Antiqua"/>
                <w:b/>
                <w:bCs/>
              </w:rPr>
            </w:pPr>
          </w:p>
        </w:tc>
        <w:tc>
          <w:tcPr>
            <w:tcW w:w="281"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25DD8D10"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Value</w:t>
            </w:r>
          </w:p>
        </w:tc>
        <w:tc>
          <w:tcPr>
            <w:tcW w:w="455"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F79641F"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Normal range</w:t>
            </w:r>
          </w:p>
        </w:tc>
        <w:tc>
          <w:tcPr>
            <w:tcW w:w="754" w:type="pct"/>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2F02D3C7" w14:textId="77777777" w:rsidR="00C473D8" w:rsidRPr="00CC4376" w:rsidRDefault="00C473D8" w:rsidP="00CC4376">
            <w:pPr>
              <w:snapToGrid w:val="0"/>
              <w:spacing w:line="360" w:lineRule="auto"/>
              <w:jc w:val="both"/>
              <w:rPr>
                <w:rFonts w:ascii="Book Antiqua" w:eastAsia="宋体" w:hAnsi="Book Antiqua"/>
                <w:b/>
                <w:bCs/>
              </w:rPr>
            </w:pPr>
          </w:p>
        </w:tc>
        <w:tc>
          <w:tcPr>
            <w:tcW w:w="311"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1A833CF5"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Value</w:t>
            </w:r>
          </w:p>
        </w:tc>
        <w:tc>
          <w:tcPr>
            <w:tcW w:w="470"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7C6374E"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Normal range</w:t>
            </w:r>
          </w:p>
        </w:tc>
        <w:tc>
          <w:tcPr>
            <w:tcW w:w="929" w:type="pct"/>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4A447CEF" w14:textId="77777777" w:rsidR="00C473D8" w:rsidRPr="00CC4376" w:rsidRDefault="00C473D8" w:rsidP="00CC4376">
            <w:pPr>
              <w:snapToGrid w:val="0"/>
              <w:spacing w:line="360" w:lineRule="auto"/>
              <w:jc w:val="both"/>
              <w:rPr>
                <w:rFonts w:ascii="Book Antiqua" w:eastAsia="宋体" w:hAnsi="Book Antiqua"/>
                <w:b/>
                <w:bCs/>
              </w:rPr>
            </w:pPr>
          </w:p>
        </w:tc>
        <w:tc>
          <w:tcPr>
            <w:tcW w:w="360"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4079AF3F"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Value</w:t>
            </w:r>
          </w:p>
        </w:tc>
        <w:tc>
          <w:tcPr>
            <w:tcW w:w="489"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1744D63C"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Normal range</w:t>
            </w:r>
          </w:p>
        </w:tc>
      </w:tr>
      <w:tr w:rsidR="00CC4376" w:rsidRPr="00CC4376" w14:paraId="2BCF4982" w14:textId="77777777" w:rsidTr="00F44031">
        <w:trPr>
          <w:trHeight w:val="940"/>
        </w:trPr>
        <w:tc>
          <w:tcPr>
            <w:tcW w:w="951" w:type="pct"/>
            <w:tcBorders>
              <w:top w:val="nil"/>
              <w:left w:val="nil"/>
              <w:bottom w:val="nil"/>
              <w:right w:val="nil"/>
            </w:tcBorders>
            <w:shd w:val="clear" w:color="auto" w:fill="auto"/>
            <w:tcMar>
              <w:top w:w="10" w:type="dxa"/>
              <w:left w:w="10" w:type="dxa"/>
              <w:right w:w="10" w:type="dxa"/>
            </w:tcMar>
            <w:vAlign w:val="center"/>
          </w:tcPr>
          <w:p w14:paraId="6EDD98D8"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Leukocyte count (10</w:t>
            </w:r>
            <w:r w:rsidRPr="00CC4376">
              <w:rPr>
                <w:rFonts w:ascii="Book Antiqua" w:eastAsia="宋体" w:hAnsi="Book Antiqua"/>
                <w:vertAlign w:val="superscript"/>
              </w:rPr>
              <w:t>9</w:t>
            </w:r>
            <w:r w:rsidRPr="00CC4376">
              <w:rPr>
                <w:rFonts w:ascii="Book Antiqua" w:eastAsia="宋体" w:hAnsi="Book Antiqua"/>
              </w:rPr>
              <w:t>/L)</w:t>
            </w:r>
          </w:p>
        </w:tc>
        <w:tc>
          <w:tcPr>
            <w:tcW w:w="281" w:type="pct"/>
            <w:tcBorders>
              <w:top w:val="nil"/>
              <w:left w:val="nil"/>
              <w:bottom w:val="nil"/>
              <w:right w:val="nil"/>
            </w:tcBorders>
            <w:shd w:val="clear" w:color="auto" w:fill="auto"/>
            <w:noWrap/>
            <w:tcMar>
              <w:top w:w="10" w:type="dxa"/>
              <w:left w:w="10" w:type="dxa"/>
              <w:right w:w="10" w:type="dxa"/>
            </w:tcMar>
            <w:vAlign w:val="center"/>
          </w:tcPr>
          <w:p w14:paraId="463D8BF5"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10.7 ↑</w:t>
            </w:r>
          </w:p>
        </w:tc>
        <w:tc>
          <w:tcPr>
            <w:tcW w:w="455" w:type="pct"/>
            <w:tcBorders>
              <w:top w:val="nil"/>
              <w:left w:val="nil"/>
              <w:bottom w:val="nil"/>
              <w:right w:val="nil"/>
            </w:tcBorders>
            <w:shd w:val="clear" w:color="auto" w:fill="auto"/>
            <w:noWrap/>
            <w:tcMar>
              <w:top w:w="10" w:type="dxa"/>
              <w:left w:w="10" w:type="dxa"/>
              <w:right w:w="10" w:type="dxa"/>
            </w:tcMar>
            <w:vAlign w:val="center"/>
          </w:tcPr>
          <w:p w14:paraId="422F08A6"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4.0-10.0</w:t>
            </w:r>
          </w:p>
        </w:tc>
        <w:tc>
          <w:tcPr>
            <w:tcW w:w="754" w:type="pct"/>
            <w:tcBorders>
              <w:top w:val="nil"/>
              <w:left w:val="nil"/>
              <w:bottom w:val="nil"/>
              <w:right w:val="nil"/>
            </w:tcBorders>
            <w:shd w:val="clear" w:color="auto" w:fill="auto"/>
            <w:tcMar>
              <w:top w:w="10" w:type="dxa"/>
              <w:left w:w="10" w:type="dxa"/>
              <w:right w:w="10" w:type="dxa"/>
            </w:tcMar>
            <w:vAlign w:val="center"/>
          </w:tcPr>
          <w:p w14:paraId="216BAF8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Follicle stimulating hormone (IU/L)</w:t>
            </w:r>
          </w:p>
        </w:tc>
        <w:tc>
          <w:tcPr>
            <w:tcW w:w="311" w:type="pct"/>
            <w:tcBorders>
              <w:top w:val="nil"/>
              <w:left w:val="nil"/>
              <w:bottom w:val="nil"/>
              <w:right w:val="nil"/>
            </w:tcBorders>
            <w:shd w:val="clear" w:color="auto" w:fill="auto"/>
            <w:noWrap/>
            <w:tcMar>
              <w:top w:w="10" w:type="dxa"/>
              <w:left w:w="10" w:type="dxa"/>
              <w:right w:w="10" w:type="dxa"/>
            </w:tcMar>
            <w:vAlign w:val="center"/>
          </w:tcPr>
          <w:p w14:paraId="3B3ABFF7"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19.75 ↑</w:t>
            </w:r>
          </w:p>
        </w:tc>
        <w:tc>
          <w:tcPr>
            <w:tcW w:w="470" w:type="pct"/>
            <w:tcBorders>
              <w:top w:val="nil"/>
              <w:left w:val="nil"/>
              <w:bottom w:val="nil"/>
              <w:right w:val="nil"/>
            </w:tcBorders>
            <w:shd w:val="clear" w:color="auto" w:fill="auto"/>
            <w:noWrap/>
            <w:tcMar>
              <w:top w:w="10" w:type="dxa"/>
              <w:left w:w="10" w:type="dxa"/>
              <w:right w:w="10" w:type="dxa"/>
            </w:tcMar>
            <w:vAlign w:val="center"/>
          </w:tcPr>
          <w:p w14:paraId="57E3375A"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 1.27-19.26</w:t>
            </w:r>
          </w:p>
        </w:tc>
        <w:tc>
          <w:tcPr>
            <w:tcW w:w="929" w:type="pct"/>
            <w:tcBorders>
              <w:top w:val="nil"/>
              <w:left w:val="nil"/>
              <w:bottom w:val="nil"/>
              <w:right w:val="nil"/>
            </w:tcBorders>
            <w:shd w:val="clear" w:color="auto" w:fill="auto"/>
            <w:tcMar>
              <w:top w:w="10" w:type="dxa"/>
              <w:left w:w="10" w:type="dxa"/>
              <w:right w:w="10" w:type="dxa"/>
            </w:tcMar>
            <w:vAlign w:val="center"/>
          </w:tcPr>
          <w:p w14:paraId="42CF629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Intracranial pressure (mmH</w:t>
            </w:r>
            <w:r w:rsidRPr="00CC4376">
              <w:rPr>
                <w:rFonts w:ascii="Book Antiqua" w:eastAsia="宋体" w:hAnsi="Book Antiqua"/>
                <w:vertAlign w:val="subscript"/>
              </w:rPr>
              <w:t>2</w:t>
            </w:r>
            <w:r w:rsidRPr="00CC4376">
              <w:rPr>
                <w:rFonts w:ascii="Book Antiqua" w:eastAsia="宋体" w:hAnsi="Book Antiqua"/>
              </w:rPr>
              <w:t>O)</w:t>
            </w:r>
          </w:p>
        </w:tc>
        <w:tc>
          <w:tcPr>
            <w:tcW w:w="360" w:type="pct"/>
            <w:tcBorders>
              <w:top w:val="nil"/>
              <w:left w:val="nil"/>
              <w:bottom w:val="nil"/>
              <w:right w:val="nil"/>
            </w:tcBorders>
            <w:shd w:val="clear" w:color="auto" w:fill="auto"/>
            <w:noWrap/>
            <w:tcMar>
              <w:top w:w="10" w:type="dxa"/>
              <w:left w:w="10" w:type="dxa"/>
              <w:right w:w="10" w:type="dxa"/>
            </w:tcMar>
            <w:vAlign w:val="center"/>
          </w:tcPr>
          <w:p w14:paraId="290728F5"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170</w:t>
            </w:r>
          </w:p>
        </w:tc>
        <w:tc>
          <w:tcPr>
            <w:tcW w:w="489" w:type="pct"/>
            <w:tcBorders>
              <w:top w:val="nil"/>
              <w:left w:val="nil"/>
              <w:bottom w:val="nil"/>
              <w:right w:val="nil"/>
            </w:tcBorders>
            <w:shd w:val="clear" w:color="auto" w:fill="auto"/>
            <w:noWrap/>
            <w:tcMar>
              <w:top w:w="10" w:type="dxa"/>
              <w:left w:w="10" w:type="dxa"/>
              <w:right w:w="10" w:type="dxa"/>
            </w:tcMar>
            <w:vAlign w:val="center"/>
          </w:tcPr>
          <w:p w14:paraId="12BB0584"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70-180</w:t>
            </w:r>
          </w:p>
        </w:tc>
      </w:tr>
      <w:tr w:rsidR="00CC4376" w:rsidRPr="00CC4376" w14:paraId="69559BC4" w14:textId="77777777" w:rsidTr="00F44031">
        <w:trPr>
          <w:trHeight w:val="560"/>
        </w:trPr>
        <w:tc>
          <w:tcPr>
            <w:tcW w:w="951" w:type="pct"/>
            <w:tcBorders>
              <w:top w:val="nil"/>
              <w:left w:val="nil"/>
              <w:bottom w:val="nil"/>
              <w:right w:val="nil"/>
            </w:tcBorders>
            <w:shd w:val="clear" w:color="auto" w:fill="auto"/>
            <w:tcMar>
              <w:top w:w="10" w:type="dxa"/>
              <w:left w:w="10" w:type="dxa"/>
              <w:right w:w="10" w:type="dxa"/>
            </w:tcMar>
            <w:vAlign w:val="center"/>
          </w:tcPr>
          <w:p w14:paraId="4A43CEAD"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Neutrophil ratio (%)</w:t>
            </w:r>
          </w:p>
        </w:tc>
        <w:tc>
          <w:tcPr>
            <w:tcW w:w="281" w:type="pct"/>
            <w:tcBorders>
              <w:top w:val="nil"/>
              <w:left w:val="nil"/>
              <w:bottom w:val="nil"/>
              <w:right w:val="nil"/>
            </w:tcBorders>
            <w:shd w:val="clear" w:color="auto" w:fill="auto"/>
            <w:noWrap/>
            <w:tcMar>
              <w:top w:w="10" w:type="dxa"/>
              <w:left w:w="10" w:type="dxa"/>
              <w:right w:w="10" w:type="dxa"/>
            </w:tcMar>
            <w:vAlign w:val="center"/>
          </w:tcPr>
          <w:p w14:paraId="265CA38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81.6 ↑</w:t>
            </w:r>
          </w:p>
        </w:tc>
        <w:tc>
          <w:tcPr>
            <w:tcW w:w="455" w:type="pct"/>
            <w:tcBorders>
              <w:top w:val="nil"/>
              <w:left w:val="nil"/>
              <w:bottom w:val="nil"/>
              <w:right w:val="nil"/>
            </w:tcBorders>
            <w:shd w:val="clear" w:color="auto" w:fill="auto"/>
            <w:noWrap/>
            <w:tcMar>
              <w:top w:w="10" w:type="dxa"/>
              <w:left w:w="10" w:type="dxa"/>
              <w:right w:w="10" w:type="dxa"/>
            </w:tcMar>
            <w:vAlign w:val="center"/>
          </w:tcPr>
          <w:p w14:paraId="4AF971D7"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50.0-70.0</w:t>
            </w:r>
          </w:p>
        </w:tc>
        <w:tc>
          <w:tcPr>
            <w:tcW w:w="754" w:type="pct"/>
            <w:tcBorders>
              <w:top w:val="nil"/>
              <w:left w:val="nil"/>
              <w:bottom w:val="nil"/>
              <w:right w:val="nil"/>
            </w:tcBorders>
            <w:shd w:val="clear" w:color="auto" w:fill="auto"/>
            <w:tcMar>
              <w:top w:w="10" w:type="dxa"/>
              <w:left w:w="10" w:type="dxa"/>
              <w:right w:w="10" w:type="dxa"/>
            </w:tcMar>
            <w:vAlign w:val="center"/>
          </w:tcPr>
          <w:p w14:paraId="5E91271C"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Testosterone (nmol/L)</w:t>
            </w:r>
          </w:p>
        </w:tc>
        <w:tc>
          <w:tcPr>
            <w:tcW w:w="311" w:type="pct"/>
            <w:tcBorders>
              <w:top w:val="nil"/>
              <w:left w:val="nil"/>
              <w:bottom w:val="nil"/>
              <w:right w:val="nil"/>
            </w:tcBorders>
            <w:shd w:val="clear" w:color="auto" w:fill="auto"/>
            <w:noWrap/>
            <w:tcMar>
              <w:top w:w="10" w:type="dxa"/>
              <w:left w:w="10" w:type="dxa"/>
              <w:right w:w="10" w:type="dxa"/>
            </w:tcMar>
            <w:vAlign w:val="center"/>
          </w:tcPr>
          <w:p w14:paraId="01964D7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4.53 ↓</w:t>
            </w:r>
          </w:p>
        </w:tc>
        <w:tc>
          <w:tcPr>
            <w:tcW w:w="470" w:type="pct"/>
            <w:tcBorders>
              <w:top w:val="nil"/>
              <w:left w:val="nil"/>
              <w:bottom w:val="nil"/>
              <w:right w:val="nil"/>
            </w:tcBorders>
            <w:shd w:val="clear" w:color="auto" w:fill="auto"/>
            <w:noWrap/>
            <w:tcMar>
              <w:top w:w="10" w:type="dxa"/>
              <w:left w:w="10" w:type="dxa"/>
              <w:right w:w="10" w:type="dxa"/>
            </w:tcMar>
            <w:vAlign w:val="center"/>
          </w:tcPr>
          <w:p w14:paraId="7E2798F6"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6.07-27.10</w:t>
            </w:r>
          </w:p>
        </w:tc>
        <w:tc>
          <w:tcPr>
            <w:tcW w:w="929" w:type="pct"/>
            <w:tcBorders>
              <w:top w:val="nil"/>
              <w:left w:val="nil"/>
              <w:bottom w:val="nil"/>
              <w:right w:val="nil"/>
            </w:tcBorders>
            <w:shd w:val="clear" w:color="auto" w:fill="auto"/>
            <w:tcMar>
              <w:top w:w="10" w:type="dxa"/>
              <w:left w:w="10" w:type="dxa"/>
              <w:right w:w="10" w:type="dxa"/>
            </w:tcMar>
            <w:vAlign w:val="center"/>
          </w:tcPr>
          <w:p w14:paraId="50240C6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Pandy test</w:t>
            </w:r>
          </w:p>
        </w:tc>
        <w:tc>
          <w:tcPr>
            <w:tcW w:w="360" w:type="pct"/>
            <w:tcBorders>
              <w:top w:val="nil"/>
              <w:left w:val="nil"/>
              <w:bottom w:val="nil"/>
              <w:right w:val="nil"/>
            </w:tcBorders>
            <w:shd w:val="clear" w:color="auto" w:fill="auto"/>
            <w:noWrap/>
            <w:tcMar>
              <w:top w:w="10" w:type="dxa"/>
              <w:left w:w="10" w:type="dxa"/>
              <w:right w:w="10" w:type="dxa"/>
            </w:tcMar>
            <w:vAlign w:val="center"/>
          </w:tcPr>
          <w:p w14:paraId="11FDAF1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w:t>
            </w:r>
          </w:p>
        </w:tc>
        <w:tc>
          <w:tcPr>
            <w:tcW w:w="489" w:type="pct"/>
            <w:tcBorders>
              <w:top w:val="nil"/>
              <w:left w:val="nil"/>
              <w:bottom w:val="nil"/>
              <w:right w:val="nil"/>
            </w:tcBorders>
            <w:shd w:val="clear" w:color="auto" w:fill="auto"/>
            <w:noWrap/>
            <w:tcMar>
              <w:top w:w="10" w:type="dxa"/>
              <w:left w:w="10" w:type="dxa"/>
              <w:right w:w="10" w:type="dxa"/>
            </w:tcMar>
            <w:vAlign w:val="center"/>
          </w:tcPr>
          <w:p w14:paraId="4C335BCD"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w:t>
            </w:r>
          </w:p>
        </w:tc>
      </w:tr>
      <w:tr w:rsidR="00CC4376" w:rsidRPr="00CC4376" w14:paraId="7EFC227D" w14:textId="77777777" w:rsidTr="00F44031">
        <w:trPr>
          <w:trHeight w:val="800"/>
        </w:trPr>
        <w:tc>
          <w:tcPr>
            <w:tcW w:w="951" w:type="pct"/>
            <w:tcBorders>
              <w:top w:val="nil"/>
              <w:left w:val="nil"/>
              <w:bottom w:val="nil"/>
              <w:right w:val="nil"/>
            </w:tcBorders>
            <w:shd w:val="clear" w:color="auto" w:fill="auto"/>
            <w:tcMar>
              <w:top w:w="10" w:type="dxa"/>
              <w:left w:w="10" w:type="dxa"/>
              <w:right w:w="10" w:type="dxa"/>
            </w:tcMar>
            <w:vAlign w:val="center"/>
          </w:tcPr>
          <w:p w14:paraId="1445954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Erythrocyte count (10</w:t>
            </w:r>
            <w:r w:rsidRPr="00CC4376">
              <w:rPr>
                <w:rFonts w:ascii="Book Antiqua" w:eastAsia="宋体" w:hAnsi="Book Antiqua"/>
                <w:vertAlign w:val="superscript"/>
              </w:rPr>
              <w:t>12</w:t>
            </w:r>
            <w:r w:rsidRPr="00CC4376">
              <w:rPr>
                <w:rFonts w:ascii="Book Antiqua" w:eastAsia="宋体" w:hAnsi="Book Antiqua"/>
              </w:rPr>
              <w:t>/L)</w:t>
            </w:r>
          </w:p>
        </w:tc>
        <w:tc>
          <w:tcPr>
            <w:tcW w:w="281" w:type="pct"/>
            <w:tcBorders>
              <w:top w:val="nil"/>
              <w:left w:val="nil"/>
              <w:bottom w:val="nil"/>
              <w:right w:val="nil"/>
            </w:tcBorders>
            <w:shd w:val="clear" w:color="auto" w:fill="auto"/>
            <w:noWrap/>
            <w:tcMar>
              <w:top w:w="10" w:type="dxa"/>
              <w:left w:w="10" w:type="dxa"/>
              <w:right w:w="10" w:type="dxa"/>
            </w:tcMar>
            <w:vAlign w:val="center"/>
          </w:tcPr>
          <w:p w14:paraId="4C7DA8C7"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6.06 ↑</w:t>
            </w:r>
          </w:p>
        </w:tc>
        <w:tc>
          <w:tcPr>
            <w:tcW w:w="455" w:type="pct"/>
            <w:tcBorders>
              <w:top w:val="nil"/>
              <w:left w:val="nil"/>
              <w:bottom w:val="nil"/>
              <w:right w:val="nil"/>
            </w:tcBorders>
            <w:shd w:val="clear" w:color="auto" w:fill="auto"/>
            <w:noWrap/>
            <w:tcMar>
              <w:top w:w="10" w:type="dxa"/>
              <w:left w:w="10" w:type="dxa"/>
              <w:right w:w="10" w:type="dxa"/>
            </w:tcMar>
            <w:vAlign w:val="center"/>
          </w:tcPr>
          <w:p w14:paraId="0BC0B32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4.09-5.74</w:t>
            </w:r>
          </w:p>
        </w:tc>
        <w:tc>
          <w:tcPr>
            <w:tcW w:w="754" w:type="pct"/>
            <w:tcBorders>
              <w:top w:val="nil"/>
              <w:left w:val="nil"/>
              <w:bottom w:val="nil"/>
              <w:right w:val="nil"/>
            </w:tcBorders>
            <w:shd w:val="clear" w:color="auto" w:fill="auto"/>
            <w:tcMar>
              <w:top w:w="10" w:type="dxa"/>
              <w:left w:w="10" w:type="dxa"/>
              <w:right w:w="10" w:type="dxa"/>
            </w:tcMar>
            <w:vAlign w:val="center"/>
          </w:tcPr>
          <w:p w14:paraId="7AA5EFB4"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ACTH </w:t>
            </w:r>
            <w:r w:rsidRPr="00CC4376">
              <w:rPr>
                <w:rFonts w:ascii="Book Antiqua" w:eastAsia="宋体" w:hAnsi="Book Antiqua"/>
                <w:lang w:eastAsia="zh-CN"/>
              </w:rPr>
              <w:t>12</w:t>
            </w:r>
            <w:r w:rsidRPr="00CC4376">
              <w:rPr>
                <w:rFonts w:ascii="Book Antiqua" w:eastAsia="宋体" w:hAnsi="Book Antiqua"/>
              </w:rPr>
              <w:t>am (ng/L)</w:t>
            </w:r>
          </w:p>
        </w:tc>
        <w:tc>
          <w:tcPr>
            <w:tcW w:w="311" w:type="pct"/>
            <w:tcBorders>
              <w:top w:val="nil"/>
              <w:left w:val="nil"/>
              <w:bottom w:val="nil"/>
              <w:right w:val="nil"/>
            </w:tcBorders>
            <w:shd w:val="clear" w:color="auto" w:fill="auto"/>
            <w:noWrap/>
            <w:tcMar>
              <w:top w:w="10" w:type="dxa"/>
              <w:left w:w="10" w:type="dxa"/>
              <w:right w:w="10" w:type="dxa"/>
            </w:tcMar>
            <w:vAlign w:val="center"/>
          </w:tcPr>
          <w:p w14:paraId="4AE9B4FD"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9.49</w:t>
            </w:r>
          </w:p>
        </w:tc>
        <w:tc>
          <w:tcPr>
            <w:tcW w:w="470" w:type="pct"/>
            <w:tcBorders>
              <w:top w:val="nil"/>
              <w:left w:val="nil"/>
              <w:bottom w:val="nil"/>
              <w:right w:val="nil"/>
            </w:tcBorders>
            <w:shd w:val="clear" w:color="auto" w:fill="auto"/>
            <w:noWrap/>
            <w:tcMar>
              <w:top w:w="10" w:type="dxa"/>
              <w:left w:w="10" w:type="dxa"/>
              <w:right w:w="10" w:type="dxa"/>
            </w:tcMar>
            <w:vAlign w:val="center"/>
          </w:tcPr>
          <w:p w14:paraId="02D13DA2"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&lt; 46</w:t>
            </w:r>
          </w:p>
        </w:tc>
        <w:tc>
          <w:tcPr>
            <w:tcW w:w="929" w:type="pct"/>
            <w:tcBorders>
              <w:top w:val="nil"/>
              <w:left w:val="nil"/>
              <w:bottom w:val="nil"/>
              <w:right w:val="nil"/>
            </w:tcBorders>
            <w:shd w:val="clear" w:color="auto" w:fill="auto"/>
            <w:tcMar>
              <w:top w:w="10" w:type="dxa"/>
              <w:left w:w="10" w:type="dxa"/>
              <w:right w:w="10" w:type="dxa"/>
            </w:tcMar>
            <w:vAlign w:val="center"/>
          </w:tcPr>
          <w:p w14:paraId="30361CA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erythrocyte count (10</w:t>
            </w:r>
            <w:r w:rsidRPr="00CC4376">
              <w:rPr>
                <w:rFonts w:ascii="Book Antiqua" w:eastAsia="宋体" w:hAnsi="Book Antiqua"/>
                <w:vertAlign w:val="superscript"/>
              </w:rPr>
              <w:t>6</w:t>
            </w:r>
            <w:r w:rsidRPr="00CC4376">
              <w:rPr>
                <w:rFonts w:ascii="Book Antiqua" w:eastAsia="宋体" w:hAnsi="Book Antiqua"/>
              </w:rPr>
              <w:t>/L)</w:t>
            </w:r>
          </w:p>
        </w:tc>
        <w:tc>
          <w:tcPr>
            <w:tcW w:w="360" w:type="pct"/>
            <w:tcBorders>
              <w:top w:val="nil"/>
              <w:left w:val="nil"/>
              <w:bottom w:val="nil"/>
              <w:right w:val="nil"/>
            </w:tcBorders>
            <w:shd w:val="clear" w:color="auto" w:fill="auto"/>
            <w:noWrap/>
            <w:tcMar>
              <w:top w:w="10" w:type="dxa"/>
              <w:left w:w="10" w:type="dxa"/>
              <w:right w:w="10" w:type="dxa"/>
            </w:tcMar>
            <w:vAlign w:val="center"/>
          </w:tcPr>
          <w:p w14:paraId="26F64AB4"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0</w:t>
            </w:r>
          </w:p>
        </w:tc>
        <w:tc>
          <w:tcPr>
            <w:tcW w:w="489" w:type="pct"/>
            <w:tcBorders>
              <w:top w:val="nil"/>
              <w:left w:val="nil"/>
              <w:bottom w:val="nil"/>
              <w:right w:val="nil"/>
            </w:tcBorders>
            <w:shd w:val="clear" w:color="auto" w:fill="auto"/>
            <w:noWrap/>
            <w:tcMar>
              <w:top w:w="10" w:type="dxa"/>
              <w:left w:w="10" w:type="dxa"/>
              <w:right w:w="10" w:type="dxa"/>
            </w:tcMar>
            <w:vAlign w:val="center"/>
          </w:tcPr>
          <w:p w14:paraId="519C948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0-1</w:t>
            </w:r>
          </w:p>
        </w:tc>
      </w:tr>
      <w:tr w:rsidR="00CC4376" w:rsidRPr="00CC4376" w14:paraId="154AFD38" w14:textId="77777777" w:rsidTr="00F44031">
        <w:trPr>
          <w:trHeight w:val="560"/>
        </w:trPr>
        <w:tc>
          <w:tcPr>
            <w:tcW w:w="951" w:type="pct"/>
            <w:tcBorders>
              <w:top w:val="nil"/>
              <w:left w:val="nil"/>
              <w:bottom w:val="nil"/>
              <w:right w:val="nil"/>
            </w:tcBorders>
            <w:shd w:val="clear" w:color="auto" w:fill="auto"/>
            <w:tcMar>
              <w:top w:w="10" w:type="dxa"/>
              <w:left w:w="10" w:type="dxa"/>
              <w:right w:w="10" w:type="dxa"/>
            </w:tcMar>
            <w:vAlign w:val="center"/>
          </w:tcPr>
          <w:p w14:paraId="29C40ED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Hb (g/L)</w:t>
            </w:r>
          </w:p>
        </w:tc>
        <w:tc>
          <w:tcPr>
            <w:tcW w:w="281" w:type="pct"/>
            <w:tcBorders>
              <w:top w:val="nil"/>
              <w:left w:val="nil"/>
              <w:bottom w:val="nil"/>
              <w:right w:val="nil"/>
            </w:tcBorders>
            <w:shd w:val="clear" w:color="auto" w:fill="auto"/>
            <w:noWrap/>
            <w:tcMar>
              <w:top w:w="10" w:type="dxa"/>
              <w:left w:w="10" w:type="dxa"/>
              <w:right w:w="10" w:type="dxa"/>
            </w:tcMar>
            <w:vAlign w:val="center"/>
          </w:tcPr>
          <w:p w14:paraId="617B456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126 ↓</w:t>
            </w:r>
          </w:p>
        </w:tc>
        <w:tc>
          <w:tcPr>
            <w:tcW w:w="455" w:type="pct"/>
            <w:tcBorders>
              <w:top w:val="nil"/>
              <w:left w:val="nil"/>
              <w:bottom w:val="nil"/>
              <w:right w:val="nil"/>
            </w:tcBorders>
            <w:shd w:val="clear" w:color="auto" w:fill="auto"/>
            <w:noWrap/>
            <w:tcMar>
              <w:top w:w="10" w:type="dxa"/>
              <w:left w:w="10" w:type="dxa"/>
              <w:right w:w="10" w:type="dxa"/>
            </w:tcMar>
            <w:vAlign w:val="center"/>
          </w:tcPr>
          <w:p w14:paraId="512313D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131-172</w:t>
            </w:r>
          </w:p>
        </w:tc>
        <w:tc>
          <w:tcPr>
            <w:tcW w:w="754" w:type="pct"/>
            <w:tcBorders>
              <w:top w:val="nil"/>
              <w:left w:val="nil"/>
              <w:bottom w:val="nil"/>
              <w:right w:val="nil"/>
            </w:tcBorders>
            <w:shd w:val="clear" w:color="auto" w:fill="auto"/>
            <w:tcMar>
              <w:top w:w="10" w:type="dxa"/>
              <w:left w:w="10" w:type="dxa"/>
              <w:right w:w="10" w:type="dxa"/>
            </w:tcMar>
            <w:vAlign w:val="center"/>
          </w:tcPr>
          <w:p w14:paraId="49BD874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ACTH 8am (ng/L)</w:t>
            </w:r>
          </w:p>
        </w:tc>
        <w:tc>
          <w:tcPr>
            <w:tcW w:w="311" w:type="pct"/>
            <w:tcBorders>
              <w:top w:val="nil"/>
              <w:left w:val="nil"/>
              <w:bottom w:val="nil"/>
              <w:right w:val="nil"/>
            </w:tcBorders>
            <w:shd w:val="clear" w:color="auto" w:fill="auto"/>
            <w:noWrap/>
            <w:tcMar>
              <w:top w:w="10" w:type="dxa"/>
              <w:left w:w="10" w:type="dxa"/>
              <w:right w:w="10" w:type="dxa"/>
            </w:tcMar>
            <w:vAlign w:val="center"/>
          </w:tcPr>
          <w:p w14:paraId="06FCB7D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43.64</w:t>
            </w:r>
          </w:p>
        </w:tc>
        <w:tc>
          <w:tcPr>
            <w:tcW w:w="470" w:type="pct"/>
            <w:tcBorders>
              <w:top w:val="nil"/>
              <w:left w:val="nil"/>
              <w:bottom w:val="nil"/>
              <w:right w:val="nil"/>
            </w:tcBorders>
            <w:shd w:val="clear" w:color="auto" w:fill="auto"/>
            <w:noWrap/>
            <w:tcMar>
              <w:top w:w="10" w:type="dxa"/>
              <w:left w:w="10" w:type="dxa"/>
              <w:right w:w="10" w:type="dxa"/>
            </w:tcMar>
            <w:vAlign w:val="center"/>
          </w:tcPr>
          <w:p w14:paraId="28269525"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7.2-63.0</w:t>
            </w:r>
          </w:p>
        </w:tc>
        <w:tc>
          <w:tcPr>
            <w:tcW w:w="929" w:type="pct"/>
            <w:tcBorders>
              <w:top w:val="nil"/>
              <w:left w:val="nil"/>
              <w:bottom w:val="nil"/>
              <w:right w:val="nil"/>
            </w:tcBorders>
            <w:shd w:val="clear" w:color="auto" w:fill="auto"/>
            <w:tcMar>
              <w:top w:w="10" w:type="dxa"/>
              <w:left w:w="10" w:type="dxa"/>
              <w:right w:w="10" w:type="dxa"/>
            </w:tcMar>
            <w:vAlign w:val="center"/>
          </w:tcPr>
          <w:p w14:paraId="6B346995"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karyocyte count (10</w:t>
            </w:r>
            <w:r w:rsidRPr="00CC4376">
              <w:rPr>
                <w:rFonts w:ascii="Book Antiqua" w:eastAsia="宋体" w:hAnsi="Book Antiqua"/>
                <w:vertAlign w:val="superscript"/>
              </w:rPr>
              <w:t>6</w:t>
            </w:r>
            <w:r w:rsidRPr="00CC4376">
              <w:rPr>
                <w:rFonts w:ascii="Book Antiqua" w:eastAsia="宋体" w:hAnsi="Book Antiqua"/>
              </w:rPr>
              <w:t>/L)</w:t>
            </w:r>
          </w:p>
        </w:tc>
        <w:tc>
          <w:tcPr>
            <w:tcW w:w="360" w:type="pct"/>
            <w:tcBorders>
              <w:top w:val="nil"/>
              <w:left w:val="nil"/>
              <w:bottom w:val="nil"/>
              <w:right w:val="nil"/>
            </w:tcBorders>
            <w:shd w:val="clear" w:color="auto" w:fill="auto"/>
            <w:noWrap/>
            <w:tcMar>
              <w:top w:w="10" w:type="dxa"/>
              <w:left w:w="10" w:type="dxa"/>
              <w:right w:w="10" w:type="dxa"/>
            </w:tcMar>
            <w:vAlign w:val="center"/>
          </w:tcPr>
          <w:p w14:paraId="54C35B5C"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2</w:t>
            </w:r>
          </w:p>
        </w:tc>
        <w:tc>
          <w:tcPr>
            <w:tcW w:w="489" w:type="pct"/>
            <w:tcBorders>
              <w:top w:val="nil"/>
              <w:left w:val="nil"/>
              <w:bottom w:val="nil"/>
              <w:right w:val="nil"/>
            </w:tcBorders>
            <w:shd w:val="clear" w:color="auto" w:fill="auto"/>
            <w:noWrap/>
            <w:tcMar>
              <w:top w:w="10" w:type="dxa"/>
              <w:left w:w="10" w:type="dxa"/>
              <w:right w:w="10" w:type="dxa"/>
            </w:tcMar>
            <w:vAlign w:val="center"/>
          </w:tcPr>
          <w:p w14:paraId="6594B75B"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6-10</w:t>
            </w:r>
          </w:p>
        </w:tc>
      </w:tr>
      <w:tr w:rsidR="00CC4376" w:rsidRPr="00CC4376" w14:paraId="2B18E804" w14:textId="77777777" w:rsidTr="00F44031">
        <w:trPr>
          <w:trHeight w:val="540"/>
        </w:trPr>
        <w:tc>
          <w:tcPr>
            <w:tcW w:w="951" w:type="pct"/>
            <w:tcBorders>
              <w:top w:val="nil"/>
              <w:left w:val="nil"/>
              <w:bottom w:val="nil"/>
              <w:right w:val="nil"/>
            </w:tcBorders>
            <w:shd w:val="clear" w:color="auto" w:fill="auto"/>
            <w:tcMar>
              <w:top w:w="10" w:type="dxa"/>
              <w:left w:w="10" w:type="dxa"/>
              <w:right w:w="10" w:type="dxa"/>
            </w:tcMar>
            <w:vAlign w:val="center"/>
          </w:tcPr>
          <w:p w14:paraId="78E11B0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ESR (mm/h)</w:t>
            </w:r>
          </w:p>
        </w:tc>
        <w:tc>
          <w:tcPr>
            <w:tcW w:w="281" w:type="pct"/>
            <w:tcBorders>
              <w:top w:val="nil"/>
              <w:left w:val="nil"/>
              <w:bottom w:val="nil"/>
              <w:right w:val="nil"/>
            </w:tcBorders>
            <w:shd w:val="clear" w:color="auto" w:fill="auto"/>
            <w:noWrap/>
            <w:tcMar>
              <w:top w:w="10" w:type="dxa"/>
              <w:left w:w="10" w:type="dxa"/>
              <w:right w:w="10" w:type="dxa"/>
            </w:tcMar>
            <w:vAlign w:val="center"/>
          </w:tcPr>
          <w:p w14:paraId="6ED75CB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26 ↑</w:t>
            </w:r>
          </w:p>
        </w:tc>
        <w:tc>
          <w:tcPr>
            <w:tcW w:w="455" w:type="pct"/>
            <w:tcBorders>
              <w:top w:val="nil"/>
              <w:left w:val="nil"/>
              <w:bottom w:val="nil"/>
              <w:right w:val="nil"/>
            </w:tcBorders>
            <w:shd w:val="clear" w:color="auto" w:fill="auto"/>
            <w:noWrap/>
            <w:tcMar>
              <w:top w:w="10" w:type="dxa"/>
              <w:left w:w="10" w:type="dxa"/>
              <w:right w:w="10" w:type="dxa"/>
            </w:tcMar>
            <w:vAlign w:val="center"/>
          </w:tcPr>
          <w:p w14:paraId="570C017D"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0-15</w:t>
            </w:r>
          </w:p>
        </w:tc>
        <w:tc>
          <w:tcPr>
            <w:tcW w:w="754" w:type="pct"/>
            <w:tcBorders>
              <w:top w:val="nil"/>
              <w:left w:val="nil"/>
              <w:bottom w:val="nil"/>
              <w:right w:val="nil"/>
            </w:tcBorders>
            <w:shd w:val="clear" w:color="auto" w:fill="auto"/>
            <w:tcMar>
              <w:top w:w="10" w:type="dxa"/>
              <w:left w:w="10" w:type="dxa"/>
              <w:right w:w="10" w:type="dxa"/>
            </w:tcMar>
            <w:vAlign w:val="center"/>
          </w:tcPr>
          <w:p w14:paraId="02A1F6C0"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ACTH 4pm (ng/L)</w:t>
            </w:r>
          </w:p>
        </w:tc>
        <w:tc>
          <w:tcPr>
            <w:tcW w:w="311" w:type="pct"/>
            <w:tcBorders>
              <w:top w:val="nil"/>
              <w:left w:val="nil"/>
              <w:bottom w:val="nil"/>
              <w:right w:val="nil"/>
            </w:tcBorders>
            <w:shd w:val="clear" w:color="auto" w:fill="auto"/>
            <w:noWrap/>
            <w:tcMar>
              <w:top w:w="10" w:type="dxa"/>
              <w:left w:w="10" w:type="dxa"/>
              <w:right w:w="10" w:type="dxa"/>
            </w:tcMar>
            <w:vAlign w:val="center"/>
          </w:tcPr>
          <w:p w14:paraId="1A83CB2A"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13.18</w:t>
            </w:r>
          </w:p>
        </w:tc>
        <w:tc>
          <w:tcPr>
            <w:tcW w:w="470" w:type="pct"/>
            <w:tcBorders>
              <w:top w:val="nil"/>
              <w:left w:val="nil"/>
              <w:bottom w:val="nil"/>
              <w:right w:val="nil"/>
            </w:tcBorders>
            <w:shd w:val="clear" w:color="auto" w:fill="auto"/>
            <w:noWrap/>
            <w:tcMar>
              <w:top w:w="10" w:type="dxa"/>
              <w:left w:w="10" w:type="dxa"/>
              <w:right w:w="10" w:type="dxa"/>
            </w:tcMar>
            <w:vAlign w:val="center"/>
          </w:tcPr>
          <w:p w14:paraId="4D15D291"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&lt; 46</w:t>
            </w:r>
          </w:p>
        </w:tc>
        <w:tc>
          <w:tcPr>
            <w:tcW w:w="929" w:type="pct"/>
            <w:tcBorders>
              <w:top w:val="nil"/>
              <w:left w:val="nil"/>
              <w:bottom w:val="nil"/>
              <w:right w:val="nil"/>
            </w:tcBorders>
            <w:shd w:val="clear" w:color="auto" w:fill="auto"/>
            <w:tcMar>
              <w:top w:w="10" w:type="dxa"/>
              <w:left w:w="10" w:type="dxa"/>
              <w:right w:w="10" w:type="dxa"/>
            </w:tcMar>
            <w:vAlign w:val="center"/>
          </w:tcPr>
          <w:p w14:paraId="593BDA05"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protein (mg/L)</w:t>
            </w:r>
          </w:p>
        </w:tc>
        <w:tc>
          <w:tcPr>
            <w:tcW w:w="360" w:type="pct"/>
            <w:tcBorders>
              <w:top w:val="nil"/>
              <w:left w:val="nil"/>
              <w:bottom w:val="nil"/>
              <w:right w:val="nil"/>
            </w:tcBorders>
            <w:shd w:val="clear" w:color="auto" w:fill="auto"/>
            <w:noWrap/>
            <w:tcMar>
              <w:top w:w="10" w:type="dxa"/>
              <w:left w:w="10" w:type="dxa"/>
              <w:right w:w="10" w:type="dxa"/>
            </w:tcMar>
            <w:vAlign w:val="center"/>
          </w:tcPr>
          <w:p w14:paraId="6827C76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680.4 ↑</w:t>
            </w:r>
          </w:p>
        </w:tc>
        <w:tc>
          <w:tcPr>
            <w:tcW w:w="489" w:type="pct"/>
            <w:tcBorders>
              <w:top w:val="nil"/>
              <w:left w:val="nil"/>
              <w:bottom w:val="nil"/>
              <w:right w:val="nil"/>
            </w:tcBorders>
            <w:shd w:val="clear" w:color="auto" w:fill="auto"/>
            <w:noWrap/>
            <w:tcMar>
              <w:top w:w="10" w:type="dxa"/>
              <w:left w:w="10" w:type="dxa"/>
              <w:right w:w="10" w:type="dxa"/>
            </w:tcMar>
            <w:vAlign w:val="center"/>
          </w:tcPr>
          <w:p w14:paraId="5918E513"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150-450</w:t>
            </w:r>
          </w:p>
        </w:tc>
      </w:tr>
      <w:tr w:rsidR="00CC4376" w:rsidRPr="00CC4376" w14:paraId="1CD47604" w14:textId="77777777" w:rsidTr="00F44031">
        <w:trPr>
          <w:trHeight w:val="720"/>
        </w:trPr>
        <w:tc>
          <w:tcPr>
            <w:tcW w:w="951" w:type="pct"/>
            <w:tcBorders>
              <w:top w:val="nil"/>
              <w:left w:val="nil"/>
              <w:bottom w:val="nil"/>
              <w:right w:val="nil"/>
            </w:tcBorders>
            <w:shd w:val="clear" w:color="auto" w:fill="auto"/>
            <w:tcMar>
              <w:top w:w="10" w:type="dxa"/>
              <w:left w:w="10" w:type="dxa"/>
              <w:right w:w="10" w:type="dxa"/>
            </w:tcMar>
            <w:vAlign w:val="center"/>
          </w:tcPr>
          <w:p w14:paraId="75899A5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Free fatty acid (μmol/L)</w:t>
            </w:r>
          </w:p>
        </w:tc>
        <w:tc>
          <w:tcPr>
            <w:tcW w:w="281" w:type="pct"/>
            <w:tcBorders>
              <w:top w:val="nil"/>
              <w:left w:val="nil"/>
              <w:bottom w:val="nil"/>
              <w:right w:val="nil"/>
            </w:tcBorders>
            <w:shd w:val="clear" w:color="auto" w:fill="auto"/>
            <w:noWrap/>
            <w:tcMar>
              <w:top w:w="10" w:type="dxa"/>
              <w:left w:w="10" w:type="dxa"/>
              <w:right w:w="10" w:type="dxa"/>
            </w:tcMar>
            <w:vAlign w:val="center"/>
          </w:tcPr>
          <w:p w14:paraId="3AF236D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1127.7 ↑</w:t>
            </w:r>
          </w:p>
        </w:tc>
        <w:tc>
          <w:tcPr>
            <w:tcW w:w="455" w:type="pct"/>
            <w:tcBorders>
              <w:top w:val="nil"/>
              <w:left w:val="nil"/>
              <w:bottom w:val="nil"/>
              <w:right w:val="nil"/>
            </w:tcBorders>
            <w:shd w:val="clear" w:color="auto" w:fill="auto"/>
            <w:noWrap/>
            <w:tcMar>
              <w:top w:w="10" w:type="dxa"/>
              <w:left w:w="10" w:type="dxa"/>
              <w:right w:w="10" w:type="dxa"/>
            </w:tcMar>
            <w:vAlign w:val="center"/>
          </w:tcPr>
          <w:p w14:paraId="792DFA04"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100-760</w:t>
            </w:r>
          </w:p>
        </w:tc>
        <w:tc>
          <w:tcPr>
            <w:tcW w:w="754" w:type="pct"/>
            <w:tcBorders>
              <w:top w:val="nil"/>
              <w:left w:val="nil"/>
              <w:bottom w:val="nil"/>
              <w:right w:val="nil"/>
            </w:tcBorders>
            <w:shd w:val="clear" w:color="auto" w:fill="auto"/>
            <w:tcMar>
              <w:top w:w="10" w:type="dxa"/>
              <w:left w:w="10" w:type="dxa"/>
              <w:right w:w="10" w:type="dxa"/>
            </w:tcMar>
            <w:vAlign w:val="center"/>
          </w:tcPr>
          <w:p w14:paraId="73DD6296"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Serum cortisol </w:t>
            </w:r>
            <w:r w:rsidRPr="00CC4376">
              <w:rPr>
                <w:rFonts w:ascii="Book Antiqua" w:eastAsia="宋体" w:hAnsi="Book Antiqua"/>
                <w:lang w:eastAsia="zh-CN"/>
              </w:rPr>
              <w:t>12</w:t>
            </w:r>
            <w:r w:rsidRPr="00CC4376">
              <w:rPr>
                <w:rFonts w:ascii="Book Antiqua" w:eastAsia="宋体" w:hAnsi="Book Antiqua"/>
              </w:rPr>
              <w:t>am (μg/L)</w:t>
            </w:r>
          </w:p>
        </w:tc>
        <w:tc>
          <w:tcPr>
            <w:tcW w:w="311" w:type="pct"/>
            <w:tcBorders>
              <w:top w:val="nil"/>
              <w:left w:val="nil"/>
              <w:bottom w:val="nil"/>
              <w:right w:val="nil"/>
            </w:tcBorders>
            <w:shd w:val="clear" w:color="auto" w:fill="auto"/>
            <w:noWrap/>
            <w:tcMar>
              <w:top w:w="10" w:type="dxa"/>
              <w:left w:w="10" w:type="dxa"/>
              <w:right w:w="10" w:type="dxa"/>
            </w:tcMar>
            <w:vAlign w:val="center"/>
          </w:tcPr>
          <w:p w14:paraId="0F1C0D81"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165.92</w:t>
            </w:r>
          </w:p>
        </w:tc>
        <w:tc>
          <w:tcPr>
            <w:tcW w:w="470" w:type="pct"/>
            <w:tcBorders>
              <w:top w:val="nil"/>
              <w:left w:val="nil"/>
              <w:bottom w:val="nil"/>
              <w:right w:val="nil"/>
            </w:tcBorders>
            <w:shd w:val="clear" w:color="auto" w:fill="auto"/>
            <w:noWrap/>
            <w:tcMar>
              <w:top w:w="10" w:type="dxa"/>
              <w:left w:w="10" w:type="dxa"/>
              <w:right w:w="10" w:type="dxa"/>
            </w:tcMar>
            <w:vAlign w:val="center"/>
          </w:tcPr>
          <w:p w14:paraId="423ECED4"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None</w:t>
            </w:r>
          </w:p>
        </w:tc>
        <w:tc>
          <w:tcPr>
            <w:tcW w:w="929" w:type="pct"/>
            <w:tcBorders>
              <w:top w:val="nil"/>
              <w:left w:val="nil"/>
              <w:bottom w:val="nil"/>
              <w:right w:val="nil"/>
            </w:tcBorders>
            <w:shd w:val="clear" w:color="auto" w:fill="auto"/>
            <w:tcMar>
              <w:top w:w="10" w:type="dxa"/>
              <w:left w:w="10" w:type="dxa"/>
              <w:right w:w="10" w:type="dxa"/>
            </w:tcMar>
            <w:vAlign w:val="center"/>
          </w:tcPr>
          <w:p w14:paraId="7E9160F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Cl</w:t>
            </w:r>
            <w:r w:rsidRPr="00CC4376">
              <w:rPr>
                <w:rFonts w:ascii="Book Antiqua" w:eastAsia="宋体" w:hAnsi="Book Antiqua"/>
                <w:vertAlign w:val="superscript"/>
              </w:rPr>
              <w:t xml:space="preserve">- </w:t>
            </w:r>
            <w:r w:rsidRPr="00CC4376">
              <w:rPr>
                <w:rFonts w:ascii="Book Antiqua" w:eastAsia="宋体" w:hAnsi="Book Antiqua"/>
              </w:rPr>
              <w:t>(mmol/L)</w:t>
            </w:r>
          </w:p>
        </w:tc>
        <w:tc>
          <w:tcPr>
            <w:tcW w:w="360" w:type="pct"/>
            <w:tcBorders>
              <w:top w:val="nil"/>
              <w:left w:val="nil"/>
              <w:bottom w:val="nil"/>
              <w:right w:val="nil"/>
            </w:tcBorders>
            <w:shd w:val="clear" w:color="auto" w:fill="auto"/>
            <w:noWrap/>
            <w:tcMar>
              <w:top w:w="10" w:type="dxa"/>
              <w:left w:w="10" w:type="dxa"/>
              <w:right w:w="10" w:type="dxa"/>
            </w:tcMar>
            <w:vAlign w:val="center"/>
          </w:tcPr>
          <w:p w14:paraId="2A430981"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133.6 ↑</w:t>
            </w:r>
          </w:p>
        </w:tc>
        <w:tc>
          <w:tcPr>
            <w:tcW w:w="489" w:type="pct"/>
            <w:tcBorders>
              <w:top w:val="nil"/>
              <w:left w:val="nil"/>
              <w:bottom w:val="nil"/>
              <w:right w:val="nil"/>
            </w:tcBorders>
            <w:shd w:val="clear" w:color="auto" w:fill="auto"/>
            <w:noWrap/>
            <w:tcMar>
              <w:top w:w="10" w:type="dxa"/>
              <w:left w:w="10" w:type="dxa"/>
              <w:right w:w="10" w:type="dxa"/>
            </w:tcMar>
            <w:vAlign w:val="center"/>
          </w:tcPr>
          <w:p w14:paraId="68D05EDF"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112-120</w:t>
            </w:r>
          </w:p>
        </w:tc>
      </w:tr>
      <w:tr w:rsidR="00CC4376" w:rsidRPr="00CC4376" w14:paraId="64979A51" w14:textId="77777777" w:rsidTr="00F44031">
        <w:trPr>
          <w:trHeight w:val="786"/>
        </w:trPr>
        <w:tc>
          <w:tcPr>
            <w:tcW w:w="951" w:type="pct"/>
            <w:tcBorders>
              <w:top w:val="nil"/>
              <w:left w:val="nil"/>
              <w:bottom w:val="nil"/>
              <w:right w:val="nil"/>
            </w:tcBorders>
            <w:shd w:val="clear" w:color="auto" w:fill="auto"/>
            <w:tcMar>
              <w:top w:w="10" w:type="dxa"/>
              <w:left w:w="10" w:type="dxa"/>
              <w:right w:w="10" w:type="dxa"/>
            </w:tcMar>
            <w:vAlign w:val="center"/>
          </w:tcPr>
          <w:p w14:paraId="1DC04B9A"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HDL-cholester</w:t>
            </w:r>
            <w:r w:rsidRPr="00CC4376">
              <w:rPr>
                <w:rFonts w:ascii="Book Antiqua" w:eastAsia="宋体" w:hAnsi="Book Antiqua"/>
              </w:rPr>
              <w:lastRenderedPageBreak/>
              <w:t>ol (</w:t>
            </w:r>
            <w:r w:rsidRPr="00CC4376">
              <w:rPr>
                <w:rFonts w:ascii="Book Antiqua" w:hAnsi="Book Antiqua"/>
              </w:rPr>
              <w:t>mmol/L</w:t>
            </w:r>
            <w:r w:rsidRPr="00CC4376">
              <w:rPr>
                <w:rFonts w:ascii="Book Antiqua" w:eastAsia="宋体" w:hAnsi="Book Antiqua"/>
              </w:rPr>
              <w:t>)</w:t>
            </w:r>
          </w:p>
        </w:tc>
        <w:tc>
          <w:tcPr>
            <w:tcW w:w="281" w:type="pct"/>
            <w:tcBorders>
              <w:top w:val="nil"/>
              <w:left w:val="nil"/>
              <w:bottom w:val="nil"/>
              <w:right w:val="nil"/>
            </w:tcBorders>
            <w:shd w:val="clear" w:color="auto" w:fill="auto"/>
            <w:noWrap/>
            <w:tcMar>
              <w:top w:w="10" w:type="dxa"/>
              <w:left w:w="10" w:type="dxa"/>
              <w:right w:w="10" w:type="dxa"/>
            </w:tcMar>
            <w:vAlign w:val="center"/>
          </w:tcPr>
          <w:p w14:paraId="752105B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hAnsi="Book Antiqua"/>
              </w:rPr>
              <w:lastRenderedPageBreak/>
              <w:t xml:space="preserve">0.73 </w:t>
            </w:r>
            <w:r w:rsidRPr="00CC4376">
              <w:rPr>
                <w:rFonts w:ascii="Book Antiqua" w:eastAsia="宋体" w:hAnsi="Book Antiqua"/>
              </w:rPr>
              <w:t>↓</w:t>
            </w:r>
          </w:p>
        </w:tc>
        <w:tc>
          <w:tcPr>
            <w:tcW w:w="455" w:type="pct"/>
            <w:tcBorders>
              <w:top w:val="nil"/>
              <w:left w:val="nil"/>
              <w:bottom w:val="nil"/>
              <w:right w:val="nil"/>
            </w:tcBorders>
            <w:shd w:val="clear" w:color="auto" w:fill="auto"/>
            <w:noWrap/>
            <w:tcMar>
              <w:top w:w="10" w:type="dxa"/>
              <w:left w:w="10" w:type="dxa"/>
              <w:right w:w="10" w:type="dxa"/>
            </w:tcMar>
            <w:vAlign w:val="center"/>
          </w:tcPr>
          <w:p w14:paraId="0EE65013"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0.90-2.19</w:t>
            </w:r>
          </w:p>
        </w:tc>
        <w:tc>
          <w:tcPr>
            <w:tcW w:w="754" w:type="pct"/>
            <w:tcBorders>
              <w:top w:val="nil"/>
              <w:left w:val="nil"/>
              <w:bottom w:val="nil"/>
              <w:right w:val="nil"/>
            </w:tcBorders>
            <w:shd w:val="clear" w:color="auto" w:fill="auto"/>
            <w:tcMar>
              <w:top w:w="10" w:type="dxa"/>
              <w:left w:w="10" w:type="dxa"/>
              <w:right w:w="10" w:type="dxa"/>
            </w:tcMar>
            <w:vAlign w:val="center"/>
          </w:tcPr>
          <w:p w14:paraId="349A9AB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Serum cortisol </w:t>
            </w:r>
            <w:r w:rsidRPr="00CC4376">
              <w:rPr>
                <w:rFonts w:ascii="Book Antiqua" w:eastAsia="宋体" w:hAnsi="Book Antiqua"/>
              </w:rPr>
              <w:lastRenderedPageBreak/>
              <w:t>8am (μg/L)</w:t>
            </w:r>
          </w:p>
        </w:tc>
        <w:tc>
          <w:tcPr>
            <w:tcW w:w="311" w:type="pct"/>
            <w:tcBorders>
              <w:top w:val="nil"/>
              <w:left w:val="nil"/>
              <w:bottom w:val="nil"/>
              <w:right w:val="nil"/>
            </w:tcBorders>
            <w:shd w:val="clear" w:color="auto" w:fill="auto"/>
            <w:noWrap/>
            <w:tcMar>
              <w:top w:w="10" w:type="dxa"/>
              <w:left w:w="10" w:type="dxa"/>
              <w:right w:w="10" w:type="dxa"/>
            </w:tcMar>
            <w:vAlign w:val="center"/>
          </w:tcPr>
          <w:p w14:paraId="2A2EC9C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lastRenderedPageBreak/>
              <w:t>267.83</w:t>
            </w:r>
          </w:p>
        </w:tc>
        <w:tc>
          <w:tcPr>
            <w:tcW w:w="470" w:type="pct"/>
            <w:tcBorders>
              <w:top w:val="nil"/>
              <w:left w:val="nil"/>
              <w:bottom w:val="nil"/>
              <w:right w:val="nil"/>
            </w:tcBorders>
            <w:shd w:val="clear" w:color="auto" w:fill="auto"/>
            <w:noWrap/>
            <w:tcMar>
              <w:top w:w="10" w:type="dxa"/>
              <w:left w:w="10" w:type="dxa"/>
              <w:right w:w="10" w:type="dxa"/>
            </w:tcMar>
            <w:vAlign w:val="center"/>
          </w:tcPr>
          <w:p w14:paraId="5FFED870"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52.7-224.5</w:t>
            </w:r>
          </w:p>
        </w:tc>
        <w:tc>
          <w:tcPr>
            <w:tcW w:w="929" w:type="pct"/>
            <w:tcBorders>
              <w:top w:val="nil"/>
              <w:left w:val="nil"/>
              <w:bottom w:val="nil"/>
              <w:right w:val="nil"/>
            </w:tcBorders>
            <w:shd w:val="clear" w:color="auto" w:fill="auto"/>
            <w:tcMar>
              <w:top w:w="10" w:type="dxa"/>
              <w:left w:w="10" w:type="dxa"/>
              <w:right w:w="10" w:type="dxa"/>
            </w:tcMar>
            <w:vAlign w:val="center"/>
          </w:tcPr>
          <w:p w14:paraId="4EC22D0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CSF glucose </w:t>
            </w:r>
            <w:r w:rsidRPr="00CC4376">
              <w:rPr>
                <w:rFonts w:ascii="Book Antiqua" w:eastAsia="宋体" w:hAnsi="Book Antiqua"/>
              </w:rPr>
              <w:lastRenderedPageBreak/>
              <w:t>(mmol/L)</w:t>
            </w:r>
          </w:p>
        </w:tc>
        <w:tc>
          <w:tcPr>
            <w:tcW w:w="360" w:type="pct"/>
            <w:tcBorders>
              <w:top w:val="nil"/>
              <w:left w:val="nil"/>
              <w:bottom w:val="nil"/>
              <w:right w:val="nil"/>
            </w:tcBorders>
            <w:shd w:val="clear" w:color="auto" w:fill="auto"/>
            <w:noWrap/>
            <w:tcMar>
              <w:top w:w="10" w:type="dxa"/>
              <w:left w:w="10" w:type="dxa"/>
              <w:right w:w="10" w:type="dxa"/>
            </w:tcMar>
            <w:vAlign w:val="center"/>
          </w:tcPr>
          <w:p w14:paraId="0A467EC6"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lastRenderedPageBreak/>
              <w:t>4.32</w:t>
            </w:r>
          </w:p>
        </w:tc>
        <w:tc>
          <w:tcPr>
            <w:tcW w:w="489" w:type="pct"/>
            <w:tcBorders>
              <w:top w:val="nil"/>
              <w:left w:val="nil"/>
              <w:bottom w:val="nil"/>
              <w:right w:val="nil"/>
            </w:tcBorders>
            <w:shd w:val="clear" w:color="auto" w:fill="auto"/>
            <w:noWrap/>
            <w:tcMar>
              <w:top w:w="10" w:type="dxa"/>
              <w:left w:w="10" w:type="dxa"/>
              <w:right w:w="10" w:type="dxa"/>
            </w:tcMar>
            <w:vAlign w:val="center"/>
          </w:tcPr>
          <w:p w14:paraId="4D7A36DD"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1.5-4.5</w:t>
            </w:r>
          </w:p>
        </w:tc>
      </w:tr>
      <w:tr w:rsidR="00CC4376" w:rsidRPr="00CC4376" w14:paraId="188E9641" w14:textId="77777777" w:rsidTr="00F44031">
        <w:trPr>
          <w:trHeight w:val="620"/>
        </w:trPr>
        <w:tc>
          <w:tcPr>
            <w:tcW w:w="951" w:type="pct"/>
            <w:tcBorders>
              <w:top w:val="nil"/>
              <w:left w:val="nil"/>
              <w:bottom w:val="nil"/>
              <w:right w:val="nil"/>
            </w:tcBorders>
            <w:shd w:val="clear" w:color="auto" w:fill="auto"/>
            <w:tcMar>
              <w:top w:w="10" w:type="dxa"/>
              <w:left w:w="10" w:type="dxa"/>
              <w:right w:w="10" w:type="dxa"/>
            </w:tcMar>
            <w:vAlign w:val="center"/>
          </w:tcPr>
          <w:p w14:paraId="2708140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Prolactin (mIU/L)</w:t>
            </w:r>
          </w:p>
        </w:tc>
        <w:tc>
          <w:tcPr>
            <w:tcW w:w="281" w:type="pct"/>
            <w:tcBorders>
              <w:top w:val="nil"/>
              <w:left w:val="nil"/>
              <w:bottom w:val="nil"/>
              <w:right w:val="nil"/>
            </w:tcBorders>
            <w:shd w:val="clear" w:color="auto" w:fill="auto"/>
            <w:noWrap/>
            <w:tcMar>
              <w:top w:w="10" w:type="dxa"/>
              <w:left w:w="10" w:type="dxa"/>
              <w:right w:w="10" w:type="dxa"/>
            </w:tcMar>
            <w:vAlign w:val="center"/>
          </w:tcPr>
          <w:p w14:paraId="7BF635D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335 ↑</w:t>
            </w:r>
          </w:p>
        </w:tc>
        <w:tc>
          <w:tcPr>
            <w:tcW w:w="455" w:type="pct"/>
            <w:tcBorders>
              <w:top w:val="nil"/>
              <w:left w:val="nil"/>
              <w:bottom w:val="nil"/>
              <w:right w:val="nil"/>
            </w:tcBorders>
            <w:shd w:val="clear" w:color="auto" w:fill="auto"/>
            <w:noWrap/>
            <w:tcMar>
              <w:top w:w="10" w:type="dxa"/>
              <w:left w:w="10" w:type="dxa"/>
              <w:right w:w="10" w:type="dxa"/>
            </w:tcMar>
            <w:vAlign w:val="center"/>
          </w:tcPr>
          <w:p w14:paraId="2F7DB595"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55.96-278.35</w:t>
            </w:r>
          </w:p>
        </w:tc>
        <w:tc>
          <w:tcPr>
            <w:tcW w:w="754" w:type="pct"/>
            <w:tcBorders>
              <w:top w:val="nil"/>
              <w:left w:val="nil"/>
              <w:bottom w:val="nil"/>
              <w:right w:val="nil"/>
            </w:tcBorders>
            <w:shd w:val="clear" w:color="auto" w:fill="auto"/>
            <w:tcMar>
              <w:top w:w="10" w:type="dxa"/>
              <w:left w:w="10" w:type="dxa"/>
              <w:right w:w="10" w:type="dxa"/>
            </w:tcMar>
            <w:vAlign w:val="center"/>
          </w:tcPr>
          <w:p w14:paraId="04ABDB7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Serum cortisol 4pm (μg/L)</w:t>
            </w:r>
          </w:p>
        </w:tc>
        <w:tc>
          <w:tcPr>
            <w:tcW w:w="311" w:type="pct"/>
            <w:tcBorders>
              <w:top w:val="nil"/>
              <w:left w:val="nil"/>
              <w:bottom w:val="nil"/>
              <w:right w:val="nil"/>
            </w:tcBorders>
            <w:shd w:val="clear" w:color="auto" w:fill="auto"/>
            <w:noWrap/>
            <w:tcMar>
              <w:top w:w="10" w:type="dxa"/>
              <w:left w:w="10" w:type="dxa"/>
              <w:right w:w="10" w:type="dxa"/>
            </w:tcMar>
            <w:vAlign w:val="center"/>
          </w:tcPr>
          <w:p w14:paraId="50101364"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85.45</w:t>
            </w:r>
          </w:p>
        </w:tc>
        <w:tc>
          <w:tcPr>
            <w:tcW w:w="470" w:type="pct"/>
            <w:tcBorders>
              <w:top w:val="nil"/>
              <w:left w:val="nil"/>
              <w:bottom w:val="nil"/>
              <w:right w:val="nil"/>
            </w:tcBorders>
            <w:shd w:val="clear" w:color="auto" w:fill="auto"/>
            <w:noWrap/>
            <w:tcMar>
              <w:top w:w="10" w:type="dxa"/>
              <w:left w:w="10" w:type="dxa"/>
              <w:right w:w="10" w:type="dxa"/>
            </w:tcMar>
            <w:vAlign w:val="center"/>
          </w:tcPr>
          <w:p w14:paraId="13C4BA06"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34.4-167.6</w:t>
            </w:r>
          </w:p>
        </w:tc>
        <w:tc>
          <w:tcPr>
            <w:tcW w:w="929" w:type="pct"/>
            <w:tcBorders>
              <w:top w:val="nil"/>
              <w:left w:val="nil"/>
              <w:bottom w:val="nil"/>
              <w:right w:val="nil"/>
            </w:tcBorders>
            <w:shd w:val="clear" w:color="auto" w:fill="auto"/>
            <w:tcMar>
              <w:top w:w="10" w:type="dxa"/>
              <w:left w:w="10" w:type="dxa"/>
              <w:right w:w="10" w:type="dxa"/>
            </w:tcMar>
            <w:vAlign w:val="center"/>
          </w:tcPr>
          <w:p w14:paraId="7D2131B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adenosine deaminase (U/L)</w:t>
            </w:r>
          </w:p>
        </w:tc>
        <w:tc>
          <w:tcPr>
            <w:tcW w:w="360" w:type="pct"/>
            <w:tcBorders>
              <w:top w:val="nil"/>
              <w:left w:val="nil"/>
              <w:bottom w:val="nil"/>
              <w:right w:val="nil"/>
            </w:tcBorders>
            <w:shd w:val="clear" w:color="auto" w:fill="auto"/>
            <w:noWrap/>
            <w:tcMar>
              <w:top w:w="10" w:type="dxa"/>
              <w:left w:w="10" w:type="dxa"/>
              <w:right w:w="10" w:type="dxa"/>
            </w:tcMar>
            <w:vAlign w:val="center"/>
          </w:tcPr>
          <w:p w14:paraId="7D7D733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w:t>
            </w:r>
          </w:p>
        </w:tc>
        <w:tc>
          <w:tcPr>
            <w:tcW w:w="489" w:type="pct"/>
            <w:tcBorders>
              <w:top w:val="nil"/>
              <w:left w:val="nil"/>
              <w:bottom w:val="nil"/>
              <w:right w:val="nil"/>
            </w:tcBorders>
            <w:shd w:val="clear" w:color="auto" w:fill="auto"/>
            <w:noWrap/>
            <w:tcMar>
              <w:top w:w="10" w:type="dxa"/>
              <w:left w:w="10" w:type="dxa"/>
              <w:right w:w="10" w:type="dxa"/>
            </w:tcMar>
            <w:vAlign w:val="center"/>
          </w:tcPr>
          <w:p w14:paraId="50BA5CFF"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0-5</w:t>
            </w:r>
          </w:p>
        </w:tc>
      </w:tr>
      <w:tr w:rsidR="00CC4376" w:rsidRPr="00CC4376" w14:paraId="7AAEA0DB" w14:textId="77777777" w:rsidTr="00F44031">
        <w:trPr>
          <w:trHeight w:val="620"/>
        </w:trPr>
        <w:tc>
          <w:tcPr>
            <w:tcW w:w="951" w:type="pct"/>
            <w:tcBorders>
              <w:top w:val="nil"/>
              <w:left w:val="nil"/>
              <w:bottom w:val="single" w:sz="4" w:space="0" w:color="000000"/>
              <w:right w:val="nil"/>
            </w:tcBorders>
            <w:shd w:val="clear" w:color="auto" w:fill="auto"/>
            <w:tcMar>
              <w:top w:w="10" w:type="dxa"/>
              <w:left w:w="10" w:type="dxa"/>
              <w:right w:w="10" w:type="dxa"/>
            </w:tcMar>
            <w:vAlign w:val="center"/>
          </w:tcPr>
          <w:p w14:paraId="3126F981"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High sensitivity thyrotropin (mIU/L)</w:t>
            </w:r>
          </w:p>
        </w:tc>
        <w:tc>
          <w:tcPr>
            <w:tcW w:w="281" w:type="pct"/>
            <w:tcBorders>
              <w:top w:val="nil"/>
              <w:left w:val="nil"/>
              <w:bottom w:val="single" w:sz="4" w:space="0" w:color="000000"/>
              <w:right w:val="nil"/>
            </w:tcBorders>
            <w:shd w:val="clear" w:color="auto" w:fill="auto"/>
            <w:noWrap/>
            <w:tcMar>
              <w:top w:w="10" w:type="dxa"/>
              <w:left w:w="10" w:type="dxa"/>
              <w:right w:w="10" w:type="dxa"/>
            </w:tcMar>
            <w:vAlign w:val="center"/>
          </w:tcPr>
          <w:p w14:paraId="3F3EA50D"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0.24 ↓</w:t>
            </w:r>
          </w:p>
        </w:tc>
        <w:tc>
          <w:tcPr>
            <w:tcW w:w="455" w:type="pct"/>
            <w:tcBorders>
              <w:top w:val="nil"/>
              <w:left w:val="nil"/>
              <w:bottom w:val="single" w:sz="4" w:space="0" w:color="000000"/>
              <w:right w:val="nil"/>
            </w:tcBorders>
            <w:shd w:val="clear" w:color="auto" w:fill="auto"/>
            <w:noWrap/>
            <w:tcMar>
              <w:top w:w="10" w:type="dxa"/>
              <w:left w:w="10" w:type="dxa"/>
              <w:right w:w="10" w:type="dxa"/>
            </w:tcMar>
            <w:vAlign w:val="center"/>
          </w:tcPr>
          <w:p w14:paraId="614EBFBC"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0.38-5.58</w:t>
            </w:r>
          </w:p>
        </w:tc>
        <w:tc>
          <w:tcPr>
            <w:tcW w:w="754" w:type="pct"/>
            <w:tcBorders>
              <w:top w:val="nil"/>
              <w:left w:val="nil"/>
              <w:bottom w:val="single" w:sz="4" w:space="0" w:color="000000"/>
              <w:right w:val="nil"/>
            </w:tcBorders>
            <w:shd w:val="clear" w:color="auto" w:fill="auto"/>
            <w:tcMar>
              <w:top w:w="10" w:type="dxa"/>
              <w:left w:w="10" w:type="dxa"/>
              <w:right w:w="10" w:type="dxa"/>
            </w:tcMar>
            <w:vAlign w:val="center"/>
          </w:tcPr>
          <w:p w14:paraId="251E6B3C" w14:textId="77777777" w:rsidR="00C473D8" w:rsidRPr="00CC4376" w:rsidRDefault="00C473D8" w:rsidP="00CC4376">
            <w:pPr>
              <w:snapToGrid w:val="0"/>
              <w:spacing w:line="360" w:lineRule="auto"/>
              <w:jc w:val="both"/>
              <w:textAlignment w:val="center"/>
              <w:rPr>
                <w:rFonts w:ascii="Book Antiqua" w:eastAsia="宋体" w:hAnsi="Book Antiqua"/>
              </w:rPr>
            </w:pPr>
          </w:p>
        </w:tc>
        <w:tc>
          <w:tcPr>
            <w:tcW w:w="311" w:type="pct"/>
            <w:tcBorders>
              <w:top w:val="nil"/>
              <w:left w:val="nil"/>
              <w:bottom w:val="single" w:sz="4" w:space="0" w:color="000000"/>
              <w:right w:val="nil"/>
            </w:tcBorders>
            <w:shd w:val="clear" w:color="auto" w:fill="auto"/>
            <w:noWrap/>
            <w:tcMar>
              <w:top w:w="10" w:type="dxa"/>
              <w:left w:w="10" w:type="dxa"/>
              <w:right w:w="10" w:type="dxa"/>
            </w:tcMar>
            <w:vAlign w:val="center"/>
          </w:tcPr>
          <w:p w14:paraId="1B04B1C5" w14:textId="77777777" w:rsidR="00C473D8" w:rsidRPr="00CC4376" w:rsidRDefault="00C473D8" w:rsidP="00CC4376">
            <w:pPr>
              <w:snapToGrid w:val="0"/>
              <w:spacing w:line="360" w:lineRule="auto"/>
              <w:jc w:val="both"/>
              <w:textAlignment w:val="center"/>
              <w:rPr>
                <w:rFonts w:ascii="Book Antiqua" w:eastAsia="宋体" w:hAnsi="Book Antiqua"/>
              </w:rPr>
            </w:pPr>
          </w:p>
        </w:tc>
        <w:tc>
          <w:tcPr>
            <w:tcW w:w="470" w:type="pct"/>
            <w:tcBorders>
              <w:top w:val="nil"/>
              <w:left w:val="nil"/>
              <w:bottom w:val="single" w:sz="4" w:space="0" w:color="000000"/>
              <w:right w:val="nil"/>
            </w:tcBorders>
            <w:shd w:val="clear" w:color="auto" w:fill="auto"/>
            <w:noWrap/>
            <w:tcMar>
              <w:top w:w="10" w:type="dxa"/>
              <w:left w:w="10" w:type="dxa"/>
              <w:right w:w="10" w:type="dxa"/>
            </w:tcMar>
            <w:vAlign w:val="center"/>
          </w:tcPr>
          <w:p w14:paraId="1E24854C" w14:textId="77777777" w:rsidR="00C473D8" w:rsidRPr="00CC4376" w:rsidRDefault="00C473D8" w:rsidP="00CC4376">
            <w:pPr>
              <w:snapToGrid w:val="0"/>
              <w:spacing w:line="360" w:lineRule="auto"/>
              <w:jc w:val="both"/>
              <w:rPr>
                <w:rFonts w:ascii="Book Antiqua" w:eastAsia="宋体" w:hAnsi="Book Antiqua"/>
              </w:rPr>
            </w:pPr>
          </w:p>
        </w:tc>
        <w:tc>
          <w:tcPr>
            <w:tcW w:w="929" w:type="pct"/>
            <w:tcBorders>
              <w:top w:val="nil"/>
              <w:left w:val="nil"/>
              <w:bottom w:val="single" w:sz="4" w:space="0" w:color="000000"/>
              <w:right w:val="nil"/>
            </w:tcBorders>
            <w:shd w:val="clear" w:color="auto" w:fill="auto"/>
            <w:tcMar>
              <w:top w:w="10" w:type="dxa"/>
              <w:left w:w="10" w:type="dxa"/>
              <w:right w:w="10" w:type="dxa"/>
            </w:tcMar>
            <w:vAlign w:val="center"/>
          </w:tcPr>
          <w:p w14:paraId="7A1A66F5" w14:textId="77777777" w:rsidR="00C473D8" w:rsidRPr="00CC4376" w:rsidRDefault="00C473D8" w:rsidP="00CC4376">
            <w:pPr>
              <w:snapToGrid w:val="0"/>
              <w:spacing w:line="360" w:lineRule="auto"/>
              <w:jc w:val="both"/>
              <w:textAlignment w:val="center"/>
              <w:rPr>
                <w:rFonts w:ascii="Book Antiqua" w:eastAsia="宋体" w:hAnsi="Book Antiqua"/>
              </w:rPr>
            </w:pPr>
          </w:p>
        </w:tc>
        <w:tc>
          <w:tcPr>
            <w:tcW w:w="360" w:type="pct"/>
            <w:tcBorders>
              <w:top w:val="nil"/>
              <w:left w:val="nil"/>
              <w:bottom w:val="single" w:sz="4" w:space="0" w:color="000000"/>
              <w:right w:val="nil"/>
            </w:tcBorders>
            <w:shd w:val="clear" w:color="auto" w:fill="auto"/>
            <w:noWrap/>
            <w:tcMar>
              <w:top w:w="10" w:type="dxa"/>
              <w:left w:w="10" w:type="dxa"/>
              <w:right w:w="10" w:type="dxa"/>
            </w:tcMar>
            <w:vAlign w:val="center"/>
          </w:tcPr>
          <w:p w14:paraId="61ECC79A" w14:textId="77777777" w:rsidR="00C473D8" w:rsidRPr="00CC4376" w:rsidRDefault="00C473D8" w:rsidP="00CC4376">
            <w:pPr>
              <w:snapToGrid w:val="0"/>
              <w:spacing w:line="360" w:lineRule="auto"/>
              <w:jc w:val="both"/>
              <w:textAlignment w:val="center"/>
              <w:rPr>
                <w:rFonts w:ascii="Book Antiqua" w:eastAsia="宋体" w:hAnsi="Book Antiqua"/>
              </w:rPr>
            </w:pPr>
          </w:p>
        </w:tc>
        <w:tc>
          <w:tcPr>
            <w:tcW w:w="489" w:type="pct"/>
            <w:tcBorders>
              <w:top w:val="nil"/>
              <w:left w:val="nil"/>
              <w:bottom w:val="single" w:sz="4" w:space="0" w:color="000000"/>
              <w:right w:val="nil"/>
            </w:tcBorders>
            <w:shd w:val="clear" w:color="auto" w:fill="auto"/>
            <w:noWrap/>
            <w:tcMar>
              <w:top w:w="10" w:type="dxa"/>
              <w:left w:w="10" w:type="dxa"/>
              <w:right w:w="10" w:type="dxa"/>
            </w:tcMar>
            <w:vAlign w:val="center"/>
          </w:tcPr>
          <w:p w14:paraId="53B24FDD" w14:textId="77777777" w:rsidR="00C473D8" w:rsidRPr="00CC4376" w:rsidRDefault="00C473D8" w:rsidP="00CC4376">
            <w:pPr>
              <w:snapToGrid w:val="0"/>
              <w:spacing w:line="360" w:lineRule="auto"/>
              <w:jc w:val="both"/>
              <w:rPr>
                <w:rFonts w:ascii="Book Antiqua" w:eastAsia="宋体" w:hAnsi="Book Antiqua"/>
              </w:rPr>
            </w:pPr>
          </w:p>
        </w:tc>
      </w:tr>
    </w:tbl>
    <w:p w14:paraId="7BC497D0" w14:textId="1CC0EBF5" w:rsidR="00E116C8" w:rsidRPr="00CC4376" w:rsidRDefault="00CC4376" w:rsidP="00CC4376">
      <w:pPr>
        <w:snapToGrid w:val="0"/>
        <w:spacing w:line="360" w:lineRule="auto"/>
        <w:jc w:val="both"/>
        <w:rPr>
          <w:rFonts w:ascii="Book Antiqua" w:eastAsia="Book Antiqua" w:hAnsi="Book Antiqua" w:cs="Book Antiqua"/>
        </w:rPr>
      </w:pPr>
      <w:r w:rsidRPr="00CC4376">
        <w:rPr>
          <w:rFonts w:ascii="Book Antiqua" w:eastAsia="Book Antiqua" w:hAnsi="Book Antiqua" w:cs="Book Antiqua"/>
        </w:rPr>
        <w:t xml:space="preserve">ACTH: Adrenocorticotropic hormone; </w:t>
      </w:r>
      <w:r w:rsidR="00C473D8" w:rsidRPr="00CC4376">
        <w:rPr>
          <w:rFonts w:ascii="Book Antiqua" w:hAnsi="Book Antiqua"/>
        </w:rPr>
        <w:t xml:space="preserve">CSF: Conventional cerebrospinal fluid; </w:t>
      </w:r>
      <w:r w:rsidR="00C473D8" w:rsidRPr="00CC4376">
        <w:rPr>
          <w:rFonts w:ascii="Book Antiqua" w:eastAsia="Book Antiqua" w:hAnsi="Book Antiqua" w:cs="Book Antiqua"/>
        </w:rPr>
        <w:t>ESR: Erythrocyte sedimentation rate; HDL: High-density lipoprotein.</w:t>
      </w:r>
    </w:p>
    <w:p w14:paraId="6680DE0D" w14:textId="16990A91" w:rsidR="00C473D8" w:rsidRPr="00CC4376" w:rsidRDefault="00E116C8" w:rsidP="00CC4376">
      <w:pPr>
        <w:snapToGrid w:val="0"/>
        <w:spacing w:line="360" w:lineRule="auto"/>
        <w:jc w:val="both"/>
        <w:rPr>
          <w:rFonts w:ascii="Book Antiqua" w:eastAsia="Book Antiqua" w:hAnsi="Book Antiqua" w:cs="Book Antiqua"/>
          <w:b/>
          <w:bCs/>
        </w:rPr>
      </w:pPr>
      <w:r w:rsidRPr="00CC4376">
        <w:rPr>
          <w:rFonts w:ascii="Book Antiqua" w:eastAsia="Book Antiqua" w:hAnsi="Book Antiqua" w:cs="Book Antiqua"/>
        </w:rPr>
        <w:br w:type="page"/>
      </w:r>
      <w:r w:rsidRPr="00CC4376">
        <w:rPr>
          <w:rFonts w:ascii="Book Antiqua" w:eastAsia="Book Antiqua" w:hAnsi="Book Antiqua" w:cs="Book Antiqua"/>
          <w:b/>
          <w:bCs/>
        </w:rPr>
        <w:lastRenderedPageBreak/>
        <w:t>Table 2 Results of genetic analysis in this family</w:t>
      </w:r>
    </w:p>
    <w:tbl>
      <w:tblPr>
        <w:tblpPr w:leftFromText="180" w:rightFromText="180" w:vertAnchor="text" w:horzAnchor="page" w:tblpXSpec="center" w:tblpY="92"/>
        <w:tblOverlap w:val="never"/>
        <w:tblW w:w="0" w:type="auto"/>
        <w:tblLayout w:type="fixed"/>
        <w:tblCellMar>
          <w:left w:w="0" w:type="dxa"/>
          <w:right w:w="0" w:type="dxa"/>
        </w:tblCellMar>
        <w:tblLook w:val="04A0" w:firstRow="1" w:lastRow="0" w:firstColumn="1" w:lastColumn="0" w:noHBand="0" w:noVBand="1"/>
      </w:tblPr>
      <w:tblGrid>
        <w:gridCol w:w="1647"/>
        <w:gridCol w:w="1404"/>
        <w:gridCol w:w="928"/>
        <w:gridCol w:w="1146"/>
        <w:gridCol w:w="1548"/>
        <w:gridCol w:w="1466"/>
        <w:gridCol w:w="1085"/>
      </w:tblGrid>
      <w:tr w:rsidR="00CC4376" w:rsidRPr="00CC4376" w14:paraId="5449895D" w14:textId="77777777" w:rsidTr="00E5463B">
        <w:trPr>
          <w:trHeight w:val="560"/>
        </w:trPr>
        <w:tc>
          <w:tcPr>
            <w:tcW w:w="1647"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4DD7D38"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Patient</w:t>
            </w:r>
          </w:p>
        </w:tc>
        <w:tc>
          <w:tcPr>
            <w:tcW w:w="1404"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019A5FC"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Mutation</w:t>
            </w:r>
          </w:p>
        </w:tc>
        <w:tc>
          <w:tcPr>
            <w:tcW w:w="928"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630189D0"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Exon/intron</w:t>
            </w:r>
          </w:p>
        </w:tc>
        <w:tc>
          <w:tcPr>
            <w:tcW w:w="1146"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4D10E586"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Protein</w:t>
            </w:r>
          </w:p>
        </w:tc>
        <w:tc>
          <w:tcPr>
            <w:tcW w:w="1548" w:type="dxa"/>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1C423447"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Molecular consequence</w:t>
            </w:r>
          </w:p>
        </w:tc>
        <w:tc>
          <w:tcPr>
            <w:tcW w:w="1466"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2DC3F2B"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Results</w:t>
            </w:r>
          </w:p>
        </w:tc>
        <w:tc>
          <w:tcPr>
            <w:tcW w:w="1085" w:type="dxa"/>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46701103"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Ref.</w:t>
            </w:r>
          </w:p>
        </w:tc>
      </w:tr>
      <w:tr w:rsidR="00CC4376" w:rsidRPr="00CC4376" w14:paraId="3FA30D54" w14:textId="77777777" w:rsidTr="00E5463B">
        <w:trPr>
          <w:trHeight w:val="398"/>
        </w:trPr>
        <w:tc>
          <w:tcPr>
            <w:tcW w:w="1647" w:type="dxa"/>
            <w:tcBorders>
              <w:top w:val="nil"/>
              <w:left w:val="nil"/>
              <w:bottom w:val="nil"/>
              <w:right w:val="nil"/>
            </w:tcBorders>
            <w:shd w:val="clear" w:color="auto" w:fill="auto"/>
            <w:noWrap/>
            <w:tcMar>
              <w:top w:w="10" w:type="dxa"/>
              <w:left w:w="10" w:type="dxa"/>
              <w:right w:w="10" w:type="dxa"/>
            </w:tcMar>
            <w:vAlign w:val="center"/>
          </w:tcPr>
          <w:p w14:paraId="2427967E"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 xml:space="preserve">:2, </w:t>
            </w: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 xml:space="preserve">:4 and </w:t>
            </w: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:5</w:t>
            </w:r>
          </w:p>
        </w:tc>
        <w:tc>
          <w:tcPr>
            <w:tcW w:w="1404" w:type="dxa"/>
            <w:tcBorders>
              <w:top w:val="nil"/>
              <w:left w:val="nil"/>
              <w:bottom w:val="nil"/>
              <w:right w:val="nil"/>
            </w:tcBorders>
            <w:shd w:val="clear" w:color="auto" w:fill="auto"/>
            <w:noWrap/>
            <w:tcMar>
              <w:top w:w="10" w:type="dxa"/>
              <w:left w:w="10" w:type="dxa"/>
              <w:right w:w="10" w:type="dxa"/>
            </w:tcMar>
            <w:vAlign w:val="center"/>
          </w:tcPr>
          <w:p w14:paraId="1DC53438"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c.1263+1G&gt;A</w:t>
            </w:r>
          </w:p>
        </w:tc>
        <w:tc>
          <w:tcPr>
            <w:tcW w:w="928" w:type="dxa"/>
            <w:tcBorders>
              <w:top w:val="nil"/>
              <w:left w:val="nil"/>
              <w:bottom w:val="nil"/>
              <w:right w:val="nil"/>
            </w:tcBorders>
            <w:shd w:val="clear" w:color="auto" w:fill="auto"/>
            <w:noWrap/>
            <w:tcMar>
              <w:top w:w="10" w:type="dxa"/>
              <w:left w:w="10" w:type="dxa"/>
              <w:right w:w="10" w:type="dxa"/>
            </w:tcMar>
            <w:vAlign w:val="center"/>
          </w:tcPr>
          <w:p w14:paraId="31711705"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IVS7</w:t>
            </w:r>
          </w:p>
        </w:tc>
        <w:tc>
          <w:tcPr>
            <w:tcW w:w="1146" w:type="dxa"/>
            <w:tcBorders>
              <w:top w:val="nil"/>
              <w:left w:val="nil"/>
              <w:bottom w:val="nil"/>
              <w:right w:val="nil"/>
            </w:tcBorders>
            <w:shd w:val="clear" w:color="auto" w:fill="auto"/>
            <w:noWrap/>
            <w:tcMar>
              <w:top w:w="10" w:type="dxa"/>
              <w:left w:w="10" w:type="dxa"/>
              <w:right w:w="10" w:type="dxa"/>
            </w:tcMar>
            <w:vAlign w:val="center"/>
          </w:tcPr>
          <w:p w14:paraId="5A8CEA04"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w:t>
            </w:r>
          </w:p>
        </w:tc>
        <w:tc>
          <w:tcPr>
            <w:tcW w:w="1548" w:type="dxa"/>
            <w:tcBorders>
              <w:top w:val="nil"/>
              <w:left w:val="nil"/>
              <w:bottom w:val="nil"/>
              <w:right w:val="nil"/>
            </w:tcBorders>
            <w:shd w:val="clear" w:color="auto" w:fill="auto"/>
            <w:noWrap/>
            <w:tcMar>
              <w:top w:w="10" w:type="dxa"/>
              <w:left w:w="10" w:type="dxa"/>
              <w:right w:w="10" w:type="dxa"/>
            </w:tcMar>
            <w:vAlign w:val="center"/>
          </w:tcPr>
          <w:p w14:paraId="6AFA7511"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Splice site mutation</w:t>
            </w:r>
          </w:p>
        </w:tc>
        <w:tc>
          <w:tcPr>
            <w:tcW w:w="1466" w:type="dxa"/>
            <w:tcBorders>
              <w:top w:val="nil"/>
              <w:left w:val="nil"/>
              <w:bottom w:val="nil"/>
              <w:right w:val="nil"/>
            </w:tcBorders>
            <w:shd w:val="clear" w:color="auto" w:fill="auto"/>
            <w:noWrap/>
            <w:tcMar>
              <w:top w:w="10" w:type="dxa"/>
              <w:left w:w="10" w:type="dxa"/>
              <w:right w:w="10" w:type="dxa"/>
            </w:tcMar>
            <w:vAlign w:val="center"/>
          </w:tcPr>
          <w:p w14:paraId="2569F04F"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Pathogenic</w:t>
            </w:r>
          </w:p>
        </w:tc>
        <w:tc>
          <w:tcPr>
            <w:tcW w:w="1085" w:type="dxa"/>
            <w:tcBorders>
              <w:top w:val="nil"/>
              <w:left w:val="nil"/>
              <w:bottom w:val="nil"/>
              <w:right w:val="nil"/>
            </w:tcBorders>
            <w:shd w:val="clear" w:color="auto" w:fill="auto"/>
            <w:noWrap/>
            <w:tcMar>
              <w:top w:w="10" w:type="dxa"/>
              <w:left w:w="10" w:type="dxa"/>
              <w:right w:w="10" w:type="dxa"/>
            </w:tcMar>
            <w:vAlign w:val="center"/>
          </w:tcPr>
          <w:p w14:paraId="6C34C629" w14:textId="77777777" w:rsidR="00E116C8" w:rsidRPr="00CC4376" w:rsidRDefault="00E116C8" w:rsidP="00CC4376">
            <w:pPr>
              <w:snapToGrid w:val="0"/>
              <w:spacing w:line="360" w:lineRule="auto"/>
              <w:jc w:val="both"/>
              <w:rPr>
                <w:rFonts w:ascii="Book Antiqua" w:eastAsia="宋体" w:hAnsi="Book Antiqua"/>
              </w:rPr>
            </w:pPr>
            <w:r w:rsidRPr="00CC4376">
              <w:rPr>
                <w:rFonts w:ascii="Book Antiqua" w:eastAsia="宋体" w:hAnsi="Book Antiqua"/>
              </w:rPr>
              <w:t xml:space="preserve">Shiga </w:t>
            </w:r>
            <w:r w:rsidRPr="00CC4376">
              <w:rPr>
                <w:rFonts w:ascii="Book Antiqua" w:eastAsia="宋体" w:hAnsi="Book Antiqua"/>
                <w:i/>
                <w:iCs/>
              </w:rPr>
              <w:t>et al</w:t>
            </w:r>
            <w:r w:rsidRPr="00CC4376">
              <w:rPr>
                <w:rFonts w:ascii="Book Antiqua" w:eastAsia="宋体" w:hAnsi="Book Antiqua"/>
                <w:vertAlign w:val="superscript"/>
              </w:rPr>
              <w:t>[20]</w:t>
            </w:r>
          </w:p>
        </w:tc>
      </w:tr>
      <w:tr w:rsidR="00CC4376" w:rsidRPr="00CC4376" w14:paraId="0B1BC868" w14:textId="77777777" w:rsidTr="00E5463B">
        <w:trPr>
          <w:trHeight w:val="441"/>
        </w:trPr>
        <w:tc>
          <w:tcPr>
            <w:tcW w:w="1647" w:type="dxa"/>
            <w:tcBorders>
              <w:top w:val="nil"/>
              <w:left w:val="nil"/>
              <w:bottom w:val="single" w:sz="4" w:space="0" w:color="auto"/>
              <w:right w:val="nil"/>
            </w:tcBorders>
            <w:shd w:val="clear" w:color="auto" w:fill="auto"/>
            <w:noWrap/>
            <w:tcMar>
              <w:top w:w="10" w:type="dxa"/>
              <w:left w:w="10" w:type="dxa"/>
              <w:right w:w="10" w:type="dxa"/>
            </w:tcMar>
            <w:vAlign w:val="center"/>
          </w:tcPr>
          <w:p w14:paraId="6D4321DC"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:1,</w:t>
            </w: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 xml:space="preserve">:3 and </w:t>
            </w: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:4</w:t>
            </w:r>
          </w:p>
        </w:tc>
        <w:tc>
          <w:tcPr>
            <w:tcW w:w="1404" w:type="dxa"/>
            <w:tcBorders>
              <w:top w:val="nil"/>
              <w:left w:val="nil"/>
              <w:bottom w:val="single" w:sz="4" w:space="0" w:color="auto"/>
              <w:right w:val="nil"/>
            </w:tcBorders>
            <w:shd w:val="clear" w:color="auto" w:fill="auto"/>
            <w:noWrap/>
            <w:tcMar>
              <w:top w:w="10" w:type="dxa"/>
              <w:left w:w="10" w:type="dxa"/>
              <w:right w:w="10" w:type="dxa"/>
            </w:tcMar>
            <w:vAlign w:val="center"/>
          </w:tcPr>
          <w:p w14:paraId="4376E6AA"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c.435G&gt;T</w:t>
            </w:r>
          </w:p>
        </w:tc>
        <w:tc>
          <w:tcPr>
            <w:tcW w:w="928" w:type="dxa"/>
            <w:tcBorders>
              <w:top w:val="nil"/>
              <w:left w:val="nil"/>
              <w:bottom w:val="single" w:sz="4" w:space="0" w:color="auto"/>
              <w:right w:val="nil"/>
            </w:tcBorders>
            <w:shd w:val="clear" w:color="auto" w:fill="auto"/>
            <w:noWrap/>
            <w:tcMar>
              <w:top w:w="10" w:type="dxa"/>
              <w:left w:w="10" w:type="dxa"/>
              <w:right w:w="10" w:type="dxa"/>
            </w:tcMar>
            <w:vAlign w:val="center"/>
          </w:tcPr>
          <w:p w14:paraId="437BD768"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Exon 2</w:t>
            </w:r>
          </w:p>
        </w:tc>
        <w:tc>
          <w:tcPr>
            <w:tcW w:w="1146" w:type="dxa"/>
            <w:tcBorders>
              <w:top w:val="nil"/>
              <w:left w:val="nil"/>
              <w:bottom w:val="single" w:sz="4" w:space="0" w:color="auto"/>
              <w:right w:val="nil"/>
            </w:tcBorders>
            <w:shd w:val="clear" w:color="auto" w:fill="auto"/>
            <w:noWrap/>
            <w:tcMar>
              <w:top w:w="10" w:type="dxa"/>
              <w:left w:w="10" w:type="dxa"/>
              <w:right w:w="10" w:type="dxa"/>
            </w:tcMar>
            <w:vAlign w:val="center"/>
          </w:tcPr>
          <w:p w14:paraId="01038DD9"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p.G145G</w:t>
            </w:r>
          </w:p>
        </w:tc>
        <w:tc>
          <w:tcPr>
            <w:tcW w:w="1548" w:type="dxa"/>
            <w:tcBorders>
              <w:top w:val="nil"/>
              <w:left w:val="nil"/>
              <w:bottom w:val="single" w:sz="4" w:space="0" w:color="auto"/>
              <w:right w:val="nil"/>
            </w:tcBorders>
            <w:shd w:val="clear" w:color="auto" w:fill="auto"/>
            <w:noWrap/>
            <w:tcMar>
              <w:top w:w="10" w:type="dxa"/>
              <w:left w:w="10" w:type="dxa"/>
              <w:right w:w="10" w:type="dxa"/>
            </w:tcMar>
            <w:vAlign w:val="center"/>
          </w:tcPr>
          <w:p w14:paraId="006561E0"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Splice site mutation</w:t>
            </w:r>
          </w:p>
        </w:tc>
        <w:tc>
          <w:tcPr>
            <w:tcW w:w="1466" w:type="dxa"/>
            <w:tcBorders>
              <w:top w:val="nil"/>
              <w:left w:val="nil"/>
              <w:bottom w:val="single" w:sz="4" w:space="0" w:color="auto"/>
              <w:right w:val="nil"/>
            </w:tcBorders>
            <w:shd w:val="clear" w:color="auto" w:fill="auto"/>
            <w:noWrap/>
            <w:tcMar>
              <w:top w:w="10" w:type="dxa"/>
              <w:left w:w="10" w:type="dxa"/>
              <w:right w:w="10" w:type="dxa"/>
            </w:tcMar>
            <w:vAlign w:val="center"/>
          </w:tcPr>
          <w:p w14:paraId="4C689003"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Pathogenic</w:t>
            </w:r>
          </w:p>
        </w:tc>
        <w:tc>
          <w:tcPr>
            <w:tcW w:w="1085" w:type="dxa"/>
            <w:tcBorders>
              <w:top w:val="nil"/>
              <w:left w:val="nil"/>
              <w:bottom w:val="single" w:sz="4" w:space="0" w:color="auto"/>
              <w:right w:val="nil"/>
            </w:tcBorders>
            <w:shd w:val="clear" w:color="auto" w:fill="auto"/>
            <w:noWrap/>
            <w:tcMar>
              <w:top w:w="10" w:type="dxa"/>
              <w:left w:w="10" w:type="dxa"/>
              <w:right w:w="10" w:type="dxa"/>
            </w:tcMar>
            <w:vAlign w:val="center"/>
          </w:tcPr>
          <w:p w14:paraId="6269ACEC"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Chen </w:t>
            </w:r>
            <w:r w:rsidRPr="00CC4376">
              <w:rPr>
                <w:rFonts w:ascii="Book Antiqua" w:eastAsia="宋体" w:hAnsi="Book Antiqua"/>
                <w:i/>
                <w:iCs/>
              </w:rPr>
              <w:t>et al</w:t>
            </w:r>
            <w:r w:rsidRPr="00CC4376">
              <w:rPr>
                <w:rFonts w:ascii="Book Antiqua" w:eastAsia="宋体" w:hAnsi="Book Antiqua"/>
                <w:vertAlign w:val="superscript"/>
              </w:rPr>
              <w:t>[19]</w:t>
            </w:r>
            <w:r w:rsidRPr="00CC4376">
              <w:rPr>
                <w:rFonts w:ascii="Book Antiqua" w:eastAsia="宋体" w:hAnsi="Book Antiqua"/>
              </w:rPr>
              <w:t xml:space="preserve"> </w:t>
            </w:r>
            <w:r w:rsidRPr="00CC4376">
              <w:rPr>
                <w:rFonts w:ascii="Book Antiqua" w:eastAsia="宋体" w:hAnsi="Book Antiqua"/>
                <w:lang w:eastAsia="zh-CN"/>
              </w:rPr>
              <w:t>(</w:t>
            </w:r>
            <w:r w:rsidRPr="00CC4376">
              <w:rPr>
                <w:rFonts w:ascii="Book Antiqua" w:eastAsia="宋体" w:hAnsi="Book Antiqua"/>
              </w:rPr>
              <w:t>in homozygous state</w:t>
            </w:r>
            <w:r w:rsidRPr="00CC4376">
              <w:rPr>
                <w:rStyle w:val="a9"/>
                <w:rFonts w:ascii="Book Antiqua" w:hAnsi="Book Antiqua"/>
                <w:sz w:val="24"/>
                <w:szCs w:val="24"/>
                <w:lang w:eastAsia="zh-CN"/>
              </w:rPr>
              <w:t>)</w:t>
            </w:r>
          </w:p>
        </w:tc>
      </w:tr>
    </w:tbl>
    <w:p w14:paraId="08370A76" w14:textId="77777777" w:rsidR="00E116C8" w:rsidRPr="00CC4376" w:rsidRDefault="00E116C8" w:rsidP="00CC4376">
      <w:pPr>
        <w:snapToGrid w:val="0"/>
        <w:spacing w:line="360" w:lineRule="auto"/>
        <w:jc w:val="both"/>
        <w:rPr>
          <w:rFonts w:ascii="Book Antiqua" w:eastAsia="Book Antiqua" w:hAnsi="Book Antiqua" w:cs="Book Antiqua"/>
        </w:rPr>
      </w:pPr>
    </w:p>
    <w:sectPr w:rsidR="00E116C8" w:rsidRPr="00CC43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0B703" w14:textId="77777777" w:rsidR="00303986" w:rsidRDefault="00303986" w:rsidP="00C473D8">
      <w:r>
        <w:separator/>
      </w:r>
    </w:p>
  </w:endnote>
  <w:endnote w:type="continuationSeparator" w:id="0">
    <w:p w14:paraId="6D2AF1B8" w14:textId="77777777" w:rsidR="00303986" w:rsidRDefault="00303986" w:rsidP="00C4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11530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0A1CE5E" w14:textId="57770506" w:rsidR="00C473D8" w:rsidRPr="004C0178" w:rsidRDefault="00C473D8" w:rsidP="00C473D8">
            <w:pPr>
              <w:pStyle w:val="a7"/>
              <w:jc w:val="right"/>
              <w:rPr>
                <w:sz w:val="24"/>
                <w:szCs w:val="24"/>
              </w:rPr>
            </w:pPr>
            <w:r>
              <w:rPr>
                <w:lang w:val="zh-CN" w:eastAsia="zh-CN"/>
              </w:rPr>
              <w:t xml:space="preserve"> </w:t>
            </w:r>
            <w:r w:rsidRPr="004C0178">
              <w:rPr>
                <w:rFonts w:ascii="Book Antiqua" w:hAnsi="Book Antiqua"/>
                <w:sz w:val="24"/>
                <w:szCs w:val="24"/>
              </w:rPr>
              <w:fldChar w:fldCharType="begin"/>
            </w:r>
            <w:r w:rsidRPr="004C0178">
              <w:rPr>
                <w:rFonts w:ascii="Book Antiqua" w:hAnsi="Book Antiqua"/>
                <w:sz w:val="24"/>
                <w:szCs w:val="24"/>
              </w:rPr>
              <w:instrText>PAGE</w:instrText>
            </w:r>
            <w:r w:rsidRPr="004C0178">
              <w:rPr>
                <w:rFonts w:ascii="Book Antiqua" w:hAnsi="Book Antiqua"/>
                <w:sz w:val="24"/>
                <w:szCs w:val="24"/>
              </w:rPr>
              <w:fldChar w:fldCharType="separate"/>
            </w:r>
            <w:r w:rsidR="005B0C3C" w:rsidRPr="004C0178">
              <w:rPr>
                <w:rFonts w:ascii="Book Antiqua" w:hAnsi="Book Antiqua"/>
                <w:noProof/>
                <w:sz w:val="24"/>
                <w:szCs w:val="24"/>
              </w:rPr>
              <w:t>21</w:t>
            </w:r>
            <w:r w:rsidRPr="004C0178">
              <w:rPr>
                <w:rFonts w:ascii="Book Antiqua" w:hAnsi="Book Antiqua"/>
                <w:sz w:val="24"/>
                <w:szCs w:val="24"/>
              </w:rPr>
              <w:fldChar w:fldCharType="end"/>
            </w:r>
            <w:r w:rsidRPr="004C0178">
              <w:rPr>
                <w:rFonts w:ascii="Book Antiqua" w:hAnsi="Book Antiqua"/>
                <w:sz w:val="24"/>
                <w:szCs w:val="24"/>
                <w:lang w:val="zh-CN" w:eastAsia="zh-CN"/>
              </w:rPr>
              <w:t xml:space="preserve"> / </w:t>
            </w:r>
            <w:r w:rsidRPr="004C0178">
              <w:rPr>
                <w:rFonts w:ascii="Book Antiqua" w:hAnsi="Book Antiqua"/>
                <w:sz w:val="24"/>
                <w:szCs w:val="24"/>
              </w:rPr>
              <w:fldChar w:fldCharType="begin"/>
            </w:r>
            <w:r w:rsidRPr="004C0178">
              <w:rPr>
                <w:rFonts w:ascii="Book Antiqua" w:hAnsi="Book Antiqua"/>
                <w:sz w:val="24"/>
                <w:szCs w:val="24"/>
              </w:rPr>
              <w:instrText>NUMPAGES</w:instrText>
            </w:r>
            <w:r w:rsidRPr="004C0178">
              <w:rPr>
                <w:rFonts w:ascii="Book Antiqua" w:hAnsi="Book Antiqua"/>
                <w:sz w:val="24"/>
                <w:szCs w:val="24"/>
              </w:rPr>
              <w:fldChar w:fldCharType="separate"/>
            </w:r>
            <w:r w:rsidR="005B0C3C" w:rsidRPr="004C0178">
              <w:rPr>
                <w:rFonts w:ascii="Book Antiqua" w:hAnsi="Book Antiqua"/>
                <w:noProof/>
                <w:sz w:val="24"/>
                <w:szCs w:val="24"/>
              </w:rPr>
              <w:t>29</w:t>
            </w:r>
            <w:r w:rsidRPr="004C0178">
              <w:rPr>
                <w:rFonts w:ascii="Book Antiqua" w:hAnsi="Book Antiqua"/>
                <w:sz w:val="24"/>
                <w:szCs w:val="24"/>
              </w:rPr>
              <w:fldChar w:fldCharType="end"/>
            </w:r>
          </w:p>
        </w:sdtContent>
      </w:sdt>
    </w:sdtContent>
  </w:sdt>
  <w:p w14:paraId="62ED5E93" w14:textId="77777777" w:rsidR="00C473D8" w:rsidRDefault="00C473D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02723" w14:textId="77777777" w:rsidR="00303986" w:rsidRDefault="00303986" w:rsidP="00C473D8">
      <w:r>
        <w:separator/>
      </w:r>
    </w:p>
  </w:footnote>
  <w:footnote w:type="continuationSeparator" w:id="0">
    <w:p w14:paraId="29B80CE1" w14:textId="77777777" w:rsidR="00303986" w:rsidRDefault="00303986" w:rsidP="00C473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D23"/>
    <w:rsid w:val="00025E03"/>
    <w:rsid w:val="00037412"/>
    <w:rsid w:val="0005621A"/>
    <w:rsid w:val="000A1D78"/>
    <w:rsid w:val="000F35CE"/>
    <w:rsid w:val="00107194"/>
    <w:rsid w:val="00153C23"/>
    <w:rsid w:val="00157534"/>
    <w:rsid w:val="001C28B7"/>
    <w:rsid w:val="001D5688"/>
    <w:rsid w:val="00206E3F"/>
    <w:rsid w:val="002B26BC"/>
    <w:rsid w:val="002D0EF9"/>
    <w:rsid w:val="00303986"/>
    <w:rsid w:val="003714DB"/>
    <w:rsid w:val="003D221F"/>
    <w:rsid w:val="00404D17"/>
    <w:rsid w:val="00404E6F"/>
    <w:rsid w:val="004C0178"/>
    <w:rsid w:val="00501208"/>
    <w:rsid w:val="00512102"/>
    <w:rsid w:val="005B0C3C"/>
    <w:rsid w:val="005C1962"/>
    <w:rsid w:val="005C2DFA"/>
    <w:rsid w:val="00625685"/>
    <w:rsid w:val="00654F80"/>
    <w:rsid w:val="00680F3B"/>
    <w:rsid w:val="006F136A"/>
    <w:rsid w:val="006F534C"/>
    <w:rsid w:val="00715EF1"/>
    <w:rsid w:val="007F334D"/>
    <w:rsid w:val="00811DDB"/>
    <w:rsid w:val="00851469"/>
    <w:rsid w:val="008C36E6"/>
    <w:rsid w:val="008D3F8C"/>
    <w:rsid w:val="00914D3A"/>
    <w:rsid w:val="00960655"/>
    <w:rsid w:val="009667FC"/>
    <w:rsid w:val="00966DDC"/>
    <w:rsid w:val="009D14AD"/>
    <w:rsid w:val="00A1359F"/>
    <w:rsid w:val="00A26882"/>
    <w:rsid w:val="00A62A07"/>
    <w:rsid w:val="00A77B3E"/>
    <w:rsid w:val="00A85F98"/>
    <w:rsid w:val="00B01C1A"/>
    <w:rsid w:val="00B408FC"/>
    <w:rsid w:val="00B82759"/>
    <w:rsid w:val="00B85ECC"/>
    <w:rsid w:val="00B94AE8"/>
    <w:rsid w:val="00BA5D52"/>
    <w:rsid w:val="00C473D8"/>
    <w:rsid w:val="00C52416"/>
    <w:rsid w:val="00CA2A55"/>
    <w:rsid w:val="00CC4376"/>
    <w:rsid w:val="00D0221E"/>
    <w:rsid w:val="00D14EBF"/>
    <w:rsid w:val="00DA1156"/>
    <w:rsid w:val="00DE7192"/>
    <w:rsid w:val="00DF3F14"/>
    <w:rsid w:val="00E116C8"/>
    <w:rsid w:val="00E720A5"/>
    <w:rsid w:val="00E81CD0"/>
    <w:rsid w:val="00E84B70"/>
    <w:rsid w:val="00EA4609"/>
    <w:rsid w:val="00EF4A87"/>
    <w:rsid w:val="00F01760"/>
    <w:rsid w:val="00F533DD"/>
    <w:rsid w:val="00F568B2"/>
    <w:rsid w:val="00FB5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51A532"/>
  <w15:docId w15:val="{D7A05CEA-2676-413C-B899-19C36F45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D0EF9"/>
    <w:rPr>
      <w:sz w:val="18"/>
      <w:szCs w:val="18"/>
    </w:rPr>
  </w:style>
  <w:style w:type="character" w:customStyle="1" w:styleId="a4">
    <w:name w:val="批注框文本 字符"/>
    <w:basedOn w:val="a0"/>
    <w:link w:val="a3"/>
    <w:rsid w:val="002D0EF9"/>
    <w:rPr>
      <w:sz w:val="18"/>
      <w:szCs w:val="18"/>
    </w:rPr>
  </w:style>
  <w:style w:type="paragraph" w:styleId="a5">
    <w:name w:val="header"/>
    <w:basedOn w:val="a"/>
    <w:link w:val="a6"/>
    <w:unhideWhenUsed/>
    <w:rsid w:val="00C473D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473D8"/>
    <w:rPr>
      <w:sz w:val="18"/>
      <w:szCs w:val="18"/>
    </w:rPr>
  </w:style>
  <w:style w:type="paragraph" w:styleId="a7">
    <w:name w:val="footer"/>
    <w:basedOn w:val="a"/>
    <w:link w:val="a8"/>
    <w:uiPriority w:val="99"/>
    <w:unhideWhenUsed/>
    <w:rsid w:val="00C473D8"/>
    <w:pPr>
      <w:tabs>
        <w:tab w:val="center" w:pos="4153"/>
        <w:tab w:val="right" w:pos="8306"/>
      </w:tabs>
      <w:snapToGrid w:val="0"/>
    </w:pPr>
    <w:rPr>
      <w:sz w:val="18"/>
      <w:szCs w:val="18"/>
    </w:rPr>
  </w:style>
  <w:style w:type="character" w:customStyle="1" w:styleId="a8">
    <w:name w:val="页脚 字符"/>
    <w:basedOn w:val="a0"/>
    <w:link w:val="a7"/>
    <w:uiPriority w:val="99"/>
    <w:rsid w:val="00C473D8"/>
    <w:rPr>
      <w:sz w:val="18"/>
      <w:szCs w:val="18"/>
    </w:rPr>
  </w:style>
  <w:style w:type="character" w:styleId="a9">
    <w:name w:val="annotation reference"/>
    <w:basedOn w:val="a0"/>
    <w:qFormat/>
    <w:rsid w:val="00E116C8"/>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29</Pages>
  <Words>6466</Words>
  <Characters>36862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c:creator>
  <cp:keywords/>
  <dc:description/>
  <cp:lastModifiedBy>wdm</cp:lastModifiedBy>
  <cp:revision>9</cp:revision>
  <dcterms:created xsi:type="dcterms:W3CDTF">2020-09-24T22:45:00Z</dcterms:created>
  <dcterms:modified xsi:type="dcterms:W3CDTF">2020-09-28T09:37:00Z</dcterms:modified>
</cp:coreProperties>
</file>