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CA956"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t xml:space="preserve">Name of Journal: </w:t>
      </w:r>
      <w:r w:rsidRPr="006D1FE9">
        <w:rPr>
          <w:rFonts w:ascii="Book Antiqua" w:eastAsia="Book Antiqua" w:hAnsi="Book Antiqua" w:cs="Book Antiqua"/>
          <w:i/>
          <w:color w:val="000000"/>
        </w:rPr>
        <w:t>World Journal of Hepatology</w:t>
      </w:r>
    </w:p>
    <w:p w14:paraId="2979230F"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t xml:space="preserve">Manuscript NO: </w:t>
      </w:r>
      <w:r w:rsidRPr="006D1FE9">
        <w:rPr>
          <w:rFonts w:ascii="Book Antiqua" w:eastAsia="Book Antiqua" w:hAnsi="Book Antiqua" w:cs="Book Antiqua"/>
          <w:color w:val="000000"/>
        </w:rPr>
        <w:t>58251</w:t>
      </w:r>
    </w:p>
    <w:p w14:paraId="2742AF9F"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t xml:space="preserve">Manuscript Type: </w:t>
      </w:r>
      <w:r w:rsidRPr="006D1FE9">
        <w:rPr>
          <w:rFonts w:ascii="Book Antiqua" w:eastAsia="Book Antiqua" w:hAnsi="Book Antiqua" w:cs="Book Antiqua"/>
          <w:color w:val="000000"/>
        </w:rPr>
        <w:t>ORIGINAL ARTICLE</w:t>
      </w:r>
    </w:p>
    <w:p w14:paraId="445830F1" w14:textId="77777777" w:rsidR="00A77B3E" w:rsidRPr="006D1FE9" w:rsidRDefault="00A77B3E" w:rsidP="006D1FE9">
      <w:pPr>
        <w:adjustRightInd w:val="0"/>
        <w:snapToGrid w:val="0"/>
        <w:spacing w:line="360" w:lineRule="auto"/>
        <w:jc w:val="both"/>
        <w:rPr>
          <w:rFonts w:ascii="Book Antiqua" w:hAnsi="Book Antiqua"/>
        </w:rPr>
      </w:pPr>
    </w:p>
    <w:p w14:paraId="065A60A6"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i/>
          <w:color w:val="000000"/>
        </w:rPr>
        <w:t>Retrospective Study</w:t>
      </w:r>
    </w:p>
    <w:p w14:paraId="543A84A3" w14:textId="77777777" w:rsidR="00A77B3E" w:rsidRPr="006D1FE9" w:rsidRDefault="009E6927" w:rsidP="006D1FE9">
      <w:pPr>
        <w:adjustRightInd w:val="0"/>
        <w:snapToGrid w:val="0"/>
        <w:spacing w:line="360" w:lineRule="auto"/>
        <w:jc w:val="both"/>
        <w:rPr>
          <w:rFonts w:ascii="Book Antiqua" w:hAnsi="Book Antiqua"/>
        </w:rPr>
      </w:pPr>
      <w:bookmarkStart w:id="0" w:name="OLE_LINK8"/>
      <w:bookmarkStart w:id="1" w:name="OLE_LINK9"/>
      <w:r w:rsidRPr="006D1FE9">
        <w:rPr>
          <w:rFonts w:ascii="Book Antiqua" w:eastAsia="Book Antiqua" w:hAnsi="Book Antiqua" w:cs="Book Antiqua"/>
          <w:b/>
          <w:color w:val="000000"/>
        </w:rPr>
        <w:t>Timing of paracentesis and outcomes in hospitalized patients with decompensated cirrhosis</w:t>
      </w:r>
    </w:p>
    <w:bookmarkEnd w:id="0"/>
    <w:bookmarkEnd w:id="1"/>
    <w:p w14:paraId="63FF543A" w14:textId="77777777" w:rsidR="00A77B3E" w:rsidRPr="006D1FE9" w:rsidRDefault="00A77B3E" w:rsidP="006D1FE9">
      <w:pPr>
        <w:adjustRightInd w:val="0"/>
        <w:snapToGrid w:val="0"/>
        <w:spacing w:line="360" w:lineRule="auto"/>
        <w:jc w:val="both"/>
        <w:rPr>
          <w:rFonts w:ascii="Book Antiqua" w:hAnsi="Book Antiqua"/>
        </w:rPr>
      </w:pPr>
    </w:p>
    <w:p w14:paraId="554F2E4E" w14:textId="77777777" w:rsidR="00A77B3E" w:rsidRPr="006D1FE9" w:rsidRDefault="00EC69DB" w:rsidP="006D1FE9">
      <w:pPr>
        <w:adjustRightInd w:val="0"/>
        <w:snapToGrid w:val="0"/>
        <w:spacing w:line="360" w:lineRule="auto"/>
        <w:jc w:val="both"/>
        <w:rPr>
          <w:rFonts w:ascii="Book Antiqua" w:hAnsi="Book Antiqua"/>
        </w:rPr>
      </w:pPr>
      <w:proofErr w:type="spellStart"/>
      <w:r w:rsidRPr="006D1FE9">
        <w:rPr>
          <w:rFonts w:ascii="Book Antiqua" w:eastAsia="Book Antiqua" w:hAnsi="Book Antiqua" w:cs="Book Antiqua"/>
          <w:color w:val="000000"/>
        </w:rPr>
        <w:t>Tocia</w:t>
      </w:r>
      <w:proofErr w:type="spellEnd"/>
      <w:r w:rsidRPr="006D1FE9">
        <w:rPr>
          <w:rFonts w:ascii="Book Antiqua" w:eastAsia="Book Antiqua" w:hAnsi="Book Antiqua" w:cs="Book Antiqua"/>
          <w:color w:val="000000"/>
        </w:rPr>
        <w:t xml:space="preserve"> C </w:t>
      </w:r>
      <w:r w:rsidRPr="006D1FE9">
        <w:rPr>
          <w:rFonts w:ascii="Book Antiqua" w:eastAsia="Book Antiqua" w:hAnsi="Book Antiqua" w:cs="Book Antiqua"/>
          <w:i/>
          <w:color w:val="000000"/>
        </w:rPr>
        <w:t>et al</w:t>
      </w:r>
      <w:r w:rsidRPr="006D1FE9">
        <w:rPr>
          <w:rFonts w:ascii="Book Antiqua" w:eastAsia="Book Antiqua" w:hAnsi="Book Antiqua" w:cs="Book Antiqua"/>
          <w:color w:val="000000"/>
        </w:rPr>
        <w:t>.</w:t>
      </w:r>
      <w:r w:rsidR="00200446" w:rsidRPr="006D1FE9">
        <w:rPr>
          <w:rFonts w:ascii="Book Antiqua" w:eastAsia="Book Antiqua" w:hAnsi="Book Antiqua" w:cs="Book Antiqua"/>
          <w:color w:val="000000"/>
        </w:rPr>
        <w:t xml:space="preserve"> </w:t>
      </w:r>
      <w:bookmarkStart w:id="2" w:name="OLE_LINK10"/>
      <w:bookmarkStart w:id="3" w:name="OLE_LINK11"/>
      <w:r w:rsidR="009E6927" w:rsidRPr="006D1FE9">
        <w:rPr>
          <w:rFonts w:ascii="Book Antiqua" w:eastAsia="Book Antiqua" w:hAnsi="Book Antiqua" w:cs="Book Antiqua"/>
          <w:color w:val="000000"/>
        </w:rPr>
        <w:t>Timing of paracentesis in cirrhosis</w:t>
      </w:r>
    </w:p>
    <w:bookmarkEnd w:id="2"/>
    <w:bookmarkEnd w:id="3"/>
    <w:p w14:paraId="59B03C21" w14:textId="77777777" w:rsidR="00A77B3E" w:rsidRPr="006D1FE9" w:rsidRDefault="00A77B3E" w:rsidP="006D1FE9">
      <w:pPr>
        <w:adjustRightInd w:val="0"/>
        <w:snapToGrid w:val="0"/>
        <w:spacing w:line="360" w:lineRule="auto"/>
        <w:jc w:val="both"/>
        <w:rPr>
          <w:rFonts w:ascii="Book Antiqua" w:hAnsi="Book Antiqua"/>
        </w:rPr>
      </w:pPr>
    </w:p>
    <w:p w14:paraId="58FF9700"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 xml:space="preserve">Cristina </w:t>
      </w:r>
      <w:proofErr w:type="spellStart"/>
      <w:r w:rsidRPr="006D1FE9">
        <w:rPr>
          <w:rFonts w:ascii="Book Antiqua" w:eastAsia="Book Antiqua" w:hAnsi="Book Antiqua" w:cs="Book Antiqua"/>
          <w:color w:val="000000"/>
        </w:rPr>
        <w:t>Tocia</w:t>
      </w:r>
      <w:proofErr w:type="spellEnd"/>
      <w:r w:rsidRPr="006D1FE9">
        <w:rPr>
          <w:rFonts w:ascii="Book Antiqua" w:eastAsia="Book Antiqua" w:hAnsi="Book Antiqua" w:cs="Book Antiqua"/>
          <w:color w:val="000000"/>
        </w:rPr>
        <w:t xml:space="preserve">, Andrei </w:t>
      </w:r>
      <w:proofErr w:type="spellStart"/>
      <w:r w:rsidRPr="006D1FE9">
        <w:rPr>
          <w:rFonts w:ascii="Book Antiqua" w:eastAsia="Book Antiqua" w:hAnsi="Book Antiqua" w:cs="Book Antiqua"/>
          <w:color w:val="000000"/>
        </w:rPr>
        <w:t>Dumitru</w:t>
      </w:r>
      <w:proofErr w:type="spellEnd"/>
      <w:r w:rsidRPr="006D1FE9">
        <w:rPr>
          <w:rFonts w:ascii="Book Antiqua" w:eastAsia="Book Antiqua" w:hAnsi="Book Antiqua" w:cs="Book Antiqua"/>
          <w:color w:val="000000"/>
        </w:rPr>
        <w:t xml:space="preserve">, </w:t>
      </w:r>
      <w:proofErr w:type="spellStart"/>
      <w:r w:rsidRPr="006D1FE9">
        <w:rPr>
          <w:rFonts w:ascii="Book Antiqua" w:eastAsia="Book Antiqua" w:hAnsi="Book Antiqua" w:cs="Book Antiqua"/>
          <w:color w:val="000000"/>
        </w:rPr>
        <w:t>Luana</w:t>
      </w:r>
      <w:proofErr w:type="spellEnd"/>
      <w:r w:rsidRPr="006D1FE9">
        <w:rPr>
          <w:rFonts w:ascii="Book Antiqua" w:eastAsia="Book Antiqua" w:hAnsi="Book Antiqua" w:cs="Book Antiqua"/>
          <w:color w:val="000000"/>
        </w:rPr>
        <w:t xml:space="preserve"> </w:t>
      </w:r>
      <w:proofErr w:type="spellStart"/>
      <w:r w:rsidRPr="006D1FE9">
        <w:rPr>
          <w:rFonts w:ascii="Book Antiqua" w:eastAsia="Book Antiqua" w:hAnsi="Book Antiqua" w:cs="Book Antiqua"/>
          <w:color w:val="000000"/>
        </w:rPr>
        <w:t>Alexandrescu</w:t>
      </w:r>
      <w:proofErr w:type="spellEnd"/>
      <w:r w:rsidRPr="006D1FE9">
        <w:rPr>
          <w:rFonts w:ascii="Book Antiqua" w:eastAsia="Book Antiqua" w:hAnsi="Book Antiqua" w:cs="Book Antiqua"/>
          <w:color w:val="000000"/>
        </w:rPr>
        <w:t xml:space="preserve">, </w:t>
      </w:r>
      <w:proofErr w:type="spellStart"/>
      <w:r w:rsidRPr="006D1FE9">
        <w:rPr>
          <w:rFonts w:ascii="Book Antiqua" w:eastAsia="Book Antiqua" w:hAnsi="Book Antiqua" w:cs="Book Antiqua"/>
          <w:color w:val="000000"/>
        </w:rPr>
        <w:t>Razvan</w:t>
      </w:r>
      <w:proofErr w:type="spellEnd"/>
      <w:r w:rsidRPr="006D1FE9">
        <w:rPr>
          <w:rFonts w:ascii="Book Antiqua" w:eastAsia="Book Antiqua" w:hAnsi="Book Antiqua" w:cs="Book Antiqua"/>
          <w:color w:val="000000"/>
        </w:rPr>
        <w:t xml:space="preserve"> </w:t>
      </w:r>
      <w:proofErr w:type="spellStart"/>
      <w:r w:rsidRPr="006D1FE9">
        <w:rPr>
          <w:rFonts w:ascii="Book Antiqua" w:eastAsia="Book Antiqua" w:hAnsi="Book Antiqua" w:cs="Book Antiqua"/>
          <w:color w:val="000000"/>
        </w:rPr>
        <w:t>Popescu</w:t>
      </w:r>
      <w:proofErr w:type="spellEnd"/>
      <w:r w:rsidRPr="006D1FE9">
        <w:rPr>
          <w:rFonts w:ascii="Book Antiqua" w:eastAsia="Book Antiqua" w:hAnsi="Book Antiqua" w:cs="Book Antiqua"/>
          <w:color w:val="000000"/>
        </w:rPr>
        <w:t xml:space="preserve">, </w:t>
      </w:r>
      <w:proofErr w:type="spellStart"/>
      <w:r w:rsidRPr="006D1FE9">
        <w:rPr>
          <w:rFonts w:ascii="Book Antiqua" w:eastAsia="Book Antiqua" w:hAnsi="Book Antiqua" w:cs="Book Antiqua"/>
          <w:color w:val="000000"/>
        </w:rPr>
        <w:t>Eugen</w:t>
      </w:r>
      <w:proofErr w:type="spellEnd"/>
      <w:r w:rsidRPr="006D1FE9">
        <w:rPr>
          <w:rFonts w:ascii="Book Antiqua" w:eastAsia="Book Antiqua" w:hAnsi="Book Antiqua" w:cs="Book Antiqua"/>
          <w:color w:val="000000"/>
        </w:rPr>
        <w:t xml:space="preserve"> Dumitru</w:t>
      </w:r>
    </w:p>
    <w:p w14:paraId="6050D31C" w14:textId="77777777" w:rsidR="00A77B3E" w:rsidRPr="006D1FE9" w:rsidRDefault="00A77B3E" w:rsidP="006D1FE9">
      <w:pPr>
        <w:adjustRightInd w:val="0"/>
        <w:snapToGrid w:val="0"/>
        <w:spacing w:line="360" w:lineRule="auto"/>
        <w:jc w:val="both"/>
        <w:rPr>
          <w:rFonts w:ascii="Book Antiqua" w:hAnsi="Book Antiqua"/>
        </w:rPr>
      </w:pPr>
    </w:p>
    <w:p w14:paraId="17BFB988"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Cristina </w:t>
      </w:r>
      <w:proofErr w:type="spellStart"/>
      <w:r w:rsidRPr="006D1FE9">
        <w:rPr>
          <w:rFonts w:ascii="Book Antiqua" w:eastAsia="Book Antiqua" w:hAnsi="Book Antiqua" w:cs="Book Antiqua"/>
          <w:b/>
          <w:bCs/>
          <w:color w:val="000000"/>
        </w:rPr>
        <w:t>Tocia</w:t>
      </w:r>
      <w:proofErr w:type="spellEnd"/>
      <w:r w:rsidRPr="006D1FE9">
        <w:rPr>
          <w:rFonts w:ascii="Book Antiqua" w:eastAsia="Book Antiqua" w:hAnsi="Book Antiqua" w:cs="Book Antiqua"/>
          <w:b/>
          <w:bCs/>
          <w:color w:val="000000"/>
        </w:rPr>
        <w:t xml:space="preserve">, Andrei </w:t>
      </w:r>
      <w:proofErr w:type="spellStart"/>
      <w:r w:rsidRPr="006D1FE9">
        <w:rPr>
          <w:rFonts w:ascii="Book Antiqua" w:eastAsia="Book Antiqua" w:hAnsi="Book Antiqua" w:cs="Book Antiqua"/>
          <w:b/>
          <w:bCs/>
          <w:color w:val="000000"/>
        </w:rPr>
        <w:t>Dumitru</w:t>
      </w:r>
      <w:proofErr w:type="spellEnd"/>
      <w:r w:rsidRPr="006D1FE9">
        <w:rPr>
          <w:rFonts w:ascii="Book Antiqua" w:eastAsia="Book Antiqua" w:hAnsi="Book Antiqua" w:cs="Book Antiqua"/>
          <w:b/>
          <w:bCs/>
          <w:color w:val="000000"/>
        </w:rPr>
        <w:t xml:space="preserve">, </w:t>
      </w:r>
      <w:proofErr w:type="spellStart"/>
      <w:r w:rsidRPr="006D1FE9">
        <w:rPr>
          <w:rFonts w:ascii="Book Antiqua" w:eastAsia="Book Antiqua" w:hAnsi="Book Antiqua" w:cs="Book Antiqua"/>
          <w:b/>
          <w:bCs/>
          <w:color w:val="000000"/>
        </w:rPr>
        <w:t>Luana</w:t>
      </w:r>
      <w:proofErr w:type="spellEnd"/>
      <w:r w:rsidRPr="006D1FE9">
        <w:rPr>
          <w:rFonts w:ascii="Book Antiqua" w:eastAsia="Book Antiqua" w:hAnsi="Book Antiqua" w:cs="Book Antiqua"/>
          <w:b/>
          <w:bCs/>
          <w:color w:val="000000"/>
        </w:rPr>
        <w:t xml:space="preserve"> </w:t>
      </w:r>
      <w:proofErr w:type="spellStart"/>
      <w:r w:rsidRPr="006D1FE9">
        <w:rPr>
          <w:rFonts w:ascii="Book Antiqua" w:eastAsia="Book Antiqua" w:hAnsi="Book Antiqua" w:cs="Book Antiqua"/>
          <w:b/>
          <w:bCs/>
          <w:color w:val="000000"/>
        </w:rPr>
        <w:t>Alexandrescu</w:t>
      </w:r>
      <w:proofErr w:type="spellEnd"/>
      <w:r w:rsidRPr="006D1FE9">
        <w:rPr>
          <w:rFonts w:ascii="Book Antiqua" w:eastAsia="Book Antiqua" w:hAnsi="Book Antiqua" w:cs="Book Antiqua"/>
          <w:b/>
          <w:bCs/>
          <w:color w:val="000000"/>
        </w:rPr>
        <w:t xml:space="preserve">, </w:t>
      </w:r>
      <w:proofErr w:type="spellStart"/>
      <w:r w:rsidRPr="006D1FE9">
        <w:rPr>
          <w:rFonts w:ascii="Book Antiqua" w:eastAsia="Book Antiqua" w:hAnsi="Book Antiqua" w:cs="Book Antiqua"/>
          <w:b/>
          <w:bCs/>
          <w:color w:val="000000"/>
        </w:rPr>
        <w:t>Eugen</w:t>
      </w:r>
      <w:proofErr w:type="spellEnd"/>
      <w:r w:rsidRPr="006D1FE9">
        <w:rPr>
          <w:rFonts w:ascii="Book Antiqua" w:eastAsia="Book Antiqua" w:hAnsi="Book Antiqua" w:cs="Book Antiqua"/>
          <w:b/>
          <w:bCs/>
          <w:color w:val="000000"/>
        </w:rPr>
        <w:t xml:space="preserve"> </w:t>
      </w:r>
      <w:proofErr w:type="spellStart"/>
      <w:r w:rsidRPr="006D1FE9">
        <w:rPr>
          <w:rFonts w:ascii="Book Antiqua" w:eastAsia="Book Antiqua" w:hAnsi="Book Antiqua" w:cs="Book Antiqua"/>
          <w:b/>
          <w:bCs/>
          <w:color w:val="000000"/>
        </w:rPr>
        <w:t>Dumitru</w:t>
      </w:r>
      <w:proofErr w:type="spellEnd"/>
      <w:r w:rsidRPr="006D1FE9">
        <w:rPr>
          <w:rFonts w:ascii="Book Antiqua" w:eastAsia="Book Antiqua" w:hAnsi="Book Antiqua" w:cs="Book Antiqua"/>
          <w:b/>
          <w:bCs/>
          <w:color w:val="000000"/>
        </w:rPr>
        <w:t xml:space="preserve">, </w:t>
      </w:r>
      <w:r w:rsidRPr="006D1FE9">
        <w:rPr>
          <w:rFonts w:ascii="Book Antiqua" w:eastAsia="Book Antiqua" w:hAnsi="Book Antiqua" w:cs="Book Antiqua"/>
          <w:color w:val="000000"/>
        </w:rPr>
        <w:t>Department of Gastroenterology, Constanta County Clinical Emergency Hospital, Constanta 900647, Romania</w:t>
      </w:r>
    </w:p>
    <w:p w14:paraId="313D6083" w14:textId="77777777" w:rsidR="00A77B3E" w:rsidRPr="006D1FE9" w:rsidRDefault="00A77B3E" w:rsidP="006D1FE9">
      <w:pPr>
        <w:adjustRightInd w:val="0"/>
        <w:snapToGrid w:val="0"/>
        <w:spacing w:line="360" w:lineRule="auto"/>
        <w:jc w:val="both"/>
        <w:rPr>
          <w:rFonts w:ascii="Book Antiqua" w:hAnsi="Book Antiqua"/>
        </w:rPr>
      </w:pPr>
    </w:p>
    <w:p w14:paraId="1AAC4DB8"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Razvan Popescu, </w:t>
      </w:r>
      <w:r w:rsidRPr="006D1FE9">
        <w:rPr>
          <w:rFonts w:ascii="Book Antiqua" w:eastAsia="Book Antiqua" w:hAnsi="Book Antiqua" w:cs="Book Antiqua"/>
          <w:color w:val="000000"/>
        </w:rPr>
        <w:t>Department of General Surgery, Constanta County Clinical Emergency Hospital, Constanta 900647, Romania</w:t>
      </w:r>
    </w:p>
    <w:p w14:paraId="5F2E544C" w14:textId="77777777" w:rsidR="00A77B3E" w:rsidRPr="006D1FE9" w:rsidRDefault="00A77B3E" w:rsidP="006D1FE9">
      <w:pPr>
        <w:adjustRightInd w:val="0"/>
        <w:snapToGrid w:val="0"/>
        <w:spacing w:line="360" w:lineRule="auto"/>
        <w:jc w:val="both"/>
        <w:rPr>
          <w:rFonts w:ascii="Book Antiqua" w:hAnsi="Book Antiqua"/>
        </w:rPr>
      </w:pPr>
    </w:p>
    <w:p w14:paraId="0F64DA41" w14:textId="0FBF1CCD"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Author contributions: </w:t>
      </w:r>
      <w:bookmarkStart w:id="4" w:name="OLE_LINK12"/>
      <w:bookmarkStart w:id="5" w:name="OLE_LINK13"/>
      <w:proofErr w:type="spellStart"/>
      <w:r w:rsidRPr="006D1FE9">
        <w:rPr>
          <w:rFonts w:ascii="Book Antiqua" w:eastAsia="Book Antiqua" w:hAnsi="Book Antiqua" w:cs="Book Antiqua"/>
          <w:color w:val="000000"/>
        </w:rPr>
        <w:t>Tocia</w:t>
      </w:r>
      <w:proofErr w:type="spellEnd"/>
      <w:r w:rsidR="006E6CF2" w:rsidRPr="006D1FE9">
        <w:rPr>
          <w:rFonts w:ascii="Book Antiqua" w:eastAsia="Book Antiqua" w:hAnsi="Book Antiqua" w:cs="Book Antiqua"/>
          <w:color w:val="000000"/>
        </w:rPr>
        <w:t xml:space="preserve"> C</w:t>
      </w:r>
      <w:r w:rsidRPr="006D1FE9">
        <w:rPr>
          <w:rFonts w:ascii="Book Antiqua" w:eastAsia="Book Antiqua" w:hAnsi="Book Antiqua" w:cs="Book Antiqua"/>
          <w:color w:val="000000"/>
        </w:rPr>
        <w:t xml:space="preserve"> and </w:t>
      </w:r>
      <w:proofErr w:type="spellStart"/>
      <w:r w:rsidRPr="006D1FE9">
        <w:rPr>
          <w:rFonts w:ascii="Book Antiqua" w:eastAsia="Book Antiqua" w:hAnsi="Book Antiqua" w:cs="Book Antiqua"/>
          <w:color w:val="000000"/>
        </w:rPr>
        <w:t>Dumitru</w:t>
      </w:r>
      <w:proofErr w:type="spellEnd"/>
      <w:r w:rsidR="006E6CF2" w:rsidRPr="006D1FE9">
        <w:rPr>
          <w:rFonts w:ascii="Book Antiqua" w:eastAsia="Book Antiqua" w:hAnsi="Book Antiqua" w:cs="Book Antiqua"/>
          <w:color w:val="000000"/>
        </w:rPr>
        <w:t xml:space="preserve"> A</w:t>
      </w:r>
      <w:r w:rsidRPr="006D1FE9">
        <w:rPr>
          <w:rFonts w:ascii="Book Antiqua" w:eastAsia="Book Antiqua" w:hAnsi="Book Antiqua" w:cs="Book Antiqua"/>
          <w:color w:val="000000"/>
        </w:rPr>
        <w:t xml:space="preserve"> contributed</w:t>
      </w:r>
      <w:r w:rsidR="006E6CF2" w:rsidRPr="006D1FE9">
        <w:rPr>
          <w:rFonts w:ascii="Book Antiqua" w:eastAsia="Book Antiqua" w:hAnsi="Book Antiqua" w:cs="Book Antiqua"/>
          <w:color w:val="000000"/>
        </w:rPr>
        <w:t xml:space="preserve"> equally to this work; </w:t>
      </w:r>
      <w:proofErr w:type="spellStart"/>
      <w:r w:rsidRPr="006D1FE9">
        <w:rPr>
          <w:rFonts w:ascii="Book Antiqua" w:eastAsia="Book Antiqua" w:hAnsi="Book Antiqua" w:cs="Book Antiqua"/>
          <w:color w:val="000000"/>
        </w:rPr>
        <w:t>Tocia</w:t>
      </w:r>
      <w:proofErr w:type="spellEnd"/>
      <w:r w:rsidR="006E6CF2" w:rsidRPr="006D1FE9">
        <w:rPr>
          <w:rFonts w:ascii="Book Antiqua" w:eastAsia="Book Antiqua" w:hAnsi="Book Antiqua" w:cs="Book Antiqua"/>
          <w:color w:val="000000"/>
        </w:rPr>
        <w:t xml:space="preserve"> C</w:t>
      </w:r>
      <w:r w:rsidRPr="006D1FE9">
        <w:rPr>
          <w:rFonts w:ascii="Book Antiqua" w:eastAsia="Book Antiqua" w:hAnsi="Book Antiqua" w:cs="Book Antiqua"/>
          <w:color w:val="000000"/>
        </w:rPr>
        <w:t xml:space="preserve"> and </w:t>
      </w:r>
      <w:proofErr w:type="spellStart"/>
      <w:r w:rsidRPr="006D1FE9">
        <w:rPr>
          <w:rFonts w:ascii="Book Antiqua" w:eastAsia="Book Antiqua" w:hAnsi="Book Antiqua" w:cs="Book Antiqua"/>
          <w:color w:val="000000"/>
        </w:rPr>
        <w:t>Dumitru</w:t>
      </w:r>
      <w:proofErr w:type="spellEnd"/>
      <w:r w:rsidR="006E6CF2" w:rsidRPr="006D1FE9">
        <w:rPr>
          <w:rFonts w:ascii="Book Antiqua" w:eastAsia="Book Antiqua" w:hAnsi="Book Antiqua" w:cs="Book Antiqua"/>
          <w:color w:val="000000"/>
        </w:rPr>
        <w:t xml:space="preserve"> A</w:t>
      </w:r>
      <w:r w:rsidRPr="006D1FE9">
        <w:rPr>
          <w:rFonts w:ascii="Book Antiqua" w:eastAsia="Book Antiqua" w:hAnsi="Book Antiqua" w:cs="Book Antiqua"/>
          <w:color w:val="000000"/>
        </w:rPr>
        <w:t xml:space="preserve"> designed the </w:t>
      </w:r>
      <w:r w:rsidR="006E6CF2" w:rsidRPr="006D1FE9">
        <w:rPr>
          <w:rFonts w:ascii="Book Antiqua" w:eastAsia="Book Antiqua" w:hAnsi="Book Antiqua" w:cs="Book Antiqua"/>
          <w:color w:val="000000"/>
        </w:rPr>
        <w:t xml:space="preserve">study, </w:t>
      </w:r>
      <w:r w:rsidRPr="006D1FE9">
        <w:rPr>
          <w:rFonts w:ascii="Book Antiqua" w:eastAsia="Book Antiqua" w:hAnsi="Book Antiqua" w:cs="Book Antiqua"/>
          <w:color w:val="000000"/>
        </w:rPr>
        <w:t xml:space="preserve">performed the research, </w:t>
      </w:r>
      <w:r w:rsidR="00FC752B">
        <w:rPr>
          <w:rFonts w:ascii="Book Antiqua" w:eastAsia="Book Antiqua" w:hAnsi="Book Antiqua" w:cs="Book Antiqua"/>
          <w:color w:val="000000"/>
        </w:rPr>
        <w:t xml:space="preserve">collected and analyzed the </w:t>
      </w:r>
      <w:r w:rsidRPr="006D1FE9">
        <w:rPr>
          <w:rFonts w:ascii="Book Antiqua" w:eastAsia="Book Antiqua" w:hAnsi="Book Antiqua" w:cs="Book Antiqua"/>
          <w:color w:val="000000"/>
        </w:rPr>
        <w:t>data</w:t>
      </w:r>
      <w:r w:rsidR="006E6CF2" w:rsidRPr="006D1FE9">
        <w:rPr>
          <w:rFonts w:ascii="Book Antiqua" w:eastAsia="Book Antiqua" w:hAnsi="Book Antiqua" w:cs="Book Antiqua"/>
          <w:color w:val="000000"/>
        </w:rPr>
        <w:t>, and wrote the manuscript</w:t>
      </w:r>
      <w:r w:rsidRPr="006D1FE9">
        <w:rPr>
          <w:rFonts w:ascii="Book Antiqua" w:eastAsia="Book Antiqua" w:hAnsi="Book Antiqua" w:cs="Book Antiqua"/>
          <w:color w:val="000000"/>
        </w:rPr>
        <w:t>; Dumitru</w:t>
      </w:r>
      <w:r w:rsidR="006E6CF2" w:rsidRPr="006D1FE9">
        <w:rPr>
          <w:rFonts w:ascii="Book Antiqua" w:eastAsia="Book Antiqua" w:hAnsi="Book Antiqua" w:cs="Book Antiqua"/>
          <w:color w:val="000000"/>
        </w:rPr>
        <w:t xml:space="preserve"> E</w:t>
      </w:r>
      <w:r w:rsidRPr="006D1FE9">
        <w:rPr>
          <w:rFonts w:ascii="Book Antiqua" w:eastAsia="Book Antiqua" w:hAnsi="Book Antiqua" w:cs="Book Antiqua"/>
          <w:color w:val="000000"/>
        </w:rPr>
        <w:t xml:space="preserve"> conce</w:t>
      </w:r>
      <w:r w:rsidR="00FC752B">
        <w:rPr>
          <w:rFonts w:ascii="Book Antiqua" w:eastAsia="Book Antiqua" w:hAnsi="Book Antiqua" w:cs="Book Antiqua"/>
          <w:color w:val="000000"/>
        </w:rPr>
        <w:t>ived</w:t>
      </w:r>
      <w:r w:rsidRPr="006D1FE9">
        <w:rPr>
          <w:rFonts w:ascii="Book Antiqua" w:eastAsia="Book Antiqua" w:hAnsi="Book Antiqua" w:cs="Book Antiqua"/>
          <w:color w:val="000000"/>
        </w:rPr>
        <w:t xml:space="preserve"> and supervised the study and performed the critical review; </w:t>
      </w:r>
      <w:proofErr w:type="spellStart"/>
      <w:r w:rsidRPr="006D1FE9">
        <w:rPr>
          <w:rFonts w:ascii="Book Antiqua" w:eastAsia="Book Antiqua" w:hAnsi="Book Antiqua" w:cs="Book Antiqua"/>
          <w:color w:val="000000"/>
        </w:rPr>
        <w:t>Alexandrescu</w:t>
      </w:r>
      <w:proofErr w:type="spellEnd"/>
      <w:r w:rsidR="006E6CF2" w:rsidRPr="006D1FE9">
        <w:rPr>
          <w:rFonts w:ascii="Book Antiqua" w:eastAsia="Book Antiqua" w:hAnsi="Book Antiqua" w:cs="Book Antiqua"/>
          <w:color w:val="000000"/>
        </w:rPr>
        <w:t xml:space="preserve"> L</w:t>
      </w:r>
      <w:r w:rsidRPr="006D1FE9">
        <w:rPr>
          <w:rFonts w:ascii="Book Antiqua" w:eastAsia="Book Antiqua" w:hAnsi="Book Antiqua" w:cs="Book Antiqua"/>
          <w:color w:val="000000"/>
        </w:rPr>
        <w:t xml:space="preserve"> and </w:t>
      </w:r>
      <w:proofErr w:type="spellStart"/>
      <w:r w:rsidRPr="006D1FE9">
        <w:rPr>
          <w:rFonts w:ascii="Book Antiqua" w:eastAsia="Book Antiqua" w:hAnsi="Book Antiqua" w:cs="Book Antiqua"/>
          <w:color w:val="000000"/>
        </w:rPr>
        <w:t>Popescu</w:t>
      </w:r>
      <w:proofErr w:type="spellEnd"/>
      <w:r w:rsidR="006E6CF2" w:rsidRPr="006D1FE9">
        <w:rPr>
          <w:rFonts w:ascii="Book Antiqua" w:eastAsia="Book Antiqua" w:hAnsi="Book Antiqua" w:cs="Book Antiqua"/>
          <w:color w:val="000000"/>
        </w:rPr>
        <w:t xml:space="preserve"> R</w:t>
      </w:r>
      <w:r w:rsidRPr="006D1FE9">
        <w:rPr>
          <w:rFonts w:ascii="Book Antiqua" w:eastAsia="Book Antiqua" w:hAnsi="Book Antiqua" w:cs="Book Antiqua"/>
          <w:color w:val="000000"/>
        </w:rPr>
        <w:t xml:space="preserve"> performed the literature research and interpret</w:t>
      </w:r>
      <w:r w:rsidR="00FC752B">
        <w:rPr>
          <w:rFonts w:ascii="Book Antiqua" w:eastAsia="Book Antiqua" w:hAnsi="Book Antiqua" w:cs="Book Antiqua"/>
          <w:color w:val="000000"/>
        </w:rPr>
        <w:t>ed the</w:t>
      </w:r>
      <w:r w:rsidRPr="006D1FE9">
        <w:rPr>
          <w:rFonts w:ascii="Book Antiqua" w:eastAsia="Book Antiqua" w:hAnsi="Book Antiqua" w:cs="Book Antiqua"/>
          <w:color w:val="000000"/>
        </w:rPr>
        <w:t xml:space="preserve"> data</w:t>
      </w:r>
      <w:r w:rsidR="008E0F11" w:rsidRPr="006D1FE9">
        <w:rPr>
          <w:rFonts w:ascii="Book Antiqua" w:hAnsi="Book Antiqua" w:cs="Book Antiqua"/>
          <w:color w:val="000000"/>
          <w:lang w:eastAsia="zh-CN"/>
        </w:rPr>
        <w:t>.</w:t>
      </w:r>
      <w:r w:rsidRPr="006D1FE9">
        <w:rPr>
          <w:rFonts w:ascii="Book Antiqua" w:eastAsia="Book Antiqua" w:hAnsi="Book Antiqua" w:cs="Book Antiqua"/>
          <w:color w:val="000000"/>
        </w:rPr>
        <w:t xml:space="preserve"> </w:t>
      </w:r>
      <w:r w:rsidR="008E0F11" w:rsidRPr="006D1FE9">
        <w:rPr>
          <w:rFonts w:ascii="Book Antiqua" w:eastAsia="Book Antiqua" w:hAnsi="Book Antiqua" w:cs="Book Antiqua"/>
          <w:color w:val="000000"/>
        </w:rPr>
        <w:t xml:space="preserve">All </w:t>
      </w:r>
      <w:r w:rsidRPr="006D1FE9">
        <w:rPr>
          <w:rFonts w:ascii="Book Antiqua" w:eastAsia="Book Antiqua" w:hAnsi="Book Antiqua" w:cs="Book Antiqua"/>
          <w:color w:val="000000"/>
        </w:rPr>
        <w:t>authors have read and approved the final manuscript.</w:t>
      </w:r>
    </w:p>
    <w:bookmarkEnd w:id="4"/>
    <w:bookmarkEnd w:id="5"/>
    <w:p w14:paraId="2B159FA5" w14:textId="77777777" w:rsidR="00A77B3E" w:rsidRPr="006D1FE9" w:rsidRDefault="00A77B3E" w:rsidP="006D1FE9">
      <w:pPr>
        <w:adjustRightInd w:val="0"/>
        <w:snapToGrid w:val="0"/>
        <w:spacing w:line="360" w:lineRule="auto"/>
        <w:jc w:val="both"/>
        <w:rPr>
          <w:rFonts w:ascii="Book Antiqua" w:hAnsi="Book Antiqua"/>
        </w:rPr>
      </w:pPr>
    </w:p>
    <w:p w14:paraId="779A40F9" w14:textId="77777777" w:rsidR="00A77B3E" w:rsidRPr="006D1FE9" w:rsidRDefault="009E6927" w:rsidP="006D1FE9">
      <w:pPr>
        <w:adjustRightInd w:val="0"/>
        <w:snapToGrid w:val="0"/>
        <w:spacing w:line="360" w:lineRule="auto"/>
        <w:jc w:val="both"/>
        <w:rPr>
          <w:rFonts w:ascii="Book Antiqua" w:hAnsi="Book Antiqua"/>
          <w:u w:val="single"/>
        </w:rPr>
      </w:pPr>
      <w:r w:rsidRPr="006D1FE9">
        <w:rPr>
          <w:rFonts w:ascii="Book Antiqua" w:eastAsia="Book Antiqua" w:hAnsi="Book Antiqua" w:cs="Book Antiqua"/>
          <w:b/>
          <w:bCs/>
          <w:color w:val="000000"/>
        </w:rPr>
        <w:lastRenderedPageBreak/>
        <w:t xml:space="preserve">Corresponding author: Andrei Dumitru, MD, Academic Fellow, </w:t>
      </w:r>
      <w:r w:rsidRPr="006D1FE9">
        <w:rPr>
          <w:rFonts w:ascii="Book Antiqua" w:eastAsia="Book Antiqua" w:hAnsi="Book Antiqua" w:cs="Book Antiqua"/>
          <w:color w:val="000000"/>
        </w:rPr>
        <w:t xml:space="preserve">Department of Gastroenterology, Constanta County Clinical Emergency Hospital, </w:t>
      </w:r>
      <w:proofErr w:type="spellStart"/>
      <w:r w:rsidRPr="006D1FE9">
        <w:rPr>
          <w:rFonts w:ascii="Book Antiqua" w:eastAsia="Book Antiqua" w:hAnsi="Book Antiqua" w:cs="Book Antiqua"/>
          <w:color w:val="000000"/>
        </w:rPr>
        <w:t>Bd</w:t>
      </w:r>
      <w:proofErr w:type="spellEnd"/>
      <w:r w:rsidRPr="006D1FE9">
        <w:rPr>
          <w:rFonts w:ascii="Book Antiqua" w:eastAsia="Book Antiqua" w:hAnsi="Book Antiqua" w:cs="Book Antiqua"/>
          <w:color w:val="000000"/>
        </w:rPr>
        <w:t xml:space="preserve"> </w:t>
      </w:r>
      <w:proofErr w:type="spellStart"/>
      <w:r w:rsidRPr="006D1FE9">
        <w:rPr>
          <w:rFonts w:ascii="Book Antiqua" w:eastAsia="Book Antiqua" w:hAnsi="Book Antiqua" w:cs="Book Antiqua"/>
          <w:color w:val="000000"/>
        </w:rPr>
        <w:t>Tomis</w:t>
      </w:r>
      <w:proofErr w:type="spellEnd"/>
      <w:r w:rsidRPr="006D1FE9">
        <w:rPr>
          <w:rFonts w:ascii="Book Antiqua" w:eastAsia="Book Antiqua" w:hAnsi="Book Antiqua" w:cs="Book Antiqua"/>
          <w:color w:val="000000"/>
        </w:rPr>
        <w:t xml:space="preserve"> no 145, Constanta 900647, Romania. </w:t>
      </w:r>
      <w:r w:rsidRPr="000922EE">
        <w:rPr>
          <w:rFonts w:ascii="Book Antiqua" w:eastAsia="Book Antiqua" w:hAnsi="Book Antiqua" w:cs="Book Antiqua"/>
          <w:color w:val="000000"/>
        </w:rPr>
        <w:t>dr.andreidumitru@gmail.com</w:t>
      </w:r>
    </w:p>
    <w:p w14:paraId="73BB8DF6" w14:textId="77777777" w:rsidR="00A77B3E" w:rsidRPr="006D1FE9" w:rsidRDefault="00A77B3E" w:rsidP="006D1FE9">
      <w:pPr>
        <w:adjustRightInd w:val="0"/>
        <w:snapToGrid w:val="0"/>
        <w:spacing w:line="360" w:lineRule="auto"/>
        <w:jc w:val="both"/>
        <w:rPr>
          <w:rFonts w:ascii="Book Antiqua" w:hAnsi="Book Antiqua"/>
        </w:rPr>
      </w:pPr>
    </w:p>
    <w:p w14:paraId="7D41F9CB"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Received: </w:t>
      </w:r>
      <w:r w:rsidRPr="006D1FE9">
        <w:rPr>
          <w:rFonts w:ascii="Book Antiqua" w:eastAsia="Book Antiqua" w:hAnsi="Book Antiqua" w:cs="Book Antiqua"/>
          <w:color w:val="000000"/>
        </w:rPr>
        <w:t>July 17, 2020</w:t>
      </w:r>
    </w:p>
    <w:p w14:paraId="6718E272"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Revised: </w:t>
      </w:r>
      <w:r w:rsidR="00200446" w:rsidRPr="006D1FE9">
        <w:rPr>
          <w:rFonts w:ascii="Book Antiqua" w:eastAsia="Book Antiqua" w:hAnsi="Book Antiqua" w:cs="Book Antiqua"/>
          <w:bCs/>
          <w:color w:val="000000"/>
        </w:rPr>
        <w:t>October 3, 2020</w:t>
      </w:r>
    </w:p>
    <w:p w14:paraId="40B41970"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Accepted: </w:t>
      </w:r>
      <w:r w:rsidR="00467445" w:rsidRPr="006D1FE9">
        <w:rPr>
          <w:rFonts w:ascii="Book Antiqua" w:eastAsia="Book Antiqua" w:hAnsi="Book Antiqua" w:cs="Book Antiqua"/>
          <w:bCs/>
          <w:color w:val="000000"/>
        </w:rPr>
        <w:t xml:space="preserve">October </w:t>
      </w:r>
      <w:r w:rsidR="00467445">
        <w:rPr>
          <w:rFonts w:ascii="Book Antiqua" w:eastAsia="Book Antiqua" w:hAnsi="Book Antiqua" w:cs="Book Antiqua"/>
          <w:bCs/>
          <w:color w:val="000000"/>
        </w:rPr>
        <w:t>27</w:t>
      </w:r>
      <w:r w:rsidR="00467445" w:rsidRPr="006D1FE9">
        <w:rPr>
          <w:rFonts w:ascii="Book Antiqua" w:eastAsia="Book Antiqua" w:hAnsi="Book Antiqua" w:cs="Book Antiqua"/>
          <w:bCs/>
          <w:color w:val="000000"/>
        </w:rPr>
        <w:t>, 2020</w:t>
      </w:r>
    </w:p>
    <w:p w14:paraId="5840B859" w14:textId="5680CB24"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Published online: </w:t>
      </w:r>
      <w:r w:rsidR="00B6682E">
        <w:rPr>
          <w:rFonts w:ascii="Book Antiqua" w:hAnsi="Book Antiqua" w:cs="Book Antiqua"/>
          <w:bCs/>
          <w:color w:val="000000"/>
          <w:lang w:eastAsia="zh-CN"/>
        </w:rPr>
        <w:t>December 27, 2020</w:t>
      </w:r>
    </w:p>
    <w:p w14:paraId="45ED264B" w14:textId="77777777" w:rsidR="00A77B3E" w:rsidRPr="006D1FE9" w:rsidRDefault="00A77B3E" w:rsidP="006D1FE9">
      <w:pPr>
        <w:adjustRightInd w:val="0"/>
        <w:snapToGrid w:val="0"/>
        <w:spacing w:line="360" w:lineRule="auto"/>
        <w:jc w:val="both"/>
        <w:rPr>
          <w:rFonts w:ascii="Book Antiqua" w:hAnsi="Book Antiqua"/>
        </w:rPr>
        <w:sectPr w:rsidR="00A77B3E" w:rsidRPr="006D1FE9" w:rsidSect="008E0F11">
          <w:footerReference w:type="default" r:id="rId8"/>
          <w:pgSz w:w="12240" w:h="15840"/>
          <w:pgMar w:top="1440" w:right="1800" w:bottom="1440" w:left="1800" w:header="720" w:footer="720" w:gutter="0"/>
          <w:cols w:space="720"/>
          <w:docGrid w:linePitch="360"/>
        </w:sectPr>
      </w:pPr>
    </w:p>
    <w:p w14:paraId="35E2DDAB"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lastRenderedPageBreak/>
        <w:t>Abstract</w:t>
      </w:r>
    </w:p>
    <w:p w14:paraId="5B5EBB77"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BACKGROUND</w:t>
      </w:r>
    </w:p>
    <w:p w14:paraId="5C4AB5F8" w14:textId="77777777" w:rsidR="00A77B3E" w:rsidRPr="006D1FE9" w:rsidRDefault="009E6927" w:rsidP="006D1FE9">
      <w:pPr>
        <w:adjustRightInd w:val="0"/>
        <w:snapToGrid w:val="0"/>
        <w:spacing w:line="360" w:lineRule="auto"/>
        <w:jc w:val="both"/>
        <w:rPr>
          <w:rFonts w:ascii="Book Antiqua" w:hAnsi="Book Antiqua"/>
        </w:rPr>
      </w:pPr>
      <w:bookmarkStart w:id="6" w:name="OLE_LINK18"/>
      <w:bookmarkStart w:id="7" w:name="OLE_LINK19"/>
      <w:r w:rsidRPr="006D1FE9">
        <w:rPr>
          <w:rFonts w:ascii="Book Antiqua" w:eastAsia="Book Antiqua" w:hAnsi="Book Antiqua" w:cs="Book Antiqua"/>
          <w:color w:val="000000"/>
        </w:rPr>
        <w:t>Ascites is one of the most common complications of cirrhosis, placing a significant burden on the healthcare system. Data regarding the optimal time of paracentesis and outcomes among patients with cirrhosis and ascites are scarce.</w:t>
      </w:r>
    </w:p>
    <w:bookmarkEnd w:id="6"/>
    <w:bookmarkEnd w:id="7"/>
    <w:p w14:paraId="3933E0F5" w14:textId="77777777" w:rsidR="00A77B3E" w:rsidRPr="006D1FE9" w:rsidRDefault="00A77B3E" w:rsidP="006D1FE9">
      <w:pPr>
        <w:adjustRightInd w:val="0"/>
        <w:snapToGrid w:val="0"/>
        <w:spacing w:line="360" w:lineRule="auto"/>
        <w:jc w:val="both"/>
        <w:rPr>
          <w:rFonts w:ascii="Book Antiqua" w:hAnsi="Book Antiqua"/>
        </w:rPr>
      </w:pPr>
    </w:p>
    <w:p w14:paraId="1649E622"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AIM</w:t>
      </w:r>
    </w:p>
    <w:p w14:paraId="2C0E52A3" w14:textId="4130E5A8" w:rsidR="00A77B3E" w:rsidRPr="006D1FE9" w:rsidRDefault="009E6927" w:rsidP="006D1FE9">
      <w:pPr>
        <w:adjustRightInd w:val="0"/>
        <w:snapToGrid w:val="0"/>
        <w:spacing w:line="360" w:lineRule="auto"/>
        <w:jc w:val="both"/>
        <w:rPr>
          <w:rFonts w:ascii="Book Antiqua" w:hAnsi="Book Antiqua"/>
        </w:rPr>
      </w:pPr>
      <w:bookmarkStart w:id="8" w:name="OLE_LINK20"/>
      <w:bookmarkStart w:id="9" w:name="OLE_LINK21"/>
      <w:r w:rsidRPr="006D1FE9">
        <w:rPr>
          <w:rFonts w:ascii="Book Antiqua" w:eastAsia="Book Antiqua" w:hAnsi="Book Antiqua" w:cs="Book Antiqua"/>
          <w:color w:val="000000"/>
        </w:rPr>
        <w:t>To assess the outcomes of patients who underwent paracentesis within 12</w:t>
      </w:r>
      <w:r w:rsidR="00200446"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h </w:t>
      </w:r>
      <w:r w:rsidR="00FC752B">
        <w:rPr>
          <w:rFonts w:ascii="Book Antiqua" w:eastAsia="Book Antiqua" w:hAnsi="Book Antiqua" w:cs="Book Antiqua"/>
          <w:color w:val="000000"/>
        </w:rPr>
        <w:t>after</w:t>
      </w:r>
      <w:r w:rsidRPr="006D1FE9">
        <w:rPr>
          <w:rFonts w:ascii="Book Antiqua" w:eastAsia="Book Antiqua" w:hAnsi="Book Antiqua" w:cs="Book Antiqua"/>
          <w:color w:val="000000"/>
        </w:rPr>
        <w:t xml:space="preserve"> admission compared to patients who underwent paracentesis later than 12</w:t>
      </w:r>
      <w:r w:rsidR="00016582"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h.</w:t>
      </w:r>
    </w:p>
    <w:bookmarkEnd w:id="8"/>
    <w:bookmarkEnd w:id="9"/>
    <w:p w14:paraId="3C84F81A" w14:textId="77777777" w:rsidR="00016582" w:rsidRPr="006D1FE9" w:rsidRDefault="00016582" w:rsidP="006D1FE9">
      <w:pPr>
        <w:adjustRightInd w:val="0"/>
        <w:snapToGrid w:val="0"/>
        <w:spacing w:line="360" w:lineRule="auto"/>
        <w:jc w:val="both"/>
        <w:rPr>
          <w:rFonts w:ascii="Book Antiqua" w:eastAsia="Book Antiqua" w:hAnsi="Book Antiqua" w:cs="Book Antiqua"/>
          <w:color w:val="000000"/>
        </w:rPr>
      </w:pPr>
    </w:p>
    <w:p w14:paraId="542EE2D3"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METHODS</w:t>
      </w:r>
    </w:p>
    <w:p w14:paraId="25C08947" w14:textId="4F6671B5" w:rsidR="00A77B3E" w:rsidRPr="006D1FE9" w:rsidRDefault="009E6927" w:rsidP="006D1FE9">
      <w:pPr>
        <w:adjustRightInd w:val="0"/>
        <w:snapToGrid w:val="0"/>
        <w:spacing w:line="360" w:lineRule="auto"/>
        <w:jc w:val="both"/>
        <w:rPr>
          <w:rFonts w:ascii="Book Antiqua" w:hAnsi="Book Antiqua"/>
        </w:rPr>
      </w:pPr>
      <w:bookmarkStart w:id="10" w:name="OLE_LINK22"/>
      <w:bookmarkStart w:id="11" w:name="OLE_LINK23"/>
      <w:r w:rsidRPr="006D1FE9">
        <w:rPr>
          <w:rFonts w:ascii="Book Antiqua" w:eastAsia="Book Antiqua" w:hAnsi="Book Antiqua" w:cs="Book Antiqua"/>
          <w:color w:val="000000"/>
        </w:rPr>
        <w:t xml:space="preserve">The study included 185 patients with cirrhosis and ascites who underwent paracentesis. </w:t>
      </w:r>
      <w:r w:rsidR="00FC752B">
        <w:rPr>
          <w:rFonts w:ascii="Book Antiqua" w:eastAsia="Book Antiqua" w:hAnsi="Book Antiqua" w:cs="Book Antiqua"/>
          <w:color w:val="000000"/>
        </w:rPr>
        <w:t>The e</w:t>
      </w:r>
      <w:r w:rsidRPr="006D1FE9">
        <w:rPr>
          <w:rFonts w:ascii="Book Antiqua" w:eastAsia="Book Antiqua" w:hAnsi="Book Antiqua" w:cs="Book Antiqua"/>
          <w:color w:val="000000"/>
        </w:rPr>
        <w:t>arly paracentesis group was defined as paracentesis performed &lt; 12</w:t>
      </w:r>
      <w:r w:rsidR="00016582"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h </w:t>
      </w:r>
      <w:r w:rsidR="00FC752B">
        <w:rPr>
          <w:rFonts w:ascii="Book Antiqua" w:eastAsia="Book Antiqua" w:hAnsi="Book Antiqua" w:cs="Book Antiqua"/>
          <w:color w:val="000000"/>
        </w:rPr>
        <w:t xml:space="preserve">after </w:t>
      </w:r>
      <w:r w:rsidRPr="006D1FE9">
        <w:rPr>
          <w:rFonts w:ascii="Book Antiqua" w:eastAsia="Book Antiqua" w:hAnsi="Book Antiqua" w:cs="Book Antiqua"/>
          <w:color w:val="000000"/>
        </w:rPr>
        <w:t xml:space="preserve">admission (65 patients) and </w:t>
      </w:r>
      <w:r w:rsidR="00FC752B">
        <w:rPr>
          <w:rFonts w:ascii="Book Antiqua" w:eastAsia="Book Antiqua" w:hAnsi="Book Antiqua" w:cs="Book Antiqua"/>
          <w:color w:val="000000"/>
        </w:rPr>
        <w:t xml:space="preserve">the </w:t>
      </w:r>
      <w:r w:rsidRPr="006D1FE9">
        <w:rPr>
          <w:rFonts w:ascii="Book Antiqua" w:eastAsia="Book Antiqua" w:hAnsi="Book Antiqua" w:cs="Book Antiqua"/>
          <w:color w:val="000000"/>
        </w:rPr>
        <w:t xml:space="preserve">delayed paracentesis group </w:t>
      </w:r>
      <w:r w:rsidR="00FC752B">
        <w:rPr>
          <w:rFonts w:ascii="Book Antiqua" w:eastAsia="Book Antiqua" w:hAnsi="Book Antiqua" w:cs="Book Antiqua"/>
          <w:color w:val="000000"/>
        </w:rPr>
        <w:t xml:space="preserve">was defined </w:t>
      </w:r>
      <w:r w:rsidRPr="006D1FE9">
        <w:rPr>
          <w:rFonts w:ascii="Book Antiqua" w:eastAsia="Book Antiqua" w:hAnsi="Book Antiqua" w:cs="Book Antiqua"/>
          <w:color w:val="000000"/>
        </w:rPr>
        <w:t>as paracentesis performed &gt; 12</w:t>
      </w:r>
      <w:r w:rsidR="00016582"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h </w:t>
      </w:r>
      <w:r w:rsidR="00FC752B">
        <w:rPr>
          <w:rFonts w:ascii="Book Antiqua" w:eastAsia="Book Antiqua" w:hAnsi="Book Antiqua" w:cs="Book Antiqua"/>
          <w:color w:val="000000"/>
        </w:rPr>
        <w:t xml:space="preserve">after </w:t>
      </w:r>
      <w:r w:rsidRPr="006D1FE9">
        <w:rPr>
          <w:rFonts w:ascii="Book Antiqua" w:eastAsia="Book Antiqua" w:hAnsi="Book Antiqua" w:cs="Book Antiqua"/>
          <w:color w:val="000000"/>
        </w:rPr>
        <w:t>admission (120 patients). New-onset complications of cirrhosis, length of hospital stay, weekday or weekend admission, in-hos</w:t>
      </w:r>
      <w:r w:rsidR="008E0F11" w:rsidRPr="006D1FE9">
        <w:rPr>
          <w:rFonts w:ascii="Book Antiqua" w:eastAsia="Book Antiqua" w:hAnsi="Book Antiqua" w:cs="Book Antiqua"/>
          <w:color w:val="000000"/>
        </w:rPr>
        <w:t>pital mortality rate, and 90-d</w:t>
      </w:r>
      <w:r w:rsidRPr="006D1FE9">
        <w:rPr>
          <w:rFonts w:ascii="Book Antiqua" w:eastAsia="Book Antiqua" w:hAnsi="Book Antiqua" w:cs="Book Antiqua"/>
          <w:color w:val="000000"/>
        </w:rPr>
        <w:t xml:space="preserve"> readmission rates were assessed and compared between </w:t>
      </w:r>
      <w:r w:rsidR="00FC752B">
        <w:rPr>
          <w:rFonts w:ascii="Book Antiqua" w:eastAsia="Book Antiqua" w:hAnsi="Book Antiqua" w:cs="Book Antiqua"/>
          <w:color w:val="000000"/>
        </w:rPr>
        <w:t xml:space="preserve">the </w:t>
      </w:r>
      <w:r w:rsidRPr="006D1FE9">
        <w:rPr>
          <w:rFonts w:ascii="Book Antiqua" w:eastAsia="Book Antiqua" w:hAnsi="Book Antiqua" w:cs="Book Antiqua"/>
          <w:color w:val="000000"/>
        </w:rPr>
        <w:t>groups.</w:t>
      </w:r>
    </w:p>
    <w:bookmarkEnd w:id="10"/>
    <w:bookmarkEnd w:id="11"/>
    <w:p w14:paraId="665F2D5A" w14:textId="77777777" w:rsidR="00A77B3E" w:rsidRPr="006D1FE9" w:rsidRDefault="00A77B3E" w:rsidP="006D1FE9">
      <w:pPr>
        <w:adjustRightInd w:val="0"/>
        <w:snapToGrid w:val="0"/>
        <w:spacing w:line="360" w:lineRule="auto"/>
        <w:jc w:val="both"/>
        <w:rPr>
          <w:rFonts w:ascii="Book Antiqua" w:hAnsi="Book Antiqua"/>
        </w:rPr>
      </w:pPr>
    </w:p>
    <w:p w14:paraId="6C5BB740"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RESULTS</w:t>
      </w:r>
    </w:p>
    <w:p w14:paraId="1591FF20" w14:textId="3C20925F" w:rsidR="00A77B3E" w:rsidRPr="006D1FE9" w:rsidRDefault="009E6927" w:rsidP="006D1FE9">
      <w:pPr>
        <w:adjustRightInd w:val="0"/>
        <w:snapToGrid w:val="0"/>
        <w:spacing w:line="360" w:lineRule="auto"/>
        <w:jc w:val="both"/>
        <w:rPr>
          <w:rFonts w:ascii="Book Antiqua" w:hAnsi="Book Antiqua"/>
        </w:rPr>
      </w:pPr>
      <w:bookmarkStart w:id="12" w:name="OLE_LINK24"/>
      <w:bookmarkStart w:id="13" w:name="OLE_LINK25"/>
      <w:r w:rsidRPr="006D1FE9">
        <w:rPr>
          <w:rFonts w:ascii="Book Antiqua" w:eastAsia="Book Antiqua" w:hAnsi="Book Antiqua" w:cs="Book Antiqua"/>
          <w:color w:val="000000"/>
        </w:rPr>
        <w:t>Significantly more patients in the delayed paracentesis group than in the early paracentesis group developed</w:t>
      </w:r>
      <w:r w:rsidR="00016582" w:rsidRPr="006D1FE9">
        <w:rPr>
          <w:rFonts w:ascii="Book Antiqua" w:eastAsia="Book Antiqua" w:hAnsi="Book Antiqua" w:cs="Book Antiqua"/>
          <w:color w:val="000000"/>
        </w:rPr>
        <w:t xml:space="preserve"> hepatic encephalopathy (45% </w:t>
      </w:r>
      <w:r w:rsidR="00016582" w:rsidRPr="006D1FE9">
        <w:rPr>
          <w:rFonts w:ascii="Book Antiqua" w:eastAsia="Book Antiqua" w:hAnsi="Book Antiqua" w:cs="Book Antiqua"/>
          <w:i/>
          <w:color w:val="000000"/>
        </w:rPr>
        <w:t>vs</w:t>
      </w:r>
      <w:r w:rsidRPr="006D1FE9">
        <w:rPr>
          <w:rFonts w:ascii="Book Antiqua" w:eastAsia="Book Antiqua" w:hAnsi="Book Antiqua" w:cs="Book Antiqua"/>
          <w:i/>
          <w:color w:val="000000"/>
        </w:rPr>
        <w:t xml:space="preserve"> </w:t>
      </w:r>
      <w:r w:rsidRPr="006D1FE9">
        <w:rPr>
          <w:rFonts w:ascii="Book Antiqua" w:eastAsia="Book Antiqua" w:hAnsi="Book Antiqua" w:cs="Book Antiqua"/>
          <w:color w:val="000000"/>
        </w:rPr>
        <w:t xml:space="preserve">21.5%, </w:t>
      </w:r>
      <w:r w:rsidR="00016582" w:rsidRPr="006D1FE9">
        <w:rPr>
          <w:rFonts w:ascii="Book Antiqua" w:eastAsia="Book Antiqua" w:hAnsi="Book Antiqua" w:cs="Book Antiqua"/>
          <w:i/>
          <w:color w:val="000000"/>
        </w:rPr>
        <w:t>P</w:t>
      </w:r>
      <w:r w:rsidRPr="006D1FE9">
        <w:rPr>
          <w:rFonts w:ascii="Book Antiqua" w:eastAsia="Book Antiqua" w:hAnsi="Book Antiqua" w:cs="Book Antiqua"/>
          <w:color w:val="000000"/>
        </w:rPr>
        <w:t xml:space="preserve"> &lt; 0.01), </w:t>
      </w:r>
      <w:r w:rsidR="00016582" w:rsidRPr="006D1FE9">
        <w:rPr>
          <w:rFonts w:ascii="Book Antiqua" w:eastAsia="Book Antiqua" w:hAnsi="Book Antiqua" w:cs="Book Antiqua"/>
          <w:color w:val="000000"/>
        </w:rPr>
        <w:t xml:space="preserve">hepato-renal syndrome (21.6% </w:t>
      </w:r>
      <w:r w:rsidR="00016582" w:rsidRPr="006D1FE9">
        <w:rPr>
          <w:rFonts w:ascii="Book Antiqua" w:eastAsia="Book Antiqua" w:hAnsi="Book Antiqua" w:cs="Book Antiqua"/>
          <w:i/>
          <w:color w:val="000000"/>
        </w:rPr>
        <w:t>vs</w:t>
      </w:r>
      <w:r w:rsidRPr="006D1FE9">
        <w:rPr>
          <w:rFonts w:ascii="Book Antiqua" w:eastAsia="Book Antiqua" w:hAnsi="Book Antiqua" w:cs="Book Antiqua"/>
          <w:color w:val="000000"/>
        </w:rPr>
        <w:t xml:space="preserve"> 9.2%, </w:t>
      </w:r>
      <w:r w:rsidRPr="006D1FE9">
        <w:rPr>
          <w:rFonts w:ascii="Book Antiqua" w:eastAsia="Book Antiqua" w:hAnsi="Book Antiqua" w:cs="Book Antiqua"/>
          <w:i/>
          <w:iCs/>
          <w:color w:val="000000"/>
        </w:rPr>
        <w:t>P</w:t>
      </w:r>
      <w:r w:rsidR="00016582" w:rsidRPr="006D1FE9">
        <w:rPr>
          <w:rFonts w:ascii="Book Antiqua" w:eastAsia="Book Antiqua" w:hAnsi="Book Antiqua" w:cs="Book Antiqua"/>
          <w:color w:val="000000"/>
        </w:rPr>
        <w:t xml:space="preserve"> = 0.03) and infections (25% </w:t>
      </w:r>
      <w:r w:rsidR="00016582" w:rsidRPr="006D1FE9">
        <w:rPr>
          <w:rFonts w:ascii="Book Antiqua" w:eastAsia="Book Antiqua" w:hAnsi="Book Antiqua" w:cs="Book Antiqua"/>
          <w:i/>
          <w:color w:val="000000"/>
        </w:rPr>
        <w:t>vs</w:t>
      </w:r>
      <w:r w:rsidR="00016582"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10.7%, </w:t>
      </w:r>
      <w:r w:rsidRPr="006D1FE9">
        <w:rPr>
          <w:rFonts w:ascii="Book Antiqua" w:eastAsia="Book Antiqua" w:hAnsi="Book Antiqua" w:cs="Book Antiqua"/>
          <w:i/>
          <w:iCs/>
          <w:color w:val="000000"/>
        </w:rPr>
        <w:t>P</w:t>
      </w:r>
      <w:r w:rsidRPr="006D1FE9">
        <w:rPr>
          <w:rFonts w:ascii="Book Antiqua" w:eastAsia="Book Antiqua" w:hAnsi="Book Antiqua" w:cs="Book Antiqua"/>
          <w:color w:val="000000"/>
        </w:rPr>
        <w:t xml:space="preserve"> = 0.02) during hospitalization. There were no statistically significant differences </w:t>
      </w:r>
      <w:r w:rsidR="00FC752B">
        <w:rPr>
          <w:rFonts w:ascii="Book Antiqua" w:eastAsia="Book Antiqua" w:hAnsi="Book Antiqua" w:cs="Book Antiqua"/>
          <w:color w:val="000000"/>
        </w:rPr>
        <w:t>in</w:t>
      </w:r>
      <w:r w:rsidRPr="006D1FE9">
        <w:rPr>
          <w:rFonts w:ascii="Book Antiqua" w:eastAsia="Book Antiqua" w:hAnsi="Book Antiqua" w:cs="Book Antiqua"/>
          <w:color w:val="000000"/>
        </w:rPr>
        <w:t xml:space="preserve"> the occurrence of spontaneous bacterial peritonitis and upper gastrointestinal bleeding </w:t>
      </w:r>
      <w:r w:rsidR="00FC752B">
        <w:rPr>
          <w:rFonts w:ascii="Book Antiqua" w:eastAsia="Book Antiqua" w:hAnsi="Book Antiqua" w:cs="Book Antiqua"/>
          <w:color w:val="000000"/>
        </w:rPr>
        <w:t>between</w:t>
      </w:r>
      <w:r w:rsidRPr="006D1FE9">
        <w:rPr>
          <w:rFonts w:ascii="Book Antiqua" w:eastAsia="Book Antiqua" w:hAnsi="Book Antiqua" w:cs="Book Antiqua"/>
          <w:color w:val="000000"/>
        </w:rPr>
        <w:t xml:space="preserve"> the two groups. Length of stay was shorter in the early paracentesis group than in the delayed para</w:t>
      </w:r>
      <w:r w:rsidR="00016582" w:rsidRPr="006D1FE9">
        <w:rPr>
          <w:rFonts w:ascii="Book Antiqua" w:eastAsia="Book Antiqua" w:hAnsi="Book Antiqua" w:cs="Book Antiqua"/>
          <w:color w:val="000000"/>
        </w:rPr>
        <w:t xml:space="preserve">centesis group (6.7 </w:t>
      </w:r>
      <w:r w:rsidR="00A65650" w:rsidRPr="006D1FE9">
        <w:rPr>
          <w:rFonts w:ascii="Book Antiqua" w:eastAsia="Book Antiqua" w:hAnsi="Book Antiqua" w:cs="Book Antiqua"/>
          <w:color w:val="000000"/>
        </w:rPr>
        <w:t>d</w:t>
      </w:r>
      <w:r w:rsidR="00A65650" w:rsidRPr="006D1FE9">
        <w:rPr>
          <w:rFonts w:ascii="Book Antiqua" w:eastAsia="Book Antiqua" w:hAnsi="Book Antiqua" w:cs="Book Antiqua"/>
          <w:i/>
          <w:color w:val="000000"/>
        </w:rPr>
        <w:t xml:space="preserve"> </w:t>
      </w:r>
      <w:r w:rsidR="00016582" w:rsidRPr="006D1FE9">
        <w:rPr>
          <w:rFonts w:ascii="Book Antiqua" w:eastAsia="Book Antiqua" w:hAnsi="Book Antiqua" w:cs="Book Antiqua"/>
          <w:i/>
          <w:color w:val="000000"/>
        </w:rPr>
        <w:t>vs</w:t>
      </w:r>
      <w:r w:rsidRPr="006D1FE9">
        <w:rPr>
          <w:rFonts w:ascii="Book Antiqua" w:eastAsia="Book Antiqua" w:hAnsi="Book Antiqua" w:cs="Book Antiqua"/>
          <w:i/>
          <w:color w:val="000000"/>
        </w:rPr>
        <w:t xml:space="preserve"> </w:t>
      </w:r>
      <w:r w:rsidRPr="006D1FE9">
        <w:rPr>
          <w:rFonts w:ascii="Book Antiqua" w:eastAsia="Book Antiqua" w:hAnsi="Book Antiqua" w:cs="Book Antiqua"/>
          <w:color w:val="000000"/>
        </w:rPr>
        <w:t xml:space="preserve">12.2 d) and in-hospital mortality was lower among patients in the early paracentesis group. </w:t>
      </w:r>
      <w:r w:rsidRPr="006D1FE9">
        <w:rPr>
          <w:rFonts w:ascii="Book Antiqua" w:eastAsia="Book Antiqua" w:hAnsi="Book Antiqua" w:cs="Book Antiqua"/>
          <w:color w:val="000000"/>
        </w:rPr>
        <w:lastRenderedPageBreak/>
        <w:t xml:space="preserve">Patients </w:t>
      </w:r>
      <w:r w:rsidR="00FC752B">
        <w:rPr>
          <w:rFonts w:ascii="Book Antiqua" w:eastAsia="Book Antiqua" w:hAnsi="Book Antiqua" w:cs="Book Antiqua"/>
          <w:color w:val="000000"/>
        </w:rPr>
        <w:t>in</w:t>
      </w:r>
      <w:r w:rsidRPr="006D1FE9">
        <w:rPr>
          <w:rFonts w:ascii="Book Antiqua" w:eastAsia="Book Antiqua" w:hAnsi="Book Antiqua" w:cs="Book Antiqua"/>
          <w:color w:val="000000"/>
        </w:rPr>
        <w:t xml:space="preserve"> the delayed paracentesis group had </w:t>
      </w:r>
      <w:r w:rsidR="00FC752B">
        <w:rPr>
          <w:rFonts w:ascii="Book Antiqua" w:eastAsia="Book Antiqua" w:hAnsi="Book Antiqua" w:cs="Book Antiqua"/>
          <w:color w:val="000000"/>
        </w:rPr>
        <w:t xml:space="preserve">a </w:t>
      </w:r>
      <w:r w:rsidRPr="006D1FE9">
        <w:rPr>
          <w:rFonts w:ascii="Book Antiqua" w:eastAsia="Book Antiqua" w:hAnsi="Book Antiqua" w:cs="Book Antiqua"/>
          <w:color w:val="000000"/>
        </w:rPr>
        <w:t xml:space="preserve">higher risk of developing complications during hospitalization. </w:t>
      </w:r>
    </w:p>
    <w:bookmarkEnd w:id="12"/>
    <w:bookmarkEnd w:id="13"/>
    <w:p w14:paraId="1CF51F42" w14:textId="77777777" w:rsidR="00A77B3E" w:rsidRPr="006D1FE9" w:rsidRDefault="00A77B3E" w:rsidP="006D1FE9">
      <w:pPr>
        <w:adjustRightInd w:val="0"/>
        <w:snapToGrid w:val="0"/>
        <w:spacing w:line="360" w:lineRule="auto"/>
        <w:jc w:val="both"/>
        <w:rPr>
          <w:rFonts w:ascii="Book Antiqua" w:hAnsi="Book Antiqua"/>
        </w:rPr>
      </w:pPr>
    </w:p>
    <w:p w14:paraId="02BCD609"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CONCLUSION</w:t>
      </w:r>
    </w:p>
    <w:p w14:paraId="216BCD72" w14:textId="00E0C0D1" w:rsidR="00A77B3E" w:rsidRPr="006D1FE9" w:rsidRDefault="009E6927" w:rsidP="006D1FE9">
      <w:pPr>
        <w:adjustRightInd w:val="0"/>
        <w:snapToGrid w:val="0"/>
        <w:spacing w:line="360" w:lineRule="auto"/>
        <w:jc w:val="both"/>
        <w:rPr>
          <w:rFonts w:ascii="Book Antiqua" w:hAnsi="Book Antiqua"/>
        </w:rPr>
      </w:pPr>
      <w:bookmarkStart w:id="14" w:name="OLE_LINK26"/>
      <w:bookmarkStart w:id="15" w:name="OLE_LINK27"/>
      <w:r w:rsidRPr="006D1FE9">
        <w:rPr>
          <w:rFonts w:ascii="Book Antiqua" w:eastAsia="Book Antiqua" w:hAnsi="Book Antiqua" w:cs="Book Antiqua"/>
          <w:color w:val="000000"/>
        </w:rPr>
        <w:t>Early paracentesis (within 1</w:t>
      </w:r>
      <w:r w:rsidR="00916759" w:rsidRPr="006D1FE9">
        <w:rPr>
          <w:rFonts w:ascii="Book Antiqua" w:eastAsia="Book Antiqua" w:hAnsi="Book Antiqua" w:cs="Book Antiqua"/>
          <w:color w:val="000000"/>
        </w:rPr>
        <w:t xml:space="preserve">2 h </w:t>
      </w:r>
      <w:r w:rsidR="00FC752B">
        <w:rPr>
          <w:rFonts w:ascii="Book Antiqua" w:eastAsia="Book Antiqua" w:hAnsi="Book Antiqua" w:cs="Book Antiqua"/>
          <w:color w:val="000000"/>
        </w:rPr>
        <w:t>after</w:t>
      </w:r>
      <w:r w:rsidR="00916759" w:rsidRPr="006D1FE9">
        <w:rPr>
          <w:rFonts w:ascii="Book Antiqua" w:eastAsia="Book Antiqua" w:hAnsi="Book Antiqua" w:cs="Book Antiqua"/>
          <w:color w:val="000000"/>
        </w:rPr>
        <w:t xml:space="preserve"> admission) could </w:t>
      </w:r>
      <w:r w:rsidRPr="006D1FE9">
        <w:rPr>
          <w:rFonts w:ascii="Book Antiqua" w:eastAsia="Book Antiqua" w:hAnsi="Book Antiqua" w:cs="Book Antiqua"/>
          <w:color w:val="000000"/>
        </w:rPr>
        <w:t xml:space="preserve">be a new inpatient quality metric among patients hospitalized with cirrhosis and ascites </w:t>
      </w:r>
      <w:r w:rsidR="00FC752B">
        <w:rPr>
          <w:rFonts w:ascii="Book Antiqua" w:eastAsia="Book Antiqua" w:hAnsi="Book Antiqua" w:cs="Book Antiqua"/>
          <w:color w:val="000000"/>
        </w:rPr>
        <w:t>as</w:t>
      </w:r>
      <w:r w:rsidRPr="006D1FE9">
        <w:rPr>
          <w:rFonts w:ascii="Book Antiqua" w:eastAsia="Book Antiqua" w:hAnsi="Book Antiqua" w:cs="Book Antiqua"/>
          <w:color w:val="000000"/>
        </w:rPr>
        <w:t xml:space="preserve"> it is associated with fewer complications of cirrhosis, lower in-hospital mortality and shorter length of stay.</w:t>
      </w:r>
    </w:p>
    <w:bookmarkEnd w:id="14"/>
    <w:bookmarkEnd w:id="15"/>
    <w:p w14:paraId="3FB54E68" w14:textId="77777777" w:rsidR="00A77B3E" w:rsidRPr="006D1FE9" w:rsidRDefault="00A77B3E" w:rsidP="006D1FE9">
      <w:pPr>
        <w:adjustRightInd w:val="0"/>
        <w:snapToGrid w:val="0"/>
        <w:spacing w:line="360" w:lineRule="auto"/>
        <w:jc w:val="both"/>
        <w:rPr>
          <w:rFonts w:ascii="Book Antiqua" w:hAnsi="Book Antiqua"/>
        </w:rPr>
      </w:pPr>
    </w:p>
    <w:p w14:paraId="298DBAE8" w14:textId="6BCDC5CF"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Key Words: </w:t>
      </w:r>
      <w:bookmarkStart w:id="16" w:name="OLE_LINK16"/>
      <w:bookmarkStart w:id="17" w:name="OLE_LINK17"/>
      <w:r w:rsidRPr="006D1FE9">
        <w:rPr>
          <w:rFonts w:ascii="Book Antiqua" w:eastAsia="Book Antiqua" w:hAnsi="Book Antiqua" w:cs="Book Antiqua"/>
          <w:color w:val="000000"/>
        </w:rPr>
        <w:t>Cirrhosis; Ascites; Hepatic ence</w:t>
      </w:r>
      <w:r w:rsidR="00FC752B">
        <w:rPr>
          <w:rFonts w:ascii="Book Antiqua" w:eastAsia="Book Antiqua" w:hAnsi="Book Antiqua" w:cs="Book Antiqua"/>
          <w:color w:val="000000"/>
        </w:rPr>
        <w:t>ph</w:t>
      </w:r>
      <w:r w:rsidRPr="006D1FE9">
        <w:rPr>
          <w:rFonts w:ascii="Book Antiqua" w:eastAsia="Book Antiqua" w:hAnsi="Book Antiqua" w:cs="Book Antiqua"/>
          <w:color w:val="000000"/>
        </w:rPr>
        <w:t>alopathy; Spontaneous bacterial peritonitis; Early paracentesis; Delayed paracentesis</w:t>
      </w:r>
    </w:p>
    <w:bookmarkEnd w:id="16"/>
    <w:bookmarkEnd w:id="17"/>
    <w:p w14:paraId="3D4828ED" w14:textId="77777777" w:rsidR="00A77B3E" w:rsidRPr="006D1FE9" w:rsidRDefault="00A77B3E" w:rsidP="006D1FE9">
      <w:pPr>
        <w:adjustRightInd w:val="0"/>
        <w:snapToGrid w:val="0"/>
        <w:spacing w:line="360" w:lineRule="auto"/>
        <w:jc w:val="both"/>
        <w:rPr>
          <w:rFonts w:ascii="Book Antiqua" w:hAnsi="Book Antiqua"/>
        </w:rPr>
      </w:pPr>
    </w:p>
    <w:p w14:paraId="7DC27D93" w14:textId="450DBF0F" w:rsidR="0000487F" w:rsidRPr="0000487F" w:rsidRDefault="0000487F" w:rsidP="006D1FE9">
      <w:pPr>
        <w:adjustRightInd w:val="0"/>
        <w:snapToGrid w:val="0"/>
        <w:spacing w:line="360" w:lineRule="auto"/>
        <w:jc w:val="both"/>
        <w:rPr>
          <w:rFonts w:ascii="Book Antiqua" w:hAnsi="Book Antiqua" w:cs="Book Antiqua" w:hint="eastAsia"/>
          <w:color w:val="000000" w:themeColor="text1"/>
          <w:lang w:eastAsia="zh-CN"/>
        </w:rPr>
      </w:pPr>
      <w:bookmarkStart w:id="18" w:name="OLE_LINK4"/>
      <w:bookmarkStart w:id="19" w:name="OLE_LINK5"/>
      <w:r w:rsidRPr="0000487F">
        <w:rPr>
          <w:rFonts w:ascii="Book Antiqua" w:hAnsi="Book Antiqua" w:cs="Book Antiqua" w:hint="eastAsia"/>
          <w:b/>
          <w:color w:val="000000"/>
          <w:lang w:eastAsia="zh-CN"/>
        </w:rPr>
        <w:t xml:space="preserve">Citation: </w:t>
      </w:r>
      <w:proofErr w:type="spellStart"/>
      <w:r w:rsidR="009E6927" w:rsidRPr="006D1FE9">
        <w:rPr>
          <w:rFonts w:ascii="Book Antiqua" w:eastAsia="Book Antiqua" w:hAnsi="Book Antiqua" w:cs="Book Antiqua"/>
          <w:color w:val="000000"/>
        </w:rPr>
        <w:t>Tocia</w:t>
      </w:r>
      <w:proofErr w:type="spellEnd"/>
      <w:r w:rsidR="009E6927" w:rsidRPr="006D1FE9">
        <w:rPr>
          <w:rFonts w:ascii="Book Antiqua" w:eastAsia="Book Antiqua" w:hAnsi="Book Antiqua" w:cs="Book Antiqua"/>
          <w:color w:val="000000"/>
        </w:rPr>
        <w:t xml:space="preserve"> C, </w:t>
      </w:r>
      <w:proofErr w:type="spellStart"/>
      <w:r w:rsidR="009E6927" w:rsidRPr="006D1FE9">
        <w:rPr>
          <w:rFonts w:ascii="Book Antiqua" w:eastAsia="Book Antiqua" w:hAnsi="Book Antiqua" w:cs="Book Antiqua"/>
          <w:color w:val="000000"/>
        </w:rPr>
        <w:t>Dumitru</w:t>
      </w:r>
      <w:proofErr w:type="spellEnd"/>
      <w:r w:rsidR="009E6927" w:rsidRPr="006D1FE9">
        <w:rPr>
          <w:rFonts w:ascii="Book Antiqua" w:eastAsia="Book Antiqua" w:hAnsi="Book Antiqua" w:cs="Book Antiqua"/>
          <w:color w:val="000000"/>
        </w:rPr>
        <w:t xml:space="preserve"> A, </w:t>
      </w:r>
      <w:proofErr w:type="spellStart"/>
      <w:r w:rsidR="009E6927" w:rsidRPr="006D1FE9">
        <w:rPr>
          <w:rFonts w:ascii="Book Antiqua" w:eastAsia="Book Antiqua" w:hAnsi="Book Antiqua" w:cs="Book Antiqua"/>
          <w:color w:val="000000"/>
        </w:rPr>
        <w:t>Alexandrescu</w:t>
      </w:r>
      <w:proofErr w:type="spellEnd"/>
      <w:r w:rsidR="009E6927" w:rsidRPr="006D1FE9">
        <w:rPr>
          <w:rFonts w:ascii="Book Antiqua" w:eastAsia="Book Antiqua" w:hAnsi="Book Antiqua" w:cs="Book Antiqua"/>
          <w:color w:val="000000"/>
        </w:rPr>
        <w:t xml:space="preserve"> L, </w:t>
      </w:r>
      <w:proofErr w:type="spellStart"/>
      <w:r w:rsidR="009E6927" w:rsidRPr="006D1FE9">
        <w:rPr>
          <w:rFonts w:ascii="Book Antiqua" w:eastAsia="Book Antiqua" w:hAnsi="Book Antiqua" w:cs="Book Antiqua"/>
          <w:color w:val="000000"/>
        </w:rPr>
        <w:t>Popescu</w:t>
      </w:r>
      <w:proofErr w:type="spellEnd"/>
      <w:r w:rsidR="009E6927" w:rsidRPr="006D1FE9">
        <w:rPr>
          <w:rFonts w:ascii="Book Antiqua" w:eastAsia="Book Antiqua" w:hAnsi="Book Antiqua" w:cs="Book Antiqua"/>
          <w:color w:val="000000"/>
        </w:rPr>
        <w:t xml:space="preserve"> R, Dumitru E. Timing of paracentesis and outcomes in hospitalized patients with decompensated cirrhosis. </w:t>
      </w:r>
      <w:r w:rsidR="009E6927" w:rsidRPr="006D1FE9">
        <w:rPr>
          <w:rFonts w:ascii="Book Antiqua" w:eastAsia="Book Antiqua" w:hAnsi="Book Antiqua" w:cs="Book Antiqua"/>
          <w:i/>
          <w:iCs/>
          <w:color w:val="000000"/>
        </w:rPr>
        <w:t xml:space="preserve">World J </w:t>
      </w:r>
      <w:proofErr w:type="spellStart"/>
      <w:r w:rsidR="009E6927" w:rsidRPr="006D1FE9">
        <w:rPr>
          <w:rFonts w:ascii="Book Antiqua" w:eastAsia="Book Antiqua" w:hAnsi="Book Antiqua" w:cs="Book Antiqua"/>
          <w:i/>
          <w:iCs/>
          <w:color w:val="000000"/>
        </w:rPr>
        <w:t>Hepatol</w:t>
      </w:r>
      <w:proofErr w:type="spellEnd"/>
      <w:r w:rsidR="009E6927" w:rsidRPr="006D1FE9">
        <w:rPr>
          <w:rFonts w:ascii="Book Antiqua" w:eastAsia="Book Antiqua" w:hAnsi="Book Antiqua" w:cs="Book Antiqua"/>
          <w:color w:val="000000"/>
        </w:rPr>
        <w:t xml:space="preserve"> 2020; </w:t>
      </w:r>
      <w:r w:rsidRPr="00102A47">
        <w:rPr>
          <w:rFonts w:ascii="Book Antiqua" w:eastAsia="Book Antiqua" w:hAnsi="Book Antiqua" w:cs="Book Antiqua"/>
          <w:color w:val="000000" w:themeColor="text1"/>
        </w:rPr>
        <w:t>12(</w:t>
      </w:r>
      <w:r>
        <w:rPr>
          <w:rFonts w:ascii="Book Antiqua" w:hAnsi="Book Antiqua" w:cs="Book Antiqua" w:hint="eastAsia"/>
          <w:color w:val="000000" w:themeColor="text1"/>
          <w:lang w:eastAsia="zh-CN"/>
        </w:rPr>
        <w:t>12</w:t>
      </w:r>
      <w:r w:rsidRPr="00102A47">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1267</w:t>
      </w:r>
      <w:r w:rsidRPr="00102A47">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1275</w:t>
      </w:r>
    </w:p>
    <w:p w14:paraId="40DEFC50" w14:textId="2DF2F2C2" w:rsidR="0000487F" w:rsidRDefault="0000487F" w:rsidP="006D1FE9">
      <w:pPr>
        <w:adjustRightInd w:val="0"/>
        <w:snapToGrid w:val="0"/>
        <w:spacing w:line="360" w:lineRule="auto"/>
        <w:jc w:val="both"/>
        <w:rPr>
          <w:rFonts w:ascii="Book Antiqua" w:hAnsi="Book Antiqua" w:cs="Book Antiqua" w:hint="eastAsia"/>
          <w:color w:val="000000" w:themeColor="text1"/>
          <w:lang w:eastAsia="zh-CN"/>
        </w:rPr>
      </w:pPr>
      <w:r w:rsidRPr="0000487F">
        <w:rPr>
          <w:rFonts w:ascii="Book Antiqua" w:hAnsi="Book Antiqua" w:cs="Book Antiqua"/>
          <w:b/>
          <w:color w:val="000000"/>
          <w:lang w:eastAsia="zh-CN"/>
        </w:rPr>
        <w:t>URL:</w:t>
      </w:r>
      <w:r w:rsidRPr="00102A47">
        <w:rPr>
          <w:rFonts w:ascii="Book Antiqua" w:eastAsia="Book Antiqua" w:hAnsi="Book Antiqua" w:cs="Book Antiqua"/>
          <w:color w:val="000000" w:themeColor="text1"/>
        </w:rPr>
        <w:t xml:space="preserve"> https://www.wjgnet.com/1948-5182/full/v12/i</w:t>
      </w:r>
      <w:r>
        <w:rPr>
          <w:rFonts w:ascii="Book Antiqua" w:hAnsi="Book Antiqua" w:cs="Book Antiqua" w:hint="eastAsia"/>
          <w:color w:val="000000" w:themeColor="text1"/>
          <w:lang w:eastAsia="zh-CN"/>
        </w:rPr>
        <w:t>12</w:t>
      </w:r>
      <w:r w:rsidRPr="00102A47">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1267</w:t>
      </w:r>
      <w:r w:rsidRPr="00102A47">
        <w:rPr>
          <w:rFonts w:ascii="Book Antiqua" w:eastAsia="Book Antiqua" w:hAnsi="Book Antiqua" w:cs="Book Antiqua"/>
          <w:color w:val="000000" w:themeColor="text1"/>
        </w:rPr>
        <w:t xml:space="preserve">.htm  </w:t>
      </w:r>
    </w:p>
    <w:p w14:paraId="1456F35A" w14:textId="20AAD959" w:rsidR="00A77B3E" w:rsidRPr="0000487F" w:rsidRDefault="0000487F" w:rsidP="006D1FE9">
      <w:pPr>
        <w:adjustRightInd w:val="0"/>
        <w:snapToGrid w:val="0"/>
        <w:spacing w:line="360" w:lineRule="auto"/>
        <w:jc w:val="both"/>
        <w:rPr>
          <w:rFonts w:ascii="Book Antiqua" w:hAnsi="Book Antiqua" w:hint="eastAsia"/>
          <w:lang w:eastAsia="zh-CN"/>
        </w:rPr>
      </w:pPr>
      <w:r w:rsidRPr="0000487F">
        <w:rPr>
          <w:rFonts w:ascii="Book Antiqua" w:hAnsi="Book Antiqua" w:cs="Book Antiqua"/>
          <w:b/>
          <w:color w:val="000000"/>
          <w:lang w:eastAsia="zh-CN"/>
        </w:rPr>
        <w:t>DOI:</w:t>
      </w:r>
      <w:r w:rsidRPr="00102A47">
        <w:rPr>
          <w:rFonts w:ascii="Book Antiqua" w:eastAsia="Book Antiqua" w:hAnsi="Book Antiqua" w:cs="Book Antiqua"/>
          <w:color w:val="000000" w:themeColor="text1"/>
        </w:rPr>
        <w:t xml:space="preserve"> https://dx.doi.org/10.4254/wjh.v12.i</w:t>
      </w:r>
      <w:r>
        <w:rPr>
          <w:rFonts w:ascii="Book Antiqua" w:hAnsi="Book Antiqua" w:cs="Book Antiqua" w:hint="eastAsia"/>
          <w:color w:val="000000" w:themeColor="text1"/>
          <w:lang w:eastAsia="zh-CN"/>
        </w:rPr>
        <w:t>12</w:t>
      </w:r>
      <w:r w:rsidRPr="00102A47">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1267</w:t>
      </w:r>
    </w:p>
    <w:bookmarkEnd w:id="18"/>
    <w:bookmarkEnd w:id="19"/>
    <w:p w14:paraId="66C282B5" w14:textId="77777777" w:rsidR="00A77B3E" w:rsidRPr="006D1FE9" w:rsidRDefault="00A77B3E" w:rsidP="006D1FE9">
      <w:pPr>
        <w:adjustRightInd w:val="0"/>
        <w:snapToGrid w:val="0"/>
        <w:spacing w:line="360" w:lineRule="auto"/>
        <w:jc w:val="both"/>
        <w:rPr>
          <w:rFonts w:ascii="Book Antiqua" w:hAnsi="Book Antiqua"/>
        </w:rPr>
      </w:pPr>
    </w:p>
    <w:p w14:paraId="4F1D50BD" w14:textId="5F2AF6F9"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Core Tip:</w:t>
      </w:r>
      <w:bookmarkStart w:id="20" w:name="OLE_LINK6"/>
      <w:bookmarkStart w:id="21" w:name="OLE_LINK7"/>
      <w:r w:rsidRPr="006D1FE9">
        <w:rPr>
          <w:rFonts w:ascii="Book Antiqua" w:eastAsia="Book Antiqua" w:hAnsi="Book Antiqua" w:cs="Book Antiqua"/>
          <w:b/>
          <w:bCs/>
          <w:color w:val="000000"/>
        </w:rPr>
        <w:t xml:space="preserve"> </w:t>
      </w:r>
      <w:bookmarkStart w:id="22" w:name="OLE_LINK14"/>
      <w:bookmarkStart w:id="23" w:name="OLE_LINK15"/>
      <w:r w:rsidRPr="006D1FE9">
        <w:rPr>
          <w:rFonts w:ascii="Book Antiqua" w:eastAsia="Book Antiqua" w:hAnsi="Book Antiqua" w:cs="Book Antiqua"/>
          <w:color w:val="000000"/>
        </w:rPr>
        <w:t>Data regarding the optimal time of paracentesis and outcomes among patients with cirrhosis and ascites are scarce. We evaluated the outcomes of 185 patients with cirrhosis and ascites who underwent paracentesis within 12</w:t>
      </w:r>
      <w:r w:rsidR="00016582"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h </w:t>
      </w:r>
      <w:r w:rsidR="00FC752B">
        <w:rPr>
          <w:rFonts w:ascii="Book Antiqua" w:eastAsia="Book Antiqua" w:hAnsi="Book Antiqua" w:cs="Book Antiqua"/>
          <w:color w:val="000000"/>
        </w:rPr>
        <w:t>after</w:t>
      </w:r>
      <w:r w:rsidRPr="006D1FE9">
        <w:rPr>
          <w:rFonts w:ascii="Book Antiqua" w:eastAsia="Book Antiqua" w:hAnsi="Book Antiqua" w:cs="Book Antiqua"/>
          <w:color w:val="000000"/>
        </w:rPr>
        <w:t xml:space="preserve"> admission (65 patients) compared to patients who underwent paracentesis later than 12</w:t>
      </w:r>
      <w:r w:rsidR="00016582"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h (120 patients) and we found that early paracentesis is associated with fewer complications, lower in-hospital mortality and shorter </w:t>
      </w:r>
      <w:r w:rsidR="00016582" w:rsidRPr="006D1FE9">
        <w:rPr>
          <w:rFonts w:ascii="Book Antiqua" w:eastAsia="Book Antiqua" w:hAnsi="Book Antiqua" w:cs="Book Antiqua"/>
          <w:color w:val="000000"/>
        </w:rPr>
        <w:t>length of stay</w:t>
      </w:r>
      <w:r w:rsidRPr="006D1FE9">
        <w:rPr>
          <w:rFonts w:ascii="Book Antiqua" w:eastAsia="Book Antiqua" w:hAnsi="Book Antiqua" w:cs="Book Antiqua"/>
          <w:color w:val="000000"/>
        </w:rPr>
        <w:t>.</w:t>
      </w:r>
    </w:p>
    <w:bookmarkEnd w:id="20"/>
    <w:bookmarkEnd w:id="21"/>
    <w:bookmarkEnd w:id="22"/>
    <w:bookmarkEnd w:id="23"/>
    <w:p w14:paraId="32AF4D95" w14:textId="77777777" w:rsidR="00A77B3E" w:rsidRPr="006D1FE9" w:rsidRDefault="00016582" w:rsidP="006D1FE9">
      <w:pPr>
        <w:adjustRightInd w:val="0"/>
        <w:snapToGrid w:val="0"/>
        <w:spacing w:line="360" w:lineRule="auto"/>
        <w:jc w:val="both"/>
        <w:rPr>
          <w:rFonts w:ascii="Book Antiqua" w:hAnsi="Book Antiqua"/>
        </w:rPr>
      </w:pPr>
      <w:r w:rsidRPr="006D1FE9">
        <w:rPr>
          <w:rFonts w:ascii="Book Antiqua" w:hAnsi="Book Antiqua"/>
        </w:rPr>
        <w:br w:type="page"/>
      </w:r>
      <w:r w:rsidR="009E6927" w:rsidRPr="006D1FE9">
        <w:rPr>
          <w:rFonts w:ascii="Book Antiqua" w:eastAsia="Book Antiqua" w:hAnsi="Book Antiqua" w:cs="Book Antiqua"/>
          <w:b/>
          <w:caps/>
          <w:color w:val="000000"/>
          <w:u w:val="single"/>
        </w:rPr>
        <w:lastRenderedPageBreak/>
        <w:t>INTRODUCTION</w:t>
      </w:r>
    </w:p>
    <w:p w14:paraId="0A402EB0" w14:textId="6CF2D040" w:rsidR="00A77B3E" w:rsidRPr="006D1FE9" w:rsidRDefault="009E6927" w:rsidP="006D1FE9">
      <w:pPr>
        <w:adjustRightInd w:val="0"/>
        <w:snapToGrid w:val="0"/>
        <w:spacing w:line="360" w:lineRule="auto"/>
        <w:jc w:val="both"/>
        <w:rPr>
          <w:rFonts w:ascii="Book Antiqua" w:hAnsi="Book Antiqua"/>
        </w:rPr>
      </w:pPr>
      <w:bookmarkStart w:id="24" w:name="OLE_LINK28"/>
      <w:bookmarkStart w:id="25" w:name="OLE_LINK29"/>
      <w:r w:rsidRPr="006D1FE9">
        <w:rPr>
          <w:rFonts w:ascii="Book Antiqua" w:eastAsia="Book Antiqua" w:hAnsi="Book Antiqua" w:cs="Book Antiqua"/>
          <w:color w:val="000000"/>
        </w:rPr>
        <w:t xml:space="preserve">Cirrhosis is a leading cause of death worldwide and is also associated with increased healthcare resource </w:t>
      </w:r>
      <w:proofErr w:type="gramStart"/>
      <w:r w:rsidRPr="006D1FE9">
        <w:rPr>
          <w:rFonts w:ascii="Book Antiqua" w:eastAsia="Book Antiqua" w:hAnsi="Book Antiqua" w:cs="Book Antiqua"/>
          <w:color w:val="000000"/>
        </w:rPr>
        <w:t>use</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1]</w:t>
      </w:r>
      <w:r w:rsidRPr="006D1FE9">
        <w:rPr>
          <w:rFonts w:ascii="Book Antiqua" w:eastAsia="Book Antiqua" w:hAnsi="Book Antiqua" w:cs="Book Antiqua"/>
          <w:color w:val="000000"/>
        </w:rPr>
        <w:t xml:space="preserve">. Ascites is one of the most common complications of </w:t>
      </w:r>
      <w:proofErr w:type="gramStart"/>
      <w:r w:rsidRPr="006D1FE9">
        <w:rPr>
          <w:rFonts w:ascii="Book Antiqua" w:eastAsia="Book Antiqua" w:hAnsi="Book Antiqua" w:cs="Book Antiqua"/>
          <w:color w:val="000000"/>
        </w:rPr>
        <w:t>cirrhosis</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2]</w:t>
      </w:r>
      <w:r w:rsidRPr="006D1FE9">
        <w:rPr>
          <w:rFonts w:ascii="Book Antiqua" w:eastAsia="Book Antiqua" w:hAnsi="Book Antiqua" w:cs="Book Antiqua"/>
          <w:color w:val="000000"/>
        </w:rPr>
        <w:t xml:space="preserve"> and a common reason for admission </w:t>
      </w:r>
      <w:r w:rsidR="00FC752B">
        <w:rPr>
          <w:rFonts w:ascii="Book Antiqua" w:eastAsia="Book Antiqua" w:hAnsi="Book Antiqua" w:cs="Book Antiqua"/>
          <w:color w:val="000000"/>
        </w:rPr>
        <w:t>to</w:t>
      </w:r>
      <w:r w:rsidRPr="006D1FE9">
        <w:rPr>
          <w:rFonts w:ascii="Book Antiqua" w:eastAsia="Book Antiqua" w:hAnsi="Book Antiqua" w:cs="Book Antiqua"/>
          <w:color w:val="000000"/>
        </w:rPr>
        <w:t xml:space="preserve"> hospital, placing a significant burden on the healthcare system. Infected ascites leads to spontaneous bacterial peritonitis (SBP) which occurs in 10</w:t>
      </w:r>
      <w:r w:rsidR="008E0F11" w:rsidRPr="006D1FE9">
        <w:rPr>
          <w:rFonts w:ascii="Book Antiqua" w:eastAsia="Book Antiqua" w:hAnsi="Book Antiqua" w:cs="Book Antiqua"/>
          <w:color w:val="000000"/>
        </w:rPr>
        <w:t>%</w:t>
      </w:r>
      <w:r w:rsidRPr="006D1FE9">
        <w:rPr>
          <w:rFonts w:ascii="Book Antiqua" w:eastAsia="Book Antiqua" w:hAnsi="Book Antiqua" w:cs="Book Antiqua"/>
          <w:color w:val="000000"/>
        </w:rPr>
        <w:t xml:space="preserve">-30% of patients with cirrhosis and is associated with high </w:t>
      </w:r>
      <w:proofErr w:type="gramStart"/>
      <w:r w:rsidRPr="006D1FE9">
        <w:rPr>
          <w:rFonts w:ascii="Book Antiqua" w:eastAsia="Book Antiqua" w:hAnsi="Book Antiqua" w:cs="Book Antiqua"/>
          <w:color w:val="000000"/>
        </w:rPr>
        <w:t>mortality</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2-5]</w:t>
      </w:r>
      <w:r w:rsidRPr="006D1FE9">
        <w:rPr>
          <w:rFonts w:ascii="Book Antiqua" w:eastAsia="Book Antiqua" w:hAnsi="Book Antiqua" w:cs="Book Antiqua"/>
          <w:color w:val="000000"/>
        </w:rPr>
        <w:t>.</w:t>
      </w:r>
    </w:p>
    <w:p w14:paraId="5B4BDC72" w14:textId="33827C3B"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Paracentesis is a procedure commonly performed in patients with decompensated cirrhosis. Guidelines recommend that diagnostic paracentesis should be performed in all patients who are hospitalized with cirrhosis and new onset grade 2 or 3 ascites, or in those hospitali</w:t>
      </w:r>
      <w:r w:rsidR="00BB5248">
        <w:rPr>
          <w:rFonts w:ascii="Book Antiqua" w:eastAsia="Book Antiqua" w:hAnsi="Book Antiqua" w:cs="Book Antiqua"/>
          <w:color w:val="000000"/>
        </w:rPr>
        <w:t>z</w:t>
      </w:r>
      <w:r w:rsidRPr="006D1FE9">
        <w:rPr>
          <w:rFonts w:ascii="Book Antiqua" w:eastAsia="Book Antiqua" w:hAnsi="Book Antiqua" w:cs="Book Antiqua"/>
          <w:color w:val="000000"/>
        </w:rPr>
        <w:t xml:space="preserve">ed </w:t>
      </w:r>
      <w:r w:rsidR="00BB5248">
        <w:rPr>
          <w:rFonts w:ascii="Book Antiqua" w:eastAsia="Book Antiqua" w:hAnsi="Book Antiqua" w:cs="Book Antiqua"/>
          <w:color w:val="000000"/>
        </w:rPr>
        <w:t>due to</w:t>
      </w:r>
      <w:r w:rsidRPr="006D1FE9">
        <w:rPr>
          <w:rFonts w:ascii="Book Antiqua" w:eastAsia="Book Antiqua" w:hAnsi="Book Antiqua" w:cs="Book Antiqua"/>
          <w:color w:val="000000"/>
        </w:rPr>
        <w:t xml:space="preserve"> worsening of ascites or any complication of cirrhosis, to evaluate the presence or absence of </w:t>
      </w:r>
      <w:proofErr w:type="gramStart"/>
      <w:r w:rsidRPr="006D1FE9">
        <w:rPr>
          <w:rFonts w:ascii="Book Antiqua" w:eastAsia="Book Antiqua" w:hAnsi="Book Antiqua" w:cs="Book Antiqua"/>
          <w:color w:val="000000"/>
        </w:rPr>
        <w:t>SBP</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2,4]</w:t>
      </w:r>
      <w:r w:rsidRPr="006D1FE9">
        <w:rPr>
          <w:rFonts w:ascii="Book Antiqua" w:eastAsia="Book Antiqua" w:hAnsi="Book Antiqua" w:cs="Book Antiqua"/>
          <w:color w:val="000000"/>
        </w:rPr>
        <w:t xml:space="preserve">. Rapid diagnosis of SBP by early paracentesis is very important for the outcome of patients even in the absence of symptoms given the fact that SBP usually has </w:t>
      </w:r>
      <w:r w:rsidR="00BB5248">
        <w:rPr>
          <w:rFonts w:ascii="Book Antiqua" w:eastAsia="Book Antiqua" w:hAnsi="Book Antiqua" w:cs="Book Antiqua"/>
          <w:color w:val="000000"/>
        </w:rPr>
        <w:t xml:space="preserve">a </w:t>
      </w:r>
      <w:r w:rsidRPr="006D1FE9">
        <w:rPr>
          <w:rFonts w:ascii="Book Antiqua" w:eastAsia="Book Antiqua" w:hAnsi="Book Antiqua" w:cs="Book Antiqua"/>
          <w:color w:val="000000"/>
        </w:rPr>
        <w:t xml:space="preserve">subtle presentation or is asymptomatic. Patients with untreated SBP are at high risk </w:t>
      </w:r>
      <w:r w:rsidR="00BB5248">
        <w:rPr>
          <w:rFonts w:ascii="Book Antiqua" w:eastAsia="Book Antiqua" w:hAnsi="Book Antiqua" w:cs="Book Antiqua"/>
          <w:color w:val="000000"/>
        </w:rPr>
        <w:t>of</w:t>
      </w:r>
      <w:r w:rsidRPr="006D1FE9">
        <w:rPr>
          <w:rFonts w:ascii="Book Antiqua" w:eastAsia="Book Antiqua" w:hAnsi="Book Antiqua" w:cs="Book Antiqua"/>
          <w:color w:val="000000"/>
        </w:rPr>
        <w:t xml:space="preserve"> sepsis and early diagnostic paracentesis allows </w:t>
      </w:r>
      <w:r w:rsidR="00BB5248">
        <w:rPr>
          <w:rFonts w:ascii="Book Antiqua" w:eastAsia="Book Antiqua" w:hAnsi="Book Antiqua" w:cs="Book Antiqua"/>
          <w:color w:val="000000"/>
        </w:rPr>
        <w:t xml:space="preserve">the </w:t>
      </w:r>
      <w:r w:rsidRPr="006D1FE9">
        <w:rPr>
          <w:rFonts w:ascii="Book Antiqua" w:eastAsia="Book Antiqua" w:hAnsi="Book Antiqua" w:cs="Book Antiqua"/>
          <w:color w:val="000000"/>
        </w:rPr>
        <w:t>initiati</w:t>
      </w:r>
      <w:r w:rsidR="00BB5248">
        <w:rPr>
          <w:rFonts w:ascii="Book Antiqua" w:eastAsia="Book Antiqua" w:hAnsi="Book Antiqua" w:cs="Book Antiqua"/>
          <w:color w:val="000000"/>
        </w:rPr>
        <w:t>o</w:t>
      </w:r>
      <w:r w:rsidRPr="006D1FE9">
        <w:rPr>
          <w:rFonts w:ascii="Book Antiqua" w:eastAsia="Book Antiqua" w:hAnsi="Book Antiqua" w:cs="Book Antiqua"/>
          <w:color w:val="000000"/>
        </w:rPr>
        <w:t>n</w:t>
      </w:r>
      <w:r w:rsidR="00BB5248">
        <w:rPr>
          <w:rFonts w:ascii="Book Antiqua" w:eastAsia="Book Antiqua" w:hAnsi="Book Antiqua" w:cs="Book Antiqua"/>
          <w:color w:val="000000"/>
        </w:rPr>
        <w:t xml:space="preserve"> of</w:t>
      </w:r>
      <w:r w:rsidRPr="006D1FE9">
        <w:rPr>
          <w:rFonts w:ascii="Book Antiqua" w:eastAsia="Book Antiqua" w:hAnsi="Book Antiqua" w:cs="Book Antiqua"/>
          <w:color w:val="000000"/>
        </w:rPr>
        <w:t xml:space="preserve"> rapid specific treatment with potentially better outcomes of the disease. Despite this, the adherence rate in clinical practice may be </w:t>
      </w:r>
      <w:proofErr w:type="gramStart"/>
      <w:r w:rsidRPr="006D1FE9">
        <w:rPr>
          <w:rFonts w:ascii="Book Antiqua" w:eastAsia="Book Antiqua" w:hAnsi="Book Antiqua" w:cs="Book Antiqua"/>
          <w:color w:val="000000"/>
        </w:rPr>
        <w:t>unsatisfactory</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6,7]</w:t>
      </w:r>
      <w:r w:rsidRPr="006D1FE9">
        <w:rPr>
          <w:rFonts w:ascii="Book Antiqua" w:eastAsia="Book Antiqua" w:hAnsi="Book Antiqua" w:cs="Book Antiqua"/>
          <w:color w:val="000000"/>
        </w:rPr>
        <w:t>. Data regarding the optimal time of paracentesis and outcomes among patients with cirrhosis and ascites are scarce. The aim of th</w:t>
      </w:r>
      <w:r w:rsidR="00BB5248">
        <w:rPr>
          <w:rFonts w:ascii="Book Antiqua" w:eastAsia="Book Antiqua" w:hAnsi="Book Antiqua" w:cs="Book Antiqua"/>
          <w:color w:val="000000"/>
        </w:rPr>
        <w:t>is</w:t>
      </w:r>
      <w:r w:rsidRPr="006D1FE9">
        <w:rPr>
          <w:rFonts w:ascii="Book Antiqua" w:eastAsia="Book Antiqua" w:hAnsi="Book Antiqua" w:cs="Book Antiqua"/>
          <w:color w:val="000000"/>
        </w:rPr>
        <w:t xml:space="preserve"> study was to assess the outcomes of patients with cirrhosis and ascites who underwent paracentesis within 12 h </w:t>
      </w:r>
      <w:r w:rsidR="00BB5248">
        <w:rPr>
          <w:rFonts w:ascii="Book Antiqua" w:eastAsia="Book Antiqua" w:hAnsi="Book Antiqua" w:cs="Book Antiqua"/>
          <w:color w:val="000000"/>
        </w:rPr>
        <w:t>after</w:t>
      </w:r>
      <w:r w:rsidRPr="006D1FE9">
        <w:rPr>
          <w:rFonts w:ascii="Book Antiqua" w:eastAsia="Book Antiqua" w:hAnsi="Book Antiqua" w:cs="Book Antiqua"/>
          <w:color w:val="000000"/>
        </w:rPr>
        <w:t xml:space="preserve"> admission compared to patients who underwent paracentesis later than 12</w:t>
      </w:r>
      <w:r w:rsidR="00016582"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h. </w:t>
      </w:r>
    </w:p>
    <w:bookmarkEnd w:id="24"/>
    <w:bookmarkEnd w:id="25"/>
    <w:p w14:paraId="0854D856" w14:textId="77777777" w:rsidR="00A77B3E" w:rsidRPr="006D1FE9" w:rsidRDefault="00A77B3E" w:rsidP="006D1FE9">
      <w:pPr>
        <w:adjustRightInd w:val="0"/>
        <w:snapToGrid w:val="0"/>
        <w:spacing w:line="360" w:lineRule="auto"/>
        <w:jc w:val="both"/>
        <w:rPr>
          <w:rFonts w:ascii="Book Antiqua" w:hAnsi="Book Antiqua"/>
        </w:rPr>
      </w:pPr>
    </w:p>
    <w:p w14:paraId="39FC0354"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aps/>
          <w:color w:val="000000"/>
          <w:u w:val="single"/>
        </w:rPr>
        <w:t>MATERIALS AND METHODS</w:t>
      </w:r>
    </w:p>
    <w:p w14:paraId="14188E2D" w14:textId="77777777" w:rsidR="00A77B3E" w:rsidRPr="006D1FE9" w:rsidRDefault="009E6927" w:rsidP="006D1FE9">
      <w:pPr>
        <w:adjustRightInd w:val="0"/>
        <w:snapToGrid w:val="0"/>
        <w:spacing w:line="360" w:lineRule="auto"/>
        <w:jc w:val="both"/>
        <w:rPr>
          <w:rFonts w:ascii="Book Antiqua" w:hAnsi="Book Antiqua"/>
        </w:rPr>
      </w:pPr>
      <w:bookmarkStart w:id="26" w:name="OLE_LINK30"/>
      <w:bookmarkStart w:id="27" w:name="OLE_LINK31"/>
      <w:r w:rsidRPr="006D1FE9">
        <w:rPr>
          <w:rFonts w:ascii="Book Antiqua" w:eastAsia="Book Antiqua" w:hAnsi="Book Antiqua" w:cs="Book Antiqua"/>
          <w:b/>
          <w:bCs/>
          <w:i/>
          <w:iCs/>
          <w:color w:val="000000"/>
        </w:rPr>
        <w:t>Data source and study sample</w:t>
      </w:r>
    </w:p>
    <w:p w14:paraId="0D1313F7"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The retrospective study included 307 patients with cirrhosis and ascites admitted to the Department of Gastroenterology, Constanta County Clinic</w:t>
      </w:r>
      <w:r w:rsidR="00A868E1" w:rsidRPr="006D1FE9">
        <w:rPr>
          <w:rFonts w:ascii="Book Antiqua" w:eastAsia="Book Antiqua" w:hAnsi="Book Antiqua" w:cs="Book Antiqua"/>
          <w:color w:val="000000"/>
        </w:rPr>
        <w:t xml:space="preserve">al Emergency Hospital, between </w:t>
      </w:r>
      <w:r w:rsidRPr="006D1FE9">
        <w:rPr>
          <w:rFonts w:ascii="Book Antiqua" w:eastAsia="Book Antiqua" w:hAnsi="Book Antiqua" w:cs="Book Antiqua"/>
          <w:color w:val="000000"/>
        </w:rPr>
        <w:t>January</w:t>
      </w:r>
      <w:r w:rsidR="00A868E1" w:rsidRPr="006D1FE9">
        <w:rPr>
          <w:rFonts w:ascii="Book Antiqua" w:eastAsia="Book Antiqua" w:hAnsi="Book Antiqua" w:cs="Book Antiqua"/>
          <w:color w:val="000000"/>
        </w:rPr>
        <w:t xml:space="preserve"> 1,</w:t>
      </w:r>
      <w:r w:rsidRPr="006D1FE9">
        <w:rPr>
          <w:rFonts w:ascii="Book Antiqua" w:eastAsia="Book Antiqua" w:hAnsi="Book Antiqua" w:cs="Book Antiqua"/>
          <w:color w:val="000000"/>
        </w:rPr>
        <w:t xml:space="preserve"> 2018 and December 31, 2019.</w:t>
      </w:r>
    </w:p>
    <w:p w14:paraId="2FF1A660" w14:textId="5E114F66"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lastRenderedPageBreak/>
        <w:t xml:space="preserve">Information was collected from the digital database of the hospital (each electronic medical file contains demographic data including date of admission, Child-Pugh classification or MELD-Na score, all diagnoses and procedures performed, length of stay (LOS) and data </w:t>
      </w:r>
      <w:r w:rsidR="00BA3490">
        <w:rPr>
          <w:rFonts w:ascii="Book Antiqua" w:eastAsia="Book Antiqua" w:hAnsi="Book Antiqua" w:cs="Book Antiqua"/>
          <w:color w:val="000000"/>
        </w:rPr>
        <w:t>regarding</w:t>
      </w:r>
      <w:r w:rsidRPr="006D1FE9">
        <w:rPr>
          <w:rFonts w:ascii="Book Antiqua" w:eastAsia="Book Antiqua" w:hAnsi="Book Antiqua" w:cs="Book Antiqua"/>
          <w:color w:val="000000"/>
        </w:rPr>
        <w:t xml:space="preserve"> discharge or in-hospital death) and medical files of the patients (to assess the time of paracentesis and to classify ascites according to clinical and ultrasound criteria). </w:t>
      </w:r>
    </w:p>
    <w:p w14:paraId="64887AD4" w14:textId="591FD2E5" w:rsidR="00A77B3E" w:rsidRPr="006D1FE9" w:rsidRDefault="009E6927" w:rsidP="006D1FE9">
      <w:pPr>
        <w:adjustRightInd w:val="0"/>
        <w:snapToGrid w:val="0"/>
        <w:spacing w:line="360" w:lineRule="auto"/>
        <w:ind w:firstLineChars="100" w:firstLine="240"/>
        <w:jc w:val="both"/>
        <w:rPr>
          <w:rFonts w:ascii="Book Antiqua" w:hAnsi="Book Antiqua"/>
        </w:rPr>
      </w:pPr>
      <w:bookmarkStart w:id="28" w:name="OLE_LINK37"/>
      <w:bookmarkStart w:id="29" w:name="OLE_LINK38"/>
      <w:r w:rsidRPr="006D1FE9">
        <w:rPr>
          <w:rFonts w:ascii="Book Antiqua" w:eastAsia="Book Antiqua" w:hAnsi="Book Antiqua" w:cs="Book Antiqua"/>
          <w:color w:val="000000"/>
        </w:rPr>
        <w:t>International Classification of Diseases, 10</w:t>
      </w:r>
      <w:r w:rsidRPr="006D1FE9">
        <w:rPr>
          <w:rFonts w:ascii="Book Antiqua" w:eastAsia="Book Antiqua" w:hAnsi="Book Antiqua" w:cs="Book Antiqua"/>
          <w:color w:val="000000"/>
          <w:vertAlign w:val="superscript"/>
        </w:rPr>
        <w:t>th</w:t>
      </w:r>
      <w:r w:rsidRPr="006D1FE9">
        <w:rPr>
          <w:rFonts w:ascii="Book Antiqua" w:eastAsia="Book Antiqua" w:hAnsi="Book Antiqua" w:cs="Book Antiqua"/>
          <w:color w:val="000000"/>
        </w:rPr>
        <w:t xml:space="preserve"> revision, version 2015</w:t>
      </w:r>
      <w:bookmarkEnd w:id="28"/>
      <w:bookmarkEnd w:id="29"/>
      <w:r w:rsidRPr="006D1FE9">
        <w:rPr>
          <w:rFonts w:ascii="Book Antiqua" w:eastAsia="Book Antiqua" w:hAnsi="Book Antiqua" w:cs="Book Antiqua"/>
          <w:color w:val="000000"/>
          <w:vertAlign w:val="superscript"/>
        </w:rPr>
        <w:t>[8]</w:t>
      </w:r>
      <w:r w:rsidRPr="006D1FE9">
        <w:rPr>
          <w:rFonts w:ascii="Book Antiqua" w:eastAsia="Book Antiqua" w:hAnsi="Book Antiqua" w:cs="Book Antiqua"/>
          <w:color w:val="000000"/>
        </w:rPr>
        <w:t xml:space="preserve"> (ICD-10) codes were used to identify patients with primary or secondary diagnoses of cirrhosis (K70.0, K70.2, K70.3, K70.9, K71.0 – K71.9, K74.6), ascites (R18.8) and/or </w:t>
      </w:r>
      <w:r w:rsidR="00BA3490">
        <w:rPr>
          <w:rFonts w:ascii="Book Antiqua" w:eastAsia="Book Antiqua" w:hAnsi="Book Antiqua" w:cs="Book Antiqua"/>
          <w:color w:val="000000"/>
        </w:rPr>
        <w:t>SBP</w:t>
      </w:r>
      <w:r w:rsidRPr="006D1FE9">
        <w:rPr>
          <w:rFonts w:ascii="Book Antiqua" w:eastAsia="Book Antiqua" w:hAnsi="Book Antiqua" w:cs="Book Antiqua"/>
          <w:color w:val="000000"/>
        </w:rPr>
        <w:t xml:space="preserve"> (K65.2). Also, the search engine included the procedure code for paracentesis (30406-00). </w:t>
      </w:r>
    </w:p>
    <w:p w14:paraId="62DCFB91" w14:textId="77777777"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Inclusion criteria: </w:t>
      </w:r>
      <w:r w:rsidR="005854D6" w:rsidRPr="006D1FE9">
        <w:rPr>
          <w:rFonts w:ascii="Book Antiqua" w:eastAsia="Book Antiqua" w:hAnsi="Book Antiqua" w:cs="Book Antiqua"/>
          <w:color w:val="000000"/>
        </w:rPr>
        <w:t>P</w:t>
      </w:r>
      <w:r w:rsidRPr="006D1FE9">
        <w:rPr>
          <w:rFonts w:ascii="Book Antiqua" w:eastAsia="Book Antiqua" w:hAnsi="Book Antiqua" w:cs="Book Antiqua"/>
          <w:color w:val="000000"/>
        </w:rPr>
        <w:t xml:space="preserve">atients with cirrhosis of any etiology and one of the following three conditions: (1) </w:t>
      </w:r>
      <w:r w:rsidR="00016582" w:rsidRPr="006D1FE9">
        <w:rPr>
          <w:rFonts w:ascii="Book Antiqua" w:eastAsia="Book Antiqua" w:hAnsi="Book Antiqua" w:cs="Book Antiqua"/>
          <w:color w:val="000000"/>
        </w:rPr>
        <w:t>N</w:t>
      </w:r>
      <w:r w:rsidRPr="006D1FE9">
        <w:rPr>
          <w:rFonts w:ascii="Book Antiqua" w:eastAsia="Book Antiqua" w:hAnsi="Book Antiqua" w:cs="Book Antiqua"/>
          <w:color w:val="000000"/>
        </w:rPr>
        <w:t>ew onset grade 2 or 3 ascites, (2) ascites which has worsened recently, or (3) ascites associated with a complication of cirrhosis, who underwent paracentesis during hospitalization.</w:t>
      </w:r>
    </w:p>
    <w:p w14:paraId="52ABE0BC" w14:textId="77777777"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Exclusion criteria: </w:t>
      </w:r>
      <w:r w:rsidR="005854D6" w:rsidRPr="006D1FE9">
        <w:rPr>
          <w:rFonts w:ascii="Book Antiqua" w:eastAsia="Book Antiqua" w:hAnsi="Book Antiqua" w:cs="Book Antiqua"/>
          <w:color w:val="000000"/>
        </w:rPr>
        <w:t>P</w:t>
      </w:r>
      <w:r w:rsidRPr="006D1FE9">
        <w:rPr>
          <w:rFonts w:ascii="Book Antiqua" w:eastAsia="Book Antiqua" w:hAnsi="Book Antiqua" w:cs="Book Antiqua"/>
          <w:color w:val="000000"/>
        </w:rPr>
        <w:t>atients with cirrhosis but without ascites or with grade 1 ascites (small amount of ascites detectable only on ultrasound studies), patients who did not undergo paracentesis, and patients with other etiologies of ascites (cancer, heart failure, tuberculosis).</w:t>
      </w:r>
    </w:p>
    <w:p w14:paraId="26D97E31" w14:textId="76B9C8F6" w:rsidR="00C73177" w:rsidRPr="006D1FE9" w:rsidRDefault="0095612D" w:rsidP="006D1FE9">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Following</w:t>
      </w:r>
      <w:r w:rsidR="009E6927" w:rsidRPr="006D1FE9">
        <w:rPr>
          <w:rFonts w:ascii="Book Antiqua" w:eastAsia="Book Antiqua" w:hAnsi="Book Antiqua" w:cs="Book Antiqua"/>
          <w:color w:val="000000"/>
        </w:rPr>
        <w:t xml:space="preserve"> the electronic search, medical files from the hospital’s archive of selected patients were manually checked to assess the time of paracentesis since admission and to assess the occurrence of compl</w:t>
      </w:r>
      <w:r w:rsidR="00C73177" w:rsidRPr="006D1FE9">
        <w:rPr>
          <w:rFonts w:ascii="Book Antiqua" w:eastAsia="Book Antiqua" w:hAnsi="Book Antiqua" w:cs="Book Antiqua"/>
          <w:color w:val="000000"/>
        </w:rPr>
        <w:t>ications during hospitalization</w:t>
      </w:r>
      <w:r w:rsidR="009E6927" w:rsidRPr="006D1FE9">
        <w:rPr>
          <w:rFonts w:ascii="Book Antiqua" w:eastAsia="Book Antiqua" w:hAnsi="Book Antiqua" w:cs="Book Antiqua"/>
          <w:color w:val="000000"/>
        </w:rPr>
        <w:t>.</w:t>
      </w:r>
    </w:p>
    <w:p w14:paraId="00CAD4E1" w14:textId="23F4A97A"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Ascites </w:t>
      </w:r>
      <w:r w:rsidR="0095612D">
        <w:rPr>
          <w:rFonts w:ascii="Book Antiqua" w:eastAsia="Book Antiqua" w:hAnsi="Book Antiqua" w:cs="Book Antiqua"/>
          <w:color w:val="000000"/>
        </w:rPr>
        <w:t>was</w:t>
      </w:r>
      <w:r w:rsidRPr="006D1FE9">
        <w:rPr>
          <w:rFonts w:ascii="Book Antiqua" w:eastAsia="Book Antiqua" w:hAnsi="Book Antiqua" w:cs="Book Antiqua"/>
          <w:color w:val="000000"/>
        </w:rPr>
        <w:t xml:space="preserve"> documented by physical exam and detectable on imaging studies (ultrasound, </w:t>
      </w:r>
      <w:r w:rsidR="008E0F11" w:rsidRPr="006D1FE9">
        <w:rPr>
          <w:rFonts w:ascii="Book Antiqua" w:eastAsia="Book Antiqua" w:hAnsi="Book Antiqua" w:cs="Book Antiqua"/>
          <w:color w:val="000000"/>
        </w:rPr>
        <w:t>magnetic resonance imaging</w:t>
      </w:r>
      <w:r w:rsidRPr="006D1FE9">
        <w:rPr>
          <w:rFonts w:ascii="Book Antiqua" w:eastAsia="Book Antiqua" w:hAnsi="Book Antiqua" w:cs="Book Antiqua"/>
          <w:color w:val="000000"/>
        </w:rPr>
        <w:t xml:space="preserve">, or </w:t>
      </w:r>
      <w:r w:rsidR="008E0F11" w:rsidRPr="006D1FE9">
        <w:rPr>
          <w:rFonts w:ascii="Book Antiqua" w:eastAsia="Book Antiqua" w:hAnsi="Book Antiqua" w:cs="Book Antiqua"/>
          <w:color w:val="000000"/>
        </w:rPr>
        <w:t>computed tomography</w:t>
      </w:r>
      <w:r w:rsidRPr="006D1FE9">
        <w:rPr>
          <w:rFonts w:ascii="Book Antiqua" w:eastAsia="Book Antiqua" w:hAnsi="Book Antiqua" w:cs="Book Antiqua"/>
          <w:color w:val="000000"/>
        </w:rPr>
        <w:t xml:space="preserve"> scan). Time to paracentesis </w:t>
      </w:r>
      <w:r w:rsidR="0095612D">
        <w:rPr>
          <w:rFonts w:ascii="Book Antiqua" w:eastAsia="Book Antiqua" w:hAnsi="Book Antiqua" w:cs="Book Antiqua"/>
          <w:color w:val="000000"/>
        </w:rPr>
        <w:t>after</w:t>
      </w:r>
      <w:r w:rsidRPr="006D1FE9">
        <w:rPr>
          <w:rFonts w:ascii="Book Antiqua" w:eastAsia="Book Antiqua" w:hAnsi="Book Antiqua" w:cs="Book Antiqua"/>
          <w:color w:val="000000"/>
        </w:rPr>
        <w:t xml:space="preserve"> admission was assessed and early paracentesis (EP) was defined as paracentesis performed &lt; 12 h </w:t>
      </w:r>
      <w:r w:rsidR="0095612D">
        <w:rPr>
          <w:rFonts w:ascii="Book Antiqua" w:eastAsia="Book Antiqua" w:hAnsi="Book Antiqua" w:cs="Book Antiqua"/>
          <w:color w:val="000000"/>
        </w:rPr>
        <w:t>after</w:t>
      </w:r>
      <w:r w:rsidRPr="006D1FE9">
        <w:rPr>
          <w:rFonts w:ascii="Book Antiqua" w:eastAsia="Book Antiqua" w:hAnsi="Book Antiqua" w:cs="Book Antiqua"/>
          <w:color w:val="000000"/>
        </w:rPr>
        <w:t xml:space="preserve"> admission and delayed paracentesis (DP) </w:t>
      </w:r>
      <w:r w:rsidR="0095612D">
        <w:rPr>
          <w:rFonts w:ascii="Book Antiqua" w:eastAsia="Book Antiqua" w:hAnsi="Book Antiqua" w:cs="Book Antiqua"/>
          <w:color w:val="000000"/>
        </w:rPr>
        <w:t xml:space="preserve">was defined </w:t>
      </w:r>
      <w:r w:rsidRPr="006D1FE9">
        <w:rPr>
          <w:rFonts w:ascii="Book Antiqua" w:eastAsia="Book Antiqua" w:hAnsi="Book Antiqua" w:cs="Book Antiqua"/>
          <w:color w:val="000000"/>
        </w:rPr>
        <w:t xml:space="preserve">as paracentesis performed &gt; 12 h </w:t>
      </w:r>
      <w:r w:rsidR="0095612D">
        <w:rPr>
          <w:rFonts w:ascii="Book Antiqua" w:eastAsia="Book Antiqua" w:hAnsi="Book Antiqua" w:cs="Book Antiqua"/>
          <w:color w:val="000000"/>
        </w:rPr>
        <w:t>after</w:t>
      </w:r>
      <w:r w:rsidRPr="006D1FE9">
        <w:rPr>
          <w:rFonts w:ascii="Book Antiqua" w:eastAsia="Book Antiqua" w:hAnsi="Book Antiqua" w:cs="Book Antiqua"/>
          <w:color w:val="000000"/>
        </w:rPr>
        <w:t xml:space="preserve"> admission.</w:t>
      </w:r>
    </w:p>
    <w:p w14:paraId="00555C43" w14:textId="41B549D3"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Of 307 patients with cirrhosis and ascites, after careful application of these criteria, 122 (39.7%) patients were excluded (79 patients who did not undergo </w:t>
      </w:r>
      <w:r w:rsidRPr="006D1FE9">
        <w:rPr>
          <w:rFonts w:ascii="Book Antiqua" w:eastAsia="Book Antiqua" w:hAnsi="Book Antiqua" w:cs="Book Antiqua"/>
          <w:color w:val="000000"/>
        </w:rPr>
        <w:lastRenderedPageBreak/>
        <w:t xml:space="preserve">paracentesis during hospitalization, 13 patients with grade 1 ascites, and 30 patients with stable ascites and no complications of cirrhosis) and 185 (60.3%) patients met the inclusion criteria. </w:t>
      </w:r>
      <w:r w:rsidR="0095612D">
        <w:rPr>
          <w:rFonts w:ascii="Book Antiqua" w:eastAsia="Book Antiqua" w:hAnsi="Book Antiqua" w:cs="Book Antiqua"/>
          <w:color w:val="000000"/>
        </w:rPr>
        <w:t>Sixty-five</w:t>
      </w:r>
      <w:r w:rsidRPr="006D1FE9">
        <w:rPr>
          <w:rFonts w:ascii="Book Antiqua" w:eastAsia="Book Antiqua" w:hAnsi="Book Antiqua" w:cs="Book Antiqua"/>
          <w:color w:val="000000"/>
        </w:rPr>
        <w:t xml:space="preserve"> (35.1%) patients were assigned to the EP group and 120 (64.9%) to the DP group. In the case of patients who had multiple hospitalizations during the study period, only the first hospitalization was chosen as the index for analysis. </w:t>
      </w:r>
    </w:p>
    <w:p w14:paraId="65C1235F" w14:textId="77777777" w:rsidR="00B22F22" w:rsidRPr="006D1FE9" w:rsidRDefault="00B22F22" w:rsidP="006D1FE9">
      <w:pPr>
        <w:adjustRightInd w:val="0"/>
        <w:snapToGrid w:val="0"/>
        <w:spacing w:line="360" w:lineRule="auto"/>
        <w:jc w:val="both"/>
        <w:rPr>
          <w:rFonts w:ascii="Book Antiqua" w:eastAsia="Book Antiqua" w:hAnsi="Book Antiqua" w:cs="Book Antiqua"/>
          <w:b/>
          <w:bCs/>
          <w:i/>
          <w:iCs/>
          <w:color w:val="000000"/>
        </w:rPr>
      </w:pPr>
    </w:p>
    <w:p w14:paraId="3D76DF38"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i/>
          <w:iCs/>
          <w:color w:val="000000"/>
        </w:rPr>
        <w:t>Variables and outcomes</w:t>
      </w:r>
    </w:p>
    <w:p w14:paraId="145E4468" w14:textId="04AADAC4"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 xml:space="preserve">Demographic data, Child-Pugh classification (A, B, </w:t>
      </w:r>
      <w:r w:rsidR="00C73177" w:rsidRPr="006D1FE9">
        <w:rPr>
          <w:rFonts w:ascii="Book Antiqua" w:eastAsia="Book Antiqua" w:hAnsi="Book Antiqua" w:cs="Book Antiqua"/>
          <w:color w:val="000000"/>
        </w:rPr>
        <w:t>and C) and MELD-</w:t>
      </w:r>
      <w:r w:rsidRPr="006D1FE9">
        <w:rPr>
          <w:rFonts w:ascii="Book Antiqua" w:eastAsia="Book Antiqua" w:hAnsi="Book Antiqua" w:cs="Book Antiqua"/>
          <w:color w:val="000000"/>
        </w:rPr>
        <w:t xml:space="preserve">Na score were recorded in each group. New-onset complications of cirrhosis (developed after admission, during the index hospitalization) </w:t>
      </w:r>
      <w:r w:rsidR="0095612D">
        <w:rPr>
          <w:rFonts w:ascii="Book Antiqua" w:eastAsia="Book Antiqua" w:hAnsi="Book Antiqua" w:cs="Book Antiqua"/>
          <w:color w:val="000000"/>
        </w:rPr>
        <w:t>such as SBP</w:t>
      </w:r>
      <w:r w:rsidRPr="006D1FE9">
        <w:rPr>
          <w:rFonts w:ascii="Book Antiqua" w:eastAsia="Book Antiqua" w:hAnsi="Book Antiqua" w:cs="Book Antiqua"/>
          <w:color w:val="000000"/>
        </w:rPr>
        <w:t xml:space="preserve">, hepatic encephalopathy, hepato-renal syndrome, upper gastrointestinal bleeding, and various infections (urinary, pulmonary, </w:t>
      </w:r>
      <w:r w:rsidRPr="005107C8">
        <w:rPr>
          <w:rFonts w:ascii="Book Antiqua" w:eastAsia="Book Antiqua" w:hAnsi="Book Antiqua" w:cs="Book Antiqua"/>
          <w:i/>
          <w:color w:val="000000"/>
        </w:rPr>
        <w:t xml:space="preserve">Clostridium </w:t>
      </w:r>
      <w:r w:rsidR="0095612D" w:rsidRPr="005107C8">
        <w:rPr>
          <w:rFonts w:ascii="Book Antiqua" w:eastAsia="Book Antiqua" w:hAnsi="Book Antiqua" w:cs="Book Antiqua"/>
          <w:i/>
          <w:color w:val="000000"/>
        </w:rPr>
        <w:t>d</w:t>
      </w:r>
      <w:r w:rsidRPr="005107C8">
        <w:rPr>
          <w:rFonts w:ascii="Book Antiqua" w:eastAsia="Book Antiqua" w:hAnsi="Book Antiqua" w:cs="Book Antiqua"/>
          <w:i/>
          <w:color w:val="000000"/>
        </w:rPr>
        <w:t>ifficile</w:t>
      </w:r>
      <w:r w:rsidR="00970F7A">
        <w:rPr>
          <w:rFonts w:ascii="Book Antiqua" w:eastAsia="Book Antiqua" w:hAnsi="Book Antiqua" w:cs="Book Antiqua"/>
          <w:color w:val="000000"/>
        </w:rPr>
        <w:t xml:space="preserve"> infections</w:t>
      </w:r>
      <w:r w:rsidRPr="006D1FE9">
        <w:rPr>
          <w:rFonts w:ascii="Book Antiqua" w:eastAsia="Book Antiqua" w:hAnsi="Book Antiqua" w:cs="Book Antiqua"/>
          <w:color w:val="000000"/>
        </w:rPr>
        <w:t>), LOS in days, weekday or weekend admission, the in-hospital mortality rate durin</w:t>
      </w:r>
      <w:r w:rsidR="008E0F11" w:rsidRPr="006D1FE9">
        <w:rPr>
          <w:rFonts w:ascii="Book Antiqua" w:eastAsia="Book Antiqua" w:hAnsi="Book Antiqua" w:cs="Book Antiqua"/>
          <w:color w:val="000000"/>
        </w:rPr>
        <w:t>g the same admission, and 90-d</w:t>
      </w:r>
      <w:r w:rsidRPr="006D1FE9">
        <w:rPr>
          <w:rFonts w:ascii="Book Antiqua" w:eastAsia="Book Antiqua" w:hAnsi="Book Antiqua" w:cs="Book Antiqua"/>
          <w:color w:val="000000"/>
        </w:rPr>
        <w:t xml:space="preserve"> readmission rates were assessed and compared </w:t>
      </w:r>
      <w:r w:rsidR="0095612D">
        <w:rPr>
          <w:rFonts w:ascii="Book Antiqua" w:eastAsia="Book Antiqua" w:hAnsi="Book Antiqua" w:cs="Book Antiqua"/>
          <w:color w:val="000000"/>
        </w:rPr>
        <w:t>between the</w:t>
      </w:r>
      <w:r w:rsidRPr="006D1FE9">
        <w:rPr>
          <w:rFonts w:ascii="Book Antiqua" w:eastAsia="Book Antiqua" w:hAnsi="Book Antiqua" w:cs="Book Antiqua"/>
          <w:color w:val="000000"/>
        </w:rPr>
        <w:t xml:space="preserve"> group</w:t>
      </w:r>
      <w:r w:rsidR="0095612D">
        <w:rPr>
          <w:rFonts w:ascii="Book Antiqua" w:eastAsia="Book Antiqua" w:hAnsi="Book Antiqua" w:cs="Book Antiqua"/>
          <w:color w:val="000000"/>
        </w:rPr>
        <w:t>s</w:t>
      </w:r>
      <w:r w:rsidRPr="006D1FE9">
        <w:rPr>
          <w:rFonts w:ascii="Book Antiqua" w:eastAsia="Book Antiqua" w:hAnsi="Book Antiqua" w:cs="Book Antiqua"/>
          <w:color w:val="000000"/>
        </w:rPr>
        <w:t>; the primary reason for readmission was identified using the ICD-10 codes for continuous hospitalization.</w:t>
      </w:r>
    </w:p>
    <w:p w14:paraId="7F73142E" w14:textId="77777777" w:rsidR="00B22F22" w:rsidRPr="006D1FE9" w:rsidRDefault="00B22F22" w:rsidP="006D1FE9">
      <w:pPr>
        <w:adjustRightInd w:val="0"/>
        <w:snapToGrid w:val="0"/>
        <w:spacing w:line="360" w:lineRule="auto"/>
        <w:jc w:val="both"/>
        <w:rPr>
          <w:rFonts w:ascii="Book Antiqua" w:eastAsia="Book Antiqua" w:hAnsi="Book Antiqua" w:cs="Book Antiqua"/>
          <w:b/>
          <w:bCs/>
          <w:i/>
          <w:iCs/>
          <w:color w:val="000000"/>
        </w:rPr>
      </w:pPr>
    </w:p>
    <w:p w14:paraId="7CDA3712"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i/>
          <w:iCs/>
          <w:color w:val="000000"/>
        </w:rPr>
        <w:t>Ethics approval</w:t>
      </w:r>
    </w:p>
    <w:p w14:paraId="5A7FB23C" w14:textId="3B221DFF"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The study was conducted according to good laboratory practice and in concordance with national and international standards. The study protocol was approved by the Local Ethics Commission for the Approval of Clinical and Research Developmental Studies of the County Clinical Emergency Hospital of Constanta (approval no.</w:t>
      </w:r>
      <w:r w:rsidR="0095612D">
        <w:rPr>
          <w:rFonts w:ascii="Book Antiqua" w:eastAsia="Book Antiqua" w:hAnsi="Book Antiqua" w:cs="Book Antiqua"/>
          <w:color w:val="000000"/>
        </w:rPr>
        <w:t xml:space="preserve"> </w:t>
      </w:r>
      <w:r w:rsidRPr="006D1FE9">
        <w:rPr>
          <w:rFonts w:ascii="Book Antiqua" w:eastAsia="Book Antiqua" w:hAnsi="Book Antiqua" w:cs="Book Antiqua"/>
          <w:color w:val="000000"/>
        </w:rPr>
        <w:t>7/02.03.2020).</w:t>
      </w:r>
      <w:r w:rsidRPr="006D1FE9">
        <w:rPr>
          <w:rFonts w:ascii="Book Antiqua" w:eastAsia="Book Antiqua" w:hAnsi="Book Antiqua" w:cs="Book Antiqua"/>
          <w:b/>
          <w:bCs/>
          <w:color w:val="000000"/>
        </w:rPr>
        <w:t xml:space="preserve"> </w:t>
      </w:r>
      <w:r w:rsidRPr="006D1FE9">
        <w:rPr>
          <w:rFonts w:ascii="Book Antiqua" w:eastAsia="Book Antiqua" w:hAnsi="Book Antiqua" w:cs="Book Antiqua"/>
          <w:color w:val="000000"/>
        </w:rPr>
        <w:t>This was a retrospective study</w:t>
      </w:r>
      <w:r w:rsidR="0095612D">
        <w:rPr>
          <w:rFonts w:ascii="Book Antiqua" w:eastAsia="Book Antiqua" w:hAnsi="Book Antiqua" w:cs="Book Antiqua"/>
          <w:color w:val="000000"/>
        </w:rPr>
        <w:t>;</w:t>
      </w:r>
      <w:r w:rsidRPr="006D1FE9">
        <w:rPr>
          <w:rFonts w:ascii="Book Antiqua" w:eastAsia="Book Antiqua" w:hAnsi="Book Antiqua" w:cs="Book Antiqua"/>
          <w:color w:val="000000"/>
        </w:rPr>
        <w:t xml:space="preserve"> therefore</w:t>
      </w:r>
      <w:r w:rsidR="0095612D">
        <w:rPr>
          <w:rFonts w:ascii="Book Antiqua" w:eastAsia="Book Antiqua" w:hAnsi="Book Antiqua" w:cs="Book Antiqua"/>
          <w:color w:val="000000"/>
        </w:rPr>
        <w:t>,</w:t>
      </w:r>
      <w:r w:rsidRPr="006D1FE9">
        <w:rPr>
          <w:rFonts w:ascii="Book Antiqua" w:eastAsia="Book Antiqua" w:hAnsi="Book Antiqua" w:cs="Book Antiqua"/>
          <w:color w:val="000000"/>
        </w:rPr>
        <w:t xml:space="preserve"> </w:t>
      </w:r>
      <w:r w:rsidR="0095612D">
        <w:rPr>
          <w:rFonts w:ascii="Book Antiqua" w:eastAsia="Book Antiqua" w:hAnsi="Book Antiqua" w:cs="Book Antiqua"/>
          <w:color w:val="000000"/>
        </w:rPr>
        <w:t>a</w:t>
      </w:r>
      <w:r w:rsidRPr="006D1FE9">
        <w:rPr>
          <w:rFonts w:ascii="Book Antiqua" w:eastAsia="Book Antiqua" w:hAnsi="Book Antiqua" w:cs="Book Antiqua"/>
          <w:color w:val="000000"/>
        </w:rPr>
        <w:t xml:space="preserve"> consent form was </w:t>
      </w:r>
      <w:r w:rsidR="00970F7A">
        <w:rPr>
          <w:rFonts w:ascii="Book Antiqua" w:eastAsia="Book Antiqua" w:hAnsi="Book Antiqua" w:cs="Book Antiqua"/>
          <w:color w:val="000000"/>
        </w:rPr>
        <w:t>not required</w:t>
      </w:r>
      <w:r w:rsidRPr="006D1FE9">
        <w:rPr>
          <w:rFonts w:ascii="Book Antiqua" w:eastAsia="Book Antiqua" w:hAnsi="Book Antiqua" w:cs="Book Antiqua"/>
          <w:color w:val="000000"/>
        </w:rPr>
        <w:t>.</w:t>
      </w:r>
    </w:p>
    <w:p w14:paraId="6FE59C02" w14:textId="77777777" w:rsidR="00B22F22" w:rsidRPr="006D1FE9" w:rsidRDefault="00B22F22" w:rsidP="006D1FE9">
      <w:pPr>
        <w:adjustRightInd w:val="0"/>
        <w:snapToGrid w:val="0"/>
        <w:spacing w:line="360" w:lineRule="auto"/>
        <w:jc w:val="both"/>
        <w:rPr>
          <w:rFonts w:ascii="Book Antiqua" w:eastAsia="Book Antiqua" w:hAnsi="Book Antiqua" w:cs="Book Antiqua"/>
          <w:b/>
          <w:bCs/>
          <w:i/>
          <w:iCs/>
          <w:color w:val="000000"/>
        </w:rPr>
      </w:pPr>
    </w:p>
    <w:p w14:paraId="569EEE5D"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i/>
          <w:iCs/>
          <w:color w:val="000000"/>
        </w:rPr>
        <w:t xml:space="preserve">Statistical </w:t>
      </w:r>
      <w:r w:rsidR="008E0F11" w:rsidRPr="006D1FE9">
        <w:rPr>
          <w:rFonts w:ascii="Book Antiqua" w:eastAsia="Book Antiqua" w:hAnsi="Book Antiqua" w:cs="Book Antiqua"/>
          <w:b/>
          <w:bCs/>
          <w:i/>
          <w:iCs/>
          <w:color w:val="000000"/>
        </w:rPr>
        <w:t>analysis</w:t>
      </w:r>
    </w:p>
    <w:p w14:paraId="2A2B4685"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 xml:space="preserve">Statistical analysis was performed using the JASP 0.11.1 statistic software package. Descriptive statistics were used for demographic and baseline data: </w:t>
      </w:r>
      <w:r w:rsidR="00B22F22" w:rsidRPr="006D1FE9">
        <w:rPr>
          <w:rFonts w:ascii="Book Antiqua" w:eastAsia="Book Antiqua" w:hAnsi="Book Antiqua" w:cs="Book Antiqua"/>
          <w:color w:val="000000"/>
        </w:rPr>
        <w:lastRenderedPageBreak/>
        <w:t>M</w:t>
      </w:r>
      <w:r w:rsidRPr="006D1FE9">
        <w:rPr>
          <w:rFonts w:ascii="Book Antiqua" w:eastAsia="Book Antiqua" w:hAnsi="Book Antiqua" w:cs="Book Antiqua"/>
          <w:color w:val="000000"/>
        </w:rPr>
        <w:t xml:space="preserve">ean ± standard deviation for continuous variables, absolute number and frequency for categorical variables. For comparison between variables in the EP and DP groups, a two-sample Student’s </w:t>
      </w:r>
      <w:r w:rsidRPr="006D1FE9">
        <w:rPr>
          <w:rFonts w:ascii="Book Antiqua" w:eastAsia="Book Antiqua" w:hAnsi="Book Antiqua" w:cs="Book Antiqua"/>
          <w:i/>
          <w:color w:val="000000"/>
        </w:rPr>
        <w:t>t</w:t>
      </w:r>
      <w:r w:rsidRPr="006D1FE9">
        <w:rPr>
          <w:rFonts w:ascii="Book Antiqua" w:eastAsia="Book Antiqua" w:hAnsi="Book Antiqua" w:cs="Book Antiqua"/>
          <w:color w:val="000000"/>
        </w:rPr>
        <w:t>-test was used for continuous variables and the chi-square test or Fisher exact test were used for categorical variables. The association of each complication developed during hospitalization in each group was analyzed by calculating the odds ratio (OR) together with confidence intervals (CI). Results were considered statistically significant if</w:t>
      </w:r>
      <w:r w:rsidR="0095612D">
        <w:rPr>
          <w:rFonts w:ascii="Book Antiqua" w:eastAsia="Book Antiqua" w:hAnsi="Book Antiqua" w:cs="Book Antiqua"/>
          <w:color w:val="000000"/>
        </w:rPr>
        <w:t xml:space="preserve"> the</w:t>
      </w:r>
      <w:r w:rsidRPr="006D1FE9">
        <w:rPr>
          <w:rFonts w:ascii="Book Antiqua" w:eastAsia="Book Antiqua" w:hAnsi="Book Antiqua" w:cs="Book Antiqua"/>
          <w:color w:val="000000"/>
        </w:rPr>
        <w:t xml:space="preserve"> </w:t>
      </w:r>
      <w:r w:rsidRPr="006D1FE9">
        <w:rPr>
          <w:rFonts w:ascii="Book Antiqua" w:eastAsia="Book Antiqua" w:hAnsi="Book Antiqua" w:cs="Book Antiqua"/>
          <w:i/>
          <w:caps/>
          <w:color w:val="000000"/>
        </w:rPr>
        <w:t>p</w:t>
      </w:r>
      <w:r w:rsidR="008E0F11"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value &lt; 0.05.</w:t>
      </w:r>
    </w:p>
    <w:bookmarkEnd w:id="26"/>
    <w:bookmarkEnd w:id="27"/>
    <w:p w14:paraId="593D22E6" w14:textId="77777777" w:rsidR="00A77B3E" w:rsidRPr="006D1FE9" w:rsidRDefault="00A77B3E" w:rsidP="006D1FE9">
      <w:pPr>
        <w:adjustRightInd w:val="0"/>
        <w:snapToGrid w:val="0"/>
        <w:spacing w:line="360" w:lineRule="auto"/>
        <w:ind w:firstLine="720"/>
        <w:jc w:val="both"/>
        <w:rPr>
          <w:rFonts w:ascii="Book Antiqua" w:hAnsi="Book Antiqua"/>
        </w:rPr>
      </w:pPr>
    </w:p>
    <w:p w14:paraId="1970AF71"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aps/>
          <w:color w:val="000000"/>
          <w:u w:val="single"/>
        </w:rPr>
        <w:t>RESULTS</w:t>
      </w:r>
    </w:p>
    <w:p w14:paraId="13074C62" w14:textId="64AD6581" w:rsidR="00A77B3E" w:rsidRPr="006D1FE9" w:rsidRDefault="009E6927" w:rsidP="006D1FE9">
      <w:pPr>
        <w:adjustRightInd w:val="0"/>
        <w:snapToGrid w:val="0"/>
        <w:spacing w:line="360" w:lineRule="auto"/>
        <w:jc w:val="both"/>
        <w:rPr>
          <w:rFonts w:ascii="Book Antiqua" w:hAnsi="Book Antiqua"/>
        </w:rPr>
      </w:pPr>
      <w:bookmarkStart w:id="30" w:name="OLE_LINK32"/>
      <w:r w:rsidRPr="006D1FE9">
        <w:rPr>
          <w:rFonts w:ascii="Book Antiqua" w:eastAsia="Book Antiqua" w:hAnsi="Book Antiqua" w:cs="Book Antiqua"/>
          <w:color w:val="000000"/>
        </w:rPr>
        <w:t>Demographic and baseline data of the 185 patients enrolled in the study are illustrated in Table 1. Overall, there were no significant differences between the two groups. The mean age was 63.7 ± 10.2 y</w:t>
      </w:r>
      <w:r w:rsidR="008E0F11" w:rsidRPr="006D1FE9">
        <w:rPr>
          <w:rFonts w:ascii="Book Antiqua" w:eastAsia="Book Antiqua" w:hAnsi="Book Antiqua" w:cs="Book Antiqua"/>
          <w:color w:val="000000"/>
        </w:rPr>
        <w:t>ea</w:t>
      </w:r>
      <w:r w:rsidR="00B22F22" w:rsidRPr="006D1FE9">
        <w:rPr>
          <w:rFonts w:ascii="Book Antiqua" w:eastAsia="Book Antiqua" w:hAnsi="Book Antiqua" w:cs="Book Antiqua"/>
          <w:color w:val="000000"/>
        </w:rPr>
        <w:t>r</w:t>
      </w:r>
      <w:r w:rsidR="0095612D">
        <w:rPr>
          <w:rFonts w:ascii="Book Antiqua" w:eastAsia="Book Antiqua" w:hAnsi="Book Antiqua" w:cs="Book Antiqua"/>
          <w:color w:val="000000"/>
        </w:rPr>
        <w:t>s</w:t>
      </w:r>
      <w:r w:rsidRPr="006D1FE9">
        <w:rPr>
          <w:rFonts w:ascii="Book Antiqua" w:eastAsia="Book Antiqua" w:hAnsi="Book Antiqua" w:cs="Book Antiqua"/>
          <w:color w:val="000000"/>
        </w:rPr>
        <w:t xml:space="preserve"> in the EP group and 62.5 ± 11.1 y</w:t>
      </w:r>
      <w:r w:rsidR="008E0F11" w:rsidRPr="006D1FE9">
        <w:rPr>
          <w:rFonts w:ascii="Book Antiqua" w:eastAsia="Book Antiqua" w:hAnsi="Book Antiqua" w:cs="Book Antiqua"/>
          <w:color w:val="000000"/>
        </w:rPr>
        <w:t>ea</w:t>
      </w:r>
      <w:r w:rsidR="00B22F22" w:rsidRPr="006D1FE9">
        <w:rPr>
          <w:rFonts w:ascii="Book Antiqua" w:eastAsia="Book Antiqua" w:hAnsi="Book Antiqua" w:cs="Book Antiqua"/>
          <w:color w:val="000000"/>
        </w:rPr>
        <w:t>r</w:t>
      </w:r>
      <w:r w:rsidR="0095612D">
        <w:rPr>
          <w:rFonts w:ascii="Book Antiqua" w:eastAsia="Book Antiqua" w:hAnsi="Book Antiqua" w:cs="Book Antiqua"/>
          <w:color w:val="000000"/>
        </w:rPr>
        <w:t>s</w:t>
      </w:r>
      <w:r w:rsidRPr="006D1FE9">
        <w:rPr>
          <w:rFonts w:ascii="Book Antiqua" w:eastAsia="Book Antiqua" w:hAnsi="Book Antiqua" w:cs="Book Antiqua"/>
          <w:color w:val="000000"/>
        </w:rPr>
        <w:t xml:space="preserve"> in the DP group, and more than half of the patients from both groups were male. The most common etiology of cirrhosis in both groups was alcohol, followed by viral hepatitis B and/or C, mixed etiology (alcohol and viral hepatitis B and/or C) and other etiologies: non-alcoholic, metabolic associated liver disease (9 patients), primary biliary cholangitis (2 patient</w:t>
      </w:r>
      <w:r w:rsidR="0095612D">
        <w:rPr>
          <w:rFonts w:ascii="Book Antiqua" w:eastAsia="Book Antiqua" w:hAnsi="Book Antiqua" w:cs="Book Antiqua"/>
          <w:color w:val="000000"/>
        </w:rPr>
        <w:t>s</w:t>
      </w:r>
      <w:r w:rsidRPr="006D1FE9">
        <w:rPr>
          <w:rFonts w:ascii="Book Antiqua" w:eastAsia="Book Antiqua" w:hAnsi="Book Antiqua" w:cs="Book Antiqua"/>
          <w:color w:val="000000"/>
        </w:rPr>
        <w:t xml:space="preserve">), </w:t>
      </w:r>
      <w:r w:rsidR="0095612D">
        <w:rPr>
          <w:rFonts w:ascii="Book Antiqua" w:eastAsia="Book Antiqua" w:hAnsi="Book Antiqua" w:cs="Book Antiqua"/>
          <w:color w:val="000000"/>
        </w:rPr>
        <w:t xml:space="preserve">and </w:t>
      </w:r>
      <w:r w:rsidRPr="006D1FE9">
        <w:rPr>
          <w:rFonts w:ascii="Book Antiqua" w:eastAsia="Book Antiqua" w:hAnsi="Book Antiqua" w:cs="Book Antiqua"/>
          <w:color w:val="000000"/>
        </w:rPr>
        <w:t xml:space="preserve">autoimmune (1 patient). Most of the patients in each group had been classified as Child-Pugh C class. There were no </w:t>
      </w:r>
      <w:r w:rsidR="0075141D" w:rsidRPr="006D1FE9">
        <w:rPr>
          <w:rFonts w:ascii="Book Antiqua" w:eastAsia="Book Antiqua" w:hAnsi="Book Antiqua" w:cs="Book Antiqua"/>
          <w:color w:val="000000"/>
        </w:rPr>
        <w:t>statistical</w:t>
      </w:r>
      <w:r w:rsidR="0075141D">
        <w:rPr>
          <w:rFonts w:ascii="Book Antiqua" w:eastAsia="Book Antiqua" w:hAnsi="Book Antiqua" w:cs="Book Antiqua"/>
          <w:color w:val="000000"/>
        </w:rPr>
        <w:t>ly</w:t>
      </w:r>
      <w:r w:rsidR="0075141D"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significant differences </w:t>
      </w:r>
      <w:r w:rsidR="00D06402">
        <w:rPr>
          <w:rFonts w:ascii="Book Antiqua" w:eastAsia="Book Antiqua" w:hAnsi="Book Antiqua" w:cs="Book Antiqua"/>
          <w:color w:val="000000"/>
        </w:rPr>
        <w:t>in</w:t>
      </w:r>
      <w:r w:rsidRPr="006D1FE9">
        <w:rPr>
          <w:rFonts w:ascii="Book Antiqua" w:eastAsia="Book Antiqua" w:hAnsi="Book Antiqua" w:cs="Book Antiqua"/>
          <w:color w:val="000000"/>
        </w:rPr>
        <w:t xml:space="preserve"> </w:t>
      </w:r>
      <w:r w:rsidR="0075141D">
        <w:rPr>
          <w:rFonts w:ascii="Book Antiqua" w:eastAsia="Book Antiqua" w:hAnsi="Book Antiqua" w:cs="Book Antiqua"/>
          <w:color w:val="000000"/>
        </w:rPr>
        <w:t xml:space="preserve">the </w:t>
      </w:r>
      <w:r w:rsidRPr="006D1FE9">
        <w:rPr>
          <w:rFonts w:ascii="Book Antiqua" w:eastAsia="Book Antiqua" w:hAnsi="Book Antiqua" w:cs="Book Antiqua"/>
          <w:color w:val="000000"/>
        </w:rPr>
        <w:t xml:space="preserve">mean Child-Pugh scores and MELD-Na scores </w:t>
      </w:r>
      <w:r w:rsidR="00D06402">
        <w:rPr>
          <w:rFonts w:ascii="Book Antiqua" w:eastAsia="Book Antiqua" w:hAnsi="Book Antiqua" w:cs="Book Antiqua"/>
          <w:color w:val="000000"/>
        </w:rPr>
        <w:t>between the</w:t>
      </w:r>
      <w:r w:rsidRPr="006D1FE9">
        <w:rPr>
          <w:rFonts w:ascii="Book Antiqua" w:eastAsia="Book Antiqua" w:hAnsi="Book Antiqua" w:cs="Book Antiqua"/>
          <w:color w:val="000000"/>
        </w:rPr>
        <w:t xml:space="preserve"> groups. </w:t>
      </w:r>
    </w:p>
    <w:p w14:paraId="1A0A0646" w14:textId="679C9D56" w:rsidR="00A77B3E" w:rsidRPr="006D1FE9" w:rsidRDefault="0075141D" w:rsidP="006D1FE9">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With r</w:t>
      </w:r>
      <w:r w:rsidR="009E6927" w:rsidRPr="006D1FE9">
        <w:rPr>
          <w:rFonts w:ascii="Book Antiqua" w:eastAsia="Book Antiqua" w:hAnsi="Book Antiqua" w:cs="Book Antiqua"/>
          <w:color w:val="000000"/>
        </w:rPr>
        <w:t>egard</w:t>
      </w:r>
      <w:r>
        <w:rPr>
          <w:rFonts w:ascii="Book Antiqua" w:eastAsia="Book Antiqua" w:hAnsi="Book Antiqua" w:cs="Book Antiqua"/>
          <w:color w:val="000000"/>
        </w:rPr>
        <w:t xml:space="preserve"> to</w:t>
      </w:r>
      <w:r w:rsidR="009E6927" w:rsidRPr="006D1FE9">
        <w:rPr>
          <w:rFonts w:ascii="Book Antiqua" w:eastAsia="Book Antiqua" w:hAnsi="Book Antiqua" w:cs="Book Antiqua"/>
          <w:color w:val="000000"/>
        </w:rPr>
        <w:t xml:space="preserve"> new-onset complications of cirrhosis (after admission, during hospitalization (Table 2), significantly more patients in the DP group than in the EP group developed</w:t>
      </w:r>
      <w:r w:rsidR="00B22F22" w:rsidRPr="006D1FE9">
        <w:rPr>
          <w:rFonts w:ascii="Book Antiqua" w:eastAsia="Book Antiqua" w:hAnsi="Book Antiqua" w:cs="Book Antiqua"/>
          <w:color w:val="000000"/>
        </w:rPr>
        <w:t xml:space="preserve"> hepatic encephalopathy (45% </w:t>
      </w:r>
      <w:r w:rsidR="00B22F22" w:rsidRPr="006D1FE9">
        <w:rPr>
          <w:rFonts w:ascii="Book Antiqua" w:eastAsia="Book Antiqua" w:hAnsi="Book Antiqua" w:cs="Book Antiqua"/>
          <w:i/>
          <w:color w:val="000000"/>
        </w:rPr>
        <w:t>vs</w:t>
      </w:r>
      <w:r w:rsidR="009E6927" w:rsidRPr="006D1FE9">
        <w:rPr>
          <w:rFonts w:ascii="Book Antiqua" w:eastAsia="Book Antiqua" w:hAnsi="Book Antiqua" w:cs="Book Antiqua"/>
          <w:color w:val="000000"/>
        </w:rPr>
        <w:t xml:space="preserve"> 21.5%, </w:t>
      </w:r>
      <w:r w:rsidR="009E6927" w:rsidRPr="006D1FE9">
        <w:rPr>
          <w:rFonts w:ascii="Book Antiqua" w:eastAsia="Book Antiqua" w:hAnsi="Book Antiqua" w:cs="Book Antiqua"/>
          <w:i/>
          <w:caps/>
          <w:color w:val="000000"/>
        </w:rPr>
        <w:t>p</w:t>
      </w:r>
      <w:r w:rsidR="009E6927" w:rsidRPr="006D1FE9">
        <w:rPr>
          <w:rFonts w:ascii="Book Antiqua" w:eastAsia="Book Antiqua" w:hAnsi="Book Antiqua" w:cs="Book Antiqua"/>
          <w:color w:val="000000"/>
        </w:rPr>
        <w:t xml:space="preserve"> &lt; 0.01) and </w:t>
      </w:r>
      <w:r w:rsidR="00B22F22" w:rsidRPr="006D1FE9">
        <w:rPr>
          <w:rFonts w:ascii="Book Antiqua" w:eastAsia="Book Antiqua" w:hAnsi="Book Antiqua" w:cs="Book Antiqua"/>
          <w:color w:val="000000"/>
        </w:rPr>
        <w:t xml:space="preserve">hepato-renal syndrome (21.6% </w:t>
      </w:r>
      <w:r w:rsidR="00B22F22" w:rsidRPr="006D1FE9">
        <w:rPr>
          <w:rFonts w:ascii="Book Antiqua" w:eastAsia="Book Antiqua" w:hAnsi="Book Antiqua" w:cs="Book Antiqua"/>
          <w:i/>
          <w:color w:val="000000"/>
        </w:rPr>
        <w:t>vs</w:t>
      </w:r>
      <w:r w:rsidR="009E6927" w:rsidRPr="006D1FE9">
        <w:rPr>
          <w:rFonts w:ascii="Book Antiqua" w:eastAsia="Book Antiqua" w:hAnsi="Book Antiqua" w:cs="Book Antiqua"/>
          <w:color w:val="000000"/>
        </w:rPr>
        <w:t xml:space="preserve"> 9.2%, </w:t>
      </w:r>
      <w:r w:rsidR="009E6927" w:rsidRPr="006D1FE9">
        <w:rPr>
          <w:rFonts w:ascii="Book Antiqua" w:eastAsia="Book Antiqua" w:hAnsi="Book Antiqua" w:cs="Book Antiqua"/>
          <w:i/>
          <w:iCs/>
          <w:color w:val="000000"/>
        </w:rPr>
        <w:t>P</w:t>
      </w:r>
      <w:r w:rsidR="009E6927" w:rsidRPr="006D1FE9">
        <w:rPr>
          <w:rFonts w:ascii="Book Antiqua" w:eastAsia="Book Antiqua" w:hAnsi="Book Antiqua" w:cs="Book Antiqua"/>
          <w:color w:val="000000"/>
        </w:rPr>
        <w:t xml:space="preserve"> = 0.03). There were no statistically significant differences between the occurrence of </w:t>
      </w:r>
      <w:r>
        <w:rPr>
          <w:rFonts w:ascii="Book Antiqua" w:eastAsia="Book Antiqua" w:hAnsi="Book Antiqua" w:cs="Book Antiqua"/>
          <w:color w:val="000000"/>
        </w:rPr>
        <w:t>SBP</w:t>
      </w:r>
      <w:r w:rsidR="009E6927" w:rsidRPr="006D1FE9">
        <w:rPr>
          <w:rFonts w:ascii="Book Antiqua" w:eastAsia="Book Antiqua" w:hAnsi="Book Antiqua" w:cs="Book Antiqua"/>
          <w:color w:val="000000"/>
        </w:rPr>
        <w:t xml:space="preserve"> and upper gastrointestinal bleeding i</w:t>
      </w:r>
      <w:r w:rsidR="00B22F22" w:rsidRPr="006D1FE9">
        <w:rPr>
          <w:rFonts w:ascii="Book Antiqua" w:eastAsia="Book Antiqua" w:hAnsi="Book Antiqua" w:cs="Book Antiqua"/>
          <w:color w:val="000000"/>
        </w:rPr>
        <w:t xml:space="preserve">n the EP and DP group (15.3% </w:t>
      </w:r>
      <w:r w:rsidR="00B22F22" w:rsidRPr="006D1FE9">
        <w:rPr>
          <w:rFonts w:ascii="Book Antiqua" w:eastAsia="Book Antiqua" w:hAnsi="Book Antiqua" w:cs="Book Antiqua"/>
          <w:i/>
          <w:color w:val="000000"/>
        </w:rPr>
        <w:t>vs</w:t>
      </w:r>
      <w:r w:rsidR="009E6927" w:rsidRPr="006D1FE9">
        <w:rPr>
          <w:rFonts w:ascii="Book Antiqua" w:eastAsia="Book Antiqua" w:hAnsi="Book Antiqua" w:cs="Book Antiqua"/>
          <w:color w:val="000000"/>
        </w:rPr>
        <w:t xml:space="preserve"> 18.3%, </w:t>
      </w:r>
      <w:r w:rsidR="009E6927" w:rsidRPr="006D1FE9">
        <w:rPr>
          <w:rFonts w:ascii="Book Antiqua" w:eastAsia="Book Antiqua" w:hAnsi="Book Antiqua" w:cs="Book Antiqua"/>
          <w:i/>
          <w:iCs/>
          <w:color w:val="000000"/>
        </w:rPr>
        <w:t>P</w:t>
      </w:r>
      <w:r w:rsidR="009E6927" w:rsidRPr="006D1FE9">
        <w:rPr>
          <w:rFonts w:ascii="Book Antiqua" w:eastAsia="Book Antiqua" w:hAnsi="Book Antiqua" w:cs="Book Antiqua"/>
          <w:color w:val="000000"/>
        </w:rPr>
        <w:t xml:space="preserve"> = 0.61, 30.5% </w:t>
      </w:r>
      <w:r w:rsidR="009E6927" w:rsidRPr="006D1FE9">
        <w:rPr>
          <w:rFonts w:ascii="Book Antiqua" w:eastAsia="Book Antiqua" w:hAnsi="Book Antiqua" w:cs="Book Antiqua"/>
          <w:i/>
          <w:color w:val="000000"/>
        </w:rPr>
        <w:t xml:space="preserve">vs </w:t>
      </w:r>
      <w:r w:rsidR="009E6927" w:rsidRPr="006D1FE9">
        <w:rPr>
          <w:rFonts w:ascii="Book Antiqua" w:eastAsia="Book Antiqua" w:hAnsi="Book Antiqua" w:cs="Book Antiqua"/>
          <w:color w:val="000000"/>
        </w:rPr>
        <w:t xml:space="preserve">33.3%, </w:t>
      </w:r>
      <w:r w:rsidR="009E6927" w:rsidRPr="006D1FE9">
        <w:rPr>
          <w:rFonts w:ascii="Book Antiqua" w:eastAsia="Book Antiqua" w:hAnsi="Book Antiqua" w:cs="Book Antiqua"/>
          <w:i/>
          <w:iCs/>
          <w:color w:val="000000"/>
        </w:rPr>
        <w:t>P</w:t>
      </w:r>
      <w:r w:rsidR="009E6927" w:rsidRPr="006D1FE9">
        <w:rPr>
          <w:rFonts w:ascii="Book Antiqua" w:eastAsia="Book Antiqua" w:hAnsi="Book Antiqua" w:cs="Book Antiqua"/>
          <w:color w:val="000000"/>
        </w:rPr>
        <w:t xml:space="preserve"> = 0.72, respectively). Hepatocellular carcinoma was present in both groups irrespective of time of paracentesis (18.4% in the EP group, 20.8% in the DP </w:t>
      </w:r>
      <w:r w:rsidR="009E6927" w:rsidRPr="006D1FE9">
        <w:rPr>
          <w:rFonts w:ascii="Book Antiqua" w:eastAsia="Book Antiqua" w:hAnsi="Book Antiqua" w:cs="Book Antiqua"/>
          <w:color w:val="000000"/>
        </w:rPr>
        <w:lastRenderedPageBreak/>
        <w:t xml:space="preserve">group, </w:t>
      </w:r>
      <w:r w:rsidR="009E6927" w:rsidRPr="006D1FE9">
        <w:rPr>
          <w:rFonts w:ascii="Book Antiqua" w:eastAsia="Book Antiqua" w:hAnsi="Book Antiqua" w:cs="Book Antiqua"/>
          <w:i/>
          <w:iCs/>
          <w:color w:val="000000"/>
        </w:rPr>
        <w:t>P</w:t>
      </w:r>
      <w:r w:rsidR="009E6927" w:rsidRPr="006D1FE9">
        <w:rPr>
          <w:rFonts w:ascii="Book Antiqua" w:eastAsia="Book Antiqua" w:hAnsi="Book Antiqua" w:cs="Book Antiqua"/>
          <w:color w:val="000000"/>
        </w:rPr>
        <w:t xml:space="preserve"> = 0.70). Other infections (urinary, pulmonary, and </w:t>
      </w:r>
      <w:r w:rsidR="009E6927" w:rsidRPr="005107C8">
        <w:rPr>
          <w:rFonts w:ascii="Book Antiqua" w:eastAsia="Book Antiqua" w:hAnsi="Book Antiqua" w:cs="Book Antiqua"/>
          <w:i/>
          <w:color w:val="000000"/>
        </w:rPr>
        <w:t>Clostridium difficile</w:t>
      </w:r>
      <w:r w:rsidR="009E6927" w:rsidRPr="006D1FE9">
        <w:rPr>
          <w:rFonts w:ascii="Book Antiqua" w:eastAsia="Book Antiqua" w:hAnsi="Book Antiqua" w:cs="Book Antiqua"/>
          <w:color w:val="000000"/>
        </w:rPr>
        <w:t xml:space="preserve"> infections) occurred more frequently in the DP grou</w:t>
      </w:r>
      <w:r w:rsidR="00B22F22" w:rsidRPr="006D1FE9">
        <w:rPr>
          <w:rFonts w:ascii="Book Antiqua" w:eastAsia="Book Antiqua" w:hAnsi="Book Antiqua" w:cs="Book Antiqua"/>
          <w:color w:val="000000"/>
        </w:rPr>
        <w:t xml:space="preserve">p than in the EP group (25%, </w:t>
      </w:r>
      <w:r w:rsidR="00B22F22" w:rsidRPr="006D1FE9">
        <w:rPr>
          <w:rFonts w:ascii="Book Antiqua" w:eastAsia="Book Antiqua" w:hAnsi="Book Antiqua" w:cs="Book Antiqua"/>
          <w:i/>
          <w:color w:val="000000"/>
        </w:rPr>
        <w:t>vs</w:t>
      </w:r>
      <w:r w:rsidR="009E6927" w:rsidRPr="006D1FE9">
        <w:rPr>
          <w:rFonts w:ascii="Book Antiqua" w:eastAsia="Book Antiqua" w:hAnsi="Book Antiqua" w:cs="Book Antiqua"/>
          <w:color w:val="000000"/>
        </w:rPr>
        <w:t xml:space="preserve"> 10.7%, </w:t>
      </w:r>
      <w:r w:rsidR="009E6927" w:rsidRPr="006D1FE9">
        <w:rPr>
          <w:rFonts w:ascii="Book Antiqua" w:eastAsia="Book Antiqua" w:hAnsi="Book Antiqua" w:cs="Book Antiqua"/>
          <w:i/>
          <w:iCs/>
          <w:color w:val="000000"/>
        </w:rPr>
        <w:t>P</w:t>
      </w:r>
      <w:r w:rsidR="009E6927" w:rsidRPr="006D1FE9">
        <w:rPr>
          <w:rFonts w:ascii="Book Antiqua" w:eastAsia="Book Antiqua" w:hAnsi="Book Antiqua" w:cs="Book Antiqua"/>
          <w:color w:val="000000"/>
        </w:rPr>
        <w:t xml:space="preserve"> = 0.02). </w:t>
      </w:r>
    </w:p>
    <w:p w14:paraId="0D9F6787" w14:textId="77777777"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There was a significantly shorter LOS in the EP group co</w:t>
      </w:r>
      <w:r w:rsidR="00434E62" w:rsidRPr="006D1FE9">
        <w:rPr>
          <w:rFonts w:ascii="Book Antiqua" w:eastAsia="Book Antiqua" w:hAnsi="Book Antiqua" w:cs="Book Antiqua"/>
          <w:color w:val="000000"/>
        </w:rPr>
        <w:t xml:space="preserve">mpared to the DP group (6.7 </w:t>
      </w:r>
      <w:r w:rsidR="00434E62" w:rsidRPr="006D1FE9">
        <w:rPr>
          <w:rFonts w:ascii="Book Antiqua" w:eastAsia="Book Antiqua" w:hAnsi="Book Antiqua" w:cs="Book Antiqua"/>
          <w:i/>
          <w:color w:val="000000"/>
        </w:rPr>
        <w:t>vs</w:t>
      </w:r>
      <w:r w:rsidR="00434E62"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12.2 d, </w:t>
      </w:r>
      <w:r w:rsidRPr="006D1FE9">
        <w:rPr>
          <w:rFonts w:ascii="Book Antiqua" w:eastAsia="Book Antiqua" w:hAnsi="Book Antiqua" w:cs="Book Antiqua"/>
          <w:i/>
          <w:iCs/>
          <w:color w:val="000000"/>
        </w:rPr>
        <w:t>P</w:t>
      </w:r>
      <w:r w:rsidRPr="006D1FE9">
        <w:rPr>
          <w:rFonts w:ascii="Book Antiqua" w:eastAsia="Book Antiqua" w:hAnsi="Book Antiqua" w:cs="Book Antiqua"/>
          <w:color w:val="000000"/>
        </w:rPr>
        <w:t xml:space="preserve"> = 0.01) (Table 3). </w:t>
      </w:r>
    </w:p>
    <w:p w14:paraId="37534D15" w14:textId="77777777"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Regarding the relationship between the time of paracentesis and the time of in-hospital admission, it was observed that more than three-quarters of the patients with early paracentesis (76.9%) were admitted during the weekdays, while most of those with delayed paracentesis (52.5%) were admitted during the weekend (</w:t>
      </w:r>
      <w:r w:rsidRPr="006D1FE9">
        <w:rPr>
          <w:rFonts w:ascii="Book Antiqua" w:eastAsia="Book Antiqua" w:hAnsi="Book Antiqua" w:cs="Book Antiqua"/>
          <w:i/>
          <w:caps/>
          <w:color w:val="000000"/>
        </w:rPr>
        <w:t>p</w:t>
      </w:r>
      <w:r w:rsidRPr="006D1FE9">
        <w:rPr>
          <w:rFonts w:ascii="Book Antiqua" w:eastAsia="Book Antiqua" w:hAnsi="Book Antiqua" w:cs="Book Antiqua"/>
          <w:color w:val="000000"/>
        </w:rPr>
        <w:t xml:space="preserve"> &lt; 0.01).</w:t>
      </w:r>
    </w:p>
    <w:p w14:paraId="11C0EA76" w14:textId="77777777"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In-hospital mortality during the same admission was significantly lower among patients in the EP group than in the DP group (6.1% </w:t>
      </w:r>
      <w:r w:rsidRPr="006D1FE9">
        <w:rPr>
          <w:rFonts w:ascii="Book Antiqua" w:eastAsia="Book Antiqua" w:hAnsi="Book Antiqua" w:cs="Book Antiqua"/>
          <w:i/>
          <w:color w:val="000000"/>
        </w:rPr>
        <w:t>vs</w:t>
      </w:r>
      <w:r w:rsidR="00434E62"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17.5%, </w:t>
      </w:r>
      <w:r w:rsidRPr="006D1FE9">
        <w:rPr>
          <w:rFonts w:ascii="Book Antiqua" w:eastAsia="Book Antiqua" w:hAnsi="Book Antiqua" w:cs="Book Antiqua"/>
          <w:i/>
          <w:iCs/>
          <w:color w:val="000000"/>
        </w:rPr>
        <w:t>P</w:t>
      </w:r>
      <w:r w:rsidRPr="006D1FE9">
        <w:rPr>
          <w:rFonts w:ascii="Book Antiqua" w:eastAsia="Book Antiqua" w:hAnsi="Book Antiqua" w:cs="Book Antiqua"/>
          <w:color w:val="000000"/>
        </w:rPr>
        <w:t xml:space="preserve"> = 0.03).</w:t>
      </w:r>
    </w:p>
    <w:p w14:paraId="30EF5D73" w14:textId="77777777" w:rsidR="00A77B3E" w:rsidRPr="006D1FE9" w:rsidRDefault="008E0F11"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Regarding 90-d</w:t>
      </w:r>
      <w:r w:rsidR="009E6927" w:rsidRPr="006D1FE9">
        <w:rPr>
          <w:rFonts w:ascii="Book Antiqua" w:eastAsia="Book Antiqua" w:hAnsi="Book Antiqua" w:cs="Book Antiqua"/>
          <w:color w:val="000000"/>
        </w:rPr>
        <w:t xml:space="preserve"> readmission, from a total of 160 discharged patients (61 patients in the EP, and 99 patients in the DP), 45 (28.1%) patients were readmitted with complications. Among them, significantly more patients from the DP group than from the EP group were readmitted: 34.3% </w:t>
      </w:r>
      <w:r w:rsidR="009E6927" w:rsidRPr="006D1FE9">
        <w:rPr>
          <w:rFonts w:ascii="Book Antiqua" w:eastAsia="Book Antiqua" w:hAnsi="Book Antiqua" w:cs="Book Antiqua"/>
          <w:i/>
          <w:color w:val="000000"/>
        </w:rPr>
        <w:t>vs</w:t>
      </w:r>
      <w:r w:rsidR="009E6927" w:rsidRPr="006D1FE9">
        <w:rPr>
          <w:rFonts w:ascii="Book Antiqua" w:eastAsia="Book Antiqua" w:hAnsi="Book Antiqua" w:cs="Book Antiqua"/>
          <w:color w:val="000000"/>
        </w:rPr>
        <w:t xml:space="preserve"> 18%, </w:t>
      </w:r>
      <w:r w:rsidR="009E6927" w:rsidRPr="006D1FE9">
        <w:rPr>
          <w:rFonts w:ascii="Book Antiqua" w:eastAsia="Book Antiqua" w:hAnsi="Book Antiqua" w:cs="Book Antiqua"/>
          <w:i/>
          <w:iCs/>
          <w:color w:val="000000"/>
        </w:rPr>
        <w:t>P</w:t>
      </w:r>
      <w:r w:rsidR="009E6927" w:rsidRPr="006D1FE9">
        <w:rPr>
          <w:rFonts w:ascii="Book Antiqua" w:eastAsia="Book Antiqua" w:hAnsi="Book Antiqua" w:cs="Book Antiqua"/>
          <w:color w:val="000000"/>
        </w:rPr>
        <w:t xml:space="preserve"> = 0.03. The most common cause for readmi</w:t>
      </w:r>
      <w:r w:rsidRPr="006D1FE9">
        <w:rPr>
          <w:rFonts w:ascii="Book Antiqua" w:eastAsia="Book Antiqua" w:hAnsi="Book Antiqua" w:cs="Book Antiqua"/>
          <w:color w:val="000000"/>
        </w:rPr>
        <w:t>ssion within 90-d</w:t>
      </w:r>
      <w:r w:rsidR="009E6927" w:rsidRPr="006D1FE9">
        <w:rPr>
          <w:rFonts w:ascii="Book Antiqua" w:eastAsia="Book Antiqua" w:hAnsi="Book Antiqua" w:cs="Book Antiqua"/>
          <w:color w:val="000000"/>
        </w:rPr>
        <w:t xml:space="preserve"> in the EP </w:t>
      </w:r>
      <w:r w:rsidR="0075141D">
        <w:rPr>
          <w:rFonts w:ascii="Book Antiqua" w:eastAsia="Book Antiqua" w:hAnsi="Book Antiqua" w:cs="Book Antiqua"/>
          <w:color w:val="000000"/>
        </w:rPr>
        <w:t xml:space="preserve">group </w:t>
      </w:r>
      <w:r w:rsidR="009E6927" w:rsidRPr="006D1FE9">
        <w:rPr>
          <w:rFonts w:ascii="Book Antiqua" w:eastAsia="Book Antiqua" w:hAnsi="Book Antiqua" w:cs="Book Antiqua"/>
          <w:color w:val="000000"/>
        </w:rPr>
        <w:t>was upper gastrointestinal bleeding (45.4%), followed by ascites (27.3%), hepatic encephalopathy (18.3%), and in the DP group was ascites (47%), followed by hepatic encephalopathy (29.5%), and upper gastrointestinal bleeding (20.5%). Other causes were lower gastrointestinal bleeding in the EP group (1 patient) and hepato-renal syndrome in the DP group (1 patient).</w:t>
      </w:r>
    </w:p>
    <w:p w14:paraId="69E0E189" w14:textId="602E2449"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According to the </w:t>
      </w:r>
      <w:r w:rsidR="0075141D">
        <w:rPr>
          <w:rFonts w:ascii="Book Antiqua" w:eastAsia="Book Antiqua" w:hAnsi="Book Antiqua" w:cs="Book Antiqua"/>
          <w:color w:val="000000"/>
        </w:rPr>
        <w:t>OR</w:t>
      </w:r>
      <w:r w:rsidRPr="006D1FE9">
        <w:rPr>
          <w:rFonts w:ascii="Book Antiqua" w:eastAsia="Book Antiqua" w:hAnsi="Book Antiqua" w:cs="Book Antiqua"/>
          <w:color w:val="000000"/>
        </w:rPr>
        <w:t xml:space="preserve"> calculation (Table 4), patients in the DP group were more likely to develop hepatic encephalopathy during hospitalization than patients in the EP group (OR = 2.98, 95%CI = 1.49-5.95, </w:t>
      </w:r>
      <w:r w:rsidRPr="006D1FE9">
        <w:rPr>
          <w:rFonts w:ascii="Book Antiqua" w:eastAsia="Book Antiqua" w:hAnsi="Book Antiqua" w:cs="Book Antiqua"/>
          <w:i/>
          <w:caps/>
          <w:color w:val="000000"/>
        </w:rPr>
        <w:t>p</w:t>
      </w:r>
      <w:r w:rsidRPr="006D1FE9">
        <w:rPr>
          <w:rFonts w:ascii="Book Antiqua" w:eastAsia="Book Antiqua" w:hAnsi="Book Antiqua" w:cs="Book Antiqua"/>
          <w:color w:val="000000"/>
        </w:rPr>
        <w:t xml:space="preserve"> &lt; 0.01). The same was true for hepato-renal syndrome (OR = 2.71, 95%CI = 1.05-7.00, </w:t>
      </w:r>
      <w:r w:rsidRPr="006D1FE9">
        <w:rPr>
          <w:rFonts w:ascii="Book Antiqua" w:eastAsia="Book Antiqua" w:hAnsi="Book Antiqua" w:cs="Book Antiqua"/>
          <w:i/>
          <w:iCs/>
          <w:color w:val="000000"/>
        </w:rPr>
        <w:t>P</w:t>
      </w:r>
      <w:r w:rsidRPr="006D1FE9">
        <w:rPr>
          <w:rFonts w:ascii="Book Antiqua" w:eastAsia="Book Antiqua" w:hAnsi="Book Antiqua" w:cs="Book Antiqua"/>
          <w:color w:val="000000"/>
        </w:rPr>
        <w:t xml:space="preserve"> = 0.03) and infections (OR = 2.76, 95%CI = 1.13-6.70, </w:t>
      </w:r>
      <w:r w:rsidRPr="006D1FE9">
        <w:rPr>
          <w:rFonts w:ascii="Book Antiqua" w:eastAsia="Book Antiqua" w:hAnsi="Book Antiqua" w:cs="Book Antiqua"/>
          <w:i/>
          <w:iCs/>
          <w:color w:val="000000"/>
        </w:rPr>
        <w:t>P</w:t>
      </w:r>
      <w:r w:rsidRPr="006D1FE9">
        <w:rPr>
          <w:rFonts w:ascii="Book Antiqua" w:eastAsia="Book Antiqua" w:hAnsi="Book Antiqua" w:cs="Book Antiqua"/>
          <w:color w:val="000000"/>
        </w:rPr>
        <w:t xml:space="preserve"> = 0.02). Also, </w:t>
      </w:r>
      <w:r w:rsidR="0075141D">
        <w:rPr>
          <w:rFonts w:ascii="Book Antiqua" w:eastAsia="Book Antiqua" w:hAnsi="Book Antiqua" w:cs="Book Antiqua"/>
          <w:color w:val="000000"/>
        </w:rPr>
        <w:t xml:space="preserve">weekend </w:t>
      </w:r>
      <w:r w:rsidRPr="006D1FE9">
        <w:rPr>
          <w:rFonts w:ascii="Book Antiqua" w:eastAsia="Book Antiqua" w:hAnsi="Book Antiqua" w:cs="Book Antiqua"/>
          <w:color w:val="000000"/>
        </w:rPr>
        <w:t xml:space="preserve">admission, LOS ≥ 7 d and in-hospital mortality </w:t>
      </w:r>
      <w:r w:rsidR="0075141D">
        <w:rPr>
          <w:rFonts w:ascii="Book Antiqua" w:eastAsia="Book Antiqua" w:hAnsi="Book Antiqua" w:cs="Book Antiqua"/>
          <w:color w:val="000000"/>
        </w:rPr>
        <w:t>were</w:t>
      </w:r>
      <w:r w:rsidRPr="006D1FE9">
        <w:rPr>
          <w:rFonts w:ascii="Book Antiqua" w:eastAsia="Book Antiqua" w:hAnsi="Book Antiqua" w:cs="Book Antiqua"/>
          <w:color w:val="000000"/>
        </w:rPr>
        <w:t xml:space="preserve"> more likely to occur in the DP group (Table 4). </w:t>
      </w:r>
    </w:p>
    <w:bookmarkEnd w:id="30"/>
    <w:p w14:paraId="73394006" w14:textId="77777777" w:rsidR="00A77B3E" w:rsidRPr="006D1FE9" w:rsidRDefault="00434E62" w:rsidP="006D1FE9">
      <w:pPr>
        <w:adjustRightInd w:val="0"/>
        <w:snapToGrid w:val="0"/>
        <w:spacing w:line="360" w:lineRule="auto"/>
        <w:jc w:val="both"/>
        <w:rPr>
          <w:rFonts w:ascii="Book Antiqua" w:hAnsi="Book Antiqua"/>
          <w:lang w:eastAsia="zh-CN"/>
        </w:rPr>
      </w:pPr>
      <w:r w:rsidRPr="006D1FE9">
        <w:rPr>
          <w:rFonts w:ascii="Book Antiqua" w:hAnsi="Book Antiqua"/>
          <w:lang w:eastAsia="zh-CN"/>
        </w:rPr>
        <w:t xml:space="preserve"> </w:t>
      </w:r>
    </w:p>
    <w:p w14:paraId="765A1EA9"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aps/>
          <w:color w:val="000000"/>
          <w:u w:val="single"/>
        </w:rPr>
        <w:lastRenderedPageBreak/>
        <w:t>DISCUSSION</w:t>
      </w:r>
    </w:p>
    <w:p w14:paraId="7A573C97" w14:textId="2EC88245" w:rsidR="00A77B3E" w:rsidRPr="006D1FE9" w:rsidRDefault="009E6927" w:rsidP="006D1FE9">
      <w:pPr>
        <w:adjustRightInd w:val="0"/>
        <w:snapToGrid w:val="0"/>
        <w:spacing w:line="360" w:lineRule="auto"/>
        <w:jc w:val="both"/>
        <w:rPr>
          <w:rFonts w:ascii="Book Antiqua" w:hAnsi="Book Antiqua"/>
        </w:rPr>
      </w:pPr>
      <w:bookmarkStart w:id="31" w:name="OLE_LINK33"/>
      <w:bookmarkStart w:id="32" w:name="OLE_LINK34"/>
      <w:r w:rsidRPr="006D1FE9">
        <w:rPr>
          <w:rFonts w:ascii="Book Antiqua" w:eastAsia="Book Antiqua" w:hAnsi="Book Antiqua" w:cs="Book Antiqua"/>
          <w:color w:val="000000"/>
        </w:rPr>
        <w:t>In the present study, of 307 patients with cirrhosis and ascites, only 185 (60.3%) of the</w:t>
      </w:r>
      <w:r w:rsidR="0075141D">
        <w:rPr>
          <w:rFonts w:ascii="Book Antiqua" w:eastAsia="Book Antiqua" w:hAnsi="Book Antiqua" w:cs="Book Antiqua"/>
          <w:color w:val="000000"/>
        </w:rPr>
        <w:t>se</w:t>
      </w:r>
      <w:r w:rsidRPr="006D1FE9">
        <w:rPr>
          <w:rFonts w:ascii="Book Antiqua" w:eastAsia="Book Antiqua" w:hAnsi="Book Antiqua" w:cs="Book Antiqua"/>
          <w:color w:val="000000"/>
        </w:rPr>
        <w:t xml:space="preserve"> patients </w:t>
      </w:r>
      <w:r w:rsidR="0075141D">
        <w:rPr>
          <w:rFonts w:ascii="Book Antiqua" w:eastAsia="Book Antiqua" w:hAnsi="Book Antiqua" w:cs="Book Antiqua"/>
          <w:color w:val="000000"/>
        </w:rPr>
        <w:t>underwent</w:t>
      </w:r>
      <w:r w:rsidRPr="006D1FE9">
        <w:rPr>
          <w:rFonts w:ascii="Book Antiqua" w:eastAsia="Book Antiqua" w:hAnsi="Book Antiqua" w:cs="Book Antiqua"/>
          <w:color w:val="000000"/>
        </w:rPr>
        <w:t xml:space="preserve"> paracentesis. In 43 (14.0%) patients there was no indication </w:t>
      </w:r>
      <w:r w:rsidR="0075141D">
        <w:rPr>
          <w:rFonts w:ascii="Book Antiqua" w:eastAsia="Book Antiqua" w:hAnsi="Book Antiqua" w:cs="Book Antiqua"/>
          <w:color w:val="000000"/>
        </w:rPr>
        <w:t>for</w:t>
      </w:r>
      <w:r w:rsidRPr="006D1FE9">
        <w:rPr>
          <w:rFonts w:ascii="Book Antiqua" w:eastAsia="Book Antiqua" w:hAnsi="Book Antiqua" w:cs="Book Antiqua"/>
          <w:color w:val="000000"/>
        </w:rPr>
        <w:t xml:space="preserve"> paracentesis </w:t>
      </w:r>
      <w:r w:rsidR="0075141D">
        <w:rPr>
          <w:rFonts w:ascii="Book Antiqua" w:eastAsia="Book Antiqua" w:hAnsi="Book Antiqua" w:cs="Book Antiqua"/>
          <w:color w:val="000000"/>
        </w:rPr>
        <w:t>as</w:t>
      </w:r>
      <w:r w:rsidRPr="006D1FE9">
        <w:rPr>
          <w:rFonts w:ascii="Book Antiqua" w:eastAsia="Book Antiqua" w:hAnsi="Book Antiqua" w:cs="Book Antiqua"/>
          <w:color w:val="000000"/>
        </w:rPr>
        <w:t xml:space="preserve"> the ascites ha</w:t>
      </w:r>
      <w:r w:rsidR="0075141D">
        <w:rPr>
          <w:rFonts w:ascii="Book Antiqua" w:eastAsia="Book Antiqua" w:hAnsi="Book Antiqua" w:cs="Book Antiqua"/>
          <w:color w:val="000000"/>
        </w:rPr>
        <w:t>d</w:t>
      </w:r>
      <w:r w:rsidRPr="006D1FE9">
        <w:rPr>
          <w:rFonts w:ascii="Book Antiqua" w:eastAsia="Book Antiqua" w:hAnsi="Book Antiqua" w:cs="Book Antiqua"/>
          <w:color w:val="000000"/>
        </w:rPr>
        <w:t xml:space="preserve"> been classified as small (grade 1) or stable and without any complication</w:t>
      </w:r>
      <w:r w:rsidR="0075141D">
        <w:rPr>
          <w:rFonts w:ascii="Book Antiqua" w:eastAsia="Book Antiqua" w:hAnsi="Book Antiqua" w:cs="Book Antiqua"/>
          <w:color w:val="000000"/>
        </w:rPr>
        <w:t>s</w:t>
      </w:r>
      <w:r w:rsidRPr="006D1FE9">
        <w:rPr>
          <w:rFonts w:ascii="Book Antiqua" w:eastAsia="Book Antiqua" w:hAnsi="Book Antiqua" w:cs="Book Antiqua"/>
          <w:color w:val="000000"/>
        </w:rPr>
        <w:t xml:space="preserve"> of cirrhosis. However, in 79 (25.7%) patients no paracentesis was performed, although they had </w:t>
      </w:r>
      <w:r w:rsidR="0075141D">
        <w:rPr>
          <w:rFonts w:ascii="Book Antiqua" w:eastAsia="Book Antiqua" w:hAnsi="Book Antiqua" w:cs="Book Antiqua"/>
          <w:color w:val="000000"/>
        </w:rPr>
        <w:t>an</w:t>
      </w:r>
      <w:r w:rsidRPr="006D1FE9">
        <w:rPr>
          <w:rFonts w:ascii="Book Antiqua" w:eastAsia="Book Antiqua" w:hAnsi="Book Antiqua" w:cs="Book Antiqua"/>
          <w:color w:val="000000"/>
        </w:rPr>
        <w:t xml:space="preserve"> indication </w:t>
      </w:r>
      <w:r w:rsidR="0075141D">
        <w:rPr>
          <w:rFonts w:ascii="Book Antiqua" w:eastAsia="Book Antiqua" w:hAnsi="Book Antiqua" w:cs="Book Antiqua"/>
          <w:color w:val="000000"/>
        </w:rPr>
        <w:t>for</w:t>
      </w:r>
      <w:r w:rsidRPr="006D1FE9">
        <w:rPr>
          <w:rFonts w:ascii="Book Antiqua" w:eastAsia="Book Antiqua" w:hAnsi="Book Antiqua" w:cs="Book Antiqua"/>
          <w:color w:val="000000"/>
        </w:rPr>
        <w:t xml:space="preserve"> paracentesis, if we comply with the EASL guide of 2018 which states that a “diagnostic paracentesis is recommended in all patients with new-onset grade 2 or 3 ascites, or in those hospitalized for worsening of ascites or any complication of cirrhosis”</w:t>
      </w:r>
      <w:r w:rsidRPr="006D1FE9">
        <w:rPr>
          <w:rFonts w:ascii="Book Antiqua" w:eastAsia="Book Antiqua" w:hAnsi="Book Antiqua" w:cs="Book Antiqua"/>
          <w:color w:val="000000"/>
          <w:vertAlign w:val="superscript"/>
        </w:rPr>
        <w:t>[4]</w:t>
      </w:r>
      <w:r w:rsidRPr="006D1FE9">
        <w:rPr>
          <w:rFonts w:ascii="Book Antiqua" w:eastAsia="Book Antiqua" w:hAnsi="Book Antiqua" w:cs="Book Antiqua"/>
          <w:color w:val="000000"/>
        </w:rPr>
        <w:t>. Our finding</w:t>
      </w:r>
      <w:r w:rsidR="0075141D">
        <w:rPr>
          <w:rFonts w:ascii="Book Antiqua" w:eastAsia="Book Antiqua" w:hAnsi="Book Antiqua" w:cs="Book Antiqua"/>
          <w:color w:val="000000"/>
        </w:rPr>
        <w:t>s are</w:t>
      </w:r>
      <w:r w:rsidRPr="006D1FE9">
        <w:rPr>
          <w:rFonts w:ascii="Book Antiqua" w:eastAsia="Book Antiqua" w:hAnsi="Book Antiqua" w:cs="Book Antiqua"/>
          <w:color w:val="000000"/>
        </w:rPr>
        <w:t xml:space="preserve"> similar to previously published </w:t>
      </w:r>
      <w:proofErr w:type="gramStart"/>
      <w:r w:rsidRPr="006D1FE9">
        <w:rPr>
          <w:rFonts w:ascii="Book Antiqua" w:eastAsia="Book Antiqua" w:hAnsi="Book Antiqua" w:cs="Book Antiqua"/>
          <w:color w:val="000000"/>
        </w:rPr>
        <w:t>data</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6,7,9]</w:t>
      </w:r>
      <w:r w:rsidRPr="006D1FE9">
        <w:rPr>
          <w:rFonts w:ascii="Book Antiqua" w:eastAsia="Book Antiqua" w:hAnsi="Book Antiqua" w:cs="Book Antiqua"/>
          <w:color w:val="000000"/>
        </w:rPr>
        <w:t xml:space="preserve">. </w:t>
      </w:r>
    </w:p>
    <w:p w14:paraId="7FBC6F27" w14:textId="72F2058F" w:rsidR="009E2B30"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The time of paracentesis is of paramount importance for the outcome of hospitalized patients with cirrhosis and </w:t>
      </w:r>
      <w:proofErr w:type="gramStart"/>
      <w:r w:rsidRPr="006D1FE9">
        <w:rPr>
          <w:rFonts w:ascii="Book Antiqua" w:eastAsia="Book Antiqua" w:hAnsi="Book Antiqua" w:cs="Book Antiqua"/>
          <w:color w:val="000000"/>
        </w:rPr>
        <w:t>ascites</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6]</w:t>
      </w:r>
      <w:r w:rsidRPr="006D1FE9">
        <w:rPr>
          <w:rFonts w:ascii="Book Antiqua" w:eastAsia="Book Antiqua" w:hAnsi="Book Antiqua" w:cs="Book Antiqua"/>
          <w:color w:val="000000"/>
        </w:rPr>
        <w:t xml:space="preserve">. In our study, only 35.1% of patients underwent paracentesis within 12 h </w:t>
      </w:r>
      <w:r w:rsidR="0075141D">
        <w:rPr>
          <w:rFonts w:ascii="Book Antiqua" w:eastAsia="Book Antiqua" w:hAnsi="Book Antiqua" w:cs="Book Antiqua"/>
          <w:color w:val="000000"/>
        </w:rPr>
        <w:t>after</w:t>
      </w:r>
      <w:r w:rsidRPr="006D1FE9">
        <w:rPr>
          <w:rFonts w:ascii="Book Antiqua" w:eastAsia="Book Antiqua" w:hAnsi="Book Antiqua" w:cs="Book Antiqua"/>
          <w:color w:val="000000"/>
        </w:rPr>
        <w:t xml:space="preserve"> admission, and the re</w:t>
      </w:r>
      <w:r w:rsidR="0075141D">
        <w:rPr>
          <w:rFonts w:ascii="Book Antiqua" w:eastAsia="Book Antiqua" w:hAnsi="Book Antiqua" w:cs="Book Antiqua"/>
          <w:color w:val="000000"/>
        </w:rPr>
        <w:t>maining patients</w:t>
      </w:r>
      <w:r w:rsidRPr="006D1FE9">
        <w:rPr>
          <w:rFonts w:ascii="Book Antiqua" w:eastAsia="Book Antiqua" w:hAnsi="Book Antiqua" w:cs="Book Antiqua"/>
          <w:color w:val="000000"/>
        </w:rPr>
        <w:t xml:space="preserve"> (64.9%) underwent paracentesis later than 12 h after admission. Literature is scarce regarding </w:t>
      </w:r>
      <w:r w:rsidR="0075141D">
        <w:rPr>
          <w:rFonts w:ascii="Book Antiqua" w:eastAsia="Book Antiqua" w:hAnsi="Book Antiqua" w:cs="Book Antiqua"/>
          <w:color w:val="000000"/>
        </w:rPr>
        <w:t xml:space="preserve">the </w:t>
      </w:r>
      <w:r w:rsidRPr="006D1FE9">
        <w:rPr>
          <w:rFonts w:ascii="Book Antiqua" w:eastAsia="Book Antiqua" w:hAnsi="Book Antiqua" w:cs="Book Antiqua"/>
          <w:color w:val="000000"/>
        </w:rPr>
        <w:t>optimal time for paracentesis.</w:t>
      </w:r>
    </w:p>
    <w:p w14:paraId="7B012692" w14:textId="622AE283"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Spontaneous bacterial peritonitis occurred in 15.3% of patients in the EP group and in 18.3% in the DP group. This finding is in concordance with </w:t>
      </w:r>
      <w:r w:rsidR="0075141D">
        <w:rPr>
          <w:rFonts w:ascii="Book Antiqua" w:eastAsia="Book Antiqua" w:hAnsi="Book Antiqua" w:cs="Book Antiqua"/>
          <w:color w:val="000000"/>
        </w:rPr>
        <w:t xml:space="preserve">the </w:t>
      </w:r>
      <w:proofErr w:type="gramStart"/>
      <w:r w:rsidRPr="006D1FE9">
        <w:rPr>
          <w:rFonts w:ascii="Book Antiqua" w:eastAsia="Book Antiqua" w:hAnsi="Book Antiqua" w:cs="Book Antiqua"/>
          <w:color w:val="000000"/>
        </w:rPr>
        <w:t>literature</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10,11]</w:t>
      </w:r>
      <w:r w:rsidRPr="006D1FE9">
        <w:rPr>
          <w:rFonts w:ascii="Book Antiqua" w:eastAsia="Book Antiqua" w:hAnsi="Book Antiqua" w:cs="Book Antiqua"/>
          <w:color w:val="000000"/>
        </w:rPr>
        <w:t xml:space="preserve">. A study conducted by Garcia-Tsao </w:t>
      </w:r>
      <w:r w:rsidRPr="006D1FE9">
        <w:rPr>
          <w:rFonts w:ascii="Book Antiqua" w:eastAsia="Book Antiqua" w:hAnsi="Book Antiqua" w:cs="Book Antiqua"/>
          <w:i/>
          <w:iCs/>
          <w:color w:val="000000"/>
        </w:rPr>
        <w:t xml:space="preserve">et </w:t>
      </w:r>
      <w:proofErr w:type="gramStart"/>
      <w:r w:rsidRPr="006D1FE9">
        <w:rPr>
          <w:rFonts w:ascii="Book Antiqua" w:eastAsia="Book Antiqua" w:hAnsi="Book Antiqua" w:cs="Book Antiqua"/>
          <w:i/>
          <w:iCs/>
          <w:color w:val="000000"/>
        </w:rPr>
        <w:t>al</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12]</w:t>
      </w:r>
      <w:r w:rsidRPr="006D1FE9">
        <w:rPr>
          <w:rFonts w:ascii="Book Antiqua" w:eastAsia="Book Antiqua" w:hAnsi="Book Antiqua" w:cs="Book Antiqua"/>
          <w:color w:val="000000"/>
        </w:rPr>
        <w:t xml:space="preserve"> found </w:t>
      </w:r>
      <w:r w:rsidR="0075141D">
        <w:rPr>
          <w:rFonts w:ascii="Book Antiqua" w:eastAsia="Book Antiqua" w:hAnsi="Book Antiqua" w:cs="Book Antiqua"/>
          <w:color w:val="000000"/>
        </w:rPr>
        <w:t>SBP</w:t>
      </w:r>
      <w:r w:rsidRPr="006D1FE9">
        <w:rPr>
          <w:rFonts w:ascii="Book Antiqua" w:eastAsia="Book Antiqua" w:hAnsi="Book Antiqua" w:cs="Book Antiqua"/>
          <w:color w:val="000000"/>
        </w:rPr>
        <w:t xml:space="preserve"> in 12% of patients admitted with cirrhosis and ascites. Interestingly, in our study, </w:t>
      </w:r>
      <w:r w:rsidR="0075141D">
        <w:rPr>
          <w:rFonts w:ascii="Book Antiqua" w:eastAsia="Book Antiqua" w:hAnsi="Book Antiqua" w:cs="Book Antiqua"/>
          <w:color w:val="000000"/>
        </w:rPr>
        <w:t>SBP</w:t>
      </w:r>
      <w:r w:rsidRPr="006D1FE9">
        <w:rPr>
          <w:rFonts w:ascii="Book Antiqua" w:eastAsia="Book Antiqua" w:hAnsi="Book Antiqua" w:cs="Book Antiqua"/>
          <w:color w:val="000000"/>
        </w:rPr>
        <w:t xml:space="preserve"> was present in both groups irrespective of the timing of paracentesis, and there was no statistically significant difference between the two groups. We assume that in our group of patients, </w:t>
      </w:r>
      <w:r w:rsidR="001F5021">
        <w:rPr>
          <w:rFonts w:ascii="Book Antiqua" w:eastAsia="Book Antiqua" w:hAnsi="Book Antiqua" w:cs="Book Antiqua"/>
          <w:color w:val="000000"/>
        </w:rPr>
        <w:t>SBP</w:t>
      </w:r>
      <w:r w:rsidRPr="006D1FE9">
        <w:rPr>
          <w:rFonts w:ascii="Book Antiqua" w:eastAsia="Book Antiqua" w:hAnsi="Book Antiqua" w:cs="Book Antiqua"/>
          <w:color w:val="000000"/>
        </w:rPr>
        <w:t xml:space="preserve"> </w:t>
      </w:r>
      <w:r w:rsidR="001F5021">
        <w:rPr>
          <w:rFonts w:ascii="Book Antiqua" w:eastAsia="Book Antiqua" w:hAnsi="Book Antiqua" w:cs="Book Antiqua"/>
          <w:color w:val="000000"/>
        </w:rPr>
        <w:t>was</w:t>
      </w:r>
      <w:r w:rsidRPr="006D1FE9">
        <w:rPr>
          <w:rFonts w:ascii="Book Antiqua" w:eastAsia="Book Antiqua" w:hAnsi="Book Antiqua" w:cs="Book Antiqua"/>
          <w:color w:val="000000"/>
        </w:rPr>
        <w:t xml:space="preserve"> present </w:t>
      </w:r>
      <w:r w:rsidR="00D06402">
        <w:rPr>
          <w:rFonts w:ascii="Book Antiqua" w:eastAsia="Book Antiqua" w:hAnsi="Book Antiqua" w:cs="Book Antiqua"/>
          <w:color w:val="000000"/>
        </w:rPr>
        <w:t>on</w:t>
      </w:r>
      <w:r w:rsidRPr="006D1FE9">
        <w:rPr>
          <w:rFonts w:ascii="Book Antiqua" w:eastAsia="Book Antiqua" w:hAnsi="Book Antiqua" w:cs="Book Antiqua"/>
          <w:color w:val="000000"/>
        </w:rPr>
        <w:t xml:space="preserve"> admission to the hospital, so there was no difference in the number of cases diagnosed by </w:t>
      </w:r>
      <w:r w:rsidR="001F5021">
        <w:rPr>
          <w:rFonts w:ascii="Book Antiqua" w:eastAsia="Book Antiqua" w:hAnsi="Book Antiqua" w:cs="Book Antiqua"/>
          <w:color w:val="000000"/>
        </w:rPr>
        <w:t>EP</w:t>
      </w:r>
      <w:r w:rsidRPr="006D1FE9">
        <w:rPr>
          <w:rFonts w:ascii="Book Antiqua" w:eastAsia="Book Antiqua" w:hAnsi="Book Antiqua" w:cs="Book Antiqua"/>
          <w:color w:val="000000"/>
        </w:rPr>
        <w:t xml:space="preserve"> compared with those diagnosed by </w:t>
      </w:r>
      <w:r w:rsidR="001F5021">
        <w:rPr>
          <w:rFonts w:ascii="Book Antiqua" w:eastAsia="Book Antiqua" w:hAnsi="Book Antiqua" w:cs="Book Antiqua"/>
          <w:color w:val="000000"/>
        </w:rPr>
        <w:t>DP</w:t>
      </w:r>
      <w:r w:rsidRPr="006D1FE9">
        <w:rPr>
          <w:rFonts w:ascii="Book Antiqua" w:eastAsia="Book Antiqua" w:hAnsi="Book Antiqua" w:cs="Book Antiqua"/>
          <w:color w:val="000000"/>
        </w:rPr>
        <w:t xml:space="preserve">. However, early diagnosis may be important </w:t>
      </w:r>
      <w:r w:rsidR="001F5021">
        <w:rPr>
          <w:rFonts w:ascii="Book Antiqua" w:eastAsia="Book Antiqua" w:hAnsi="Book Antiqua" w:cs="Book Antiqua"/>
          <w:color w:val="000000"/>
        </w:rPr>
        <w:t>i</w:t>
      </w:r>
      <w:r w:rsidRPr="006D1FE9">
        <w:rPr>
          <w:rFonts w:ascii="Book Antiqua" w:eastAsia="Book Antiqua" w:hAnsi="Book Antiqua" w:cs="Book Antiqua"/>
          <w:color w:val="000000"/>
        </w:rPr>
        <w:t>n the prognosis of the disease, as early diagnosis is followed by early treatment and this may influence the course of the disease.</w:t>
      </w:r>
    </w:p>
    <w:p w14:paraId="7631B588" w14:textId="245F9C9B" w:rsidR="00A77B3E" w:rsidRPr="006D1FE9" w:rsidRDefault="001F5021" w:rsidP="006D1FE9">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 addition,</w:t>
      </w:r>
      <w:r w:rsidR="009E6927" w:rsidRPr="006D1FE9">
        <w:rPr>
          <w:rFonts w:ascii="Book Antiqua" w:eastAsia="Book Antiqua" w:hAnsi="Book Antiqua" w:cs="Book Antiqua"/>
          <w:color w:val="000000"/>
        </w:rPr>
        <w:t xml:space="preserve"> significantly more patients in the DP group developed hepatic encephalopathy and hepato-renal syndrome. We can assume that this </w:t>
      </w:r>
      <w:r>
        <w:rPr>
          <w:rFonts w:ascii="Book Antiqua" w:eastAsia="Book Antiqua" w:hAnsi="Book Antiqua" w:cs="Book Antiqua"/>
          <w:color w:val="000000"/>
        </w:rPr>
        <w:t>was due to DP</w:t>
      </w:r>
      <w:r w:rsidR="009E6927" w:rsidRPr="006D1FE9">
        <w:rPr>
          <w:rFonts w:ascii="Book Antiqua" w:eastAsia="Book Antiqua" w:hAnsi="Book Antiqua" w:cs="Book Antiqua"/>
          <w:color w:val="000000"/>
        </w:rPr>
        <w:t xml:space="preserve"> and delayed treatment of </w:t>
      </w:r>
      <w:r>
        <w:rPr>
          <w:rFonts w:ascii="Book Antiqua" w:eastAsia="Book Antiqua" w:hAnsi="Book Antiqua" w:cs="Book Antiqua"/>
          <w:color w:val="000000"/>
        </w:rPr>
        <w:t>SBP</w:t>
      </w:r>
      <w:r w:rsidR="009E6927" w:rsidRPr="006D1FE9">
        <w:rPr>
          <w:rFonts w:ascii="Book Antiqua" w:eastAsia="Book Antiqua" w:hAnsi="Book Antiqua" w:cs="Book Antiqua"/>
          <w:color w:val="000000"/>
        </w:rPr>
        <w:t xml:space="preserve"> as untreated </w:t>
      </w:r>
      <w:r>
        <w:rPr>
          <w:rFonts w:ascii="Book Antiqua" w:eastAsia="Book Antiqua" w:hAnsi="Book Antiqua" w:cs="Book Antiqua"/>
          <w:color w:val="000000"/>
        </w:rPr>
        <w:t>SBP</w:t>
      </w:r>
      <w:r w:rsidR="009E6927" w:rsidRPr="006D1FE9">
        <w:rPr>
          <w:rFonts w:ascii="Book Antiqua" w:eastAsia="Book Antiqua" w:hAnsi="Book Antiqua" w:cs="Book Antiqua"/>
          <w:color w:val="000000"/>
        </w:rPr>
        <w:t xml:space="preserve"> has </w:t>
      </w:r>
      <w:r>
        <w:rPr>
          <w:rFonts w:ascii="Book Antiqua" w:eastAsia="Book Antiqua" w:hAnsi="Book Antiqua" w:cs="Book Antiqua"/>
          <w:color w:val="000000"/>
        </w:rPr>
        <w:t xml:space="preserve">a </w:t>
      </w:r>
      <w:r w:rsidR="009E6927" w:rsidRPr="006D1FE9">
        <w:rPr>
          <w:rFonts w:ascii="Book Antiqua" w:eastAsia="Book Antiqua" w:hAnsi="Book Antiqua" w:cs="Book Antiqua"/>
          <w:color w:val="000000"/>
        </w:rPr>
        <w:t>worse prognos</w:t>
      </w:r>
      <w:r>
        <w:rPr>
          <w:rFonts w:ascii="Book Antiqua" w:eastAsia="Book Antiqua" w:hAnsi="Book Antiqua" w:cs="Book Antiqua"/>
          <w:color w:val="000000"/>
        </w:rPr>
        <w:t>is</w:t>
      </w:r>
      <w:r w:rsidR="009E6927" w:rsidRPr="006D1FE9">
        <w:rPr>
          <w:rFonts w:ascii="Book Antiqua" w:eastAsia="Book Antiqua" w:hAnsi="Book Antiqua" w:cs="Book Antiqua"/>
          <w:color w:val="000000"/>
        </w:rPr>
        <w:t xml:space="preserve"> and </w:t>
      </w:r>
      <w:r w:rsidR="009E6927" w:rsidRPr="006D1FE9">
        <w:rPr>
          <w:rFonts w:ascii="Book Antiqua" w:eastAsia="Book Antiqua" w:hAnsi="Book Antiqua" w:cs="Book Antiqua"/>
          <w:color w:val="000000"/>
        </w:rPr>
        <w:lastRenderedPageBreak/>
        <w:t xml:space="preserve">outcome. Also, other infections (urinary, pulmonary, </w:t>
      </w:r>
      <w:r w:rsidR="009E6927" w:rsidRPr="005107C8">
        <w:rPr>
          <w:rFonts w:ascii="Book Antiqua" w:eastAsia="Book Antiqua" w:hAnsi="Book Antiqua" w:cs="Book Antiqua"/>
          <w:i/>
          <w:color w:val="000000"/>
        </w:rPr>
        <w:t>Clostridium difficile</w:t>
      </w:r>
      <w:r w:rsidR="009E6927" w:rsidRPr="006D1FE9">
        <w:rPr>
          <w:rFonts w:ascii="Book Antiqua" w:eastAsia="Book Antiqua" w:hAnsi="Book Antiqua" w:cs="Book Antiqua"/>
          <w:color w:val="000000"/>
        </w:rPr>
        <w:t xml:space="preserve"> infections) were more common in the DP group than in the EP group; this also suggests that EP facilitates the diagnos</w:t>
      </w:r>
      <w:r>
        <w:rPr>
          <w:rFonts w:ascii="Book Antiqua" w:eastAsia="Book Antiqua" w:hAnsi="Book Antiqua" w:cs="Book Antiqua"/>
          <w:color w:val="000000"/>
        </w:rPr>
        <w:t>is</w:t>
      </w:r>
      <w:r w:rsidR="009E6927" w:rsidRPr="006D1FE9">
        <w:rPr>
          <w:rFonts w:ascii="Book Antiqua" w:eastAsia="Book Antiqua" w:hAnsi="Book Antiqua" w:cs="Book Antiqua"/>
          <w:color w:val="000000"/>
        </w:rPr>
        <w:t xml:space="preserve"> of </w:t>
      </w:r>
      <w:r>
        <w:rPr>
          <w:rFonts w:ascii="Book Antiqua" w:eastAsia="Book Antiqua" w:hAnsi="Book Antiqua" w:cs="Book Antiqua"/>
          <w:color w:val="000000"/>
        </w:rPr>
        <w:t>SBP</w:t>
      </w:r>
      <w:r w:rsidR="009E6927" w:rsidRPr="006D1FE9">
        <w:rPr>
          <w:rFonts w:ascii="Book Antiqua" w:eastAsia="Book Antiqua" w:hAnsi="Book Antiqua" w:cs="Book Antiqua"/>
          <w:color w:val="000000"/>
        </w:rPr>
        <w:t xml:space="preserve"> and early treatment with antibiotics may also reduce the incidence of some other infections. Overall, patients who received EP had better outcomes and fewer complications in contrast </w:t>
      </w:r>
      <w:r>
        <w:rPr>
          <w:rFonts w:ascii="Book Antiqua" w:eastAsia="Book Antiqua" w:hAnsi="Book Antiqua" w:cs="Book Antiqua"/>
          <w:color w:val="000000"/>
        </w:rPr>
        <w:t xml:space="preserve">to </w:t>
      </w:r>
      <w:r w:rsidR="009E6927" w:rsidRPr="006D1FE9">
        <w:rPr>
          <w:rFonts w:ascii="Book Antiqua" w:eastAsia="Book Antiqua" w:hAnsi="Book Antiqua" w:cs="Book Antiqua"/>
          <w:color w:val="000000"/>
        </w:rPr>
        <w:t xml:space="preserve">those who received DP. The relationship between EP and improved outcomes might be due to the rapid initiation of </w:t>
      </w:r>
      <w:r>
        <w:rPr>
          <w:rFonts w:ascii="Book Antiqua" w:eastAsia="Book Antiqua" w:hAnsi="Book Antiqua" w:cs="Book Antiqua"/>
          <w:color w:val="000000"/>
        </w:rPr>
        <w:t>SBP</w:t>
      </w:r>
      <w:r w:rsidR="009E6927" w:rsidRPr="006D1FE9">
        <w:rPr>
          <w:rFonts w:ascii="Book Antiqua" w:eastAsia="Book Antiqua" w:hAnsi="Book Antiqua" w:cs="Book Antiqua"/>
          <w:color w:val="000000"/>
        </w:rPr>
        <w:t xml:space="preserve"> treatment based on antimicrobial therapy and albumin. As such, early detection and therapy </w:t>
      </w:r>
      <w:r>
        <w:rPr>
          <w:rFonts w:ascii="Book Antiqua" w:eastAsia="Book Antiqua" w:hAnsi="Book Antiqua" w:cs="Book Antiqua"/>
          <w:color w:val="000000"/>
        </w:rPr>
        <w:t>of</w:t>
      </w:r>
      <w:r w:rsidR="009E6927" w:rsidRPr="006D1FE9">
        <w:rPr>
          <w:rFonts w:ascii="Book Antiqua" w:eastAsia="Book Antiqua" w:hAnsi="Book Antiqua" w:cs="Book Antiqua"/>
          <w:color w:val="000000"/>
        </w:rPr>
        <w:t xml:space="preserve"> SBP are critical for improving favorable outcomes in patients with cirrhosis </w:t>
      </w:r>
      <w:r>
        <w:rPr>
          <w:rFonts w:ascii="Book Antiqua" w:eastAsia="Book Antiqua" w:hAnsi="Book Antiqua" w:cs="Book Antiqua"/>
          <w:color w:val="000000"/>
        </w:rPr>
        <w:t>and</w:t>
      </w:r>
      <w:r w:rsidR="009E6927" w:rsidRPr="006D1FE9">
        <w:rPr>
          <w:rFonts w:ascii="Book Antiqua" w:eastAsia="Book Antiqua" w:hAnsi="Book Antiqua" w:cs="Book Antiqua"/>
          <w:color w:val="000000"/>
        </w:rPr>
        <w:t xml:space="preserve"> ascites. Prior studies showed that paracentesis within one day of admission is associated with lower in-patient mortality and fewer </w:t>
      </w:r>
      <w:proofErr w:type="gramStart"/>
      <w:r w:rsidR="009E6927" w:rsidRPr="006D1FE9">
        <w:rPr>
          <w:rFonts w:ascii="Book Antiqua" w:eastAsia="Book Antiqua" w:hAnsi="Book Antiqua" w:cs="Book Antiqua"/>
          <w:color w:val="000000"/>
        </w:rPr>
        <w:t>readmissions</w:t>
      </w:r>
      <w:r w:rsidR="009E6927" w:rsidRPr="006D1FE9">
        <w:rPr>
          <w:rFonts w:ascii="Book Antiqua" w:eastAsia="Book Antiqua" w:hAnsi="Book Antiqua" w:cs="Book Antiqua"/>
          <w:color w:val="000000"/>
          <w:vertAlign w:val="superscript"/>
        </w:rPr>
        <w:t>[</w:t>
      </w:r>
      <w:proofErr w:type="gramEnd"/>
      <w:r w:rsidR="009E6927" w:rsidRPr="006D1FE9">
        <w:rPr>
          <w:rFonts w:ascii="Book Antiqua" w:eastAsia="Book Antiqua" w:hAnsi="Book Antiqua" w:cs="Book Antiqua"/>
          <w:color w:val="000000"/>
          <w:vertAlign w:val="superscript"/>
        </w:rPr>
        <w:t>13]</w:t>
      </w:r>
      <w:r w:rsidR="009E6927" w:rsidRPr="006D1FE9">
        <w:rPr>
          <w:rFonts w:ascii="Book Antiqua" w:eastAsia="Book Antiqua" w:hAnsi="Book Antiqua" w:cs="Book Antiqua"/>
          <w:color w:val="000000"/>
        </w:rPr>
        <w:t xml:space="preserve">. Moreover, higher mortality was noted in patients with cirrhosis and ascites who </w:t>
      </w:r>
      <w:r>
        <w:rPr>
          <w:rFonts w:ascii="Book Antiqua" w:eastAsia="Book Antiqua" w:hAnsi="Book Antiqua" w:cs="Book Antiqua"/>
          <w:color w:val="000000"/>
        </w:rPr>
        <w:t>did not undergo</w:t>
      </w:r>
      <w:r w:rsidR="009E6927" w:rsidRPr="006D1FE9">
        <w:rPr>
          <w:rFonts w:ascii="Book Antiqua" w:eastAsia="Book Antiqua" w:hAnsi="Book Antiqua" w:cs="Book Antiqua"/>
          <w:color w:val="000000"/>
        </w:rPr>
        <w:t xml:space="preserve"> paracentes</w:t>
      </w:r>
      <w:r w:rsidR="00D06402">
        <w:rPr>
          <w:rFonts w:ascii="Book Antiqua" w:eastAsia="Book Antiqua" w:hAnsi="Book Antiqua" w:cs="Book Antiqua"/>
          <w:color w:val="000000"/>
        </w:rPr>
        <w:t>i</w:t>
      </w:r>
      <w:r w:rsidR="009E6927" w:rsidRPr="006D1FE9">
        <w:rPr>
          <w:rFonts w:ascii="Book Antiqua" w:eastAsia="Book Antiqua" w:hAnsi="Book Antiqua" w:cs="Book Antiqua"/>
          <w:color w:val="000000"/>
        </w:rPr>
        <w:t xml:space="preserve">s compared to patients who </w:t>
      </w:r>
      <w:proofErr w:type="gramStart"/>
      <w:r w:rsidR="009E6927" w:rsidRPr="006D1FE9">
        <w:rPr>
          <w:rFonts w:ascii="Book Antiqua" w:eastAsia="Book Antiqua" w:hAnsi="Book Antiqua" w:cs="Book Antiqua"/>
          <w:color w:val="000000"/>
        </w:rPr>
        <w:t>did</w:t>
      </w:r>
      <w:r w:rsidR="009E6927" w:rsidRPr="006D1FE9">
        <w:rPr>
          <w:rFonts w:ascii="Book Antiqua" w:eastAsia="Book Antiqua" w:hAnsi="Book Antiqua" w:cs="Book Antiqua"/>
          <w:color w:val="000000"/>
          <w:vertAlign w:val="superscript"/>
        </w:rPr>
        <w:t>[</w:t>
      </w:r>
      <w:proofErr w:type="gramEnd"/>
      <w:r w:rsidR="009E6927" w:rsidRPr="006D1FE9">
        <w:rPr>
          <w:rFonts w:ascii="Book Antiqua" w:eastAsia="Book Antiqua" w:hAnsi="Book Antiqua" w:cs="Book Antiqua"/>
          <w:color w:val="000000"/>
          <w:vertAlign w:val="superscript"/>
        </w:rPr>
        <w:t>6]</w:t>
      </w:r>
      <w:r w:rsidR="009E6927" w:rsidRPr="006D1FE9">
        <w:rPr>
          <w:rFonts w:ascii="Book Antiqua" w:eastAsia="Book Antiqua" w:hAnsi="Book Antiqua" w:cs="Book Antiqua"/>
          <w:color w:val="000000"/>
        </w:rPr>
        <w:t>.</w:t>
      </w:r>
    </w:p>
    <w:p w14:paraId="6C0E2468" w14:textId="5763F184"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Our study found that patients who received EP had a shorter LOS. A reason for this finding could be that rapid diagnos</w:t>
      </w:r>
      <w:r w:rsidR="001F5021">
        <w:rPr>
          <w:rFonts w:ascii="Book Antiqua" w:eastAsia="Book Antiqua" w:hAnsi="Book Antiqua" w:cs="Book Antiqua"/>
          <w:color w:val="000000"/>
        </w:rPr>
        <w:t>is</w:t>
      </w:r>
      <w:r w:rsidRPr="006D1FE9">
        <w:rPr>
          <w:rFonts w:ascii="Book Antiqua" w:eastAsia="Book Antiqua" w:hAnsi="Book Antiqua" w:cs="Book Antiqua"/>
          <w:color w:val="000000"/>
        </w:rPr>
        <w:t xml:space="preserve"> of</w:t>
      </w:r>
      <w:r w:rsidR="001F5021">
        <w:rPr>
          <w:rFonts w:ascii="Book Antiqua" w:eastAsia="Book Antiqua" w:hAnsi="Book Antiqua" w:cs="Book Antiqua"/>
          <w:color w:val="000000"/>
        </w:rPr>
        <w:t xml:space="preserve"> SBP</w:t>
      </w:r>
      <w:r w:rsidRPr="006D1FE9">
        <w:rPr>
          <w:rFonts w:ascii="Book Antiqua" w:eastAsia="Book Antiqua" w:hAnsi="Book Antiqua" w:cs="Book Antiqua"/>
          <w:color w:val="000000"/>
        </w:rPr>
        <w:t xml:space="preserve"> or evacuation of tension ascites, and rapid initiation of antimicrobial treatment is effective and prevents the development of other complications leading to shorter hospitalization. On the other hand, patients in the DP </w:t>
      </w:r>
      <w:r w:rsidR="001F5021">
        <w:rPr>
          <w:rFonts w:ascii="Book Antiqua" w:eastAsia="Book Antiqua" w:hAnsi="Book Antiqua" w:cs="Book Antiqua"/>
          <w:color w:val="000000"/>
        </w:rPr>
        <w:t xml:space="preserve">group </w:t>
      </w:r>
      <w:r w:rsidRPr="006D1FE9">
        <w:rPr>
          <w:rFonts w:ascii="Book Antiqua" w:eastAsia="Book Antiqua" w:hAnsi="Book Antiqua" w:cs="Book Antiqua"/>
          <w:color w:val="000000"/>
        </w:rPr>
        <w:t>had more complications and this could explain the longer LOS in this group.</w:t>
      </w:r>
    </w:p>
    <w:p w14:paraId="75978950" w14:textId="2CB4B1ED"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Patients were more likely to receive </w:t>
      </w:r>
      <w:r w:rsidR="001F5021">
        <w:rPr>
          <w:rFonts w:ascii="Book Antiqua" w:eastAsia="Book Antiqua" w:hAnsi="Book Antiqua" w:cs="Book Antiqua"/>
          <w:color w:val="000000"/>
        </w:rPr>
        <w:t>EP</w:t>
      </w:r>
      <w:r w:rsidRPr="006D1FE9">
        <w:rPr>
          <w:rFonts w:ascii="Book Antiqua" w:eastAsia="Book Antiqua" w:hAnsi="Book Antiqua" w:cs="Book Antiqua"/>
          <w:color w:val="000000"/>
        </w:rPr>
        <w:t xml:space="preserve"> if admitted on a weekday compared to being admitted on a weekend and more than half of patients in the DP were admitted on the weekend. This could be explained by the low </w:t>
      </w:r>
      <w:r w:rsidR="001F5021">
        <w:rPr>
          <w:rFonts w:ascii="Book Antiqua" w:eastAsia="Book Antiqua" w:hAnsi="Book Antiqua" w:cs="Book Antiqua"/>
          <w:color w:val="000000"/>
        </w:rPr>
        <w:t>number</w:t>
      </w:r>
      <w:r w:rsidRPr="006D1FE9">
        <w:rPr>
          <w:rFonts w:ascii="Book Antiqua" w:eastAsia="Book Antiqua" w:hAnsi="Book Antiqua" w:cs="Book Antiqua"/>
          <w:color w:val="000000"/>
        </w:rPr>
        <w:t xml:space="preserve"> of medical staff on call during weekends. Similar findings were noted in another </w:t>
      </w:r>
      <w:proofErr w:type="gramStart"/>
      <w:r w:rsidRPr="006D1FE9">
        <w:rPr>
          <w:rFonts w:ascii="Book Antiqua" w:eastAsia="Book Antiqua" w:hAnsi="Book Antiqua" w:cs="Book Antiqua"/>
          <w:color w:val="000000"/>
        </w:rPr>
        <w:t>study</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14]</w:t>
      </w:r>
      <w:r w:rsidRPr="006D1FE9">
        <w:rPr>
          <w:rFonts w:ascii="Book Antiqua" w:eastAsia="Book Antiqua" w:hAnsi="Book Antiqua" w:cs="Book Antiqua"/>
          <w:color w:val="000000"/>
        </w:rPr>
        <w:t>.</w:t>
      </w:r>
    </w:p>
    <w:p w14:paraId="517BB2AE" w14:textId="5359CD67"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According to </w:t>
      </w:r>
      <w:r w:rsidR="001F5021">
        <w:rPr>
          <w:rFonts w:ascii="Book Antiqua" w:eastAsia="Book Antiqua" w:hAnsi="Book Antiqua" w:cs="Book Antiqua"/>
          <w:color w:val="000000"/>
        </w:rPr>
        <w:t xml:space="preserve">the </w:t>
      </w:r>
      <w:proofErr w:type="gramStart"/>
      <w:r w:rsidRPr="006D1FE9">
        <w:rPr>
          <w:rFonts w:ascii="Book Antiqua" w:eastAsia="Book Antiqua" w:hAnsi="Book Antiqua" w:cs="Book Antiqua"/>
          <w:color w:val="000000"/>
        </w:rPr>
        <w:t>literature</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15]</w:t>
      </w:r>
      <w:r w:rsidRPr="006D1FE9">
        <w:rPr>
          <w:rFonts w:ascii="Book Antiqua" w:eastAsia="Book Antiqua" w:hAnsi="Book Antiqua" w:cs="Book Antiqua"/>
          <w:color w:val="000000"/>
        </w:rPr>
        <w:t xml:space="preserve">, the time of paracentesis is associated with the risk of mortality. In a study conducted by O’Brien </w:t>
      </w:r>
      <w:r w:rsidRPr="006D1FE9">
        <w:rPr>
          <w:rFonts w:ascii="Book Antiqua" w:eastAsia="Book Antiqua" w:hAnsi="Book Antiqua" w:cs="Book Antiqua"/>
          <w:i/>
          <w:iCs/>
          <w:color w:val="000000"/>
        </w:rPr>
        <w:t xml:space="preserve">et </w:t>
      </w:r>
      <w:proofErr w:type="gramStart"/>
      <w:r w:rsidRPr="006D1FE9">
        <w:rPr>
          <w:rFonts w:ascii="Book Antiqua" w:eastAsia="Book Antiqua" w:hAnsi="Book Antiqua" w:cs="Book Antiqua"/>
          <w:i/>
          <w:iCs/>
          <w:color w:val="000000"/>
        </w:rPr>
        <w:t>al</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16]</w:t>
      </w:r>
      <w:r w:rsidRPr="006D1FE9">
        <w:rPr>
          <w:rFonts w:ascii="Book Antiqua" w:eastAsia="Book Antiqua" w:hAnsi="Book Antiqua" w:cs="Book Antiqua"/>
          <w:color w:val="000000"/>
        </w:rPr>
        <w:t xml:space="preserve">, the majority of patients experienced </w:t>
      </w:r>
      <w:r w:rsidR="001F5021">
        <w:rPr>
          <w:rFonts w:ascii="Book Antiqua" w:eastAsia="Book Antiqua" w:hAnsi="Book Antiqua" w:cs="Book Antiqua"/>
          <w:color w:val="000000"/>
        </w:rPr>
        <w:t>DP</w:t>
      </w:r>
      <w:r w:rsidRPr="006D1FE9">
        <w:rPr>
          <w:rFonts w:ascii="Book Antiqua" w:eastAsia="Book Antiqua" w:hAnsi="Book Antiqua" w:cs="Book Antiqua"/>
          <w:color w:val="000000"/>
        </w:rPr>
        <w:t xml:space="preserve"> and in-hospital mortality was higher in th</w:t>
      </w:r>
      <w:r w:rsidR="001F5021">
        <w:rPr>
          <w:rFonts w:ascii="Book Antiqua" w:eastAsia="Book Antiqua" w:hAnsi="Book Antiqua" w:cs="Book Antiqua"/>
          <w:color w:val="000000"/>
        </w:rPr>
        <w:t>e</w:t>
      </w:r>
      <w:r w:rsidRPr="006D1FE9">
        <w:rPr>
          <w:rFonts w:ascii="Book Antiqua" w:eastAsia="Book Antiqua" w:hAnsi="Book Antiqua" w:cs="Book Antiqua"/>
          <w:color w:val="000000"/>
        </w:rPr>
        <w:t>se patients. Similarly, in our study, patients who received EP had lower in-hospital mortality than pa</w:t>
      </w:r>
      <w:r w:rsidR="00076076" w:rsidRPr="006D1FE9">
        <w:rPr>
          <w:rFonts w:ascii="Book Antiqua" w:eastAsia="Book Antiqua" w:hAnsi="Book Antiqua" w:cs="Book Antiqua"/>
          <w:color w:val="000000"/>
        </w:rPr>
        <w:t xml:space="preserve">tients who received DP (6.1% </w:t>
      </w:r>
      <w:r w:rsidR="00076076" w:rsidRPr="006D1FE9">
        <w:rPr>
          <w:rFonts w:ascii="Book Antiqua" w:eastAsia="Book Antiqua" w:hAnsi="Book Antiqua" w:cs="Book Antiqua"/>
          <w:i/>
          <w:color w:val="000000"/>
        </w:rPr>
        <w:t>vs</w:t>
      </w:r>
      <w:r w:rsidRPr="006D1FE9">
        <w:rPr>
          <w:rFonts w:ascii="Book Antiqua" w:eastAsia="Book Antiqua" w:hAnsi="Book Antiqua" w:cs="Book Antiqua"/>
          <w:color w:val="000000"/>
        </w:rPr>
        <w:t xml:space="preserve"> 17.5%, </w:t>
      </w:r>
      <w:r w:rsidRPr="006D1FE9">
        <w:rPr>
          <w:rFonts w:ascii="Book Antiqua" w:eastAsia="Book Antiqua" w:hAnsi="Book Antiqua" w:cs="Book Antiqua"/>
          <w:i/>
          <w:caps/>
          <w:color w:val="000000"/>
        </w:rPr>
        <w:t>p</w:t>
      </w:r>
      <w:r w:rsidRPr="006D1FE9">
        <w:rPr>
          <w:rFonts w:ascii="Book Antiqua" w:eastAsia="Book Antiqua" w:hAnsi="Book Antiqua" w:cs="Book Antiqua"/>
          <w:color w:val="000000"/>
        </w:rPr>
        <w:t xml:space="preserve"> &lt; 0.05). Consistent with our findings, </w:t>
      </w:r>
      <w:r w:rsidRPr="006D1FE9">
        <w:rPr>
          <w:rFonts w:ascii="Book Antiqua" w:eastAsia="Book Antiqua" w:hAnsi="Book Antiqua" w:cs="Book Antiqua"/>
          <w:color w:val="000000"/>
        </w:rPr>
        <w:lastRenderedPageBreak/>
        <w:t xml:space="preserve">a recent study showed that patients who received DP had an increased risk of </w:t>
      </w:r>
      <w:proofErr w:type="gramStart"/>
      <w:r w:rsidRPr="006D1FE9">
        <w:rPr>
          <w:rFonts w:ascii="Book Antiqua" w:eastAsia="Book Antiqua" w:hAnsi="Book Antiqua" w:cs="Book Antiqua"/>
          <w:color w:val="000000"/>
        </w:rPr>
        <w:t>mortality</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17]</w:t>
      </w:r>
      <w:r w:rsidRPr="006D1FE9">
        <w:rPr>
          <w:rFonts w:ascii="Book Antiqua" w:eastAsia="Book Antiqua" w:hAnsi="Book Antiqua" w:cs="Book Antiqua"/>
          <w:color w:val="000000"/>
        </w:rPr>
        <w:t xml:space="preserve">. </w:t>
      </w:r>
    </w:p>
    <w:p w14:paraId="1182975A" w14:textId="3729C5A1"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Observing </w:t>
      </w:r>
      <w:r w:rsidR="001F5021">
        <w:rPr>
          <w:rFonts w:ascii="Book Antiqua" w:eastAsia="Book Antiqua" w:hAnsi="Book Antiqua" w:cs="Book Antiqua"/>
          <w:color w:val="000000"/>
        </w:rPr>
        <w:t xml:space="preserve">the </w:t>
      </w:r>
      <w:r w:rsidRPr="006D1FE9">
        <w:rPr>
          <w:rFonts w:ascii="Book Antiqua" w:eastAsia="Book Antiqua" w:hAnsi="Book Antiqua" w:cs="Book Antiqua"/>
          <w:color w:val="000000"/>
        </w:rPr>
        <w:t xml:space="preserve">collected data, we also suppose that DP may also </w:t>
      </w:r>
      <w:r w:rsidR="001F5021" w:rsidRPr="006D1FE9">
        <w:rPr>
          <w:rFonts w:ascii="Book Antiqua" w:eastAsia="Book Antiqua" w:hAnsi="Book Antiqua" w:cs="Book Antiqua"/>
          <w:color w:val="000000"/>
        </w:rPr>
        <w:t xml:space="preserve">have </w:t>
      </w:r>
      <w:r w:rsidRPr="006D1FE9">
        <w:rPr>
          <w:rFonts w:ascii="Book Antiqua" w:eastAsia="Book Antiqua" w:hAnsi="Book Antiqua" w:cs="Book Antiqua"/>
          <w:color w:val="000000"/>
        </w:rPr>
        <w:t>a negative impact on healthcare utilization. Given that the patients who received DP developed more complications, and had longer LOS, we can expect increased use of medical resources by these patients.</w:t>
      </w:r>
    </w:p>
    <w:p w14:paraId="59F51EE0" w14:textId="15A769C7"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Cirrhosis is one of the leading causes of morbidity, requires frequent hospitalizations and carries a high risk for </w:t>
      </w:r>
      <w:proofErr w:type="gramStart"/>
      <w:r w:rsidRPr="006D1FE9">
        <w:rPr>
          <w:rFonts w:ascii="Book Antiqua" w:eastAsia="Book Antiqua" w:hAnsi="Book Antiqua" w:cs="Book Antiqua"/>
          <w:color w:val="000000"/>
        </w:rPr>
        <w:t>readmission</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7]</w:t>
      </w:r>
      <w:r w:rsidR="00741C58">
        <w:rPr>
          <w:rFonts w:ascii="Book Antiqua" w:eastAsia="Book Antiqua" w:hAnsi="Book Antiqua" w:cs="Book Antiqua"/>
          <w:color w:val="000000"/>
        </w:rPr>
        <w:t>. S</w:t>
      </w:r>
      <w:r w:rsidR="002144C3" w:rsidRPr="006D1FE9">
        <w:rPr>
          <w:rFonts w:ascii="Book Antiqua" w:eastAsia="Book Antiqua" w:hAnsi="Book Antiqua" w:cs="Book Antiqua"/>
          <w:color w:val="000000"/>
        </w:rPr>
        <w:t>tudies show 30-d</w:t>
      </w:r>
      <w:r w:rsidRPr="006D1FE9">
        <w:rPr>
          <w:rFonts w:ascii="Book Antiqua" w:eastAsia="Book Antiqua" w:hAnsi="Book Antiqua" w:cs="Book Antiqua"/>
          <w:color w:val="000000"/>
        </w:rPr>
        <w:t xml:space="preserve"> readmission rates between 20</w:t>
      </w:r>
      <w:r w:rsidR="002144C3" w:rsidRPr="006D1FE9">
        <w:rPr>
          <w:rFonts w:ascii="Book Antiqua" w:eastAsia="Book Antiqua" w:hAnsi="Book Antiqua" w:cs="Book Antiqua"/>
          <w:color w:val="000000"/>
        </w:rPr>
        <w:t>%</w:t>
      </w:r>
      <w:r w:rsidRPr="006D1FE9">
        <w:rPr>
          <w:rFonts w:ascii="Book Antiqua" w:eastAsia="Book Antiqua" w:hAnsi="Book Antiqua" w:cs="Book Antiqua"/>
          <w:color w:val="000000"/>
        </w:rPr>
        <w:t>-37</w:t>
      </w:r>
      <w:proofErr w:type="gramStart"/>
      <w:r w:rsidRPr="006D1FE9">
        <w:rPr>
          <w:rFonts w:ascii="Book Antiqua" w:eastAsia="Book Antiqua" w:hAnsi="Book Antiqua" w:cs="Book Antiqua"/>
          <w:color w:val="000000"/>
        </w:rPr>
        <w:t>%</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18]</w:t>
      </w:r>
      <w:r w:rsidR="002144C3" w:rsidRPr="006D1FE9">
        <w:rPr>
          <w:rFonts w:ascii="Book Antiqua" w:eastAsia="Book Antiqua" w:hAnsi="Book Antiqua" w:cs="Book Antiqua"/>
          <w:color w:val="000000"/>
        </w:rPr>
        <w:t xml:space="preserve">, and </w:t>
      </w:r>
      <w:r w:rsidR="00741C58">
        <w:rPr>
          <w:rFonts w:ascii="Book Antiqua" w:eastAsia="Book Antiqua" w:hAnsi="Book Antiqua" w:cs="Book Antiqua"/>
          <w:color w:val="000000"/>
        </w:rPr>
        <w:t xml:space="preserve">a </w:t>
      </w:r>
      <w:r w:rsidR="002144C3" w:rsidRPr="006D1FE9">
        <w:rPr>
          <w:rFonts w:ascii="Book Antiqua" w:eastAsia="Book Antiqua" w:hAnsi="Book Antiqua" w:cs="Book Antiqua"/>
          <w:color w:val="000000"/>
        </w:rPr>
        <w:t>90-d</w:t>
      </w:r>
      <w:r w:rsidRPr="006D1FE9">
        <w:rPr>
          <w:rFonts w:ascii="Book Antiqua" w:eastAsia="Book Antiqua" w:hAnsi="Book Antiqua" w:cs="Book Antiqua"/>
          <w:color w:val="000000"/>
        </w:rPr>
        <w:t xml:space="preserve"> readmission rate </w:t>
      </w:r>
      <w:r w:rsidR="00741C58">
        <w:rPr>
          <w:rFonts w:ascii="Book Antiqua" w:eastAsia="Book Antiqua" w:hAnsi="Book Antiqua" w:cs="Book Antiqua"/>
          <w:color w:val="000000"/>
        </w:rPr>
        <w:t xml:space="preserve">of </w:t>
      </w:r>
      <w:r w:rsidRPr="006D1FE9">
        <w:rPr>
          <w:rFonts w:ascii="Book Antiqua" w:eastAsia="Book Antiqua" w:hAnsi="Book Antiqua" w:cs="Book Antiqua"/>
          <w:color w:val="000000"/>
        </w:rPr>
        <w:t>up to 53%</w:t>
      </w:r>
      <w:r w:rsidRPr="006D1FE9">
        <w:rPr>
          <w:rFonts w:ascii="Book Antiqua" w:eastAsia="Book Antiqua" w:hAnsi="Book Antiqua" w:cs="Book Antiqua"/>
          <w:color w:val="000000"/>
          <w:vertAlign w:val="superscript"/>
        </w:rPr>
        <w:t>[19]</w:t>
      </w:r>
      <w:r w:rsidRPr="006D1FE9">
        <w:rPr>
          <w:rFonts w:ascii="Book Antiqua" w:eastAsia="Book Antiqua" w:hAnsi="Book Antiqua" w:cs="Book Antiqua"/>
          <w:color w:val="000000"/>
        </w:rPr>
        <w:t xml:space="preserve">. </w:t>
      </w:r>
      <w:r w:rsidR="002144C3" w:rsidRPr="006D1FE9">
        <w:rPr>
          <w:rFonts w:ascii="Book Antiqua" w:eastAsia="Book Antiqua" w:hAnsi="Book Antiqua" w:cs="Book Antiqua"/>
          <w:color w:val="000000"/>
        </w:rPr>
        <w:t>In our study, the overall 90-d</w:t>
      </w:r>
      <w:r w:rsidRPr="006D1FE9">
        <w:rPr>
          <w:rFonts w:ascii="Book Antiqua" w:eastAsia="Book Antiqua" w:hAnsi="Book Antiqua" w:cs="Book Antiqua"/>
          <w:color w:val="000000"/>
        </w:rPr>
        <w:t xml:space="preserve"> readmission rate was 28.1% and it was in concordance with the study published by Orman </w:t>
      </w:r>
      <w:r w:rsidRPr="006D1FE9">
        <w:rPr>
          <w:rFonts w:ascii="Book Antiqua" w:eastAsia="Book Antiqua" w:hAnsi="Book Antiqua" w:cs="Book Antiqua"/>
          <w:i/>
          <w:iCs/>
          <w:color w:val="000000"/>
        </w:rPr>
        <w:t xml:space="preserve">et </w:t>
      </w:r>
      <w:proofErr w:type="gramStart"/>
      <w:r w:rsidRPr="006D1FE9">
        <w:rPr>
          <w:rFonts w:ascii="Book Antiqua" w:eastAsia="Book Antiqua" w:hAnsi="Book Antiqua" w:cs="Book Antiqua"/>
          <w:i/>
          <w:iCs/>
          <w:color w:val="000000"/>
        </w:rPr>
        <w:t>al</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20]</w:t>
      </w:r>
      <w:r w:rsidRPr="006D1FE9">
        <w:rPr>
          <w:rFonts w:ascii="Book Antiqua" w:eastAsia="Book Antiqua" w:hAnsi="Book Antiqua" w:cs="Book Antiqua"/>
          <w:color w:val="000000"/>
        </w:rPr>
        <w:t xml:space="preserve"> and higher than the rate of 12.9% found by Tapper </w:t>
      </w:r>
      <w:r w:rsidRPr="006D1FE9">
        <w:rPr>
          <w:rFonts w:ascii="Book Antiqua" w:eastAsia="Book Antiqua" w:hAnsi="Book Antiqua" w:cs="Book Antiqua"/>
          <w:i/>
          <w:iCs/>
          <w:color w:val="000000"/>
        </w:rPr>
        <w:t>et al</w:t>
      </w:r>
      <w:r w:rsidRPr="006D1FE9">
        <w:rPr>
          <w:rFonts w:ascii="Book Antiqua" w:eastAsia="Book Antiqua" w:hAnsi="Book Antiqua" w:cs="Book Antiqua"/>
          <w:color w:val="000000"/>
          <w:vertAlign w:val="superscript"/>
        </w:rPr>
        <w:t>[21]</w:t>
      </w:r>
      <w:r w:rsidRPr="006D1FE9">
        <w:rPr>
          <w:rFonts w:ascii="Book Antiqua" w:eastAsia="Book Antiqua" w:hAnsi="Book Antiqua" w:cs="Book Antiqua"/>
          <w:color w:val="000000"/>
        </w:rPr>
        <w:t xml:space="preserve">. Another study by Volk </w:t>
      </w:r>
      <w:r w:rsidRPr="006D1FE9">
        <w:rPr>
          <w:rFonts w:ascii="Book Antiqua" w:eastAsia="Book Antiqua" w:hAnsi="Book Antiqua" w:cs="Book Antiqua"/>
          <w:i/>
          <w:iCs/>
          <w:color w:val="000000"/>
        </w:rPr>
        <w:t xml:space="preserve">et </w:t>
      </w:r>
      <w:proofErr w:type="gramStart"/>
      <w:r w:rsidRPr="006D1FE9">
        <w:rPr>
          <w:rFonts w:ascii="Book Antiqua" w:eastAsia="Book Antiqua" w:hAnsi="Book Antiqua" w:cs="Book Antiqua"/>
          <w:i/>
          <w:iCs/>
          <w:color w:val="000000"/>
        </w:rPr>
        <w:t>al</w:t>
      </w:r>
      <w:r w:rsidR="002144C3" w:rsidRPr="006D1FE9">
        <w:rPr>
          <w:rFonts w:ascii="Book Antiqua" w:eastAsia="Book Antiqua" w:hAnsi="Book Antiqua" w:cs="Book Antiqua"/>
          <w:iCs/>
          <w:color w:val="000000"/>
          <w:vertAlign w:val="superscript"/>
        </w:rPr>
        <w:t>[</w:t>
      </w:r>
      <w:proofErr w:type="gramEnd"/>
      <w:r w:rsidR="002144C3" w:rsidRPr="006D1FE9">
        <w:rPr>
          <w:rFonts w:ascii="Book Antiqua" w:eastAsia="Book Antiqua" w:hAnsi="Book Antiqua" w:cs="Book Antiqua"/>
          <w:iCs/>
          <w:color w:val="000000"/>
          <w:vertAlign w:val="superscript"/>
        </w:rPr>
        <w:t>22]</w:t>
      </w:r>
      <w:r w:rsidR="002144C3" w:rsidRPr="006D1FE9">
        <w:rPr>
          <w:rFonts w:ascii="Book Antiqua" w:eastAsia="Book Antiqua" w:hAnsi="Book Antiqua" w:cs="Book Antiqua"/>
          <w:color w:val="000000"/>
        </w:rPr>
        <w:t xml:space="preserve"> reported a 30-d</w:t>
      </w:r>
      <w:r w:rsidRPr="006D1FE9">
        <w:rPr>
          <w:rFonts w:ascii="Book Antiqua" w:eastAsia="Book Antiqua" w:hAnsi="Book Antiqua" w:cs="Book Antiqua"/>
          <w:color w:val="000000"/>
        </w:rPr>
        <w:t xml:space="preserve"> readmission rate of 37%</w:t>
      </w:r>
      <w:r w:rsidRPr="006D1FE9">
        <w:rPr>
          <w:rFonts w:ascii="Book Antiqua" w:eastAsia="Book Antiqua" w:hAnsi="Book Antiqua" w:cs="Book Antiqua"/>
          <w:color w:val="000000"/>
          <w:vertAlign w:val="superscript"/>
        </w:rPr>
        <w:t>[22]</w:t>
      </w:r>
      <w:r w:rsidRPr="006D1FE9">
        <w:rPr>
          <w:rFonts w:ascii="Book Antiqua" w:eastAsia="Book Antiqua" w:hAnsi="Book Antiqua" w:cs="Book Antiqua"/>
          <w:color w:val="000000"/>
        </w:rPr>
        <w:t xml:space="preserve">. In the </w:t>
      </w:r>
      <w:proofErr w:type="gramStart"/>
      <w:r w:rsidRPr="006D1FE9">
        <w:rPr>
          <w:rFonts w:ascii="Book Antiqua" w:eastAsia="Book Antiqua" w:hAnsi="Book Antiqua" w:cs="Book Antiqua"/>
          <w:color w:val="000000"/>
        </w:rPr>
        <w:t>literature</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22-24]</w:t>
      </w:r>
      <w:r w:rsidRPr="006D1FE9">
        <w:rPr>
          <w:rFonts w:ascii="Book Antiqua" w:eastAsia="Book Antiqua" w:hAnsi="Book Antiqua" w:cs="Book Antiqua"/>
          <w:color w:val="000000"/>
        </w:rPr>
        <w:t xml:space="preserve">, similar to our study, the most common reasons reported for readmission were complications of cirrhosis. Readmissions frequently occur among patients with advanced liver disease, </w:t>
      </w:r>
      <w:r w:rsidR="00741C58">
        <w:rPr>
          <w:rFonts w:ascii="Book Antiqua" w:eastAsia="Book Antiqua" w:hAnsi="Book Antiqua" w:cs="Book Antiqua"/>
          <w:color w:val="000000"/>
        </w:rPr>
        <w:t xml:space="preserve">with </w:t>
      </w:r>
      <w:r w:rsidRPr="006D1FE9">
        <w:rPr>
          <w:rFonts w:ascii="Book Antiqua" w:eastAsia="Book Antiqua" w:hAnsi="Book Antiqua" w:cs="Book Antiqua"/>
          <w:color w:val="000000"/>
        </w:rPr>
        <w:t xml:space="preserve">increased MELD score being associated with readmission in most </w:t>
      </w:r>
      <w:proofErr w:type="gramStart"/>
      <w:r w:rsidRPr="006D1FE9">
        <w:rPr>
          <w:rFonts w:ascii="Book Antiqua" w:eastAsia="Book Antiqua" w:hAnsi="Book Antiqua" w:cs="Book Antiqua"/>
          <w:color w:val="000000"/>
        </w:rPr>
        <w:t>studies</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20]</w:t>
      </w:r>
      <w:r w:rsidRPr="006D1FE9">
        <w:rPr>
          <w:rFonts w:ascii="Book Antiqua" w:eastAsia="Book Antiqua" w:hAnsi="Book Antiqua" w:cs="Book Antiqua"/>
          <w:color w:val="000000"/>
        </w:rPr>
        <w:t>.</w:t>
      </w:r>
    </w:p>
    <w:p w14:paraId="2BAE66A5" w14:textId="23AC67A5"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In our study, the majority of patients (75.5%) who were readmitted within 90 d</w:t>
      </w:r>
      <w:r w:rsidR="00076076"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with continuous hospitalization were </w:t>
      </w:r>
      <w:r w:rsidR="00741C58">
        <w:rPr>
          <w:rFonts w:ascii="Book Antiqua" w:eastAsia="Book Antiqua" w:hAnsi="Book Antiqua" w:cs="Book Antiqua"/>
          <w:color w:val="000000"/>
        </w:rPr>
        <w:t>from</w:t>
      </w:r>
      <w:r w:rsidRPr="006D1FE9">
        <w:rPr>
          <w:rFonts w:ascii="Book Antiqua" w:eastAsia="Book Antiqua" w:hAnsi="Book Antiqua" w:cs="Book Antiqua"/>
          <w:color w:val="000000"/>
        </w:rPr>
        <w:t xml:space="preserve"> the DP group. Only 24.5% of them were </w:t>
      </w:r>
      <w:r w:rsidR="00741C58">
        <w:rPr>
          <w:rFonts w:ascii="Book Antiqua" w:eastAsia="Book Antiqua" w:hAnsi="Book Antiqua" w:cs="Book Antiqua"/>
          <w:color w:val="000000"/>
        </w:rPr>
        <w:t>from</w:t>
      </w:r>
      <w:r w:rsidRPr="006D1FE9">
        <w:rPr>
          <w:rFonts w:ascii="Book Antiqua" w:eastAsia="Book Antiqua" w:hAnsi="Book Antiqua" w:cs="Book Antiqua"/>
          <w:color w:val="000000"/>
        </w:rPr>
        <w:t xml:space="preserve"> the EP group. Another study conducted by Sobotka </w:t>
      </w:r>
      <w:r w:rsidRPr="006D1FE9">
        <w:rPr>
          <w:rFonts w:ascii="Book Antiqua" w:eastAsia="Book Antiqua" w:hAnsi="Book Antiqua" w:cs="Book Antiqua"/>
          <w:i/>
          <w:iCs/>
          <w:color w:val="000000"/>
        </w:rPr>
        <w:t xml:space="preserve">et </w:t>
      </w:r>
      <w:proofErr w:type="gramStart"/>
      <w:r w:rsidRPr="006D1FE9">
        <w:rPr>
          <w:rFonts w:ascii="Book Antiqua" w:eastAsia="Book Antiqua" w:hAnsi="Book Antiqua" w:cs="Book Antiqua"/>
          <w:i/>
          <w:iCs/>
          <w:color w:val="000000"/>
        </w:rPr>
        <w:t>al</w:t>
      </w:r>
      <w:r w:rsidR="00A868E1"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25</w:t>
      </w:r>
      <w:r w:rsidR="00A868E1" w:rsidRPr="006D1FE9">
        <w:rPr>
          <w:rFonts w:ascii="Book Antiqua" w:eastAsia="Book Antiqua" w:hAnsi="Book Antiqua" w:cs="Book Antiqua"/>
          <w:color w:val="000000"/>
          <w:vertAlign w:val="superscript"/>
        </w:rPr>
        <w:t>]</w:t>
      </w:r>
      <w:r w:rsidRPr="006D1FE9">
        <w:rPr>
          <w:rFonts w:ascii="Book Antiqua" w:eastAsia="Book Antiqua" w:hAnsi="Book Antiqua" w:cs="Book Antiqua"/>
          <w:color w:val="000000"/>
        </w:rPr>
        <w:t xml:space="preserve"> found that paracentesis was </w:t>
      </w:r>
      <w:r w:rsidR="002144C3" w:rsidRPr="006D1FE9">
        <w:rPr>
          <w:rFonts w:ascii="Book Antiqua" w:eastAsia="Book Antiqua" w:hAnsi="Book Antiqua" w:cs="Book Antiqua"/>
          <w:color w:val="000000"/>
        </w:rPr>
        <w:t>associated with increased 30-d</w:t>
      </w:r>
      <w:r w:rsidRPr="006D1FE9">
        <w:rPr>
          <w:rFonts w:ascii="Book Antiqua" w:eastAsia="Book Antiqua" w:hAnsi="Book Antiqua" w:cs="Book Antiqua"/>
          <w:color w:val="000000"/>
        </w:rPr>
        <w:t xml:space="preserve"> readmission. Despite this finding, paracentesis is recommended by guidelines and it is a quality indicator in cirrhotic patients. </w:t>
      </w:r>
    </w:p>
    <w:p w14:paraId="5CA497AA" w14:textId="26A13852"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Given that most patients had advanced liver disease, the presence of coagulopathy could be a reason for not performing paracentesis or for performing </w:t>
      </w:r>
      <w:r w:rsidR="00741C58">
        <w:rPr>
          <w:rFonts w:ascii="Book Antiqua" w:eastAsia="Book Antiqua" w:hAnsi="Book Antiqua" w:cs="Book Antiqua"/>
          <w:color w:val="000000"/>
        </w:rPr>
        <w:t>DP</w:t>
      </w:r>
      <w:r w:rsidRPr="006D1FE9">
        <w:rPr>
          <w:rFonts w:ascii="Book Antiqua" w:eastAsia="Book Antiqua" w:hAnsi="Book Antiqua" w:cs="Book Antiqua"/>
          <w:color w:val="000000"/>
        </w:rPr>
        <w:t xml:space="preserve">, but </w:t>
      </w:r>
      <w:r w:rsidR="00741C58">
        <w:rPr>
          <w:rFonts w:ascii="Book Antiqua" w:eastAsia="Book Antiqua" w:hAnsi="Book Antiqua" w:cs="Book Antiqua"/>
          <w:color w:val="000000"/>
        </w:rPr>
        <w:t xml:space="preserve">there </w:t>
      </w:r>
      <w:r w:rsidRPr="006D1FE9">
        <w:rPr>
          <w:rFonts w:ascii="Book Antiqua" w:eastAsia="Book Antiqua" w:hAnsi="Book Antiqua" w:cs="Book Antiqua"/>
          <w:color w:val="000000"/>
        </w:rPr>
        <w:t xml:space="preserve">is also strong evidence supporting that paracentesis is a safe procedure even in patients with associated </w:t>
      </w:r>
      <w:proofErr w:type="gramStart"/>
      <w:r w:rsidRPr="006D1FE9">
        <w:rPr>
          <w:rFonts w:ascii="Book Antiqua" w:eastAsia="Book Antiqua" w:hAnsi="Book Antiqua" w:cs="Book Antiqua"/>
          <w:color w:val="000000"/>
        </w:rPr>
        <w:t>coagulopathy</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26]</w:t>
      </w:r>
      <w:r w:rsidRPr="006D1FE9">
        <w:rPr>
          <w:rFonts w:ascii="Book Antiqua" w:eastAsia="Book Antiqua" w:hAnsi="Book Antiqua" w:cs="Book Antiqua"/>
          <w:color w:val="000000"/>
        </w:rPr>
        <w:t xml:space="preserve">. Kanwal </w:t>
      </w:r>
      <w:r w:rsidRPr="006D1FE9">
        <w:rPr>
          <w:rFonts w:ascii="Book Antiqua" w:eastAsia="Book Antiqua" w:hAnsi="Book Antiqua" w:cs="Book Antiqua"/>
          <w:i/>
          <w:iCs/>
          <w:color w:val="000000"/>
        </w:rPr>
        <w:t xml:space="preserve">et </w:t>
      </w:r>
      <w:proofErr w:type="gramStart"/>
      <w:r w:rsidRPr="006D1FE9">
        <w:rPr>
          <w:rFonts w:ascii="Book Antiqua" w:eastAsia="Book Antiqua" w:hAnsi="Book Antiqua" w:cs="Book Antiqua"/>
          <w:i/>
          <w:iCs/>
          <w:color w:val="000000"/>
        </w:rPr>
        <w:t>al</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7]</w:t>
      </w:r>
      <w:r w:rsidRPr="006D1FE9">
        <w:rPr>
          <w:rFonts w:ascii="Book Antiqua" w:eastAsia="Book Antiqua" w:hAnsi="Book Antiqua" w:cs="Book Antiqua"/>
          <w:color w:val="000000"/>
        </w:rPr>
        <w:t xml:space="preserve"> found that </w:t>
      </w:r>
      <w:r w:rsidR="00741C58">
        <w:rPr>
          <w:rFonts w:ascii="Book Antiqua" w:eastAsia="Book Antiqua" w:hAnsi="Book Antiqua" w:cs="Book Antiqua"/>
          <w:color w:val="000000"/>
        </w:rPr>
        <w:t xml:space="preserve">the </w:t>
      </w:r>
      <w:r w:rsidRPr="006D1FE9">
        <w:rPr>
          <w:rFonts w:ascii="Book Antiqua" w:eastAsia="Book Antiqua" w:hAnsi="Book Antiqua" w:cs="Book Antiqua"/>
          <w:color w:val="000000"/>
        </w:rPr>
        <w:t xml:space="preserve">quality of care regarding ascites </w:t>
      </w:r>
      <w:r w:rsidR="00741C58">
        <w:rPr>
          <w:rFonts w:ascii="Book Antiqua" w:eastAsia="Book Antiqua" w:hAnsi="Book Antiqua" w:cs="Book Antiqua"/>
          <w:color w:val="000000"/>
        </w:rPr>
        <w:t>was better</w:t>
      </w:r>
      <w:r w:rsidRPr="006D1FE9">
        <w:rPr>
          <w:rFonts w:ascii="Book Antiqua" w:eastAsia="Book Antiqua" w:hAnsi="Book Antiqua" w:cs="Book Antiqua"/>
          <w:color w:val="000000"/>
        </w:rPr>
        <w:t xml:space="preserve"> among patients with worse liver disease. </w:t>
      </w:r>
    </w:p>
    <w:p w14:paraId="315B38CA" w14:textId="187FB922" w:rsidR="00A77B3E" w:rsidRPr="006D1FE9" w:rsidRDefault="00741C58" w:rsidP="006D1FE9">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A</w:t>
      </w:r>
      <w:r w:rsidR="009E6927" w:rsidRPr="006D1FE9">
        <w:rPr>
          <w:rFonts w:ascii="Book Antiqua" w:eastAsia="Book Antiqua" w:hAnsi="Book Antiqua" w:cs="Book Antiqua"/>
          <w:color w:val="000000"/>
        </w:rPr>
        <w:t xml:space="preserve"> limitation of our study may be the lack of data regarding discharged patients </w:t>
      </w:r>
      <w:r>
        <w:rPr>
          <w:rFonts w:ascii="Book Antiqua" w:eastAsia="Book Antiqua" w:hAnsi="Book Antiqua" w:cs="Book Antiqua"/>
          <w:color w:val="000000"/>
        </w:rPr>
        <w:t>as</w:t>
      </w:r>
      <w:r w:rsidR="009E6927" w:rsidRPr="006D1FE9">
        <w:rPr>
          <w:rFonts w:ascii="Book Antiqua" w:eastAsia="Book Antiqua" w:hAnsi="Book Antiqua" w:cs="Book Antiqua"/>
          <w:color w:val="000000"/>
        </w:rPr>
        <w:t xml:space="preserve"> we could not assess the survival rates of the patients who were not readmitted to our hospital 90 d </w:t>
      </w:r>
      <w:r>
        <w:rPr>
          <w:rFonts w:ascii="Book Antiqua" w:eastAsia="Book Antiqua" w:hAnsi="Book Antiqua" w:cs="Book Antiqua"/>
          <w:color w:val="000000"/>
        </w:rPr>
        <w:t>after</w:t>
      </w:r>
      <w:r w:rsidR="009E6927" w:rsidRPr="006D1FE9">
        <w:rPr>
          <w:rFonts w:ascii="Book Antiqua" w:eastAsia="Book Antiqua" w:hAnsi="Book Antiqua" w:cs="Book Antiqua"/>
          <w:color w:val="000000"/>
        </w:rPr>
        <w:t xml:space="preserve"> discharge. Another limitation of our study is that it is a retrospective study conducted in a single center, and </w:t>
      </w:r>
      <w:r>
        <w:rPr>
          <w:rFonts w:ascii="Book Antiqua" w:eastAsia="Book Antiqua" w:hAnsi="Book Antiqua" w:cs="Book Antiqua"/>
          <w:color w:val="000000"/>
        </w:rPr>
        <w:t>our</w:t>
      </w:r>
      <w:r w:rsidR="009E6927" w:rsidRPr="006D1FE9">
        <w:rPr>
          <w:rFonts w:ascii="Book Antiqua" w:eastAsia="Book Antiqua" w:hAnsi="Book Antiqua" w:cs="Book Antiqua"/>
          <w:color w:val="000000"/>
        </w:rPr>
        <w:t xml:space="preserve"> results should be confirmed by prospective, multicenter studies on a larger number of patients.</w:t>
      </w:r>
    </w:p>
    <w:p w14:paraId="139E63AB" w14:textId="77777777" w:rsidR="00A77B3E" w:rsidRPr="006D1FE9" w:rsidRDefault="00A77B3E" w:rsidP="006D1FE9">
      <w:pPr>
        <w:adjustRightInd w:val="0"/>
        <w:snapToGrid w:val="0"/>
        <w:spacing w:line="360" w:lineRule="auto"/>
        <w:jc w:val="both"/>
        <w:rPr>
          <w:rFonts w:ascii="Book Antiqua" w:hAnsi="Book Antiqua"/>
        </w:rPr>
      </w:pPr>
    </w:p>
    <w:bookmarkEnd w:id="31"/>
    <w:bookmarkEnd w:id="32"/>
    <w:p w14:paraId="3E625922"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aps/>
          <w:color w:val="000000"/>
          <w:u w:val="single"/>
        </w:rPr>
        <w:t>CONCLUSION</w:t>
      </w:r>
    </w:p>
    <w:p w14:paraId="5E02482A" w14:textId="3FF34B85" w:rsidR="00A77B3E" w:rsidRPr="006D1FE9" w:rsidRDefault="009E6927" w:rsidP="006D1FE9">
      <w:pPr>
        <w:adjustRightInd w:val="0"/>
        <w:snapToGrid w:val="0"/>
        <w:spacing w:line="360" w:lineRule="auto"/>
        <w:jc w:val="both"/>
        <w:rPr>
          <w:rFonts w:ascii="Book Antiqua" w:hAnsi="Book Antiqua"/>
        </w:rPr>
      </w:pPr>
      <w:bookmarkStart w:id="33" w:name="OLE_LINK35"/>
      <w:bookmarkStart w:id="34" w:name="OLE_LINK36"/>
      <w:r w:rsidRPr="006D1FE9">
        <w:rPr>
          <w:rFonts w:ascii="Book Antiqua" w:eastAsia="Book Antiqua" w:hAnsi="Book Antiqua" w:cs="Book Antiqua"/>
          <w:color w:val="000000"/>
        </w:rPr>
        <w:t>In light of the data provided, early paracentesis (within 1</w:t>
      </w:r>
      <w:r w:rsidR="00916759" w:rsidRPr="006D1FE9">
        <w:rPr>
          <w:rFonts w:ascii="Book Antiqua" w:eastAsia="Book Antiqua" w:hAnsi="Book Antiqua" w:cs="Book Antiqua"/>
          <w:color w:val="000000"/>
        </w:rPr>
        <w:t xml:space="preserve">2 h </w:t>
      </w:r>
      <w:r w:rsidR="00741C58">
        <w:rPr>
          <w:rFonts w:ascii="Book Antiqua" w:eastAsia="Book Antiqua" w:hAnsi="Book Antiqua" w:cs="Book Antiqua"/>
          <w:color w:val="000000"/>
        </w:rPr>
        <w:t>after</w:t>
      </w:r>
      <w:r w:rsidR="00916759" w:rsidRPr="006D1FE9">
        <w:rPr>
          <w:rFonts w:ascii="Book Antiqua" w:eastAsia="Book Antiqua" w:hAnsi="Book Antiqua" w:cs="Book Antiqua"/>
          <w:color w:val="000000"/>
        </w:rPr>
        <w:t xml:space="preserve"> admission) could </w:t>
      </w:r>
      <w:r w:rsidRPr="006D1FE9">
        <w:rPr>
          <w:rFonts w:ascii="Book Antiqua" w:eastAsia="Book Antiqua" w:hAnsi="Book Antiqua" w:cs="Book Antiqua"/>
          <w:color w:val="000000"/>
        </w:rPr>
        <w:t xml:space="preserve">be a new inpatient quality metric among patients hospitalized with cirrhosis and ascites </w:t>
      </w:r>
      <w:r w:rsidR="00741C58">
        <w:rPr>
          <w:rFonts w:ascii="Book Antiqua" w:eastAsia="Book Antiqua" w:hAnsi="Book Antiqua" w:cs="Book Antiqua"/>
          <w:color w:val="000000"/>
        </w:rPr>
        <w:t>as</w:t>
      </w:r>
      <w:r w:rsidRPr="006D1FE9">
        <w:rPr>
          <w:rFonts w:ascii="Book Antiqua" w:eastAsia="Book Antiqua" w:hAnsi="Book Antiqua" w:cs="Book Antiqua"/>
          <w:color w:val="000000"/>
        </w:rPr>
        <w:t xml:space="preserve"> it is associated with fewer complications of cirrhosis, lower in-hospital mortality and shorter length of stay. </w:t>
      </w:r>
    </w:p>
    <w:bookmarkEnd w:id="33"/>
    <w:bookmarkEnd w:id="34"/>
    <w:p w14:paraId="189752CB" w14:textId="77777777" w:rsidR="00A77B3E" w:rsidRPr="006D1FE9" w:rsidRDefault="00A77B3E" w:rsidP="006D1FE9">
      <w:pPr>
        <w:adjustRightInd w:val="0"/>
        <w:snapToGrid w:val="0"/>
        <w:spacing w:line="360" w:lineRule="auto"/>
        <w:jc w:val="both"/>
        <w:rPr>
          <w:rFonts w:ascii="Book Antiqua" w:hAnsi="Book Antiqua"/>
        </w:rPr>
      </w:pPr>
    </w:p>
    <w:p w14:paraId="004FFFEE"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aps/>
          <w:color w:val="000000"/>
          <w:u w:val="single"/>
        </w:rPr>
        <w:t>ARTICLE HIGHLIGHTS</w:t>
      </w:r>
    </w:p>
    <w:p w14:paraId="1819FA32"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i/>
          <w:color w:val="000000"/>
        </w:rPr>
        <w:t>Research background</w:t>
      </w:r>
    </w:p>
    <w:p w14:paraId="37A01480" w14:textId="32616E34"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Cirrhosis is a leading cause of death worldwide and ascites is one of the most common complication</w:t>
      </w:r>
      <w:r w:rsidR="00741C58">
        <w:rPr>
          <w:rFonts w:ascii="Book Antiqua" w:eastAsia="Book Antiqua" w:hAnsi="Book Antiqua" w:cs="Book Antiqua"/>
          <w:color w:val="000000"/>
        </w:rPr>
        <w:t>s</w:t>
      </w:r>
      <w:r w:rsidRPr="006D1FE9">
        <w:rPr>
          <w:rFonts w:ascii="Book Antiqua" w:eastAsia="Book Antiqua" w:hAnsi="Book Antiqua" w:cs="Book Antiqua"/>
          <w:color w:val="000000"/>
        </w:rPr>
        <w:t xml:space="preserve"> of cirrhosis.</w:t>
      </w:r>
      <w:r w:rsidR="00916759"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Patients are frequently admitted to hospital, placing significant burden on the healthcare system. </w:t>
      </w:r>
    </w:p>
    <w:p w14:paraId="133F4D86" w14:textId="77777777" w:rsidR="00A77B3E" w:rsidRPr="006D1FE9" w:rsidRDefault="00A77B3E" w:rsidP="006D1FE9">
      <w:pPr>
        <w:adjustRightInd w:val="0"/>
        <w:snapToGrid w:val="0"/>
        <w:spacing w:line="360" w:lineRule="auto"/>
        <w:jc w:val="both"/>
        <w:rPr>
          <w:rFonts w:ascii="Book Antiqua" w:hAnsi="Book Antiqua"/>
        </w:rPr>
      </w:pPr>
    </w:p>
    <w:p w14:paraId="7E8DBD41"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i/>
          <w:color w:val="000000"/>
        </w:rPr>
        <w:t>Research motivation</w:t>
      </w:r>
    </w:p>
    <w:p w14:paraId="1EA273EE"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 xml:space="preserve">Data regarding the optimal time of paracentesis and outcomes among patients with cirrhosis and ascites are scarce in </w:t>
      </w:r>
      <w:r w:rsidR="00741C58">
        <w:rPr>
          <w:rFonts w:ascii="Book Antiqua" w:eastAsia="Book Antiqua" w:hAnsi="Book Antiqua" w:cs="Book Antiqua"/>
          <w:color w:val="000000"/>
        </w:rPr>
        <w:t xml:space="preserve">the </w:t>
      </w:r>
      <w:r w:rsidRPr="006D1FE9">
        <w:rPr>
          <w:rFonts w:ascii="Book Antiqua" w:eastAsia="Book Antiqua" w:hAnsi="Book Antiqua" w:cs="Book Antiqua"/>
          <w:color w:val="000000"/>
        </w:rPr>
        <w:t>literature.</w:t>
      </w:r>
    </w:p>
    <w:p w14:paraId="59463B1D" w14:textId="77777777" w:rsidR="00A77B3E" w:rsidRPr="006D1FE9" w:rsidRDefault="00A77B3E" w:rsidP="006D1FE9">
      <w:pPr>
        <w:adjustRightInd w:val="0"/>
        <w:snapToGrid w:val="0"/>
        <w:spacing w:line="360" w:lineRule="auto"/>
        <w:jc w:val="both"/>
        <w:rPr>
          <w:rFonts w:ascii="Book Antiqua" w:hAnsi="Book Antiqua"/>
        </w:rPr>
      </w:pPr>
    </w:p>
    <w:p w14:paraId="7656B693"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i/>
          <w:color w:val="000000"/>
        </w:rPr>
        <w:t>Research objectives</w:t>
      </w:r>
    </w:p>
    <w:p w14:paraId="77A72CF2" w14:textId="4CF3B958"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The aim of th</w:t>
      </w:r>
      <w:r w:rsidR="00741C58">
        <w:rPr>
          <w:rFonts w:ascii="Book Antiqua" w:eastAsia="Book Antiqua" w:hAnsi="Book Antiqua" w:cs="Book Antiqua"/>
          <w:color w:val="000000"/>
        </w:rPr>
        <w:t>is</w:t>
      </w:r>
      <w:r w:rsidRPr="006D1FE9">
        <w:rPr>
          <w:rFonts w:ascii="Book Antiqua" w:eastAsia="Book Antiqua" w:hAnsi="Book Antiqua" w:cs="Book Antiqua"/>
          <w:color w:val="000000"/>
        </w:rPr>
        <w:t xml:space="preserve"> study was to assess the outcomes of patients with cirrhosis and ascites who underwent paracentesis within 12 h </w:t>
      </w:r>
      <w:r w:rsidR="00741C58">
        <w:rPr>
          <w:rFonts w:ascii="Book Antiqua" w:eastAsia="Book Antiqua" w:hAnsi="Book Antiqua" w:cs="Book Antiqua"/>
          <w:color w:val="000000"/>
        </w:rPr>
        <w:t>after</w:t>
      </w:r>
      <w:r w:rsidRPr="006D1FE9">
        <w:rPr>
          <w:rFonts w:ascii="Book Antiqua" w:eastAsia="Book Antiqua" w:hAnsi="Book Antiqua" w:cs="Book Antiqua"/>
          <w:color w:val="000000"/>
        </w:rPr>
        <w:t xml:space="preserve"> admission compared to patients who underwent paracentesis later than 12</w:t>
      </w:r>
      <w:r w:rsidR="00076076"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h. </w:t>
      </w:r>
    </w:p>
    <w:p w14:paraId="63743061" w14:textId="77777777" w:rsidR="00A77B3E" w:rsidRPr="006D1FE9" w:rsidRDefault="00A77B3E" w:rsidP="006D1FE9">
      <w:pPr>
        <w:adjustRightInd w:val="0"/>
        <w:snapToGrid w:val="0"/>
        <w:spacing w:line="360" w:lineRule="auto"/>
        <w:ind w:firstLine="720"/>
        <w:jc w:val="both"/>
        <w:rPr>
          <w:rFonts w:ascii="Book Antiqua" w:hAnsi="Book Antiqua"/>
        </w:rPr>
      </w:pPr>
    </w:p>
    <w:p w14:paraId="7B70EBCD"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i/>
          <w:color w:val="000000"/>
        </w:rPr>
        <w:t>Research methods</w:t>
      </w:r>
    </w:p>
    <w:p w14:paraId="36130D43" w14:textId="120299E5"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lastRenderedPageBreak/>
        <w:t xml:space="preserve">This </w:t>
      </w:r>
      <w:r w:rsidR="00741C58">
        <w:rPr>
          <w:rFonts w:ascii="Book Antiqua" w:eastAsia="Book Antiqua" w:hAnsi="Book Antiqua" w:cs="Book Antiqua"/>
          <w:color w:val="000000"/>
        </w:rPr>
        <w:t>was</w:t>
      </w:r>
      <w:r w:rsidRPr="006D1FE9">
        <w:rPr>
          <w:rFonts w:ascii="Book Antiqua" w:eastAsia="Book Antiqua" w:hAnsi="Book Antiqua" w:cs="Book Antiqua"/>
          <w:color w:val="000000"/>
        </w:rPr>
        <w:t xml:space="preserve"> a retrospective study of 185 patients with cirrhosis and ascites who underwent paracentesis. </w:t>
      </w:r>
      <w:r w:rsidR="00741C58">
        <w:rPr>
          <w:rFonts w:ascii="Book Antiqua" w:eastAsia="Book Antiqua" w:hAnsi="Book Antiqua" w:cs="Book Antiqua"/>
          <w:color w:val="000000"/>
        </w:rPr>
        <w:t>The e</w:t>
      </w:r>
      <w:r w:rsidRPr="006D1FE9">
        <w:rPr>
          <w:rFonts w:ascii="Book Antiqua" w:eastAsia="Book Antiqua" w:hAnsi="Book Antiqua" w:cs="Book Antiqua"/>
          <w:color w:val="000000"/>
        </w:rPr>
        <w:t>arly paracentesis group was defined as paracentesis performed &lt; 12</w:t>
      </w:r>
      <w:r w:rsidR="00076076"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h </w:t>
      </w:r>
      <w:r w:rsidR="00741C58">
        <w:rPr>
          <w:rFonts w:ascii="Book Antiqua" w:eastAsia="Book Antiqua" w:hAnsi="Book Antiqua" w:cs="Book Antiqua"/>
          <w:color w:val="000000"/>
        </w:rPr>
        <w:t>after</w:t>
      </w:r>
      <w:r w:rsidRPr="006D1FE9">
        <w:rPr>
          <w:rFonts w:ascii="Book Antiqua" w:eastAsia="Book Antiqua" w:hAnsi="Book Antiqua" w:cs="Book Antiqua"/>
          <w:color w:val="000000"/>
        </w:rPr>
        <w:t xml:space="preserve"> admission (65 patients) and </w:t>
      </w:r>
      <w:r w:rsidR="00741C58">
        <w:rPr>
          <w:rFonts w:ascii="Book Antiqua" w:eastAsia="Book Antiqua" w:hAnsi="Book Antiqua" w:cs="Book Antiqua"/>
          <w:color w:val="000000"/>
        </w:rPr>
        <w:t xml:space="preserve">the </w:t>
      </w:r>
      <w:r w:rsidRPr="006D1FE9">
        <w:rPr>
          <w:rFonts w:ascii="Book Antiqua" w:eastAsia="Book Antiqua" w:hAnsi="Book Antiqua" w:cs="Book Antiqua"/>
          <w:color w:val="000000"/>
        </w:rPr>
        <w:t xml:space="preserve">delayed paracentesis group </w:t>
      </w:r>
      <w:r w:rsidR="00741C58">
        <w:rPr>
          <w:rFonts w:ascii="Book Antiqua" w:eastAsia="Book Antiqua" w:hAnsi="Book Antiqua" w:cs="Book Antiqua"/>
          <w:color w:val="000000"/>
        </w:rPr>
        <w:t xml:space="preserve">was defined </w:t>
      </w:r>
      <w:r w:rsidRPr="006D1FE9">
        <w:rPr>
          <w:rFonts w:ascii="Book Antiqua" w:eastAsia="Book Antiqua" w:hAnsi="Book Antiqua" w:cs="Book Antiqua"/>
          <w:color w:val="000000"/>
        </w:rPr>
        <w:t>as paracentesis performed &gt; 12</w:t>
      </w:r>
      <w:r w:rsidR="00076076"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h </w:t>
      </w:r>
      <w:r w:rsidR="00741C58">
        <w:rPr>
          <w:rFonts w:ascii="Book Antiqua" w:eastAsia="Book Antiqua" w:hAnsi="Book Antiqua" w:cs="Book Antiqua"/>
          <w:color w:val="000000"/>
        </w:rPr>
        <w:t>after</w:t>
      </w:r>
      <w:r w:rsidRPr="006D1FE9">
        <w:rPr>
          <w:rFonts w:ascii="Book Antiqua" w:eastAsia="Book Antiqua" w:hAnsi="Book Antiqua" w:cs="Book Antiqua"/>
          <w:color w:val="000000"/>
        </w:rPr>
        <w:t xml:space="preserve"> admission (120 patients). Complications of cirrhosis occurr</w:t>
      </w:r>
      <w:r w:rsidR="00741C58">
        <w:rPr>
          <w:rFonts w:ascii="Book Antiqua" w:eastAsia="Book Antiqua" w:hAnsi="Book Antiqua" w:cs="Book Antiqua"/>
          <w:color w:val="000000"/>
        </w:rPr>
        <w:t>ing</w:t>
      </w:r>
      <w:r w:rsidRPr="006D1FE9">
        <w:rPr>
          <w:rFonts w:ascii="Book Antiqua" w:eastAsia="Book Antiqua" w:hAnsi="Book Antiqua" w:cs="Book Antiqua"/>
          <w:color w:val="000000"/>
        </w:rPr>
        <w:t xml:space="preserve"> during hospitalization were assessed and compared between </w:t>
      </w:r>
      <w:r w:rsidR="00741C58">
        <w:rPr>
          <w:rFonts w:ascii="Book Antiqua" w:eastAsia="Book Antiqua" w:hAnsi="Book Antiqua" w:cs="Book Antiqua"/>
          <w:color w:val="000000"/>
        </w:rPr>
        <w:t xml:space="preserve">the </w:t>
      </w:r>
      <w:r w:rsidRPr="006D1FE9">
        <w:rPr>
          <w:rFonts w:ascii="Book Antiqua" w:eastAsia="Book Antiqua" w:hAnsi="Book Antiqua" w:cs="Book Antiqua"/>
          <w:color w:val="000000"/>
        </w:rPr>
        <w:t>groups.</w:t>
      </w:r>
    </w:p>
    <w:p w14:paraId="13F08B80" w14:textId="77777777" w:rsidR="00A77B3E" w:rsidRPr="006D1FE9" w:rsidRDefault="00A77B3E" w:rsidP="006D1FE9">
      <w:pPr>
        <w:adjustRightInd w:val="0"/>
        <w:snapToGrid w:val="0"/>
        <w:spacing w:line="360" w:lineRule="auto"/>
        <w:jc w:val="both"/>
        <w:rPr>
          <w:rFonts w:ascii="Book Antiqua" w:hAnsi="Book Antiqua"/>
        </w:rPr>
      </w:pPr>
    </w:p>
    <w:p w14:paraId="0E245DE8"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i/>
          <w:color w:val="000000"/>
        </w:rPr>
        <w:t>Research results</w:t>
      </w:r>
    </w:p>
    <w:p w14:paraId="24334DCC" w14:textId="2EBD652B"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 xml:space="preserve">Significantly more patients in the delayed paracentesis group than in the early paracentesis group developed hepatic encephalopathy, hepato-renal syndrome and infections during hospitalization. There were no statistically significant differences </w:t>
      </w:r>
      <w:r w:rsidR="00741C58">
        <w:rPr>
          <w:rFonts w:ascii="Book Antiqua" w:eastAsia="Book Antiqua" w:hAnsi="Book Antiqua" w:cs="Book Antiqua"/>
          <w:color w:val="000000"/>
        </w:rPr>
        <w:t>in</w:t>
      </w:r>
      <w:r w:rsidRPr="006D1FE9">
        <w:rPr>
          <w:rFonts w:ascii="Book Antiqua" w:eastAsia="Book Antiqua" w:hAnsi="Book Antiqua" w:cs="Book Antiqua"/>
          <w:color w:val="000000"/>
        </w:rPr>
        <w:t xml:space="preserve"> the occurrence of spontaneous bacterial peritonitis and upper gastrointestinal bleeding </w:t>
      </w:r>
      <w:r w:rsidR="00741C58">
        <w:rPr>
          <w:rFonts w:ascii="Book Antiqua" w:eastAsia="Book Antiqua" w:hAnsi="Book Antiqua" w:cs="Book Antiqua"/>
          <w:color w:val="000000"/>
        </w:rPr>
        <w:t>between</w:t>
      </w:r>
      <w:r w:rsidRPr="006D1FE9">
        <w:rPr>
          <w:rFonts w:ascii="Book Antiqua" w:eastAsia="Book Antiqua" w:hAnsi="Book Antiqua" w:cs="Book Antiqua"/>
          <w:color w:val="000000"/>
        </w:rPr>
        <w:t xml:space="preserve"> the two groups. Length of stay was shorter and in-hospital mortality was lower in the early paracentesis group. Patients from the delayed paracentesis group had </w:t>
      </w:r>
      <w:r w:rsidR="00741C58">
        <w:rPr>
          <w:rFonts w:ascii="Book Antiqua" w:eastAsia="Book Antiqua" w:hAnsi="Book Antiqua" w:cs="Book Antiqua"/>
          <w:color w:val="000000"/>
        </w:rPr>
        <w:t xml:space="preserve">a </w:t>
      </w:r>
      <w:r w:rsidRPr="006D1FE9">
        <w:rPr>
          <w:rFonts w:ascii="Book Antiqua" w:eastAsia="Book Antiqua" w:hAnsi="Book Antiqua" w:cs="Book Antiqua"/>
          <w:color w:val="000000"/>
        </w:rPr>
        <w:t xml:space="preserve">higher risk of developing complications during hospitalization. </w:t>
      </w:r>
    </w:p>
    <w:p w14:paraId="5F3C4DA5" w14:textId="77777777" w:rsidR="00A77B3E" w:rsidRPr="006D1FE9" w:rsidRDefault="00A77B3E" w:rsidP="006D1FE9">
      <w:pPr>
        <w:adjustRightInd w:val="0"/>
        <w:snapToGrid w:val="0"/>
        <w:spacing w:line="360" w:lineRule="auto"/>
        <w:jc w:val="both"/>
        <w:rPr>
          <w:rFonts w:ascii="Book Antiqua" w:hAnsi="Book Antiqua"/>
        </w:rPr>
      </w:pPr>
    </w:p>
    <w:p w14:paraId="277B982C"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i/>
          <w:color w:val="000000"/>
        </w:rPr>
        <w:t>Research conclusions</w:t>
      </w:r>
    </w:p>
    <w:p w14:paraId="4B8992AC" w14:textId="2FDE48A9"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Early paracentesis (wi</w:t>
      </w:r>
      <w:r w:rsidR="00916759" w:rsidRPr="006D1FE9">
        <w:rPr>
          <w:rFonts w:ascii="Book Antiqua" w:eastAsia="Book Antiqua" w:hAnsi="Book Antiqua" w:cs="Book Antiqua"/>
          <w:color w:val="000000"/>
        </w:rPr>
        <w:t xml:space="preserve">thin 12 h </w:t>
      </w:r>
      <w:r w:rsidR="00741C58">
        <w:rPr>
          <w:rFonts w:ascii="Book Antiqua" w:eastAsia="Book Antiqua" w:hAnsi="Book Antiqua" w:cs="Book Antiqua"/>
          <w:color w:val="000000"/>
        </w:rPr>
        <w:t>after</w:t>
      </w:r>
      <w:r w:rsidR="00916759" w:rsidRPr="006D1FE9">
        <w:rPr>
          <w:rFonts w:ascii="Book Antiqua" w:eastAsia="Book Antiqua" w:hAnsi="Book Antiqua" w:cs="Book Antiqua"/>
          <w:color w:val="000000"/>
        </w:rPr>
        <w:t xml:space="preserve"> admission) </w:t>
      </w:r>
      <w:r w:rsidRPr="006D1FE9">
        <w:rPr>
          <w:rFonts w:ascii="Book Antiqua" w:eastAsia="Book Antiqua" w:hAnsi="Book Antiqua" w:cs="Book Antiqua"/>
          <w:color w:val="000000"/>
        </w:rPr>
        <w:t xml:space="preserve">is associated with fewer complications of cirrhosis, lower in-hospital mortality and shorter length of stay. </w:t>
      </w:r>
    </w:p>
    <w:p w14:paraId="77CC9D48" w14:textId="77777777" w:rsidR="00A77B3E" w:rsidRPr="006D1FE9" w:rsidRDefault="00A77B3E" w:rsidP="006D1FE9">
      <w:pPr>
        <w:adjustRightInd w:val="0"/>
        <w:snapToGrid w:val="0"/>
        <w:spacing w:line="360" w:lineRule="auto"/>
        <w:jc w:val="both"/>
        <w:rPr>
          <w:rFonts w:ascii="Book Antiqua" w:hAnsi="Book Antiqua"/>
        </w:rPr>
      </w:pPr>
    </w:p>
    <w:p w14:paraId="7FBADA53"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i/>
          <w:color w:val="000000"/>
        </w:rPr>
        <w:t>Research perspectives</w:t>
      </w:r>
    </w:p>
    <w:p w14:paraId="3E569611" w14:textId="7D964C3D" w:rsidR="00A77B3E" w:rsidRPr="006D1FE9" w:rsidRDefault="00916759"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Early paracentesis could </w:t>
      </w:r>
      <w:r w:rsidR="009E6927" w:rsidRPr="006D1FE9">
        <w:rPr>
          <w:rFonts w:ascii="Book Antiqua" w:eastAsia="Book Antiqua" w:hAnsi="Book Antiqua" w:cs="Book Antiqua"/>
          <w:color w:val="000000"/>
        </w:rPr>
        <w:t xml:space="preserve">be a new inpatient quality metric among patients hospitalized with cirrhosis and ascites and deserves to be </w:t>
      </w:r>
      <w:r w:rsidR="00970F7A">
        <w:rPr>
          <w:rFonts w:ascii="Book Antiqua" w:eastAsia="Book Antiqua" w:hAnsi="Book Antiqua" w:cs="Book Antiqua"/>
          <w:color w:val="000000"/>
        </w:rPr>
        <w:t xml:space="preserve">investigated </w:t>
      </w:r>
      <w:r w:rsidR="009E6927" w:rsidRPr="006D1FE9">
        <w:rPr>
          <w:rFonts w:ascii="Book Antiqua" w:eastAsia="Book Antiqua" w:hAnsi="Book Antiqua" w:cs="Book Antiqua"/>
          <w:color w:val="000000"/>
        </w:rPr>
        <w:t>further in larger studies.</w:t>
      </w:r>
    </w:p>
    <w:p w14:paraId="1AC7E404" w14:textId="77777777" w:rsidR="00A77B3E" w:rsidRPr="006D1FE9" w:rsidRDefault="00A77B3E" w:rsidP="006D1FE9">
      <w:pPr>
        <w:adjustRightInd w:val="0"/>
        <w:snapToGrid w:val="0"/>
        <w:spacing w:line="360" w:lineRule="auto"/>
        <w:jc w:val="both"/>
        <w:rPr>
          <w:rFonts w:ascii="Book Antiqua" w:hAnsi="Book Antiqua"/>
        </w:rPr>
      </w:pPr>
    </w:p>
    <w:p w14:paraId="01833F21"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t>REFERENCES</w:t>
      </w:r>
    </w:p>
    <w:p w14:paraId="23198804"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bookmarkStart w:id="35" w:name="OLE_LINK1"/>
      <w:bookmarkStart w:id="36" w:name="OLE_LINK2"/>
      <w:r w:rsidRPr="006D1FE9">
        <w:rPr>
          <w:rFonts w:ascii="Book Antiqua" w:eastAsia="Book Antiqua" w:hAnsi="Book Antiqua" w:cs="Book Antiqua"/>
          <w:color w:val="000000"/>
        </w:rPr>
        <w:t xml:space="preserve">1 </w:t>
      </w:r>
      <w:proofErr w:type="spellStart"/>
      <w:r w:rsidRPr="006D1FE9">
        <w:rPr>
          <w:rFonts w:ascii="Book Antiqua" w:eastAsia="Book Antiqua" w:hAnsi="Book Antiqua" w:cs="Book Antiqua"/>
          <w:b/>
          <w:bCs/>
          <w:color w:val="000000"/>
        </w:rPr>
        <w:t>Mokdad</w:t>
      </w:r>
      <w:proofErr w:type="spellEnd"/>
      <w:r w:rsidRPr="006D1FE9">
        <w:rPr>
          <w:rFonts w:ascii="Book Antiqua" w:eastAsia="Book Antiqua" w:hAnsi="Book Antiqua" w:cs="Book Antiqua"/>
          <w:b/>
          <w:bCs/>
          <w:color w:val="000000"/>
        </w:rPr>
        <w:t xml:space="preserve"> AA</w:t>
      </w:r>
      <w:r w:rsidRPr="006D1FE9">
        <w:rPr>
          <w:rFonts w:ascii="Book Antiqua" w:eastAsia="Book Antiqua" w:hAnsi="Book Antiqua" w:cs="Book Antiqua"/>
          <w:color w:val="000000"/>
        </w:rPr>
        <w:t xml:space="preserve">, Lopez AD, </w:t>
      </w:r>
      <w:proofErr w:type="spellStart"/>
      <w:r w:rsidRPr="006D1FE9">
        <w:rPr>
          <w:rFonts w:ascii="Book Antiqua" w:eastAsia="Book Antiqua" w:hAnsi="Book Antiqua" w:cs="Book Antiqua"/>
          <w:color w:val="000000"/>
        </w:rPr>
        <w:t>Shahraz</w:t>
      </w:r>
      <w:proofErr w:type="spellEnd"/>
      <w:r w:rsidRPr="006D1FE9">
        <w:rPr>
          <w:rFonts w:ascii="Book Antiqua" w:eastAsia="Book Antiqua" w:hAnsi="Book Antiqua" w:cs="Book Antiqua"/>
          <w:color w:val="000000"/>
        </w:rPr>
        <w:t xml:space="preserve"> S, Lozano R, </w:t>
      </w:r>
      <w:proofErr w:type="spellStart"/>
      <w:r w:rsidRPr="006D1FE9">
        <w:rPr>
          <w:rFonts w:ascii="Book Antiqua" w:eastAsia="Book Antiqua" w:hAnsi="Book Antiqua" w:cs="Book Antiqua"/>
          <w:color w:val="000000"/>
        </w:rPr>
        <w:t>Mokdad</w:t>
      </w:r>
      <w:proofErr w:type="spellEnd"/>
      <w:r w:rsidRPr="006D1FE9">
        <w:rPr>
          <w:rFonts w:ascii="Book Antiqua" w:eastAsia="Book Antiqua" w:hAnsi="Book Antiqua" w:cs="Book Antiqua"/>
          <w:color w:val="000000"/>
        </w:rPr>
        <w:t xml:space="preserve"> AH, </w:t>
      </w:r>
      <w:proofErr w:type="spellStart"/>
      <w:r w:rsidRPr="006D1FE9">
        <w:rPr>
          <w:rFonts w:ascii="Book Antiqua" w:eastAsia="Book Antiqua" w:hAnsi="Book Antiqua" w:cs="Book Antiqua"/>
          <w:color w:val="000000"/>
        </w:rPr>
        <w:t>Stanaway</w:t>
      </w:r>
      <w:proofErr w:type="spellEnd"/>
      <w:r w:rsidRPr="006D1FE9">
        <w:rPr>
          <w:rFonts w:ascii="Book Antiqua" w:eastAsia="Book Antiqua" w:hAnsi="Book Antiqua" w:cs="Book Antiqua"/>
          <w:color w:val="000000"/>
        </w:rPr>
        <w:t xml:space="preserve"> J, Murray CJ, </w:t>
      </w:r>
      <w:proofErr w:type="spellStart"/>
      <w:r w:rsidRPr="006D1FE9">
        <w:rPr>
          <w:rFonts w:ascii="Book Antiqua" w:eastAsia="Book Antiqua" w:hAnsi="Book Antiqua" w:cs="Book Antiqua"/>
          <w:color w:val="000000"/>
        </w:rPr>
        <w:t>Naghavi</w:t>
      </w:r>
      <w:proofErr w:type="spellEnd"/>
      <w:r w:rsidRPr="006D1FE9">
        <w:rPr>
          <w:rFonts w:ascii="Book Antiqua" w:eastAsia="Book Antiqua" w:hAnsi="Book Antiqua" w:cs="Book Antiqua"/>
          <w:color w:val="000000"/>
        </w:rPr>
        <w:t xml:space="preserve"> M. Liver cirrhosis mortality in 187 countries between 1980 </w:t>
      </w:r>
      <w:r w:rsidRPr="006D1FE9">
        <w:rPr>
          <w:rFonts w:ascii="Book Antiqua" w:eastAsia="Book Antiqua" w:hAnsi="Book Antiqua" w:cs="Book Antiqua"/>
          <w:color w:val="000000"/>
        </w:rPr>
        <w:lastRenderedPageBreak/>
        <w:t xml:space="preserve">and 2010: a systematic analysis. </w:t>
      </w:r>
      <w:r w:rsidRPr="006D1FE9">
        <w:rPr>
          <w:rFonts w:ascii="Book Antiqua" w:eastAsia="Book Antiqua" w:hAnsi="Book Antiqua" w:cs="Book Antiqua"/>
          <w:i/>
          <w:iCs/>
          <w:color w:val="000000"/>
        </w:rPr>
        <w:t>BMC Med</w:t>
      </w:r>
      <w:r w:rsidRPr="006D1FE9">
        <w:rPr>
          <w:rFonts w:ascii="Book Antiqua" w:eastAsia="Book Antiqua" w:hAnsi="Book Antiqua" w:cs="Book Antiqua"/>
          <w:color w:val="000000"/>
        </w:rPr>
        <w:t xml:space="preserve"> 2014; </w:t>
      </w:r>
      <w:r w:rsidRPr="006D1FE9">
        <w:rPr>
          <w:rFonts w:ascii="Book Antiqua" w:eastAsia="Book Antiqua" w:hAnsi="Book Antiqua" w:cs="Book Antiqua"/>
          <w:b/>
          <w:bCs/>
          <w:color w:val="000000"/>
        </w:rPr>
        <w:t>12</w:t>
      </w:r>
      <w:r w:rsidRPr="006D1FE9">
        <w:rPr>
          <w:rFonts w:ascii="Book Antiqua" w:eastAsia="Book Antiqua" w:hAnsi="Book Antiqua" w:cs="Book Antiqua"/>
          <w:color w:val="000000"/>
        </w:rPr>
        <w:t>: 145 [PMID: 25242656 DOI: 10.1186/s12916-014-0145-y]</w:t>
      </w:r>
    </w:p>
    <w:p w14:paraId="2583CFAE"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2 </w:t>
      </w:r>
      <w:r w:rsidRPr="006D1FE9">
        <w:rPr>
          <w:rFonts w:ascii="Book Antiqua" w:eastAsia="Book Antiqua" w:hAnsi="Book Antiqua" w:cs="Book Antiqua"/>
          <w:b/>
          <w:bCs/>
          <w:color w:val="000000"/>
        </w:rPr>
        <w:t>Runyon BA</w:t>
      </w:r>
      <w:r w:rsidRPr="006D1FE9">
        <w:rPr>
          <w:rFonts w:ascii="Book Antiqua" w:eastAsia="Book Antiqua" w:hAnsi="Book Antiqua" w:cs="Book Antiqua"/>
          <w:color w:val="000000"/>
        </w:rPr>
        <w:t xml:space="preserve">; AASLD. Introduction to the revised American Association for the Study of Liver Diseases Practice Guideline management of adult patients with ascites due to cirrhosis 2012. </w:t>
      </w:r>
      <w:r w:rsidRPr="006D1FE9">
        <w:rPr>
          <w:rFonts w:ascii="Book Antiqua" w:eastAsia="Book Antiqua" w:hAnsi="Book Antiqua" w:cs="Book Antiqua"/>
          <w:i/>
          <w:iCs/>
          <w:color w:val="000000"/>
        </w:rPr>
        <w:t>Hepatology</w:t>
      </w:r>
      <w:r w:rsidRPr="006D1FE9">
        <w:rPr>
          <w:rFonts w:ascii="Book Antiqua" w:eastAsia="Book Antiqua" w:hAnsi="Book Antiqua" w:cs="Book Antiqua"/>
          <w:color w:val="000000"/>
        </w:rPr>
        <w:t xml:space="preserve"> 2013; </w:t>
      </w:r>
      <w:r w:rsidRPr="006D1FE9">
        <w:rPr>
          <w:rFonts w:ascii="Book Antiqua" w:eastAsia="Book Antiqua" w:hAnsi="Book Antiqua" w:cs="Book Antiqua"/>
          <w:b/>
          <w:bCs/>
          <w:color w:val="000000"/>
        </w:rPr>
        <w:t>57</w:t>
      </w:r>
      <w:r w:rsidRPr="006D1FE9">
        <w:rPr>
          <w:rFonts w:ascii="Book Antiqua" w:eastAsia="Book Antiqua" w:hAnsi="Book Antiqua" w:cs="Book Antiqua"/>
          <w:color w:val="000000"/>
        </w:rPr>
        <w:t>: 1651-1653 [PMID: 23463403 DOI: 10.1002/hep.26359]</w:t>
      </w:r>
    </w:p>
    <w:p w14:paraId="4CC31D77"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3 </w:t>
      </w:r>
      <w:r w:rsidRPr="006D1FE9">
        <w:rPr>
          <w:rFonts w:ascii="Book Antiqua" w:eastAsia="Book Antiqua" w:hAnsi="Book Antiqua" w:cs="Book Antiqua"/>
          <w:b/>
          <w:bCs/>
          <w:color w:val="000000"/>
        </w:rPr>
        <w:t>European Association for the Study of the Liver</w:t>
      </w:r>
      <w:r w:rsidRPr="006F5EB3">
        <w:rPr>
          <w:rFonts w:ascii="Book Antiqua" w:eastAsia="Book Antiqua" w:hAnsi="Book Antiqua" w:cs="Book Antiqua"/>
          <w:bCs/>
          <w:color w:val="000000"/>
        </w:rPr>
        <w:t>.</w:t>
      </w:r>
      <w:r w:rsidRPr="006D1FE9">
        <w:rPr>
          <w:rFonts w:ascii="Book Antiqua" w:eastAsia="Book Antiqua" w:hAnsi="Book Antiqua" w:cs="Book Antiqua"/>
          <w:color w:val="000000"/>
        </w:rPr>
        <w:t xml:space="preserve"> EASL clinical practice guidelines on the management of ascites, spontaneous bacterial peritonitis, and hepatorenal syndrome in cirrhosis. </w:t>
      </w:r>
      <w:r w:rsidRPr="006D1FE9">
        <w:rPr>
          <w:rFonts w:ascii="Book Antiqua" w:eastAsia="Book Antiqua" w:hAnsi="Book Antiqua" w:cs="Book Antiqua"/>
          <w:i/>
          <w:iCs/>
          <w:color w:val="000000"/>
        </w:rPr>
        <w:t>J Hepatol</w:t>
      </w:r>
      <w:r w:rsidRPr="006D1FE9">
        <w:rPr>
          <w:rFonts w:ascii="Book Antiqua" w:eastAsia="Book Antiqua" w:hAnsi="Book Antiqua" w:cs="Book Antiqua"/>
          <w:color w:val="000000"/>
        </w:rPr>
        <w:t xml:space="preserve"> 2010; </w:t>
      </w:r>
      <w:r w:rsidRPr="006D1FE9">
        <w:rPr>
          <w:rFonts w:ascii="Book Antiqua" w:eastAsia="Book Antiqua" w:hAnsi="Book Antiqua" w:cs="Book Antiqua"/>
          <w:b/>
          <w:bCs/>
          <w:color w:val="000000"/>
        </w:rPr>
        <w:t>53</w:t>
      </w:r>
      <w:r w:rsidRPr="006D1FE9">
        <w:rPr>
          <w:rFonts w:ascii="Book Antiqua" w:eastAsia="Book Antiqua" w:hAnsi="Book Antiqua" w:cs="Book Antiqua"/>
          <w:color w:val="000000"/>
        </w:rPr>
        <w:t>: 397-417 [PMID: 20633946 DOI: 10.1016/j.jhep.2010.05.004]</w:t>
      </w:r>
    </w:p>
    <w:p w14:paraId="744E38DA"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4 </w:t>
      </w:r>
      <w:r w:rsidRPr="006D1FE9">
        <w:rPr>
          <w:rFonts w:ascii="Book Antiqua" w:eastAsia="Book Antiqua" w:hAnsi="Book Antiqua" w:cs="Book Antiqua"/>
          <w:b/>
          <w:bCs/>
          <w:color w:val="000000"/>
        </w:rPr>
        <w:t>European Association for the Study of the Liver</w:t>
      </w:r>
      <w:r w:rsidRPr="006D1FE9">
        <w:rPr>
          <w:rFonts w:ascii="Book Antiqua" w:eastAsia="Book Antiqua" w:hAnsi="Book Antiqua" w:cs="Book Antiqua"/>
          <w:color w:val="000000"/>
        </w:rPr>
        <w:t xml:space="preserve">. EASL Clinical Practice Guidelines for the management of patients with decompensated cirrhosis. </w:t>
      </w:r>
      <w:r w:rsidRPr="006D1FE9">
        <w:rPr>
          <w:rFonts w:ascii="Book Antiqua" w:eastAsia="Book Antiqua" w:hAnsi="Book Antiqua" w:cs="Book Antiqua"/>
          <w:i/>
          <w:iCs/>
          <w:color w:val="000000"/>
        </w:rPr>
        <w:t>J Hepatol</w:t>
      </w:r>
      <w:r w:rsidRPr="006D1FE9">
        <w:rPr>
          <w:rFonts w:ascii="Book Antiqua" w:eastAsia="Book Antiqua" w:hAnsi="Book Antiqua" w:cs="Book Antiqua"/>
          <w:color w:val="000000"/>
        </w:rPr>
        <w:t xml:space="preserve"> 2018; </w:t>
      </w:r>
      <w:r w:rsidRPr="006D1FE9">
        <w:rPr>
          <w:rFonts w:ascii="Book Antiqua" w:eastAsia="Book Antiqua" w:hAnsi="Book Antiqua" w:cs="Book Antiqua"/>
          <w:b/>
          <w:bCs/>
          <w:color w:val="000000"/>
        </w:rPr>
        <w:t>69</w:t>
      </w:r>
      <w:r w:rsidRPr="006D1FE9">
        <w:rPr>
          <w:rFonts w:ascii="Book Antiqua" w:eastAsia="Book Antiqua" w:hAnsi="Book Antiqua" w:cs="Book Antiqua"/>
          <w:color w:val="000000"/>
        </w:rPr>
        <w:t>: 406-460 [PMID: 29653741 DOI: 10.1016/j.jhep.2018.03.024]</w:t>
      </w:r>
    </w:p>
    <w:p w14:paraId="77E80AD0"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5 </w:t>
      </w:r>
      <w:r w:rsidRPr="006D1FE9">
        <w:rPr>
          <w:rFonts w:ascii="Book Antiqua" w:eastAsia="Book Antiqua" w:hAnsi="Book Antiqua" w:cs="Book Antiqua"/>
          <w:b/>
          <w:bCs/>
          <w:color w:val="000000"/>
        </w:rPr>
        <w:t>Tandon P</w:t>
      </w:r>
      <w:r w:rsidRPr="006D1FE9">
        <w:rPr>
          <w:rFonts w:ascii="Book Antiqua" w:eastAsia="Book Antiqua" w:hAnsi="Book Antiqua" w:cs="Book Antiqua"/>
          <w:color w:val="000000"/>
        </w:rPr>
        <w:t xml:space="preserve">, Kumar D, </w:t>
      </w:r>
      <w:proofErr w:type="spellStart"/>
      <w:r w:rsidRPr="006D1FE9">
        <w:rPr>
          <w:rFonts w:ascii="Book Antiqua" w:eastAsia="Book Antiqua" w:hAnsi="Book Antiqua" w:cs="Book Antiqua"/>
          <w:color w:val="000000"/>
        </w:rPr>
        <w:t>Seo</w:t>
      </w:r>
      <w:proofErr w:type="spellEnd"/>
      <w:r w:rsidRPr="006D1FE9">
        <w:rPr>
          <w:rFonts w:ascii="Book Antiqua" w:eastAsia="Book Antiqua" w:hAnsi="Book Antiqua" w:cs="Book Antiqua"/>
          <w:color w:val="000000"/>
        </w:rPr>
        <w:t xml:space="preserve"> YS, Chang HJ, </w:t>
      </w:r>
      <w:proofErr w:type="spellStart"/>
      <w:r w:rsidRPr="006D1FE9">
        <w:rPr>
          <w:rFonts w:ascii="Book Antiqua" w:eastAsia="Book Antiqua" w:hAnsi="Book Antiqua" w:cs="Book Antiqua"/>
          <w:color w:val="000000"/>
        </w:rPr>
        <w:t>Chaulk</w:t>
      </w:r>
      <w:proofErr w:type="spellEnd"/>
      <w:r w:rsidRPr="006D1FE9">
        <w:rPr>
          <w:rFonts w:ascii="Book Antiqua" w:eastAsia="Book Antiqua" w:hAnsi="Book Antiqua" w:cs="Book Antiqua"/>
          <w:color w:val="000000"/>
        </w:rPr>
        <w:t xml:space="preserve"> J, </w:t>
      </w:r>
      <w:proofErr w:type="spellStart"/>
      <w:r w:rsidRPr="006D1FE9">
        <w:rPr>
          <w:rFonts w:ascii="Book Antiqua" w:eastAsia="Book Antiqua" w:hAnsi="Book Antiqua" w:cs="Book Antiqua"/>
          <w:color w:val="000000"/>
        </w:rPr>
        <w:t>Carbonneau</w:t>
      </w:r>
      <w:proofErr w:type="spellEnd"/>
      <w:r w:rsidRPr="006D1FE9">
        <w:rPr>
          <w:rFonts w:ascii="Book Antiqua" w:eastAsia="Book Antiqua" w:hAnsi="Book Antiqua" w:cs="Book Antiqua"/>
          <w:color w:val="000000"/>
        </w:rPr>
        <w:t xml:space="preserve"> M, Qamar H, Keough A, Mansoor N, Ma M. The 22/11 risk prediction model: a validated model for predicting 30-day mortality in patients with cirrhosis and spontaneous bacterial peritonitis. </w:t>
      </w:r>
      <w:r w:rsidRPr="006D1FE9">
        <w:rPr>
          <w:rFonts w:ascii="Book Antiqua" w:eastAsia="Book Antiqua" w:hAnsi="Book Antiqua" w:cs="Book Antiqua"/>
          <w:i/>
          <w:iCs/>
          <w:color w:val="000000"/>
        </w:rPr>
        <w:t>Am J Gastroenterol</w:t>
      </w:r>
      <w:r w:rsidRPr="006D1FE9">
        <w:rPr>
          <w:rFonts w:ascii="Book Antiqua" w:eastAsia="Book Antiqua" w:hAnsi="Book Antiqua" w:cs="Book Antiqua"/>
          <w:color w:val="000000"/>
        </w:rPr>
        <w:t xml:space="preserve"> 2013; </w:t>
      </w:r>
      <w:r w:rsidRPr="006D1FE9">
        <w:rPr>
          <w:rFonts w:ascii="Book Antiqua" w:eastAsia="Book Antiqua" w:hAnsi="Book Antiqua" w:cs="Book Antiqua"/>
          <w:b/>
          <w:bCs/>
          <w:color w:val="000000"/>
        </w:rPr>
        <w:t>108</w:t>
      </w:r>
      <w:r w:rsidRPr="006D1FE9">
        <w:rPr>
          <w:rFonts w:ascii="Book Antiqua" w:eastAsia="Book Antiqua" w:hAnsi="Book Antiqua" w:cs="Book Antiqua"/>
          <w:color w:val="000000"/>
        </w:rPr>
        <w:t>: 1473-1479 [PMID: 23877350 DOI: 10.1038/ajg.2013.204]</w:t>
      </w:r>
    </w:p>
    <w:p w14:paraId="1BF3C513"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6 </w:t>
      </w:r>
      <w:r w:rsidRPr="006D1FE9">
        <w:rPr>
          <w:rFonts w:ascii="Book Antiqua" w:eastAsia="Book Antiqua" w:hAnsi="Book Antiqua" w:cs="Book Antiqua"/>
          <w:b/>
          <w:bCs/>
          <w:color w:val="000000"/>
        </w:rPr>
        <w:t>Orman ES</w:t>
      </w:r>
      <w:r w:rsidRPr="006D1FE9">
        <w:rPr>
          <w:rFonts w:ascii="Book Antiqua" w:eastAsia="Book Antiqua" w:hAnsi="Book Antiqua" w:cs="Book Antiqua"/>
          <w:color w:val="000000"/>
        </w:rPr>
        <w:t xml:space="preserve">, Hayashi PH, </w:t>
      </w:r>
      <w:proofErr w:type="spellStart"/>
      <w:r w:rsidRPr="006D1FE9">
        <w:rPr>
          <w:rFonts w:ascii="Book Antiqua" w:eastAsia="Book Antiqua" w:hAnsi="Book Antiqua" w:cs="Book Antiqua"/>
          <w:color w:val="000000"/>
        </w:rPr>
        <w:t>Bataller</w:t>
      </w:r>
      <w:proofErr w:type="spellEnd"/>
      <w:r w:rsidRPr="006D1FE9">
        <w:rPr>
          <w:rFonts w:ascii="Book Antiqua" w:eastAsia="Book Antiqua" w:hAnsi="Book Antiqua" w:cs="Book Antiqua"/>
          <w:color w:val="000000"/>
        </w:rPr>
        <w:t xml:space="preserve"> R, </w:t>
      </w:r>
      <w:proofErr w:type="spellStart"/>
      <w:r w:rsidRPr="006D1FE9">
        <w:rPr>
          <w:rFonts w:ascii="Book Antiqua" w:eastAsia="Book Antiqua" w:hAnsi="Book Antiqua" w:cs="Book Antiqua"/>
          <w:color w:val="000000"/>
        </w:rPr>
        <w:t>Barritt</w:t>
      </w:r>
      <w:proofErr w:type="spellEnd"/>
      <w:r w:rsidRPr="006D1FE9">
        <w:rPr>
          <w:rFonts w:ascii="Book Antiqua" w:eastAsia="Book Antiqua" w:hAnsi="Book Antiqua" w:cs="Book Antiqua"/>
          <w:color w:val="000000"/>
        </w:rPr>
        <w:t xml:space="preserve"> AS 4th. Paracentesis is associated with reduced mortality in patients hospitalized with cirrhosis and ascites. </w:t>
      </w:r>
      <w:r w:rsidRPr="006D1FE9">
        <w:rPr>
          <w:rFonts w:ascii="Book Antiqua" w:eastAsia="Book Antiqua" w:hAnsi="Book Antiqua" w:cs="Book Antiqua"/>
          <w:i/>
          <w:iCs/>
          <w:color w:val="000000"/>
        </w:rPr>
        <w:t>Clin Gastroenterol Hepatol</w:t>
      </w:r>
      <w:r w:rsidRPr="006D1FE9">
        <w:rPr>
          <w:rFonts w:ascii="Book Antiqua" w:eastAsia="Book Antiqua" w:hAnsi="Book Antiqua" w:cs="Book Antiqua"/>
          <w:color w:val="000000"/>
        </w:rPr>
        <w:t xml:space="preserve"> 2014; </w:t>
      </w:r>
      <w:r w:rsidRPr="006D1FE9">
        <w:rPr>
          <w:rFonts w:ascii="Book Antiqua" w:eastAsia="Book Antiqua" w:hAnsi="Book Antiqua" w:cs="Book Antiqua"/>
          <w:b/>
          <w:bCs/>
          <w:color w:val="000000"/>
        </w:rPr>
        <w:t>12</w:t>
      </w:r>
      <w:r w:rsidRPr="006D1FE9">
        <w:rPr>
          <w:rFonts w:ascii="Book Antiqua" w:eastAsia="Book Antiqua" w:hAnsi="Book Antiqua" w:cs="Book Antiqua"/>
          <w:color w:val="000000"/>
        </w:rPr>
        <w:t>: 496-503.e1 [PMID: 23978348 DOI: 10.1016/j.cgh.2013.08.025]</w:t>
      </w:r>
    </w:p>
    <w:p w14:paraId="71DC38F3"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7 </w:t>
      </w:r>
      <w:r w:rsidRPr="006D1FE9">
        <w:rPr>
          <w:rFonts w:ascii="Book Antiqua" w:eastAsia="Book Antiqua" w:hAnsi="Book Antiqua" w:cs="Book Antiqua"/>
          <w:b/>
          <w:bCs/>
          <w:color w:val="000000"/>
        </w:rPr>
        <w:t>Kanwal F</w:t>
      </w:r>
      <w:r w:rsidRPr="006D1FE9">
        <w:rPr>
          <w:rFonts w:ascii="Book Antiqua" w:eastAsia="Book Antiqua" w:hAnsi="Book Antiqua" w:cs="Book Antiqua"/>
          <w:color w:val="000000"/>
        </w:rPr>
        <w:t xml:space="preserve">, Kramer JR, Buchanan P, Asch SM, </w:t>
      </w:r>
      <w:proofErr w:type="spellStart"/>
      <w:r w:rsidRPr="006D1FE9">
        <w:rPr>
          <w:rFonts w:ascii="Book Antiqua" w:eastAsia="Book Antiqua" w:hAnsi="Book Antiqua" w:cs="Book Antiqua"/>
          <w:color w:val="000000"/>
        </w:rPr>
        <w:t>Assioun</w:t>
      </w:r>
      <w:proofErr w:type="spellEnd"/>
      <w:r w:rsidRPr="006D1FE9">
        <w:rPr>
          <w:rFonts w:ascii="Book Antiqua" w:eastAsia="Book Antiqua" w:hAnsi="Book Antiqua" w:cs="Book Antiqua"/>
          <w:color w:val="000000"/>
        </w:rPr>
        <w:t xml:space="preserve"> Y, Bacon BR, Li J, El-</w:t>
      </w:r>
      <w:proofErr w:type="spellStart"/>
      <w:r w:rsidRPr="006D1FE9">
        <w:rPr>
          <w:rFonts w:ascii="Book Antiqua" w:eastAsia="Book Antiqua" w:hAnsi="Book Antiqua" w:cs="Book Antiqua"/>
          <w:color w:val="000000"/>
        </w:rPr>
        <w:t>Serag</w:t>
      </w:r>
      <w:proofErr w:type="spellEnd"/>
      <w:r w:rsidRPr="006D1FE9">
        <w:rPr>
          <w:rFonts w:ascii="Book Antiqua" w:eastAsia="Book Antiqua" w:hAnsi="Book Antiqua" w:cs="Book Antiqua"/>
          <w:color w:val="000000"/>
        </w:rPr>
        <w:t xml:space="preserve"> HB. The quality of care provided to patients with cirrhosis and ascites in the Department of Veterans Affairs. </w:t>
      </w:r>
      <w:r w:rsidRPr="006D1FE9">
        <w:rPr>
          <w:rFonts w:ascii="Book Antiqua" w:eastAsia="Book Antiqua" w:hAnsi="Book Antiqua" w:cs="Book Antiqua"/>
          <w:i/>
          <w:iCs/>
          <w:color w:val="000000"/>
        </w:rPr>
        <w:t>Gastroenterology</w:t>
      </w:r>
      <w:r w:rsidRPr="006D1FE9">
        <w:rPr>
          <w:rFonts w:ascii="Book Antiqua" w:eastAsia="Book Antiqua" w:hAnsi="Book Antiqua" w:cs="Book Antiqua"/>
          <w:color w:val="000000"/>
        </w:rPr>
        <w:t xml:space="preserve"> 2012; </w:t>
      </w:r>
      <w:r w:rsidRPr="006D1FE9">
        <w:rPr>
          <w:rFonts w:ascii="Book Antiqua" w:eastAsia="Book Antiqua" w:hAnsi="Book Antiqua" w:cs="Book Antiqua"/>
          <w:b/>
          <w:bCs/>
          <w:color w:val="000000"/>
        </w:rPr>
        <w:t>143</w:t>
      </w:r>
      <w:r w:rsidRPr="006D1FE9">
        <w:rPr>
          <w:rFonts w:ascii="Book Antiqua" w:eastAsia="Book Antiqua" w:hAnsi="Book Antiqua" w:cs="Book Antiqua"/>
          <w:color w:val="000000"/>
        </w:rPr>
        <w:t>: 70-77 [PMID: 22465432 DOI: 10.1053/j.gastro.2012.03.038]</w:t>
      </w:r>
    </w:p>
    <w:p w14:paraId="2881B452" w14:textId="394B91D7" w:rsidR="00A83CDE" w:rsidRDefault="00916759" w:rsidP="006D1FE9">
      <w:pPr>
        <w:adjustRightInd w:val="0"/>
        <w:snapToGrid w:val="0"/>
        <w:spacing w:line="360" w:lineRule="auto"/>
        <w:jc w:val="both"/>
        <w:rPr>
          <w:rFonts w:ascii="Book Antiqua" w:eastAsia="Book Antiqua" w:hAnsi="Book Antiqua" w:cs="Book Antiqua"/>
          <w:color w:val="000000"/>
        </w:rPr>
      </w:pPr>
      <w:r w:rsidRPr="00D67105">
        <w:rPr>
          <w:rFonts w:ascii="Book Antiqua" w:eastAsia="Book Antiqua" w:hAnsi="Book Antiqua" w:cs="Book Antiqua"/>
          <w:color w:val="000000"/>
        </w:rPr>
        <w:t xml:space="preserve">8 </w:t>
      </w:r>
      <w:bookmarkStart w:id="37" w:name="OLE_LINK3"/>
      <w:r w:rsidR="00A83CDE" w:rsidRPr="00D67105">
        <w:rPr>
          <w:rFonts w:ascii="Book Antiqua" w:eastAsia="Book Antiqua" w:hAnsi="Book Antiqua" w:cs="Book Antiqua"/>
          <w:b/>
          <w:color w:val="000000"/>
        </w:rPr>
        <w:t>World Health Organization.</w:t>
      </w:r>
      <w:r w:rsidR="00A83CDE" w:rsidRPr="00D67105">
        <w:rPr>
          <w:rFonts w:ascii="Book Antiqua" w:eastAsia="Book Antiqua" w:hAnsi="Book Antiqua" w:cs="Book Antiqua"/>
          <w:color w:val="000000"/>
        </w:rPr>
        <w:t xml:space="preserve"> International Classification of Diseases, 10</w:t>
      </w:r>
      <w:r w:rsidR="00A83CDE" w:rsidRPr="00D67105">
        <w:rPr>
          <w:rFonts w:ascii="Book Antiqua" w:eastAsia="Book Antiqua" w:hAnsi="Book Antiqua" w:cs="Book Antiqua"/>
          <w:color w:val="000000"/>
          <w:vertAlign w:val="superscript"/>
        </w:rPr>
        <w:t>th</w:t>
      </w:r>
      <w:r w:rsidR="00A83CDE" w:rsidRPr="00D67105">
        <w:rPr>
          <w:rFonts w:ascii="Book Antiqua" w:eastAsia="Book Antiqua" w:hAnsi="Book Antiqua" w:cs="Book Antiqua"/>
          <w:color w:val="000000"/>
        </w:rPr>
        <w:t xml:space="preserve"> revision, version 2015. </w:t>
      </w:r>
      <w:bookmarkEnd w:id="37"/>
      <w:r w:rsidR="00A83CDE" w:rsidRPr="00D67105">
        <w:rPr>
          <w:rFonts w:ascii="Book Antiqua" w:eastAsia="Book Antiqua" w:hAnsi="Book Antiqua" w:cs="Book Antiqua"/>
          <w:color w:val="000000"/>
        </w:rPr>
        <w:t xml:space="preserve">Available from: </w:t>
      </w:r>
      <w:r w:rsidR="00A83CDE" w:rsidRPr="00D67105">
        <w:rPr>
          <w:rFonts w:ascii="Book Antiqua" w:eastAsia="Book Antiqua" w:hAnsi="Book Antiqua" w:cs="Book Antiqua"/>
        </w:rPr>
        <w:t>https://i</w:t>
      </w:r>
      <w:bookmarkStart w:id="38" w:name="_GoBack"/>
      <w:bookmarkEnd w:id="38"/>
      <w:r w:rsidR="00A83CDE" w:rsidRPr="00D67105">
        <w:rPr>
          <w:rFonts w:ascii="Book Antiqua" w:eastAsia="Book Antiqua" w:hAnsi="Book Antiqua" w:cs="Book Antiqua"/>
        </w:rPr>
        <w:t>cd.who.int/browse10/2015/en</w:t>
      </w:r>
    </w:p>
    <w:p w14:paraId="12EF72F3"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lastRenderedPageBreak/>
        <w:t xml:space="preserve">9 </w:t>
      </w:r>
      <w:proofErr w:type="spellStart"/>
      <w:r w:rsidRPr="006D1FE9">
        <w:rPr>
          <w:rFonts w:ascii="Book Antiqua" w:eastAsia="Book Antiqua" w:hAnsi="Book Antiqua" w:cs="Book Antiqua"/>
          <w:b/>
          <w:bCs/>
          <w:color w:val="000000"/>
        </w:rPr>
        <w:t>Ghaoui</w:t>
      </w:r>
      <w:proofErr w:type="spellEnd"/>
      <w:r w:rsidRPr="006D1FE9">
        <w:rPr>
          <w:rFonts w:ascii="Book Antiqua" w:eastAsia="Book Antiqua" w:hAnsi="Book Antiqua" w:cs="Book Antiqua"/>
          <w:b/>
          <w:bCs/>
          <w:color w:val="000000"/>
        </w:rPr>
        <w:t xml:space="preserve"> R</w:t>
      </w:r>
      <w:r w:rsidRPr="006D1FE9">
        <w:rPr>
          <w:rFonts w:ascii="Book Antiqua" w:eastAsia="Book Antiqua" w:hAnsi="Book Antiqua" w:cs="Book Antiqua"/>
          <w:color w:val="000000"/>
        </w:rPr>
        <w:t xml:space="preserve">, </w:t>
      </w:r>
      <w:proofErr w:type="spellStart"/>
      <w:r w:rsidRPr="006D1FE9">
        <w:rPr>
          <w:rFonts w:ascii="Book Antiqua" w:eastAsia="Book Antiqua" w:hAnsi="Book Antiqua" w:cs="Book Antiqua"/>
          <w:color w:val="000000"/>
        </w:rPr>
        <w:t>Friderici</w:t>
      </w:r>
      <w:proofErr w:type="spellEnd"/>
      <w:r w:rsidRPr="006D1FE9">
        <w:rPr>
          <w:rFonts w:ascii="Book Antiqua" w:eastAsia="Book Antiqua" w:hAnsi="Book Antiqua" w:cs="Book Antiqua"/>
          <w:color w:val="000000"/>
        </w:rPr>
        <w:t xml:space="preserve"> J, </w:t>
      </w:r>
      <w:proofErr w:type="spellStart"/>
      <w:r w:rsidRPr="006D1FE9">
        <w:rPr>
          <w:rFonts w:ascii="Book Antiqua" w:eastAsia="Book Antiqua" w:hAnsi="Book Antiqua" w:cs="Book Antiqua"/>
          <w:color w:val="000000"/>
        </w:rPr>
        <w:t>Visintainer</w:t>
      </w:r>
      <w:proofErr w:type="spellEnd"/>
      <w:r w:rsidRPr="006D1FE9">
        <w:rPr>
          <w:rFonts w:ascii="Book Antiqua" w:eastAsia="Book Antiqua" w:hAnsi="Book Antiqua" w:cs="Book Antiqua"/>
          <w:color w:val="000000"/>
        </w:rPr>
        <w:t xml:space="preserve"> P, </w:t>
      </w:r>
      <w:proofErr w:type="spellStart"/>
      <w:r w:rsidRPr="006D1FE9">
        <w:rPr>
          <w:rFonts w:ascii="Book Antiqua" w:eastAsia="Book Antiqua" w:hAnsi="Book Antiqua" w:cs="Book Antiqua"/>
          <w:color w:val="000000"/>
        </w:rPr>
        <w:t>Lindenauer</w:t>
      </w:r>
      <w:proofErr w:type="spellEnd"/>
      <w:r w:rsidRPr="006D1FE9">
        <w:rPr>
          <w:rFonts w:ascii="Book Antiqua" w:eastAsia="Book Antiqua" w:hAnsi="Book Antiqua" w:cs="Book Antiqua"/>
          <w:color w:val="000000"/>
        </w:rPr>
        <w:t xml:space="preserve"> PK, </w:t>
      </w:r>
      <w:proofErr w:type="spellStart"/>
      <w:r w:rsidRPr="006D1FE9">
        <w:rPr>
          <w:rFonts w:ascii="Book Antiqua" w:eastAsia="Book Antiqua" w:hAnsi="Book Antiqua" w:cs="Book Antiqua"/>
          <w:color w:val="000000"/>
        </w:rPr>
        <w:t>Lagu</w:t>
      </w:r>
      <w:proofErr w:type="spellEnd"/>
      <w:r w:rsidRPr="006D1FE9">
        <w:rPr>
          <w:rFonts w:ascii="Book Antiqua" w:eastAsia="Book Antiqua" w:hAnsi="Book Antiqua" w:cs="Book Antiqua"/>
          <w:color w:val="000000"/>
        </w:rPr>
        <w:t xml:space="preserve"> T, </w:t>
      </w:r>
      <w:proofErr w:type="spellStart"/>
      <w:r w:rsidRPr="006D1FE9">
        <w:rPr>
          <w:rFonts w:ascii="Book Antiqua" w:eastAsia="Book Antiqua" w:hAnsi="Book Antiqua" w:cs="Book Antiqua"/>
          <w:color w:val="000000"/>
        </w:rPr>
        <w:t>Desilets</w:t>
      </w:r>
      <w:proofErr w:type="spellEnd"/>
      <w:r w:rsidRPr="006D1FE9">
        <w:rPr>
          <w:rFonts w:ascii="Book Antiqua" w:eastAsia="Book Antiqua" w:hAnsi="Book Antiqua" w:cs="Book Antiqua"/>
          <w:color w:val="000000"/>
        </w:rPr>
        <w:t xml:space="preserve"> D. Measurement of the quality of care of patients admitted with decompensated cirrhosis. </w:t>
      </w:r>
      <w:r w:rsidRPr="006D1FE9">
        <w:rPr>
          <w:rFonts w:ascii="Book Antiqua" w:eastAsia="Book Antiqua" w:hAnsi="Book Antiqua" w:cs="Book Antiqua"/>
          <w:i/>
          <w:iCs/>
          <w:color w:val="000000"/>
        </w:rPr>
        <w:t>Liver Int</w:t>
      </w:r>
      <w:r w:rsidRPr="006D1FE9">
        <w:rPr>
          <w:rFonts w:ascii="Book Antiqua" w:eastAsia="Book Antiqua" w:hAnsi="Book Antiqua" w:cs="Book Antiqua"/>
          <w:color w:val="000000"/>
        </w:rPr>
        <w:t xml:space="preserve"> 2014; </w:t>
      </w:r>
      <w:r w:rsidRPr="006D1FE9">
        <w:rPr>
          <w:rFonts w:ascii="Book Antiqua" w:eastAsia="Book Antiqua" w:hAnsi="Book Antiqua" w:cs="Book Antiqua"/>
          <w:b/>
          <w:bCs/>
          <w:color w:val="000000"/>
        </w:rPr>
        <w:t>34</w:t>
      </w:r>
      <w:r w:rsidRPr="006D1FE9">
        <w:rPr>
          <w:rFonts w:ascii="Book Antiqua" w:eastAsia="Book Antiqua" w:hAnsi="Book Antiqua" w:cs="Book Antiqua"/>
          <w:color w:val="000000"/>
        </w:rPr>
        <w:t>: 204-210 [PMID: 23763303 DOI: 10.1111/liv.12225]</w:t>
      </w:r>
    </w:p>
    <w:p w14:paraId="0719A0DC"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10 </w:t>
      </w:r>
      <w:r w:rsidRPr="006D1FE9">
        <w:rPr>
          <w:rFonts w:ascii="Book Antiqua" w:eastAsia="Book Antiqua" w:hAnsi="Book Antiqua" w:cs="Book Antiqua"/>
          <w:b/>
          <w:bCs/>
          <w:color w:val="000000"/>
        </w:rPr>
        <w:t>Andreu M</w:t>
      </w:r>
      <w:r w:rsidRPr="006D1FE9">
        <w:rPr>
          <w:rFonts w:ascii="Book Antiqua" w:eastAsia="Book Antiqua" w:hAnsi="Book Antiqua" w:cs="Book Antiqua"/>
          <w:color w:val="000000"/>
        </w:rPr>
        <w:t xml:space="preserve">, Sola R, </w:t>
      </w:r>
      <w:proofErr w:type="spellStart"/>
      <w:r w:rsidRPr="006D1FE9">
        <w:rPr>
          <w:rFonts w:ascii="Book Antiqua" w:eastAsia="Book Antiqua" w:hAnsi="Book Antiqua" w:cs="Book Antiqua"/>
          <w:color w:val="000000"/>
        </w:rPr>
        <w:t>Sitges</w:t>
      </w:r>
      <w:proofErr w:type="spellEnd"/>
      <w:r w:rsidRPr="006D1FE9">
        <w:rPr>
          <w:rFonts w:ascii="Book Antiqua" w:eastAsia="Book Antiqua" w:hAnsi="Book Antiqua" w:cs="Book Antiqua"/>
          <w:color w:val="000000"/>
        </w:rPr>
        <w:t xml:space="preserve">-Serra A, Alia C, Gallen M, Vila MC, Coll S, Oliver MI. Risk factors for spontaneous bacterial peritonitis in cirrhotic patients with ascites. </w:t>
      </w:r>
      <w:r w:rsidRPr="006D1FE9">
        <w:rPr>
          <w:rFonts w:ascii="Book Antiqua" w:eastAsia="Book Antiqua" w:hAnsi="Book Antiqua" w:cs="Book Antiqua"/>
          <w:i/>
          <w:iCs/>
          <w:color w:val="000000"/>
        </w:rPr>
        <w:t>Gastroenterology</w:t>
      </w:r>
      <w:r w:rsidRPr="006D1FE9">
        <w:rPr>
          <w:rFonts w:ascii="Book Antiqua" w:eastAsia="Book Antiqua" w:hAnsi="Book Antiqua" w:cs="Book Antiqua"/>
          <w:color w:val="000000"/>
        </w:rPr>
        <w:t xml:space="preserve"> 1993; </w:t>
      </w:r>
      <w:r w:rsidRPr="006D1FE9">
        <w:rPr>
          <w:rFonts w:ascii="Book Antiqua" w:eastAsia="Book Antiqua" w:hAnsi="Book Antiqua" w:cs="Book Antiqua"/>
          <w:b/>
          <w:bCs/>
          <w:color w:val="000000"/>
        </w:rPr>
        <w:t>104</w:t>
      </w:r>
      <w:r w:rsidRPr="006D1FE9">
        <w:rPr>
          <w:rFonts w:ascii="Book Antiqua" w:eastAsia="Book Antiqua" w:hAnsi="Book Antiqua" w:cs="Book Antiqua"/>
          <w:color w:val="000000"/>
        </w:rPr>
        <w:t>: 1133-1138 [PMID: 8462803 DOI: 10.1016/0016-5085(93)90284-j]</w:t>
      </w:r>
    </w:p>
    <w:p w14:paraId="7D3CBD75"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11 </w:t>
      </w:r>
      <w:r w:rsidRPr="006D1FE9">
        <w:rPr>
          <w:rFonts w:ascii="Book Antiqua" w:eastAsia="Book Antiqua" w:hAnsi="Book Antiqua" w:cs="Book Antiqua"/>
          <w:b/>
          <w:bCs/>
          <w:color w:val="000000"/>
        </w:rPr>
        <w:t>Paul K</w:t>
      </w:r>
      <w:r w:rsidRPr="006D1FE9">
        <w:rPr>
          <w:rFonts w:ascii="Book Antiqua" w:eastAsia="Book Antiqua" w:hAnsi="Book Antiqua" w:cs="Book Antiqua"/>
          <w:color w:val="000000"/>
        </w:rPr>
        <w:t xml:space="preserve">, </w:t>
      </w:r>
      <w:proofErr w:type="spellStart"/>
      <w:r w:rsidRPr="006D1FE9">
        <w:rPr>
          <w:rFonts w:ascii="Book Antiqua" w:eastAsia="Book Antiqua" w:hAnsi="Book Antiqua" w:cs="Book Antiqua"/>
          <w:color w:val="000000"/>
        </w:rPr>
        <w:t>Kaur</w:t>
      </w:r>
      <w:proofErr w:type="spellEnd"/>
      <w:r w:rsidRPr="006D1FE9">
        <w:rPr>
          <w:rFonts w:ascii="Book Antiqua" w:eastAsia="Book Antiqua" w:hAnsi="Book Antiqua" w:cs="Book Antiqua"/>
          <w:color w:val="000000"/>
        </w:rPr>
        <w:t xml:space="preserve"> J, </w:t>
      </w:r>
      <w:proofErr w:type="spellStart"/>
      <w:r w:rsidRPr="006D1FE9">
        <w:rPr>
          <w:rFonts w:ascii="Book Antiqua" w:eastAsia="Book Antiqua" w:hAnsi="Book Antiqua" w:cs="Book Antiqua"/>
          <w:color w:val="000000"/>
        </w:rPr>
        <w:t>Kazal</w:t>
      </w:r>
      <w:proofErr w:type="spellEnd"/>
      <w:r w:rsidRPr="006D1FE9">
        <w:rPr>
          <w:rFonts w:ascii="Book Antiqua" w:eastAsia="Book Antiqua" w:hAnsi="Book Antiqua" w:cs="Book Antiqua"/>
          <w:color w:val="000000"/>
        </w:rPr>
        <w:t xml:space="preserve"> HL. To Study the Incidence, Predictive Factors and Clinical Outcome of Spontaneous Bacterial Peritonitis in Patients of Cirrhosis with Ascites. </w:t>
      </w:r>
      <w:r w:rsidRPr="006D1FE9">
        <w:rPr>
          <w:rFonts w:ascii="Book Antiqua" w:eastAsia="Book Antiqua" w:hAnsi="Book Antiqua" w:cs="Book Antiqua"/>
          <w:i/>
          <w:iCs/>
          <w:color w:val="000000"/>
        </w:rPr>
        <w:t>J Clin Diagn Res</w:t>
      </w:r>
      <w:r w:rsidRPr="006D1FE9">
        <w:rPr>
          <w:rFonts w:ascii="Book Antiqua" w:eastAsia="Book Antiqua" w:hAnsi="Book Antiqua" w:cs="Book Antiqua"/>
          <w:color w:val="000000"/>
        </w:rPr>
        <w:t xml:space="preserve"> 2015; </w:t>
      </w:r>
      <w:r w:rsidRPr="006D1FE9">
        <w:rPr>
          <w:rFonts w:ascii="Book Antiqua" w:eastAsia="Book Antiqua" w:hAnsi="Book Antiqua" w:cs="Book Antiqua"/>
          <w:b/>
          <w:bCs/>
          <w:color w:val="000000"/>
        </w:rPr>
        <w:t>9</w:t>
      </w:r>
      <w:r w:rsidRPr="006D1FE9">
        <w:rPr>
          <w:rFonts w:ascii="Book Antiqua" w:eastAsia="Book Antiqua" w:hAnsi="Book Antiqua" w:cs="Book Antiqua"/>
          <w:color w:val="000000"/>
        </w:rPr>
        <w:t>: OC09-OC12 [PMID: 26393155 DOI: 10.7860/JCDR/2015/14855.6191]</w:t>
      </w:r>
    </w:p>
    <w:p w14:paraId="1E3D31C9"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12 </w:t>
      </w:r>
      <w:r w:rsidRPr="006D1FE9">
        <w:rPr>
          <w:rFonts w:ascii="Book Antiqua" w:eastAsia="Book Antiqua" w:hAnsi="Book Antiqua" w:cs="Book Antiqua"/>
          <w:b/>
          <w:bCs/>
          <w:color w:val="000000"/>
        </w:rPr>
        <w:t>Garcia-Tsao G</w:t>
      </w:r>
      <w:r w:rsidRPr="006D1FE9">
        <w:rPr>
          <w:rFonts w:ascii="Book Antiqua" w:eastAsia="Book Antiqua" w:hAnsi="Book Antiqua" w:cs="Book Antiqua"/>
          <w:color w:val="000000"/>
        </w:rPr>
        <w:t xml:space="preserve">, Lim JK; Members of Veterans Affairs Hepatitis C Resource Center Program. Management and treatment of patients with cirrhosis and portal hypertension: recommendations from the Department of Veterans Affairs Hepatitis C Resource Center Program and the National Hepatitis C Program. </w:t>
      </w:r>
      <w:r w:rsidRPr="006D1FE9">
        <w:rPr>
          <w:rFonts w:ascii="Book Antiqua" w:eastAsia="Book Antiqua" w:hAnsi="Book Antiqua" w:cs="Book Antiqua"/>
          <w:i/>
          <w:iCs/>
          <w:color w:val="000000"/>
        </w:rPr>
        <w:t>Am J Gastroenterol</w:t>
      </w:r>
      <w:r w:rsidRPr="006D1FE9">
        <w:rPr>
          <w:rFonts w:ascii="Book Antiqua" w:eastAsia="Book Antiqua" w:hAnsi="Book Antiqua" w:cs="Book Antiqua"/>
          <w:color w:val="000000"/>
        </w:rPr>
        <w:t xml:space="preserve"> 2009; </w:t>
      </w:r>
      <w:r w:rsidRPr="006D1FE9">
        <w:rPr>
          <w:rFonts w:ascii="Book Antiqua" w:eastAsia="Book Antiqua" w:hAnsi="Book Antiqua" w:cs="Book Antiqua"/>
          <w:b/>
          <w:bCs/>
          <w:color w:val="000000"/>
        </w:rPr>
        <w:t>104</w:t>
      </w:r>
      <w:r w:rsidRPr="006D1FE9">
        <w:rPr>
          <w:rFonts w:ascii="Book Antiqua" w:eastAsia="Book Antiqua" w:hAnsi="Book Antiqua" w:cs="Book Antiqua"/>
          <w:color w:val="000000"/>
        </w:rPr>
        <w:t>: 1802-1829 [PMID: 19455106 DOI: 10.1038/ajg.2009.191]</w:t>
      </w:r>
    </w:p>
    <w:p w14:paraId="2CAB9E4C"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13 </w:t>
      </w:r>
      <w:r w:rsidRPr="006D1FE9">
        <w:rPr>
          <w:rFonts w:ascii="Book Antiqua" w:eastAsia="Book Antiqua" w:hAnsi="Book Antiqua" w:cs="Book Antiqua"/>
          <w:b/>
          <w:bCs/>
          <w:color w:val="000000"/>
        </w:rPr>
        <w:t>Rosenblatt R</w:t>
      </w:r>
      <w:r w:rsidRPr="006D1FE9">
        <w:rPr>
          <w:rFonts w:ascii="Book Antiqua" w:eastAsia="Book Antiqua" w:hAnsi="Book Antiqua" w:cs="Book Antiqua"/>
          <w:color w:val="000000"/>
        </w:rPr>
        <w:t xml:space="preserve">, </w:t>
      </w:r>
      <w:proofErr w:type="spellStart"/>
      <w:r w:rsidRPr="006D1FE9">
        <w:rPr>
          <w:rFonts w:ascii="Book Antiqua" w:eastAsia="Book Antiqua" w:hAnsi="Book Antiqua" w:cs="Book Antiqua"/>
          <w:color w:val="000000"/>
        </w:rPr>
        <w:t>Tafesh</w:t>
      </w:r>
      <w:proofErr w:type="spellEnd"/>
      <w:r w:rsidRPr="006D1FE9">
        <w:rPr>
          <w:rFonts w:ascii="Book Antiqua" w:eastAsia="Book Antiqua" w:hAnsi="Book Antiqua" w:cs="Book Antiqua"/>
          <w:color w:val="000000"/>
        </w:rPr>
        <w:t xml:space="preserve"> Z, </w:t>
      </w:r>
      <w:proofErr w:type="spellStart"/>
      <w:r w:rsidRPr="006D1FE9">
        <w:rPr>
          <w:rFonts w:ascii="Book Antiqua" w:eastAsia="Book Antiqua" w:hAnsi="Book Antiqua" w:cs="Book Antiqua"/>
          <w:color w:val="000000"/>
        </w:rPr>
        <w:t>Shen</w:t>
      </w:r>
      <w:proofErr w:type="spellEnd"/>
      <w:r w:rsidRPr="006D1FE9">
        <w:rPr>
          <w:rFonts w:ascii="Book Antiqua" w:eastAsia="Book Antiqua" w:hAnsi="Book Antiqua" w:cs="Book Antiqua"/>
          <w:color w:val="000000"/>
        </w:rPr>
        <w:t xml:space="preserve"> N, Cohen-</w:t>
      </w:r>
      <w:proofErr w:type="spellStart"/>
      <w:r w:rsidRPr="006D1FE9">
        <w:rPr>
          <w:rFonts w:ascii="Book Antiqua" w:eastAsia="Book Antiqua" w:hAnsi="Book Antiqua" w:cs="Book Antiqua"/>
          <w:color w:val="000000"/>
        </w:rPr>
        <w:t>Mekelburg</w:t>
      </w:r>
      <w:proofErr w:type="spellEnd"/>
      <w:r w:rsidRPr="006D1FE9">
        <w:rPr>
          <w:rFonts w:ascii="Book Antiqua" w:eastAsia="Book Antiqua" w:hAnsi="Book Antiqua" w:cs="Book Antiqua"/>
          <w:color w:val="000000"/>
        </w:rPr>
        <w:t xml:space="preserve"> S, Kumar S, Lucero C, Brown RS Jr, Verna E, Fortune B, </w:t>
      </w:r>
      <w:proofErr w:type="spellStart"/>
      <w:r w:rsidRPr="006D1FE9">
        <w:rPr>
          <w:rFonts w:ascii="Book Antiqua" w:eastAsia="Book Antiqua" w:hAnsi="Book Antiqua" w:cs="Book Antiqua"/>
          <w:color w:val="000000"/>
        </w:rPr>
        <w:t>Jesudian</w:t>
      </w:r>
      <w:proofErr w:type="spellEnd"/>
      <w:r w:rsidRPr="006D1FE9">
        <w:rPr>
          <w:rFonts w:ascii="Book Antiqua" w:eastAsia="Book Antiqua" w:hAnsi="Book Antiqua" w:cs="Book Antiqua"/>
          <w:color w:val="000000"/>
        </w:rPr>
        <w:t xml:space="preserve"> A. Early Paracentesis in High-Risk Hospitalized Patients: Time for a New Quality Indicator. </w:t>
      </w:r>
      <w:r w:rsidRPr="006D1FE9">
        <w:rPr>
          <w:rFonts w:ascii="Book Antiqua" w:eastAsia="Book Antiqua" w:hAnsi="Book Antiqua" w:cs="Book Antiqua"/>
          <w:i/>
          <w:iCs/>
          <w:color w:val="000000"/>
        </w:rPr>
        <w:t>Am J Gastroenterol</w:t>
      </w:r>
      <w:r w:rsidRPr="006D1FE9">
        <w:rPr>
          <w:rFonts w:ascii="Book Antiqua" w:eastAsia="Book Antiqua" w:hAnsi="Book Antiqua" w:cs="Book Antiqua"/>
          <w:color w:val="000000"/>
        </w:rPr>
        <w:t xml:space="preserve"> 2019; </w:t>
      </w:r>
      <w:r w:rsidRPr="006D1FE9">
        <w:rPr>
          <w:rFonts w:ascii="Book Antiqua" w:eastAsia="Book Antiqua" w:hAnsi="Book Antiqua" w:cs="Book Antiqua"/>
          <w:b/>
          <w:bCs/>
          <w:color w:val="000000"/>
        </w:rPr>
        <w:t>114</w:t>
      </w:r>
      <w:r w:rsidRPr="006D1FE9">
        <w:rPr>
          <w:rFonts w:ascii="Book Antiqua" w:eastAsia="Book Antiqua" w:hAnsi="Book Antiqua" w:cs="Book Antiqua"/>
          <w:color w:val="000000"/>
        </w:rPr>
        <w:t>: 1863-1869 [PMID: 31688022 DOI: 10.14309/ajg.0000000000000443]</w:t>
      </w:r>
    </w:p>
    <w:p w14:paraId="4EE49EE1"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14 </w:t>
      </w:r>
      <w:proofErr w:type="spellStart"/>
      <w:r w:rsidRPr="006D1FE9">
        <w:rPr>
          <w:rFonts w:ascii="Book Antiqua" w:eastAsia="Book Antiqua" w:hAnsi="Book Antiqua" w:cs="Book Antiqua"/>
          <w:b/>
          <w:bCs/>
          <w:color w:val="000000"/>
        </w:rPr>
        <w:t>Baharith</w:t>
      </w:r>
      <w:proofErr w:type="spellEnd"/>
      <w:r w:rsidRPr="006D1FE9">
        <w:rPr>
          <w:rFonts w:ascii="Book Antiqua" w:eastAsia="Book Antiqua" w:hAnsi="Book Antiqua" w:cs="Book Antiqua"/>
          <w:b/>
          <w:bCs/>
          <w:color w:val="000000"/>
        </w:rPr>
        <w:t xml:space="preserve"> H,</w:t>
      </w:r>
      <w:r w:rsidRPr="006D1FE9">
        <w:rPr>
          <w:rFonts w:ascii="Book Antiqua" w:eastAsia="Book Antiqua" w:hAnsi="Book Antiqua" w:cs="Book Antiqua"/>
          <w:color w:val="000000"/>
        </w:rPr>
        <w:t xml:space="preserve"> Yuan Y, Puglia M. Are patients hospitalized with cirrhosis and ascites receiving appropriate diagnostic paracentesis? </w:t>
      </w:r>
      <w:r w:rsidRPr="006D1FE9">
        <w:rPr>
          <w:rFonts w:ascii="Book Antiqua" w:eastAsia="Book Antiqua" w:hAnsi="Book Antiqua" w:cs="Book Antiqua"/>
          <w:i/>
          <w:color w:val="000000"/>
        </w:rPr>
        <w:t>J Clin Gastroenterol Treat</w:t>
      </w:r>
      <w:r w:rsidRPr="006D1FE9">
        <w:rPr>
          <w:rFonts w:ascii="Book Antiqua" w:eastAsia="Book Antiqua" w:hAnsi="Book Antiqua" w:cs="Book Antiqua"/>
          <w:color w:val="000000"/>
        </w:rPr>
        <w:t xml:space="preserve"> 2016;</w:t>
      </w:r>
      <w:r w:rsidR="002144C3" w:rsidRPr="006D1FE9">
        <w:rPr>
          <w:rFonts w:ascii="Book Antiqua" w:eastAsia="Book Antiqua" w:hAnsi="Book Antiqua" w:cs="Book Antiqua"/>
          <w:color w:val="000000"/>
        </w:rPr>
        <w:t xml:space="preserve"> </w:t>
      </w:r>
      <w:r w:rsidRPr="006D1FE9">
        <w:rPr>
          <w:rFonts w:ascii="Book Antiqua" w:eastAsia="Book Antiqua" w:hAnsi="Book Antiqua" w:cs="Book Antiqua"/>
          <w:b/>
          <w:color w:val="000000"/>
        </w:rPr>
        <w:t>2</w:t>
      </w:r>
      <w:r w:rsidRPr="00225014">
        <w:rPr>
          <w:rFonts w:ascii="Book Antiqua" w:eastAsia="Book Antiqua" w:hAnsi="Book Antiqua" w:cs="Book Antiqua"/>
          <w:color w:val="000000"/>
        </w:rPr>
        <w:t>:</w:t>
      </w:r>
      <w:r w:rsidR="002144C3"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012 [DOI: 10.23937/2469-584X/1510012]</w:t>
      </w:r>
    </w:p>
    <w:p w14:paraId="33AFEC57"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15 </w:t>
      </w:r>
      <w:r w:rsidRPr="006D1FE9">
        <w:rPr>
          <w:rFonts w:ascii="Book Antiqua" w:eastAsia="Book Antiqua" w:hAnsi="Book Antiqua" w:cs="Book Antiqua"/>
          <w:b/>
          <w:bCs/>
          <w:color w:val="000000"/>
        </w:rPr>
        <w:t>Gaetano JN</w:t>
      </w:r>
      <w:r w:rsidRPr="006D1FE9">
        <w:rPr>
          <w:rFonts w:ascii="Book Antiqua" w:eastAsia="Book Antiqua" w:hAnsi="Book Antiqua" w:cs="Book Antiqua"/>
          <w:color w:val="000000"/>
        </w:rPr>
        <w:t xml:space="preserve">, </w:t>
      </w:r>
      <w:proofErr w:type="spellStart"/>
      <w:r w:rsidRPr="006D1FE9">
        <w:rPr>
          <w:rFonts w:ascii="Book Antiqua" w:eastAsia="Book Antiqua" w:hAnsi="Book Antiqua" w:cs="Book Antiqua"/>
          <w:color w:val="000000"/>
        </w:rPr>
        <w:t>Micic</w:t>
      </w:r>
      <w:proofErr w:type="spellEnd"/>
      <w:r w:rsidRPr="006D1FE9">
        <w:rPr>
          <w:rFonts w:ascii="Book Antiqua" w:eastAsia="Book Antiqua" w:hAnsi="Book Antiqua" w:cs="Book Antiqua"/>
          <w:color w:val="000000"/>
        </w:rPr>
        <w:t xml:space="preserve"> D, </w:t>
      </w:r>
      <w:proofErr w:type="spellStart"/>
      <w:r w:rsidRPr="006D1FE9">
        <w:rPr>
          <w:rFonts w:ascii="Book Antiqua" w:eastAsia="Book Antiqua" w:hAnsi="Book Antiqua" w:cs="Book Antiqua"/>
          <w:color w:val="000000"/>
        </w:rPr>
        <w:t>Aronsohn</w:t>
      </w:r>
      <w:proofErr w:type="spellEnd"/>
      <w:r w:rsidRPr="006D1FE9">
        <w:rPr>
          <w:rFonts w:ascii="Book Antiqua" w:eastAsia="Book Antiqua" w:hAnsi="Book Antiqua" w:cs="Book Antiqua"/>
          <w:color w:val="000000"/>
        </w:rPr>
        <w:t xml:space="preserve"> A, Reddy G, </w:t>
      </w:r>
      <w:proofErr w:type="spellStart"/>
      <w:r w:rsidRPr="006D1FE9">
        <w:rPr>
          <w:rFonts w:ascii="Book Antiqua" w:eastAsia="Book Antiqua" w:hAnsi="Book Antiqua" w:cs="Book Antiqua"/>
          <w:color w:val="000000"/>
        </w:rPr>
        <w:t>Te</w:t>
      </w:r>
      <w:proofErr w:type="spellEnd"/>
      <w:r w:rsidRPr="006D1FE9">
        <w:rPr>
          <w:rFonts w:ascii="Book Antiqua" w:eastAsia="Book Antiqua" w:hAnsi="Book Antiqua" w:cs="Book Antiqua"/>
          <w:color w:val="000000"/>
        </w:rPr>
        <w:t xml:space="preserve"> H, </w:t>
      </w:r>
      <w:proofErr w:type="spellStart"/>
      <w:r w:rsidRPr="006D1FE9">
        <w:rPr>
          <w:rFonts w:ascii="Book Antiqua" w:eastAsia="Book Antiqua" w:hAnsi="Book Antiqua" w:cs="Book Antiqua"/>
          <w:color w:val="000000"/>
        </w:rPr>
        <w:t>Reau</w:t>
      </w:r>
      <w:proofErr w:type="spellEnd"/>
      <w:r w:rsidRPr="006D1FE9">
        <w:rPr>
          <w:rFonts w:ascii="Book Antiqua" w:eastAsia="Book Antiqua" w:hAnsi="Book Antiqua" w:cs="Book Antiqua"/>
          <w:color w:val="000000"/>
        </w:rPr>
        <w:t xml:space="preserve"> NS, Jensen D. The benefit of paracentesis on hospitalized adults with cirrhosis and ascites. </w:t>
      </w:r>
      <w:r w:rsidRPr="006D1FE9">
        <w:rPr>
          <w:rFonts w:ascii="Book Antiqua" w:eastAsia="Book Antiqua" w:hAnsi="Book Antiqua" w:cs="Book Antiqua"/>
          <w:i/>
          <w:iCs/>
          <w:color w:val="000000"/>
        </w:rPr>
        <w:t>J Gastroenterol Hepatol</w:t>
      </w:r>
      <w:r w:rsidRPr="006D1FE9">
        <w:rPr>
          <w:rFonts w:ascii="Book Antiqua" w:eastAsia="Book Antiqua" w:hAnsi="Book Antiqua" w:cs="Book Antiqua"/>
          <w:color w:val="000000"/>
        </w:rPr>
        <w:t xml:space="preserve"> 2016; </w:t>
      </w:r>
      <w:r w:rsidRPr="006D1FE9">
        <w:rPr>
          <w:rFonts w:ascii="Book Antiqua" w:eastAsia="Book Antiqua" w:hAnsi="Book Antiqua" w:cs="Book Antiqua"/>
          <w:b/>
          <w:bCs/>
          <w:color w:val="000000"/>
        </w:rPr>
        <w:t>31</w:t>
      </w:r>
      <w:r w:rsidRPr="006D1FE9">
        <w:rPr>
          <w:rFonts w:ascii="Book Antiqua" w:eastAsia="Book Antiqua" w:hAnsi="Book Antiqua" w:cs="Book Antiqua"/>
          <w:color w:val="000000"/>
        </w:rPr>
        <w:t>: 1025-1030 [PMID: 26642977 DOI: 10.1111/jgh.13255]</w:t>
      </w:r>
    </w:p>
    <w:p w14:paraId="7F0A8DD5"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16 </w:t>
      </w:r>
      <w:r w:rsidRPr="006D1FE9">
        <w:rPr>
          <w:rFonts w:ascii="Book Antiqua" w:eastAsia="Book Antiqua" w:hAnsi="Book Antiqua" w:cs="Book Antiqua"/>
          <w:b/>
          <w:bCs/>
          <w:color w:val="000000"/>
        </w:rPr>
        <w:t>O’Brien S,</w:t>
      </w:r>
      <w:r w:rsidRPr="006D1FE9">
        <w:rPr>
          <w:rFonts w:ascii="Book Antiqua" w:eastAsia="Book Antiqua" w:hAnsi="Book Antiqua" w:cs="Book Antiqua"/>
          <w:color w:val="000000"/>
        </w:rPr>
        <w:t xml:space="preserve"> O’Hanlon S, </w:t>
      </w:r>
      <w:proofErr w:type="spellStart"/>
      <w:r w:rsidRPr="006D1FE9">
        <w:rPr>
          <w:rFonts w:ascii="Book Antiqua" w:eastAsia="Book Antiqua" w:hAnsi="Book Antiqua" w:cs="Book Antiqua"/>
          <w:color w:val="000000"/>
        </w:rPr>
        <w:t>Sherif</w:t>
      </w:r>
      <w:proofErr w:type="spellEnd"/>
      <w:r w:rsidRPr="006D1FE9">
        <w:rPr>
          <w:rFonts w:ascii="Book Antiqua" w:eastAsia="Book Antiqua" w:hAnsi="Book Antiqua" w:cs="Book Antiqua"/>
          <w:color w:val="000000"/>
        </w:rPr>
        <w:t xml:space="preserve"> OE, McKiernan S, Iqbal M. 48 time to tap? An audit of diagnostic paracentesis in inpatients with cirrhosis at a university teaching hospital. </w:t>
      </w:r>
      <w:r w:rsidRPr="006D1FE9">
        <w:rPr>
          <w:rFonts w:ascii="Book Antiqua" w:eastAsia="Book Antiqua" w:hAnsi="Book Antiqua" w:cs="Book Antiqua"/>
          <w:i/>
          <w:color w:val="000000"/>
        </w:rPr>
        <w:t>Gut</w:t>
      </w:r>
      <w:r w:rsidRPr="006D1FE9">
        <w:rPr>
          <w:rFonts w:ascii="Book Antiqua" w:eastAsia="Book Antiqua" w:hAnsi="Book Antiqua" w:cs="Book Antiqua"/>
          <w:color w:val="000000"/>
        </w:rPr>
        <w:t xml:space="preserve"> 2017;</w:t>
      </w:r>
      <w:r w:rsidR="002144C3"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66:</w:t>
      </w:r>
      <w:r w:rsidR="002144C3" w:rsidRPr="006D1FE9">
        <w:rPr>
          <w:rFonts w:ascii="Book Antiqua" w:eastAsia="Book Antiqua" w:hAnsi="Book Antiqua" w:cs="Book Antiqua"/>
          <w:color w:val="000000"/>
        </w:rPr>
        <w:t xml:space="preserve"> A18</w:t>
      </w:r>
    </w:p>
    <w:p w14:paraId="52F0287A"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lastRenderedPageBreak/>
        <w:t xml:space="preserve">17 </w:t>
      </w:r>
      <w:r w:rsidRPr="006D1FE9">
        <w:rPr>
          <w:rFonts w:ascii="Book Antiqua" w:eastAsia="Book Antiqua" w:hAnsi="Book Antiqua" w:cs="Book Antiqua"/>
          <w:b/>
          <w:bCs/>
          <w:color w:val="000000"/>
        </w:rPr>
        <w:t>Kim JJ</w:t>
      </w:r>
      <w:r w:rsidRPr="006D1FE9">
        <w:rPr>
          <w:rFonts w:ascii="Book Antiqua" w:eastAsia="Book Antiqua" w:hAnsi="Book Antiqua" w:cs="Book Antiqua"/>
          <w:color w:val="000000"/>
        </w:rPr>
        <w:t xml:space="preserve">, Tsukamoto MM, </w:t>
      </w:r>
      <w:proofErr w:type="spellStart"/>
      <w:r w:rsidRPr="006D1FE9">
        <w:rPr>
          <w:rFonts w:ascii="Book Antiqua" w:eastAsia="Book Antiqua" w:hAnsi="Book Antiqua" w:cs="Book Antiqua"/>
          <w:color w:val="000000"/>
        </w:rPr>
        <w:t>Mathur</w:t>
      </w:r>
      <w:proofErr w:type="spellEnd"/>
      <w:r w:rsidRPr="006D1FE9">
        <w:rPr>
          <w:rFonts w:ascii="Book Antiqua" w:eastAsia="Book Antiqua" w:hAnsi="Book Antiqua" w:cs="Book Antiqua"/>
          <w:color w:val="000000"/>
        </w:rPr>
        <w:t xml:space="preserve"> AK, </w:t>
      </w:r>
      <w:proofErr w:type="spellStart"/>
      <w:r w:rsidRPr="006D1FE9">
        <w:rPr>
          <w:rFonts w:ascii="Book Antiqua" w:eastAsia="Book Antiqua" w:hAnsi="Book Antiqua" w:cs="Book Antiqua"/>
          <w:color w:val="000000"/>
        </w:rPr>
        <w:t>Ghomri</w:t>
      </w:r>
      <w:proofErr w:type="spellEnd"/>
      <w:r w:rsidRPr="006D1FE9">
        <w:rPr>
          <w:rFonts w:ascii="Book Antiqua" w:eastAsia="Book Antiqua" w:hAnsi="Book Antiqua" w:cs="Book Antiqua"/>
          <w:color w:val="000000"/>
        </w:rPr>
        <w:t xml:space="preserve"> YM, </w:t>
      </w:r>
      <w:proofErr w:type="spellStart"/>
      <w:r w:rsidRPr="006D1FE9">
        <w:rPr>
          <w:rFonts w:ascii="Book Antiqua" w:eastAsia="Book Antiqua" w:hAnsi="Book Antiqua" w:cs="Book Antiqua"/>
          <w:color w:val="000000"/>
        </w:rPr>
        <w:t>Hou</w:t>
      </w:r>
      <w:proofErr w:type="spellEnd"/>
      <w:r w:rsidRPr="006D1FE9">
        <w:rPr>
          <w:rFonts w:ascii="Book Antiqua" w:eastAsia="Book Antiqua" w:hAnsi="Book Antiqua" w:cs="Book Antiqua"/>
          <w:color w:val="000000"/>
        </w:rPr>
        <w:t xml:space="preserve"> LA, </w:t>
      </w:r>
      <w:proofErr w:type="spellStart"/>
      <w:r w:rsidRPr="006D1FE9">
        <w:rPr>
          <w:rFonts w:ascii="Book Antiqua" w:eastAsia="Book Antiqua" w:hAnsi="Book Antiqua" w:cs="Book Antiqua"/>
          <w:color w:val="000000"/>
        </w:rPr>
        <w:t>Sheibani</w:t>
      </w:r>
      <w:proofErr w:type="spellEnd"/>
      <w:r w:rsidRPr="006D1FE9">
        <w:rPr>
          <w:rFonts w:ascii="Book Antiqua" w:eastAsia="Book Antiqua" w:hAnsi="Book Antiqua" w:cs="Book Antiqua"/>
          <w:color w:val="000000"/>
        </w:rPr>
        <w:t xml:space="preserve"> S, Runyon BA. Delayed paracentesis is associated with increased in-hospital mortality in patients with spontaneous bacterial peritonitis. </w:t>
      </w:r>
      <w:r w:rsidRPr="006D1FE9">
        <w:rPr>
          <w:rFonts w:ascii="Book Antiqua" w:eastAsia="Book Antiqua" w:hAnsi="Book Antiqua" w:cs="Book Antiqua"/>
          <w:i/>
          <w:iCs/>
          <w:color w:val="000000"/>
        </w:rPr>
        <w:t>Am J Gastroenterol</w:t>
      </w:r>
      <w:r w:rsidRPr="006D1FE9">
        <w:rPr>
          <w:rFonts w:ascii="Book Antiqua" w:eastAsia="Book Antiqua" w:hAnsi="Book Antiqua" w:cs="Book Antiqua"/>
          <w:color w:val="000000"/>
        </w:rPr>
        <w:t xml:space="preserve"> 2014; </w:t>
      </w:r>
      <w:r w:rsidRPr="006D1FE9">
        <w:rPr>
          <w:rFonts w:ascii="Book Antiqua" w:eastAsia="Book Antiqua" w:hAnsi="Book Antiqua" w:cs="Book Antiqua"/>
          <w:b/>
          <w:bCs/>
          <w:color w:val="000000"/>
        </w:rPr>
        <w:t>109</w:t>
      </w:r>
      <w:r w:rsidRPr="006D1FE9">
        <w:rPr>
          <w:rFonts w:ascii="Book Antiqua" w:eastAsia="Book Antiqua" w:hAnsi="Book Antiqua" w:cs="Book Antiqua"/>
          <w:color w:val="000000"/>
        </w:rPr>
        <w:t>: 1436-1442 [PMID: 25091061 DOI: 10.1038/ajg.2014.212]</w:t>
      </w:r>
    </w:p>
    <w:p w14:paraId="624DB326"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18 </w:t>
      </w:r>
      <w:r w:rsidRPr="006D1FE9">
        <w:rPr>
          <w:rFonts w:ascii="Book Antiqua" w:eastAsia="Book Antiqua" w:hAnsi="Book Antiqua" w:cs="Book Antiqua"/>
          <w:b/>
          <w:bCs/>
          <w:color w:val="000000"/>
        </w:rPr>
        <w:t>Berman K</w:t>
      </w:r>
      <w:r w:rsidRPr="006D1FE9">
        <w:rPr>
          <w:rFonts w:ascii="Book Antiqua" w:eastAsia="Book Antiqua" w:hAnsi="Book Antiqua" w:cs="Book Antiqua"/>
          <w:color w:val="000000"/>
        </w:rPr>
        <w:t xml:space="preserve">, Tandra S, </w:t>
      </w:r>
      <w:proofErr w:type="spellStart"/>
      <w:r w:rsidRPr="006D1FE9">
        <w:rPr>
          <w:rFonts w:ascii="Book Antiqua" w:eastAsia="Book Antiqua" w:hAnsi="Book Antiqua" w:cs="Book Antiqua"/>
          <w:color w:val="000000"/>
        </w:rPr>
        <w:t>Forssell</w:t>
      </w:r>
      <w:proofErr w:type="spellEnd"/>
      <w:r w:rsidRPr="006D1FE9">
        <w:rPr>
          <w:rFonts w:ascii="Book Antiqua" w:eastAsia="Book Antiqua" w:hAnsi="Book Antiqua" w:cs="Book Antiqua"/>
          <w:color w:val="000000"/>
        </w:rPr>
        <w:t xml:space="preserve"> K, </w:t>
      </w:r>
      <w:proofErr w:type="spellStart"/>
      <w:r w:rsidRPr="006D1FE9">
        <w:rPr>
          <w:rFonts w:ascii="Book Antiqua" w:eastAsia="Book Antiqua" w:hAnsi="Book Antiqua" w:cs="Book Antiqua"/>
          <w:color w:val="000000"/>
        </w:rPr>
        <w:t>Vuppalanchi</w:t>
      </w:r>
      <w:proofErr w:type="spellEnd"/>
      <w:r w:rsidRPr="006D1FE9">
        <w:rPr>
          <w:rFonts w:ascii="Book Antiqua" w:eastAsia="Book Antiqua" w:hAnsi="Book Antiqua" w:cs="Book Antiqua"/>
          <w:color w:val="000000"/>
        </w:rPr>
        <w:t xml:space="preserve"> R, Burton JR </w:t>
      </w:r>
      <w:proofErr w:type="spellStart"/>
      <w:r w:rsidRPr="006D1FE9">
        <w:rPr>
          <w:rFonts w:ascii="Book Antiqua" w:eastAsia="Book Antiqua" w:hAnsi="Book Antiqua" w:cs="Book Antiqua"/>
          <w:color w:val="000000"/>
        </w:rPr>
        <w:t>Jr</w:t>
      </w:r>
      <w:proofErr w:type="spellEnd"/>
      <w:r w:rsidRPr="006D1FE9">
        <w:rPr>
          <w:rFonts w:ascii="Book Antiqua" w:eastAsia="Book Antiqua" w:hAnsi="Book Antiqua" w:cs="Book Antiqua"/>
          <w:color w:val="000000"/>
        </w:rPr>
        <w:t xml:space="preserve">, Nguyen J, Mullis D, </w:t>
      </w:r>
      <w:proofErr w:type="spellStart"/>
      <w:r w:rsidRPr="006D1FE9">
        <w:rPr>
          <w:rFonts w:ascii="Book Antiqua" w:eastAsia="Book Antiqua" w:hAnsi="Book Antiqua" w:cs="Book Antiqua"/>
          <w:color w:val="000000"/>
        </w:rPr>
        <w:t>Kwo</w:t>
      </w:r>
      <w:proofErr w:type="spellEnd"/>
      <w:r w:rsidRPr="006D1FE9">
        <w:rPr>
          <w:rFonts w:ascii="Book Antiqua" w:eastAsia="Book Antiqua" w:hAnsi="Book Antiqua" w:cs="Book Antiqua"/>
          <w:color w:val="000000"/>
        </w:rPr>
        <w:t xml:space="preserve"> P, </w:t>
      </w:r>
      <w:proofErr w:type="spellStart"/>
      <w:r w:rsidRPr="006D1FE9">
        <w:rPr>
          <w:rFonts w:ascii="Book Antiqua" w:eastAsia="Book Antiqua" w:hAnsi="Book Antiqua" w:cs="Book Antiqua"/>
          <w:color w:val="000000"/>
        </w:rPr>
        <w:t>Chalasani</w:t>
      </w:r>
      <w:proofErr w:type="spellEnd"/>
      <w:r w:rsidRPr="006D1FE9">
        <w:rPr>
          <w:rFonts w:ascii="Book Antiqua" w:eastAsia="Book Antiqua" w:hAnsi="Book Antiqua" w:cs="Book Antiqua"/>
          <w:color w:val="000000"/>
        </w:rPr>
        <w:t xml:space="preserve"> N. Incidence and predictors of 30-day readmission among patients hospitalized for advanced liver disease. </w:t>
      </w:r>
      <w:r w:rsidRPr="006D1FE9">
        <w:rPr>
          <w:rFonts w:ascii="Book Antiqua" w:eastAsia="Book Antiqua" w:hAnsi="Book Antiqua" w:cs="Book Antiqua"/>
          <w:i/>
          <w:iCs/>
          <w:color w:val="000000"/>
        </w:rPr>
        <w:t>Clin Gastroenterol Hepatol</w:t>
      </w:r>
      <w:r w:rsidRPr="006D1FE9">
        <w:rPr>
          <w:rFonts w:ascii="Book Antiqua" w:eastAsia="Book Antiqua" w:hAnsi="Book Antiqua" w:cs="Book Antiqua"/>
          <w:color w:val="000000"/>
        </w:rPr>
        <w:t xml:space="preserve"> 2011; </w:t>
      </w:r>
      <w:r w:rsidRPr="006D1FE9">
        <w:rPr>
          <w:rFonts w:ascii="Book Antiqua" w:eastAsia="Book Antiqua" w:hAnsi="Book Antiqua" w:cs="Book Antiqua"/>
          <w:b/>
          <w:bCs/>
          <w:color w:val="000000"/>
        </w:rPr>
        <w:t>9</w:t>
      </w:r>
      <w:r w:rsidRPr="006D1FE9">
        <w:rPr>
          <w:rFonts w:ascii="Book Antiqua" w:eastAsia="Book Antiqua" w:hAnsi="Book Antiqua" w:cs="Book Antiqua"/>
          <w:color w:val="000000"/>
        </w:rPr>
        <w:t>: 254-259 [PMID: 21092762 DOI: 10.1016/j.cgh.2010.10.035]</w:t>
      </w:r>
    </w:p>
    <w:p w14:paraId="59DEA90C"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19 </w:t>
      </w:r>
      <w:r w:rsidRPr="006D1FE9">
        <w:rPr>
          <w:rFonts w:ascii="Book Antiqua" w:eastAsia="Book Antiqua" w:hAnsi="Book Antiqua" w:cs="Book Antiqua"/>
          <w:b/>
          <w:bCs/>
          <w:color w:val="000000"/>
        </w:rPr>
        <w:t>Bajaj JS</w:t>
      </w:r>
      <w:r w:rsidRPr="006D1FE9">
        <w:rPr>
          <w:rFonts w:ascii="Book Antiqua" w:eastAsia="Book Antiqua" w:hAnsi="Book Antiqua" w:cs="Book Antiqua"/>
          <w:color w:val="000000"/>
        </w:rPr>
        <w:t>, Reddy KR, Tandon P, Wong F, Kamath PS, Garcia-</w:t>
      </w:r>
      <w:proofErr w:type="spellStart"/>
      <w:r w:rsidRPr="006D1FE9">
        <w:rPr>
          <w:rFonts w:ascii="Book Antiqua" w:eastAsia="Book Antiqua" w:hAnsi="Book Antiqua" w:cs="Book Antiqua"/>
          <w:color w:val="000000"/>
        </w:rPr>
        <w:t>Tsao</w:t>
      </w:r>
      <w:proofErr w:type="spellEnd"/>
      <w:r w:rsidRPr="006D1FE9">
        <w:rPr>
          <w:rFonts w:ascii="Book Antiqua" w:eastAsia="Book Antiqua" w:hAnsi="Book Antiqua" w:cs="Book Antiqua"/>
          <w:color w:val="000000"/>
        </w:rPr>
        <w:t xml:space="preserve"> G, </w:t>
      </w:r>
      <w:proofErr w:type="spellStart"/>
      <w:r w:rsidRPr="006D1FE9">
        <w:rPr>
          <w:rFonts w:ascii="Book Antiqua" w:eastAsia="Book Antiqua" w:hAnsi="Book Antiqua" w:cs="Book Antiqua"/>
          <w:color w:val="000000"/>
        </w:rPr>
        <w:t>Maliakkal</w:t>
      </w:r>
      <w:proofErr w:type="spellEnd"/>
      <w:r w:rsidRPr="006D1FE9">
        <w:rPr>
          <w:rFonts w:ascii="Book Antiqua" w:eastAsia="Book Antiqua" w:hAnsi="Book Antiqua" w:cs="Book Antiqua"/>
          <w:color w:val="000000"/>
        </w:rPr>
        <w:t xml:space="preserve"> B, </w:t>
      </w:r>
      <w:proofErr w:type="spellStart"/>
      <w:r w:rsidRPr="006D1FE9">
        <w:rPr>
          <w:rFonts w:ascii="Book Antiqua" w:eastAsia="Book Antiqua" w:hAnsi="Book Antiqua" w:cs="Book Antiqua"/>
          <w:color w:val="000000"/>
        </w:rPr>
        <w:t>Biggins</w:t>
      </w:r>
      <w:proofErr w:type="spellEnd"/>
      <w:r w:rsidRPr="006D1FE9">
        <w:rPr>
          <w:rFonts w:ascii="Book Antiqua" w:eastAsia="Book Antiqua" w:hAnsi="Book Antiqua" w:cs="Book Antiqua"/>
          <w:color w:val="000000"/>
        </w:rPr>
        <w:t xml:space="preserve"> SW, </w:t>
      </w:r>
      <w:proofErr w:type="spellStart"/>
      <w:r w:rsidRPr="006D1FE9">
        <w:rPr>
          <w:rFonts w:ascii="Book Antiqua" w:eastAsia="Book Antiqua" w:hAnsi="Book Antiqua" w:cs="Book Antiqua"/>
          <w:color w:val="000000"/>
        </w:rPr>
        <w:t>Thuluvath</w:t>
      </w:r>
      <w:proofErr w:type="spellEnd"/>
      <w:r w:rsidRPr="006D1FE9">
        <w:rPr>
          <w:rFonts w:ascii="Book Antiqua" w:eastAsia="Book Antiqua" w:hAnsi="Book Antiqua" w:cs="Book Antiqua"/>
          <w:color w:val="000000"/>
        </w:rPr>
        <w:t xml:space="preserve"> PJ, Fallon MB, Subramanian RM, Vargas H, Thacker LR, O'Leary JG; North American Consortium for the Study of End-Stage Liver Disease. The 3-month readmission rate remains unacceptably high in a large North American cohort of patients with cirrhosis. </w:t>
      </w:r>
      <w:r w:rsidRPr="006D1FE9">
        <w:rPr>
          <w:rFonts w:ascii="Book Antiqua" w:eastAsia="Book Antiqua" w:hAnsi="Book Antiqua" w:cs="Book Antiqua"/>
          <w:i/>
          <w:iCs/>
          <w:color w:val="000000"/>
        </w:rPr>
        <w:t>Hepatology</w:t>
      </w:r>
      <w:r w:rsidRPr="006D1FE9">
        <w:rPr>
          <w:rFonts w:ascii="Book Antiqua" w:eastAsia="Book Antiqua" w:hAnsi="Book Antiqua" w:cs="Book Antiqua"/>
          <w:color w:val="000000"/>
        </w:rPr>
        <w:t xml:space="preserve"> 2016; </w:t>
      </w:r>
      <w:r w:rsidRPr="006D1FE9">
        <w:rPr>
          <w:rFonts w:ascii="Book Antiqua" w:eastAsia="Book Antiqua" w:hAnsi="Book Antiqua" w:cs="Book Antiqua"/>
          <w:b/>
          <w:bCs/>
          <w:color w:val="000000"/>
        </w:rPr>
        <w:t>64</w:t>
      </w:r>
      <w:r w:rsidRPr="006D1FE9">
        <w:rPr>
          <w:rFonts w:ascii="Book Antiqua" w:eastAsia="Book Antiqua" w:hAnsi="Book Antiqua" w:cs="Book Antiqua"/>
          <w:color w:val="000000"/>
        </w:rPr>
        <w:t>: 200-208 [PMID: 26690389 DOI: 10.1002/hep.28414]</w:t>
      </w:r>
    </w:p>
    <w:p w14:paraId="4E080EF2"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20 </w:t>
      </w:r>
      <w:proofErr w:type="spellStart"/>
      <w:r w:rsidRPr="006D1FE9">
        <w:rPr>
          <w:rFonts w:ascii="Book Antiqua" w:eastAsia="Book Antiqua" w:hAnsi="Book Antiqua" w:cs="Book Antiqua"/>
          <w:b/>
          <w:bCs/>
          <w:color w:val="000000"/>
        </w:rPr>
        <w:t>Orman</w:t>
      </w:r>
      <w:proofErr w:type="spellEnd"/>
      <w:r w:rsidRPr="006D1FE9">
        <w:rPr>
          <w:rFonts w:ascii="Book Antiqua" w:eastAsia="Book Antiqua" w:hAnsi="Book Antiqua" w:cs="Book Antiqua"/>
          <w:b/>
          <w:bCs/>
          <w:color w:val="000000"/>
        </w:rPr>
        <w:t xml:space="preserve"> ES</w:t>
      </w:r>
      <w:r w:rsidRPr="006D1FE9">
        <w:rPr>
          <w:rFonts w:ascii="Book Antiqua" w:eastAsia="Book Antiqua" w:hAnsi="Book Antiqua" w:cs="Book Antiqua"/>
          <w:color w:val="000000"/>
        </w:rPr>
        <w:t xml:space="preserve">, </w:t>
      </w:r>
      <w:proofErr w:type="spellStart"/>
      <w:r w:rsidRPr="006D1FE9">
        <w:rPr>
          <w:rFonts w:ascii="Book Antiqua" w:eastAsia="Book Antiqua" w:hAnsi="Book Antiqua" w:cs="Book Antiqua"/>
          <w:color w:val="000000"/>
        </w:rPr>
        <w:t>Ghabril</w:t>
      </w:r>
      <w:proofErr w:type="spellEnd"/>
      <w:r w:rsidRPr="006D1FE9">
        <w:rPr>
          <w:rFonts w:ascii="Book Antiqua" w:eastAsia="Book Antiqua" w:hAnsi="Book Antiqua" w:cs="Book Antiqua"/>
          <w:color w:val="000000"/>
        </w:rPr>
        <w:t xml:space="preserve"> M, Emmett TW, </w:t>
      </w:r>
      <w:proofErr w:type="spellStart"/>
      <w:r w:rsidRPr="006D1FE9">
        <w:rPr>
          <w:rFonts w:ascii="Book Antiqua" w:eastAsia="Book Antiqua" w:hAnsi="Book Antiqua" w:cs="Book Antiqua"/>
          <w:color w:val="000000"/>
        </w:rPr>
        <w:t>Chalasani</w:t>
      </w:r>
      <w:proofErr w:type="spellEnd"/>
      <w:r w:rsidRPr="006D1FE9">
        <w:rPr>
          <w:rFonts w:ascii="Book Antiqua" w:eastAsia="Book Antiqua" w:hAnsi="Book Antiqua" w:cs="Book Antiqua"/>
          <w:color w:val="000000"/>
        </w:rPr>
        <w:t xml:space="preserve"> N. Hospital Readmissions in Patients with Cirrhosis: A Systematic Review. </w:t>
      </w:r>
      <w:r w:rsidRPr="006D1FE9">
        <w:rPr>
          <w:rFonts w:ascii="Book Antiqua" w:eastAsia="Book Antiqua" w:hAnsi="Book Antiqua" w:cs="Book Antiqua"/>
          <w:i/>
          <w:iCs/>
          <w:color w:val="000000"/>
        </w:rPr>
        <w:t>J Hosp Med</w:t>
      </w:r>
      <w:r w:rsidR="002144C3" w:rsidRPr="006D1FE9">
        <w:rPr>
          <w:rFonts w:ascii="Book Antiqua" w:eastAsia="Book Antiqua" w:hAnsi="Book Antiqua" w:cs="Book Antiqua"/>
          <w:color w:val="000000"/>
        </w:rPr>
        <w:t xml:space="preserve"> 2018 </w:t>
      </w:r>
      <w:r w:rsidRPr="006D1FE9">
        <w:rPr>
          <w:rFonts w:ascii="Book Antiqua" w:eastAsia="Book Antiqua" w:hAnsi="Book Antiqua" w:cs="Book Antiqua"/>
          <w:color w:val="000000"/>
        </w:rPr>
        <w:t>[PMID: 29694458 DOI: 10.12788/jhm.2967]</w:t>
      </w:r>
    </w:p>
    <w:p w14:paraId="26322EBC"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21 </w:t>
      </w:r>
      <w:r w:rsidRPr="006D1FE9">
        <w:rPr>
          <w:rFonts w:ascii="Book Antiqua" w:eastAsia="Book Antiqua" w:hAnsi="Book Antiqua" w:cs="Book Antiqua"/>
          <w:b/>
          <w:bCs/>
          <w:color w:val="000000"/>
        </w:rPr>
        <w:t>Tapper EB</w:t>
      </w:r>
      <w:r w:rsidRPr="006D1FE9">
        <w:rPr>
          <w:rFonts w:ascii="Book Antiqua" w:eastAsia="Book Antiqua" w:hAnsi="Book Antiqua" w:cs="Book Antiqua"/>
          <w:color w:val="000000"/>
        </w:rPr>
        <w:t xml:space="preserve">, Halbert B, Mellinger J. Rates of and Reasons for Hospital Readmissions in Patients </w:t>
      </w:r>
      <w:r w:rsidR="002144C3" w:rsidRPr="006D1FE9">
        <w:rPr>
          <w:rFonts w:ascii="Book Antiqua" w:eastAsia="Book Antiqua" w:hAnsi="Book Antiqua" w:cs="Book Antiqua"/>
          <w:color w:val="000000"/>
        </w:rPr>
        <w:t>with </w:t>
      </w:r>
      <w:r w:rsidRPr="006D1FE9">
        <w:rPr>
          <w:rFonts w:ascii="Book Antiqua" w:eastAsia="Book Antiqua" w:hAnsi="Book Antiqua" w:cs="Book Antiqua"/>
          <w:color w:val="000000"/>
        </w:rPr>
        <w:t xml:space="preserve">Cirrhosis: A Multistate Population-based Cohort Study. </w:t>
      </w:r>
      <w:r w:rsidRPr="006D1FE9">
        <w:rPr>
          <w:rFonts w:ascii="Book Antiqua" w:eastAsia="Book Antiqua" w:hAnsi="Book Antiqua" w:cs="Book Antiqua"/>
          <w:i/>
          <w:iCs/>
          <w:color w:val="000000"/>
        </w:rPr>
        <w:t>Clin Gastroenterol Hepatol</w:t>
      </w:r>
      <w:r w:rsidRPr="006D1FE9">
        <w:rPr>
          <w:rFonts w:ascii="Book Antiqua" w:eastAsia="Book Antiqua" w:hAnsi="Book Antiqua" w:cs="Book Antiqua"/>
          <w:color w:val="000000"/>
        </w:rPr>
        <w:t xml:space="preserve"> 2016; </w:t>
      </w:r>
      <w:r w:rsidRPr="006D1FE9">
        <w:rPr>
          <w:rFonts w:ascii="Book Antiqua" w:eastAsia="Book Antiqua" w:hAnsi="Book Antiqua" w:cs="Book Antiqua"/>
          <w:b/>
          <w:bCs/>
          <w:color w:val="000000"/>
        </w:rPr>
        <w:t>14</w:t>
      </w:r>
      <w:r w:rsidRPr="006D1FE9">
        <w:rPr>
          <w:rFonts w:ascii="Book Antiqua" w:eastAsia="Book Antiqua" w:hAnsi="Book Antiqua" w:cs="Book Antiqua"/>
          <w:color w:val="000000"/>
        </w:rPr>
        <w:t>: 1181-1188.e2 [PMID: 27085758 DOI: 10.1016/j.cgh.2016.04.009]</w:t>
      </w:r>
    </w:p>
    <w:p w14:paraId="6E37AD73"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22 </w:t>
      </w:r>
      <w:r w:rsidRPr="006D1FE9">
        <w:rPr>
          <w:rFonts w:ascii="Book Antiqua" w:eastAsia="Book Antiqua" w:hAnsi="Book Antiqua" w:cs="Book Antiqua"/>
          <w:b/>
          <w:bCs/>
          <w:color w:val="000000"/>
        </w:rPr>
        <w:t>Volk ML</w:t>
      </w:r>
      <w:r w:rsidRPr="006D1FE9">
        <w:rPr>
          <w:rFonts w:ascii="Book Antiqua" w:eastAsia="Book Antiqua" w:hAnsi="Book Antiqua" w:cs="Book Antiqua"/>
          <w:color w:val="000000"/>
        </w:rPr>
        <w:t xml:space="preserve">, </w:t>
      </w:r>
      <w:proofErr w:type="spellStart"/>
      <w:r w:rsidRPr="006D1FE9">
        <w:rPr>
          <w:rFonts w:ascii="Book Antiqua" w:eastAsia="Book Antiqua" w:hAnsi="Book Antiqua" w:cs="Book Antiqua"/>
          <w:color w:val="000000"/>
        </w:rPr>
        <w:t>Tocco</w:t>
      </w:r>
      <w:proofErr w:type="spellEnd"/>
      <w:r w:rsidRPr="006D1FE9">
        <w:rPr>
          <w:rFonts w:ascii="Book Antiqua" w:eastAsia="Book Antiqua" w:hAnsi="Book Antiqua" w:cs="Book Antiqua"/>
          <w:color w:val="000000"/>
        </w:rPr>
        <w:t xml:space="preserve"> RS, </w:t>
      </w:r>
      <w:proofErr w:type="spellStart"/>
      <w:r w:rsidRPr="006D1FE9">
        <w:rPr>
          <w:rFonts w:ascii="Book Antiqua" w:eastAsia="Book Antiqua" w:hAnsi="Book Antiqua" w:cs="Book Antiqua"/>
          <w:color w:val="000000"/>
        </w:rPr>
        <w:t>Bazick</w:t>
      </w:r>
      <w:proofErr w:type="spellEnd"/>
      <w:r w:rsidRPr="006D1FE9">
        <w:rPr>
          <w:rFonts w:ascii="Book Antiqua" w:eastAsia="Book Antiqua" w:hAnsi="Book Antiqua" w:cs="Book Antiqua"/>
          <w:color w:val="000000"/>
        </w:rPr>
        <w:t xml:space="preserve"> J, </w:t>
      </w:r>
      <w:proofErr w:type="spellStart"/>
      <w:r w:rsidRPr="006D1FE9">
        <w:rPr>
          <w:rFonts w:ascii="Book Antiqua" w:eastAsia="Book Antiqua" w:hAnsi="Book Antiqua" w:cs="Book Antiqua"/>
          <w:color w:val="000000"/>
        </w:rPr>
        <w:t>Rakoski</w:t>
      </w:r>
      <w:proofErr w:type="spellEnd"/>
      <w:r w:rsidRPr="006D1FE9">
        <w:rPr>
          <w:rFonts w:ascii="Book Antiqua" w:eastAsia="Book Antiqua" w:hAnsi="Book Antiqua" w:cs="Book Antiqua"/>
          <w:color w:val="000000"/>
        </w:rPr>
        <w:t xml:space="preserve"> MO, Lok AS. Hospital readmissions among patients with decompensated cirrhosis. </w:t>
      </w:r>
      <w:r w:rsidRPr="006D1FE9">
        <w:rPr>
          <w:rFonts w:ascii="Book Antiqua" w:eastAsia="Book Antiqua" w:hAnsi="Book Antiqua" w:cs="Book Antiqua"/>
          <w:i/>
          <w:iCs/>
          <w:color w:val="000000"/>
        </w:rPr>
        <w:t>Am J Gastroenterol</w:t>
      </w:r>
      <w:r w:rsidRPr="006D1FE9">
        <w:rPr>
          <w:rFonts w:ascii="Book Antiqua" w:eastAsia="Book Antiqua" w:hAnsi="Book Antiqua" w:cs="Book Antiqua"/>
          <w:color w:val="000000"/>
        </w:rPr>
        <w:t xml:space="preserve"> 2012; </w:t>
      </w:r>
      <w:r w:rsidRPr="006D1FE9">
        <w:rPr>
          <w:rFonts w:ascii="Book Antiqua" w:eastAsia="Book Antiqua" w:hAnsi="Book Antiqua" w:cs="Book Antiqua"/>
          <w:b/>
          <w:bCs/>
          <w:color w:val="000000"/>
        </w:rPr>
        <w:t>107</w:t>
      </w:r>
      <w:r w:rsidRPr="006D1FE9">
        <w:rPr>
          <w:rFonts w:ascii="Book Antiqua" w:eastAsia="Book Antiqua" w:hAnsi="Book Antiqua" w:cs="Book Antiqua"/>
          <w:color w:val="000000"/>
        </w:rPr>
        <w:t>: 247-252 [PMID: 21931378 DOI: 10.1038/ajg.2011.314]</w:t>
      </w:r>
    </w:p>
    <w:p w14:paraId="6905F5BB"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23 </w:t>
      </w:r>
      <w:proofErr w:type="spellStart"/>
      <w:r w:rsidRPr="006D1FE9">
        <w:rPr>
          <w:rFonts w:ascii="Book Antiqua" w:eastAsia="Book Antiqua" w:hAnsi="Book Antiqua" w:cs="Book Antiqua"/>
          <w:b/>
          <w:bCs/>
          <w:color w:val="000000"/>
        </w:rPr>
        <w:t>Chirapongsathorn</w:t>
      </w:r>
      <w:proofErr w:type="spellEnd"/>
      <w:r w:rsidRPr="006D1FE9">
        <w:rPr>
          <w:rFonts w:ascii="Book Antiqua" w:eastAsia="Book Antiqua" w:hAnsi="Book Antiqua" w:cs="Book Antiqua"/>
          <w:b/>
          <w:bCs/>
          <w:color w:val="000000"/>
        </w:rPr>
        <w:t xml:space="preserve"> S</w:t>
      </w:r>
      <w:r w:rsidRPr="006D1FE9">
        <w:rPr>
          <w:rFonts w:ascii="Book Antiqua" w:eastAsia="Book Antiqua" w:hAnsi="Book Antiqua" w:cs="Book Antiqua"/>
          <w:color w:val="000000"/>
        </w:rPr>
        <w:t xml:space="preserve">, </w:t>
      </w:r>
      <w:proofErr w:type="spellStart"/>
      <w:r w:rsidRPr="006D1FE9">
        <w:rPr>
          <w:rFonts w:ascii="Book Antiqua" w:eastAsia="Book Antiqua" w:hAnsi="Book Antiqua" w:cs="Book Antiqua"/>
          <w:color w:val="000000"/>
        </w:rPr>
        <w:t>Krittanawong</w:t>
      </w:r>
      <w:proofErr w:type="spellEnd"/>
      <w:r w:rsidRPr="006D1FE9">
        <w:rPr>
          <w:rFonts w:ascii="Book Antiqua" w:eastAsia="Book Antiqua" w:hAnsi="Book Antiqua" w:cs="Book Antiqua"/>
          <w:color w:val="000000"/>
        </w:rPr>
        <w:t xml:space="preserve"> C, Enders FT, </w:t>
      </w:r>
      <w:proofErr w:type="spellStart"/>
      <w:r w:rsidRPr="006D1FE9">
        <w:rPr>
          <w:rFonts w:ascii="Book Antiqua" w:eastAsia="Book Antiqua" w:hAnsi="Book Antiqua" w:cs="Book Antiqua"/>
          <w:color w:val="000000"/>
        </w:rPr>
        <w:t>Pendegraft</w:t>
      </w:r>
      <w:proofErr w:type="spellEnd"/>
      <w:r w:rsidRPr="006D1FE9">
        <w:rPr>
          <w:rFonts w:ascii="Book Antiqua" w:eastAsia="Book Antiqua" w:hAnsi="Book Antiqua" w:cs="Book Antiqua"/>
          <w:color w:val="000000"/>
        </w:rPr>
        <w:t xml:space="preserve"> R, Mara KC, Borah BJ, Visscher SL, Loftus CG, Shah VH, Talwalkar JA, Kamath PS. Incidence and cost analysis of hospital admission and 30-day readmission among patients with cirrhosis. </w:t>
      </w:r>
      <w:proofErr w:type="spellStart"/>
      <w:r w:rsidRPr="006D1FE9">
        <w:rPr>
          <w:rFonts w:ascii="Book Antiqua" w:eastAsia="Book Antiqua" w:hAnsi="Book Antiqua" w:cs="Book Antiqua"/>
          <w:i/>
          <w:iCs/>
          <w:color w:val="000000"/>
        </w:rPr>
        <w:t>Hepatol</w:t>
      </w:r>
      <w:proofErr w:type="spellEnd"/>
      <w:r w:rsidRPr="006D1FE9">
        <w:rPr>
          <w:rFonts w:ascii="Book Antiqua" w:eastAsia="Book Antiqua" w:hAnsi="Book Antiqua" w:cs="Book Antiqua"/>
          <w:i/>
          <w:iCs/>
          <w:color w:val="000000"/>
        </w:rPr>
        <w:t xml:space="preserve"> </w:t>
      </w:r>
      <w:proofErr w:type="spellStart"/>
      <w:r w:rsidRPr="006D1FE9">
        <w:rPr>
          <w:rFonts w:ascii="Book Antiqua" w:eastAsia="Book Antiqua" w:hAnsi="Book Antiqua" w:cs="Book Antiqua"/>
          <w:i/>
          <w:iCs/>
          <w:color w:val="000000"/>
        </w:rPr>
        <w:t>Commun</w:t>
      </w:r>
      <w:proofErr w:type="spellEnd"/>
      <w:r w:rsidRPr="006D1FE9">
        <w:rPr>
          <w:rFonts w:ascii="Book Antiqua" w:eastAsia="Book Antiqua" w:hAnsi="Book Antiqua" w:cs="Book Antiqua"/>
          <w:color w:val="000000"/>
        </w:rPr>
        <w:t xml:space="preserve"> 2018; </w:t>
      </w:r>
      <w:r w:rsidRPr="006D1FE9">
        <w:rPr>
          <w:rFonts w:ascii="Book Antiqua" w:eastAsia="Book Antiqua" w:hAnsi="Book Antiqua" w:cs="Book Antiqua"/>
          <w:b/>
          <w:bCs/>
          <w:color w:val="000000"/>
        </w:rPr>
        <w:t>2</w:t>
      </w:r>
      <w:r w:rsidRPr="006D1FE9">
        <w:rPr>
          <w:rFonts w:ascii="Book Antiqua" w:eastAsia="Book Antiqua" w:hAnsi="Book Antiqua" w:cs="Book Antiqua"/>
          <w:color w:val="000000"/>
        </w:rPr>
        <w:t>: 188-198 [PMID: 29404526 DOI: 10.1002/hep4.1137]</w:t>
      </w:r>
    </w:p>
    <w:p w14:paraId="24B108F0"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lastRenderedPageBreak/>
        <w:t xml:space="preserve">24 </w:t>
      </w:r>
      <w:proofErr w:type="spellStart"/>
      <w:r w:rsidRPr="006D1FE9">
        <w:rPr>
          <w:rFonts w:ascii="Book Antiqua" w:eastAsia="Book Antiqua" w:hAnsi="Book Antiqua" w:cs="Book Antiqua"/>
          <w:b/>
          <w:bCs/>
          <w:color w:val="000000"/>
        </w:rPr>
        <w:t>Shaheen</w:t>
      </w:r>
      <w:proofErr w:type="spellEnd"/>
      <w:r w:rsidRPr="006D1FE9">
        <w:rPr>
          <w:rFonts w:ascii="Book Antiqua" w:eastAsia="Book Antiqua" w:hAnsi="Book Antiqua" w:cs="Book Antiqua"/>
          <w:b/>
          <w:bCs/>
          <w:color w:val="000000"/>
        </w:rPr>
        <w:t xml:space="preserve"> AA</w:t>
      </w:r>
      <w:r w:rsidRPr="006D1FE9">
        <w:rPr>
          <w:rFonts w:ascii="Book Antiqua" w:eastAsia="Book Antiqua" w:hAnsi="Book Antiqua" w:cs="Book Antiqua"/>
          <w:color w:val="000000"/>
        </w:rPr>
        <w:t xml:space="preserve">, Nguyen HH, </w:t>
      </w:r>
      <w:proofErr w:type="spellStart"/>
      <w:r w:rsidRPr="006D1FE9">
        <w:rPr>
          <w:rFonts w:ascii="Book Antiqua" w:eastAsia="Book Antiqua" w:hAnsi="Book Antiqua" w:cs="Book Antiqua"/>
          <w:color w:val="000000"/>
        </w:rPr>
        <w:t>Congly</w:t>
      </w:r>
      <w:proofErr w:type="spellEnd"/>
      <w:r w:rsidRPr="006D1FE9">
        <w:rPr>
          <w:rFonts w:ascii="Book Antiqua" w:eastAsia="Book Antiqua" w:hAnsi="Book Antiqua" w:cs="Book Antiqua"/>
          <w:color w:val="000000"/>
        </w:rPr>
        <w:t xml:space="preserve"> SE, Kaplan GG, Swain MG. Nationwide estimates and risk factors of hospital readmission in patients with cirrhosis in the United States. </w:t>
      </w:r>
      <w:r w:rsidRPr="006D1FE9">
        <w:rPr>
          <w:rFonts w:ascii="Book Antiqua" w:eastAsia="Book Antiqua" w:hAnsi="Book Antiqua" w:cs="Book Antiqua"/>
          <w:i/>
          <w:iCs/>
          <w:color w:val="000000"/>
        </w:rPr>
        <w:t>Liver Int</w:t>
      </w:r>
      <w:r w:rsidRPr="006D1FE9">
        <w:rPr>
          <w:rFonts w:ascii="Book Antiqua" w:eastAsia="Book Antiqua" w:hAnsi="Book Antiqua" w:cs="Book Antiqua"/>
          <w:color w:val="000000"/>
        </w:rPr>
        <w:t xml:space="preserve"> 2019; </w:t>
      </w:r>
      <w:r w:rsidRPr="006D1FE9">
        <w:rPr>
          <w:rFonts w:ascii="Book Antiqua" w:eastAsia="Book Antiqua" w:hAnsi="Book Antiqua" w:cs="Book Antiqua"/>
          <w:b/>
          <w:bCs/>
          <w:color w:val="000000"/>
        </w:rPr>
        <w:t>39</w:t>
      </w:r>
      <w:r w:rsidRPr="006D1FE9">
        <w:rPr>
          <w:rFonts w:ascii="Book Antiqua" w:eastAsia="Book Antiqua" w:hAnsi="Book Antiqua" w:cs="Book Antiqua"/>
          <w:color w:val="000000"/>
        </w:rPr>
        <w:t>: 878-884 [PMID: 30688401 DOI: 10.1111/liv.14054]</w:t>
      </w:r>
    </w:p>
    <w:p w14:paraId="36B09849"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25 </w:t>
      </w:r>
      <w:r w:rsidRPr="006D1FE9">
        <w:rPr>
          <w:rFonts w:ascii="Book Antiqua" w:eastAsia="Book Antiqua" w:hAnsi="Book Antiqua" w:cs="Book Antiqua"/>
          <w:b/>
          <w:bCs/>
          <w:color w:val="000000"/>
        </w:rPr>
        <w:t>Sobotka LA</w:t>
      </w:r>
      <w:r w:rsidRPr="006D1FE9">
        <w:rPr>
          <w:rFonts w:ascii="Book Antiqua" w:eastAsia="Book Antiqua" w:hAnsi="Book Antiqua" w:cs="Book Antiqua"/>
          <w:color w:val="000000"/>
        </w:rPr>
        <w:t xml:space="preserve">, </w:t>
      </w:r>
      <w:proofErr w:type="spellStart"/>
      <w:r w:rsidRPr="006D1FE9">
        <w:rPr>
          <w:rFonts w:ascii="Book Antiqua" w:eastAsia="Book Antiqua" w:hAnsi="Book Antiqua" w:cs="Book Antiqua"/>
          <w:color w:val="000000"/>
        </w:rPr>
        <w:t>Modi</w:t>
      </w:r>
      <w:proofErr w:type="spellEnd"/>
      <w:r w:rsidRPr="006D1FE9">
        <w:rPr>
          <w:rFonts w:ascii="Book Antiqua" w:eastAsia="Book Antiqua" w:hAnsi="Book Antiqua" w:cs="Book Antiqua"/>
          <w:color w:val="000000"/>
        </w:rPr>
        <w:t xml:space="preserve"> RM, </w:t>
      </w:r>
      <w:proofErr w:type="spellStart"/>
      <w:r w:rsidRPr="006D1FE9">
        <w:rPr>
          <w:rFonts w:ascii="Book Antiqua" w:eastAsia="Book Antiqua" w:hAnsi="Book Antiqua" w:cs="Book Antiqua"/>
          <w:color w:val="000000"/>
        </w:rPr>
        <w:t>Vijayaraman</w:t>
      </w:r>
      <w:proofErr w:type="spellEnd"/>
      <w:r w:rsidRPr="006D1FE9">
        <w:rPr>
          <w:rFonts w:ascii="Book Antiqua" w:eastAsia="Book Antiqua" w:hAnsi="Book Antiqua" w:cs="Book Antiqua"/>
          <w:color w:val="000000"/>
        </w:rPr>
        <w:t xml:space="preserve"> A, </w:t>
      </w:r>
      <w:proofErr w:type="spellStart"/>
      <w:r w:rsidRPr="006D1FE9">
        <w:rPr>
          <w:rFonts w:ascii="Book Antiqua" w:eastAsia="Book Antiqua" w:hAnsi="Book Antiqua" w:cs="Book Antiqua"/>
          <w:color w:val="000000"/>
        </w:rPr>
        <w:t>Hanje</w:t>
      </w:r>
      <w:proofErr w:type="spellEnd"/>
      <w:r w:rsidRPr="006D1FE9">
        <w:rPr>
          <w:rFonts w:ascii="Book Antiqua" w:eastAsia="Book Antiqua" w:hAnsi="Book Antiqua" w:cs="Book Antiqua"/>
          <w:color w:val="000000"/>
        </w:rPr>
        <w:t xml:space="preserve"> AJ, Michaels AJ, Conteh LF, Hinton A, El-</w:t>
      </w:r>
      <w:proofErr w:type="spellStart"/>
      <w:r w:rsidRPr="006D1FE9">
        <w:rPr>
          <w:rFonts w:ascii="Book Antiqua" w:eastAsia="Book Antiqua" w:hAnsi="Book Antiqua" w:cs="Book Antiqua"/>
          <w:color w:val="000000"/>
        </w:rPr>
        <w:t>Hinnawi</w:t>
      </w:r>
      <w:proofErr w:type="spellEnd"/>
      <w:r w:rsidRPr="006D1FE9">
        <w:rPr>
          <w:rFonts w:ascii="Book Antiqua" w:eastAsia="Book Antiqua" w:hAnsi="Book Antiqua" w:cs="Book Antiqua"/>
          <w:color w:val="000000"/>
        </w:rPr>
        <w:t xml:space="preserve"> A, </w:t>
      </w:r>
      <w:proofErr w:type="spellStart"/>
      <w:r w:rsidRPr="006D1FE9">
        <w:rPr>
          <w:rFonts w:ascii="Book Antiqua" w:eastAsia="Book Antiqua" w:hAnsi="Book Antiqua" w:cs="Book Antiqua"/>
          <w:color w:val="000000"/>
        </w:rPr>
        <w:t>Mumtaz</w:t>
      </w:r>
      <w:proofErr w:type="spellEnd"/>
      <w:r w:rsidRPr="006D1FE9">
        <w:rPr>
          <w:rFonts w:ascii="Book Antiqua" w:eastAsia="Book Antiqua" w:hAnsi="Book Antiqua" w:cs="Book Antiqua"/>
          <w:color w:val="000000"/>
        </w:rPr>
        <w:t xml:space="preserve"> K. </w:t>
      </w:r>
      <w:proofErr w:type="spellStart"/>
      <w:r w:rsidRPr="006D1FE9">
        <w:rPr>
          <w:rFonts w:ascii="Book Antiqua" w:eastAsia="Book Antiqua" w:hAnsi="Book Antiqua" w:cs="Book Antiqua"/>
          <w:color w:val="000000"/>
        </w:rPr>
        <w:t>Paracentesis</w:t>
      </w:r>
      <w:proofErr w:type="spellEnd"/>
      <w:r w:rsidRPr="006D1FE9">
        <w:rPr>
          <w:rFonts w:ascii="Book Antiqua" w:eastAsia="Book Antiqua" w:hAnsi="Book Antiqua" w:cs="Book Antiqua"/>
          <w:color w:val="000000"/>
        </w:rPr>
        <w:t xml:space="preserve"> in </w:t>
      </w:r>
      <w:proofErr w:type="spellStart"/>
      <w:r w:rsidRPr="006D1FE9">
        <w:rPr>
          <w:rFonts w:ascii="Book Antiqua" w:eastAsia="Book Antiqua" w:hAnsi="Book Antiqua" w:cs="Book Antiqua"/>
          <w:color w:val="000000"/>
        </w:rPr>
        <w:t>cirrhotics</w:t>
      </w:r>
      <w:proofErr w:type="spellEnd"/>
      <w:r w:rsidRPr="006D1FE9">
        <w:rPr>
          <w:rFonts w:ascii="Book Antiqua" w:eastAsia="Book Antiqua" w:hAnsi="Book Antiqua" w:cs="Book Antiqua"/>
          <w:color w:val="000000"/>
        </w:rPr>
        <w:t xml:space="preserve"> is associated with increased risk of 30-day readmission. </w:t>
      </w:r>
      <w:r w:rsidRPr="006D1FE9">
        <w:rPr>
          <w:rFonts w:ascii="Book Antiqua" w:eastAsia="Book Antiqua" w:hAnsi="Book Antiqua" w:cs="Book Antiqua"/>
          <w:i/>
          <w:iCs/>
          <w:color w:val="000000"/>
        </w:rPr>
        <w:t>World J Hepatol</w:t>
      </w:r>
      <w:r w:rsidRPr="006D1FE9">
        <w:rPr>
          <w:rFonts w:ascii="Book Antiqua" w:eastAsia="Book Antiqua" w:hAnsi="Book Antiqua" w:cs="Book Antiqua"/>
          <w:color w:val="000000"/>
        </w:rPr>
        <w:t xml:space="preserve"> 2018; </w:t>
      </w:r>
      <w:r w:rsidRPr="006D1FE9">
        <w:rPr>
          <w:rFonts w:ascii="Book Antiqua" w:eastAsia="Book Antiqua" w:hAnsi="Book Antiqua" w:cs="Book Antiqua"/>
          <w:b/>
          <w:bCs/>
          <w:color w:val="000000"/>
        </w:rPr>
        <w:t>10</w:t>
      </w:r>
      <w:r w:rsidRPr="006D1FE9">
        <w:rPr>
          <w:rFonts w:ascii="Book Antiqua" w:eastAsia="Book Antiqua" w:hAnsi="Book Antiqua" w:cs="Book Antiqua"/>
          <w:color w:val="000000"/>
        </w:rPr>
        <w:t>: 425-432 [PMID: 29988878 DOI: 10.4254/wjh.v10.i6.425]</w:t>
      </w:r>
    </w:p>
    <w:p w14:paraId="2FCEEBBB"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26 </w:t>
      </w:r>
      <w:proofErr w:type="spellStart"/>
      <w:r w:rsidRPr="006D1FE9">
        <w:rPr>
          <w:rFonts w:ascii="Book Antiqua" w:eastAsia="Book Antiqua" w:hAnsi="Book Antiqua" w:cs="Book Antiqua"/>
          <w:b/>
          <w:bCs/>
          <w:color w:val="000000"/>
        </w:rPr>
        <w:t>McVay</w:t>
      </w:r>
      <w:proofErr w:type="spellEnd"/>
      <w:r w:rsidRPr="006D1FE9">
        <w:rPr>
          <w:rFonts w:ascii="Book Antiqua" w:eastAsia="Book Antiqua" w:hAnsi="Book Antiqua" w:cs="Book Antiqua"/>
          <w:b/>
          <w:bCs/>
          <w:color w:val="000000"/>
        </w:rPr>
        <w:t xml:space="preserve"> PA</w:t>
      </w:r>
      <w:r w:rsidRPr="006D1FE9">
        <w:rPr>
          <w:rFonts w:ascii="Book Antiqua" w:eastAsia="Book Antiqua" w:hAnsi="Book Antiqua" w:cs="Book Antiqua"/>
          <w:color w:val="000000"/>
        </w:rPr>
        <w:t xml:space="preserve">, Toy PT. Lack of increased bleeding after paracentesis and thoracentesis in patients with mild coagulation abnormalities. </w:t>
      </w:r>
      <w:r w:rsidRPr="006D1FE9">
        <w:rPr>
          <w:rFonts w:ascii="Book Antiqua" w:eastAsia="Book Antiqua" w:hAnsi="Book Antiqua" w:cs="Book Antiqua"/>
          <w:i/>
          <w:iCs/>
          <w:color w:val="000000"/>
        </w:rPr>
        <w:t>Transfusion</w:t>
      </w:r>
      <w:r w:rsidRPr="006D1FE9">
        <w:rPr>
          <w:rFonts w:ascii="Book Antiqua" w:eastAsia="Book Antiqua" w:hAnsi="Book Antiqua" w:cs="Book Antiqua"/>
          <w:color w:val="000000"/>
        </w:rPr>
        <w:t xml:space="preserve"> 1991; </w:t>
      </w:r>
      <w:r w:rsidRPr="006D1FE9">
        <w:rPr>
          <w:rFonts w:ascii="Book Antiqua" w:eastAsia="Book Antiqua" w:hAnsi="Book Antiqua" w:cs="Book Antiqua"/>
          <w:b/>
          <w:bCs/>
          <w:color w:val="000000"/>
        </w:rPr>
        <w:t>31</w:t>
      </w:r>
      <w:r w:rsidRPr="006D1FE9">
        <w:rPr>
          <w:rFonts w:ascii="Book Antiqua" w:eastAsia="Book Antiqua" w:hAnsi="Book Antiqua" w:cs="Book Antiqua"/>
          <w:color w:val="000000"/>
        </w:rPr>
        <w:t>: 164-171 [PMID: 1996485 DOI: 10.1046/j.1537-2995.1991.31291142949.x]</w:t>
      </w:r>
    </w:p>
    <w:p w14:paraId="30363C27" w14:textId="77777777" w:rsidR="00A77B3E" w:rsidRPr="006D1FE9" w:rsidRDefault="00A77B3E" w:rsidP="006D1FE9">
      <w:pPr>
        <w:adjustRightInd w:val="0"/>
        <w:snapToGrid w:val="0"/>
        <w:spacing w:line="360" w:lineRule="auto"/>
        <w:jc w:val="both"/>
        <w:rPr>
          <w:rFonts w:ascii="Book Antiqua" w:hAnsi="Book Antiqua"/>
        </w:rPr>
        <w:sectPr w:rsidR="00A77B3E" w:rsidRPr="006D1FE9" w:rsidSect="008E0F11">
          <w:pgSz w:w="12240" w:h="15840"/>
          <w:pgMar w:top="1440" w:right="1800" w:bottom="1440" w:left="1800" w:header="720" w:footer="720" w:gutter="0"/>
          <w:cols w:space="720"/>
          <w:docGrid w:linePitch="360"/>
        </w:sectPr>
      </w:pPr>
    </w:p>
    <w:bookmarkEnd w:id="35"/>
    <w:bookmarkEnd w:id="36"/>
    <w:p w14:paraId="2BAE6821"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lastRenderedPageBreak/>
        <w:t>Footnotes</w:t>
      </w:r>
    </w:p>
    <w:p w14:paraId="5CDD8A29"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Institutional review board statement: </w:t>
      </w:r>
      <w:bookmarkStart w:id="39" w:name="OLE_LINK39"/>
      <w:bookmarkStart w:id="40" w:name="OLE_LINK40"/>
      <w:r w:rsidRPr="006D1FE9">
        <w:rPr>
          <w:rFonts w:ascii="Book Antiqua" w:eastAsia="Book Antiqua" w:hAnsi="Book Antiqua" w:cs="Book Antiqua"/>
          <w:color w:val="000000"/>
        </w:rPr>
        <w:t>The study was reviewed and approved for publication by our Institutional reviewer.</w:t>
      </w:r>
      <w:bookmarkEnd w:id="39"/>
      <w:bookmarkEnd w:id="40"/>
    </w:p>
    <w:p w14:paraId="3A0A2E5F" w14:textId="77777777" w:rsidR="00A77B3E" w:rsidRPr="006D1FE9" w:rsidRDefault="00A77B3E" w:rsidP="006D1FE9">
      <w:pPr>
        <w:adjustRightInd w:val="0"/>
        <w:snapToGrid w:val="0"/>
        <w:spacing w:line="360" w:lineRule="auto"/>
        <w:ind w:firstLine="720"/>
        <w:jc w:val="both"/>
        <w:rPr>
          <w:rFonts w:ascii="Book Antiqua" w:hAnsi="Book Antiqua"/>
        </w:rPr>
      </w:pPr>
    </w:p>
    <w:p w14:paraId="33A1C66F"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Conflict-of-interest statement: </w:t>
      </w:r>
      <w:r w:rsidRPr="006D1FE9">
        <w:rPr>
          <w:rFonts w:ascii="Book Antiqua" w:eastAsia="Book Antiqua" w:hAnsi="Book Antiqua" w:cs="Book Antiqua"/>
          <w:color w:val="000000"/>
        </w:rPr>
        <w:t xml:space="preserve">Nothing to disclose. </w:t>
      </w:r>
    </w:p>
    <w:p w14:paraId="60465495" w14:textId="77777777" w:rsidR="00A77B3E" w:rsidRPr="006D1FE9" w:rsidRDefault="00A77B3E" w:rsidP="006D1FE9">
      <w:pPr>
        <w:adjustRightInd w:val="0"/>
        <w:snapToGrid w:val="0"/>
        <w:spacing w:line="360" w:lineRule="auto"/>
        <w:jc w:val="both"/>
        <w:rPr>
          <w:rFonts w:ascii="Book Antiqua" w:hAnsi="Book Antiqua"/>
        </w:rPr>
      </w:pPr>
    </w:p>
    <w:p w14:paraId="0527C42E"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Data sharing statement: </w:t>
      </w:r>
      <w:bookmarkStart w:id="41" w:name="OLE_LINK41"/>
      <w:bookmarkStart w:id="42" w:name="OLE_LINK42"/>
      <w:r w:rsidRPr="006D1FE9">
        <w:rPr>
          <w:rFonts w:ascii="Book Antiqua" w:eastAsia="Book Antiqua" w:hAnsi="Book Antiqua" w:cs="Book Antiqua"/>
          <w:color w:val="000000"/>
          <w:shd w:val="clear" w:color="auto" w:fill="FFFFFF"/>
        </w:rPr>
        <w:t>Data set and statistics available from the corresponding author at dr.andreidumitru@gmail.com.</w:t>
      </w:r>
      <w:bookmarkEnd w:id="41"/>
      <w:bookmarkEnd w:id="42"/>
    </w:p>
    <w:p w14:paraId="619DC956" w14:textId="77777777" w:rsidR="00C07110" w:rsidRPr="006D1FE9" w:rsidRDefault="00C07110" w:rsidP="006D1FE9">
      <w:pPr>
        <w:adjustRightInd w:val="0"/>
        <w:snapToGrid w:val="0"/>
        <w:spacing w:line="360" w:lineRule="auto"/>
        <w:jc w:val="both"/>
        <w:rPr>
          <w:rFonts w:ascii="Book Antiqua" w:eastAsia="Book Antiqua" w:hAnsi="Book Antiqua" w:cs="Book Antiqua"/>
          <w:b/>
          <w:bCs/>
          <w:color w:val="000000"/>
        </w:rPr>
      </w:pPr>
    </w:p>
    <w:p w14:paraId="7D41E405"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Open-Access: </w:t>
      </w:r>
      <w:r w:rsidRPr="006D1FE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1FE9">
        <w:rPr>
          <w:rFonts w:ascii="Book Antiqua" w:eastAsia="Book Antiqua" w:hAnsi="Book Antiqua" w:cs="Book Antiqua"/>
          <w:color w:val="000000"/>
        </w:rPr>
        <w:t>NonCommercial</w:t>
      </w:r>
      <w:proofErr w:type="spellEnd"/>
      <w:r w:rsidRPr="006D1FE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D596B7" w14:textId="77777777" w:rsidR="00A77B3E" w:rsidRPr="006D1FE9" w:rsidRDefault="00A77B3E" w:rsidP="006D1FE9">
      <w:pPr>
        <w:adjustRightInd w:val="0"/>
        <w:snapToGrid w:val="0"/>
        <w:spacing w:line="360" w:lineRule="auto"/>
        <w:jc w:val="both"/>
        <w:rPr>
          <w:rFonts w:ascii="Book Antiqua" w:hAnsi="Book Antiqua"/>
        </w:rPr>
      </w:pPr>
    </w:p>
    <w:p w14:paraId="1403D0E9"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t xml:space="preserve">Manuscript source: </w:t>
      </w:r>
      <w:r w:rsidRPr="006D1FE9">
        <w:rPr>
          <w:rFonts w:ascii="Book Antiqua" w:eastAsia="Book Antiqua" w:hAnsi="Book Antiqua" w:cs="Book Antiqua"/>
          <w:color w:val="000000"/>
        </w:rPr>
        <w:t xml:space="preserve">Unsolicited </w:t>
      </w:r>
      <w:r w:rsidR="002144C3" w:rsidRPr="006D1FE9">
        <w:rPr>
          <w:rFonts w:ascii="Book Antiqua" w:eastAsia="Book Antiqua" w:hAnsi="Book Antiqua" w:cs="Book Antiqua"/>
          <w:color w:val="000000"/>
        </w:rPr>
        <w:t>manuscript</w:t>
      </w:r>
    </w:p>
    <w:p w14:paraId="717239BB" w14:textId="77777777" w:rsidR="00A77B3E" w:rsidRPr="006D1FE9" w:rsidRDefault="00A77B3E" w:rsidP="006D1FE9">
      <w:pPr>
        <w:adjustRightInd w:val="0"/>
        <w:snapToGrid w:val="0"/>
        <w:spacing w:line="360" w:lineRule="auto"/>
        <w:jc w:val="both"/>
        <w:rPr>
          <w:rFonts w:ascii="Book Antiqua" w:hAnsi="Book Antiqua"/>
        </w:rPr>
      </w:pPr>
    </w:p>
    <w:p w14:paraId="461DB8E3"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t xml:space="preserve">Peer-review started: </w:t>
      </w:r>
      <w:r w:rsidRPr="006D1FE9">
        <w:rPr>
          <w:rFonts w:ascii="Book Antiqua" w:eastAsia="Book Antiqua" w:hAnsi="Book Antiqua" w:cs="Book Antiqua"/>
          <w:color w:val="000000"/>
        </w:rPr>
        <w:t>July 17, 2020</w:t>
      </w:r>
    </w:p>
    <w:p w14:paraId="7D4AC357"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t xml:space="preserve">First decision: </w:t>
      </w:r>
      <w:r w:rsidRPr="006D1FE9">
        <w:rPr>
          <w:rFonts w:ascii="Book Antiqua" w:eastAsia="Book Antiqua" w:hAnsi="Book Antiqua" w:cs="Book Antiqua"/>
          <w:color w:val="000000"/>
        </w:rPr>
        <w:t>September 21, 2020</w:t>
      </w:r>
    </w:p>
    <w:p w14:paraId="3834C982"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t xml:space="preserve">Article in press: </w:t>
      </w:r>
    </w:p>
    <w:p w14:paraId="5C233F17" w14:textId="77777777" w:rsidR="00A77B3E" w:rsidRPr="006D1FE9" w:rsidRDefault="00A77B3E" w:rsidP="006D1FE9">
      <w:pPr>
        <w:adjustRightInd w:val="0"/>
        <w:snapToGrid w:val="0"/>
        <w:spacing w:line="360" w:lineRule="auto"/>
        <w:jc w:val="both"/>
        <w:rPr>
          <w:rFonts w:ascii="Book Antiqua" w:hAnsi="Book Antiqua"/>
        </w:rPr>
      </w:pPr>
    </w:p>
    <w:p w14:paraId="4F383E68"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t xml:space="preserve">Specialty type: </w:t>
      </w:r>
      <w:r w:rsidRPr="006D1FE9">
        <w:rPr>
          <w:rFonts w:ascii="Book Antiqua" w:eastAsia="Book Antiqua" w:hAnsi="Book Antiqua" w:cs="Book Antiqua"/>
          <w:color w:val="000000"/>
        </w:rPr>
        <w:t xml:space="preserve">Gastroenterology and </w:t>
      </w:r>
      <w:r w:rsidR="002144C3" w:rsidRPr="006D1FE9">
        <w:rPr>
          <w:rFonts w:ascii="Book Antiqua" w:eastAsia="Book Antiqua" w:hAnsi="Book Antiqua" w:cs="Book Antiqua"/>
          <w:color w:val="000000"/>
        </w:rPr>
        <w:t>hepatology</w:t>
      </w:r>
    </w:p>
    <w:p w14:paraId="3BBEE895"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t xml:space="preserve">Country/Territory of origin: </w:t>
      </w:r>
      <w:r w:rsidRPr="006D1FE9">
        <w:rPr>
          <w:rFonts w:ascii="Book Antiqua" w:eastAsia="Book Antiqua" w:hAnsi="Book Antiqua" w:cs="Book Antiqua"/>
          <w:color w:val="000000"/>
        </w:rPr>
        <w:t>Romania</w:t>
      </w:r>
    </w:p>
    <w:p w14:paraId="25ED7CF0"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t>Peer-review report’s scientific quality classification</w:t>
      </w:r>
    </w:p>
    <w:p w14:paraId="22DED0BE"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Grade A (Excellent): 0</w:t>
      </w:r>
    </w:p>
    <w:p w14:paraId="58FABC6C"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Grade B (Very good): B</w:t>
      </w:r>
    </w:p>
    <w:p w14:paraId="261B6C4E"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Grade C (Good): C</w:t>
      </w:r>
    </w:p>
    <w:p w14:paraId="0516A37D"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lastRenderedPageBreak/>
        <w:t>Grade D (Fair): D</w:t>
      </w:r>
    </w:p>
    <w:p w14:paraId="508A99E6"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Grade E (Poor): 0</w:t>
      </w:r>
    </w:p>
    <w:p w14:paraId="703EDBD4" w14:textId="77777777" w:rsidR="00A77B3E" w:rsidRPr="006D1FE9" w:rsidRDefault="00A77B3E" w:rsidP="006D1FE9">
      <w:pPr>
        <w:adjustRightInd w:val="0"/>
        <w:snapToGrid w:val="0"/>
        <w:spacing w:line="360" w:lineRule="auto"/>
        <w:jc w:val="both"/>
        <w:rPr>
          <w:rFonts w:ascii="Book Antiqua" w:hAnsi="Book Antiqua"/>
        </w:rPr>
      </w:pPr>
    </w:p>
    <w:p w14:paraId="36843499" w14:textId="77777777" w:rsidR="00A77B3E" w:rsidRPr="006D1FE9" w:rsidRDefault="009E6927" w:rsidP="006D1FE9">
      <w:pPr>
        <w:adjustRightInd w:val="0"/>
        <w:snapToGrid w:val="0"/>
        <w:spacing w:line="360" w:lineRule="auto"/>
        <w:jc w:val="both"/>
        <w:rPr>
          <w:rFonts w:ascii="Book Antiqua" w:eastAsia="Book Antiqua" w:hAnsi="Book Antiqua" w:cs="Book Antiqua"/>
          <w:b/>
          <w:color w:val="000000"/>
        </w:rPr>
      </w:pPr>
      <w:r w:rsidRPr="006D1FE9">
        <w:rPr>
          <w:rFonts w:ascii="Book Antiqua" w:eastAsia="Book Antiqua" w:hAnsi="Book Antiqua" w:cs="Book Antiqua"/>
          <w:b/>
          <w:color w:val="000000"/>
        </w:rPr>
        <w:t xml:space="preserve">P-Reviewer: </w:t>
      </w:r>
      <w:r w:rsidRPr="006D1FE9">
        <w:rPr>
          <w:rFonts w:ascii="Book Antiqua" w:eastAsia="Book Antiqua" w:hAnsi="Book Antiqua" w:cs="Book Antiqua"/>
          <w:color w:val="000000"/>
        </w:rPr>
        <w:t>Aoki T, Wang D, Xu X</w:t>
      </w:r>
      <w:r w:rsidR="00446C68" w:rsidRPr="006D1FE9">
        <w:rPr>
          <w:rFonts w:ascii="Book Antiqua" w:eastAsia="Book Antiqua" w:hAnsi="Book Antiqua" w:cs="Book Antiqua"/>
          <w:color w:val="000000"/>
        </w:rPr>
        <w:t>Y</w:t>
      </w:r>
      <w:r w:rsidRPr="006D1FE9">
        <w:rPr>
          <w:rFonts w:ascii="Book Antiqua" w:eastAsia="Book Antiqua" w:hAnsi="Book Antiqua" w:cs="Book Antiqua"/>
          <w:b/>
          <w:color w:val="000000"/>
        </w:rPr>
        <w:t xml:space="preserve"> S-Editor: </w:t>
      </w:r>
      <w:r w:rsidR="00446C68" w:rsidRPr="006D1FE9">
        <w:rPr>
          <w:rFonts w:ascii="Book Antiqua" w:eastAsia="Book Antiqua" w:hAnsi="Book Antiqua" w:cs="Book Antiqua"/>
          <w:color w:val="000000"/>
        </w:rPr>
        <w:t>Zhang L</w:t>
      </w:r>
      <w:r w:rsidR="00916759" w:rsidRPr="006D1FE9">
        <w:rPr>
          <w:rFonts w:ascii="Book Antiqua" w:eastAsia="Book Antiqua" w:hAnsi="Book Antiqua" w:cs="Book Antiqua"/>
          <w:b/>
          <w:color w:val="000000"/>
        </w:rPr>
        <w:t xml:space="preserve"> L-Editor: </w:t>
      </w:r>
      <w:r w:rsidR="00970F7A">
        <w:rPr>
          <w:rFonts w:ascii="Book Antiqua" w:eastAsia="Book Antiqua" w:hAnsi="Book Antiqua" w:cs="Book Antiqua"/>
          <w:color w:val="000000"/>
        </w:rPr>
        <w:t xml:space="preserve">Webster JR </w:t>
      </w:r>
      <w:r w:rsidRPr="006D1FE9">
        <w:rPr>
          <w:rFonts w:ascii="Book Antiqua" w:eastAsia="Book Antiqua" w:hAnsi="Book Antiqua" w:cs="Book Antiqua"/>
          <w:b/>
          <w:color w:val="000000"/>
        </w:rPr>
        <w:t xml:space="preserve">P-Editor: </w:t>
      </w:r>
    </w:p>
    <w:p w14:paraId="08E2B0AB" w14:textId="77777777" w:rsidR="002144C3" w:rsidRPr="006D1FE9" w:rsidRDefault="002144C3" w:rsidP="006D1FE9">
      <w:pPr>
        <w:adjustRightInd w:val="0"/>
        <w:snapToGrid w:val="0"/>
        <w:spacing w:line="360" w:lineRule="auto"/>
        <w:jc w:val="both"/>
        <w:rPr>
          <w:rFonts w:ascii="Book Antiqua" w:hAnsi="Book Antiqua"/>
        </w:rPr>
        <w:sectPr w:rsidR="002144C3" w:rsidRPr="006D1FE9" w:rsidSect="008E0F11">
          <w:pgSz w:w="12240" w:h="15840"/>
          <w:pgMar w:top="1440" w:right="1800" w:bottom="1440" w:left="1800" w:header="720" w:footer="720" w:gutter="0"/>
          <w:cols w:space="720"/>
          <w:docGrid w:linePitch="360"/>
        </w:sectPr>
      </w:pPr>
    </w:p>
    <w:p w14:paraId="7BA056DA" w14:textId="77777777" w:rsidR="00C07110" w:rsidRPr="006D1FE9" w:rsidRDefault="00C07110" w:rsidP="006D1FE9">
      <w:pPr>
        <w:adjustRightInd w:val="0"/>
        <w:snapToGrid w:val="0"/>
        <w:spacing w:line="360" w:lineRule="auto"/>
        <w:jc w:val="both"/>
        <w:rPr>
          <w:rFonts w:ascii="Book Antiqua" w:hAnsi="Book Antiqua"/>
          <w:b/>
        </w:rPr>
      </w:pPr>
      <w:r w:rsidRPr="006D1FE9">
        <w:rPr>
          <w:rFonts w:ascii="Book Antiqua" w:hAnsi="Book Antiqua"/>
          <w:b/>
        </w:rPr>
        <w:lastRenderedPageBreak/>
        <w:t>Table 1 Patients’ demographics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6"/>
        <w:gridCol w:w="1950"/>
        <w:gridCol w:w="1908"/>
        <w:gridCol w:w="2212"/>
      </w:tblGrid>
      <w:tr w:rsidR="00C07110" w:rsidRPr="006D1FE9" w14:paraId="7F5260CE" w14:textId="77777777" w:rsidTr="00C07110">
        <w:tc>
          <w:tcPr>
            <w:tcW w:w="2835" w:type="dxa"/>
            <w:tcBorders>
              <w:top w:val="single" w:sz="4" w:space="0" w:color="auto"/>
              <w:bottom w:val="single" w:sz="4" w:space="0" w:color="auto"/>
            </w:tcBorders>
          </w:tcPr>
          <w:p w14:paraId="5130D504" w14:textId="77777777" w:rsidR="00C07110" w:rsidRPr="006D1FE9" w:rsidRDefault="00C07110" w:rsidP="006D1FE9">
            <w:pPr>
              <w:adjustRightInd w:val="0"/>
              <w:snapToGrid w:val="0"/>
              <w:spacing w:line="360" w:lineRule="auto"/>
              <w:jc w:val="both"/>
              <w:rPr>
                <w:rFonts w:ascii="Book Antiqua" w:hAnsi="Book Antiqua" w:cs="Times New Roman"/>
              </w:rPr>
            </w:pPr>
          </w:p>
        </w:tc>
        <w:tc>
          <w:tcPr>
            <w:tcW w:w="1985" w:type="dxa"/>
            <w:tcBorders>
              <w:top w:val="single" w:sz="4" w:space="0" w:color="auto"/>
              <w:bottom w:val="single" w:sz="4" w:space="0" w:color="auto"/>
            </w:tcBorders>
          </w:tcPr>
          <w:p w14:paraId="5968E2FA" w14:textId="77777777" w:rsidR="00C07110" w:rsidRPr="006D1FE9" w:rsidRDefault="00C07110"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rPr>
              <w:t>EP (</w:t>
            </w:r>
            <w:r w:rsidRPr="006D1FE9">
              <w:rPr>
                <w:rFonts w:ascii="Book Antiqua" w:hAnsi="Book Antiqua" w:cs="Times New Roman"/>
                <w:b/>
                <w:bCs/>
                <w:i/>
              </w:rPr>
              <w:t>n</w:t>
            </w:r>
            <w:r w:rsidRPr="006D1FE9">
              <w:rPr>
                <w:rFonts w:ascii="Book Antiqua" w:hAnsi="Book Antiqua" w:cs="Times New Roman"/>
                <w:b/>
                <w:bCs/>
              </w:rPr>
              <w:t xml:space="preserve"> = 65)</w:t>
            </w:r>
          </w:p>
        </w:tc>
        <w:tc>
          <w:tcPr>
            <w:tcW w:w="1942" w:type="dxa"/>
            <w:tcBorders>
              <w:top w:val="single" w:sz="4" w:space="0" w:color="auto"/>
              <w:bottom w:val="single" w:sz="4" w:space="0" w:color="auto"/>
            </w:tcBorders>
          </w:tcPr>
          <w:p w14:paraId="27D87992" w14:textId="77777777" w:rsidR="00C07110" w:rsidRPr="006D1FE9" w:rsidRDefault="00C07110"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rPr>
              <w:t>DP (</w:t>
            </w:r>
            <w:r w:rsidRPr="006D1FE9">
              <w:rPr>
                <w:rFonts w:ascii="Book Antiqua" w:hAnsi="Book Antiqua" w:cs="Times New Roman"/>
                <w:b/>
                <w:bCs/>
                <w:i/>
              </w:rPr>
              <w:t>n</w:t>
            </w:r>
            <w:r w:rsidRPr="006D1FE9">
              <w:rPr>
                <w:rFonts w:ascii="Book Antiqua" w:hAnsi="Book Antiqua" w:cs="Times New Roman"/>
                <w:b/>
                <w:bCs/>
              </w:rPr>
              <w:t xml:space="preserve"> = 120)</w:t>
            </w:r>
          </w:p>
        </w:tc>
        <w:tc>
          <w:tcPr>
            <w:tcW w:w="2254" w:type="dxa"/>
            <w:tcBorders>
              <w:top w:val="single" w:sz="4" w:space="0" w:color="auto"/>
              <w:bottom w:val="single" w:sz="4" w:space="0" w:color="auto"/>
            </w:tcBorders>
          </w:tcPr>
          <w:p w14:paraId="36BCAD55" w14:textId="77777777" w:rsidR="00C07110" w:rsidRPr="006D1FE9" w:rsidRDefault="00C07110"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i/>
                <w:caps/>
              </w:rPr>
              <w:t>p</w:t>
            </w:r>
            <w:r w:rsidR="002144C3" w:rsidRPr="006D1FE9">
              <w:rPr>
                <w:rFonts w:ascii="Book Antiqua" w:hAnsi="Book Antiqua" w:cs="Times New Roman"/>
                <w:b/>
                <w:bCs/>
              </w:rPr>
              <w:t xml:space="preserve"> </w:t>
            </w:r>
            <w:r w:rsidRPr="006D1FE9">
              <w:rPr>
                <w:rFonts w:ascii="Book Antiqua" w:hAnsi="Book Antiqua" w:cs="Times New Roman"/>
                <w:b/>
                <w:bCs/>
              </w:rPr>
              <w:t>value</w:t>
            </w:r>
          </w:p>
        </w:tc>
      </w:tr>
      <w:tr w:rsidR="00C07110" w:rsidRPr="006D1FE9" w14:paraId="7F63F6B4" w14:textId="77777777" w:rsidTr="00C07110">
        <w:tc>
          <w:tcPr>
            <w:tcW w:w="2835" w:type="dxa"/>
            <w:tcBorders>
              <w:top w:val="single" w:sz="4" w:space="0" w:color="auto"/>
            </w:tcBorders>
          </w:tcPr>
          <w:p w14:paraId="1658B141" w14:textId="77777777" w:rsidR="00C07110" w:rsidRPr="006D1FE9" w:rsidRDefault="00C07110"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 xml:space="preserve">Gender, </w:t>
            </w:r>
            <w:r w:rsidRPr="006D1FE9">
              <w:rPr>
                <w:rFonts w:ascii="Book Antiqua" w:hAnsi="Book Antiqua" w:cs="Times New Roman"/>
                <w:bCs/>
                <w:i/>
              </w:rPr>
              <w:t>n</w:t>
            </w:r>
            <w:r w:rsidRPr="006D1FE9">
              <w:rPr>
                <w:rFonts w:ascii="Book Antiqua" w:hAnsi="Book Antiqua" w:cs="Times New Roman"/>
                <w:bCs/>
              </w:rPr>
              <w:t xml:space="preserve"> (%)</w:t>
            </w:r>
          </w:p>
        </w:tc>
        <w:tc>
          <w:tcPr>
            <w:tcW w:w="1985" w:type="dxa"/>
            <w:tcBorders>
              <w:top w:val="single" w:sz="4" w:space="0" w:color="auto"/>
            </w:tcBorders>
          </w:tcPr>
          <w:p w14:paraId="6394CC2C" w14:textId="77777777" w:rsidR="00C07110" w:rsidRPr="006D1FE9" w:rsidRDefault="00C07110" w:rsidP="006D1FE9">
            <w:pPr>
              <w:adjustRightInd w:val="0"/>
              <w:snapToGrid w:val="0"/>
              <w:spacing w:line="360" w:lineRule="auto"/>
              <w:jc w:val="both"/>
              <w:rPr>
                <w:rFonts w:ascii="Book Antiqua" w:hAnsi="Book Antiqua" w:cs="Times New Roman"/>
              </w:rPr>
            </w:pPr>
          </w:p>
        </w:tc>
        <w:tc>
          <w:tcPr>
            <w:tcW w:w="1942" w:type="dxa"/>
            <w:tcBorders>
              <w:top w:val="single" w:sz="4" w:space="0" w:color="auto"/>
            </w:tcBorders>
          </w:tcPr>
          <w:p w14:paraId="5E69B1B6" w14:textId="77777777" w:rsidR="00C07110" w:rsidRPr="006D1FE9" w:rsidRDefault="00C07110" w:rsidP="006D1FE9">
            <w:pPr>
              <w:adjustRightInd w:val="0"/>
              <w:snapToGrid w:val="0"/>
              <w:spacing w:line="360" w:lineRule="auto"/>
              <w:jc w:val="both"/>
              <w:rPr>
                <w:rFonts w:ascii="Book Antiqua" w:hAnsi="Book Antiqua" w:cs="Times New Roman"/>
              </w:rPr>
            </w:pPr>
          </w:p>
        </w:tc>
        <w:tc>
          <w:tcPr>
            <w:tcW w:w="2254" w:type="dxa"/>
            <w:vMerge w:val="restart"/>
            <w:tcBorders>
              <w:top w:val="single" w:sz="4" w:space="0" w:color="auto"/>
            </w:tcBorders>
            <w:vAlign w:val="center"/>
          </w:tcPr>
          <w:p w14:paraId="17D38B61" w14:textId="77777777" w:rsidR="00C07110" w:rsidRPr="006D1FE9" w:rsidRDefault="00C07110" w:rsidP="006D1FE9">
            <w:pPr>
              <w:adjustRightInd w:val="0"/>
              <w:snapToGrid w:val="0"/>
              <w:spacing w:line="360" w:lineRule="auto"/>
              <w:jc w:val="both"/>
              <w:rPr>
                <w:rFonts w:ascii="Book Antiqua" w:hAnsi="Book Antiqua" w:cs="Times New Roman"/>
              </w:rPr>
            </w:pPr>
          </w:p>
          <w:p w14:paraId="2996D02C"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0.43</w:t>
            </w:r>
          </w:p>
          <w:p w14:paraId="19BCE9D9" w14:textId="77777777" w:rsidR="00C07110" w:rsidRPr="006D1FE9" w:rsidRDefault="00C07110" w:rsidP="006D1FE9">
            <w:pPr>
              <w:adjustRightInd w:val="0"/>
              <w:snapToGrid w:val="0"/>
              <w:spacing w:line="360" w:lineRule="auto"/>
              <w:jc w:val="both"/>
              <w:rPr>
                <w:rFonts w:ascii="Book Antiqua" w:hAnsi="Book Antiqua" w:cs="Times New Roman"/>
              </w:rPr>
            </w:pPr>
          </w:p>
        </w:tc>
      </w:tr>
      <w:tr w:rsidR="00C07110" w:rsidRPr="006D1FE9" w14:paraId="00BEC4A2" w14:textId="77777777" w:rsidTr="00A868E1">
        <w:tc>
          <w:tcPr>
            <w:tcW w:w="2835" w:type="dxa"/>
          </w:tcPr>
          <w:p w14:paraId="38FC6588"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Male</w:t>
            </w:r>
          </w:p>
        </w:tc>
        <w:tc>
          <w:tcPr>
            <w:tcW w:w="1985" w:type="dxa"/>
          </w:tcPr>
          <w:p w14:paraId="45CFDBE9"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34 (52.3</w:t>
            </w:r>
            <w:r w:rsidR="004C6ACF">
              <w:rPr>
                <w:rFonts w:ascii="Book Antiqua" w:hAnsi="Book Antiqua" w:cs="Times New Roman"/>
              </w:rPr>
              <w:t>)</w:t>
            </w:r>
          </w:p>
        </w:tc>
        <w:tc>
          <w:tcPr>
            <w:tcW w:w="1942" w:type="dxa"/>
          </w:tcPr>
          <w:p w14:paraId="52345AC0"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70 (58.3</w:t>
            </w:r>
            <w:r w:rsidR="004C6ACF">
              <w:rPr>
                <w:rFonts w:ascii="Book Antiqua" w:hAnsi="Book Antiqua" w:cs="Times New Roman"/>
              </w:rPr>
              <w:t>)</w:t>
            </w:r>
          </w:p>
        </w:tc>
        <w:tc>
          <w:tcPr>
            <w:tcW w:w="2254" w:type="dxa"/>
            <w:vMerge/>
            <w:vAlign w:val="center"/>
          </w:tcPr>
          <w:p w14:paraId="3D8A612D" w14:textId="77777777" w:rsidR="00C07110" w:rsidRPr="006D1FE9" w:rsidRDefault="00C07110" w:rsidP="006D1FE9">
            <w:pPr>
              <w:adjustRightInd w:val="0"/>
              <w:snapToGrid w:val="0"/>
              <w:spacing w:line="360" w:lineRule="auto"/>
              <w:jc w:val="both"/>
              <w:rPr>
                <w:rFonts w:ascii="Book Antiqua" w:hAnsi="Book Antiqua" w:cs="Times New Roman"/>
              </w:rPr>
            </w:pPr>
          </w:p>
        </w:tc>
      </w:tr>
      <w:tr w:rsidR="00C07110" w:rsidRPr="006D1FE9" w14:paraId="68274E55" w14:textId="77777777" w:rsidTr="00C07110">
        <w:tc>
          <w:tcPr>
            <w:tcW w:w="2835" w:type="dxa"/>
          </w:tcPr>
          <w:p w14:paraId="318A20B1"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Female</w:t>
            </w:r>
          </w:p>
        </w:tc>
        <w:tc>
          <w:tcPr>
            <w:tcW w:w="1985" w:type="dxa"/>
          </w:tcPr>
          <w:p w14:paraId="1B14F5BB"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31 (47.7</w:t>
            </w:r>
            <w:r w:rsidR="004C6ACF">
              <w:rPr>
                <w:rFonts w:ascii="Book Antiqua" w:hAnsi="Book Antiqua" w:cs="Times New Roman"/>
              </w:rPr>
              <w:t>)</w:t>
            </w:r>
          </w:p>
        </w:tc>
        <w:tc>
          <w:tcPr>
            <w:tcW w:w="1942" w:type="dxa"/>
          </w:tcPr>
          <w:p w14:paraId="0E23B43B"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50 (41.7</w:t>
            </w:r>
            <w:r w:rsidR="004C6ACF">
              <w:rPr>
                <w:rFonts w:ascii="Book Antiqua" w:hAnsi="Book Antiqua" w:cs="Times New Roman"/>
              </w:rPr>
              <w:t>)</w:t>
            </w:r>
          </w:p>
        </w:tc>
        <w:tc>
          <w:tcPr>
            <w:tcW w:w="2254" w:type="dxa"/>
            <w:vMerge/>
          </w:tcPr>
          <w:p w14:paraId="0AC5FA7D" w14:textId="77777777" w:rsidR="00C07110" w:rsidRPr="006D1FE9" w:rsidRDefault="00C07110" w:rsidP="006D1FE9">
            <w:pPr>
              <w:adjustRightInd w:val="0"/>
              <w:snapToGrid w:val="0"/>
              <w:spacing w:line="360" w:lineRule="auto"/>
              <w:jc w:val="both"/>
              <w:rPr>
                <w:rFonts w:ascii="Book Antiqua" w:hAnsi="Book Antiqua" w:cs="Times New Roman"/>
              </w:rPr>
            </w:pPr>
          </w:p>
        </w:tc>
      </w:tr>
      <w:tr w:rsidR="00C07110" w:rsidRPr="006D1FE9" w14:paraId="5CB17CC3" w14:textId="77777777" w:rsidTr="00C07110">
        <w:tc>
          <w:tcPr>
            <w:tcW w:w="2835" w:type="dxa"/>
          </w:tcPr>
          <w:p w14:paraId="46F50EEC" w14:textId="77777777" w:rsidR="00C07110" w:rsidRPr="006D1FE9" w:rsidRDefault="00C07110"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Age (</w:t>
            </w:r>
            <w:proofErr w:type="spellStart"/>
            <w:r w:rsidRPr="006D1FE9">
              <w:rPr>
                <w:rFonts w:ascii="Book Antiqua" w:hAnsi="Book Antiqua" w:cs="Times New Roman"/>
                <w:bCs/>
              </w:rPr>
              <w:t>yr</w:t>
            </w:r>
            <w:proofErr w:type="spellEnd"/>
            <w:r w:rsidRPr="006D1FE9">
              <w:rPr>
                <w:rFonts w:ascii="Book Antiqua" w:hAnsi="Book Antiqua" w:cs="Times New Roman"/>
                <w:bCs/>
              </w:rPr>
              <w:t>)</w:t>
            </w:r>
          </w:p>
        </w:tc>
        <w:tc>
          <w:tcPr>
            <w:tcW w:w="1985" w:type="dxa"/>
          </w:tcPr>
          <w:p w14:paraId="424A5571" w14:textId="77777777" w:rsidR="00C07110" w:rsidRPr="006D1FE9" w:rsidRDefault="00C07110" w:rsidP="006D1FE9">
            <w:pPr>
              <w:adjustRightInd w:val="0"/>
              <w:snapToGrid w:val="0"/>
              <w:spacing w:line="360" w:lineRule="auto"/>
              <w:jc w:val="both"/>
              <w:rPr>
                <w:rFonts w:ascii="Book Antiqua" w:hAnsi="Book Antiqua" w:cs="Times New Roman"/>
              </w:rPr>
            </w:pPr>
          </w:p>
        </w:tc>
        <w:tc>
          <w:tcPr>
            <w:tcW w:w="1942" w:type="dxa"/>
          </w:tcPr>
          <w:p w14:paraId="38BCA47F" w14:textId="77777777" w:rsidR="00C07110" w:rsidRPr="006D1FE9" w:rsidRDefault="00C07110" w:rsidP="006D1FE9">
            <w:pPr>
              <w:adjustRightInd w:val="0"/>
              <w:snapToGrid w:val="0"/>
              <w:spacing w:line="360" w:lineRule="auto"/>
              <w:jc w:val="both"/>
              <w:rPr>
                <w:rFonts w:ascii="Book Antiqua" w:hAnsi="Book Antiqua" w:cs="Times New Roman"/>
              </w:rPr>
            </w:pPr>
          </w:p>
        </w:tc>
        <w:tc>
          <w:tcPr>
            <w:tcW w:w="2254" w:type="dxa"/>
          </w:tcPr>
          <w:p w14:paraId="37FF6AD0" w14:textId="77777777" w:rsidR="00C07110" w:rsidRPr="006D1FE9" w:rsidRDefault="00C07110" w:rsidP="006D1FE9">
            <w:pPr>
              <w:adjustRightInd w:val="0"/>
              <w:snapToGrid w:val="0"/>
              <w:spacing w:line="360" w:lineRule="auto"/>
              <w:jc w:val="both"/>
              <w:rPr>
                <w:rFonts w:ascii="Book Antiqua" w:hAnsi="Book Antiqua" w:cs="Times New Roman"/>
              </w:rPr>
            </w:pPr>
          </w:p>
        </w:tc>
      </w:tr>
      <w:tr w:rsidR="00C07110" w:rsidRPr="006D1FE9" w14:paraId="136ED6B9" w14:textId="77777777" w:rsidTr="00C07110">
        <w:tc>
          <w:tcPr>
            <w:tcW w:w="2835" w:type="dxa"/>
          </w:tcPr>
          <w:p w14:paraId="200C1E75" w14:textId="77777777" w:rsidR="00C07110" w:rsidRPr="006D1FE9" w:rsidRDefault="002144C3"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 xml:space="preserve">Mean </w:t>
            </w:r>
            <w:r w:rsidR="00C07110" w:rsidRPr="006D1FE9">
              <w:rPr>
                <w:rFonts w:ascii="Book Antiqua" w:hAnsi="Book Antiqua" w:cs="Times New Roman"/>
              </w:rPr>
              <w:t xml:space="preserve">± </w:t>
            </w:r>
            <w:r w:rsidRPr="006D1FE9">
              <w:rPr>
                <w:rFonts w:ascii="Book Antiqua" w:hAnsi="Book Antiqua" w:cs="Times New Roman"/>
              </w:rPr>
              <w:t>SD</w:t>
            </w:r>
          </w:p>
        </w:tc>
        <w:tc>
          <w:tcPr>
            <w:tcW w:w="1985" w:type="dxa"/>
          </w:tcPr>
          <w:p w14:paraId="0BF92B46"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63.7 ± 10.2</w:t>
            </w:r>
          </w:p>
        </w:tc>
        <w:tc>
          <w:tcPr>
            <w:tcW w:w="1942" w:type="dxa"/>
          </w:tcPr>
          <w:p w14:paraId="70FDDBD1"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62.5 ± 11.1</w:t>
            </w:r>
          </w:p>
        </w:tc>
        <w:tc>
          <w:tcPr>
            <w:tcW w:w="2254" w:type="dxa"/>
          </w:tcPr>
          <w:p w14:paraId="55E6D464"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0.80</w:t>
            </w:r>
          </w:p>
        </w:tc>
      </w:tr>
      <w:tr w:rsidR="00C07110" w:rsidRPr="006D1FE9" w14:paraId="750D7D1D" w14:textId="77777777" w:rsidTr="00C07110">
        <w:tc>
          <w:tcPr>
            <w:tcW w:w="2835" w:type="dxa"/>
          </w:tcPr>
          <w:p w14:paraId="1E303B3F" w14:textId="77777777" w:rsidR="00C07110" w:rsidRPr="006D1FE9" w:rsidRDefault="00C07110" w:rsidP="006D1FE9">
            <w:pPr>
              <w:adjustRightInd w:val="0"/>
              <w:snapToGrid w:val="0"/>
              <w:spacing w:line="360" w:lineRule="auto"/>
              <w:jc w:val="both"/>
              <w:rPr>
                <w:rFonts w:ascii="Book Antiqua" w:hAnsi="Book Antiqua" w:cs="Times New Roman"/>
                <w:bCs/>
              </w:rPr>
            </w:pPr>
            <w:proofErr w:type="spellStart"/>
            <w:r w:rsidRPr="006D1FE9">
              <w:rPr>
                <w:rFonts w:ascii="Book Antiqua" w:hAnsi="Book Antiqua" w:cs="Times New Roman"/>
                <w:bCs/>
              </w:rPr>
              <w:t>Etiology</w:t>
            </w:r>
            <w:proofErr w:type="spellEnd"/>
            <w:r w:rsidRPr="006D1FE9">
              <w:rPr>
                <w:rFonts w:ascii="Book Antiqua" w:hAnsi="Book Antiqua" w:cs="Times New Roman"/>
                <w:bCs/>
              </w:rPr>
              <w:t xml:space="preserve">, </w:t>
            </w:r>
            <w:r w:rsidRPr="006D1FE9">
              <w:rPr>
                <w:rFonts w:ascii="Book Antiqua" w:hAnsi="Book Antiqua" w:cs="Times New Roman"/>
                <w:bCs/>
                <w:i/>
              </w:rPr>
              <w:t>n</w:t>
            </w:r>
            <w:r w:rsidRPr="006D1FE9">
              <w:rPr>
                <w:rFonts w:ascii="Book Antiqua" w:hAnsi="Book Antiqua" w:cs="Times New Roman"/>
                <w:bCs/>
              </w:rPr>
              <w:t xml:space="preserve"> (%)</w:t>
            </w:r>
          </w:p>
        </w:tc>
        <w:tc>
          <w:tcPr>
            <w:tcW w:w="1985" w:type="dxa"/>
          </w:tcPr>
          <w:p w14:paraId="3B5D90AA" w14:textId="77777777" w:rsidR="00C07110" w:rsidRPr="006D1FE9" w:rsidRDefault="00C07110" w:rsidP="006D1FE9">
            <w:pPr>
              <w:adjustRightInd w:val="0"/>
              <w:snapToGrid w:val="0"/>
              <w:spacing w:line="360" w:lineRule="auto"/>
              <w:jc w:val="both"/>
              <w:rPr>
                <w:rFonts w:ascii="Book Antiqua" w:hAnsi="Book Antiqua" w:cs="Times New Roman"/>
              </w:rPr>
            </w:pPr>
          </w:p>
        </w:tc>
        <w:tc>
          <w:tcPr>
            <w:tcW w:w="1942" w:type="dxa"/>
          </w:tcPr>
          <w:p w14:paraId="0F83AD1E" w14:textId="77777777" w:rsidR="00C07110" w:rsidRPr="006D1FE9" w:rsidRDefault="00C07110" w:rsidP="006D1FE9">
            <w:pPr>
              <w:adjustRightInd w:val="0"/>
              <w:snapToGrid w:val="0"/>
              <w:spacing w:line="360" w:lineRule="auto"/>
              <w:jc w:val="both"/>
              <w:rPr>
                <w:rFonts w:ascii="Book Antiqua" w:hAnsi="Book Antiqua" w:cs="Times New Roman"/>
              </w:rPr>
            </w:pPr>
          </w:p>
        </w:tc>
        <w:tc>
          <w:tcPr>
            <w:tcW w:w="2254" w:type="dxa"/>
          </w:tcPr>
          <w:p w14:paraId="499505D4" w14:textId="77777777" w:rsidR="00C07110" w:rsidRPr="006D1FE9" w:rsidRDefault="00C07110" w:rsidP="006D1FE9">
            <w:pPr>
              <w:adjustRightInd w:val="0"/>
              <w:snapToGrid w:val="0"/>
              <w:spacing w:line="360" w:lineRule="auto"/>
              <w:jc w:val="both"/>
              <w:rPr>
                <w:rFonts w:ascii="Book Antiqua" w:hAnsi="Book Antiqua" w:cs="Times New Roman"/>
              </w:rPr>
            </w:pPr>
          </w:p>
        </w:tc>
      </w:tr>
      <w:tr w:rsidR="00C07110" w:rsidRPr="006D1FE9" w14:paraId="4CCBE965" w14:textId="77777777" w:rsidTr="00A868E1">
        <w:tc>
          <w:tcPr>
            <w:tcW w:w="2835" w:type="dxa"/>
          </w:tcPr>
          <w:p w14:paraId="2185BF58" w14:textId="77777777" w:rsidR="00C07110" w:rsidRPr="006D1FE9" w:rsidRDefault="00C07110"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rPr>
              <w:t>Viral</w:t>
            </w:r>
          </w:p>
        </w:tc>
        <w:tc>
          <w:tcPr>
            <w:tcW w:w="1985" w:type="dxa"/>
          </w:tcPr>
          <w:p w14:paraId="230A458C"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20 (30.7</w:t>
            </w:r>
            <w:r w:rsidR="004C6ACF">
              <w:rPr>
                <w:rFonts w:ascii="Book Antiqua" w:hAnsi="Book Antiqua" w:cs="Times New Roman"/>
              </w:rPr>
              <w:t>)</w:t>
            </w:r>
          </w:p>
        </w:tc>
        <w:tc>
          <w:tcPr>
            <w:tcW w:w="1942" w:type="dxa"/>
          </w:tcPr>
          <w:p w14:paraId="5C1AD6A3"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45 (37.5</w:t>
            </w:r>
            <w:r w:rsidR="004C6ACF">
              <w:rPr>
                <w:rFonts w:ascii="Book Antiqua" w:hAnsi="Book Antiqua" w:cs="Times New Roman"/>
              </w:rPr>
              <w:t>)</w:t>
            </w:r>
          </w:p>
        </w:tc>
        <w:tc>
          <w:tcPr>
            <w:tcW w:w="2254" w:type="dxa"/>
          </w:tcPr>
          <w:p w14:paraId="0CA90FB2"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0.35</w:t>
            </w:r>
          </w:p>
        </w:tc>
      </w:tr>
      <w:tr w:rsidR="00C07110" w:rsidRPr="006D1FE9" w14:paraId="4A387C8C" w14:textId="77777777" w:rsidTr="00A868E1">
        <w:tc>
          <w:tcPr>
            <w:tcW w:w="2835" w:type="dxa"/>
          </w:tcPr>
          <w:p w14:paraId="45C59757" w14:textId="77777777" w:rsidR="00C07110" w:rsidRPr="006D1FE9" w:rsidRDefault="00C07110"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rPr>
              <w:t>Alcohol</w:t>
            </w:r>
          </w:p>
        </w:tc>
        <w:tc>
          <w:tcPr>
            <w:tcW w:w="1985" w:type="dxa"/>
          </w:tcPr>
          <w:p w14:paraId="484BC1AB"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26 (40.0</w:t>
            </w:r>
            <w:r w:rsidR="004C6ACF">
              <w:rPr>
                <w:rFonts w:ascii="Book Antiqua" w:hAnsi="Book Antiqua" w:cs="Times New Roman"/>
              </w:rPr>
              <w:t>)</w:t>
            </w:r>
          </w:p>
        </w:tc>
        <w:tc>
          <w:tcPr>
            <w:tcW w:w="1942" w:type="dxa"/>
          </w:tcPr>
          <w:p w14:paraId="1D518787"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46 (38.3</w:t>
            </w:r>
            <w:r w:rsidR="004C6ACF">
              <w:rPr>
                <w:rFonts w:ascii="Book Antiqua" w:hAnsi="Book Antiqua" w:cs="Times New Roman"/>
              </w:rPr>
              <w:t>)</w:t>
            </w:r>
          </w:p>
        </w:tc>
        <w:tc>
          <w:tcPr>
            <w:tcW w:w="2254" w:type="dxa"/>
          </w:tcPr>
          <w:p w14:paraId="5BC907AE"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0.82</w:t>
            </w:r>
          </w:p>
        </w:tc>
      </w:tr>
      <w:tr w:rsidR="00C07110" w:rsidRPr="006D1FE9" w14:paraId="57E39D30" w14:textId="77777777" w:rsidTr="00A868E1">
        <w:tc>
          <w:tcPr>
            <w:tcW w:w="2835" w:type="dxa"/>
          </w:tcPr>
          <w:p w14:paraId="740ED4A2" w14:textId="77777777" w:rsidR="00C07110" w:rsidRPr="006D1FE9" w:rsidRDefault="00C07110"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rPr>
              <w:t>Mixed</w:t>
            </w:r>
          </w:p>
        </w:tc>
        <w:tc>
          <w:tcPr>
            <w:tcW w:w="1985" w:type="dxa"/>
          </w:tcPr>
          <w:p w14:paraId="78003984"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12 (18.4</w:t>
            </w:r>
            <w:r w:rsidR="004C6ACF">
              <w:rPr>
                <w:rFonts w:ascii="Book Antiqua" w:hAnsi="Book Antiqua" w:cs="Times New Roman"/>
              </w:rPr>
              <w:t>)</w:t>
            </w:r>
          </w:p>
        </w:tc>
        <w:tc>
          <w:tcPr>
            <w:tcW w:w="1942" w:type="dxa"/>
          </w:tcPr>
          <w:p w14:paraId="3BAB8818"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24 (20.0</w:t>
            </w:r>
            <w:r w:rsidR="004C6ACF">
              <w:rPr>
                <w:rFonts w:ascii="Book Antiqua" w:hAnsi="Book Antiqua" w:cs="Times New Roman"/>
              </w:rPr>
              <w:t>)</w:t>
            </w:r>
          </w:p>
        </w:tc>
        <w:tc>
          <w:tcPr>
            <w:tcW w:w="2254" w:type="dxa"/>
          </w:tcPr>
          <w:p w14:paraId="3E90E666"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0.80</w:t>
            </w:r>
          </w:p>
        </w:tc>
      </w:tr>
      <w:tr w:rsidR="00C07110" w:rsidRPr="006D1FE9" w14:paraId="70A6289D" w14:textId="77777777" w:rsidTr="00C07110">
        <w:tc>
          <w:tcPr>
            <w:tcW w:w="2835" w:type="dxa"/>
          </w:tcPr>
          <w:p w14:paraId="521214E0" w14:textId="77777777" w:rsidR="00C07110" w:rsidRPr="006D1FE9" w:rsidRDefault="00C07110"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rPr>
              <w:t>Other</w:t>
            </w:r>
          </w:p>
        </w:tc>
        <w:tc>
          <w:tcPr>
            <w:tcW w:w="1985" w:type="dxa"/>
          </w:tcPr>
          <w:p w14:paraId="1AB7B86F"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7 (10.9</w:t>
            </w:r>
            <w:r w:rsidR="004C6ACF">
              <w:rPr>
                <w:rFonts w:ascii="Book Antiqua" w:hAnsi="Book Antiqua" w:cs="Times New Roman"/>
              </w:rPr>
              <w:t>)</w:t>
            </w:r>
          </w:p>
        </w:tc>
        <w:tc>
          <w:tcPr>
            <w:tcW w:w="1942" w:type="dxa"/>
          </w:tcPr>
          <w:p w14:paraId="152B32C0"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5 (4.2</w:t>
            </w:r>
            <w:r w:rsidR="004C6ACF">
              <w:rPr>
                <w:rFonts w:ascii="Book Antiqua" w:hAnsi="Book Antiqua" w:cs="Times New Roman"/>
              </w:rPr>
              <w:t>)</w:t>
            </w:r>
          </w:p>
        </w:tc>
        <w:tc>
          <w:tcPr>
            <w:tcW w:w="2254" w:type="dxa"/>
          </w:tcPr>
          <w:p w14:paraId="35469A9C"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0.15</w:t>
            </w:r>
          </w:p>
        </w:tc>
      </w:tr>
      <w:tr w:rsidR="00C07110" w:rsidRPr="006D1FE9" w14:paraId="05C0678E" w14:textId="77777777" w:rsidTr="00C07110">
        <w:tc>
          <w:tcPr>
            <w:tcW w:w="2835" w:type="dxa"/>
          </w:tcPr>
          <w:p w14:paraId="3170F5FD"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bCs/>
              </w:rPr>
              <w:t xml:space="preserve">Child-Pugh, </w:t>
            </w:r>
            <w:r w:rsidRPr="006D1FE9">
              <w:rPr>
                <w:rFonts w:ascii="Book Antiqua" w:hAnsi="Book Antiqua" w:cs="Times New Roman"/>
                <w:bCs/>
                <w:i/>
              </w:rPr>
              <w:t>n</w:t>
            </w:r>
            <w:r w:rsidRPr="006D1FE9">
              <w:rPr>
                <w:rFonts w:ascii="Book Antiqua" w:hAnsi="Book Antiqua" w:cs="Times New Roman"/>
                <w:bCs/>
              </w:rPr>
              <w:t xml:space="preserve"> (%)</w:t>
            </w:r>
          </w:p>
        </w:tc>
        <w:tc>
          <w:tcPr>
            <w:tcW w:w="1985" w:type="dxa"/>
          </w:tcPr>
          <w:p w14:paraId="5599B490" w14:textId="77777777" w:rsidR="00C07110" w:rsidRPr="006D1FE9" w:rsidRDefault="00C07110" w:rsidP="006D1FE9">
            <w:pPr>
              <w:adjustRightInd w:val="0"/>
              <w:snapToGrid w:val="0"/>
              <w:spacing w:line="360" w:lineRule="auto"/>
              <w:jc w:val="both"/>
              <w:rPr>
                <w:rFonts w:ascii="Book Antiqua" w:hAnsi="Book Antiqua" w:cs="Times New Roman"/>
              </w:rPr>
            </w:pPr>
          </w:p>
        </w:tc>
        <w:tc>
          <w:tcPr>
            <w:tcW w:w="1942" w:type="dxa"/>
          </w:tcPr>
          <w:p w14:paraId="04B0E75C" w14:textId="77777777" w:rsidR="00C07110" w:rsidRPr="006D1FE9" w:rsidRDefault="00C07110" w:rsidP="006D1FE9">
            <w:pPr>
              <w:adjustRightInd w:val="0"/>
              <w:snapToGrid w:val="0"/>
              <w:spacing w:line="360" w:lineRule="auto"/>
              <w:jc w:val="both"/>
              <w:rPr>
                <w:rFonts w:ascii="Book Antiqua" w:hAnsi="Book Antiqua" w:cs="Times New Roman"/>
              </w:rPr>
            </w:pPr>
          </w:p>
        </w:tc>
        <w:tc>
          <w:tcPr>
            <w:tcW w:w="2254" w:type="dxa"/>
          </w:tcPr>
          <w:p w14:paraId="11A86F3E" w14:textId="77777777" w:rsidR="00C07110" w:rsidRPr="006D1FE9" w:rsidRDefault="00C07110" w:rsidP="006D1FE9">
            <w:pPr>
              <w:adjustRightInd w:val="0"/>
              <w:snapToGrid w:val="0"/>
              <w:spacing w:line="360" w:lineRule="auto"/>
              <w:jc w:val="both"/>
              <w:rPr>
                <w:rFonts w:ascii="Book Antiqua" w:hAnsi="Book Antiqua" w:cs="Times New Roman"/>
                <w:color w:val="FF0000"/>
                <w:highlight w:val="yellow"/>
              </w:rPr>
            </w:pPr>
          </w:p>
        </w:tc>
      </w:tr>
      <w:tr w:rsidR="00C07110" w:rsidRPr="006D1FE9" w14:paraId="59F38FC1" w14:textId="77777777" w:rsidTr="00A868E1">
        <w:tc>
          <w:tcPr>
            <w:tcW w:w="2835" w:type="dxa"/>
          </w:tcPr>
          <w:p w14:paraId="415177BF"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A</w:t>
            </w:r>
          </w:p>
          <w:p w14:paraId="6D6BA6F6"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B</w:t>
            </w:r>
          </w:p>
        </w:tc>
        <w:tc>
          <w:tcPr>
            <w:tcW w:w="1985" w:type="dxa"/>
          </w:tcPr>
          <w:p w14:paraId="55F11DA2"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0</w:t>
            </w:r>
          </w:p>
          <w:p w14:paraId="1E0AA9D8"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24 (36.9</w:t>
            </w:r>
            <w:r w:rsidR="004C6ACF">
              <w:rPr>
                <w:rFonts w:ascii="Book Antiqua" w:hAnsi="Book Antiqua" w:cs="Times New Roman"/>
              </w:rPr>
              <w:t>)</w:t>
            </w:r>
          </w:p>
        </w:tc>
        <w:tc>
          <w:tcPr>
            <w:tcW w:w="1942" w:type="dxa"/>
          </w:tcPr>
          <w:p w14:paraId="1A227CB7"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0</w:t>
            </w:r>
          </w:p>
          <w:p w14:paraId="381749A1"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36 (30.0</w:t>
            </w:r>
            <w:r w:rsidR="004C6ACF">
              <w:rPr>
                <w:rFonts w:ascii="Book Antiqua" w:hAnsi="Book Antiqua" w:cs="Times New Roman"/>
              </w:rPr>
              <w:t>)</w:t>
            </w:r>
          </w:p>
        </w:tc>
        <w:tc>
          <w:tcPr>
            <w:tcW w:w="2254" w:type="dxa"/>
          </w:tcPr>
          <w:p w14:paraId="70707476" w14:textId="77777777" w:rsidR="00C07110" w:rsidRPr="006D1FE9" w:rsidRDefault="00C07110" w:rsidP="006D1FE9">
            <w:pPr>
              <w:adjustRightInd w:val="0"/>
              <w:snapToGrid w:val="0"/>
              <w:spacing w:line="360" w:lineRule="auto"/>
              <w:jc w:val="both"/>
              <w:rPr>
                <w:rFonts w:ascii="Book Antiqua" w:hAnsi="Book Antiqua" w:cs="Times New Roman"/>
                <w:color w:val="000000" w:themeColor="text1"/>
              </w:rPr>
            </w:pPr>
            <w:r w:rsidRPr="006D1FE9">
              <w:rPr>
                <w:rFonts w:ascii="Book Antiqua" w:hAnsi="Book Antiqua" w:cs="Times New Roman"/>
                <w:color w:val="000000" w:themeColor="text1"/>
              </w:rPr>
              <w:t>N/A</w:t>
            </w:r>
          </w:p>
          <w:p w14:paraId="2530BDF1" w14:textId="77777777" w:rsidR="00C07110" w:rsidRPr="006D1FE9" w:rsidRDefault="00C07110" w:rsidP="006D1FE9">
            <w:pPr>
              <w:adjustRightInd w:val="0"/>
              <w:snapToGrid w:val="0"/>
              <w:spacing w:line="360" w:lineRule="auto"/>
              <w:jc w:val="both"/>
              <w:rPr>
                <w:rFonts w:ascii="Book Antiqua" w:hAnsi="Book Antiqua" w:cs="Times New Roman"/>
                <w:color w:val="000000" w:themeColor="text1"/>
                <w:highlight w:val="yellow"/>
              </w:rPr>
            </w:pPr>
            <w:r w:rsidRPr="006D1FE9">
              <w:rPr>
                <w:rFonts w:ascii="Book Antiqua" w:hAnsi="Book Antiqua" w:cs="Times New Roman"/>
                <w:color w:val="000000" w:themeColor="text1"/>
              </w:rPr>
              <w:t>0.41</w:t>
            </w:r>
          </w:p>
        </w:tc>
      </w:tr>
      <w:tr w:rsidR="00C07110" w:rsidRPr="006D1FE9" w14:paraId="1B414665" w14:textId="77777777" w:rsidTr="00C07110">
        <w:tc>
          <w:tcPr>
            <w:tcW w:w="2835" w:type="dxa"/>
          </w:tcPr>
          <w:p w14:paraId="6FDECAB5"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C</w:t>
            </w:r>
          </w:p>
        </w:tc>
        <w:tc>
          <w:tcPr>
            <w:tcW w:w="1985" w:type="dxa"/>
          </w:tcPr>
          <w:p w14:paraId="51137BA9"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41 (63.1</w:t>
            </w:r>
            <w:r w:rsidR="004C6ACF">
              <w:rPr>
                <w:rFonts w:ascii="Book Antiqua" w:hAnsi="Book Antiqua" w:cs="Times New Roman"/>
              </w:rPr>
              <w:t>)</w:t>
            </w:r>
          </w:p>
        </w:tc>
        <w:tc>
          <w:tcPr>
            <w:tcW w:w="1942" w:type="dxa"/>
          </w:tcPr>
          <w:p w14:paraId="737BF09C"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84 (70.0</w:t>
            </w:r>
            <w:r w:rsidR="004C6ACF">
              <w:rPr>
                <w:rFonts w:ascii="Book Antiqua" w:hAnsi="Book Antiqua" w:cs="Times New Roman"/>
              </w:rPr>
              <w:t>)</w:t>
            </w:r>
          </w:p>
        </w:tc>
        <w:tc>
          <w:tcPr>
            <w:tcW w:w="2254" w:type="dxa"/>
          </w:tcPr>
          <w:p w14:paraId="74CA984A" w14:textId="77777777" w:rsidR="00C07110" w:rsidRPr="006D1FE9" w:rsidRDefault="00C07110" w:rsidP="006D1FE9">
            <w:pPr>
              <w:adjustRightInd w:val="0"/>
              <w:snapToGrid w:val="0"/>
              <w:spacing w:line="360" w:lineRule="auto"/>
              <w:jc w:val="both"/>
              <w:rPr>
                <w:rFonts w:ascii="Book Antiqua" w:hAnsi="Book Antiqua" w:cs="Times New Roman"/>
                <w:color w:val="FF0000"/>
                <w:highlight w:val="yellow"/>
              </w:rPr>
            </w:pPr>
            <w:r w:rsidRPr="006D1FE9">
              <w:rPr>
                <w:rFonts w:ascii="Book Antiqua" w:hAnsi="Book Antiqua" w:cs="Times New Roman"/>
                <w:color w:val="000000" w:themeColor="text1"/>
              </w:rPr>
              <w:t>0.41</w:t>
            </w:r>
          </w:p>
        </w:tc>
      </w:tr>
      <w:tr w:rsidR="00C07110" w:rsidRPr="006D1FE9" w14:paraId="75293C45" w14:textId="77777777" w:rsidTr="00C07110">
        <w:tc>
          <w:tcPr>
            <w:tcW w:w="2835" w:type="dxa"/>
          </w:tcPr>
          <w:p w14:paraId="32365FBE" w14:textId="77777777" w:rsidR="00C07110" w:rsidRPr="006D1FE9" w:rsidRDefault="00C07110"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Child-Pugh score</w:t>
            </w:r>
          </w:p>
          <w:p w14:paraId="6B03C7B3" w14:textId="77777777" w:rsidR="00C07110" w:rsidRPr="006D1FE9" w:rsidRDefault="002144C3"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rPr>
              <w:t xml:space="preserve">Mean </w:t>
            </w:r>
            <w:r w:rsidR="00C07110" w:rsidRPr="006D1FE9">
              <w:rPr>
                <w:rFonts w:ascii="Book Antiqua" w:hAnsi="Book Antiqua" w:cs="Times New Roman"/>
              </w:rPr>
              <w:t xml:space="preserve">± </w:t>
            </w:r>
            <w:r w:rsidRPr="006D1FE9">
              <w:rPr>
                <w:rFonts w:ascii="Book Antiqua" w:hAnsi="Book Antiqua" w:cs="Times New Roman"/>
              </w:rPr>
              <w:t>SD</w:t>
            </w:r>
          </w:p>
        </w:tc>
        <w:tc>
          <w:tcPr>
            <w:tcW w:w="1985" w:type="dxa"/>
          </w:tcPr>
          <w:p w14:paraId="0B110967"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11.2 ± 2.9</w:t>
            </w:r>
          </w:p>
        </w:tc>
        <w:tc>
          <w:tcPr>
            <w:tcW w:w="1942" w:type="dxa"/>
          </w:tcPr>
          <w:p w14:paraId="27A27322"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11.9 ± 3</w:t>
            </w:r>
          </w:p>
        </w:tc>
        <w:tc>
          <w:tcPr>
            <w:tcW w:w="2254" w:type="dxa"/>
          </w:tcPr>
          <w:p w14:paraId="1E27BA77" w14:textId="77777777" w:rsidR="00C07110" w:rsidRPr="006D1FE9" w:rsidRDefault="00C07110" w:rsidP="006D1FE9">
            <w:pPr>
              <w:adjustRightInd w:val="0"/>
              <w:snapToGrid w:val="0"/>
              <w:spacing w:line="360" w:lineRule="auto"/>
              <w:jc w:val="both"/>
              <w:rPr>
                <w:rFonts w:ascii="Book Antiqua" w:hAnsi="Book Antiqua" w:cs="Times New Roman"/>
                <w:color w:val="FF0000"/>
                <w:highlight w:val="yellow"/>
              </w:rPr>
            </w:pPr>
            <w:r w:rsidRPr="006D1FE9">
              <w:rPr>
                <w:rFonts w:ascii="Book Antiqua" w:hAnsi="Book Antiqua" w:cs="Times New Roman"/>
              </w:rPr>
              <w:t>0.52</w:t>
            </w:r>
          </w:p>
        </w:tc>
      </w:tr>
      <w:tr w:rsidR="00C07110" w:rsidRPr="006D1FE9" w14:paraId="1024B366" w14:textId="77777777" w:rsidTr="00C07110">
        <w:tc>
          <w:tcPr>
            <w:tcW w:w="2835" w:type="dxa"/>
            <w:tcBorders>
              <w:bottom w:val="single" w:sz="4" w:space="0" w:color="auto"/>
            </w:tcBorders>
          </w:tcPr>
          <w:p w14:paraId="49FA297D" w14:textId="77777777" w:rsidR="00C07110" w:rsidRPr="006D1FE9" w:rsidRDefault="00C07110"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MELD-Na score</w:t>
            </w:r>
          </w:p>
          <w:p w14:paraId="1D167528" w14:textId="77777777" w:rsidR="00C07110" w:rsidRPr="006D1FE9" w:rsidRDefault="002144C3"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rPr>
              <w:t xml:space="preserve">Mean </w:t>
            </w:r>
            <w:r w:rsidR="00C07110" w:rsidRPr="006D1FE9">
              <w:rPr>
                <w:rFonts w:ascii="Book Antiqua" w:hAnsi="Book Antiqua" w:cs="Times New Roman"/>
              </w:rPr>
              <w:t xml:space="preserve">± </w:t>
            </w:r>
            <w:r w:rsidRPr="006D1FE9">
              <w:rPr>
                <w:rFonts w:ascii="Book Antiqua" w:hAnsi="Book Antiqua" w:cs="Times New Roman"/>
              </w:rPr>
              <w:t>SD</w:t>
            </w:r>
          </w:p>
        </w:tc>
        <w:tc>
          <w:tcPr>
            <w:tcW w:w="1985" w:type="dxa"/>
            <w:tcBorders>
              <w:bottom w:val="single" w:sz="4" w:space="0" w:color="auto"/>
            </w:tcBorders>
          </w:tcPr>
          <w:p w14:paraId="019943B8"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21.4 ± 7.5</w:t>
            </w:r>
          </w:p>
        </w:tc>
        <w:tc>
          <w:tcPr>
            <w:tcW w:w="1942" w:type="dxa"/>
            <w:tcBorders>
              <w:bottom w:val="single" w:sz="4" w:space="0" w:color="auto"/>
            </w:tcBorders>
          </w:tcPr>
          <w:p w14:paraId="6FC7A88E"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23.6 ± 8.8</w:t>
            </w:r>
          </w:p>
        </w:tc>
        <w:tc>
          <w:tcPr>
            <w:tcW w:w="2254" w:type="dxa"/>
            <w:tcBorders>
              <w:bottom w:val="single" w:sz="4" w:space="0" w:color="auto"/>
            </w:tcBorders>
          </w:tcPr>
          <w:p w14:paraId="599A5110" w14:textId="77777777" w:rsidR="00C07110" w:rsidRPr="006D1FE9" w:rsidRDefault="00C07110" w:rsidP="006D1FE9">
            <w:pPr>
              <w:adjustRightInd w:val="0"/>
              <w:snapToGrid w:val="0"/>
              <w:spacing w:line="360" w:lineRule="auto"/>
              <w:jc w:val="both"/>
              <w:rPr>
                <w:rFonts w:ascii="Book Antiqua" w:hAnsi="Book Antiqua" w:cs="Times New Roman"/>
                <w:color w:val="FF0000"/>
                <w:highlight w:val="yellow"/>
              </w:rPr>
            </w:pPr>
            <w:r w:rsidRPr="006D1FE9">
              <w:rPr>
                <w:rFonts w:ascii="Book Antiqua" w:hAnsi="Book Antiqua" w:cs="Times New Roman"/>
              </w:rPr>
              <w:t>0.28</w:t>
            </w:r>
          </w:p>
        </w:tc>
      </w:tr>
    </w:tbl>
    <w:p w14:paraId="6B0308B3" w14:textId="77777777" w:rsidR="00A77B3E" w:rsidRPr="006D1FE9" w:rsidRDefault="00C07110" w:rsidP="006D1FE9">
      <w:pPr>
        <w:adjustRightInd w:val="0"/>
        <w:snapToGrid w:val="0"/>
        <w:spacing w:line="360" w:lineRule="auto"/>
        <w:jc w:val="both"/>
        <w:rPr>
          <w:rFonts w:ascii="Book Antiqua" w:hAnsi="Book Antiqua"/>
        </w:rPr>
      </w:pPr>
      <w:r w:rsidRPr="006D1FE9">
        <w:rPr>
          <w:rFonts w:ascii="Book Antiqua" w:hAnsi="Book Antiqua"/>
        </w:rPr>
        <w:t xml:space="preserve">EP: Early paracentesis group; DP: Delayed paracentesis group; </w:t>
      </w:r>
      <w:r w:rsidR="002144C3" w:rsidRPr="006D1FE9">
        <w:rPr>
          <w:rFonts w:ascii="Book Antiqua" w:hAnsi="Book Antiqua"/>
        </w:rPr>
        <w:t>SD</w:t>
      </w:r>
      <w:r w:rsidRPr="006D1FE9">
        <w:rPr>
          <w:rFonts w:ascii="Book Antiqua" w:hAnsi="Book Antiqua"/>
        </w:rPr>
        <w:t>: Standard deviation; N/A: Not applicable</w:t>
      </w:r>
      <w:r w:rsidR="002144C3" w:rsidRPr="006D1FE9">
        <w:rPr>
          <w:rFonts w:ascii="Book Antiqua" w:hAnsi="Book Antiqua"/>
        </w:rPr>
        <w:t>.</w:t>
      </w:r>
    </w:p>
    <w:p w14:paraId="6E71A127" w14:textId="4167ED2E" w:rsidR="00C07110" w:rsidRPr="006D1FE9" w:rsidRDefault="00C07110" w:rsidP="006D1FE9">
      <w:pPr>
        <w:adjustRightInd w:val="0"/>
        <w:snapToGrid w:val="0"/>
        <w:spacing w:line="360" w:lineRule="auto"/>
        <w:jc w:val="both"/>
        <w:rPr>
          <w:rFonts w:ascii="Book Antiqua" w:hAnsi="Book Antiqua"/>
          <w:b/>
        </w:rPr>
      </w:pPr>
      <w:r w:rsidRPr="006D1FE9">
        <w:rPr>
          <w:rFonts w:ascii="Book Antiqua" w:eastAsia="Book Antiqua" w:hAnsi="Book Antiqua" w:cs="Book Antiqua"/>
          <w:color w:val="000000"/>
        </w:rPr>
        <w:br w:type="page"/>
      </w:r>
      <w:r w:rsidRPr="006D1FE9">
        <w:rPr>
          <w:rFonts w:ascii="Book Antiqua" w:hAnsi="Book Antiqua"/>
          <w:b/>
        </w:rPr>
        <w:lastRenderedPageBreak/>
        <w:t>Table 2 Complications in the early paracentesis group and delayed paracentesis group</w:t>
      </w:r>
    </w:p>
    <w:tbl>
      <w:tblPr>
        <w:tblStyle w:val="a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000"/>
        <w:gridCol w:w="2194"/>
        <w:gridCol w:w="1996"/>
      </w:tblGrid>
      <w:tr w:rsidR="00C07110" w:rsidRPr="006D1FE9" w14:paraId="7E2F927E" w14:textId="77777777" w:rsidTr="00A868E1">
        <w:trPr>
          <w:jc w:val="center"/>
        </w:trPr>
        <w:tc>
          <w:tcPr>
            <w:tcW w:w="2694" w:type="dxa"/>
            <w:tcBorders>
              <w:bottom w:val="single" w:sz="4" w:space="0" w:color="auto"/>
            </w:tcBorders>
          </w:tcPr>
          <w:p w14:paraId="18404530" w14:textId="77777777" w:rsidR="00C07110" w:rsidRPr="006D1FE9" w:rsidRDefault="00C07110"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rPr>
              <w:t xml:space="preserve">Complications, </w:t>
            </w:r>
            <w:r w:rsidRPr="006D1FE9">
              <w:rPr>
                <w:rFonts w:ascii="Book Antiqua" w:hAnsi="Book Antiqua" w:cs="Times New Roman"/>
                <w:b/>
                <w:bCs/>
                <w:i/>
              </w:rPr>
              <w:t>n</w:t>
            </w:r>
            <w:r w:rsidRPr="006D1FE9">
              <w:rPr>
                <w:rFonts w:ascii="Book Antiqua" w:hAnsi="Book Antiqua" w:cs="Times New Roman"/>
                <w:b/>
                <w:bCs/>
              </w:rPr>
              <w:t xml:space="preserve"> (%)</w:t>
            </w:r>
          </w:p>
        </w:tc>
        <w:tc>
          <w:tcPr>
            <w:tcW w:w="2042" w:type="dxa"/>
            <w:tcBorders>
              <w:bottom w:val="single" w:sz="4" w:space="0" w:color="auto"/>
            </w:tcBorders>
          </w:tcPr>
          <w:p w14:paraId="74AB0B31" w14:textId="77777777" w:rsidR="00C07110" w:rsidRPr="006D1FE9" w:rsidRDefault="00C07110" w:rsidP="006D1FE9">
            <w:pPr>
              <w:adjustRightInd w:val="0"/>
              <w:snapToGrid w:val="0"/>
              <w:spacing w:line="360" w:lineRule="auto"/>
              <w:jc w:val="both"/>
              <w:rPr>
                <w:rFonts w:ascii="Book Antiqua" w:hAnsi="Book Antiqua" w:cs="Times New Roman"/>
                <w:b/>
              </w:rPr>
            </w:pPr>
            <w:r w:rsidRPr="006D1FE9">
              <w:rPr>
                <w:rFonts w:ascii="Book Antiqua" w:hAnsi="Book Antiqua" w:cs="Times New Roman"/>
                <w:b/>
                <w:bCs/>
              </w:rPr>
              <w:t xml:space="preserve">EP </w:t>
            </w:r>
            <w:r w:rsidRPr="006D1FE9">
              <w:rPr>
                <w:rFonts w:ascii="Book Antiqua" w:hAnsi="Book Antiqua" w:cs="Times New Roman"/>
                <w:b/>
              </w:rPr>
              <w:t>(</w:t>
            </w:r>
            <w:r w:rsidRPr="006D1FE9">
              <w:rPr>
                <w:rFonts w:ascii="Book Antiqua" w:hAnsi="Book Antiqua" w:cs="Times New Roman"/>
                <w:b/>
                <w:i/>
              </w:rPr>
              <w:t>n</w:t>
            </w:r>
            <w:r w:rsidRPr="006D1FE9">
              <w:rPr>
                <w:rFonts w:ascii="Book Antiqua" w:hAnsi="Book Antiqua" w:cs="Times New Roman"/>
                <w:b/>
              </w:rPr>
              <w:t xml:space="preserve"> = 65)</w:t>
            </w:r>
          </w:p>
        </w:tc>
        <w:tc>
          <w:tcPr>
            <w:tcW w:w="2243" w:type="dxa"/>
            <w:tcBorders>
              <w:bottom w:val="single" w:sz="4" w:space="0" w:color="auto"/>
            </w:tcBorders>
          </w:tcPr>
          <w:p w14:paraId="60D93EF3" w14:textId="77777777" w:rsidR="00C07110" w:rsidRPr="006D1FE9" w:rsidRDefault="00C07110" w:rsidP="006D1FE9">
            <w:pPr>
              <w:adjustRightInd w:val="0"/>
              <w:snapToGrid w:val="0"/>
              <w:spacing w:line="360" w:lineRule="auto"/>
              <w:jc w:val="both"/>
              <w:rPr>
                <w:rFonts w:ascii="Book Antiqua" w:hAnsi="Book Antiqua" w:cs="Times New Roman"/>
                <w:b/>
              </w:rPr>
            </w:pPr>
            <w:r w:rsidRPr="006D1FE9">
              <w:rPr>
                <w:rFonts w:ascii="Book Antiqua" w:hAnsi="Book Antiqua" w:cs="Times New Roman"/>
                <w:b/>
                <w:bCs/>
              </w:rPr>
              <w:t xml:space="preserve">DP </w:t>
            </w:r>
            <w:r w:rsidRPr="006D1FE9">
              <w:rPr>
                <w:rFonts w:ascii="Book Antiqua" w:hAnsi="Book Antiqua" w:cs="Times New Roman"/>
                <w:b/>
              </w:rPr>
              <w:t>(</w:t>
            </w:r>
            <w:r w:rsidRPr="006D1FE9">
              <w:rPr>
                <w:rFonts w:ascii="Book Antiqua" w:hAnsi="Book Antiqua" w:cs="Times New Roman"/>
                <w:b/>
                <w:i/>
              </w:rPr>
              <w:t>n</w:t>
            </w:r>
            <w:r w:rsidRPr="006D1FE9">
              <w:rPr>
                <w:rFonts w:ascii="Book Antiqua" w:hAnsi="Book Antiqua" w:cs="Times New Roman"/>
                <w:b/>
              </w:rPr>
              <w:t xml:space="preserve"> = 120)</w:t>
            </w:r>
          </w:p>
        </w:tc>
        <w:tc>
          <w:tcPr>
            <w:tcW w:w="2037" w:type="dxa"/>
            <w:tcBorders>
              <w:bottom w:val="single" w:sz="4" w:space="0" w:color="auto"/>
            </w:tcBorders>
          </w:tcPr>
          <w:p w14:paraId="0950DCB4" w14:textId="77777777" w:rsidR="00C07110" w:rsidRPr="006D1FE9" w:rsidRDefault="002144C3" w:rsidP="006D1FE9">
            <w:pPr>
              <w:adjustRightInd w:val="0"/>
              <w:snapToGrid w:val="0"/>
              <w:spacing w:line="360" w:lineRule="auto"/>
              <w:jc w:val="both"/>
              <w:rPr>
                <w:rFonts w:ascii="Book Antiqua" w:hAnsi="Book Antiqua" w:cs="Times New Roman"/>
                <w:b/>
                <w:bCs/>
                <w:color w:val="000000" w:themeColor="text1"/>
              </w:rPr>
            </w:pPr>
            <w:r w:rsidRPr="006D1FE9">
              <w:rPr>
                <w:rFonts w:ascii="Book Antiqua" w:hAnsi="Book Antiqua" w:cs="Times New Roman"/>
                <w:b/>
                <w:bCs/>
                <w:i/>
                <w:color w:val="000000" w:themeColor="text1"/>
              </w:rPr>
              <w:t>P</w:t>
            </w:r>
            <w:r w:rsidRPr="006D1FE9">
              <w:rPr>
                <w:rFonts w:ascii="Book Antiqua" w:hAnsi="Book Antiqua" w:cs="Times New Roman"/>
                <w:b/>
                <w:bCs/>
                <w:color w:val="000000" w:themeColor="text1"/>
              </w:rPr>
              <w:t xml:space="preserve"> </w:t>
            </w:r>
            <w:r w:rsidR="00C07110" w:rsidRPr="006D1FE9">
              <w:rPr>
                <w:rFonts w:ascii="Book Antiqua" w:hAnsi="Book Antiqua" w:cs="Times New Roman"/>
                <w:b/>
                <w:bCs/>
                <w:color w:val="000000" w:themeColor="text1"/>
              </w:rPr>
              <w:t>value</w:t>
            </w:r>
          </w:p>
        </w:tc>
      </w:tr>
      <w:tr w:rsidR="00C07110" w:rsidRPr="006D1FE9" w14:paraId="655E13FA" w14:textId="77777777" w:rsidTr="00A868E1">
        <w:trPr>
          <w:jc w:val="center"/>
        </w:trPr>
        <w:tc>
          <w:tcPr>
            <w:tcW w:w="2694" w:type="dxa"/>
            <w:tcBorders>
              <w:top w:val="single" w:sz="4" w:space="0" w:color="auto"/>
            </w:tcBorders>
          </w:tcPr>
          <w:p w14:paraId="0213F951" w14:textId="77777777" w:rsidR="00C07110" w:rsidRPr="006D1FE9" w:rsidRDefault="00C07110" w:rsidP="006D1FE9">
            <w:pPr>
              <w:adjustRightInd w:val="0"/>
              <w:snapToGrid w:val="0"/>
              <w:spacing w:line="360" w:lineRule="auto"/>
              <w:jc w:val="both"/>
              <w:rPr>
                <w:rFonts w:ascii="Book Antiqua" w:hAnsi="Book Antiqua" w:cs="Times New Roman"/>
                <w:bCs/>
                <w:vertAlign w:val="superscript"/>
              </w:rPr>
            </w:pPr>
            <w:r w:rsidRPr="006D1FE9">
              <w:rPr>
                <w:rFonts w:ascii="Book Antiqua" w:hAnsi="Book Antiqua" w:cs="Times New Roman"/>
                <w:bCs/>
              </w:rPr>
              <w:t>SBP</w:t>
            </w:r>
          </w:p>
        </w:tc>
        <w:tc>
          <w:tcPr>
            <w:tcW w:w="2042" w:type="dxa"/>
            <w:tcBorders>
              <w:top w:val="single" w:sz="4" w:space="0" w:color="auto"/>
            </w:tcBorders>
          </w:tcPr>
          <w:p w14:paraId="5350508C"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10 (15.3</w:t>
            </w:r>
            <w:r w:rsidR="004C6ACF">
              <w:rPr>
                <w:rFonts w:ascii="Book Antiqua" w:hAnsi="Book Antiqua" w:cs="Times New Roman"/>
              </w:rPr>
              <w:t>)</w:t>
            </w:r>
          </w:p>
        </w:tc>
        <w:tc>
          <w:tcPr>
            <w:tcW w:w="2243" w:type="dxa"/>
            <w:tcBorders>
              <w:top w:val="single" w:sz="4" w:space="0" w:color="auto"/>
            </w:tcBorders>
          </w:tcPr>
          <w:p w14:paraId="4B2EE693"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22 (18.3</w:t>
            </w:r>
            <w:r w:rsidR="004C6ACF">
              <w:rPr>
                <w:rFonts w:ascii="Book Antiqua" w:hAnsi="Book Antiqua" w:cs="Times New Roman"/>
              </w:rPr>
              <w:t>)</w:t>
            </w:r>
          </w:p>
        </w:tc>
        <w:tc>
          <w:tcPr>
            <w:tcW w:w="2037" w:type="dxa"/>
            <w:tcBorders>
              <w:top w:val="single" w:sz="4" w:space="0" w:color="auto"/>
            </w:tcBorders>
          </w:tcPr>
          <w:p w14:paraId="61506C78" w14:textId="77777777" w:rsidR="00C07110" w:rsidRPr="006D1FE9" w:rsidRDefault="00C07110" w:rsidP="006D1FE9">
            <w:pPr>
              <w:adjustRightInd w:val="0"/>
              <w:snapToGrid w:val="0"/>
              <w:spacing w:line="360" w:lineRule="auto"/>
              <w:jc w:val="both"/>
              <w:rPr>
                <w:rFonts w:ascii="Book Antiqua" w:hAnsi="Book Antiqua" w:cs="Times New Roman"/>
                <w:color w:val="000000" w:themeColor="text1"/>
              </w:rPr>
            </w:pPr>
            <w:r w:rsidRPr="006D1FE9">
              <w:rPr>
                <w:rFonts w:ascii="Book Antiqua" w:hAnsi="Book Antiqua" w:cs="Times New Roman"/>
                <w:color w:val="000000" w:themeColor="text1"/>
              </w:rPr>
              <w:t>0.61</w:t>
            </w:r>
          </w:p>
        </w:tc>
      </w:tr>
      <w:tr w:rsidR="00C07110" w:rsidRPr="006D1FE9" w14:paraId="70467F95" w14:textId="77777777" w:rsidTr="00A868E1">
        <w:trPr>
          <w:jc w:val="center"/>
        </w:trPr>
        <w:tc>
          <w:tcPr>
            <w:tcW w:w="2694" w:type="dxa"/>
          </w:tcPr>
          <w:p w14:paraId="65315C99" w14:textId="77777777" w:rsidR="00C07110" w:rsidRPr="006D1FE9" w:rsidRDefault="00C07110" w:rsidP="006D1FE9">
            <w:pPr>
              <w:adjustRightInd w:val="0"/>
              <w:snapToGrid w:val="0"/>
              <w:spacing w:line="360" w:lineRule="auto"/>
              <w:jc w:val="both"/>
              <w:rPr>
                <w:rFonts w:ascii="Book Antiqua" w:hAnsi="Book Antiqua" w:cs="Times New Roman"/>
                <w:bCs/>
                <w:vertAlign w:val="superscript"/>
              </w:rPr>
            </w:pPr>
            <w:r w:rsidRPr="006D1FE9">
              <w:rPr>
                <w:rFonts w:ascii="Book Antiqua" w:hAnsi="Book Antiqua" w:cs="Times New Roman"/>
                <w:bCs/>
              </w:rPr>
              <w:t>HE</w:t>
            </w:r>
          </w:p>
        </w:tc>
        <w:tc>
          <w:tcPr>
            <w:tcW w:w="2042" w:type="dxa"/>
          </w:tcPr>
          <w:p w14:paraId="31BA404F"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14 (21.5</w:t>
            </w:r>
            <w:r w:rsidR="004C6ACF">
              <w:rPr>
                <w:rFonts w:ascii="Book Antiqua" w:hAnsi="Book Antiqua" w:cs="Times New Roman"/>
              </w:rPr>
              <w:t>)</w:t>
            </w:r>
          </w:p>
        </w:tc>
        <w:tc>
          <w:tcPr>
            <w:tcW w:w="2243" w:type="dxa"/>
          </w:tcPr>
          <w:p w14:paraId="5141F1A9"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54 (45.0</w:t>
            </w:r>
            <w:r w:rsidR="004C6ACF">
              <w:rPr>
                <w:rFonts w:ascii="Book Antiqua" w:hAnsi="Book Antiqua" w:cs="Times New Roman"/>
              </w:rPr>
              <w:t>)</w:t>
            </w:r>
          </w:p>
        </w:tc>
        <w:tc>
          <w:tcPr>
            <w:tcW w:w="2037" w:type="dxa"/>
          </w:tcPr>
          <w:p w14:paraId="69E0CDDD" w14:textId="77777777" w:rsidR="00C07110" w:rsidRPr="006D1FE9" w:rsidRDefault="00C07110" w:rsidP="006D1FE9">
            <w:pPr>
              <w:adjustRightInd w:val="0"/>
              <w:snapToGrid w:val="0"/>
              <w:spacing w:line="360" w:lineRule="auto"/>
              <w:jc w:val="both"/>
              <w:rPr>
                <w:rFonts w:ascii="Book Antiqua" w:hAnsi="Book Antiqua" w:cs="Times New Roman"/>
                <w:color w:val="000000" w:themeColor="text1"/>
              </w:rPr>
            </w:pPr>
            <w:r w:rsidRPr="006D1FE9">
              <w:rPr>
                <w:rFonts w:ascii="Book Antiqua" w:hAnsi="Book Antiqua" w:cs="Times New Roman"/>
                <w:color w:val="000000" w:themeColor="text1"/>
              </w:rPr>
              <w:t>&lt; 0.</w:t>
            </w:r>
            <w:r w:rsidRPr="006D1FE9">
              <w:rPr>
                <w:rFonts w:ascii="Book Antiqua" w:hAnsi="Book Antiqua" w:cs="Times New Roman"/>
                <w:bCs/>
                <w:color w:val="000000" w:themeColor="text1"/>
              </w:rPr>
              <w:t>01</w:t>
            </w:r>
            <w:r w:rsidR="00602B62">
              <w:rPr>
                <w:rFonts w:ascii="Book Antiqua" w:hAnsi="Book Antiqua"/>
                <w:vertAlign w:val="superscript"/>
              </w:rPr>
              <w:t>a</w:t>
            </w:r>
          </w:p>
        </w:tc>
      </w:tr>
      <w:tr w:rsidR="00C07110" w:rsidRPr="006D1FE9" w14:paraId="25CAF0C7" w14:textId="77777777" w:rsidTr="00A868E1">
        <w:trPr>
          <w:jc w:val="center"/>
        </w:trPr>
        <w:tc>
          <w:tcPr>
            <w:tcW w:w="2694" w:type="dxa"/>
          </w:tcPr>
          <w:p w14:paraId="5B997156" w14:textId="77777777" w:rsidR="00C07110" w:rsidRPr="006D1FE9" w:rsidRDefault="00C07110" w:rsidP="006D1FE9">
            <w:pPr>
              <w:adjustRightInd w:val="0"/>
              <w:snapToGrid w:val="0"/>
              <w:spacing w:line="360" w:lineRule="auto"/>
              <w:jc w:val="both"/>
              <w:rPr>
                <w:rFonts w:ascii="Book Antiqua" w:hAnsi="Book Antiqua" w:cs="Times New Roman"/>
                <w:bCs/>
                <w:vertAlign w:val="superscript"/>
              </w:rPr>
            </w:pPr>
            <w:r w:rsidRPr="006D1FE9">
              <w:rPr>
                <w:rFonts w:ascii="Book Antiqua" w:hAnsi="Book Antiqua" w:cs="Times New Roman"/>
                <w:bCs/>
              </w:rPr>
              <w:t>HRS</w:t>
            </w:r>
          </w:p>
        </w:tc>
        <w:tc>
          <w:tcPr>
            <w:tcW w:w="2042" w:type="dxa"/>
          </w:tcPr>
          <w:p w14:paraId="289DD3F9"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6 (9.2</w:t>
            </w:r>
            <w:r w:rsidR="004C6ACF">
              <w:rPr>
                <w:rFonts w:ascii="Book Antiqua" w:hAnsi="Book Antiqua" w:cs="Times New Roman"/>
              </w:rPr>
              <w:t>)</w:t>
            </w:r>
          </w:p>
        </w:tc>
        <w:tc>
          <w:tcPr>
            <w:tcW w:w="2243" w:type="dxa"/>
          </w:tcPr>
          <w:p w14:paraId="49D9C83B"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26 (21.6</w:t>
            </w:r>
            <w:r w:rsidR="004C6ACF">
              <w:rPr>
                <w:rFonts w:ascii="Book Antiqua" w:hAnsi="Book Antiqua" w:cs="Times New Roman"/>
              </w:rPr>
              <w:t>)</w:t>
            </w:r>
          </w:p>
        </w:tc>
        <w:tc>
          <w:tcPr>
            <w:tcW w:w="2037" w:type="dxa"/>
          </w:tcPr>
          <w:p w14:paraId="42E351EE" w14:textId="77777777" w:rsidR="00C07110" w:rsidRPr="006D1FE9" w:rsidRDefault="00C07110" w:rsidP="006D1FE9">
            <w:pPr>
              <w:adjustRightInd w:val="0"/>
              <w:snapToGrid w:val="0"/>
              <w:spacing w:line="360" w:lineRule="auto"/>
              <w:jc w:val="both"/>
              <w:rPr>
                <w:rFonts w:ascii="Book Antiqua" w:hAnsi="Book Antiqua" w:cs="Times New Roman"/>
                <w:color w:val="000000" w:themeColor="text1"/>
              </w:rPr>
            </w:pPr>
            <w:r w:rsidRPr="006D1FE9">
              <w:rPr>
                <w:rFonts w:ascii="Book Antiqua" w:hAnsi="Book Antiqua" w:cs="Times New Roman"/>
                <w:color w:val="000000" w:themeColor="text1"/>
              </w:rPr>
              <w:t>0.</w:t>
            </w:r>
            <w:r w:rsidRPr="006D1FE9">
              <w:rPr>
                <w:rFonts w:ascii="Book Antiqua" w:hAnsi="Book Antiqua" w:cs="Times New Roman"/>
                <w:bCs/>
                <w:color w:val="000000" w:themeColor="text1"/>
              </w:rPr>
              <w:t>03</w:t>
            </w:r>
            <w:r w:rsidR="002144C3" w:rsidRPr="006D1FE9">
              <w:rPr>
                <w:rFonts w:ascii="Book Antiqua" w:hAnsi="Book Antiqua" w:cs="Times New Roman"/>
                <w:bCs/>
                <w:color w:val="000000" w:themeColor="text1"/>
                <w:vertAlign w:val="superscript"/>
              </w:rPr>
              <w:t>1</w:t>
            </w:r>
            <w:r w:rsidR="00602B62">
              <w:rPr>
                <w:rFonts w:ascii="Book Antiqua" w:hAnsi="Book Antiqua"/>
                <w:vertAlign w:val="superscript"/>
              </w:rPr>
              <w:t>a</w:t>
            </w:r>
          </w:p>
        </w:tc>
      </w:tr>
      <w:tr w:rsidR="00C07110" w:rsidRPr="006D1FE9" w14:paraId="5488E4BA" w14:textId="77777777" w:rsidTr="00A868E1">
        <w:trPr>
          <w:jc w:val="center"/>
        </w:trPr>
        <w:tc>
          <w:tcPr>
            <w:tcW w:w="2694" w:type="dxa"/>
          </w:tcPr>
          <w:p w14:paraId="7583C98C" w14:textId="77777777" w:rsidR="00C07110" w:rsidRPr="006D1FE9" w:rsidRDefault="00C07110"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UGIB</w:t>
            </w:r>
          </w:p>
        </w:tc>
        <w:tc>
          <w:tcPr>
            <w:tcW w:w="2042" w:type="dxa"/>
          </w:tcPr>
          <w:p w14:paraId="5BD7F618"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20 (30.5</w:t>
            </w:r>
            <w:r w:rsidR="004C6ACF">
              <w:rPr>
                <w:rFonts w:ascii="Book Antiqua" w:hAnsi="Book Antiqua" w:cs="Times New Roman"/>
              </w:rPr>
              <w:t>)</w:t>
            </w:r>
          </w:p>
        </w:tc>
        <w:tc>
          <w:tcPr>
            <w:tcW w:w="2243" w:type="dxa"/>
          </w:tcPr>
          <w:p w14:paraId="0708E8D7"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40 (33.3</w:t>
            </w:r>
            <w:r w:rsidR="004C6ACF">
              <w:rPr>
                <w:rFonts w:ascii="Book Antiqua" w:hAnsi="Book Antiqua" w:cs="Times New Roman"/>
              </w:rPr>
              <w:t>)</w:t>
            </w:r>
          </w:p>
        </w:tc>
        <w:tc>
          <w:tcPr>
            <w:tcW w:w="2037" w:type="dxa"/>
          </w:tcPr>
          <w:p w14:paraId="7BD925B7" w14:textId="77777777" w:rsidR="00C07110" w:rsidRPr="006D1FE9" w:rsidRDefault="00C07110" w:rsidP="006D1FE9">
            <w:pPr>
              <w:adjustRightInd w:val="0"/>
              <w:snapToGrid w:val="0"/>
              <w:spacing w:line="360" w:lineRule="auto"/>
              <w:jc w:val="both"/>
              <w:rPr>
                <w:rFonts w:ascii="Book Antiqua" w:hAnsi="Book Antiqua" w:cs="Times New Roman"/>
                <w:color w:val="000000" w:themeColor="text1"/>
              </w:rPr>
            </w:pPr>
            <w:r w:rsidRPr="006D1FE9">
              <w:rPr>
                <w:rFonts w:ascii="Book Antiqua" w:hAnsi="Book Antiqua" w:cs="Times New Roman"/>
                <w:color w:val="000000" w:themeColor="text1"/>
              </w:rPr>
              <w:t>0.72</w:t>
            </w:r>
          </w:p>
        </w:tc>
      </w:tr>
      <w:tr w:rsidR="00C07110" w:rsidRPr="006D1FE9" w14:paraId="5AFD1CBD" w14:textId="77777777" w:rsidTr="00A868E1">
        <w:trPr>
          <w:jc w:val="center"/>
        </w:trPr>
        <w:tc>
          <w:tcPr>
            <w:tcW w:w="2694" w:type="dxa"/>
          </w:tcPr>
          <w:p w14:paraId="22BB882B" w14:textId="77777777" w:rsidR="00C07110" w:rsidRPr="006D1FE9" w:rsidRDefault="00C07110" w:rsidP="006D1FE9">
            <w:pPr>
              <w:adjustRightInd w:val="0"/>
              <w:snapToGrid w:val="0"/>
              <w:spacing w:line="360" w:lineRule="auto"/>
              <w:jc w:val="both"/>
              <w:rPr>
                <w:rFonts w:ascii="Book Antiqua" w:hAnsi="Book Antiqua" w:cs="Times New Roman"/>
                <w:bCs/>
                <w:vertAlign w:val="superscript"/>
              </w:rPr>
            </w:pPr>
            <w:r w:rsidRPr="006D1FE9">
              <w:rPr>
                <w:rFonts w:ascii="Book Antiqua" w:hAnsi="Book Antiqua" w:cs="Times New Roman"/>
                <w:bCs/>
              </w:rPr>
              <w:t>Infections</w:t>
            </w:r>
          </w:p>
        </w:tc>
        <w:tc>
          <w:tcPr>
            <w:tcW w:w="2042" w:type="dxa"/>
          </w:tcPr>
          <w:p w14:paraId="0F638FDF"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7 (10.7</w:t>
            </w:r>
            <w:r w:rsidR="004C6ACF">
              <w:rPr>
                <w:rFonts w:ascii="Book Antiqua" w:hAnsi="Book Antiqua" w:cs="Times New Roman"/>
              </w:rPr>
              <w:t>)</w:t>
            </w:r>
          </w:p>
        </w:tc>
        <w:tc>
          <w:tcPr>
            <w:tcW w:w="2243" w:type="dxa"/>
          </w:tcPr>
          <w:p w14:paraId="799324F7"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30 (25.0</w:t>
            </w:r>
            <w:r w:rsidR="004C6ACF">
              <w:rPr>
                <w:rFonts w:ascii="Book Antiqua" w:hAnsi="Book Antiqua" w:cs="Times New Roman"/>
              </w:rPr>
              <w:t>)</w:t>
            </w:r>
          </w:p>
        </w:tc>
        <w:tc>
          <w:tcPr>
            <w:tcW w:w="2037" w:type="dxa"/>
          </w:tcPr>
          <w:p w14:paraId="1CFE1876" w14:textId="77777777" w:rsidR="00C07110" w:rsidRPr="006D1FE9" w:rsidRDefault="00C07110" w:rsidP="006D1FE9">
            <w:pPr>
              <w:adjustRightInd w:val="0"/>
              <w:snapToGrid w:val="0"/>
              <w:spacing w:line="360" w:lineRule="auto"/>
              <w:jc w:val="both"/>
              <w:rPr>
                <w:rFonts w:ascii="Book Antiqua" w:hAnsi="Book Antiqua" w:cs="Times New Roman"/>
                <w:bCs/>
                <w:color w:val="000000" w:themeColor="text1"/>
              </w:rPr>
            </w:pPr>
            <w:r w:rsidRPr="006D1FE9">
              <w:rPr>
                <w:rFonts w:ascii="Book Antiqua" w:hAnsi="Book Antiqua" w:cs="Times New Roman"/>
                <w:bCs/>
                <w:color w:val="000000" w:themeColor="text1"/>
              </w:rPr>
              <w:t>0.02</w:t>
            </w:r>
            <w:r w:rsidR="00602B62">
              <w:rPr>
                <w:rFonts w:ascii="Book Antiqua" w:hAnsi="Book Antiqua"/>
                <w:vertAlign w:val="superscript"/>
              </w:rPr>
              <w:t>a</w:t>
            </w:r>
          </w:p>
        </w:tc>
      </w:tr>
    </w:tbl>
    <w:p w14:paraId="3B446F81" w14:textId="77777777" w:rsidR="00C07110" w:rsidRPr="006D1FE9" w:rsidRDefault="00602B62" w:rsidP="006D1FE9">
      <w:pPr>
        <w:adjustRightInd w:val="0"/>
        <w:snapToGrid w:val="0"/>
        <w:spacing w:line="360" w:lineRule="auto"/>
        <w:jc w:val="both"/>
        <w:rPr>
          <w:rFonts w:ascii="Book Antiqua" w:hAnsi="Book Antiqua"/>
        </w:rPr>
      </w:pPr>
      <w:proofErr w:type="spellStart"/>
      <w:r>
        <w:rPr>
          <w:rFonts w:ascii="Book Antiqua" w:hAnsi="Book Antiqua"/>
          <w:vertAlign w:val="superscript"/>
        </w:rPr>
        <w:t>a</w:t>
      </w:r>
      <w:r w:rsidR="00C07110" w:rsidRPr="006D1FE9">
        <w:rPr>
          <w:rFonts w:ascii="Book Antiqua" w:hAnsi="Book Antiqua"/>
          <w:i/>
          <w:caps/>
        </w:rPr>
        <w:t>p</w:t>
      </w:r>
      <w:proofErr w:type="spellEnd"/>
      <w:r>
        <w:rPr>
          <w:rFonts w:ascii="Book Antiqua" w:hAnsi="Book Antiqua"/>
        </w:rPr>
        <w:t xml:space="preserve"> </w:t>
      </w:r>
      <w:r w:rsidR="00C07110" w:rsidRPr="006D1FE9">
        <w:rPr>
          <w:rFonts w:ascii="Book Antiqua" w:hAnsi="Book Antiqua"/>
        </w:rPr>
        <w:t xml:space="preserve">&lt; 0.05. </w:t>
      </w:r>
      <w:r w:rsidR="006D1FE9" w:rsidRPr="006D1FE9">
        <w:rPr>
          <w:rFonts w:ascii="Book Antiqua" w:hAnsi="Book Antiqua"/>
        </w:rPr>
        <w:t>EP: Early paracentesis group; DP: Delayed paracentesis group; SBP: Spontaneous bacterial peritonitis; HE: Hepatic encephalopathy; HRS: Hepato-renal syndrome; UGIB: Upper gastrointestinal bleeding</w:t>
      </w:r>
      <w:r w:rsidR="006D1FE9" w:rsidRPr="006D1FE9">
        <w:rPr>
          <w:rFonts w:ascii="Book Antiqua" w:hAnsi="Book Antiqua"/>
          <w:lang w:eastAsia="zh-CN"/>
        </w:rPr>
        <w:t>.</w:t>
      </w:r>
    </w:p>
    <w:p w14:paraId="4B767078" w14:textId="77777777" w:rsidR="00DF1769" w:rsidRPr="006D1FE9" w:rsidRDefault="00DF1769" w:rsidP="006D1FE9">
      <w:pPr>
        <w:adjustRightInd w:val="0"/>
        <w:snapToGrid w:val="0"/>
        <w:spacing w:line="360" w:lineRule="auto"/>
        <w:jc w:val="both"/>
        <w:rPr>
          <w:rFonts w:ascii="Book Antiqua" w:hAnsi="Book Antiqua"/>
          <w:b/>
        </w:rPr>
      </w:pPr>
      <w:r w:rsidRPr="006D1FE9">
        <w:rPr>
          <w:rFonts w:ascii="Book Antiqua" w:hAnsi="Book Antiqua"/>
        </w:rPr>
        <w:br w:type="page"/>
      </w:r>
      <w:r w:rsidRPr="006D1FE9">
        <w:rPr>
          <w:rFonts w:ascii="Book Antiqua" w:hAnsi="Book Antiqua"/>
          <w:b/>
        </w:rPr>
        <w:lastRenderedPageBreak/>
        <w:t>Table 3 Time of admission, length of stay, in</w:t>
      </w:r>
      <w:r w:rsidR="002144C3" w:rsidRPr="006D1FE9">
        <w:rPr>
          <w:rFonts w:ascii="Book Antiqua" w:hAnsi="Book Antiqua"/>
          <w:b/>
        </w:rPr>
        <w:t>-hospital mortality, and 90-d</w:t>
      </w:r>
      <w:r w:rsidRPr="006D1FE9">
        <w:rPr>
          <w:rFonts w:ascii="Book Antiqua" w:hAnsi="Book Antiqua"/>
          <w:b/>
        </w:rPr>
        <w:t xml:space="preserve"> readmission rate in the early paracentesis group and delayed paracentesis group</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2"/>
        <w:gridCol w:w="1791"/>
        <w:gridCol w:w="2216"/>
        <w:gridCol w:w="1210"/>
      </w:tblGrid>
      <w:tr w:rsidR="00DF1769" w:rsidRPr="006D1FE9" w14:paraId="11CA1C2B" w14:textId="77777777" w:rsidTr="006E69B8">
        <w:trPr>
          <w:trHeight w:val="443"/>
        </w:trPr>
        <w:tc>
          <w:tcPr>
            <w:tcW w:w="3562" w:type="dxa"/>
            <w:tcBorders>
              <w:bottom w:val="single" w:sz="4" w:space="0" w:color="auto"/>
            </w:tcBorders>
          </w:tcPr>
          <w:p w14:paraId="19C585CF" w14:textId="77777777" w:rsidR="00DF1769" w:rsidRPr="006D1FE9" w:rsidRDefault="00DF1769" w:rsidP="006D1FE9">
            <w:pPr>
              <w:adjustRightInd w:val="0"/>
              <w:snapToGrid w:val="0"/>
              <w:spacing w:line="360" w:lineRule="auto"/>
              <w:jc w:val="both"/>
              <w:rPr>
                <w:rFonts w:ascii="Book Antiqua" w:hAnsi="Book Antiqua" w:cs="Times New Roman"/>
                <w:b/>
                <w:bCs/>
              </w:rPr>
            </w:pPr>
          </w:p>
        </w:tc>
        <w:tc>
          <w:tcPr>
            <w:tcW w:w="1791" w:type="dxa"/>
            <w:tcBorders>
              <w:bottom w:val="single" w:sz="4" w:space="0" w:color="auto"/>
            </w:tcBorders>
          </w:tcPr>
          <w:p w14:paraId="49AB2459" w14:textId="77777777" w:rsidR="00DF1769" w:rsidRPr="006D1FE9" w:rsidRDefault="00DF1769"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rPr>
              <w:t>EP (</w:t>
            </w:r>
            <w:r w:rsidRPr="006D1FE9">
              <w:rPr>
                <w:rFonts w:ascii="Book Antiqua" w:hAnsi="Book Antiqua" w:cs="Times New Roman"/>
                <w:b/>
                <w:bCs/>
                <w:i/>
              </w:rPr>
              <w:t>n</w:t>
            </w:r>
            <w:r w:rsidRPr="006D1FE9">
              <w:rPr>
                <w:rFonts w:ascii="Book Antiqua" w:hAnsi="Book Antiqua" w:cs="Times New Roman"/>
                <w:b/>
                <w:bCs/>
              </w:rPr>
              <w:t xml:space="preserve"> = 65)</w:t>
            </w:r>
          </w:p>
        </w:tc>
        <w:tc>
          <w:tcPr>
            <w:tcW w:w="2216" w:type="dxa"/>
            <w:tcBorders>
              <w:bottom w:val="single" w:sz="4" w:space="0" w:color="auto"/>
            </w:tcBorders>
          </w:tcPr>
          <w:p w14:paraId="459E557B" w14:textId="77777777" w:rsidR="00DF1769" w:rsidRPr="006D1FE9" w:rsidRDefault="00DF1769"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rPr>
              <w:t>DP (</w:t>
            </w:r>
            <w:r w:rsidRPr="006D1FE9">
              <w:rPr>
                <w:rFonts w:ascii="Book Antiqua" w:hAnsi="Book Antiqua" w:cs="Times New Roman"/>
                <w:b/>
                <w:bCs/>
                <w:i/>
              </w:rPr>
              <w:t>n</w:t>
            </w:r>
            <w:r w:rsidRPr="006D1FE9">
              <w:rPr>
                <w:rFonts w:ascii="Book Antiqua" w:hAnsi="Book Antiqua" w:cs="Times New Roman"/>
                <w:b/>
                <w:bCs/>
              </w:rPr>
              <w:t xml:space="preserve"> = 120)</w:t>
            </w:r>
          </w:p>
        </w:tc>
        <w:tc>
          <w:tcPr>
            <w:tcW w:w="1210" w:type="dxa"/>
            <w:tcBorders>
              <w:bottom w:val="single" w:sz="4" w:space="0" w:color="auto"/>
            </w:tcBorders>
          </w:tcPr>
          <w:p w14:paraId="66421FC8" w14:textId="77777777" w:rsidR="00DF1769" w:rsidRPr="006D1FE9" w:rsidRDefault="002144C3"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i/>
              </w:rPr>
              <w:t>P</w:t>
            </w:r>
            <w:r w:rsidRPr="006D1FE9">
              <w:rPr>
                <w:rFonts w:ascii="Book Antiqua" w:hAnsi="Book Antiqua" w:cs="Times New Roman"/>
                <w:b/>
                <w:bCs/>
              </w:rPr>
              <w:t xml:space="preserve"> </w:t>
            </w:r>
            <w:r w:rsidR="00DF1769" w:rsidRPr="006D1FE9">
              <w:rPr>
                <w:rFonts w:ascii="Book Antiqua" w:hAnsi="Book Antiqua" w:cs="Times New Roman"/>
                <w:b/>
                <w:bCs/>
              </w:rPr>
              <w:t>value</w:t>
            </w:r>
          </w:p>
        </w:tc>
      </w:tr>
      <w:tr w:rsidR="00DF1769" w:rsidRPr="006D1FE9" w14:paraId="441A6241" w14:textId="77777777" w:rsidTr="006E69B8">
        <w:trPr>
          <w:trHeight w:val="443"/>
        </w:trPr>
        <w:tc>
          <w:tcPr>
            <w:tcW w:w="3562" w:type="dxa"/>
            <w:tcBorders>
              <w:top w:val="single" w:sz="4" w:space="0" w:color="auto"/>
              <w:bottom w:val="nil"/>
            </w:tcBorders>
          </w:tcPr>
          <w:p w14:paraId="11A74F4D" w14:textId="77777777" w:rsidR="00DF1769" w:rsidRPr="006D1FE9" w:rsidRDefault="00DF1769"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 xml:space="preserve">Admission, </w:t>
            </w:r>
            <w:r w:rsidRPr="006D1FE9">
              <w:rPr>
                <w:rFonts w:ascii="Book Antiqua" w:hAnsi="Book Antiqua" w:cs="Times New Roman"/>
                <w:bCs/>
                <w:i/>
              </w:rPr>
              <w:t>n</w:t>
            </w:r>
            <w:r w:rsidRPr="006D1FE9">
              <w:rPr>
                <w:rFonts w:ascii="Book Antiqua" w:hAnsi="Book Antiqua" w:cs="Times New Roman"/>
                <w:bCs/>
              </w:rPr>
              <w:t xml:space="preserve"> (%)</w:t>
            </w:r>
          </w:p>
        </w:tc>
        <w:tc>
          <w:tcPr>
            <w:tcW w:w="1791" w:type="dxa"/>
            <w:tcBorders>
              <w:top w:val="single" w:sz="4" w:space="0" w:color="auto"/>
              <w:bottom w:val="nil"/>
            </w:tcBorders>
          </w:tcPr>
          <w:p w14:paraId="5A9A00DB" w14:textId="77777777" w:rsidR="00DF1769" w:rsidRPr="006D1FE9" w:rsidRDefault="00DF1769" w:rsidP="006D1FE9">
            <w:pPr>
              <w:adjustRightInd w:val="0"/>
              <w:snapToGrid w:val="0"/>
              <w:spacing w:line="360" w:lineRule="auto"/>
              <w:jc w:val="both"/>
              <w:rPr>
                <w:rFonts w:ascii="Book Antiqua" w:hAnsi="Book Antiqua" w:cs="Times New Roman"/>
              </w:rPr>
            </w:pPr>
          </w:p>
        </w:tc>
        <w:tc>
          <w:tcPr>
            <w:tcW w:w="2216" w:type="dxa"/>
            <w:tcBorders>
              <w:top w:val="single" w:sz="4" w:space="0" w:color="auto"/>
              <w:bottom w:val="nil"/>
            </w:tcBorders>
          </w:tcPr>
          <w:p w14:paraId="611FC120" w14:textId="77777777" w:rsidR="00DF1769" w:rsidRPr="006D1FE9" w:rsidRDefault="00DF1769" w:rsidP="006D1FE9">
            <w:pPr>
              <w:adjustRightInd w:val="0"/>
              <w:snapToGrid w:val="0"/>
              <w:spacing w:line="360" w:lineRule="auto"/>
              <w:jc w:val="both"/>
              <w:rPr>
                <w:rFonts w:ascii="Book Antiqua" w:hAnsi="Book Antiqua" w:cs="Times New Roman"/>
              </w:rPr>
            </w:pPr>
          </w:p>
        </w:tc>
        <w:tc>
          <w:tcPr>
            <w:tcW w:w="1210" w:type="dxa"/>
            <w:tcBorders>
              <w:top w:val="single" w:sz="4" w:space="0" w:color="auto"/>
              <w:bottom w:val="nil"/>
            </w:tcBorders>
          </w:tcPr>
          <w:p w14:paraId="1A40D43A" w14:textId="77777777" w:rsidR="00DF1769" w:rsidRPr="006D1FE9" w:rsidRDefault="00DF1769" w:rsidP="006D1FE9">
            <w:pPr>
              <w:adjustRightInd w:val="0"/>
              <w:snapToGrid w:val="0"/>
              <w:spacing w:line="360" w:lineRule="auto"/>
              <w:jc w:val="both"/>
              <w:rPr>
                <w:rFonts w:ascii="Book Antiqua" w:hAnsi="Book Antiqua" w:cs="Times New Roman"/>
                <w:color w:val="FF0000"/>
              </w:rPr>
            </w:pPr>
          </w:p>
        </w:tc>
      </w:tr>
      <w:tr w:rsidR="00DF1769" w:rsidRPr="006D1FE9" w14:paraId="282F9A8D" w14:textId="77777777" w:rsidTr="006E69B8">
        <w:trPr>
          <w:trHeight w:val="456"/>
        </w:trPr>
        <w:tc>
          <w:tcPr>
            <w:tcW w:w="3562" w:type="dxa"/>
            <w:tcBorders>
              <w:top w:val="nil"/>
              <w:bottom w:val="nil"/>
            </w:tcBorders>
          </w:tcPr>
          <w:p w14:paraId="43381F65" w14:textId="77777777" w:rsidR="00DF1769" w:rsidRPr="006D1FE9" w:rsidRDefault="00DF1769"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Weekday</w:t>
            </w:r>
          </w:p>
        </w:tc>
        <w:tc>
          <w:tcPr>
            <w:tcW w:w="1791" w:type="dxa"/>
            <w:tcBorders>
              <w:top w:val="nil"/>
              <w:bottom w:val="nil"/>
            </w:tcBorders>
          </w:tcPr>
          <w:p w14:paraId="5B193FFB"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50 (76.9</w:t>
            </w:r>
            <w:r w:rsidR="004C6ACF">
              <w:rPr>
                <w:rFonts w:ascii="Book Antiqua" w:hAnsi="Book Antiqua" w:cs="Times New Roman"/>
              </w:rPr>
              <w:t>)</w:t>
            </w:r>
          </w:p>
        </w:tc>
        <w:tc>
          <w:tcPr>
            <w:tcW w:w="2216" w:type="dxa"/>
            <w:tcBorders>
              <w:top w:val="nil"/>
              <w:bottom w:val="nil"/>
            </w:tcBorders>
          </w:tcPr>
          <w:p w14:paraId="72B8554D"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57 (47.5</w:t>
            </w:r>
            <w:r w:rsidR="004C6ACF">
              <w:rPr>
                <w:rFonts w:ascii="Book Antiqua" w:hAnsi="Book Antiqua" w:cs="Times New Roman"/>
              </w:rPr>
              <w:t>)</w:t>
            </w:r>
          </w:p>
        </w:tc>
        <w:tc>
          <w:tcPr>
            <w:tcW w:w="1210" w:type="dxa"/>
            <w:vMerge w:val="restart"/>
            <w:tcBorders>
              <w:top w:val="nil"/>
              <w:bottom w:val="nil"/>
            </w:tcBorders>
            <w:vAlign w:val="center"/>
          </w:tcPr>
          <w:p w14:paraId="24AD5200" w14:textId="77777777" w:rsidR="00DF1769" w:rsidRPr="006D1FE9" w:rsidRDefault="00DF1769" w:rsidP="006D1FE9">
            <w:pPr>
              <w:adjustRightInd w:val="0"/>
              <w:snapToGrid w:val="0"/>
              <w:spacing w:line="360" w:lineRule="auto"/>
              <w:jc w:val="both"/>
              <w:rPr>
                <w:rFonts w:ascii="Book Antiqua" w:hAnsi="Book Antiqua" w:cs="Times New Roman"/>
                <w:bCs/>
                <w:color w:val="000000" w:themeColor="text1"/>
              </w:rPr>
            </w:pPr>
            <w:r w:rsidRPr="006D1FE9">
              <w:rPr>
                <w:rFonts w:ascii="Book Antiqua" w:hAnsi="Book Antiqua" w:cs="Times New Roman"/>
                <w:bCs/>
                <w:color w:val="000000" w:themeColor="text1"/>
              </w:rPr>
              <w:t>&lt; 0.01</w:t>
            </w:r>
            <w:r w:rsidR="009B5D87">
              <w:rPr>
                <w:rFonts w:ascii="Book Antiqua" w:hAnsi="Book Antiqua"/>
                <w:vertAlign w:val="superscript"/>
              </w:rPr>
              <w:t>a</w:t>
            </w:r>
          </w:p>
        </w:tc>
      </w:tr>
      <w:tr w:rsidR="00DF1769" w:rsidRPr="006D1FE9" w14:paraId="6F621EA5" w14:textId="77777777" w:rsidTr="006E69B8">
        <w:trPr>
          <w:trHeight w:val="456"/>
        </w:trPr>
        <w:tc>
          <w:tcPr>
            <w:tcW w:w="3562" w:type="dxa"/>
            <w:tcBorders>
              <w:top w:val="nil"/>
              <w:bottom w:val="nil"/>
            </w:tcBorders>
          </w:tcPr>
          <w:p w14:paraId="4548D0D0" w14:textId="77777777" w:rsidR="00DF1769" w:rsidRPr="006D1FE9" w:rsidRDefault="00DF1769"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Weekend</w:t>
            </w:r>
          </w:p>
        </w:tc>
        <w:tc>
          <w:tcPr>
            <w:tcW w:w="1791" w:type="dxa"/>
            <w:tcBorders>
              <w:top w:val="nil"/>
              <w:bottom w:val="nil"/>
            </w:tcBorders>
          </w:tcPr>
          <w:p w14:paraId="157FA13E"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15 (23.1</w:t>
            </w:r>
            <w:r w:rsidR="004C6ACF">
              <w:rPr>
                <w:rFonts w:ascii="Book Antiqua" w:hAnsi="Book Antiqua" w:cs="Times New Roman"/>
              </w:rPr>
              <w:t>)</w:t>
            </w:r>
          </w:p>
        </w:tc>
        <w:tc>
          <w:tcPr>
            <w:tcW w:w="2216" w:type="dxa"/>
            <w:tcBorders>
              <w:top w:val="nil"/>
              <w:bottom w:val="nil"/>
            </w:tcBorders>
          </w:tcPr>
          <w:p w14:paraId="5C598DA8"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63 (52.5</w:t>
            </w:r>
            <w:r w:rsidR="004C6ACF">
              <w:rPr>
                <w:rFonts w:ascii="Book Antiqua" w:hAnsi="Book Antiqua" w:cs="Times New Roman"/>
              </w:rPr>
              <w:t>)</w:t>
            </w:r>
          </w:p>
        </w:tc>
        <w:tc>
          <w:tcPr>
            <w:tcW w:w="1210" w:type="dxa"/>
            <w:vMerge/>
            <w:tcBorders>
              <w:top w:val="nil"/>
              <w:bottom w:val="nil"/>
            </w:tcBorders>
          </w:tcPr>
          <w:p w14:paraId="729C4078" w14:textId="77777777" w:rsidR="00DF1769" w:rsidRPr="006D1FE9" w:rsidRDefault="00DF1769" w:rsidP="006D1FE9">
            <w:pPr>
              <w:adjustRightInd w:val="0"/>
              <w:snapToGrid w:val="0"/>
              <w:spacing w:line="360" w:lineRule="auto"/>
              <w:jc w:val="both"/>
              <w:rPr>
                <w:rFonts w:ascii="Book Antiqua" w:hAnsi="Book Antiqua" w:cs="Times New Roman"/>
                <w:bCs/>
                <w:color w:val="000000" w:themeColor="text1"/>
              </w:rPr>
            </w:pPr>
          </w:p>
        </w:tc>
      </w:tr>
      <w:tr w:rsidR="00DF1769" w:rsidRPr="006D1FE9" w14:paraId="1D097547" w14:textId="77777777" w:rsidTr="006E69B8">
        <w:trPr>
          <w:trHeight w:val="443"/>
        </w:trPr>
        <w:tc>
          <w:tcPr>
            <w:tcW w:w="3562" w:type="dxa"/>
            <w:tcBorders>
              <w:top w:val="nil"/>
              <w:bottom w:val="nil"/>
            </w:tcBorders>
          </w:tcPr>
          <w:p w14:paraId="223EA53E" w14:textId="77777777" w:rsidR="00DF1769" w:rsidRPr="006D1FE9" w:rsidRDefault="00DF1769" w:rsidP="006D1FE9">
            <w:pPr>
              <w:adjustRightInd w:val="0"/>
              <w:snapToGrid w:val="0"/>
              <w:spacing w:line="360" w:lineRule="auto"/>
              <w:jc w:val="both"/>
              <w:rPr>
                <w:rFonts w:ascii="Book Antiqua" w:hAnsi="Book Antiqua" w:cs="Times New Roman"/>
                <w:bCs/>
                <w:vertAlign w:val="superscript"/>
              </w:rPr>
            </w:pPr>
            <w:r w:rsidRPr="006D1FE9">
              <w:rPr>
                <w:rFonts w:ascii="Book Antiqua" w:hAnsi="Book Antiqua" w:cs="Times New Roman"/>
                <w:bCs/>
              </w:rPr>
              <w:t>LOS (d)</w:t>
            </w:r>
          </w:p>
        </w:tc>
        <w:tc>
          <w:tcPr>
            <w:tcW w:w="1791" w:type="dxa"/>
            <w:tcBorders>
              <w:top w:val="nil"/>
              <w:bottom w:val="nil"/>
            </w:tcBorders>
          </w:tcPr>
          <w:p w14:paraId="5855F465" w14:textId="77777777" w:rsidR="00DF1769" w:rsidRPr="006D1FE9" w:rsidRDefault="00DF1769" w:rsidP="006D1FE9">
            <w:pPr>
              <w:adjustRightInd w:val="0"/>
              <w:snapToGrid w:val="0"/>
              <w:spacing w:line="360" w:lineRule="auto"/>
              <w:jc w:val="both"/>
              <w:rPr>
                <w:rFonts w:ascii="Book Antiqua" w:hAnsi="Book Antiqua" w:cs="Times New Roman"/>
              </w:rPr>
            </w:pPr>
          </w:p>
        </w:tc>
        <w:tc>
          <w:tcPr>
            <w:tcW w:w="2216" w:type="dxa"/>
            <w:tcBorders>
              <w:top w:val="nil"/>
              <w:bottom w:val="nil"/>
            </w:tcBorders>
          </w:tcPr>
          <w:p w14:paraId="748D9B5C" w14:textId="77777777" w:rsidR="00DF1769" w:rsidRPr="006D1FE9" w:rsidRDefault="00DF1769" w:rsidP="006D1FE9">
            <w:pPr>
              <w:adjustRightInd w:val="0"/>
              <w:snapToGrid w:val="0"/>
              <w:spacing w:line="360" w:lineRule="auto"/>
              <w:jc w:val="both"/>
              <w:rPr>
                <w:rFonts w:ascii="Book Antiqua" w:hAnsi="Book Antiqua" w:cs="Times New Roman"/>
              </w:rPr>
            </w:pPr>
          </w:p>
        </w:tc>
        <w:tc>
          <w:tcPr>
            <w:tcW w:w="1210" w:type="dxa"/>
            <w:tcBorders>
              <w:top w:val="nil"/>
              <w:bottom w:val="nil"/>
            </w:tcBorders>
          </w:tcPr>
          <w:p w14:paraId="778DFC00" w14:textId="77777777" w:rsidR="00DF1769" w:rsidRPr="006D1FE9" w:rsidRDefault="00DF1769" w:rsidP="006D1FE9">
            <w:pPr>
              <w:adjustRightInd w:val="0"/>
              <w:snapToGrid w:val="0"/>
              <w:spacing w:line="360" w:lineRule="auto"/>
              <w:jc w:val="both"/>
              <w:rPr>
                <w:rFonts w:ascii="Book Antiqua" w:hAnsi="Book Antiqua" w:cs="Times New Roman"/>
              </w:rPr>
            </w:pPr>
          </w:p>
        </w:tc>
      </w:tr>
      <w:tr w:rsidR="00DF1769" w:rsidRPr="006D1FE9" w14:paraId="3DE8AF04" w14:textId="77777777" w:rsidTr="006E69B8">
        <w:trPr>
          <w:trHeight w:val="456"/>
        </w:trPr>
        <w:tc>
          <w:tcPr>
            <w:tcW w:w="3562" w:type="dxa"/>
            <w:tcBorders>
              <w:top w:val="nil"/>
              <w:bottom w:val="nil"/>
            </w:tcBorders>
          </w:tcPr>
          <w:p w14:paraId="0EE4E037" w14:textId="77777777" w:rsidR="00DF1769" w:rsidRPr="006D1FE9" w:rsidRDefault="002144C3"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 xml:space="preserve">Mean </w:t>
            </w:r>
            <w:r w:rsidR="00DF1769" w:rsidRPr="006D1FE9">
              <w:rPr>
                <w:rFonts w:ascii="Book Antiqua" w:hAnsi="Book Antiqua" w:cs="Times New Roman"/>
                <w:bCs/>
              </w:rPr>
              <w:t xml:space="preserve">± </w:t>
            </w:r>
            <w:r w:rsidRPr="006D1FE9">
              <w:rPr>
                <w:rFonts w:ascii="Book Antiqua" w:hAnsi="Book Antiqua" w:cs="Times New Roman"/>
                <w:bCs/>
              </w:rPr>
              <w:t>SD</w:t>
            </w:r>
          </w:p>
        </w:tc>
        <w:tc>
          <w:tcPr>
            <w:tcW w:w="1791" w:type="dxa"/>
            <w:tcBorders>
              <w:top w:val="nil"/>
              <w:bottom w:val="nil"/>
            </w:tcBorders>
          </w:tcPr>
          <w:p w14:paraId="7D7A5307"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 xml:space="preserve">6.7 </w:t>
            </w:r>
            <w:r w:rsidR="004C6ACF" w:rsidRPr="006D1FE9">
              <w:rPr>
                <w:rFonts w:ascii="Book Antiqua" w:hAnsi="Book Antiqua" w:cs="Times New Roman"/>
                <w:bCs/>
              </w:rPr>
              <w:t>±</w:t>
            </w:r>
            <w:r w:rsidR="004C6ACF">
              <w:rPr>
                <w:rFonts w:ascii="Book Antiqua" w:hAnsi="Book Antiqua" w:cs="Times New Roman"/>
                <w:bCs/>
              </w:rPr>
              <w:t xml:space="preserve"> </w:t>
            </w:r>
            <w:r w:rsidRPr="006D1FE9">
              <w:rPr>
                <w:rFonts w:ascii="Book Antiqua" w:hAnsi="Book Antiqua" w:cs="Times New Roman"/>
              </w:rPr>
              <w:t>3.8</w:t>
            </w:r>
          </w:p>
        </w:tc>
        <w:tc>
          <w:tcPr>
            <w:tcW w:w="2216" w:type="dxa"/>
            <w:tcBorders>
              <w:top w:val="nil"/>
              <w:bottom w:val="nil"/>
            </w:tcBorders>
          </w:tcPr>
          <w:p w14:paraId="58D02475" w14:textId="77777777" w:rsidR="00DF1769" w:rsidRPr="006D1FE9" w:rsidRDefault="00DF1769" w:rsidP="004C6ACF">
            <w:pPr>
              <w:adjustRightInd w:val="0"/>
              <w:snapToGrid w:val="0"/>
              <w:spacing w:line="360" w:lineRule="auto"/>
              <w:jc w:val="both"/>
              <w:rPr>
                <w:rFonts w:ascii="Book Antiqua" w:hAnsi="Book Antiqua" w:cs="Times New Roman"/>
              </w:rPr>
            </w:pPr>
            <w:r w:rsidRPr="006D1FE9">
              <w:rPr>
                <w:rFonts w:ascii="Book Antiqua" w:hAnsi="Book Antiqua" w:cs="Times New Roman"/>
              </w:rPr>
              <w:t xml:space="preserve">12.2 </w:t>
            </w:r>
            <w:r w:rsidR="004C6ACF" w:rsidRPr="006D1FE9">
              <w:rPr>
                <w:rFonts w:ascii="Book Antiqua" w:hAnsi="Book Antiqua" w:cs="Times New Roman"/>
                <w:bCs/>
              </w:rPr>
              <w:t>±</w:t>
            </w:r>
            <w:r w:rsidR="004C6ACF">
              <w:rPr>
                <w:rFonts w:ascii="Book Antiqua" w:hAnsi="Book Antiqua" w:cs="Times New Roman"/>
              </w:rPr>
              <w:t xml:space="preserve"> </w:t>
            </w:r>
            <w:r w:rsidRPr="006D1FE9">
              <w:rPr>
                <w:rFonts w:ascii="Book Antiqua" w:hAnsi="Book Antiqua" w:cs="Times New Roman"/>
              </w:rPr>
              <w:t>4.5</w:t>
            </w:r>
          </w:p>
        </w:tc>
        <w:tc>
          <w:tcPr>
            <w:tcW w:w="1210" w:type="dxa"/>
            <w:tcBorders>
              <w:top w:val="nil"/>
              <w:bottom w:val="nil"/>
            </w:tcBorders>
          </w:tcPr>
          <w:p w14:paraId="44139284" w14:textId="77777777" w:rsidR="00DF1769" w:rsidRPr="006D1FE9" w:rsidRDefault="00DF1769" w:rsidP="006D1FE9">
            <w:pPr>
              <w:adjustRightInd w:val="0"/>
              <w:snapToGrid w:val="0"/>
              <w:spacing w:line="360" w:lineRule="auto"/>
              <w:jc w:val="both"/>
              <w:rPr>
                <w:rFonts w:ascii="Book Antiqua" w:hAnsi="Book Antiqua" w:cs="Times New Roman"/>
                <w:bCs/>
                <w:color w:val="FF0000"/>
              </w:rPr>
            </w:pPr>
            <w:r w:rsidRPr="006D1FE9">
              <w:rPr>
                <w:rFonts w:ascii="Book Antiqua" w:hAnsi="Book Antiqua" w:cs="Times New Roman"/>
                <w:bCs/>
                <w:color w:val="000000" w:themeColor="text1"/>
              </w:rPr>
              <w:t>0.01</w:t>
            </w:r>
            <w:r w:rsidR="009B5D87">
              <w:rPr>
                <w:rFonts w:ascii="Book Antiqua" w:hAnsi="Book Antiqua"/>
                <w:vertAlign w:val="superscript"/>
              </w:rPr>
              <w:t>a</w:t>
            </w:r>
          </w:p>
        </w:tc>
      </w:tr>
      <w:tr w:rsidR="00DF1769" w:rsidRPr="006D1FE9" w14:paraId="04135112" w14:textId="77777777" w:rsidTr="006E69B8">
        <w:trPr>
          <w:trHeight w:val="456"/>
        </w:trPr>
        <w:tc>
          <w:tcPr>
            <w:tcW w:w="3562" w:type="dxa"/>
            <w:tcBorders>
              <w:top w:val="nil"/>
              <w:bottom w:val="nil"/>
            </w:tcBorders>
          </w:tcPr>
          <w:p w14:paraId="228EF6DC" w14:textId="77777777" w:rsidR="00DF1769" w:rsidRPr="006D1FE9" w:rsidRDefault="00DF1769"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 xml:space="preserve">In-hospital mortality, </w:t>
            </w:r>
            <w:r w:rsidRPr="006D1FE9">
              <w:rPr>
                <w:rFonts w:ascii="Book Antiqua" w:hAnsi="Book Antiqua" w:cs="Times New Roman"/>
                <w:bCs/>
                <w:i/>
              </w:rPr>
              <w:t>n</w:t>
            </w:r>
            <w:r w:rsidRPr="006D1FE9">
              <w:rPr>
                <w:rFonts w:ascii="Book Antiqua" w:hAnsi="Book Antiqua" w:cs="Times New Roman"/>
                <w:bCs/>
              </w:rPr>
              <w:t xml:space="preserve"> (%)</w:t>
            </w:r>
          </w:p>
        </w:tc>
        <w:tc>
          <w:tcPr>
            <w:tcW w:w="1791" w:type="dxa"/>
            <w:tcBorders>
              <w:top w:val="nil"/>
              <w:bottom w:val="nil"/>
            </w:tcBorders>
          </w:tcPr>
          <w:p w14:paraId="61A1178F"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4 (6.1</w:t>
            </w:r>
            <w:r w:rsidR="004C6ACF">
              <w:rPr>
                <w:rFonts w:ascii="Book Antiqua" w:hAnsi="Book Antiqua" w:cs="Times New Roman"/>
              </w:rPr>
              <w:t>)</w:t>
            </w:r>
          </w:p>
        </w:tc>
        <w:tc>
          <w:tcPr>
            <w:tcW w:w="2216" w:type="dxa"/>
            <w:tcBorders>
              <w:top w:val="nil"/>
              <w:bottom w:val="nil"/>
            </w:tcBorders>
          </w:tcPr>
          <w:p w14:paraId="7C11A748"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21 (17.5</w:t>
            </w:r>
            <w:r w:rsidR="004C6ACF">
              <w:rPr>
                <w:rFonts w:ascii="Book Antiqua" w:hAnsi="Book Antiqua" w:cs="Times New Roman"/>
              </w:rPr>
              <w:t>)</w:t>
            </w:r>
          </w:p>
        </w:tc>
        <w:tc>
          <w:tcPr>
            <w:tcW w:w="1210" w:type="dxa"/>
            <w:tcBorders>
              <w:top w:val="nil"/>
              <w:bottom w:val="nil"/>
            </w:tcBorders>
          </w:tcPr>
          <w:p w14:paraId="4C4B694B" w14:textId="77777777" w:rsidR="00DF1769" w:rsidRPr="006D1FE9" w:rsidRDefault="00DF1769"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0.03</w:t>
            </w:r>
            <w:r w:rsidR="009B5D87">
              <w:rPr>
                <w:rFonts w:ascii="Book Antiqua" w:hAnsi="Book Antiqua"/>
                <w:vertAlign w:val="superscript"/>
              </w:rPr>
              <w:t>a</w:t>
            </w:r>
          </w:p>
        </w:tc>
      </w:tr>
      <w:tr w:rsidR="00DF1769" w:rsidRPr="006D1FE9" w14:paraId="772D72EA" w14:textId="77777777" w:rsidTr="006E69B8">
        <w:trPr>
          <w:trHeight w:val="2267"/>
        </w:trPr>
        <w:tc>
          <w:tcPr>
            <w:tcW w:w="3562" w:type="dxa"/>
            <w:tcBorders>
              <w:top w:val="nil"/>
              <w:bottom w:val="single" w:sz="4" w:space="0" w:color="auto"/>
            </w:tcBorders>
          </w:tcPr>
          <w:p w14:paraId="7419C573" w14:textId="77777777" w:rsidR="00DF1769" w:rsidRPr="006D1FE9" w:rsidRDefault="002144C3"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90-d</w:t>
            </w:r>
            <w:r w:rsidR="00DF1769" w:rsidRPr="006D1FE9">
              <w:rPr>
                <w:rFonts w:ascii="Book Antiqua" w:hAnsi="Book Antiqua" w:cs="Times New Roman"/>
                <w:bCs/>
              </w:rPr>
              <w:t xml:space="preserve"> readmission, </w:t>
            </w:r>
            <w:r w:rsidR="00DF1769" w:rsidRPr="006D1FE9">
              <w:rPr>
                <w:rFonts w:ascii="Book Antiqua" w:hAnsi="Book Antiqua" w:cs="Times New Roman"/>
                <w:bCs/>
                <w:i/>
              </w:rPr>
              <w:t>n</w:t>
            </w:r>
            <w:r w:rsidR="00DF1769" w:rsidRPr="006D1FE9">
              <w:rPr>
                <w:rFonts w:ascii="Book Antiqua" w:hAnsi="Book Antiqua" w:cs="Times New Roman"/>
                <w:bCs/>
              </w:rPr>
              <w:t xml:space="preserve"> (%)</w:t>
            </w:r>
          </w:p>
          <w:p w14:paraId="1BB8C989"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Ascites</w:t>
            </w:r>
          </w:p>
          <w:p w14:paraId="1B1850E2"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UGIB</w:t>
            </w:r>
          </w:p>
          <w:p w14:paraId="0EE3A5DA"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HE</w:t>
            </w:r>
          </w:p>
          <w:p w14:paraId="4E5E5511"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Other</w:t>
            </w:r>
          </w:p>
        </w:tc>
        <w:tc>
          <w:tcPr>
            <w:tcW w:w="1791" w:type="dxa"/>
            <w:tcBorders>
              <w:top w:val="nil"/>
              <w:bottom w:val="single" w:sz="4" w:space="0" w:color="auto"/>
            </w:tcBorders>
          </w:tcPr>
          <w:p w14:paraId="13F241D9"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11 (18.0</w:t>
            </w:r>
            <w:r w:rsidR="004C6ACF">
              <w:rPr>
                <w:rFonts w:ascii="Book Antiqua" w:hAnsi="Book Antiqua" w:cs="Times New Roman"/>
              </w:rPr>
              <w:t>)</w:t>
            </w:r>
          </w:p>
          <w:p w14:paraId="4FD4DF0C"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3 (27.3</w:t>
            </w:r>
            <w:r w:rsidR="004C6ACF">
              <w:rPr>
                <w:rFonts w:ascii="Book Antiqua" w:hAnsi="Book Antiqua" w:cs="Times New Roman"/>
              </w:rPr>
              <w:t>)</w:t>
            </w:r>
          </w:p>
          <w:p w14:paraId="347DB88F"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5 (45.4</w:t>
            </w:r>
            <w:r w:rsidR="004C6ACF">
              <w:rPr>
                <w:rFonts w:ascii="Book Antiqua" w:hAnsi="Book Antiqua" w:cs="Times New Roman"/>
              </w:rPr>
              <w:t>)</w:t>
            </w:r>
          </w:p>
          <w:p w14:paraId="561E20B0"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 (18.3</w:t>
            </w:r>
            <w:r w:rsidR="004C6ACF">
              <w:rPr>
                <w:rFonts w:ascii="Book Antiqua" w:hAnsi="Book Antiqua" w:cs="Times New Roman"/>
              </w:rPr>
              <w:t>)</w:t>
            </w:r>
          </w:p>
          <w:p w14:paraId="5CD8D880"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 (9.0</w:t>
            </w:r>
            <w:r w:rsidR="004C6ACF">
              <w:rPr>
                <w:rFonts w:ascii="Book Antiqua" w:hAnsi="Book Antiqua" w:cs="Times New Roman"/>
              </w:rPr>
              <w:t>)</w:t>
            </w:r>
          </w:p>
        </w:tc>
        <w:tc>
          <w:tcPr>
            <w:tcW w:w="2216" w:type="dxa"/>
            <w:tcBorders>
              <w:top w:val="nil"/>
              <w:bottom w:val="single" w:sz="4" w:space="0" w:color="auto"/>
            </w:tcBorders>
          </w:tcPr>
          <w:p w14:paraId="05F69B2B"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34 (34.3</w:t>
            </w:r>
            <w:r w:rsidR="004C6ACF">
              <w:rPr>
                <w:rFonts w:ascii="Book Antiqua" w:hAnsi="Book Antiqua" w:cs="Times New Roman"/>
              </w:rPr>
              <w:t>)</w:t>
            </w:r>
          </w:p>
          <w:p w14:paraId="60AB6CFA"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16 (47.0</w:t>
            </w:r>
            <w:r w:rsidR="004C6ACF">
              <w:rPr>
                <w:rFonts w:ascii="Book Antiqua" w:hAnsi="Book Antiqua" w:cs="Times New Roman"/>
              </w:rPr>
              <w:t>)</w:t>
            </w:r>
          </w:p>
          <w:p w14:paraId="2B80A10B"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7 (20.5</w:t>
            </w:r>
            <w:r w:rsidR="004C6ACF">
              <w:rPr>
                <w:rFonts w:ascii="Book Antiqua" w:hAnsi="Book Antiqua" w:cs="Times New Roman"/>
              </w:rPr>
              <w:t>)</w:t>
            </w:r>
          </w:p>
          <w:p w14:paraId="00AEDDE5"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10 (29.5</w:t>
            </w:r>
            <w:r w:rsidR="004C6ACF">
              <w:rPr>
                <w:rFonts w:ascii="Book Antiqua" w:hAnsi="Book Antiqua" w:cs="Times New Roman"/>
              </w:rPr>
              <w:t>)</w:t>
            </w:r>
          </w:p>
          <w:p w14:paraId="4F8344D3"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 (3.0</w:t>
            </w:r>
            <w:r w:rsidR="004C6ACF">
              <w:rPr>
                <w:rFonts w:ascii="Book Antiqua" w:hAnsi="Book Antiqua" w:cs="Times New Roman"/>
              </w:rPr>
              <w:t>)</w:t>
            </w:r>
          </w:p>
        </w:tc>
        <w:tc>
          <w:tcPr>
            <w:tcW w:w="1210" w:type="dxa"/>
            <w:tcBorders>
              <w:top w:val="nil"/>
              <w:bottom w:val="single" w:sz="4" w:space="0" w:color="auto"/>
            </w:tcBorders>
          </w:tcPr>
          <w:p w14:paraId="79F43A0D" w14:textId="77777777" w:rsidR="00DF1769" w:rsidRPr="006D1FE9" w:rsidRDefault="00DF1769"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0.03</w:t>
            </w:r>
            <w:r w:rsidR="009B5D87">
              <w:rPr>
                <w:rFonts w:ascii="Book Antiqua" w:hAnsi="Book Antiqua"/>
                <w:vertAlign w:val="superscript"/>
              </w:rPr>
              <w:t>a</w:t>
            </w:r>
          </w:p>
          <w:p w14:paraId="29640381" w14:textId="77777777" w:rsidR="00DF1769" w:rsidRPr="006D1FE9" w:rsidRDefault="00DF1769" w:rsidP="006D1FE9">
            <w:pPr>
              <w:adjustRightInd w:val="0"/>
              <w:snapToGrid w:val="0"/>
              <w:spacing w:line="360" w:lineRule="auto"/>
              <w:jc w:val="both"/>
              <w:rPr>
                <w:rFonts w:ascii="Book Antiqua" w:hAnsi="Book Antiqua" w:cs="Times New Roman"/>
              </w:rPr>
            </w:pPr>
          </w:p>
          <w:p w14:paraId="7CE72C39" w14:textId="77777777" w:rsidR="00DF1769" w:rsidRPr="006D1FE9" w:rsidRDefault="00DF1769" w:rsidP="006D1FE9">
            <w:pPr>
              <w:adjustRightInd w:val="0"/>
              <w:snapToGrid w:val="0"/>
              <w:spacing w:line="360" w:lineRule="auto"/>
              <w:jc w:val="both"/>
              <w:rPr>
                <w:rFonts w:ascii="Book Antiqua" w:hAnsi="Book Antiqua" w:cs="Times New Roman"/>
              </w:rPr>
            </w:pPr>
          </w:p>
          <w:p w14:paraId="4B988808" w14:textId="77777777" w:rsidR="00DF1769" w:rsidRPr="006D1FE9" w:rsidRDefault="00DF1769" w:rsidP="006D1FE9">
            <w:pPr>
              <w:adjustRightInd w:val="0"/>
              <w:snapToGrid w:val="0"/>
              <w:spacing w:line="360" w:lineRule="auto"/>
              <w:jc w:val="both"/>
              <w:rPr>
                <w:rFonts w:ascii="Book Antiqua" w:hAnsi="Book Antiqua" w:cs="Times New Roman"/>
              </w:rPr>
            </w:pPr>
          </w:p>
          <w:p w14:paraId="35A78887" w14:textId="77777777" w:rsidR="00DF1769" w:rsidRPr="006D1FE9" w:rsidRDefault="00DF1769" w:rsidP="006D1FE9">
            <w:pPr>
              <w:adjustRightInd w:val="0"/>
              <w:snapToGrid w:val="0"/>
              <w:spacing w:line="360" w:lineRule="auto"/>
              <w:jc w:val="both"/>
              <w:rPr>
                <w:rFonts w:ascii="Book Antiqua" w:hAnsi="Book Antiqua" w:cs="Times New Roman"/>
              </w:rPr>
            </w:pPr>
          </w:p>
        </w:tc>
      </w:tr>
    </w:tbl>
    <w:p w14:paraId="259E6CFA" w14:textId="77777777" w:rsidR="00DF1769" w:rsidRPr="006D1FE9" w:rsidRDefault="00634610" w:rsidP="006D1FE9">
      <w:pPr>
        <w:adjustRightInd w:val="0"/>
        <w:snapToGrid w:val="0"/>
        <w:spacing w:line="360" w:lineRule="auto"/>
        <w:jc w:val="both"/>
        <w:rPr>
          <w:rFonts w:ascii="Book Antiqua" w:hAnsi="Book Antiqua"/>
        </w:rPr>
      </w:pPr>
      <w:proofErr w:type="spellStart"/>
      <w:r w:rsidRPr="00634610">
        <w:rPr>
          <w:rFonts w:ascii="Book Antiqua" w:hAnsi="Book Antiqua"/>
          <w:vertAlign w:val="superscript"/>
        </w:rPr>
        <w:t>a</w:t>
      </w:r>
      <w:r w:rsidR="00DF1769" w:rsidRPr="006D1FE9">
        <w:rPr>
          <w:rFonts w:ascii="Book Antiqua" w:hAnsi="Book Antiqua"/>
          <w:i/>
          <w:caps/>
        </w:rPr>
        <w:t>p</w:t>
      </w:r>
      <w:proofErr w:type="spellEnd"/>
      <w:r>
        <w:rPr>
          <w:rFonts w:ascii="Book Antiqua" w:hAnsi="Book Antiqua"/>
        </w:rPr>
        <w:t xml:space="preserve"> </w:t>
      </w:r>
      <w:r w:rsidR="00DF1769" w:rsidRPr="006D1FE9">
        <w:rPr>
          <w:rFonts w:ascii="Book Antiqua" w:hAnsi="Book Antiqua"/>
        </w:rPr>
        <w:t xml:space="preserve">&lt; 0.05. </w:t>
      </w:r>
      <w:r w:rsidR="006D1FE9" w:rsidRPr="006D1FE9">
        <w:rPr>
          <w:rFonts w:ascii="Book Antiqua" w:hAnsi="Book Antiqua"/>
        </w:rPr>
        <w:t>EP: Early paracentesis group; DP: Delayed paracentesis group; LOS: Length of stay; UGIB: Upper gastrointestinal bleeding; HE: Hepatic encephalopathy; SD: Standard deviation.</w:t>
      </w:r>
    </w:p>
    <w:p w14:paraId="49C770F0" w14:textId="77777777" w:rsidR="0002607B" w:rsidRPr="006D1FE9" w:rsidRDefault="0002607B" w:rsidP="006D1FE9">
      <w:pPr>
        <w:adjustRightInd w:val="0"/>
        <w:snapToGrid w:val="0"/>
        <w:spacing w:line="360" w:lineRule="auto"/>
        <w:jc w:val="both"/>
        <w:rPr>
          <w:rFonts w:ascii="Book Antiqua" w:hAnsi="Book Antiqua"/>
          <w:b/>
        </w:rPr>
      </w:pPr>
      <w:r w:rsidRPr="006D1FE9">
        <w:rPr>
          <w:rFonts w:ascii="Book Antiqua" w:hAnsi="Book Antiqua"/>
        </w:rPr>
        <w:br w:type="page"/>
      </w:r>
      <w:r w:rsidRPr="006D1FE9">
        <w:rPr>
          <w:rFonts w:ascii="Book Antiqua" w:hAnsi="Book Antiqua"/>
          <w:b/>
        </w:rPr>
        <w:lastRenderedPageBreak/>
        <w:t>Table 4 The risk of complications developed during hospitalization in the early paracentesis group and delayed paracentesis group</w:t>
      </w:r>
    </w:p>
    <w:tbl>
      <w:tblPr>
        <w:tblStyle w:val="a3"/>
        <w:tblW w:w="91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786"/>
        <w:gridCol w:w="1866"/>
        <w:gridCol w:w="1004"/>
        <w:gridCol w:w="1578"/>
        <w:gridCol w:w="1096"/>
      </w:tblGrid>
      <w:tr w:rsidR="0002607B" w:rsidRPr="006D1FE9" w14:paraId="5C5F6F2C" w14:textId="77777777" w:rsidTr="006D13CD">
        <w:trPr>
          <w:trHeight w:val="700"/>
        </w:trPr>
        <w:tc>
          <w:tcPr>
            <w:tcW w:w="1796" w:type="dxa"/>
            <w:tcBorders>
              <w:top w:val="single" w:sz="4" w:space="0" w:color="auto"/>
              <w:bottom w:val="single" w:sz="4" w:space="0" w:color="auto"/>
            </w:tcBorders>
            <w:vAlign w:val="center"/>
          </w:tcPr>
          <w:p w14:paraId="034470EC" w14:textId="77777777" w:rsidR="0002607B" w:rsidRPr="006D1FE9" w:rsidRDefault="0002607B"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rPr>
              <w:t>Complication</w:t>
            </w:r>
          </w:p>
        </w:tc>
        <w:tc>
          <w:tcPr>
            <w:tcW w:w="1786" w:type="dxa"/>
            <w:tcBorders>
              <w:top w:val="single" w:sz="4" w:space="0" w:color="auto"/>
              <w:bottom w:val="single" w:sz="4" w:space="0" w:color="auto"/>
            </w:tcBorders>
            <w:vAlign w:val="center"/>
          </w:tcPr>
          <w:p w14:paraId="73ACB704" w14:textId="77777777" w:rsidR="0002607B" w:rsidRPr="006D1FE9" w:rsidRDefault="0002607B"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rPr>
              <w:t>Cases in the EP group,</w:t>
            </w:r>
            <w:r w:rsidRPr="006D1FE9">
              <w:rPr>
                <w:rFonts w:ascii="Book Antiqua" w:hAnsi="Book Antiqua" w:cs="Times New Roman"/>
                <w:b/>
                <w:bCs/>
                <w:i/>
              </w:rPr>
              <w:t xml:space="preserve"> n</w:t>
            </w:r>
            <w:r w:rsidRPr="006D1FE9">
              <w:rPr>
                <w:rFonts w:ascii="Book Antiqua" w:hAnsi="Book Antiqua" w:cs="Times New Roman"/>
                <w:b/>
                <w:bCs/>
              </w:rPr>
              <w:t xml:space="preserve"> (%)</w:t>
            </w:r>
          </w:p>
        </w:tc>
        <w:tc>
          <w:tcPr>
            <w:tcW w:w="1866" w:type="dxa"/>
            <w:tcBorders>
              <w:top w:val="single" w:sz="4" w:space="0" w:color="auto"/>
              <w:bottom w:val="single" w:sz="4" w:space="0" w:color="auto"/>
            </w:tcBorders>
            <w:vAlign w:val="center"/>
          </w:tcPr>
          <w:p w14:paraId="43F617E1" w14:textId="77777777" w:rsidR="0002607B" w:rsidRPr="006D1FE9" w:rsidRDefault="0002607B"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rPr>
              <w:t xml:space="preserve">Cases in the DP group, </w:t>
            </w:r>
            <w:r w:rsidRPr="006D1FE9">
              <w:rPr>
                <w:rFonts w:ascii="Book Antiqua" w:hAnsi="Book Antiqua" w:cs="Times New Roman"/>
                <w:b/>
                <w:bCs/>
                <w:i/>
              </w:rPr>
              <w:t>n</w:t>
            </w:r>
            <w:r w:rsidRPr="006D1FE9">
              <w:rPr>
                <w:rFonts w:ascii="Book Antiqua" w:hAnsi="Book Antiqua" w:cs="Times New Roman"/>
                <w:b/>
                <w:bCs/>
              </w:rPr>
              <w:t xml:space="preserve"> (%)</w:t>
            </w:r>
          </w:p>
        </w:tc>
        <w:tc>
          <w:tcPr>
            <w:tcW w:w="1004" w:type="dxa"/>
            <w:tcBorders>
              <w:top w:val="single" w:sz="4" w:space="0" w:color="auto"/>
              <w:bottom w:val="single" w:sz="4" w:space="0" w:color="auto"/>
            </w:tcBorders>
            <w:vAlign w:val="center"/>
          </w:tcPr>
          <w:p w14:paraId="52FEF438" w14:textId="77777777" w:rsidR="0002607B" w:rsidRPr="006D1FE9" w:rsidRDefault="0002607B"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rPr>
              <w:t>OR</w:t>
            </w:r>
          </w:p>
        </w:tc>
        <w:tc>
          <w:tcPr>
            <w:tcW w:w="1578" w:type="dxa"/>
            <w:tcBorders>
              <w:top w:val="single" w:sz="4" w:space="0" w:color="auto"/>
              <w:bottom w:val="single" w:sz="4" w:space="0" w:color="auto"/>
            </w:tcBorders>
            <w:vAlign w:val="center"/>
          </w:tcPr>
          <w:p w14:paraId="19EBEE40" w14:textId="77777777" w:rsidR="0002607B" w:rsidRPr="006D1FE9" w:rsidRDefault="002144C3"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rPr>
              <w:t>95%</w:t>
            </w:r>
            <w:r w:rsidR="0002607B" w:rsidRPr="006D1FE9">
              <w:rPr>
                <w:rFonts w:ascii="Book Antiqua" w:hAnsi="Book Antiqua" w:cs="Times New Roman"/>
                <w:b/>
                <w:bCs/>
              </w:rPr>
              <w:t>CI</w:t>
            </w:r>
          </w:p>
        </w:tc>
        <w:tc>
          <w:tcPr>
            <w:tcW w:w="1096" w:type="dxa"/>
            <w:tcBorders>
              <w:top w:val="single" w:sz="4" w:space="0" w:color="auto"/>
              <w:bottom w:val="single" w:sz="4" w:space="0" w:color="auto"/>
            </w:tcBorders>
            <w:vAlign w:val="center"/>
          </w:tcPr>
          <w:p w14:paraId="0B1FC1EE" w14:textId="77777777" w:rsidR="0002607B" w:rsidRPr="006D1FE9" w:rsidRDefault="002144C3"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i/>
              </w:rPr>
              <w:t>P</w:t>
            </w:r>
            <w:r w:rsidRPr="006D1FE9">
              <w:rPr>
                <w:rFonts w:ascii="Book Antiqua" w:hAnsi="Book Antiqua" w:cs="Times New Roman"/>
                <w:b/>
                <w:bCs/>
              </w:rPr>
              <w:t xml:space="preserve"> </w:t>
            </w:r>
            <w:r w:rsidR="0002607B" w:rsidRPr="006D1FE9">
              <w:rPr>
                <w:rFonts w:ascii="Book Antiqua" w:hAnsi="Book Antiqua" w:cs="Times New Roman"/>
                <w:b/>
                <w:bCs/>
              </w:rPr>
              <w:t>value</w:t>
            </w:r>
          </w:p>
        </w:tc>
      </w:tr>
      <w:tr w:rsidR="0002607B" w:rsidRPr="006D1FE9" w14:paraId="4418462B" w14:textId="77777777" w:rsidTr="006D13CD">
        <w:trPr>
          <w:trHeight w:val="243"/>
        </w:trPr>
        <w:tc>
          <w:tcPr>
            <w:tcW w:w="1796" w:type="dxa"/>
            <w:tcBorders>
              <w:top w:val="single" w:sz="4" w:space="0" w:color="auto"/>
            </w:tcBorders>
            <w:vAlign w:val="center"/>
          </w:tcPr>
          <w:p w14:paraId="5438CF2A"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HE</w:t>
            </w:r>
          </w:p>
        </w:tc>
        <w:tc>
          <w:tcPr>
            <w:tcW w:w="1786" w:type="dxa"/>
            <w:tcBorders>
              <w:top w:val="single" w:sz="4" w:space="0" w:color="auto"/>
            </w:tcBorders>
            <w:vAlign w:val="center"/>
          </w:tcPr>
          <w:p w14:paraId="2270527B"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14 (21.5</w:t>
            </w:r>
            <w:r w:rsidR="004C6ACF">
              <w:rPr>
                <w:rFonts w:ascii="Book Antiqua" w:hAnsi="Book Antiqua" w:cs="Times New Roman"/>
              </w:rPr>
              <w:t>)</w:t>
            </w:r>
          </w:p>
        </w:tc>
        <w:tc>
          <w:tcPr>
            <w:tcW w:w="1866" w:type="dxa"/>
            <w:tcBorders>
              <w:top w:val="single" w:sz="4" w:space="0" w:color="auto"/>
            </w:tcBorders>
            <w:vAlign w:val="center"/>
          </w:tcPr>
          <w:p w14:paraId="4A18F274"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54 (45</w:t>
            </w:r>
            <w:r w:rsidR="004C6ACF">
              <w:rPr>
                <w:rFonts w:ascii="Book Antiqua" w:hAnsi="Book Antiqua" w:cs="Times New Roman"/>
              </w:rPr>
              <w:t>)</w:t>
            </w:r>
          </w:p>
        </w:tc>
        <w:tc>
          <w:tcPr>
            <w:tcW w:w="1004" w:type="dxa"/>
            <w:tcBorders>
              <w:top w:val="single" w:sz="4" w:space="0" w:color="auto"/>
            </w:tcBorders>
            <w:vAlign w:val="center"/>
          </w:tcPr>
          <w:p w14:paraId="3A1A27B4"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2.98</w:t>
            </w:r>
          </w:p>
        </w:tc>
        <w:tc>
          <w:tcPr>
            <w:tcW w:w="1578" w:type="dxa"/>
            <w:tcBorders>
              <w:top w:val="single" w:sz="4" w:space="0" w:color="auto"/>
            </w:tcBorders>
            <w:vAlign w:val="center"/>
          </w:tcPr>
          <w:p w14:paraId="1871FCE2"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1.49-5.95</w:t>
            </w:r>
          </w:p>
        </w:tc>
        <w:tc>
          <w:tcPr>
            <w:tcW w:w="1096" w:type="dxa"/>
            <w:tcBorders>
              <w:top w:val="single" w:sz="4" w:space="0" w:color="auto"/>
            </w:tcBorders>
            <w:vAlign w:val="center"/>
          </w:tcPr>
          <w:p w14:paraId="67FF316E"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bCs/>
              </w:rPr>
              <w:t xml:space="preserve">&lt; </w:t>
            </w:r>
            <w:r w:rsidR="00B45C53" w:rsidRPr="006D1FE9">
              <w:rPr>
                <w:rFonts w:ascii="Book Antiqua" w:hAnsi="Book Antiqua" w:cs="Times New Roman"/>
                <w:bCs/>
              </w:rPr>
              <w:t>0</w:t>
            </w:r>
            <w:r w:rsidRPr="006D1FE9">
              <w:rPr>
                <w:rFonts w:ascii="Book Antiqua" w:hAnsi="Book Antiqua" w:cs="Times New Roman"/>
                <w:bCs/>
              </w:rPr>
              <w:t>.01</w:t>
            </w:r>
            <w:r w:rsidR="003C7951">
              <w:rPr>
                <w:rFonts w:ascii="Book Antiqua" w:hAnsi="Book Antiqua"/>
                <w:vertAlign w:val="superscript"/>
              </w:rPr>
              <w:t>a</w:t>
            </w:r>
          </w:p>
        </w:tc>
      </w:tr>
      <w:tr w:rsidR="0002607B" w:rsidRPr="006D1FE9" w14:paraId="09AFF64D" w14:textId="77777777" w:rsidTr="006D13CD">
        <w:trPr>
          <w:trHeight w:val="243"/>
        </w:trPr>
        <w:tc>
          <w:tcPr>
            <w:tcW w:w="1796" w:type="dxa"/>
            <w:vAlign w:val="center"/>
          </w:tcPr>
          <w:p w14:paraId="7248A71A"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HRS</w:t>
            </w:r>
          </w:p>
        </w:tc>
        <w:tc>
          <w:tcPr>
            <w:tcW w:w="1786" w:type="dxa"/>
            <w:vAlign w:val="center"/>
          </w:tcPr>
          <w:p w14:paraId="683F7539"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6 (9.2</w:t>
            </w:r>
            <w:r w:rsidR="004C6ACF">
              <w:rPr>
                <w:rFonts w:ascii="Book Antiqua" w:hAnsi="Book Antiqua" w:cs="Times New Roman"/>
              </w:rPr>
              <w:t>)</w:t>
            </w:r>
          </w:p>
        </w:tc>
        <w:tc>
          <w:tcPr>
            <w:tcW w:w="1866" w:type="dxa"/>
            <w:vAlign w:val="center"/>
          </w:tcPr>
          <w:p w14:paraId="6580F162"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26 (21.6</w:t>
            </w:r>
            <w:r w:rsidR="004C6ACF">
              <w:rPr>
                <w:rFonts w:ascii="Book Antiqua" w:hAnsi="Book Antiqua" w:cs="Times New Roman"/>
              </w:rPr>
              <w:t>)</w:t>
            </w:r>
          </w:p>
        </w:tc>
        <w:tc>
          <w:tcPr>
            <w:tcW w:w="1004" w:type="dxa"/>
            <w:vAlign w:val="center"/>
          </w:tcPr>
          <w:p w14:paraId="1EB9291A"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2.71</w:t>
            </w:r>
          </w:p>
        </w:tc>
        <w:tc>
          <w:tcPr>
            <w:tcW w:w="1578" w:type="dxa"/>
            <w:vAlign w:val="center"/>
          </w:tcPr>
          <w:p w14:paraId="406A7E85"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1.05-7.00</w:t>
            </w:r>
          </w:p>
        </w:tc>
        <w:tc>
          <w:tcPr>
            <w:tcW w:w="1096" w:type="dxa"/>
            <w:vAlign w:val="center"/>
          </w:tcPr>
          <w:p w14:paraId="5084975F" w14:textId="77777777" w:rsidR="0002607B" w:rsidRPr="006D1FE9" w:rsidRDefault="00B45C53" w:rsidP="006D1FE9">
            <w:pPr>
              <w:adjustRightInd w:val="0"/>
              <w:snapToGrid w:val="0"/>
              <w:spacing w:line="360" w:lineRule="auto"/>
              <w:jc w:val="both"/>
              <w:rPr>
                <w:rFonts w:ascii="Book Antiqua" w:hAnsi="Book Antiqua" w:cs="Times New Roman"/>
              </w:rPr>
            </w:pPr>
            <w:r w:rsidRPr="006D1FE9">
              <w:rPr>
                <w:rFonts w:ascii="Book Antiqua" w:hAnsi="Book Antiqua" w:cs="Times New Roman"/>
                <w:bCs/>
              </w:rPr>
              <w:t>0</w:t>
            </w:r>
            <w:r w:rsidR="0002607B" w:rsidRPr="006D1FE9">
              <w:rPr>
                <w:rFonts w:ascii="Book Antiqua" w:hAnsi="Book Antiqua" w:cs="Times New Roman"/>
                <w:bCs/>
              </w:rPr>
              <w:t>.03</w:t>
            </w:r>
            <w:r w:rsidR="003C7951">
              <w:rPr>
                <w:rFonts w:ascii="Book Antiqua" w:hAnsi="Book Antiqua"/>
                <w:vertAlign w:val="superscript"/>
              </w:rPr>
              <w:t>a</w:t>
            </w:r>
          </w:p>
        </w:tc>
      </w:tr>
      <w:tr w:rsidR="0002607B" w:rsidRPr="006D1FE9" w14:paraId="502ABE9A" w14:textId="77777777" w:rsidTr="006D13CD">
        <w:trPr>
          <w:trHeight w:val="233"/>
        </w:trPr>
        <w:tc>
          <w:tcPr>
            <w:tcW w:w="1796" w:type="dxa"/>
            <w:vAlign w:val="center"/>
          </w:tcPr>
          <w:p w14:paraId="3E8892D5"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Infections</w:t>
            </w:r>
          </w:p>
        </w:tc>
        <w:tc>
          <w:tcPr>
            <w:tcW w:w="1786" w:type="dxa"/>
            <w:vAlign w:val="center"/>
          </w:tcPr>
          <w:p w14:paraId="1875CB53"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7 (10.7</w:t>
            </w:r>
            <w:r w:rsidR="004C6ACF">
              <w:rPr>
                <w:rFonts w:ascii="Book Antiqua" w:hAnsi="Book Antiqua" w:cs="Times New Roman"/>
              </w:rPr>
              <w:t>)</w:t>
            </w:r>
          </w:p>
        </w:tc>
        <w:tc>
          <w:tcPr>
            <w:tcW w:w="1866" w:type="dxa"/>
            <w:vAlign w:val="center"/>
          </w:tcPr>
          <w:p w14:paraId="7A05EFBD"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30 (25.0</w:t>
            </w:r>
            <w:r w:rsidR="004C6ACF">
              <w:rPr>
                <w:rFonts w:ascii="Book Antiqua" w:hAnsi="Book Antiqua" w:cs="Times New Roman"/>
              </w:rPr>
              <w:t>)</w:t>
            </w:r>
          </w:p>
        </w:tc>
        <w:tc>
          <w:tcPr>
            <w:tcW w:w="1004" w:type="dxa"/>
            <w:vAlign w:val="center"/>
          </w:tcPr>
          <w:p w14:paraId="50CB1587"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2.76</w:t>
            </w:r>
          </w:p>
        </w:tc>
        <w:tc>
          <w:tcPr>
            <w:tcW w:w="1578" w:type="dxa"/>
            <w:vAlign w:val="center"/>
          </w:tcPr>
          <w:p w14:paraId="1A05BD3A"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1.13-6.70</w:t>
            </w:r>
          </w:p>
        </w:tc>
        <w:tc>
          <w:tcPr>
            <w:tcW w:w="1096" w:type="dxa"/>
            <w:vAlign w:val="center"/>
          </w:tcPr>
          <w:p w14:paraId="69392419" w14:textId="77777777" w:rsidR="0002607B" w:rsidRPr="006D1FE9" w:rsidRDefault="00B45C53" w:rsidP="006D1FE9">
            <w:pPr>
              <w:adjustRightInd w:val="0"/>
              <w:snapToGrid w:val="0"/>
              <w:spacing w:line="360" w:lineRule="auto"/>
              <w:jc w:val="both"/>
              <w:rPr>
                <w:rFonts w:ascii="Book Antiqua" w:hAnsi="Book Antiqua" w:cs="Times New Roman"/>
              </w:rPr>
            </w:pPr>
            <w:r w:rsidRPr="006D1FE9">
              <w:rPr>
                <w:rFonts w:ascii="Book Antiqua" w:hAnsi="Book Antiqua" w:cs="Times New Roman"/>
                <w:bCs/>
              </w:rPr>
              <w:t>0</w:t>
            </w:r>
            <w:r w:rsidR="0002607B" w:rsidRPr="006D1FE9">
              <w:rPr>
                <w:rFonts w:ascii="Book Antiqua" w:hAnsi="Book Antiqua" w:cs="Times New Roman"/>
                <w:bCs/>
              </w:rPr>
              <w:t>.02</w:t>
            </w:r>
            <w:r w:rsidR="003C7951">
              <w:rPr>
                <w:rFonts w:ascii="Book Antiqua" w:hAnsi="Book Antiqua"/>
                <w:vertAlign w:val="superscript"/>
              </w:rPr>
              <w:t>a</w:t>
            </w:r>
          </w:p>
        </w:tc>
      </w:tr>
      <w:tr w:rsidR="0002607B" w:rsidRPr="006D1FE9" w14:paraId="0D409A9F" w14:textId="77777777" w:rsidTr="003C7951">
        <w:trPr>
          <w:trHeight w:val="574"/>
        </w:trPr>
        <w:tc>
          <w:tcPr>
            <w:tcW w:w="1796" w:type="dxa"/>
            <w:vAlign w:val="center"/>
          </w:tcPr>
          <w:p w14:paraId="12DF0CE3"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LOS ≥ 7 d</w:t>
            </w:r>
          </w:p>
        </w:tc>
        <w:tc>
          <w:tcPr>
            <w:tcW w:w="1786" w:type="dxa"/>
            <w:vAlign w:val="center"/>
          </w:tcPr>
          <w:p w14:paraId="11FE2C5F"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25 (47.6</w:t>
            </w:r>
            <w:r w:rsidR="004C6ACF">
              <w:rPr>
                <w:rFonts w:ascii="Book Antiqua" w:hAnsi="Book Antiqua" w:cs="Times New Roman"/>
              </w:rPr>
              <w:t>)</w:t>
            </w:r>
          </w:p>
        </w:tc>
        <w:tc>
          <w:tcPr>
            <w:tcW w:w="1866" w:type="dxa"/>
            <w:vAlign w:val="center"/>
          </w:tcPr>
          <w:p w14:paraId="5EF8EC10"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88 (73.3</w:t>
            </w:r>
            <w:r w:rsidR="004C6ACF">
              <w:rPr>
                <w:rFonts w:ascii="Book Antiqua" w:hAnsi="Book Antiqua" w:cs="Times New Roman"/>
              </w:rPr>
              <w:t>)</w:t>
            </w:r>
          </w:p>
        </w:tc>
        <w:tc>
          <w:tcPr>
            <w:tcW w:w="1004" w:type="dxa"/>
            <w:vAlign w:val="center"/>
          </w:tcPr>
          <w:p w14:paraId="0E84FA75"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3.01</w:t>
            </w:r>
          </w:p>
        </w:tc>
        <w:tc>
          <w:tcPr>
            <w:tcW w:w="1578" w:type="dxa"/>
            <w:vAlign w:val="center"/>
          </w:tcPr>
          <w:p w14:paraId="1E890969"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1.60-5.67</w:t>
            </w:r>
          </w:p>
        </w:tc>
        <w:tc>
          <w:tcPr>
            <w:tcW w:w="1096" w:type="dxa"/>
            <w:vAlign w:val="center"/>
          </w:tcPr>
          <w:p w14:paraId="0A3ACFBF"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bCs/>
                <w:color w:val="000000" w:themeColor="text1"/>
              </w:rPr>
              <w:t xml:space="preserve">&lt; </w:t>
            </w:r>
            <w:r w:rsidR="00B45C53" w:rsidRPr="006D1FE9">
              <w:rPr>
                <w:rFonts w:ascii="Book Antiqua" w:hAnsi="Book Antiqua" w:cs="Times New Roman"/>
                <w:bCs/>
                <w:color w:val="000000" w:themeColor="text1"/>
              </w:rPr>
              <w:t>0</w:t>
            </w:r>
            <w:r w:rsidRPr="006D1FE9">
              <w:rPr>
                <w:rFonts w:ascii="Book Antiqua" w:hAnsi="Book Antiqua" w:cs="Times New Roman"/>
                <w:bCs/>
                <w:color w:val="000000" w:themeColor="text1"/>
              </w:rPr>
              <w:t>.01</w:t>
            </w:r>
            <w:r w:rsidR="003C7951">
              <w:rPr>
                <w:rFonts w:ascii="Book Antiqua" w:hAnsi="Book Antiqua"/>
                <w:vertAlign w:val="superscript"/>
              </w:rPr>
              <w:t>a</w:t>
            </w:r>
          </w:p>
        </w:tc>
      </w:tr>
      <w:tr w:rsidR="0002607B" w:rsidRPr="006D1FE9" w14:paraId="598A654C" w14:textId="77777777" w:rsidTr="006D13CD">
        <w:trPr>
          <w:trHeight w:val="476"/>
        </w:trPr>
        <w:tc>
          <w:tcPr>
            <w:tcW w:w="1796" w:type="dxa"/>
            <w:vAlign w:val="center"/>
          </w:tcPr>
          <w:p w14:paraId="02787D23"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In-hospital mortality</w:t>
            </w:r>
          </w:p>
        </w:tc>
        <w:tc>
          <w:tcPr>
            <w:tcW w:w="1786" w:type="dxa"/>
            <w:vAlign w:val="center"/>
          </w:tcPr>
          <w:p w14:paraId="6365641B"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4 (6.1</w:t>
            </w:r>
            <w:r w:rsidR="004C6ACF">
              <w:rPr>
                <w:rFonts w:ascii="Book Antiqua" w:hAnsi="Book Antiqua" w:cs="Times New Roman"/>
              </w:rPr>
              <w:t>)</w:t>
            </w:r>
          </w:p>
        </w:tc>
        <w:tc>
          <w:tcPr>
            <w:tcW w:w="1866" w:type="dxa"/>
            <w:vAlign w:val="center"/>
          </w:tcPr>
          <w:p w14:paraId="43BE4916"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21 (17.5</w:t>
            </w:r>
            <w:r w:rsidR="004C6ACF">
              <w:rPr>
                <w:rFonts w:ascii="Book Antiqua" w:hAnsi="Book Antiqua" w:cs="Times New Roman"/>
              </w:rPr>
              <w:t>)</w:t>
            </w:r>
          </w:p>
        </w:tc>
        <w:tc>
          <w:tcPr>
            <w:tcW w:w="1004" w:type="dxa"/>
            <w:vAlign w:val="center"/>
          </w:tcPr>
          <w:p w14:paraId="7606A356"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3.23</w:t>
            </w:r>
          </w:p>
        </w:tc>
        <w:tc>
          <w:tcPr>
            <w:tcW w:w="1578" w:type="dxa"/>
            <w:vAlign w:val="center"/>
          </w:tcPr>
          <w:p w14:paraId="77B50BFB"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1.05-9.87</w:t>
            </w:r>
          </w:p>
        </w:tc>
        <w:tc>
          <w:tcPr>
            <w:tcW w:w="1096" w:type="dxa"/>
            <w:vAlign w:val="center"/>
          </w:tcPr>
          <w:p w14:paraId="77999231" w14:textId="77777777" w:rsidR="0002607B" w:rsidRPr="006D1FE9" w:rsidRDefault="00B45C53" w:rsidP="006D1FE9">
            <w:pPr>
              <w:adjustRightInd w:val="0"/>
              <w:snapToGrid w:val="0"/>
              <w:spacing w:line="360" w:lineRule="auto"/>
              <w:jc w:val="both"/>
              <w:rPr>
                <w:rFonts w:ascii="Book Antiqua" w:hAnsi="Book Antiqua" w:cs="Times New Roman"/>
              </w:rPr>
            </w:pPr>
            <w:r w:rsidRPr="006D1FE9">
              <w:rPr>
                <w:rFonts w:ascii="Book Antiqua" w:hAnsi="Book Antiqua" w:cs="Times New Roman"/>
                <w:bCs/>
              </w:rPr>
              <w:t>0</w:t>
            </w:r>
            <w:r w:rsidR="0002607B" w:rsidRPr="006D1FE9">
              <w:rPr>
                <w:rFonts w:ascii="Book Antiqua" w:hAnsi="Book Antiqua" w:cs="Times New Roman"/>
                <w:bCs/>
              </w:rPr>
              <w:t>.03</w:t>
            </w:r>
            <w:r w:rsidR="003C7951">
              <w:rPr>
                <w:rFonts w:ascii="Book Antiqua" w:hAnsi="Book Antiqua"/>
                <w:vertAlign w:val="superscript"/>
              </w:rPr>
              <w:t>a</w:t>
            </w:r>
          </w:p>
        </w:tc>
      </w:tr>
      <w:tr w:rsidR="0002607B" w:rsidRPr="006D1FE9" w14:paraId="71CEFF42" w14:textId="77777777" w:rsidTr="006D13CD">
        <w:trPr>
          <w:trHeight w:val="486"/>
        </w:trPr>
        <w:tc>
          <w:tcPr>
            <w:tcW w:w="1796" w:type="dxa"/>
            <w:vAlign w:val="center"/>
          </w:tcPr>
          <w:p w14:paraId="2D5D0C6C" w14:textId="77777777" w:rsidR="0002607B" w:rsidRPr="006D1FE9" w:rsidRDefault="006D1FE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 xml:space="preserve">90 d </w:t>
            </w:r>
            <w:r w:rsidR="0002607B" w:rsidRPr="006D1FE9">
              <w:rPr>
                <w:rFonts w:ascii="Book Antiqua" w:hAnsi="Book Antiqua" w:cs="Times New Roman"/>
              </w:rPr>
              <w:t>readmission</w:t>
            </w:r>
          </w:p>
        </w:tc>
        <w:tc>
          <w:tcPr>
            <w:tcW w:w="1786" w:type="dxa"/>
            <w:vAlign w:val="center"/>
          </w:tcPr>
          <w:p w14:paraId="65B24FB8"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11 (18.0</w:t>
            </w:r>
            <w:r w:rsidR="004C6ACF">
              <w:rPr>
                <w:rFonts w:ascii="Book Antiqua" w:hAnsi="Book Antiqua" w:cs="Times New Roman"/>
              </w:rPr>
              <w:t>)</w:t>
            </w:r>
          </w:p>
        </w:tc>
        <w:tc>
          <w:tcPr>
            <w:tcW w:w="1866" w:type="dxa"/>
            <w:vAlign w:val="center"/>
          </w:tcPr>
          <w:p w14:paraId="04A92070"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34 (34.3</w:t>
            </w:r>
            <w:r w:rsidR="004C6ACF">
              <w:rPr>
                <w:rFonts w:ascii="Book Antiqua" w:hAnsi="Book Antiqua" w:cs="Times New Roman"/>
              </w:rPr>
              <w:t>)</w:t>
            </w:r>
          </w:p>
        </w:tc>
        <w:tc>
          <w:tcPr>
            <w:tcW w:w="1004" w:type="dxa"/>
            <w:vAlign w:val="center"/>
          </w:tcPr>
          <w:p w14:paraId="674E0CF3"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1.94</w:t>
            </w:r>
          </w:p>
        </w:tc>
        <w:tc>
          <w:tcPr>
            <w:tcW w:w="1578" w:type="dxa"/>
            <w:vAlign w:val="center"/>
          </w:tcPr>
          <w:p w14:paraId="3853C32F"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0.90-4.15</w:t>
            </w:r>
          </w:p>
        </w:tc>
        <w:tc>
          <w:tcPr>
            <w:tcW w:w="1096" w:type="dxa"/>
            <w:vAlign w:val="center"/>
          </w:tcPr>
          <w:p w14:paraId="0073B40D" w14:textId="77777777" w:rsidR="0002607B" w:rsidRPr="006D1FE9" w:rsidRDefault="00B45C53"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0</w:t>
            </w:r>
            <w:r w:rsidR="0002607B" w:rsidRPr="006D1FE9">
              <w:rPr>
                <w:rFonts w:ascii="Book Antiqua" w:hAnsi="Book Antiqua" w:cs="Times New Roman"/>
              </w:rPr>
              <w:t>.08</w:t>
            </w:r>
          </w:p>
        </w:tc>
      </w:tr>
    </w:tbl>
    <w:p w14:paraId="2D236B15" w14:textId="77777777" w:rsidR="00A77B3E" w:rsidRPr="006D1FE9" w:rsidRDefault="003C7951" w:rsidP="006D1FE9">
      <w:pPr>
        <w:adjustRightInd w:val="0"/>
        <w:snapToGrid w:val="0"/>
        <w:spacing w:line="360" w:lineRule="auto"/>
        <w:jc w:val="both"/>
        <w:rPr>
          <w:rFonts w:ascii="Book Antiqua" w:hAnsi="Book Antiqua"/>
        </w:rPr>
      </w:pPr>
      <w:proofErr w:type="spellStart"/>
      <w:r>
        <w:rPr>
          <w:rFonts w:ascii="Book Antiqua" w:hAnsi="Book Antiqua"/>
          <w:vertAlign w:val="superscript"/>
        </w:rPr>
        <w:t>a</w:t>
      </w:r>
      <w:r w:rsidR="0002607B" w:rsidRPr="006D1FE9">
        <w:rPr>
          <w:rFonts w:ascii="Book Antiqua" w:hAnsi="Book Antiqua"/>
          <w:i/>
          <w:caps/>
        </w:rPr>
        <w:t>p</w:t>
      </w:r>
      <w:proofErr w:type="spellEnd"/>
      <w:r w:rsidR="00176FFC">
        <w:rPr>
          <w:rFonts w:ascii="Book Antiqua" w:hAnsi="Book Antiqua"/>
        </w:rPr>
        <w:t xml:space="preserve"> </w:t>
      </w:r>
      <w:r w:rsidR="00B45C53" w:rsidRPr="006D1FE9">
        <w:rPr>
          <w:rFonts w:ascii="Book Antiqua" w:hAnsi="Book Antiqua"/>
        </w:rPr>
        <w:t>&lt; 0.05.</w:t>
      </w:r>
      <w:r w:rsidR="006D1FE9" w:rsidRPr="006D1FE9">
        <w:rPr>
          <w:rFonts w:ascii="Book Antiqua" w:hAnsi="Book Antiqua"/>
        </w:rPr>
        <w:t xml:space="preserve"> EP: Early paracentesis group; DP: Delayed paracentesis group; HE: Hepatic encephalopathy; HRS: Hepato-renal syndrome; LOS: Length of stay; OR: Odds ratio; CI: Confidence interval.</w:t>
      </w:r>
    </w:p>
    <w:sectPr w:rsidR="00A77B3E" w:rsidRPr="006D1FE9" w:rsidSect="008E0F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06852" w14:textId="77777777" w:rsidR="00A07745" w:rsidRDefault="00A07745" w:rsidP="008E0F11">
      <w:r>
        <w:separator/>
      </w:r>
    </w:p>
  </w:endnote>
  <w:endnote w:type="continuationSeparator" w:id="0">
    <w:p w14:paraId="5A9C003C" w14:textId="77777777" w:rsidR="00A07745" w:rsidRDefault="00A07745" w:rsidP="008E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486796"/>
      <w:docPartObj>
        <w:docPartGallery w:val="Page Numbers (Bottom of Page)"/>
        <w:docPartUnique/>
      </w:docPartObj>
    </w:sdtPr>
    <w:sdtEndPr/>
    <w:sdtContent>
      <w:sdt>
        <w:sdtPr>
          <w:id w:val="-1769616900"/>
          <w:docPartObj>
            <w:docPartGallery w:val="Page Numbers (Top of Page)"/>
            <w:docPartUnique/>
          </w:docPartObj>
        </w:sdtPr>
        <w:sdtEndPr/>
        <w:sdtContent>
          <w:p w14:paraId="611E5CB9" w14:textId="77777777" w:rsidR="0075141D" w:rsidRDefault="0075141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67105">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67105">
              <w:rPr>
                <w:b/>
                <w:bCs/>
                <w:noProof/>
              </w:rPr>
              <w:t>24</w:t>
            </w:r>
            <w:r>
              <w:rPr>
                <w:b/>
                <w:bCs/>
                <w:sz w:val="24"/>
                <w:szCs w:val="24"/>
              </w:rPr>
              <w:fldChar w:fldCharType="end"/>
            </w:r>
          </w:p>
        </w:sdtContent>
      </w:sdt>
    </w:sdtContent>
  </w:sdt>
  <w:p w14:paraId="64D8069D" w14:textId="77777777" w:rsidR="0075141D" w:rsidRDefault="007514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E8D8C" w14:textId="77777777" w:rsidR="00A07745" w:rsidRDefault="00A07745" w:rsidP="008E0F11">
      <w:r>
        <w:separator/>
      </w:r>
    </w:p>
  </w:footnote>
  <w:footnote w:type="continuationSeparator" w:id="0">
    <w:p w14:paraId="5C75535A" w14:textId="77777777" w:rsidR="00A07745" w:rsidRDefault="00A07745" w:rsidP="008E0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87F"/>
    <w:rsid w:val="00016582"/>
    <w:rsid w:val="0002607B"/>
    <w:rsid w:val="00076076"/>
    <w:rsid w:val="000922EE"/>
    <w:rsid w:val="00174968"/>
    <w:rsid w:val="00176FFC"/>
    <w:rsid w:val="001F5021"/>
    <w:rsid w:val="00200446"/>
    <w:rsid w:val="00203DE0"/>
    <w:rsid w:val="002144C3"/>
    <w:rsid w:val="00225014"/>
    <w:rsid w:val="002348E1"/>
    <w:rsid w:val="00336867"/>
    <w:rsid w:val="00352414"/>
    <w:rsid w:val="003901FA"/>
    <w:rsid w:val="003C7951"/>
    <w:rsid w:val="00434E62"/>
    <w:rsid w:val="00446C68"/>
    <w:rsid w:val="00467445"/>
    <w:rsid w:val="004C6ACF"/>
    <w:rsid w:val="005107C8"/>
    <w:rsid w:val="005854D6"/>
    <w:rsid w:val="005D270E"/>
    <w:rsid w:val="00602B62"/>
    <w:rsid w:val="00634610"/>
    <w:rsid w:val="006D13CD"/>
    <w:rsid w:val="006D1FE9"/>
    <w:rsid w:val="006E69B8"/>
    <w:rsid w:val="006E6CF2"/>
    <w:rsid w:val="006E76E2"/>
    <w:rsid w:val="006F5EB3"/>
    <w:rsid w:val="00714F7B"/>
    <w:rsid w:val="00741C58"/>
    <w:rsid w:val="0075141D"/>
    <w:rsid w:val="007727ED"/>
    <w:rsid w:val="007812E6"/>
    <w:rsid w:val="00834FB8"/>
    <w:rsid w:val="008A5862"/>
    <w:rsid w:val="008E0F11"/>
    <w:rsid w:val="00916759"/>
    <w:rsid w:val="009410D2"/>
    <w:rsid w:val="0094575E"/>
    <w:rsid w:val="0095612D"/>
    <w:rsid w:val="00970F7A"/>
    <w:rsid w:val="00994C6A"/>
    <w:rsid w:val="009B5D87"/>
    <w:rsid w:val="009E2B30"/>
    <w:rsid w:val="009E6927"/>
    <w:rsid w:val="00A07745"/>
    <w:rsid w:val="00A23CB7"/>
    <w:rsid w:val="00A5481C"/>
    <w:rsid w:val="00A65650"/>
    <w:rsid w:val="00A77B3E"/>
    <w:rsid w:val="00A83CDE"/>
    <w:rsid w:val="00A868E1"/>
    <w:rsid w:val="00B00A3F"/>
    <w:rsid w:val="00B22F22"/>
    <w:rsid w:val="00B45C53"/>
    <w:rsid w:val="00B6682E"/>
    <w:rsid w:val="00BA3490"/>
    <w:rsid w:val="00BB5248"/>
    <w:rsid w:val="00C07110"/>
    <w:rsid w:val="00C73177"/>
    <w:rsid w:val="00CA2A55"/>
    <w:rsid w:val="00CB1ADF"/>
    <w:rsid w:val="00CF317F"/>
    <w:rsid w:val="00D06402"/>
    <w:rsid w:val="00D67105"/>
    <w:rsid w:val="00DB1294"/>
    <w:rsid w:val="00DF1769"/>
    <w:rsid w:val="00E2102F"/>
    <w:rsid w:val="00E818A0"/>
    <w:rsid w:val="00EC69DB"/>
    <w:rsid w:val="00EF4199"/>
    <w:rsid w:val="00F44C83"/>
    <w:rsid w:val="00F56A9B"/>
    <w:rsid w:val="00FA5350"/>
    <w:rsid w:val="00FC7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E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7110"/>
    <w:rPr>
      <w:rFonts w:ascii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8E0F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E0F11"/>
    <w:rPr>
      <w:sz w:val="18"/>
      <w:szCs w:val="18"/>
    </w:rPr>
  </w:style>
  <w:style w:type="paragraph" w:styleId="a5">
    <w:name w:val="footer"/>
    <w:basedOn w:val="a"/>
    <w:link w:val="Char0"/>
    <w:uiPriority w:val="99"/>
    <w:unhideWhenUsed/>
    <w:rsid w:val="008E0F11"/>
    <w:pPr>
      <w:tabs>
        <w:tab w:val="center" w:pos="4153"/>
        <w:tab w:val="right" w:pos="8306"/>
      </w:tabs>
      <w:snapToGrid w:val="0"/>
    </w:pPr>
    <w:rPr>
      <w:sz w:val="18"/>
      <w:szCs w:val="18"/>
    </w:rPr>
  </w:style>
  <w:style w:type="character" w:customStyle="1" w:styleId="Char0">
    <w:name w:val="页脚 Char"/>
    <w:basedOn w:val="a0"/>
    <w:link w:val="a5"/>
    <w:uiPriority w:val="99"/>
    <w:rsid w:val="008E0F11"/>
    <w:rPr>
      <w:sz w:val="18"/>
      <w:szCs w:val="18"/>
    </w:rPr>
  </w:style>
  <w:style w:type="character" w:styleId="a6">
    <w:name w:val="Hyperlink"/>
    <w:basedOn w:val="a0"/>
    <w:unhideWhenUsed/>
    <w:rsid w:val="00A83CDE"/>
    <w:rPr>
      <w:color w:val="0000FF" w:themeColor="hyperlink"/>
      <w:u w:val="single"/>
    </w:rPr>
  </w:style>
  <w:style w:type="paragraph" w:styleId="a7">
    <w:name w:val="Balloon Text"/>
    <w:basedOn w:val="a"/>
    <w:link w:val="Char1"/>
    <w:semiHidden/>
    <w:unhideWhenUsed/>
    <w:rsid w:val="00FC752B"/>
    <w:rPr>
      <w:rFonts w:ascii="Tahoma" w:hAnsi="Tahoma" w:cs="Tahoma"/>
      <w:sz w:val="16"/>
      <w:szCs w:val="16"/>
    </w:rPr>
  </w:style>
  <w:style w:type="character" w:customStyle="1" w:styleId="Char1">
    <w:name w:val="批注框文本 Char"/>
    <w:basedOn w:val="a0"/>
    <w:link w:val="a7"/>
    <w:semiHidden/>
    <w:rsid w:val="00FC7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7110"/>
    <w:rPr>
      <w:rFonts w:ascii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8E0F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E0F11"/>
    <w:rPr>
      <w:sz w:val="18"/>
      <w:szCs w:val="18"/>
    </w:rPr>
  </w:style>
  <w:style w:type="paragraph" w:styleId="a5">
    <w:name w:val="footer"/>
    <w:basedOn w:val="a"/>
    <w:link w:val="Char0"/>
    <w:uiPriority w:val="99"/>
    <w:unhideWhenUsed/>
    <w:rsid w:val="008E0F11"/>
    <w:pPr>
      <w:tabs>
        <w:tab w:val="center" w:pos="4153"/>
        <w:tab w:val="right" w:pos="8306"/>
      </w:tabs>
      <w:snapToGrid w:val="0"/>
    </w:pPr>
    <w:rPr>
      <w:sz w:val="18"/>
      <w:szCs w:val="18"/>
    </w:rPr>
  </w:style>
  <w:style w:type="character" w:customStyle="1" w:styleId="Char0">
    <w:name w:val="页脚 Char"/>
    <w:basedOn w:val="a0"/>
    <w:link w:val="a5"/>
    <w:uiPriority w:val="99"/>
    <w:rsid w:val="008E0F11"/>
    <w:rPr>
      <w:sz w:val="18"/>
      <w:szCs w:val="18"/>
    </w:rPr>
  </w:style>
  <w:style w:type="character" w:styleId="a6">
    <w:name w:val="Hyperlink"/>
    <w:basedOn w:val="a0"/>
    <w:unhideWhenUsed/>
    <w:rsid w:val="00A83CDE"/>
    <w:rPr>
      <w:color w:val="0000FF" w:themeColor="hyperlink"/>
      <w:u w:val="single"/>
    </w:rPr>
  </w:style>
  <w:style w:type="paragraph" w:styleId="a7">
    <w:name w:val="Balloon Text"/>
    <w:basedOn w:val="a"/>
    <w:link w:val="Char1"/>
    <w:semiHidden/>
    <w:unhideWhenUsed/>
    <w:rsid w:val="00FC752B"/>
    <w:rPr>
      <w:rFonts w:ascii="Tahoma" w:hAnsi="Tahoma" w:cs="Tahoma"/>
      <w:sz w:val="16"/>
      <w:szCs w:val="16"/>
    </w:rPr>
  </w:style>
  <w:style w:type="character" w:customStyle="1" w:styleId="Char1">
    <w:name w:val="批注框文本 Char"/>
    <w:basedOn w:val="a0"/>
    <w:link w:val="a7"/>
    <w:semiHidden/>
    <w:rsid w:val="00FC7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BE9F7-C275-45F2-A56B-19891D88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5023</Words>
  <Characters>28634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马玉杰</cp:lastModifiedBy>
  <cp:revision>6</cp:revision>
  <dcterms:created xsi:type="dcterms:W3CDTF">2020-11-05T22:06:00Z</dcterms:created>
  <dcterms:modified xsi:type="dcterms:W3CDTF">2020-12-15T05:40:00Z</dcterms:modified>
</cp:coreProperties>
</file>