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1F9C08" w14:textId="77777777" w:rsidR="00A77B3E" w:rsidRPr="00BE64C7" w:rsidRDefault="006667D9" w:rsidP="00A45C44">
      <w:pPr>
        <w:spacing w:line="360" w:lineRule="auto"/>
        <w:jc w:val="both"/>
        <w:rPr>
          <w:rFonts w:ascii="Book Antiqua" w:hAnsi="Book Antiqua"/>
          <w:color w:val="000000" w:themeColor="text1"/>
        </w:rPr>
      </w:pPr>
      <w:r w:rsidRPr="00BE64C7">
        <w:rPr>
          <w:rFonts w:ascii="Book Antiqua" w:eastAsia="Book Antiqua" w:hAnsi="Book Antiqua" w:cs="Book Antiqua"/>
          <w:b/>
          <w:color w:val="000000" w:themeColor="text1"/>
        </w:rPr>
        <w:t xml:space="preserve">Name of Journal: </w:t>
      </w:r>
      <w:r w:rsidRPr="00BE64C7">
        <w:rPr>
          <w:rFonts w:ascii="Book Antiqua" w:eastAsia="Book Antiqua" w:hAnsi="Book Antiqua" w:cs="Book Antiqua"/>
          <w:i/>
          <w:color w:val="000000" w:themeColor="text1"/>
        </w:rPr>
        <w:t>World Journal of Clinical Cases</w:t>
      </w:r>
    </w:p>
    <w:p w14:paraId="21B1D093" w14:textId="77777777" w:rsidR="00A77B3E" w:rsidRPr="00BE64C7" w:rsidRDefault="006667D9" w:rsidP="000A52F5">
      <w:pPr>
        <w:spacing w:line="360" w:lineRule="auto"/>
        <w:jc w:val="both"/>
        <w:rPr>
          <w:rFonts w:ascii="Book Antiqua" w:hAnsi="Book Antiqua"/>
          <w:color w:val="000000" w:themeColor="text1"/>
        </w:rPr>
      </w:pPr>
      <w:r w:rsidRPr="00BE64C7">
        <w:rPr>
          <w:rFonts w:ascii="Book Antiqua" w:eastAsia="Book Antiqua" w:hAnsi="Book Antiqua" w:cs="Book Antiqua"/>
          <w:b/>
          <w:color w:val="000000" w:themeColor="text1"/>
        </w:rPr>
        <w:t xml:space="preserve">Manuscript NO: </w:t>
      </w:r>
      <w:r w:rsidRPr="00BE64C7">
        <w:rPr>
          <w:rFonts w:ascii="Book Antiqua" w:eastAsia="Book Antiqua" w:hAnsi="Book Antiqua" w:cs="Book Antiqua"/>
          <w:color w:val="000000" w:themeColor="text1"/>
        </w:rPr>
        <w:t>58256</w:t>
      </w:r>
    </w:p>
    <w:p w14:paraId="3D9B5FEF" w14:textId="77777777" w:rsidR="00A77B3E" w:rsidRPr="00BE64C7" w:rsidRDefault="006667D9" w:rsidP="00175753">
      <w:pPr>
        <w:spacing w:line="360" w:lineRule="auto"/>
        <w:jc w:val="both"/>
        <w:rPr>
          <w:rFonts w:ascii="Book Antiqua" w:hAnsi="Book Antiqua"/>
          <w:color w:val="000000" w:themeColor="text1"/>
        </w:rPr>
      </w:pPr>
      <w:r w:rsidRPr="00BE64C7">
        <w:rPr>
          <w:rFonts w:ascii="Book Antiqua" w:eastAsia="Book Antiqua" w:hAnsi="Book Antiqua" w:cs="Book Antiqua"/>
          <w:b/>
          <w:color w:val="000000" w:themeColor="text1"/>
        </w:rPr>
        <w:t xml:space="preserve">Manuscript Type: </w:t>
      </w:r>
      <w:r w:rsidRPr="00BE64C7">
        <w:rPr>
          <w:rFonts w:ascii="Book Antiqua" w:eastAsia="Book Antiqua" w:hAnsi="Book Antiqua" w:cs="Book Antiqua"/>
          <w:color w:val="000000" w:themeColor="text1"/>
        </w:rPr>
        <w:t>SYSTEMATIC REVIEWS</w:t>
      </w:r>
    </w:p>
    <w:p w14:paraId="0CBC2713" w14:textId="77777777" w:rsidR="00A77B3E" w:rsidRPr="00BE64C7" w:rsidRDefault="00A77B3E" w:rsidP="00175753">
      <w:pPr>
        <w:spacing w:line="360" w:lineRule="auto"/>
        <w:jc w:val="both"/>
        <w:rPr>
          <w:rFonts w:ascii="Book Antiqua" w:hAnsi="Book Antiqua"/>
          <w:color w:val="000000" w:themeColor="text1"/>
        </w:rPr>
      </w:pPr>
    </w:p>
    <w:p w14:paraId="2933AFD0" w14:textId="77777777" w:rsidR="00A77B3E" w:rsidRPr="00BE64C7" w:rsidRDefault="006667D9" w:rsidP="00175753">
      <w:pPr>
        <w:spacing w:line="360" w:lineRule="auto"/>
        <w:jc w:val="both"/>
        <w:rPr>
          <w:rFonts w:ascii="Book Antiqua" w:hAnsi="Book Antiqua"/>
          <w:color w:val="000000" w:themeColor="text1"/>
        </w:rPr>
      </w:pPr>
      <w:bookmarkStart w:id="0" w:name="_Hlk55156229"/>
      <w:r w:rsidRPr="00BE64C7">
        <w:rPr>
          <w:rFonts w:ascii="Book Antiqua" w:eastAsia="Book Antiqua" w:hAnsi="Book Antiqua" w:cs="Book Antiqua"/>
          <w:b/>
          <w:bCs/>
          <w:color w:val="000000" w:themeColor="text1"/>
        </w:rPr>
        <w:t xml:space="preserve">Clinical </w:t>
      </w:r>
      <w:r w:rsidR="00055534" w:rsidRPr="00BE64C7">
        <w:rPr>
          <w:rFonts w:ascii="Book Antiqua" w:eastAsia="Book Antiqua" w:hAnsi="Book Antiqua" w:cs="Book Antiqua"/>
          <w:b/>
          <w:bCs/>
          <w:color w:val="000000" w:themeColor="text1"/>
        </w:rPr>
        <w:t>b</w:t>
      </w:r>
      <w:r w:rsidRPr="00BE64C7">
        <w:rPr>
          <w:rFonts w:ascii="Book Antiqua" w:eastAsia="Book Antiqua" w:hAnsi="Book Antiqua" w:cs="Book Antiqua"/>
          <w:b/>
          <w:bCs/>
          <w:color w:val="000000" w:themeColor="text1"/>
        </w:rPr>
        <w:t xml:space="preserve">enefit of </w:t>
      </w:r>
      <w:r w:rsidR="00A01793" w:rsidRPr="00BE64C7">
        <w:rPr>
          <w:rFonts w:ascii="Book Antiqua" w:eastAsia="Book Antiqua" w:hAnsi="Book Antiqua" w:cs="Book Antiqua"/>
          <w:b/>
          <w:bCs/>
          <w:color w:val="000000" w:themeColor="text1"/>
        </w:rPr>
        <w:t>COX-2</w:t>
      </w:r>
      <w:r w:rsidRPr="00BE64C7">
        <w:rPr>
          <w:rFonts w:ascii="Book Antiqua" w:eastAsia="Book Antiqua" w:hAnsi="Book Antiqua" w:cs="Book Antiqua"/>
          <w:b/>
          <w:bCs/>
          <w:color w:val="000000" w:themeColor="text1"/>
        </w:rPr>
        <w:t xml:space="preserve"> </w:t>
      </w:r>
      <w:r w:rsidR="00055534" w:rsidRPr="00BE64C7">
        <w:rPr>
          <w:rFonts w:ascii="Book Antiqua" w:eastAsia="Book Antiqua" w:hAnsi="Book Antiqua" w:cs="Book Antiqua"/>
          <w:b/>
          <w:bCs/>
          <w:color w:val="000000" w:themeColor="text1"/>
        </w:rPr>
        <w:t>i</w:t>
      </w:r>
      <w:r w:rsidRPr="00BE64C7">
        <w:rPr>
          <w:rFonts w:ascii="Book Antiqua" w:eastAsia="Book Antiqua" w:hAnsi="Book Antiqua" w:cs="Book Antiqua"/>
          <w:b/>
          <w:bCs/>
          <w:color w:val="000000" w:themeColor="text1"/>
        </w:rPr>
        <w:t xml:space="preserve">nhibitors in the </w:t>
      </w:r>
      <w:r w:rsidR="00055534" w:rsidRPr="00BE64C7">
        <w:rPr>
          <w:rFonts w:ascii="Book Antiqua" w:eastAsia="Book Antiqua" w:hAnsi="Book Antiqua" w:cs="Book Antiqua"/>
          <w:b/>
          <w:bCs/>
          <w:color w:val="000000" w:themeColor="text1"/>
        </w:rPr>
        <w:t>a</w:t>
      </w:r>
      <w:r w:rsidRPr="00BE64C7">
        <w:rPr>
          <w:rFonts w:ascii="Book Antiqua" w:eastAsia="Book Antiqua" w:hAnsi="Book Antiqua" w:cs="Book Antiqua"/>
          <w:b/>
          <w:bCs/>
          <w:color w:val="000000" w:themeColor="text1"/>
        </w:rPr>
        <w:t xml:space="preserve">djuvant </w:t>
      </w:r>
      <w:r w:rsidR="00055534" w:rsidRPr="00BE64C7">
        <w:rPr>
          <w:rFonts w:ascii="Book Antiqua" w:eastAsia="Book Antiqua" w:hAnsi="Book Antiqua" w:cs="Book Antiqua"/>
          <w:b/>
          <w:bCs/>
          <w:color w:val="000000" w:themeColor="text1"/>
        </w:rPr>
        <w:t>c</w:t>
      </w:r>
      <w:r w:rsidRPr="00BE64C7">
        <w:rPr>
          <w:rFonts w:ascii="Book Antiqua" w:eastAsia="Book Antiqua" w:hAnsi="Book Antiqua" w:cs="Book Antiqua"/>
          <w:b/>
          <w:bCs/>
          <w:color w:val="000000" w:themeColor="text1"/>
        </w:rPr>
        <w:t xml:space="preserve">hemotherapy of </w:t>
      </w:r>
      <w:r w:rsidR="00055534" w:rsidRPr="00BE64C7">
        <w:rPr>
          <w:rFonts w:ascii="Book Antiqua" w:eastAsia="Book Antiqua" w:hAnsi="Book Antiqua" w:cs="Book Antiqua"/>
          <w:b/>
          <w:bCs/>
          <w:color w:val="000000" w:themeColor="text1"/>
        </w:rPr>
        <w:t>a</w:t>
      </w:r>
      <w:r w:rsidRPr="00BE64C7">
        <w:rPr>
          <w:rFonts w:ascii="Book Antiqua" w:eastAsia="Book Antiqua" w:hAnsi="Book Antiqua" w:cs="Book Antiqua"/>
          <w:b/>
          <w:bCs/>
          <w:color w:val="000000" w:themeColor="text1"/>
        </w:rPr>
        <w:t xml:space="preserve">dvanced </w:t>
      </w:r>
      <w:r w:rsidR="00055534" w:rsidRPr="00BE64C7">
        <w:rPr>
          <w:rFonts w:ascii="Book Antiqua" w:eastAsia="Book Antiqua" w:hAnsi="Book Antiqua" w:cs="Book Antiqua"/>
          <w:b/>
          <w:bCs/>
          <w:color w:val="000000" w:themeColor="text1"/>
        </w:rPr>
        <w:t>non-small cell lung cancer</w:t>
      </w:r>
      <w:r w:rsidRPr="00BE64C7">
        <w:rPr>
          <w:rFonts w:ascii="Book Antiqua" w:eastAsia="Book Antiqua" w:hAnsi="Book Antiqua" w:cs="Book Antiqua"/>
          <w:b/>
          <w:bCs/>
          <w:color w:val="000000" w:themeColor="text1"/>
        </w:rPr>
        <w:t xml:space="preserve">: </w:t>
      </w:r>
      <w:r w:rsidR="00055534" w:rsidRPr="00BE64C7">
        <w:rPr>
          <w:rFonts w:ascii="Book Antiqua" w:eastAsia="Book Antiqua" w:hAnsi="Book Antiqua" w:cs="Book Antiqua"/>
          <w:b/>
          <w:bCs/>
          <w:color w:val="000000" w:themeColor="text1"/>
        </w:rPr>
        <w:t>A s</w:t>
      </w:r>
      <w:r w:rsidRPr="00BE64C7">
        <w:rPr>
          <w:rFonts w:ascii="Book Antiqua" w:eastAsia="Book Antiqua" w:hAnsi="Book Antiqua" w:cs="Book Antiqua"/>
          <w:b/>
          <w:bCs/>
          <w:color w:val="000000" w:themeColor="text1"/>
        </w:rPr>
        <w:t xml:space="preserve">ystematic </w:t>
      </w:r>
      <w:r w:rsidR="00055534" w:rsidRPr="00BE64C7">
        <w:rPr>
          <w:rFonts w:ascii="Book Antiqua" w:eastAsia="Book Antiqua" w:hAnsi="Book Antiqua" w:cs="Book Antiqua"/>
          <w:b/>
          <w:bCs/>
          <w:color w:val="000000" w:themeColor="text1"/>
        </w:rPr>
        <w:t>r</w:t>
      </w:r>
      <w:r w:rsidRPr="00BE64C7">
        <w:rPr>
          <w:rFonts w:ascii="Book Antiqua" w:eastAsia="Book Antiqua" w:hAnsi="Book Antiqua" w:cs="Book Antiqua"/>
          <w:b/>
          <w:bCs/>
          <w:color w:val="000000" w:themeColor="text1"/>
        </w:rPr>
        <w:t xml:space="preserve">eview and </w:t>
      </w:r>
      <w:r w:rsidR="00055534" w:rsidRPr="00BE64C7">
        <w:rPr>
          <w:rFonts w:ascii="Book Antiqua" w:eastAsia="Book Antiqua" w:hAnsi="Book Antiqua" w:cs="Book Antiqua"/>
          <w:b/>
          <w:bCs/>
          <w:color w:val="000000" w:themeColor="text1"/>
        </w:rPr>
        <w:t>m</w:t>
      </w:r>
      <w:r w:rsidRPr="00BE64C7">
        <w:rPr>
          <w:rFonts w:ascii="Book Antiqua" w:eastAsia="Book Antiqua" w:hAnsi="Book Antiqua" w:cs="Book Antiqua"/>
          <w:b/>
          <w:bCs/>
          <w:color w:val="000000" w:themeColor="text1"/>
        </w:rPr>
        <w:t>eta-analysis</w:t>
      </w:r>
    </w:p>
    <w:bookmarkEnd w:id="0"/>
    <w:p w14:paraId="3EEC82F9" w14:textId="77777777" w:rsidR="00A77B3E" w:rsidRPr="00BE64C7" w:rsidRDefault="00A77B3E" w:rsidP="00175753">
      <w:pPr>
        <w:spacing w:line="360" w:lineRule="auto"/>
        <w:jc w:val="both"/>
        <w:rPr>
          <w:rFonts w:ascii="Book Antiqua" w:hAnsi="Book Antiqua"/>
          <w:color w:val="000000" w:themeColor="text1"/>
        </w:rPr>
      </w:pPr>
    </w:p>
    <w:p w14:paraId="12695E15" w14:textId="77777777" w:rsidR="00A77B3E" w:rsidRPr="00BE64C7" w:rsidRDefault="00F10A2E" w:rsidP="00175753">
      <w:pPr>
        <w:spacing w:line="360" w:lineRule="auto"/>
        <w:jc w:val="both"/>
        <w:rPr>
          <w:rFonts w:ascii="Book Antiqua" w:hAnsi="Book Antiqua"/>
          <w:color w:val="000000" w:themeColor="text1"/>
        </w:rPr>
      </w:pPr>
      <w:r w:rsidRPr="00BE64C7">
        <w:rPr>
          <w:rFonts w:ascii="Book Antiqua" w:eastAsia="Book Antiqua" w:hAnsi="Book Antiqua" w:cs="Book Antiqua"/>
          <w:color w:val="000000" w:themeColor="text1"/>
        </w:rPr>
        <w:t xml:space="preserve">Xu YQ </w:t>
      </w:r>
      <w:r w:rsidRPr="00BE64C7">
        <w:rPr>
          <w:rFonts w:ascii="Book Antiqua" w:eastAsia="Book Antiqua" w:hAnsi="Book Antiqua" w:cs="Book Antiqua"/>
          <w:i/>
          <w:iCs/>
          <w:color w:val="000000" w:themeColor="text1"/>
        </w:rPr>
        <w:t>et al</w:t>
      </w:r>
      <w:r w:rsidRPr="00BE64C7">
        <w:rPr>
          <w:rFonts w:ascii="Book Antiqua" w:eastAsia="Book Antiqua" w:hAnsi="Book Antiqua" w:cs="Book Antiqua"/>
          <w:color w:val="000000" w:themeColor="text1"/>
        </w:rPr>
        <w:t xml:space="preserve">. </w:t>
      </w:r>
      <w:r w:rsidR="006667D9" w:rsidRPr="00BE64C7">
        <w:rPr>
          <w:rFonts w:ascii="Book Antiqua" w:eastAsia="Book Antiqua" w:hAnsi="Book Antiqua" w:cs="Book Antiqua"/>
          <w:color w:val="000000" w:themeColor="text1"/>
        </w:rPr>
        <w:t>COX-2 inhibitors for advanced NSCLC</w:t>
      </w:r>
    </w:p>
    <w:p w14:paraId="6F4AF403" w14:textId="77777777" w:rsidR="00A77B3E" w:rsidRPr="00BE64C7" w:rsidRDefault="00A77B3E" w:rsidP="00175753">
      <w:pPr>
        <w:spacing w:line="360" w:lineRule="auto"/>
        <w:jc w:val="both"/>
        <w:rPr>
          <w:rFonts w:ascii="Book Antiqua" w:hAnsi="Book Antiqua"/>
          <w:color w:val="000000" w:themeColor="text1"/>
        </w:rPr>
      </w:pPr>
    </w:p>
    <w:p w14:paraId="2980139F" w14:textId="77777777" w:rsidR="00A77B3E" w:rsidRPr="00BE64C7" w:rsidRDefault="006667D9" w:rsidP="00175753">
      <w:pPr>
        <w:spacing w:line="360" w:lineRule="auto"/>
        <w:jc w:val="both"/>
        <w:rPr>
          <w:rFonts w:ascii="Book Antiqua" w:hAnsi="Book Antiqua"/>
          <w:color w:val="000000" w:themeColor="text1"/>
        </w:rPr>
      </w:pPr>
      <w:r w:rsidRPr="00BE64C7">
        <w:rPr>
          <w:rFonts w:ascii="Book Antiqua" w:eastAsia="Book Antiqua" w:hAnsi="Book Antiqua" w:cs="Book Antiqua"/>
          <w:color w:val="000000" w:themeColor="text1"/>
        </w:rPr>
        <w:t xml:space="preserve">Yu-Qiong Xu, Xiang Long, Ming Han, Ming-Qiang Huang, Jia-Fa Lu, Xue-Dong Sun, </w:t>
      </w:r>
      <w:r w:rsidR="00C15DE7" w:rsidRPr="00BE64C7">
        <w:rPr>
          <w:rFonts w:ascii="Book Antiqua" w:eastAsia="Book Antiqua" w:hAnsi="Book Antiqua" w:cs="Book Antiqua"/>
          <w:color w:val="000000" w:themeColor="text1"/>
        </w:rPr>
        <w:t xml:space="preserve">Wei </w:t>
      </w:r>
      <w:r w:rsidRPr="00BE64C7">
        <w:rPr>
          <w:rFonts w:ascii="Book Antiqua" w:eastAsia="Book Antiqua" w:hAnsi="Book Antiqua" w:cs="Book Antiqua"/>
          <w:color w:val="000000" w:themeColor="text1"/>
        </w:rPr>
        <w:t>Han</w:t>
      </w:r>
    </w:p>
    <w:p w14:paraId="317D9068" w14:textId="77777777" w:rsidR="00A77B3E" w:rsidRPr="00BE64C7" w:rsidRDefault="00A77B3E" w:rsidP="00175753">
      <w:pPr>
        <w:spacing w:line="360" w:lineRule="auto"/>
        <w:jc w:val="both"/>
        <w:rPr>
          <w:rFonts w:ascii="Book Antiqua" w:hAnsi="Book Antiqua"/>
          <w:color w:val="000000" w:themeColor="text1"/>
        </w:rPr>
      </w:pPr>
    </w:p>
    <w:p w14:paraId="3919B0DC" w14:textId="77777777" w:rsidR="00A77B3E" w:rsidRPr="00BE64C7" w:rsidRDefault="006667D9" w:rsidP="00175753">
      <w:pPr>
        <w:spacing w:line="360" w:lineRule="auto"/>
        <w:jc w:val="both"/>
        <w:rPr>
          <w:rFonts w:ascii="Book Antiqua" w:hAnsi="Book Antiqua"/>
          <w:color w:val="000000" w:themeColor="text1"/>
        </w:rPr>
      </w:pPr>
      <w:r w:rsidRPr="00BE64C7">
        <w:rPr>
          <w:rFonts w:ascii="Book Antiqua" w:eastAsia="Book Antiqua" w:hAnsi="Book Antiqua" w:cs="Book Antiqua"/>
          <w:b/>
          <w:bCs/>
          <w:color w:val="000000" w:themeColor="text1"/>
        </w:rPr>
        <w:t xml:space="preserve">Yu-Qiong Xu, Ming Han, Ming-Qiang Huang, Jia-Fa Lu, Xue-Dong Sun, </w:t>
      </w:r>
      <w:r w:rsidR="00C15DE7" w:rsidRPr="00BE64C7">
        <w:rPr>
          <w:rFonts w:ascii="Book Antiqua" w:eastAsia="Book Antiqua" w:hAnsi="Book Antiqua" w:cs="Book Antiqua"/>
          <w:b/>
          <w:bCs/>
          <w:color w:val="000000" w:themeColor="text1"/>
        </w:rPr>
        <w:t>Wei Han</w:t>
      </w:r>
      <w:r w:rsidRPr="00BE64C7">
        <w:rPr>
          <w:rFonts w:ascii="Book Antiqua" w:eastAsia="Book Antiqua" w:hAnsi="Book Antiqua" w:cs="Book Antiqua"/>
          <w:b/>
          <w:bCs/>
          <w:color w:val="000000" w:themeColor="text1"/>
        </w:rPr>
        <w:t xml:space="preserve">, </w:t>
      </w:r>
      <w:r w:rsidRPr="00BE64C7">
        <w:rPr>
          <w:rFonts w:ascii="Book Antiqua" w:eastAsia="Book Antiqua" w:hAnsi="Book Antiqua" w:cs="Book Antiqua"/>
          <w:color w:val="000000" w:themeColor="text1"/>
        </w:rPr>
        <w:t xml:space="preserve">Department of Emergency Medicine, Shenzhen University General Hospital, Shenzhen University Clinical Medical Academy, Shenzhen 518000, </w:t>
      </w:r>
      <w:r w:rsidR="00F10A2E" w:rsidRPr="00BE64C7">
        <w:rPr>
          <w:rFonts w:ascii="Book Antiqua" w:eastAsia="Book Antiqua" w:hAnsi="Book Antiqua" w:cs="Book Antiqua"/>
          <w:color w:val="000000" w:themeColor="text1"/>
        </w:rPr>
        <w:t xml:space="preserve">Guangdong Province, </w:t>
      </w:r>
      <w:r w:rsidRPr="00BE64C7">
        <w:rPr>
          <w:rFonts w:ascii="Book Antiqua" w:eastAsia="Book Antiqua" w:hAnsi="Book Antiqua" w:cs="Book Antiqua"/>
          <w:color w:val="000000" w:themeColor="text1"/>
        </w:rPr>
        <w:t>China</w:t>
      </w:r>
    </w:p>
    <w:p w14:paraId="29A2C1EA" w14:textId="77777777" w:rsidR="00A77B3E" w:rsidRPr="00BE64C7" w:rsidRDefault="00A77B3E" w:rsidP="00175753">
      <w:pPr>
        <w:spacing w:line="360" w:lineRule="auto"/>
        <w:jc w:val="both"/>
        <w:rPr>
          <w:rFonts w:ascii="Book Antiqua" w:hAnsi="Book Antiqua"/>
          <w:color w:val="000000" w:themeColor="text1"/>
        </w:rPr>
      </w:pPr>
    </w:p>
    <w:p w14:paraId="63F5E740" w14:textId="77777777" w:rsidR="00A77B3E" w:rsidRPr="00BE64C7" w:rsidRDefault="006667D9" w:rsidP="00175753">
      <w:pPr>
        <w:spacing w:line="360" w:lineRule="auto"/>
        <w:jc w:val="both"/>
        <w:rPr>
          <w:rFonts w:ascii="Book Antiqua" w:hAnsi="Book Antiqua"/>
          <w:color w:val="000000" w:themeColor="text1"/>
        </w:rPr>
      </w:pPr>
      <w:r w:rsidRPr="00BE64C7">
        <w:rPr>
          <w:rFonts w:ascii="Book Antiqua" w:eastAsia="Book Antiqua" w:hAnsi="Book Antiqua" w:cs="Book Antiqua"/>
          <w:b/>
          <w:bCs/>
          <w:color w:val="000000" w:themeColor="text1"/>
        </w:rPr>
        <w:t xml:space="preserve">Xiang Long, </w:t>
      </w:r>
      <w:r w:rsidRPr="00BE64C7">
        <w:rPr>
          <w:rFonts w:ascii="Book Antiqua" w:eastAsia="Book Antiqua" w:hAnsi="Book Antiqua" w:cs="Book Antiqua"/>
          <w:color w:val="000000" w:themeColor="text1"/>
        </w:rPr>
        <w:t xml:space="preserve">Department of Respiratory and Critical Care Medicine, Peking University Shenzhen Hospital, Shenzhen 518000, </w:t>
      </w:r>
      <w:r w:rsidR="00F10A2E" w:rsidRPr="00BE64C7">
        <w:rPr>
          <w:rFonts w:ascii="Book Antiqua" w:eastAsia="Book Antiqua" w:hAnsi="Book Antiqua" w:cs="Book Antiqua"/>
          <w:color w:val="000000" w:themeColor="text1"/>
        </w:rPr>
        <w:t xml:space="preserve">Guangdong Province, </w:t>
      </w:r>
      <w:r w:rsidRPr="00BE64C7">
        <w:rPr>
          <w:rFonts w:ascii="Book Antiqua" w:eastAsia="Book Antiqua" w:hAnsi="Book Antiqua" w:cs="Book Antiqua"/>
          <w:color w:val="000000" w:themeColor="text1"/>
        </w:rPr>
        <w:t>China</w:t>
      </w:r>
    </w:p>
    <w:p w14:paraId="6BB579C2" w14:textId="77777777" w:rsidR="00A77B3E" w:rsidRPr="00BE64C7" w:rsidRDefault="00A77B3E" w:rsidP="00175753">
      <w:pPr>
        <w:spacing w:line="360" w:lineRule="auto"/>
        <w:jc w:val="both"/>
        <w:rPr>
          <w:rFonts w:ascii="Book Antiqua" w:hAnsi="Book Antiqua"/>
          <w:color w:val="000000" w:themeColor="text1"/>
        </w:rPr>
      </w:pPr>
    </w:p>
    <w:p w14:paraId="2C0CFCD1" w14:textId="77777777" w:rsidR="00A77B3E" w:rsidRPr="00A45C44" w:rsidRDefault="006667D9" w:rsidP="00175753">
      <w:pPr>
        <w:spacing w:line="360" w:lineRule="auto"/>
        <w:jc w:val="both"/>
        <w:rPr>
          <w:rFonts w:ascii="Book Antiqua" w:hAnsi="Book Antiqua"/>
        </w:rPr>
      </w:pPr>
      <w:r w:rsidRPr="00BE64C7">
        <w:rPr>
          <w:rFonts w:ascii="Book Antiqua" w:eastAsia="Book Antiqua" w:hAnsi="Book Antiqua" w:cs="Book Antiqua"/>
          <w:b/>
          <w:bCs/>
          <w:color w:val="000000" w:themeColor="text1"/>
        </w:rPr>
        <w:t xml:space="preserve">Author contributions: </w:t>
      </w:r>
      <w:r w:rsidRPr="00BE64C7">
        <w:rPr>
          <w:rFonts w:ascii="Book Antiqua" w:eastAsia="Book Antiqua" w:hAnsi="Book Antiqua" w:cs="Book Antiqua"/>
          <w:color w:val="000000" w:themeColor="text1"/>
        </w:rPr>
        <w:t>H</w:t>
      </w:r>
      <w:r w:rsidR="00C15DE7" w:rsidRPr="00BE64C7">
        <w:rPr>
          <w:rFonts w:ascii="Book Antiqua" w:eastAsia="Book Antiqua" w:hAnsi="Book Antiqua" w:cs="Book Antiqua"/>
          <w:color w:val="000000" w:themeColor="text1"/>
        </w:rPr>
        <w:t>an W</w:t>
      </w:r>
      <w:r w:rsidRPr="00BE64C7">
        <w:rPr>
          <w:rFonts w:ascii="Book Antiqua" w:eastAsia="Book Antiqua" w:hAnsi="Book Antiqua" w:cs="Book Antiqua"/>
          <w:color w:val="000000" w:themeColor="text1"/>
        </w:rPr>
        <w:t xml:space="preserve"> and </w:t>
      </w:r>
      <w:r w:rsidR="00D4238A" w:rsidRPr="00BE64C7">
        <w:rPr>
          <w:rFonts w:ascii="Book Antiqua" w:eastAsia="Book Antiqua" w:hAnsi="Book Antiqua" w:cs="Book Antiqua"/>
          <w:color w:val="000000" w:themeColor="text1"/>
        </w:rPr>
        <w:t xml:space="preserve">Xu </w:t>
      </w:r>
      <w:r w:rsidRPr="00BE64C7">
        <w:rPr>
          <w:rFonts w:ascii="Book Antiqua" w:eastAsia="Book Antiqua" w:hAnsi="Book Antiqua" w:cs="Book Antiqua"/>
          <w:color w:val="000000" w:themeColor="text1"/>
        </w:rPr>
        <w:t>YQ contributed to the study conception and design, the acquisition of data, and the drafting of the manuscript</w:t>
      </w:r>
      <w:r w:rsidR="00D4238A" w:rsidRPr="00BE64C7">
        <w:rPr>
          <w:rFonts w:ascii="Book Antiqua" w:eastAsia="Book Antiqua" w:hAnsi="Book Antiqua" w:cs="Book Antiqua"/>
          <w:color w:val="000000" w:themeColor="text1"/>
        </w:rPr>
        <w:t>;</w:t>
      </w:r>
      <w:r w:rsidRPr="00BE64C7">
        <w:rPr>
          <w:rFonts w:ascii="Book Antiqua" w:eastAsia="Book Antiqua" w:hAnsi="Book Antiqua" w:cs="Book Antiqua"/>
          <w:color w:val="000000" w:themeColor="text1"/>
        </w:rPr>
        <w:t xml:space="preserve"> </w:t>
      </w:r>
      <w:r w:rsidR="00D4238A" w:rsidRPr="00BE64C7">
        <w:rPr>
          <w:rFonts w:ascii="Book Antiqua" w:eastAsia="Book Antiqua" w:hAnsi="Book Antiqua" w:cs="Book Antiqua"/>
          <w:color w:val="000000" w:themeColor="text1"/>
        </w:rPr>
        <w:t>Xu YQ</w:t>
      </w:r>
      <w:r w:rsidRPr="00BE64C7">
        <w:rPr>
          <w:rFonts w:ascii="Book Antiqua" w:eastAsia="Book Antiqua" w:hAnsi="Book Antiqua" w:cs="Book Antiqua"/>
          <w:color w:val="000000" w:themeColor="text1"/>
        </w:rPr>
        <w:t xml:space="preserve">, </w:t>
      </w:r>
      <w:r w:rsidR="00D4238A" w:rsidRPr="00BE64C7">
        <w:rPr>
          <w:rFonts w:ascii="Book Antiqua" w:eastAsia="Book Antiqua" w:hAnsi="Book Antiqua" w:cs="Book Antiqua"/>
          <w:color w:val="000000" w:themeColor="text1"/>
        </w:rPr>
        <w:t>Long X</w:t>
      </w:r>
      <w:r w:rsidRPr="00BE64C7">
        <w:rPr>
          <w:rFonts w:ascii="Book Antiqua" w:eastAsia="Book Antiqua" w:hAnsi="Book Antiqua" w:cs="Book Antiqua"/>
          <w:color w:val="000000" w:themeColor="text1"/>
        </w:rPr>
        <w:t xml:space="preserve">, </w:t>
      </w:r>
      <w:r w:rsidR="00D4238A" w:rsidRPr="00BE64C7">
        <w:rPr>
          <w:rFonts w:ascii="Book Antiqua" w:eastAsia="Book Antiqua" w:hAnsi="Book Antiqua" w:cs="Book Antiqua"/>
          <w:color w:val="000000" w:themeColor="text1"/>
        </w:rPr>
        <w:t>Han M</w:t>
      </w:r>
      <w:r w:rsidRPr="00BE64C7">
        <w:rPr>
          <w:rFonts w:ascii="Book Antiqua" w:eastAsia="Book Antiqua" w:hAnsi="Book Antiqua" w:cs="Book Antiqua"/>
          <w:color w:val="000000" w:themeColor="text1"/>
        </w:rPr>
        <w:t xml:space="preserve">, </w:t>
      </w:r>
      <w:r w:rsidR="00D4238A" w:rsidRPr="00BE64C7">
        <w:rPr>
          <w:rFonts w:ascii="Book Antiqua" w:eastAsia="Book Antiqua" w:hAnsi="Book Antiqua" w:cs="Book Antiqua"/>
          <w:color w:val="000000" w:themeColor="text1"/>
        </w:rPr>
        <w:t>Huang MQ</w:t>
      </w:r>
      <w:r w:rsidRPr="00BE64C7">
        <w:rPr>
          <w:rFonts w:ascii="Book Antiqua" w:eastAsia="Book Antiqua" w:hAnsi="Book Antiqua" w:cs="Book Antiqua"/>
          <w:color w:val="000000" w:themeColor="text1"/>
        </w:rPr>
        <w:t xml:space="preserve">, </w:t>
      </w:r>
      <w:r w:rsidR="00D4238A" w:rsidRPr="00BE64C7">
        <w:rPr>
          <w:rFonts w:ascii="Book Antiqua" w:eastAsia="Book Antiqua" w:hAnsi="Book Antiqua" w:cs="Book Antiqua"/>
          <w:color w:val="000000" w:themeColor="text1"/>
        </w:rPr>
        <w:t>Lu JF</w:t>
      </w:r>
      <w:r w:rsidR="004A6995" w:rsidRPr="00BE64C7">
        <w:rPr>
          <w:rFonts w:ascii="Book Antiqua" w:eastAsia="Book Antiqua" w:hAnsi="Book Antiqua" w:cs="Book Antiqua"/>
          <w:color w:val="000000" w:themeColor="text1"/>
        </w:rPr>
        <w:t>,</w:t>
      </w:r>
      <w:r w:rsidRPr="00BE64C7">
        <w:rPr>
          <w:rFonts w:ascii="Book Antiqua" w:eastAsia="Book Antiqua" w:hAnsi="Book Antiqua" w:cs="Book Antiqua"/>
          <w:color w:val="000000" w:themeColor="text1"/>
        </w:rPr>
        <w:t xml:space="preserve"> and </w:t>
      </w:r>
      <w:r w:rsidR="00D4238A" w:rsidRPr="00BE64C7">
        <w:rPr>
          <w:rFonts w:ascii="Book Antiqua" w:eastAsia="Book Antiqua" w:hAnsi="Book Antiqua" w:cs="Book Antiqua"/>
          <w:color w:val="000000" w:themeColor="text1"/>
        </w:rPr>
        <w:t>Sun XD</w:t>
      </w:r>
      <w:r w:rsidRPr="00BE64C7">
        <w:rPr>
          <w:rFonts w:ascii="Book Antiqua" w:eastAsia="Book Antiqua" w:hAnsi="Book Antiqua" w:cs="Book Antiqua"/>
          <w:color w:val="000000" w:themeColor="text1"/>
        </w:rPr>
        <w:t xml:space="preserve"> contributed to the analysis and interpretation of the quantitative data and the drafting of the manuscript</w:t>
      </w:r>
      <w:r w:rsidR="00D4238A" w:rsidRPr="00BE64C7">
        <w:rPr>
          <w:rFonts w:ascii="Book Antiqua" w:eastAsia="Book Antiqua" w:hAnsi="Book Antiqua" w:cs="Book Antiqua"/>
          <w:color w:val="000000" w:themeColor="text1"/>
        </w:rPr>
        <w:t>;</w:t>
      </w:r>
      <w:r w:rsidRPr="00BE64C7">
        <w:rPr>
          <w:rFonts w:ascii="Book Antiqua" w:eastAsia="Book Antiqua" w:hAnsi="Book Antiqua" w:cs="Book Antiqua"/>
          <w:color w:val="000000" w:themeColor="text1"/>
        </w:rPr>
        <w:t xml:space="preserve"> </w:t>
      </w:r>
      <w:r w:rsidR="00D4238A" w:rsidRPr="00BE64C7">
        <w:rPr>
          <w:rFonts w:ascii="Book Antiqua" w:eastAsia="Book Antiqua" w:hAnsi="Book Antiqua" w:cs="Book Antiqua"/>
          <w:color w:val="000000" w:themeColor="text1"/>
        </w:rPr>
        <w:t>Xu YQ</w:t>
      </w:r>
      <w:r w:rsidRPr="00BE64C7">
        <w:rPr>
          <w:rFonts w:ascii="Book Antiqua" w:eastAsia="Book Antiqua" w:hAnsi="Book Antiqua" w:cs="Book Antiqua"/>
          <w:color w:val="000000" w:themeColor="text1"/>
        </w:rPr>
        <w:t xml:space="preserve">, </w:t>
      </w:r>
      <w:r w:rsidR="00D4238A" w:rsidRPr="00BE64C7">
        <w:rPr>
          <w:rFonts w:ascii="Book Antiqua" w:eastAsia="Book Antiqua" w:hAnsi="Book Antiqua" w:cs="Book Antiqua"/>
          <w:color w:val="000000" w:themeColor="text1"/>
        </w:rPr>
        <w:t>Long X</w:t>
      </w:r>
      <w:r w:rsidR="00327A30" w:rsidRPr="00BE64C7">
        <w:rPr>
          <w:rFonts w:ascii="Book Antiqua" w:eastAsia="Book Antiqua" w:hAnsi="Book Antiqua" w:cs="Book Antiqua"/>
          <w:color w:val="000000" w:themeColor="text1"/>
        </w:rPr>
        <w:t>,</w:t>
      </w:r>
      <w:r w:rsidRPr="00BE64C7">
        <w:rPr>
          <w:rFonts w:ascii="Book Antiqua" w:eastAsia="Book Antiqua" w:hAnsi="Book Antiqua" w:cs="Book Antiqua"/>
          <w:color w:val="000000" w:themeColor="text1"/>
        </w:rPr>
        <w:t xml:space="preserve"> and </w:t>
      </w:r>
      <w:r w:rsidR="00D4238A" w:rsidRPr="00BE64C7">
        <w:rPr>
          <w:rFonts w:ascii="Book Antiqua" w:eastAsia="Book Antiqua" w:hAnsi="Book Antiqua" w:cs="Book Antiqua"/>
          <w:color w:val="000000" w:themeColor="text1"/>
        </w:rPr>
        <w:t>Han M</w:t>
      </w:r>
      <w:r w:rsidRPr="00BE64C7">
        <w:rPr>
          <w:rFonts w:ascii="Book Antiqua" w:eastAsia="Book Antiqua" w:hAnsi="Book Antiqua" w:cs="Book Antiqua"/>
          <w:color w:val="000000" w:themeColor="text1"/>
        </w:rPr>
        <w:t xml:space="preserve"> contributed to the development of critical revising of the final draft</w:t>
      </w:r>
      <w:r w:rsidR="00D4238A" w:rsidRPr="00BE64C7">
        <w:rPr>
          <w:rFonts w:ascii="Book Antiqua" w:eastAsia="Book Antiqua" w:hAnsi="Book Antiqua" w:cs="Book Antiqua"/>
          <w:color w:val="000000" w:themeColor="text1"/>
        </w:rPr>
        <w:t>;</w:t>
      </w:r>
      <w:r w:rsidRPr="00BE64C7">
        <w:rPr>
          <w:rFonts w:ascii="Book Antiqua" w:eastAsia="Book Antiqua" w:hAnsi="Book Antiqua" w:cs="Book Antiqua"/>
          <w:color w:val="000000" w:themeColor="text1"/>
        </w:rPr>
        <w:t xml:space="preserve"> </w:t>
      </w:r>
      <w:r w:rsidR="00D4238A" w:rsidRPr="00BE64C7">
        <w:rPr>
          <w:rFonts w:ascii="Book Antiqua" w:eastAsia="Book Antiqua" w:hAnsi="Book Antiqua" w:cs="Book Antiqua"/>
          <w:color w:val="000000" w:themeColor="text1"/>
        </w:rPr>
        <w:t>Xu YQ</w:t>
      </w:r>
      <w:r w:rsidRPr="00BE64C7">
        <w:rPr>
          <w:rFonts w:ascii="Book Antiqua" w:eastAsia="Book Antiqua" w:hAnsi="Book Antiqua" w:cs="Book Antiqua"/>
          <w:color w:val="000000" w:themeColor="text1"/>
        </w:rPr>
        <w:t xml:space="preserve"> and </w:t>
      </w:r>
      <w:r w:rsidR="00C15DE7" w:rsidRPr="00BE64C7">
        <w:rPr>
          <w:rFonts w:ascii="Book Antiqua" w:eastAsia="Book Antiqua" w:hAnsi="Book Antiqua" w:cs="Book Antiqua"/>
          <w:color w:val="000000" w:themeColor="text1"/>
        </w:rPr>
        <w:t>Han W</w:t>
      </w:r>
      <w:r w:rsidRPr="00BE64C7">
        <w:rPr>
          <w:rFonts w:ascii="Book Antiqua" w:eastAsia="Book Antiqua" w:hAnsi="Book Antiqua" w:cs="Book Antiqua"/>
          <w:color w:val="000000" w:themeColor="text1"/>
        </w:rPr>
        <w:t xml:space="preserve"> contributed to the analysis and interpretation of the descriptive and revising the final draft</w:t>
      </w:r>
      <w:r w:rsidR="00D4238A" w:rsidRPr="00BE64C7">
        <w:rPr>
          <w:rFonts w:ascii="Book Antiqua" w:eastAsia="Book Antiqua" w:hAnsi="Book Antiqua" w:cs="Book Antiqua"/>
          <w:color w:val="000000" w:themeColor="text1"/>
        </w:rPr>
        <w:t>;</w:t>
      </w:r>
      <w:r w:rsidRPr="00BE64C7">
        <w:rPr>
          <w:rFonts w:ascii="Book Antiqua" w:eastAsia="Book Antiqua" w:hAnsi="Book Antiqua" w:cs="Book Antiqua"/>
          <w:color w:val="000000" w:themeColor="text1"/>
        </w:rPr>
        <w:t xml:space="preserve"> </w:t>
      </w:r>
      <w:r w:rsidR="00A45C44">
        <w:rPr>
          <w:rFonts w:ascii="Book Antiqua" w:eastAsia="Book Antiqua" w:hAnsi="Book Antiqua" w:cs="Book Antiqua"/>
          <w:color w:val="000000" w:themeColor="text1"/>
        </w:rPr>
        <w:t>A</w:t>
      </w:r>
      <w:r w:rsidRPr="00A45C44">
        <w:rPr>
          <w:rFonts w:ascii="Book Antiqua" w:eastAsia="Book Antiqua" w:hAnsi="Book Antiqua" w:cs="Book Antiqua"/>
          <w:color w:val="000000"/>
        </w:rPr>
        <w:t>ll authors have read and approved the manuscript.</w:t>
      </w:r>
    </w:p>
    <w:p w14:paraId="094BA2CA" w14:textId="77777777" w:rsidR="00A77B3E" w:rsidRPr="00A45C44" w:rsidRDefault="00A77B3E" w:rsidP="00175753">
      <w:pPr>
        <w:spacing w:line="360" w:lineRule="auto"/>
        <w:jc w:val="both"/>
        <w:rPr>
          <w:rFonts w:ascii="Book Antiqua" w:hAnsi="Book Antiqua"/>
        </w:rPr>
      </w:pPr>
    </w:p>
    <w:p w14:paraId="35B0D016"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bCs/>
          <w:color w:val="000000"/>
        </w:rPr>
        <w:t xml:space="preserve">Supported by </w:t>
      </w:r>
      <w:r w:rsidR="005D0FBA" w:rsidRPr="00A45C44">
        <w:rPr>
          <w:rFonts w:ascii="Book Antiqua" w:eastAsia="Book Antiqua" w:hAnsi="Book Antiqua" w:cs="Book Antiqua"/>
          <w:color w:val="000000"/>
        </w:rPr>
        <w:t>The Sanming Project of Medicine in Shenzhen</w:t>
      </w:r>
      <w:r w:rsidR="00991587" w:rsidRPr="00A45C44">
        <w:rPr>
          <w:rFonts w:ascii="Book Antiqua" w:eastAsia="Book Antiqua" w:hAnsi="Book Antiqua" w:cs="Book Antiqua"/>
          <w:color w:val="000000"/>
        </w:rPr>
        <w:t>, No. SZSM201911007</w:t>
      </w:r>
      <w:r w:rsidR="005D0FBA" w:rsidRPr="00A45C44">
        <w:rPr>
          <w:rFonts w:ascii="Book Antiqua" w:eastAsia="Book Antiqua" w:hAnsi="Book Antiqua" w:cs="Book Antiqua"/>
          <w:color w:val="000000"/>
        </w:rPr>
        <w:t>.</w:t>
      </w:r>
    </w:p>
    <w:p w14:paraId="5B2BB861" w14:textId="77777777" w:rsidR="00A77B3E" w:rsidRPr="00A45C44" w:rsidRDefault="00A77B3E" w:rsidP="00175753">
      <w:pPr>
        <w:spacing w:line="360" w:lineRule="auto"/>
        <w:jc w:val="both"/>
        <w:rPr>
          <w:rFonts w:ascii="Book Antiqua" w:hAnsi="Book Antiqua"/>
        </w:rPr>
      </w:pPr>
    </w:p>
    <w:p w14:paraId="374D39A8" w14:textId="77777777" w:rsidR="00A77B3E" w:rsidRPr="00C37A73" w:rsidRDefault="006667D9" w:rsidP="00175753">
      <w:pPr>
        <w:spacing w:line="360" w:lineRule="auto"/>
        <w:jc w:val="both"/>
        <w:rPr>
          <w:rFonts w:ascii="Book Antiqua" w:hAnsi="Book Antiqua"/>
          <w:lang w:eastAsia="zh-CN"/>
        </w:rPr>
      </w:pPr>
      <w:r w:rsidRPr="00A45C44">
        <w:rPr>
          <w:rFonts w:ascii="Book Antiqua" w:eastAsia="Book Antiqua" w:hAnsi="Book Antiqua" w:cs="Book Antiqua"/>
          <w:b/>
          <w:bCs/>
          <w:color w:val="000000"/>
        </w:rPr>
        <w:lastRenderedPageBreak/>
        <w:t>Corresponding author: Wei</w:t>
      </w:r>
      <w:r w:rsidR="00C15DE7" w:rsidRPr="00A45C44">
        <w:rPr>
          <w:rFonts w:ascii="Book Antiqua" w:eastAsia="Book Antiqua" w:hAnsi="Book Antiqua" w:cs="Book Antiqua"/>
          <w:b/>
          <w:bCs/>
          <w:color w:val="000000"/>
        </w:rPr>
        <w:t xml:space="preserve"> Han</w:t>
      </w:r>
      <w:r w:rsidRPr="00A45C44">
        <w:rPr>
          <w:rFonts w:ascii="Book Antiqua" w:eastAsia="Book Antiqua" w:hAnsi="Book Antiqua" w:cs="Book Antiqua"/>
          <w:b/>
          <w:bCs/>
          <w:color w:val="000000"/>
        </w:rPr>
        <w:t>, MD</w:t>
      </w:r>
      <w:r w:rsidR="00682DE0">
        <w:rPr>
          <w:rFonts w:ascii="Book Antiqua" w:eastAsia="Book Antiqua" w:hAnsi="Book Antiqua" w:cs="Book Antiqua"/>
          <w:b/>
          <w:bCs/>
          <w:color w:val="000000"/>
        </w:rPr>
        <w:t xml:space="preserve">, </w:t>
      </w:r>
      <w:r w:rsidR="00682DE0" w:rsidRPr="00682DE0">
        <w:rPr>
          <w:rFonts w:ascii="Book Antiqua" w:eastAsia="Book Antiqua" w:hAnsi="Book Antiqua" w:cs="Book Antiqua"/>
          <w:b/>
          <w:bCs/>
          <w:color w:val="000000"/>
        </w:rPr>
        <w:t>Associate Chief Physician</w:t>
      </w:r>
      <w:r w:rsidRPr="00A45C44">
        <w:rPr>
          <w:rFonts w:ascii="Book Antiqua" w:eastAsia="Book Antiqua" w:hAnsi="Book Antiqua" w:cs="Book Antiqua"/>
          <w:b/>
          <w:bCs/>
          <w:color w:val="000000"/>
        </w:rPr>
        <w:t xml:space="preserve">, </w:t>
      </w:r>
      <w:r w:rsidRPr="00A45C44">
        <w:rPr>
          <w:rFonts w:ascii="Book Antiqua" w:eastAsia="Book Antiqua" w:hAnsi="Book Antiqua" w:cs="Book Antiqua"/>
          <w:color w:val="000000"/>
        </w:rPr>
        <w:t>Department of Emergency Medicine, Shenzhen University General Hospital, Shenzhen University Clinical Medical Academy, No.</w:t>
      </w:r>
      <w:r w:rsidR="005D0FBA"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 xml:space="preserve">1098 Xueyuan Avenue, Shenzhen 518000, </w:t>
      </w:r>
      <w:r w:rsidR="005D0FBA" w:rsidRPr="00A45C44">
        <w:rPr>
          <w:rFonts w:ascii="Book Antiqua" w:eastAsia="Book Antiqua" w:hAnsi="Book Antiqua" w:cs="Book Antiqua"/>
          <w:color w:val="000000"/>
        </w:rPr>
        <w:t xml:space="preserve">Guangdong Province, </w:t>
      </w:r>
      <w:r w:rsidRPr="00A45C44">
        <w:rPr>
          <w:rFonts w:ascii="Book Antiqua" w:eastAsia="Book Antiqua" w:hAnsi="Book Antiqua" w:cs="Book Antiqua"/>
          <w:color w:val="000000"/>
        </w:rPr>
        <w:t xml:space="preserve">China. </w:t>
      </w:r>
      <w:r w:rsidR="00535923" w:rsidRPr="00535923">
        <w:rPr>
          <w:rFonts w:ascii="Book Antiqua" w:eastAsia="Book Antiqua" w:hAnsi="Book Antiqua" w:cs="Book Antiqua"/>
          <w:color w:val="000000"/>
        </w:rPr>
        <w:t>weihan_dem@163.com</w:t>
      </w:r>
      <w:r w:rsidR="00535923">
        <w:rPr>
          <w:rFonts w:ascii="Book Antiqua" w:hAnsi="Book Antiqua" w:cs="Book Antiqua" w:hint="eastAsia"/>
          <w:color w:val="000000"/>
          <w:lang w:eastAsia="zh-CN"/>
        </w:rPr>
        <w:t xml:space="preserve">, </w:t>
      </w:r>
      <w:r w:rsidR="00535923" w:rsidRPr="00535923">
        <w:rPr>
          <w:rFonts w:ascii="Book Antiqua" w:hAnsi="Book Antiqua" w:cs="Book Antiqua"/>
          <w:color w:val="000000"/>
          <w:lang w:eastAsia="zh-CN"/>
        </w:rPr>
        <w:t>sugh_hanwei@szu.edu.cn</w:t>
      </w:r>
    </w:p>
    <w:p w14:paraId="28A9A265" w14:textId="77777777" w:rsidR="00A77B3E" w:rsidRPr="00A45C44" w:rsidRDefault="00A77B3E" w:rsidP="00175753">
      <w:pPr>
        <w:spacing w:line="360" w:lineRule="auto"/>
        <w:jc w:val="both"/>
        <w:rPr>
          <w:rFonts w:ascii="Book Antiqua" w:hAnsi="Book Antiqua"/>
        </w:rPr>
      </w:pPr>
    </w:p>
    <w:p w14:paraId="0EC7D7A8"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bCs/>
          <w:color w:val="000000"/>
        </w:rPr>
        <w:t xml:space="preserve">Received: </w:t>
      </w:r>
      <w:r w:rsidRPr="00A45C44">
        <w:rPr>
          <w:rFonts w:ascii="Book Antiqua" w:eastAsia="Book Antiqua" w:hAnsi="Book Antiqua" w:cs="Book Antiqua"/>
          <w:color w:val="000000"/>
        </w:rPr>
        <w:t>July 15, 2020</w:t>
      </w:r>
    </w:p>
    <w:p w14:paraId="23A90F24"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bCs/>
          <w:color w:val="000000"/>
        </w:rPr>
        <w:t xml:space="preserve">Revised: </w:t>
      </w:r>
      <w:r w:rsidRPr="00A45C44">
        <w:rPr>
          <w:rFonts w:ascii="Book Antiqua" w:eastAsia="Book Antiqua" w:hAnsi="Book Antiqua" w:cs="Book Antiqua"/>
          <w:color w:val="000000"/>
        </w:rPr>
        <w:t>October 17, 2020</w:t>
      </w:r>
    </w:p>
    <w:p w14:paraId="27B69A04"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bCs/>
          <w:color w:val="000000"/>
        </w:rPr>
        <w:t xml:space="preserve">Accepted: </w:t>
      </w:r>
      <w:r w:rsidR="00113683" w:rsidRPr="00A45C44">
        <w:rPr>
          <w:rFonts w:ascii="Book Antiqua" w:eastAsia="Book Antiqua" w:hAnsi="Book Antiqua" w:cs="Book Antiqua"/>
          <w:color w:val="000000"/>
        </w:rPr>
        <w:t>November 9, 2020</w:t>
      </w:r>
    </w:p>
    <w:p w14:paraId="233F5F4D" w14:textId="007CC834" w:rsidR="00A77B3E" w:rsidRPr="00A45C44" w:rsidRDefault="006667D9" w:rsidP="00175753">
      <w:pPr>
        <w:spacing w:line="360" w:lineRule="auto"/>
        <w:jc w:val="both"/>
        <w:rPr>
          <w:rFonts w:ascii="Book Antiqua" w:hAnsi="Book Antiqua"/>
          <w:lang w:eastAsia="zh-CN"/>
        </w:rPr>
      </w:pPr>
      <w:r w:rsidRPr="00A45C44">
        <w:rPr>
          <w:rFonts w:ascii="Book Antiqua" w:eastAsia="Book Antiqua" w:hAnsi="Book Antiqua" w:cs="Book Antiqua"/>
          <w:b/>
          <w:bCs/>
          <w:color w:val="000000"/>
        </w:rPr>
        <w:t xml:space="preserve">Published online: </w:t>
      </w:r>
      <w:r w:rsidR="00B36BB3">
        <w:rPr>
          <w:color w:val="000000" w:themeColor="text1"/>
        </w:rPr>
        <w:t xml:space="preserve">January </w:t>
      </w:r>
      <w:r w:rsidR="00030E88">
        <w:rPr>
          <w:rFonts w:hint="eastAsia"/>
          <w:color w:val="000000" w:themeColor="text1"/>
          <w:lang w:eastAsia="zh-CN"/>
        </w:rPr>
        <w:t>21</w:t>
      </w:r>
      <w:r w:rsidR="00B36BB3">
        <w:rPr>
          <w:color w:val="000000" w:themeColor="text1"/>
        </w:rPr>
        <w:t xml:space="preserve">, </w:t>
      </w:r>
      <w:r w:rsidR="00535923">
        <w:rPr>
          <w:color w:val="000000" w:themeColor="text1"/>
        </w:rPr>
        <w:t>202</w:t>
      </w:r>
      <w:r w:rsidR="00535923">
        <w:rPr>
          <w:rFonts w:hint="eastAsia"/>
          <w:color w:val="000000" w:themeColor="text1"/>
          <w:lang w:eastAsia="zh-CN"/>
        </w:rPr>
        <w:t>1</w:t>
      </w:r>
    </w:p>
    <w:p w14:paraId="5137CA43" w14:textId="77777777" w:rsidR="00A77B3E" w:rsidRPr="00A45C44" w:rsidRDefault="00A77B3E" w:rsidP="00175753">
      <w:pPr>
        <w:spacing w:line="360" w:lineRule="auto"/>
        <w:jc w:val="both"/>
        <w:rPr>
          <w:rFonts w:ascii="Book Antiqua" w:hAnsi="Book Antiqua"/>
        </w:rPr>
        <w:sectPr w:rsidR="00A77B3E" w:rsidRPr="00A45C44" w:rsidSect="004A6995">
          <w:footerReference w:type="default" r:id="rId7"/>
          <w:type w:val="continuous"/>
          <w:pgSz w:w="12240" w:h="15840"/>
          <w:pgMar w:top="1440" w:right="1440" w:bottom="1440" w:left="1440" w:header="720" w:footer="720" w:gutter="0"/>
          <w:cols w:space="720"/>
          <w:docGrid w:linePitch="360"/>
        </w:sectPr>
      </w:pPr>
    </w:p>
    <w:p w14:paraId="64575C81" w14:textId="77777777" w:rsidR="00327A30" w:rsidRPr="00A45C44" w:rsidRDefault="00327A30" w:rsidP="00682DE0">
      <w:pPr>
        <w:jc w:val="both"/>
        <w:rPr>
          <w:rFonts w:ascii="Book Antiqua" w:eastAsia="Book Antiqua" w:hAnsi="Book Antiqua" w:cs="Book Antiqua"/>
          <w:b/>
          <w:color w:val="000000"/>
        </w:rPr>
      </w:pPr>
      <w:r w:rsidRPr="00A45C44">
        <w:rPr>
          <w:rFonts w:ascii="Book Antiqua" w:eastAsia="Book Antiqua" w:hAnsi="Book Antiqua" w:cs="Book Antiqua"/>
          <w:b/>
          <w:color w:val="000000"/>
        </w:rPr>
        <w:br w:type="page"/>
      </w:r>
    </w:p>
    <w:p w14:paraId="0684BDD9" w14:textId="77777777" w:rsidR="00A77B3E" w:rsidRPr="00A45C44" w:rsidRDefault="006667D9" w:rsidP="00A45C44">
      <w:pPr>
        <w:spacing w:line="360" w:lineRule="auto"/>
        <w:jc w:val="both"/>
        <w:rPr>
          <w:rFonts w:ascii="Book Antiqua" w:hAnsi="Book Antiqua"/>
        </w:rPr>
      </w:pPr>
      <w:r w:rsidRPr="00A45C44">
        <w:rPr>
          <w:rFonts w:ascii="Book Antiqua" w:eastAsia="Book Antiqua" w:hAnsi="Book Antiqua" w:cs="Book Antiqua"/>
          <w:b/>
          <w:color w:val="000000"/>
        </w:rPr>
        <w:t>Abstract</w:t>
      </w:r>
    </w:p>
    <w:p w14:paraId="2D73E069" w14:textId="77777777" w:rsidR="00A77B3E" w:rsidRPr="00A45C44" w:rsidRDefault="006667D9" w:rsidP="00A45C44">
      <w:pPr>
        <w:spacing w:line="360" w:lineRule="auto"/>
        <w:jc w:val="both"/>
        <w:rPr>
          <w:rFonts w:ascii="Book Antiqua" w:hAnsi="Book Antiqua"/>
        </w:rPr>
      </w:pPr>
      <w:r w:rsidRPr="00A45C44">
        <w:rPr>
          <w:rFonts w:ascii="Book Antiqua" w:eastAsia="Book Antiqua" w:hAnsi="Book Antiqua" w:cs="Book Antiqua"/>
          <w:color w:val="000000"/>
        </w:rPr>
        <w:t>BACKGROUND</w:t>
      </w:r>
    </w:p>
    <w:p w14:paraId="5174E6EC" w14:textId="77777777" w:rsidR="00A77B3E" w:rsidRPr="00A45C44" w:rsidRDefault="006667D9" w:rsidP="000A52F5">
      <w:pPr>
        <w:spacing w:line="360" w:lineRule="auto"/>
        <w:jc w:val="both"/>
        <w:rPr>
          <w:rFonts w:ascii="Book Antiqua" w:hAnsi="Book Antiqua"/>
        </w:rPr>
      </w:pPr>
      <w:r w:rsidRPr="00A45C44">
        <w:rPr>
          <w:rFonts w:ascii="Book Antiqua" w:eastAsia="Book Antiqua" w:hAnsi="Book Antiqua" w:cs="Book Antiqua"/>
          <w:color w:val="000000"/>
        </w:rPr>
        <w:t>Lung cancer is a major cause of death among patients, and non-small cell lung cancer (NSCLC) accounts for more than 80% of all lung cancers in many countries.</w:t>
      </w:r>
    </w:p>
    <w:p w14:paraId="0CCBD037" w14:textId="77777777" w:rsidR="00A77B3E" w:rsidRPr="00A45C44" w:rsidRDefault="00A77B3E" w:rsidP="00175753">
      <w:pPr>
        <w:spacing w:line="360" w:lineRule="auto"/>
        <w:jc w:val="both"/>
        <w:rPr>
          <w:rFonts w:ascii="Book Antiqua" w:hAnsi="Book Antiqua"/>
        </w:rPr>
      </w:pPr>
    </w:p>
    <w:p w14:paraId="01FF97B7"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AIM</w:t>
      </w:r>
    </w:p>
    <w:p w14:paraId="456BF0C4"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To evaluate the clinical benefit</w:t>
      </w:r>
      <w:r w:rsidR="00231A58" w:rsidRPr="00A45C44">
        <w:rPr>
          <w:rFonts w:ascii="Book Antiqua" w:eastAsia="Book Antiqua" w:hAnsi="Book Antiqua" w:cs="Book Antiqua"/>
          <w:color w:val="000000"/>
        </w:rPr>
        <w:t xml:space="preserve"> (CB)</w:t>
      </w:r>
      <w:r w:rsidRPr="00A45C44">
        <w:rPr>
          <w:rFonts w:ascii="Book Antiqua" w:eastAsia="Book Antiqua" w:hAnsi="Book Antiqua" w:cs="Book Antiqua"/>
          <w:color w:val="000000"/>
        </w:rPr>
        <w:t xml:space="preserve"> of COX-2 inhibitors in patients with advanced NSCLC using systematic review.</w:t>
      </w:r>
    </w:p>
    <w:p w14:paraId="59006C44" w14:textId="77777777" w:rsidR="00A77B3E" w:rsidRPr="00A45C44" w:rsidRDefault="00A77B3E" w:rsidP="00175753">
      <w:pPr>
        <w:spacing w:line="360" w:lineRule="auto"/>
        <w:jc w:val="both"/>
        <w:rPr>
          <w:rFonts w:ascii="Book Antiqua" w:hAnsi="Book Antiqua"/>
        </w:rPr>
      </w:pPr>
    </w:p>
    <w:p w14:paraId="00464E1D"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METHODS</w:t>
      </w:r>
    </w:p>
    <w:p w14:paraId="242F671C"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We searched the six electronic databases up until December 9, 2019 for studies that examined the efficacy and safety of the addition of COX-2 inhibitors to chemotherapy for NSCLC. Overall survival</w:t>
      </w:r>
      <w:r w:rsidR="00B81E4B" w:rsidRPr="00A45C44">
        <w:rPr>
          <w:rFonts w:ascii="Book Antiqua" w:eastAsia="Book Antiqua" w:hAnsi="Book Antiqua" w:cs="Book Antiqua"/>
          <w:color w:val="000000"/>
        </w:rPr>
        <w:t xml:space="preserve"> (OS)</w:t>
      </w:r>
      <w:r w:rsidRPr="00A45C44">
        <w:rPr>
          <w:rFonts w:ascii="Book Antiqua" w:eastAsia="Book Antiqua" w:hAnsi="Book Antiqua" w:cs="Book Antiqua"/>
          <w:color w:val="000000"/>
        </w:rPr>
        <w:t>, progression</w:t>
      </w:r>
      <w:r w:rsidR="00B26189"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free survival</w:t>
      </w:r>
      <w:r w:rsidR="00B81E4B" w:rsidRPr="00A45C44">
        <w:rPr>
          <w:rFonts w:ascii="Book Antiqua" w:eastAsia="Book Antiqua" w:hAnsi="Book Antiqua" w:cs="Book Antiqua"/>
          <w:color w:val="000000"/>
        </w:rPr>
        <w:t xml:space="preserve"> (PFS)</w:t>
      </w:r>
      <w:r w:rsidRPr="00A45C44">
        <w:rPr>
          <w:rFonts w:ascii="Book Antiqua" w:eastAsia="Book Antiqua" w:hAnsi="Book Antiqua" w:cs="Book Antiqua"/>
          <w:color w:val="000000"/>
        </w:rPr>
        <w:t>, 1-year survival rate</w:t>
      </w:r>
      <w:r w:rsidR="00B81E4B" w:rsidRPr="00A45C44">
        <w:rPr>
          <w:rFonts w:ascii="Book Antiqua" w:eastAsia="Book Antiqua" w:hAnsi="Book Antiqua" w:cs="Book Antiqua"/>
          <w:color w:val="000000"/>
        </w:rPr>
        <w:t xml:space="preserve"> (SR)</w:t>
      </w:r>
      <w:r w:rsidRPr="00A45C44">
        <w:rPr>
          <w:rFonts w:ascii="Book Antiqua" w:eastAsia="Book Antiqua" w:hAnsi="Book Antiqua" w:cs="Book Antiqua"/>
          <w:color w:val="000000"/>
        </w:rPr>
        <w:t>, overall response rate</w:t>
      </w:r>
      <w:r w:rsidR="00231A58" w:rsidRPr="00A45C44">
        <w:rPr>
          <w:rFonts w:ascii="Book Antiqua" w:eastAsia="Book Antiqua" w:hAnsi="Book Antiqua" w:cs="Book Antiqua"/>
          <w:color w:val="000000"/>
        </w:rPr>
        <w:t xml:space="preserve"> (ORR)</w:t>
      </w:r>
      <w:r w:rsidRPr="00A45C44">
        <w:rPr>
          <w:rFonts w:ascii="Book Antiqua" w:eastAsia="Book Antiqua" w:hAnsi="Book Antiqua" w:cs="Book Antiqua"/>
          <w:color w:val="000000"/>
        </w:rPr>
        <w:t xml:space="preserve">, </w:t>
      </w:r>
      <w:r w:rsidR="00231A58" w:rsidRPr="00A45C44">
        <w:rPr>
          <w:rFonts w:ascii="Book Antiqua" w:eastAsia="Book Antiqua" w:hAnsi="Book Antiqua" w:cs="Book Antiqua"/>
          <w:color w:val="000000"/>
        </w:rPr>
        <w:t>CB</w:t>
      </w:r>
      <w:r w:rsidRPr="00A45C44">
        <w:rPr>
          <w:rFonts w:ascii="Book Antiqua" w:eastAsia="Book Antiqua" w:hAnsi="Book Antiqua" w:cs="Book Antiqua"/>
          <w:color w:val="000000"/>
        </w:rPr>
        <w:t>, complete response</w:t>
      </w:r>
      <w:r w:rsidR="00231A58" w:rsidRPr="00A45C44">
        <w:rPr>
          <w:rFonts w:ascii="Book Antiqua" w:eastAsia="Book Antiqua" w:hAnsi="Book Antiqua" w:cs="Book Antiqua"/>
          <w:color w:val="000000"/>
        </w:rPr>
        <w:t xml:space="preserve"> (CR)</w:t>
      </w:r>
      <w:r w:rsidRPr="00A45C44">
        <w:rPr>
          <w:rFonts w:ascii="Book Antiqua" w:eastAsia="Book Antiqua" w:hAnsi="Book Antiqua" w:cs="Book Antiqua"/>
          <w:color w:val="000000"/>
        </w:rPr>
        <w:t>, partial response</w:t>
      </w:r>
      <w:r w:rsidR="00231A58" w:rsidRPr="00A45C44">
        <w:rPr>
          <w:rFonts w:ascii="Book Antiqua" w:eastAsia="Book Antiqua" w:hAnsi="Book Antiqua" w:cs="Book Antiqua"/>
          <w:color w:val="000000"/>
        </w:rPr>
        <w:t xml:space="preserve"> (PR)</w:t>
      </w:r>
      <w:r w:rsidRPr="00A45C44">
        <w:rPr>
          <w:rFonts w:ascii="Book Antiqua" w:eastAsia="Book Antiqua" w:hAnsi="Book Antiqua" w:cs="Book Antiqua"/>
          <w:color w:val="000000"/>
        </w:rPr>
        <w:t>, stable disease</w:t>
      </w:r>
      <w:r w:rsidR="00231A58" w:rsidRPr="00A45C44">
        <w:rPr>
          <w:rFonts w:ascii="Book Antiqua" w:eastAsia="Book Antiqua" w:hAnsi="Book Antiqua" w:cs="Book Antiqua"/>
          <w:color w:val="000000"/>
        </w:rPr>
        <w:t xml:space="preserve"> (SD)</w:t>
      </w:r>
      <w:r w:rsidRPr="00A45C44">
        <w:rPr>
          <w:rFonts w:ascii="Book Antiqua" w:eastAsia="Book Antiqua" w:hAnsi="Book Antiqua" w:cs="Book Antiqua"/>
          <w:color w:val="000000"/>
        </w:rPr>
        <w:t>, and toxicities were measured with more than one outcome as their endpoints. Fixed and random effects models were used to calculate risk estimates in a meta-analysis. Potential publication bias was calculated using Egger’s linear regression test. Data analysis was performed using R software.</w:t>
      </w:r>
    </w:p>
    <w:p w14:paraId="499355F8" w14:textId="77777777" w:rsidR="00A77B3E" w:rsidRPr="00A45C44" w:rsidRDefault="00A77B3E" w:rsidP="00175753">
      <w:pPr>
        <w:spacing w:line="360" w:lineRule="auto"/>
        <w:jc w:val="both"/>
        <w:rPr>
          <w:rFonts w:ascii="Book Antiqua" w:hAnsi="Book Antiqua"/>
        </w:rPr>
      </w:pPr>
    </w:p>
    <w:p w14:paraId="3455E72F"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RESULTS</w:t>
      </w:r>
    </w:p>
    <w:p w14:paraId="5E92B29D"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The COX-2 inhibitors combined with chemotherapy were not found to be more effective than chemotherapy alone in </w:t>
      </w:r>
      <w:r w:rsidR="00B81E4B" w:rsidRPr="00A45C44">
        <w:rPr>
          <w:rFonts w:ascii="Book Antiqua" w:eastAsia="Book Antiqua" w:hAnsi="Book Antiqua" w:cs="Book Antiqua"/>
          <w:color w:val="000000"/>
        </w:rPr>
        <w:t>OS</w:t>
      </w:r>
      <w:r w:rsidRPr="00A45C44">
        <w:rPr>
          <w:rFonts w:ascii="Book Antiqua" w:eastAsia="Book Antiqua" w:hAnsi="Book Antiqua" w:cs="Book Antiqua"/>
          <w:color w:val="000000"/>
        </w:rPr>
        <w:t xml:space="preserve">, </w:t>
      </w:r>
      <w:r w:rsidR="00E651DA" w:rsidRPr="00A45C44">
        <w:rPr>
          <w:rFonts w:ascii="Book Antiqua" w:eastAsia="Book Antiqua" w:hAnsi="Book Antiqua" w:cs="Book Antiqua"/>
          <w:color w:val="000000"/>
        </w:rPr>
        <w:t>progression</w:t>
      </w:r>
      <w:r w:rsidR="00B26189" w:rsidRPr="00A45C44">
        <w:rPr>
          <w:rFonts w:ascii="Book Antiqua" w:eastAsia="Book Antiqua" w:hAnsi="Book Antiqua" w:cs="Book Antiqua"/>
          <w:color w:val="000000"/>
        </w:rPr>
        <w:t xml:space="preserve"> </w:t>
      </w:r>
      <w:r w:rsidR="00E651DA" w:rsidRPr="00A45C44">
        <w:rPr>
          <w:rFonts w:ascii="Book Antiqua" w:eastAsia="Book Antiqua" w:hAnsi="Book Antiqua" w:cs="Book Antiqua"/>
          <w:color w:val="000000"/>
        </w:rPr>
        <w:t>free survival</w:t>
      </w:r>
      <w:r w:rsidRPr="00A45C44">
        <w:rPr>
          <w:rFonts w:ascii="Book Antiqua" w:eastAsia="Book Antiqua" w:hAnsi="Book Antiqua" w:cs="Book Antiqua"/>
          <w:color w:val="000000"/>
        </w:rPr>
        <w:t xml:space="preserve">, 1-year </w:t>
      </w:r>
      <w:r w:rsidR="00B81E4B" w:rsidRPr="00A45C44">
        <w:rPr>
          <w:rFonts w:ascii="Book Antiqua" w:eastAsia="Book Antiqua" w:hAnsi="Book Antiqua" w:cs="Book Antiqua"/>
          <w:color w:val="000000"/>
        </w:rPr>
        <w:t>SR</w:t>
      </w:r>
      <w:r w:rsidRPr="00A45C44">
        <w:rPr>
          <w:rFonts w:ascii="Book Antiqua" w:eastAsia="Book Antiqua" w:hAnsi="Book Antiqua" w:cs="Book Antiqua"/>
          <w:color w:val="000000"/>
        </w:rPr>
        <w:t xml:space="preserve">, </w:t>
      </w:r>
      <w:r w:rsidR="00231A58" w:rsidRPr="00A45C44">
        <w:rPr>
          <w:rFonts w:ascii="Book Antiqua" w:eastAsia="Book Antiqua" w:hAnsi="Book Antiqua" w:cs="Book Antiqua"/>
          <w:color w:val="000000"/>
        </w:rPr>
        <w:t>CB</w:t>
      </w:r>
      <w:r w:rsidRPr="00A45C44">
        <w:rPr>
          <w:rFonts w:ascii="Book Antiqua" w:eastAsia="Book Antiqua" w:hAnsi="Book Antiqua" w:cs="Book Antiqua"/>
          <w:color w:val="000000"/>
        </w:rPr>
        <w:t xml:space="preserve">, </w:t>
      </w:r>
      <w:r w:rsidR="00231A58" w:rsidRPr="00A45C44">
        <w:rPr>
          <w:rFonts w:ascii="Book Antiqua" w:eastAsia="Book Antiqua" w:hAnsi="Book Antiqua" w:cs="Book Antiqua"/>
          <w:color w:val="000000"/>
        </w:rPr>
        <w:t>CR</w:t>
      </w:r>
      <w:r w:rsidRPr="00A45C44">
        <w:rPr>
          <w:rFonts w:ascii="Book Antiqua" w:eastAsia="Book Antiqua" w:hAnsi="Book Antiqua" w:cs="Book Antiqua"/>
          <w:color w:val="000000"/>
        </w:rPr>
        <w:t xml:space="preserve">, and </w:t>
      </w:r>
      <w:r w:rsidR="00231A58" w:rsidRPr="00A45C44">
        <w:rPr>
          <w:rFonts w:ascii="Book Antiqua" w:eastAsia="Book Antiqua" w:hAnsi="Book Antiqua" w:cs="Book Antiqua"/>
          <w:color w:val="000000"/>
        </w:rPr>
        <w:t>SD</w:t>
      </w:r>
      <w:r w:rsidRPr="00A45C44">
        <w:rPr>
          <w:rFonts w:ascii="Book Antiqua" w:eastAsia="Book Antiqua" w:hAnsi="Book Antiqua" w:cs="Book Antiqua"/>
          <w:color w:val="000000"/>
        </w:rPr>
        <w:t xml:space="preserve">. However, there was a difference in </w:t>
      </w:r>
      <w:r w:rsidR="000276BC" w:rsidRPr="00A45C44">
        <w:rPr>
          <w:rFonts w:ascii="Book Antiqua" w:eastAsia="Book Antiqua" w:hAnsi="Book Antiqua" w:cs="Book Antiqua"/>
          <w:color w:val="000000"/>
        </w:rPr>
        <w:t>overall response rate</w:t>
      </w:r>
      <w:r w:rsidRPr="00A45C44">
        <w:rPr>
          <w:rFonts w:ascii="Book Antiqua" w:eastAsia="Book Antiqua" w:hAnsi="Book Antiqua" w:cs="Book Antiqua"/>
          <w:color w:val="000000"/>
        </w:rPr>
        <w:t xml:space="preserve"> for patients with advanced NSCLC. In a subgroup analysis, significantly increased </w:t>
      </w:r>
      <w:r w:rsidR="00231A58" w:rsidRPr="00A45C44">
        <w:rPr>
          <w:rFonts w:ascii="Book Antiqua" w:eastAsia="Book Antiqua" w:hAnsi="Book Antiqua" w:cs="Book Antiqua"/>
          <w:color w:val="000000"/>
        </w:rPr>
        <w:t>ORR</w:t>
      </w:r>
      <w:r w:rsidRPr="00A45C44">
        <w:rPr>
          <w:rFonts w:ascii="Book Antiqua" w:eastAsia="Book Antiqua" w:hAnsi="Book Antiqua" w:cs="Book Antiqua"/>
          <w:color w:val="000000"/>
        </w:rPr>
        <w:t xml:space="preserve"> results were found for celecoxib, rofecoxib, first-line treatment</w:t>
      </w:r>
      <w:r w:rsidR="00907F5E"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w:t>
      </w:r>
      <w:r w:rsidR="00231A58" w:rsidRPr="00A45C44">
        <w:rPr>
          <w:rFonts w:ascii="Book Antiqua" w:eastAsia="Book Antiqua" w:hAnsi="Book Antiqua" w:cs="Book Antiqua"/>
          <w:color w:val="000000"/>
        </w:rPr>
        <w:t>PR</w:t>
      </w:r>
      <w:r w:rsidRPr="00A45C44">
        <w:rPr>
          <w:rFonts w:ascii="Book Antiqua" w:eastAsia="Book Antiqua" w:hAnsi="Book Antiqua" w:cs="Book Antiqua"/>
          <w:color w:val="000000"/>
        </w:rPr>
        <w:t>. For adverse events, the increase in COX-2 inhibitor was positively correlated with the increase in grade 3 and 4 toxicity of leukopenia, thrombocytopenia</w:t>
      </w:r>
      <w:r w:rsidR="0075406C"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cardiovascular events.</w:t>
      </w:r>
    </w:p>
    <w:p w14:paraId="3CDB283F" w14:textId="77777777" w:rsidR="00A77B3E" w:rsidRPr="00A45C44" w:rsidRDefault="00A77B3E" w:rsidP="00175753">
      <w:pPr>
        <w:spacing w:line="360" w:lineRule="auto"/>
        <w:jc w:val="both"/>
        <w:rPr>
          <w:rFonts w:ascii="Book Antiqua" w:hAnsi="Book Antiqua"/>
        </w:rPr>
      </w:pPr>
    </w:p>
    <w:p w14:paraId="3EA3D25A"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CONCLUSION</w:t>
      </w:r>
    </w:p>
    <w:p w14:paraId="2DC99BE4"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COX-2 inhibitor combined with chemotherapy increased </w:t>
      </w:r>
      <w:r w:rsidR="0075406C" w:rsidRPr="00A45C44">
        <w:rPr>
          <w:rFonts w:ascii="Book Antiqua" w:eastAsia="Book Antiqua" w:hAnsi="Book Antiqua" w:cs="Book Antiqua"/>
          <w:color w:val="000000"/>
        </w:rPr>
        <w:t xml:space="preserve">the </w:t>
      </w:r>
      <w:r w:rsidRPr="00A45C44">
        <w:rPr>
          <w:rFonts w:ascii="Book Antiqua" w:eastAsia="Book Antiqua" w:hAnsi="Book Antiqua" w:cs="Book Antiqua"/>
          <w:color w:val="000000"/>
        </w:rPr>
        <w:t>total effective rate of advanced NSCLC with the possible increased risk of blood toxicity and cardiovascular events and had no effect on survival index.</w:t>
      </w:r>
    </w:p>
    <w:p w14:paraId="2A6E4176" w14:textId="77777777" w:rsidR="00A77B3E" w:rsidRPr="00A45C44" w:rsidRDefault="00A77B3E" w:rsidP="00175753">
      <w:pPr>
        <w:spacing w:line="360" w:lineRule="auto"/>
        <w:jc w:val="both"/>
        <w:rPr>
          <w:rFonts w:ascii="Book Antiqua" w:hAnsi="Book Antiqua"/>
        </w:rPr>
      </w:pPr>
    </w:p>
    <w:p w14:paraId="62D21838"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bCs/>
          <w:color w:val="000000"/>
        </w:rPr>
        <w:t xml:space="preserve">Key Words: </w:t>
      </w:r>
      <w:r w:rsidRPr="00A45C44">
        <w:rPr>
          <w:rFonts w:ascii="Book Antiqua" w:eastAsia="Book Antiqua" w:hAnsi="Book Antiqua" w:cs="Book Antiqua"/>
          <w:color w:val="000000"/>
        </w:rPr>
        <w:t>Non-small cell lung cancer; COX-2; Survival; Progression</w:t>
      </w:r>
      <w:r w:rsidR="00B26189"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free survival; Systematic review; Randomized controlled trials</w:t>
      </w:r>
    </w:p>
    <w:p w14:paraId="74A3C41F" w14:textId="77777777" w:rsidR="00344C3D" w:rsidRDefault="00344C3D" w:rsidP="00344C3D">
      <w:pPr>
        <w:adjustRightInd w:val="0"/>
        <w:snapToGrid w:val="0"/>
        <w:spacing w:line="360" w:lineRule="auto"/>
        <w:rPr>
          <w:rFonts w:ascii="Book Antiqua" w:hAnsi="Book Antiqua"/>
        </w:rPr>
      </w:pPr>
    </w:p>
    <w:p w14:paraId="49A7BEA4" w14:textId="77777777" w:rsidR="00344C3D" w:rsidRPr="00026CB8" w:rsidRDefault="00344C3D" w:rsidP="00344C3D">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30F7F9B5" w14:textId="77777777" w:rsidR="00A77B3E" w:rsidRPr="00A45C44" w:rsidRDefault="00A77B3E" w:rsidP="00175753">
      <w:pPr>
        <w:spacing w:line="360" w:lineRule="auto"/>
        <w:jc w:val="both"/>
        <w:rPr>
          <w:rFonts w:ascii="Book Antiqua" w:hAnsi="Book Antiqua" w:hint="eastAsia"/>
          <w:lang w:eastAsia="zh-CN"/>
        </w:rPr>
      </w:pPr>
    </w:p>
    <w:p w14:paraId="5BFF2709" w14:textId="77777777" w:rsidR="009411AA" w:rsidRDefault="00A23000" w:rsidP="000405F2">
      <w:pPr>
        <w:adjustRightInd w:val="0"/>
        <w:snapToGrid w:val="0"/>
        <w:spacing w:line="360" w:lineRule="auto"/>
        <w:rPr>
          <w:rFonts w:ascii="Book Antiqua" w:hAnsi="Book Antiqua" w:cs="Book Antiqua" w:hint="eastAsia"/>
          <w:lang w:eastAsia="zh-CN"/>
        </w:rPr>
      </w:pPr>
      <w:r w:rsidRPr="00A23000">
        <w:rPr>
          <w:rFonts w:ascii="Book Antiqua" w:hAnsi="Book Antiqua" w:cs="Book Antiqua" w:hint="eastAsia"/>
          <w:b/>
          <w:color w:val="000000"/>
          <w:lang w:eastAsia="zh-CN"/>
        </w:rPr>
        <w:t xml:space="preserve">Citation: </w:t>
      </w:r>
      <w:r w:rsidR="006667D9" w:rsidRPr="00A45C44">
        <w:rPr>
          <w:rFonts w:ascii="Book Antiqua" w:eastAsia="Book Antiqua" w:hAnsi="Book Antiqua" w:cs="Book Antiqua"/>
          <w:color w:val="000000"/>
        </w:rPr>
        <w:t>Xu YQ, Long X, Han M, Huang MQ, Lu JF, Sun XD, H</w:t>
      </w:r>
      <w:r w:rsidR="00C15DE7" w:rsidRPr="00A45C44">
        <w:rPr>
          <w:rFonts w:ascii="Book Antiqua" w:eastAsia="Book Antiqua" w:hAnsi="Book Antiqua" w:cs="Book Antiqua"/>
          <w:color w:val="000000"/>
        </w:rPr>
        <w:t>an W</w:t>
      </w:r>
      <w:r w:rsidR="006667D9" w:rsidRPr="00A45C44">
        <w:rPr>
          <w:rFonts w:ascii="Book Antiqua" w:eastAsia="Book Antiqua" w:hAnsi="Book Antiqua" w:cs="Book Antiqua"/>
          <w:color w:val="000000"/>
        </w:rPr>
        <w:t xml:space="preserve">. </w:t>
      </w:r>
      <w:r w:rsidR="00A01793" w:rsidRPr="00A45C44">
        <w:rPr>
          <w:rFonts w:ascii="Book Antiqua" w:eastAsia="Book Antiqua" w:hAnsi="Book Antiqua" w:cs="Book Antiqua"/>
          <w:color w:val="000000"/>
        </w:rPr>
        <w:t>Clinical benefit of COX-2 inhibitors in the adjuvant chemotherapy of advanced non-small cell lung cancer: A systematic review and meta-analysis</w:t>
      </w:r>
      <w:r w:rsidR="006667D9" w:rsidRPr="00A45C44">
        <w:rPr>
          <w:rFonts w:ascii="Book Antiqua" w:eastAsia="Book Antiqua" w:hAnsi="Book Antiqua" w:cs="Book Antiqua"/>
          <w:color w:val="000000"/>
        </w:rPr>
        <w:t xml:space="preserve">. </w:t>
      </w:r>
      <w:r w:rsidR="006667D9" w:rsidRPr="00A45C44">
        <w:rPr>
          <w:rFonts w:ascii="Book Antiqua" w:eastAsia="Book Antiqua" w:hAnsi="Book Antiqua" w:cs="Book Antiqua"/>
          <w:i/>
          <w:iCs/>
          <w:color w:val="000000"/>
        </w:rPr>
        <w:t>World J Clin Cases</w:t>
      </w:r>
      <w:r w:rsidR="006667D9" w:rsidRPr="00A45C44">
        <w:rPr>
          <w:rFonts w:ascii="Book Antiqua" w:eastAsia="Book Antiqua" w:hAnsi="Book Antiqua" w:cs="Book Antiqua"/>
          <w:color w:val="000000"/>
        </w:rPr>
        <w:t xml:space="preserve"> </w:t>
      </w:r>
      <w:bookmarkStart w:id="1" w:name="_Hlk56867303"/>
      <w:r w:rsidR="000405F2" w:rsidRPr="000405F2">
        <w:rPr>
          <w:rFonts w:ascii="Book Antiqua" w:eastAsia="Book Antiqua" w:hAnsi="Book Antiqua" w:cs="Book Antiqua"/>
        </w:rPr>
        <w:t>2020; 9(</w:t>
      </w:r>
      <w:r w:rsidR="00963D73">
        <w:rPr>
          <w:rFonts w:ascii="Book Antiqua" w:hAnsi="Book Antiqua" w:cs="Book Antiqua" w:hint="eastAsia"/>
          <w:lang w:eastAsia="zh-CN"/>
        </w:rPr>
        <w:t>3</w:t>
      </w:r>
      <w:r w:rsidR="000405F2" w:rsidRPr="000405F2">
        <w:rPr>
          <w:rFonts w:ascii="Book Antiqua" w:eastAsia="Book Antiqua" w:hAnsi="Book Antiqua" w:cs="Book Antiqua"/>
        </w:rPr>
        <w:t xml:space="preserve">): </w:t>
      </w:r>
      <w:r w:rsidR="00A55EAB" w:rsidRPr="00A55EAB">
        <w:rPr>
          <w:rFonts w:ascii="Book Antiqua" w:eastAsia="Book Antiqua" w:hAnsi="Book Antiqua" w:cs="Book Antiqua"/>
        </w:rPr>
        <w:t>581-601</w:t>
      </w:r>
      <w:r w:rsidR="000405F2" w:rsidRPr="000405F2">
        <w:rPr>
          <w:rFonts w:ascii="Book Antiqua" w:eastAsia="Book Antiqua" w:hAnsi="Book Antiqua" w:cs="Book Antiqua"/>
        </w:rPr>
        <w:t xml:space="preserve">  </w:t>
      </w:r>
    </w:p>
    <w:p w14:paraId="2EB308D7" w14:textId="668966F3" w:rsidR="00A23000" w:rsidRDefault="000405F2" w:rsidP="000405F2">
      <w:pPr>
        <w:adjustRightInd w:val="0"/>
        <w:snapToGrid w:val="0"/>
        <w:spacing w:line="360" w:lineRule="auto"/>
        <w:rPr>
          <w:rFonts w:ascii="Book Antiqua" w:hAnsi="Book Antiqua" w:cs="Book Antiqua" w:hint="eastAsia"/>
          <w:lang w:eastAsia="zh-CN"/>
        </w:rPr>
      </w:pPr>
      <w:r w:rsidRPr="0000424C">
        <w:rPr>
          <w:rFonts w:ascii="Book Antiqua" w:eastAsia="Book Antiqua" w:hAnsi="Book Antiqua" w:cs="Book Antiqua"/>
          <w:b/>
        </w:rPr>
        <w:t>URL:</w:t>
      </w:r>
      <w:r w:rsidRPr="000405F2">
        <w:rPr>
          <w:rFonts w:ascii="Book Antiqua" w:eastAsia="Book Antiqua" w:hAnsi="Book Antiqua" w:cs="Book Antiqua"/>
        </w:rPr>
        <w:t xml:space="preserve"> https://www.wjgnet.com/2307-8960/full/v9/i</w:t>
      </w:r>
      <w:r w:rsidR="00A23000">
        <w:rPr>
          <w:rFonts w:ascii="Book Antiqua" w:hAnsi="Book Antiqua" w:cs="Book Antiqua" w:hint="eastAsia"/>
          <w:lang w:eastAsia="zh-CN"/>
        </w:rPr>
        <w:t>3</w:t>
      </w:r>
      <w:r w:rsidRPr="000405F2">
        <w:rPr>
          <w:rFonts w:ascii="Book Antiqua" w:eastAsia="Book Antiqua" w:hAnsi="Book Antiqua" w:cs="Book Antiqua"/>
        </w:rPr>
        <w:t>/</w:t>
      </w:r>
      <w:r w:rsidR="00A55EAB">
        <w:rPr>
          <w:rFonts w:ascii="Book Antiqua" w:hAnsi="Book Antiqua" w:cs="Book Antiqua" w:hint="eastAsia"/>
          <w:lang w:eastAsia="zh-CN"/>
        </w:rPr>
        <w:t>581</w:t>
      </w:r>
      <w:r w:rsidRPr="000405F2">
        <w:rPr>
          <w:rFonts w:ascii="Book Antiqua" w:eastAsia="Book Antiqua" w:hAnsi="Book Antiqua" w:cs="Book Antiqua"/>
        </w:rPr>
        <w:t xml:space="preserve">.htm  </w:t>
      </w:r>
    </w:p>
    <w:p w14:paraId="343354AB" w14:textId="2A4398D0" w:rsidR="00A77B3E" w:rsidRPr="00A23000" w:rsidRDefault="000405F2" w:rsidP="000405F2">
      <w:pPr>
        <w:adjustRightInd w:val="0"/>
        <w:snapToGrid w:val="0"/>
        <w:spacing w:line="360" w:lineRule="auto"/>
        <w:rPr>
          <w:rFonts w:ascii="Book Antiqua" w:hAnsi="Book Antiqua" w:cs="Book Antiqua" w:hint="eastAsia"/>
          <w:lang w:eastAsia="zh-CN"/>
        </w:rPr>
      </w:pPr>
      <w:r w:rsidRPr="0000424C">
        <w:rPr>
          <w:rFonts w:ascii="Book Antiqua" w:eastAsia="Book Antiqua" w:hAnsi="Book Antiqua" w:cs="Book Antiqua"/>
          <w:b/>
        </w:rPr>
        <w:t>DOI:</w:t>
      </w:r>
      <w:r w:rsidRPr="000405F2">
        <w:rPr>
          <w:rFonts w:ascii="Book Antiqua" w:eastAsia="Book Antiqua" w:hAnsi="Book Antiqua" w:cs="Book Antiqua"/>
        </w:rPr>
        <w:t xml:space="preserve"> https://dx.doi.org/10.12998/wjcc.v9.i</w:t>
      </w:r>
      <w:r w:rsidR="00A23000">
        <w:rPr>
          <w:rFonts w:ascii="Book Antiqua" w:hAnsi="Book Antiqua" w:cs="Book Antiqua" w:hint="eastAsia"/>
          <w:lang w:eastAsia="zh-CN"/>
        </w:rPr>
        <w:t>3</w:t>
      </w:r>
      <w:r w:rsidRPr="000405F2">
        <w:rPr>
          <w:rFonts w:ascii="Book Antiqua" w:eastAsia="Book Antiqua" w:hAnsi="Book Antiqua" w:cs="Book Antiqua"/>
        </w:rPr>
        <w:t>.</w:t>
      </w:r>
      <w:bookmarkEnd w:id="1"/>
      <w:r w:rsidR="00A23000">
        <w:rPr>
          <w:rFonts w:ascii="Book Antiqua" w:hAnsi="Book Antiqua" w:cs="Book Antiqua" w:hint="eastAsia"/>
          <w:lang w:eastAsia="zh-CN"/>
        </w:rPr>
        <w:t>581</w:t>
      </w:r>
    </w:p>
    <w:p w14:paraId="3043FBA3" w14:textId="77777777" w:rsidR="00A77B3E" w:rsidRPr="00A45C44" w:rsidRDefault="00A77B3E" w:rsidP="00175753">
      <w:pPr>
        <w:spacing w:line="360" w:lineRule="auto"/>
        <w:jc w:val="both"/>
        <w:rPr>
          <w:rFonts w:ascii="Book Antiqua" w:hAnsi="Book Antiqua"/>
        </w:rPr>
      </w:pPr>
    </w:p>
    <w:p w14:paraId="3B197C0C" w14:textId="77777777" w:rsidR="000C5C88" w:rsidRPr="00A45C44" w:rsidRDefault="006667D9" w:rsidP="00175753">
      <w:pPr>
        <w:spacing w:line="360" w:lineRule="auto"/>
        <w:jc w:val="both"/>
        <w:rPr>
          <w:rFonts w:ascii="Book Antiqua" w:eastAsia="Book Antiqua" w:hAnsi="Book Antiqua" w:cs="Book Antiqua"/>
          <w:color w:val="000000"/>
        </w:rPr>
      </w:pPr>
      <w:r w:rsidRPr="00A45C44">
        <w:rPr>
          <w:rFonts w:ascii="Book Antiqua" w:eastAsia="Book Antiqua" w:hAnsi="Book Antiqua" w:cs="Book Antiqua"/>
          <w:b/>
          <w:bCs/>
          <w:color w:val="000000"/>
        </w:rPr>
        <w:t xml:space="preserve">Core Tip: </w:t>
      </w:r>
      <w:r w:rsidRPr="00A45C44">
        <w:rPr>
          <w:rFonts w:ascii="Book Antiqua" w:eastAsia="Book Antiqua" w:hAnsi="Book Antiqua" w:cs="Book Antiqua"/>
          <w:color w:val="000000"/>
        </w:rPr>
        <w:t xml:space="preserve">This study demonstrated that in patients </w:t>
      </w:r>
      <w:r w:rsidR="00B80B2C" w:rsidRPr="00A45C44">
        <w:rPr>
          <w:rFonts w:ascii="Book Antiqua" w:eastAsia="Book Antiqua" w:hAnsi="Book Antiqua" w:cs="Book Antiqua"/>
          <w:color w:val="000000"/>
        </w:rPr>
        <w:t xml:space="preserve">who </w:t>
      </w:r>
      <w:r w:rsidRPr="00A45C44">
        <w:rPr>
          <w:rFonts w:ascii="Book Antiqua" w:eastAsia="Book Antiqua" w:hAnsi="Book Antiqua" w:cs="Book Antiqua"/>
          <w:color w:val="000000"/>
        </w:rPr>
        <w:t xml:space="preserve">received adjuvant chemotherapy </w:t>
      </w:r>
      <w:r w:rsidR="00B80B2C" w:rsidRPr="00A45C44">
        <w:rPr>
          <w:rFonts w:ascii="Book Antiqua" w:eastAsia="Book Antiqua" w:hAnsi="Book Antiqua" w:cs="Book Antiqua"/>
          <w:color w:val="000000"/>
        </w:rPr>
        <w:t xml:space="preserve">for </w:t>
      </w:r>
      <w:r w:rsidRPr="00A45C44">
        <w:rPr>
          <w:rFonts w:ascii="Book Antiqua" w:eastAsia="Book Antiqua" w:hAnsi="Book Antiqua" w:cs="Book Antiqua"/>
          <w:color w:val="000000"/>
        </w:rPr>
        <w:t xml:space="preserve">advanced </w:t>
      </w:r>
      <w:r w:rsidR="000C5C88" w:rsidRPr="00A45C44">
        <w:rPr>
          <w:rFonts w:ascii="Book Antiqua" w:eastAsia="Book Antiqua" w:hAnsi="Book Antiqua" w:cs="Book Antiqua"/>
          <w:color w:val="000000"/>
        </w:rPr>
        <w:t>non-small cell lung cancer</w:t>
      </w:r>
      <w:r w:rsidRPr="00A45C44">
        <w:rPr>
          <w:rFonts w:ascii="Book Antiqua" w:eastAsia="Book Antiqua" w:hAnsi="Book Antiqua" w:cs="Book Antiqua"/>
          <w:color w:val="000000"/>
        </w:rPr>
        <w:t xml:space="preserve">, COX-2 inhibitors improved the </w:t>
      </w:r>
      <w:r w:rsidR="0075406C" w:rsidRPr="00A45C44">
        <w:rPr>
          <w:rFonts w:ascii="Book Antiqua" w:eastAsia="Book Antiqua" w:hAnsi="Book Antiqua" w:cs="Book Antiqua"/>
          <w:color w:val="000000"/>
        </w:rPr>
        <w:t>overall response rate</w:t>
      </w:r>
      <w:r w:rsidRPr="00A45C44">
        <w:rPr>
          <w:rFonts w:ascii="Book Antiqua" w:eastAsia="Book Antiqua" w:hAnsi="Book Antiqua" w:cs="Book Antiqua"/>
          <w:color w:val="000000"/>
        </w:rPr>
        <w:t xml:space="preserve"> and </w:t>
      </w:r>
      <w:r w:rsidR="00B80B2C" w:rsidRPr="00A45C44">
        <w:rPr>
          <w:rFonts w:ascii="Book Antiqua" w:eastAsia="Book Antiqua" w:hAnsi="Book Antiqua" w:cs="Book Antiqua"/>
          <w:color w:val="000000"/>
        </w:rPr>
        <w:t xml:space="preserve">had </w:t>
      </w:r>
      <w:r w:rsidRPr="00A45C44">
        <w:rPr>
          <w:rFonts w:ascii="Book Antiqua" w:eastAsia="Book Antiqua" w:hAnsi="Book Antiqua" w:cs="Book Antiqua"/>
          <w:color w:val="000000"/>
        </w:rPr>
        <w:t>no improvement on prolonged mortality. However, COX-2 enhance</w:t>
      </w:r>
      <w:r w:rsidR="00B80B2C" w:rsidRPr="00A45C44">
        <w:rPr>
          <w:rFonts w:ascii="Book Antiqua" w:eastAsia="Book Antiqua" w:hAnsi="Book Antiqua" w:cs="Book Antiqua"/>
          <w:color w:val="000000"/>
        </w:rPr>
        <w:t>d</w:t>
      </w:r>
      <w:r w:rsidRPr="00A45C44">
        <w:rPr>
          <w:rFonts w:ascii="Book Antiqua" w:eastAsia="Book Antiqua" w:hAnsi="Book Antiqua" w:cs="Book Antiqua"/>
          <w:color w:val="000000"/>
        </w:rPr>
        <w:t xml:space="preserve"> both the </w:t>
      </w:r>
      <w:r w:rsidR="0075406C" w:rsidRPr="00A45C44">
        <w:rPr>
          <w:rFonts w:ascii="Book Antiqua" w:eastAsia="Book Antiqua" w:hAnsi="Book Antiqua" w:cs="Book Antiqua"/>
          <w:color w:val="000000"/>
        </w:rPr>
        <w:t>overall response rate</w:t>
      </w:r>
      <w:r w:rsidRPr="00A45C44">
        <w:rPr>
          <w:rFonts w:ascii="Book Antiqua" w:eastAsia="Book Antiqua" w:hAnsi="Book Antiqua" w:cs="Book Antiqua"/>
          <w:color w:val="000000"/>
        </w:rPr>
        <w:t xml:space="preserve"> and the 1-year </w:t>
      </w:r>
      <w:r w:rsidR="000C5C88" w:rsidRPr="00A45C44">
        <w:rPr>
          <w:rFonts w:ascii="Book Antiqua" w:eastAsia="Book Antiqua" w:hAnsi="Book Antiqua" w:cs="Book Antiqua"/>
          <w:color w:val="000000"/>
        </w:rPr>
        <w:t>survival rate</w:t>
      </w:r>
      <w:r w:rsidRPr="00A45C44">
        <w:rPr>
          <w:rFonts w:ascii="Book Antiqua" w:eastAsia="Book Antiqua" w:hAnsi="Book Antiqua" w:cs="Book Antiqua"/>
          <w:color w:val="000000"/>
        </w:rPr>
        <w:t>. Concerning toxicity, celecoxib plus chemotherapy resulted in a higher incidence of hematologic toxicities. Meanwhile, rofecoxib may augment the risk of cardiovascular events.</w:t>
      </w:r>
    </w:p>
    <w:p w14:paraId="5BB8BE69" w14:textId="77777777" w:rsidR="00A77B3E" w:rsidRPr="00A45C44" w:rsidRDefault="000C5C88" w:rsidP="00175753">
      <w:pPr>
        <w:spacing w:line="360" w:lineRule="auto"/>
        <w:jc w:val="both"/>
        <w:rPr>
          <w:rFonts w:ascii="Book Antiqua" w:hAnsi="Book Antiqua"/>
        </w:rPr>
      </w:pPr>
      <w:r w:rsidRPr="00A45C44">
        <w:rPr>
          <w:rFonts w:ascii="Book Antiqua" w:eastAsia="Book Antiqua" w:hAnsi="Book Antiqua" w:cs="Book Antiqua"/>
          <w:color w:val="000000"/>
        </w:rPr>
        <w:br w:type="page"/>
      </w:r>
      <w:r w:rsidR="006667D9" w:rsidRPr="00A45C44">
        <w:rPr>
          <w:rFonts w:ascii="Book Antiqua" w:eastAsia="Book Antiqua" w:hAnsi="Book Antiqua" w:cs="Book Antiqua"/>
          <w:b/>
          <w:caps/>
          <w:color w:val="000000"/>
          <w:u w:val="single"/>
        </w:rPr>
        <w:t>INTRODUCTION</w:t>
      </w:r>
    </w:p>
    <w:p w14:paraId="596DAB1E"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The proportion of non-small cell lung cancer (NSCLC) is more than </w:t>
      </w:r>
      <w:r w:rsidR="00EA31F4" w:rsidRPr="00A45C44">
        <w:rPr>
          <w:rFonts w:ascii="Book Antiqua" w:eastAsia="Book Antiqua" w:hAnsi="Book Antiqua" w:cs="Book Antiqua"/>
          <w:color w:val="000000"/>
        </w:rPr>
        <w:t>80% of</w:t>
      </w:r>
      <w:r w:rsidRPr="00A45C44">
        <w:rPr>
          <w:rFonts w:ascii="Book Antiqua" w:eastAsia="Book Antiqua" w:hAnsi="Book Antiqua" w:cs="Book Antiqua"/>
          <w:color w:val="000000"/>
        </w:rPr>
        <w:t xml:space="preserve"> all lung tumors. Most patients have advanced NSCLC at stage ШB or IV when diagnosed and confirmed and have to receive alleviative treatment in order to maintain</w:t>
      </w:r>
      <w:r w:rsidR="000D3F02" w:rsidRPr="00A45C44">
        <w:rPr>
          <w:rFonts w:ascii="Book Antiqua" w:eastAsia="Book Antiqua" w:hAnsi="Book Antiqua" w:cs="Book Antiqua"/>
          <w:color w:val="000000"/>
        </w:rPr>
        <w:t xml:space="preserve"> their</w:t>
      </w:r>
      <w:r w:rsidRPr="00A45C44">
        <w:rPr>
          <w:rFonts w:ascii="Book Antiqua" w:eastAsia="Book Antiqua" w:hAnsi="Book Antiqua" w:cs="Book Antiqua"/>
          <w:color w:val="000000"/>
        </w:rPr>
        <w:t xml:space="preserve"> lives</w:t>
      </w:r>
      <w:r w:rsidRPr="00A45C44">
        <w:rPr>
          <w:rFonts w:ascii="Book Antiqua" w:eastAsia="Book Antiqua" w:hAnsi="Book Antiqua" w:cs="Book Antiqua"/>
          <w:color w:val="000000"/>
          <w:vertAlign w:val="superscript"/>
        </w:rPr>
        <w:t>[1,2]</w:t>
      </w:r>
      <w:r w:rsidRPr="00A45C44">
        <w:rPr>
          <w:rFonts w:ascii="Book Antiqua" w:eastAsia="Book Antiqua" w:hAnsi="Book Antiqua" w:cs="Book Antiqua"/>
          <w:color w:val="000000"/>
        </w:rPr>
        <w:t xml:space="preserve">. The median survival time is 6-10 mo for patients who </w:t>
      </w:r>
      <w:r w:rsidR="000D3F02" w:rsidRPr="00A45C44">
        <w:rPr>
          <w:rFonts w:ascii="Book Antiqua" w:eastAsia="Book Antiqua" w:hAnsi="Book Antiqua" w:cs="Book Antiqua"/>
          <w:color w:val="000000"/>
        </w:rPr>
        <w:t xml:space="preserve">are </w:t>
      </w:r>
      <w:r w:rsidRPr="00A45C44">
        <w:rPr>
          <w:rFonts w:ascii="Book Antiqua" w:eastAsia="Book Antiqua" w:hAnsi="Book Antiqua" w:cs="Book Antiqua"/>
          <w:color w:val="000000"/>
        </w:rPr>
        <w:t xml:space="preserve">diagnosed </w:t>
      </w:r>
      <w:r w:rsidR="000D3F02" w:rsidRPr="00A45C44">
        <w:rPr>
          <w:rFonts w:ascii="Book Antiqua" w:eastAsia="Book Antiqua" w:hAnsi="Book Antiqua" w:cs="Book Antiqua"/>
          <w:color w:val="000000"/>
        </w:rPr>
        <w:t xml:space="preserve">with </w:t>
      </w:r>
      <w:r w:rsidRPr="00A45C44">
        <w:rPr>
          <w:rFonts w:ascii="Book Antiqua" w:eastAsia="Book Antiqua" w:hAnsi="Book Antiqua" w:cs="Book Antiqua"/>
          <w:color w:val="000000"/>
        </w:rPr>
        <w:t>advanced NSCLC in performance status 0-2</w:t>
      </w:r>
      <w:r w:rsidR="000D3F02" w:rsidRPr="00A45C44">
        <w:rPr>
          <w:rFonts w:ascii="Book Antiqua" w:eastAsia="Book Antiqua" w:hAnsi="Book Antiqua" w:cs="Book Antiqua"/>
          <w:color w:val="000000"/>
        </w:rPr>
        <w:t xml:space="preserve"> while</w:t>
      </w:r>
      <w:r w:rsidRPr="00A45C44">
        <w:rPr>
          <w:rFonts w:ascii="Book Antiqua" w:eastAsia="Book Antiqua" w:hAnsi="Book Antiqua" w:cs="Book Antiqua"/>
          <w:color w:val="000000"/>
        </w:rPr>
        <w:t xml:space="preserve"> adopting palliative first-line chemotherapy</w:t>
      </w:r>
      <w:r w:rsidRPr="00A45C44">
        <w:rPr>
          <w:rFonts w:ascii="Book Antiqua" w:eastAsia="Book Antiqua" w:hAnsi="Book Antiqua" w:cs="Book Antiqua"/>
          <w:color w:val="000000"/>
          <w:vertAlign w:val="superscript"/>
        </w:rPr>
        <w:t>[3-5]</w:t>
      </w:r>
      <w:r w:rsidRPr="00A45C44">
        <w:rPr>
          <w:rFonts w:ascii="Book Antiqua" w:eastAsia="Book Antiqua" w:hAnsi="Book Antiqua" w:cs="Book Antiqua"/>
          <w:color w:val="000000"/>
        </w:rPr>
        <w:t>. For decades, chemotherapy has been the cornerstone of standard cancer treatment</w:t>
      </w:r>
      <w:r w:rsidRPr="00A45C44">
        <w:rPr>
          <w:rFonts w:ascii="Book Antiqua" w:eastAsia="Book Antiqua" w:hAnsi="Book Antiqua" w:cs="Book Antiqua"/>
          <w:color w:val="000000"/>
          <w:vertAlign w:val="superscript"/>
        </w:rPr>
        <w:t>[6]</w:t>
      </w:r>
      <w:r w:rsidRPr="00A45C44">
        <w:rPr>
          <w:rFonts w:ascii="Book Antiqua" w:eastAsia="Book Antiqua" w:hAnsi="Book Antiqua" w:cs="Book Antiqua"/>
          <w:color w:val="000000"/>
        </w:rPr>
        <w:t>. At present, the efficacy of various chemotherapy regimens has reached its peak</w:t>
      </w:r>
      <w:r w:rsidRPr="00A45C44">
        <w:rPr>
          <w:rFonts w:ascii="Book Antiqua" w:eastAsia="Book Antiqua" w:hAnsi="Book Antiqua" w:cs="Book Antiqua"/>
          <w:color w:val="000000"/>
          <w:vertAlign w:val="superscript"/>
        </w:rPr>
        <w:t>[7]</w:t>
      </w:r>
      <w:r w:rsidRPr="00A45C44">
        <w:rPr>
          <w:rFonts w:ascii="Book Antiqua" w:eastAsia="Book Antiqua" w:hAnsi="Book Antiqua" w:cs="Book Antiqua"/>
          <w:color w:val="000000"/>
        </w:rPr>
        <w:t xml:space="preserve">. New treatment strategies are </w:t>
      </w:r>
      <w:r w:rsidR="000D3F02" w:rsidRPr="00A45C44">
        <w:rPr>
          <w:rFonts w:ascii="Book Antiqua" w:eastAsia="Book Antiqua" w:hAnsi="Book Antiqua" w:cs="Book Antiqua"/>
          <w:color w:val="000000"/>
        </w:rPr>
        <w:t>hypothesized to</w:t>
      </w:r>
      <w:r w:rsidRPr="00A45C44">
        <w:rPr>
          <w:rFonts w:ascii="Book Antiqua" w:eastAsia="Book Antiqua" w:hAnsi="Book Antiqua" w:cs="Book Antiqua"/>
          <w:color w:val="000000"/>
        </w:rPr>
        <w:t xml:space="preserve"> improve</w:t>
      </w:r>
      <w:r w:rsidR="000D3F02" w:rsidRPr="00A45C44">
        <w:rPr>
          <w:rFonts w:ascii="Book Antiqua" w:eastAsia="Book Antiqua" w:hAnsi="Book Antiqua" w:cs="Book Antiqua"/>
          <w:color w:val="000000"/>
        </w:rPr>
        <w:t xml:space="preserve"> the</w:t>
      </w:r>
      <w:r w:rsidRPr="00A45C44">
        <w:rPr>
          <w:rFonts w:ascii="Book Antiqua" w:eastAsia="Book Antiqua" w:hAnsi="Book Antiqua" w:cs="Book Antiqua"/>
          <w:color w:val="000000"/>
        </w:rPr>
        <w:t xml:space="preserve"> clinical benefit</w:t>
      </w:r>
      <w:r w:rsidR="00231A58" w:rsidRPr="00A45C44">
        <w:rPr>
          <w:rFonts w:ascii="Book Antiqua" w:eastAsia="Book Antiqua" w:hAnsi="Book Antiqua" w:cs="Book Antiqua"/>
          <w:color w:val="000000"/>
        </w:rPr>
        <w:t xml:space="preserve"> (CB)</w:t>
      </w:r>
      <w:r w:rsidRPr="00A45C44">
        <w:rPr>
          <w:rFonts w:ascii="Book Antiqua" w:eastAsia="Book Antiqua" w:hAnsi="Book Antiqua" w:cs="Book Antiqua"/>
          <w:color w:val="000000"/>
        </w:rPr>
        <w:t xml:space="preserve"> of advanced NSCLC.</w:t>
      </w:r>
    </w:p>
    <w:p w14:paraId="5F4A8A18" w14:textId="77777777" w:rsidR="00A77B3E" w:rsidRPr="00A45C44" w:rsidRDefault="006667D9" w:rsidP="00175753">
      <w:pPr>
        <w:spacing w:line="360" w:lineRule="auto"/>
        <w:ind w:firstLineChars="100" w:firstLine="240"/>
        <w:jc w:val="both"/>
        <w:rPr>
          <w:rFonts w:ascii="Book Antiqua" w:hAnsi="Book Antiqua"/>
        </w:rPr>
      </w:pPr>
      <w:r w:rsidRPr="00A45C44">
        <w:rPr>
          <w:rFonts w:ascii="Book Antiqua" w:eastAsia="Book Antiqua" w:hAnsi="Book Antiqua" w:cs="Book Antiqua"/>
          <w:color w:val="000000"/>
        </w:rPr>
        <w:t xml:space="preserve">Increased COX-2 expression was reported in close to </w:t>
      </w:r>
      <w:r w:rsidR="00C74A7E" w:rsidRPr="00A45C44">
        <w:rPr>
          <w:rFonts w:ascii="Book Antiqua" w:eastAsia="Book Antiqua" w:hAnsi="Book Antiqua" w:cs="Book Antiqua"/>
          <w:color w:val="000000"/>
        </w:rPr>
        <w:t>70%</w:t>
      </w:r>
      <w:r w:rsidRPr="00A45C44">
        <w:rPr>
          <w:rFonts w:ascii="Book Antiqua" w:eastAsia="Book Antiqua" w:hAnsi="Book Antiqua" w:cs="Book Antiqua"/>
          <w:color w:val="000000"/>
        </w:rPr>
        <w:t xml:space="preserve"> of NSCLC adenocarcinomas</w:t>
      </w:r>
      <w:r w:rsidRPr="00A45C44">
        <w:rPr>
          <w:rFonts w:ascii="Book Antiqua" w:eastAsia="Book Antiqua" w:hAnsi="Book Antiqua" w:cs="Book Antiqua"/>
          <w:color w:val="000000"/>
          <w:vertAlign w:val="superscript"/>
        </w:rPr>
        <w:t>[8,9]</w:t>
      </w:r>
      <w:r w:rsidRPr="00A45C44">
        <w:rPr>
          <w:rFonts w:ascii="Book Antiqua" w:eastAsia="Book Antiqua" w:hAnsi="Book Antiqua" w:cs="Book Antiqua"/>
          <w:color w:val="000000"/>
        </w:rPr>
        <w:t>.</w:t>
      </w:r>
      <w:r w:rsidR="00202ACB">
        <w:rPr>
          <w:rFonts w:ascii="Book Antiqua" w:eastAsia="Book Antiqua" w:hAnsi="Book Antiqua" w:cs="Book Antiqua"/>
          <w:color w:val="000000"/>
        </w:rPr>
        <w:t xml:space="preserve"> </w:t>
      </w:r>
      <w:r w:rsidRPr="00A45C44">
        <w:rPr>
          <w:rFonts w:ascii="Book Antiqua" w:eastAsia="Book Antiqua" w:hAnsi="Book Antiqua" w:cs="Book Antiqua"/>
          <w:color w:val="000000"/>
        </w:rPr>
        <w:t>COX-2 expression is upregulated in the early stage of tumori</w:t>
      </w:r>
      <w:r w:rsidR="00202ACB">
        <w:rPr>
          <w:rFonts w:ascii="Book Antiqua" w:eastAsia="Book Antiqua" w:hAnsi="Book Antiqua" w:cs="Book Antiqua"/>
          <w:color w:val="000000"/>
        </w:rPr>
        <w:t>-</w:t>
      </w:r>
      <w:r w:rsidRPr="00A45C44">
        <w:rPr>
          <w:rFonts w:ascii="Book Antiqua" w:eastAsia="Book Antiqua" w:hAnsi="Book Antiqua" w:cs="Book Antiqua"/>
          <w:color w:val="000000"/>
        </w:rPr>
        <w:t>genesis, and it can lead to poor prognosis by promoting tumor cell proliferation, angiogenesis, invasion</w:t>
      </w:r>
      <w:r w:rsidR="00C74A7E"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metastasis</w:t>
      </w:r>
      <w:r w:rsidRPr="00A45C44">
        <w:rPr>
          <w:rFonts w:ascii="Book Antiqua" w:eastAsia="Book Antiqua" w:hAnsi="Book Antiqua" w:cs="Book Antiqua"/>
          <w:color w:val="000000"/>
          <w:vertAlign w:val="superscript"/>
        </w:rPr>
        <w:t>[10-12]</w:t>
      </w:r>
      <w:r w:rsidRPr="00A45C44">
        <w:rPr>
          <w:rFonts w:ascii="Book Antiqua" w:eastAsia="Book Antiqua" w:hAnsi="Book Antiqua" w:cs="Book Antiqua"/>
          <w:color w:val="000000"/>
        </w:rPr>
        <w:t>. By any reasonable assessment, this targeted treatment initially achieved great success but also produced unpredictable and occasionally serious side effects. Comparison between nonselective nonsteroidal anti-inflammatory drugs and rofecoxib</w:t>
      </w:r>
      <w:r w:rsidR="00AB4DB4" w:rsidRPr="00A45C44">
        <w:rPr>
          <w:rFonts w:ascii="Book Antiqua" w:eastAsia="Book Antiqua" w:hAnsi="Book Antiqua" w:cs="Book Antiqua"/>
          <w:color w:val="000000"/>
        </w:rPr>
        <w:t xml:space="preserve"> has shown that rofecoxib</w:t>
      </w:r>
      <w:r w:rsidRPr="00A45C44">
        <w:rPr>
          <w:rFonts w:ascii="Book Antiqua" w:eastAsia="Book Antiqua" w:hAnsi="Book Antiqua" w:cs="Book Antiqua"/>
          <w:color w:val="000000"/>
        </w:rPr>
        <w:t xml:space="preserve"> contributes to </w:t>
      </w:r>
      <w:r w:rsidR="00EE3F0D" w:rsidRPr="00A45C44">
        <w:rPr>
          <w:rFonts w:ascii="Book Antiqua" w:eastAsia="Book Antiqua" w:hAnsi="Book Antiqua" w:cs="Book Antiqua"/>
          <w:color w:val="000000"/>
        </w:rPr>
        <w:t xml:space="preserve">a </w:t>
      </w:r>
      <w:r w:rsidRPr="00A45C44">
        <w:rPr>
          <w:rFonts w:ascii="Book Antiqua" w:eastAsia="Book Antiqua" w:hAnsi="Book Antiqua" w:cs="Book Antiqua"/>
          <w:color w:val="000000"/>
        </w:rPr>
        <w:t xml:space="preserve">decrease of gastrointestinal hemorrhage but not </w:t>
      </w:r>
      <w:r w:rsidR="00EE3F0D" w:rsidRPr="00A45C44">
        <w:rPr>
          <w:rFonts w:ascii="Book Antiqua" w:eastAsia="Book Antiqua" w:hAnsi="Book Antiqua" w:cs="Book Antiqua"/>
          <w:color w:val="000000"/>
        </w:rPr>
        <w:t xml:space="preserve">a </w:t>
      </w:r>
      <w:r w:rsidRPr="00A45C44">
        <w:rPr>
          <w:rFonts w:ascii="Book Antiqua" w:eastAsia="Book Antiqua" w:hAnsi="Book Antiqua" w:cs="Book Antiqua"/>
          <w:color w:val="000000"/>
        </w:rPr>
        <w:t>decrease of thrombosis</w:t>
      </w:r>
      <w:r w:rsidRPr="00A45C44">
        <w:rPr>
          <w:rFonts w:ascii="Book Antiqua" w:eastAsia="Book Antiqua" w:hAnsi="Book Antiqua" w:cs="Book Antiqua"/>
          <w:color w:val="000000"/>
          <w:vertAlign w:val="superscript"/>
        </w:rPr>
        <w:t>[13]</w:t>
      </w:r>
      <w:r w:rsidRPr="00A45C44">
        <w:rPr>
          <w:rFonts w:ascii="Book Antiqua" w:eastAsia="Book Antiqua" w:hAnsi="Book Antiqua" w:cs="Book Antiqua"/>
          <w:color w:val="000000"/>
        </w:rPr>
        <w:t>. However, with respect to adverse events, cele</w:t>
      </w:r>
      <w:r w:rsidR="00CE5355" w:rsidRPr="00A45C44">
        <w:rPr>
          <w:rFonts w:ascii="Book Antiqua" w:eastAsia="Book Antiqua" w:hAnsi="Book Antiqua" w:cs="Book Antiqua"/>
          <w:color w:val="000000"/>
        </w:rPr>
        <w:t>coxi</w:t>
      </w:r>
      <w:r w:rsidRPr="00A45C44">
        <w:rPr>
          <w:rFonts w:ascii="Book Antiqua" w:eastAsia="Book Antiqua" w:hAnsi="Book Antiqua" w:cs="Book Antiqua"/>
          <w:color w:val="000000"/>
        </w:rPr>
        <w:t xml:space="preserve">b has no significant improvement on decreasing </w:t>
      </w:r>
      <w:r w:rsidR="00EE3F0D" w:rsidRPr="00A45C44">
        <w:rPr>
          <w:rFonts w:ascii="Book Antiqua" w:eastAsia="Book Antiqua" w:hAnsi="Book Antiqua" w:cs="Book Antiqua"/>
          <w:color w:val="000000"/>
        </w:rPr>
        <w:t>gastrointestinal</w:t>
      </w:r>
      <w:r w:rsidRPr="00A45C44">
        <w:rPr>
          <w:rFonts w:ascii="Book Antiqua" w:eastAsia="Book Antiqua" w:hAnsi="Book Antiqua" w:cs="Book Antiqua"/>
          <w:color w:val="000000"/>
        </w:rPr>
        <w:t xml:space="preserve"> events. The meta-analysis by Chen </w:t>
      </w:r>
      <w:r w:rsidRPr="00A45C44">
        <w:rPr>
          <w:rFonts w:ascii="Book Antiqua" w:eastAsia="Book Antiqua" w:hAnsi="Book Antiqua" w:cs="Book Antiqua"/>
          <w:i/>
          <w:iCs/>
          <w:color w:val="000000"/>
        </w:rPr>
        <w:t>et al</w:t>
      </w:r>
      <w:r w:rsidRPr="00A45C44">
        <w:rPr>
          <w:rFonts w:ascii="Book Antiqua" w:eastAsia="Book Antiqua" w:hAnsi="Book Antiqua" w:cs="Book Antiqua"/>
          <w:color w:val="000000"/>
          <w:vertAlign w:val="superscript"/>
        </w:rPr>
        <w:t>[14]</w:t>
      </w:r>
      <w:r w:rsidR="00B81E4B"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 xml:space="preserve">reported that celecoxib has </w:t>
      </w:r>
      <w:r w:rsidR="00EE3F0D" w:rsidRPr="00A45C44">
        <w:rPr>
          <w:rFonts w:ascii="Book Antiqua" w:eastAsia="Book Antiqua" w:hAnsi="Book Antiqua" w:cs="Book Antiqua"/>
          <w:color w:val="000000"/>
        </w:rPr>
        <w:t xml:space="preserve">a </w:t>
      </w:r>
      <w:r w:rsidRPr="00A45C44">
        <w:rPr>
          <w:rFonts w:ascii="Book Antiqua" w:eastAsia="Book Antiqua" w:hAnsi="Book Antiqua" w:cs="Book Antiqua"/>
          <w:color w:val="000000"/>
        </w:rPr>
        <w:t>positive influence on the treatment of advanced cancers but increased</w:t>
      </w:r>
      <w:r w:rsidR="00EE3F0D" w:rsidRPr="00A45C44">
        <w:rPr>
          <w:rFonts w:ascii="Book Antiqua" w:eastAsia="Book Antiqua" w:hAnsi="Book Antiqua" w:cs="Book Antiqua"/>
          <w:color w:val="000000"/>
        </w:rPr>
        <w:t xml:space="preserve"> the</w:t>
      </w:r>
      <w:r w:rsidRPr="00A45C44">
        <w:rPr>
          <w:rFonts w:ascii="Book Antiqua" w:eastAsia="Book Antiqua" w:hAnsi="Book Antiqua" w:cs="Book Antiqua"/>
          <w:color w:val="000000"/>
        </w:rPr>
        <w:t xml:space="preserve"> risk of cardiovascular events by using celecoxib</w:t>
      </w:r>
      <w:r w:rsidR="00727B85" w:rsidRPr="00A45C44">
        <w:rPr>
          <w:rFonts w:ascii="Book Antiqua" w:eastAsia="Book Antiqua" w:hAnsi="Book Antiqua" w:cs="Book Antiqua"/>
          <w:color w:val="000000"/>
        </w:rPr>
        <w:t>, which</w:t>
      </w:r>
      <w:r w:rsidRPr="00A45C44">
        <w:rPr>
          <w:rFonts w:ascii="Book Antiqua" w:eastAsia="Book Antiqua" w:hAnsi="Book Antiqua" w:cs="Book Antiqua"/>
          <w:color w:val="000000"/>
        </w:rPr>
        <w:t xml:space="preserve"> cannot be ignored. Other studies</w:t>
      </w:r>
      <w:r w:rsidRPr="00A45C44">
        <w:rPr>
          <w:rFonts w:ascii="Book Antiqua" w:eastAsia="Book Antiqua" w:hAnsi="Book Antiqua" w:cs="Book Antiqua"/>
          <w:color w:val="000000"/>
          <w:vertAlign w:val="superscript"/>
        </w:rPr>
        <w:t>[15-17]</w:t>
      </w:r>
      <w:r w:rsidRPr="00A45C44">
        <w:rPr>
          <w:rFonts w:ascii="Book Antiqua" w:eastAsia="Book Antiqua" w:hAnsi="Book Antiqua" w:cs="Book Antiqua"/>
          <w:color w:val="000000"/>
        </w:rPr>
        <w:t xml:space="preserve"> indicated that celecoxib increased the overall response rate </w:t>
      </w:r>
      <w:r w:rsidR="00231A58" w:rsidRPr="00A45C44">
        <w:rPr>
          <w:rFonts w:ascii="Book Antiqua" w:eastAsia="Book Antiqua" w:hAnsi="Book Antiqua" w:cs="Book Antiqua"/>
          <w:color w:val="000000"/>
        </w:rPr>
        <w:t xml:space="preserve">(ORR) </w:t>
      </w:r>
      <w:r w:rsidRPr="00A45C44">
        <w:rPr>
          <w:rFonts w:ascii="Book Antiqua" w:eastAsia="Book Antiqua" w:hAnsi="Book Antiqua" w:cs="Book Antiqua"/>
          <w:color w:val="000000"/>
        </w:rPr>
        <w:t>of advanced NSCLC with no significant difference in cardiovascular events. The study related to COX-2 for intervention of N</w:t>
      </w:r>
      <w:r w:rsidR="00727B85" w:rsidRPr="00A45C44">
        <w:rPr>
          <w:rFonts w:ascii="Book Antiqua" w:eastAsia="Book Antiqua" w:hAnsi="Book Antiqua" w:cs="Book Antiqua"/>
          <w:color w:val="000000"/>
        </w:rPr>
        <w:t>S</w:t>
      </w:r>
      <w:r w:rsidRPr="00A45C44">
        <w:rPr>
          <w:rFonts w:ascii="Book Antiqua" w:eastAsia="Book Antiqua" w:hAnsi="Book Antiqua" w:cs="Book Antiqua"/>
          <w:color w:val="000000"/>
        </w:rPr>
        <w:t>CLC is mired in controversy in</w:t>
      </w:r>
      <w:r w:rsidR="00727B85" w:rsidRPr="00A45C44">
        <w:rPr>
          <w:rFonts w:ascii="Book Antiqua" w:eastAsia="Book Antiqua" w:hAnsi="Book Antiqua" w:cs="Book Antiqua"/>
          <w:color w:val="000000"/>
        </w:rPr>
        <w:t xml:space="preserve"> the</w:t>
      </w:r>
      <w:r w:rsidRPr="00A45C44">
        <w:rPr>
          <w:rFonts w:ascii="Book Antiqua" w:eastAsia="Book Antiqua" w:hAnsi="Book Antiqua" w:cs="Book Antiqua"/>
          <w:color w:val="000000"/>
        </w:rPr>
        <w:t xml:space="preserve"> medical field. Therefore, this systematic review based on randomized controlled trials (RCTs) was conducted to appraise the benefit of chemotherapy-assisted addition of COX-2 for advanced NSCLC.</w:t>
      </w:r>
    </w:p>
    <w:p w14:paraId="49A09FA6" w14:textId="77777777" w:rsidR="00A77B3E" w:rsidRPr="00A45C44" w:rsidRDefault="00A77B3E" w:rsidP="00175753">
      <w:pPr>
        <w:spacing w:line="360" w:lineRule="auto"/>
        <w:jc w:val="both"/>
        <w:rPr>
          <w:rFonts w:ascii="Book Antiqua" w:hAnsi="Book Antiqua"/>
        </w:rPr>
      </w:pPr>
    </w:p>
    <w:p w14:paraId="3219707B"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aps/>
          <w:color w:val="000000"/>
          <w:u w:val="single"/>
        </w:rPr>
        <w:t>MATERIALS AND METHODS</w:t>
      </w:r>
    </w:p>
    <w:p w14:paraId="14FCFBF9" w14:textId="77777777" w:rsidR="00A77B3E" w:rsidRPr="00A45C44" w:rsidRDefault="006667D9" w:rsidP="00175753">
      <w:pPr>
        <w:spacing w:line="360" w:lineRule="auto"/>
        <w:jc w:val="both"/>
        <w:rPr>
          <w:rFonts w:ascii="Book Antiqua" w:hAnsi="Book Antiqua"/>
          <w:i/>
          <w:iCs/>
        </w:rPr>
      </w:pPr>
      <w:r w:rsidRPr="00A45C44">
        <w:rPr>
          <w:rFonts w:ascii="Book Antiqua" w:eastAsia="Book Antiqua" w:hAnsi="Book Antiqua" w:cs="Book Antiqua"/>
          <w:b/>
          <w:bCs/>
          <w:i/>
          <w:iCs/>
          <w:color w:val="000000"/>
        </w:rPr>
        <w:t>Search strategy</w:t>
      </w:r>
    </w:p>
    <w:p w14:paraId="485B3867" w14:textId="77777777" w:rsidR="00A77B3E" w:rsidRPr="00A45C44" w:rsidRDefault="006667D9" w:rsidP="00175753">
      <w:pPr>
        <w:spacing w:line="360" w:lineRule="auto"/>
        <w:jc w:val="both"/>
        <w:rPr>
          <w:rFonts w:ascii="Book Antiqua" w:eastAsia="Book Antiqua" w:hAnsi="Book Antiqua" w:cs="Book Antiqua"/>
          <w:color w:val="000000"/>
        </w:rPr>
      </w:pPr>
      <w:r w:rsidRPr="00A45C44">
        <w:rPr>
          <w:rFonts w:ascii="Book Antiqua" w:eastAsia="Book Antiqua" w:hAnsi="Book Antiqua" w:cs="Book Antiqua"/>
          <w:color w:val="000000"/>
        </w:rPr>
        <w:t xml:space="preserve">Six electronic databases, including the </w:t>
      </w:r>
      <w:r w:rsidRPr="00A45C44">
        <w:rPr>
          <w:rFonts w:ascii="Book Antiqua" w:eastAsia="Book Antiqua" w:hAnsi="Book Antiqua" w:cs="Book Antiqua"/>
          <w:caps/>
          <w:color w:val="000000"/>
        </w:rPr>
        <w:t xml:space="preserve">Medline </w:t>
      </w:r>
      <w:r w:rsidRPr="00A45C44">
        <w:rPr>
          <w:rFonts w:ascii="Book Antiqua" w:eastAsia="Book Antiqua" w:hAnsi="Book Antiqua" w:cs="Book Antiqua"/>
          <w:color w:val="000000"/>
        </w:rPr>
        <w:t>and EM</w:t>
      </w:r>
      <w:r w:rsidR="00B81E4B" w:rsidRPr="00A45C44">
        <w:rPr>
          <w:rFonts w:ascii="Book Antiqua" w:eastAsia="Book Antiqua" w:hAnsi="Book Antiqua" w:cs="Book Antiqua"/>
          <w:color w:val="000000"/>
        </w:rPr>
        <w:t>BASE</w:t>
      </w:r>
      <w:r w:rsidRPr="00A45C44">
        <w:rPr>
          <w:rFonts w:ascii="Book Antiqua" w:eastAsia="Book Antiqua" w:hAnsi="Book Antiqua" w:cs="Book Antiqua"/>
          <w:color w:val="000000"/>
        </w:rPr>
        <w:t xml:space="preserve"> from Ovid, the Cochrane Library, CNKI, Wanfang Date</w:t>
      </w:r>
      <w:r w:rsidR="0088708C"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CBD, were searched </w:t>
      </w:r>
      <w:r w:rsidR="0088708C" w:rsidRPr="00A45C44">
        <w:rPr>
          <w:rFonts w:ascii="Book Antiqua" w:eastAsia="Book Antiqua" w:hAnsi="Book Antiqua" w:cs="Book Antiqua"/>
          <w:color w:val="000000"/>
        </w:rPr>
        <w:t>through</w:t>
      </w:r>
      <w:r w:rsidRPr="00A45C44">
        <w:rPr>
          <w:rFonts w:ascii="Book Antiqua" w:eastAsia="Book Antiqua" w:hAnsi="Book Antiqua" w:cs="Book Antiqua"/>
          <w:color w:val="000000"/>
        </w:rPr>
        <w:t xml:space="preserve"> December 9, 2019 using </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cyclooxygenase-2 inhibitor</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COX-2,</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apricoxib,</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celecoxib,</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rofecoxib,</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non-small cell lung cancer,</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NSCLC,</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randomized controlled trial.</w:t>
      </w:r>
      <w:r w:rsidR="00970921" w:rsidRPr="00A45C44">
        <w:rPr>
          <w:rFonts w:ascii="Book Antiqua" w:eastAsia="Book Antiqua" w:hAnsi="Book Antiqua" w:cs="Book Antiqua"/>
          <w:color w:val="000000"/>
        </w:rPr>
        <w:t>”</w:t>
      </w:r>
    </w:p>
    <w:p w14:paraId="6E8FA30E" w14:textId="77777777" w:rsidR="00B81E4B" w:rsidRPr="00A45C44" w:rsidRDefault="00B81E4B" w:rsidP="00175753">
      <w:pPr>
        <w:spacing w:line="360" w:lineRule="auto"/>
        <w:jc w:val="both"/>
        <w:rPr>
          <w:rFonts w:ascii="Book Antiqua" w:hAnsi="Book Antiqua"/>
        </w:rPr>
      </w:pPr>
    </w:p>
    <w:p w14:paraId="176F2F8C" w14:textId="77777777" w:rsidR="00A77B3E" w:rsidRPr="00A45C44" w:rsidRDefault="006667D9" w:rsidP="00175753">
      <w:pPr>
        <w:spacing w:line="360" w:lineRule="auto"/>
        <w:jc w:val="both"/>
        <w:rPr>
          <w:rFonts w:ascii="Book Antiqua" w:hAnsi="Book Antiqua"/>
          <w:i/>
          <w:iCs/>
        </w:rPr>
      </w:pPr>
      <w:r w:rsidRPr="00A45C44">
        <w:rPr>
          <w:rFonts w:ascii="Book Antiqua" w:eastAsia="Book Antiqua" w:hAnsi="Book Antiqua" w:cs="Book Antiqua"/>
          <w:b/>
          <w:bCs/>
          <w:i/>
          <w:iCs/>
          <w:color w:val="000000"/>
        </w:rPr>
        <w:t>Inclusion and exclusion criteria</w:t>
      </w:r>
    </w:p>
    <w:p w14:paraId="1F7FD139" w14:textId="77777777" w:rsidR="00A77B3E" w:rsidRPr="00A45C44" w:rsidRDefault="006667D9" w:rsidP="00A45C44">
      <w:pPr>
        <w:spacing w:line="360" w:lineRule="auto"/>
        <w:jc w:val="both"/>
        <w:rPr>
          <w:rFonts w:ascii="Book Antiqua" w:hAnsi="Book Antiqua"/>
        </w:rPr>
      </w:pPr>
      <w:r w:rsidRPr="00A45C44">
        <w:rPr>
          <w:rFonts w:ascii="Book Antiqua" w:eastAsia="Book Antiqua" w:hAnsi="Book Antiqua" w:cs="Book Antiqua"/>
          <w:color w:val="000000"/>
        </w:rPr>
        <w:t xml:space="preserve">The following inclusion criteria for clinical trials: (1) The language was limited to Chinese and English; (2) </w:t>
      </w:r>
      <w:r w:rsidR="00B81E4B" w:rsidRPr="00A45C44">
        <w:rPr>
          <w:rFonts w:ascii="Book Antiqua" w:eastAsia="Book Antiqua" w:hAnsi="Book Antiqua" w:cs="Book Antiqua"/>
          <w:color w:val="000000"/>
        </w:rPr>
        <w:t>T</w:t>
      </w:r>
      <w:r w:rsidRPr="00A45C44">
        <w:rPr>
          <w:rFonts w:ascii="Book Antiqua" w:eastAsia="Book Antiqua" w:hAnsi="Book Antiqua" w:cs="Book Antiqua"/>
          <w:color w:val="000000"/>
        </w:rPr>
        <w:t xml:space="preserve">he benefit of the addition of COX-2 to chemotherapy (the principle of quantitative simplicity) were compared; (3) </w:t>
      </w:r>
      <w:r w:rsidR="00B81E4B" w:rsidRPr="00A45C44">
        <w:rPr>
          <w:rFonts w:ascii="Book Antiqua" w:eastAsia="Book Antiqua" w:hAnsi="Book Antiqua" w:cs="Book Antiqua"/>
          <w:color w:val="000000"/>
        </w:rPr>
        <w:t>T</w:t>
      </w:r>
      <w:r w:rsidRPr="00A45C44">
        <w:rPr>
          <w:rFonts w:ascii="Book Antiqua" w:eastAsia="Book Antiqua" w:hAnsi="Book Antiqua" w:cs="Book Antiqua"/>
          <w:color w:val="000000"/>
        </w:rPr>
        <w:t xml:space="preserve">he NSCLC stage IIIB or IV patients used were defined and confirmed; (4) </w:t>
      </w:r>
      <w:r w:rsidR="00B81E4B" w:rsidRPr="00A45C44">
        <w:rPr>
          <w:rFonts w:ascii="Book Antiqua" w:eastAsia="Book Antiqua" w:hAnsi="Book Antiqua" w:cs="Book Antiqua"/>
          <w:color w:val="000000"/>
        </w:rPr>
        <w:t>O</w:t>
      </w:r>
      <w:r w:rsidRPr="00A45C44">
        <w:rPr>
          <w:rFonts w:ascii="Book Antiqua" w:eastAsia="Book Antiqua" w:hAnsi="Book Antiqua" w:cs="Book Antiqua"/>
          <w:color w:val="000000"/>
        </w:rPr>
        <w:t>utcomes such as overall survival (OS), progression</w:t>
      </w:r>
      <w:r w:rsidR="00B26189"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free survival (PFS), 1-year survival rate (SR), ORR, CB, complete response (CR), partial response (PR), stable disease (SD), and toxicities were measured with more than one outcome as their endpoints. The primary outcomes were the OS, PFS, 1-year SR, ORR</w:t>
      </w:r>
      <w:r w:rsidR="00970921"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CB. The rate of CR and PR and the rate of grade 3 and 4 toxicity are regarded as the secondary endpoints</w:t>
      </w:r>
      <w:r w:rsidR="00231A58"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w:t>
      </w:r>
      <w:r w:rsidR="00231A58" w:rsidRPr="00A45C44">
        <w:rPr>
          <w:rFonts w:ascii="Book Antiqua" w:eastAsia="Book Antiqua" w:hAnsi="Book Antiqua" w:cs="Book Antiqua"/>
          <w:color w:val="000000"/>
        </w:rPr>
        <w:t xml:space="preserve">and </w:t>
      </w:r>
      <w:r w:rsidRPr="00A45C44">
        <w:rPr>
          <w:rFonts w:ascii="Book Antiqua" w:eastAsia="Book Antiqua" w:hAnsi="Book Antiqua" w:cs="Book Antiqua"/>
          <w:color w:val="000000"/>
        </w:rPr>
        <w:t xml:space="preserve">(5) </w:t>
      </w:r>
      <w:r w:rsidR="00231A58" w:rsidRPr="00A45C44">
        <w:rPr>
          <w:rFonts w:ascii="Book Antiqua" w:eastAsia="Book Antiqua" w:hAnsi="Book Antiqua" w:cs="Book Antiqua"/>
          <w:color w:val="000000"/>
        </w:rPr>
        <w:t>T</w:t>
      </w:r>
      <w:r w:rsidRPr="00A45C44">
        <w:rPr>
          <w:rFonts w:ascii="Book Antiqua" w:eastAsia="Book Antiqua" w:hAnsi="Book Antiqua" w:cs="Book Antiqua"/>
          <w:color w:val="000000"/>
        </w:rPr>
        <w:t>he study type was RCT.</w:t>
      </w:r>
    </w:p>
    <w:p w14:paraId="058A3680" w14:textId="77777777" w:rsidR="00A77B3E" w:rsidRPr="00A45C44" w:rsidRDefault="006667D9" w:rsidP="00A45C44">
      <w:pPr>
        <w:spacing w:line="360" w:lineRule="auto"/>
        <w:ind w:firstLineChars="100" w:firstLine="240"/>
        <w:jc w:val="both"/>
        <w:rPr>
          <w:rFonts w:ascii="Book Antiqua" w:eastAsia="Book Antiqua" w:hAnsi="Book Antiqua" w:cs="Book Antiqua"/>
          <w:color w:val="000000"/>
        </w:rPr>
      </w:pPr>
      <w:r w:rsidRPr="00A45C44">
        <w:rPr>
          <w:rFonts w:ascii="Book Antiqua" w:eastAsia="Book Antiqua" w:hAnsi="Book Antiqua" w:cs="Book Antiqua"/>
          <w:color w:val="000000"/>
        </w:rPr>
        <w:t xml:space="preserve">Studies with criteria were excluded: (1) </w:t>
      </w:r>
      <w:r w:rsidR="00231A58" w:rsidRPr="00A45C44">
        <w:rPr>
          <w:rFonts w:ascii="Book Antiqua" w:eastAsia="Book Antiqua" w:hAnsi="Book Antiqua" w:cs="Book Antiqua"/>
          <w:color w:val="000000"/>
        </w:rPr>
        <w:t>P</w:t>
      </w:r>
      <w:r w:rsidRPr="00A45C44">
        <w:rPr>
          <w:rFonts w:ascii="Book Antiqua" w:eastAsia="Book Antiqua" w:hAnsi="Book Antiqua" w:cs="Book Antiqua"/>
          <w:color w:val="000000"/>
        </w:rPr>
        <w:t xml:space="preserve">atients experienced chemotherapy, immunotherapy, or any systemic therapy for NSCLC before; (2) </w:t>
      </w:r>
      <w:r w:rsidR="00231A58" w:rsidRPr="00A45C44">
        <w:rPr>
          <w:rFonts w:ascii="Book Antiqua" w:eastAsia="Book Antiqua" w:hAnsi="Book Antiqua" w:cs="Book Antiqua"/>
          <w:color w:val="000000"/>
        </w:rPr>
        <w:t>T</w:t>
      </w:r>
      <w:r w:rsidRPr="00A45C44">
        <w:rPr>
          <w:rFonts w:ascii="Book Antiqua" w:eastAsia="Book Antiqua" w:hAnsi="Book Antiqua" w:cs="Book Antiqua"/>
          <w:color w:val="000000"/>
        </w:rPr>
        <w:t xml:space="preserve">he study was a duplicate; and (3) </w:t>
      </w:r>
      <w:r w:rsidR="00231A58" w:rsidRPr="00A45C44">
        <w:rPr>
          <w:rFonts w:ascii="Book Antiqua" w:eastAsia="Book Antiqua" w:hAnsi="Book Antiqua" w:cs="Book Antiqua"/>
          <w:color w:val="000000"/>
        </w:rPr>
        <w:t>T</w:t>
      </w:r>
      <w:r w:rsidRPr="00A45C44">
        <w:rPr>
          <w:rFonts w:ascii="Book Antiqua" w:eastAsia="Book Antiqua" w:hAnsi="Book Antiqua" w:cs="Book Antiqua"/>
          <w:color w:val="000000"/>
        </w:rPr>
        <w:t>he data could not be extracted or obtained through contact with the author.</w:t>
      </w:r>
    </w:p>
    <w:p w14:paraId="22598838" w14:textId="77777777" w:rsidR="00231A58" w:rsidRPr="00A45C44" w:rsidRDefault="00231A58" w:rsidP="000A52F5">
      <w:pPr>
        <w:spacing w:line="360" w:lineRule="auto"/>
        <w:jc w:val="both"/>
        <w:rPr>
          <w:rFonts w:ascii="Book Antiqua" w:hAnsi="Book Antiqua"/>
        </w:rPr>
      </w:pPr>
    </w:p>
    <w:p w14:paraId="5FCB9D44" w14:textId="77777777" w:rsidR="00231A58" w:rsidRPr="00A45C44" w:rsidRDefault="006667D9" w:rsidP="00175753">
      <w:pPr>
        <w:spacing w:line="360" w:lineRule="auto"/>
        <w:jc w:val="both"/>
        <w:rPr>
          <w:rFonts w:ascii="Book Antiqua" w:hAnsi="Book Antiqua"/>
          <w:i/>
          <w:iCs/>
        </w:rPr>
      </w:pPr>
      <w:r w:rsidRPr="00A45C44">
        <w:rPr>
          <w:rFonts w:ascii="Book Antiqua" w:eastAsia="Book Antiqua" w:hAnsi="Book Antiqua" w:cs="Book Antiqua"/>
          <w:b/>
          <w:bCs/>
          <w:i/>
          <w:iCs/>
          <w:color w:val="000000"/>
        </w:rPr>
        <w:t>Data extraction and methodological quality</w:t>
      </w:r>
    </w:p>
    <w:p w14:paraId="215D1A23" w14:textId="77777777" w:rsidR="00A77B3E" w:rsidRPr="00A45C44" w:rsidRDefault="00A062B8" w:rsidP="00175753">
      <w:pPr>
        <w:spacing w:line="360" w:lineRule="auto"/>
        <w:jc w:val="both"/>
        <w:rPr>
          <w:rFonts w:ascii="Book Antiqua" w:hAnsi="Book Antiqua"/>
          <w:i/>
          <w:iCs/>
        </w:rPr>
      </w:pPr>
      <w:r w:rsidRPr="00A45C44">
        <w:rPr>
          <w:rFonts w:ascii="Book Antiqua" w:eastAsia="Book Antiqua" w:hAnsi="Book Antiqua" w:cs="Book Antiqua"/>
          <w:color w:val="000000"/>
        </w:rPr>
        <w:t>The data extracted were</w:t>
      </w:r>
      <w:r w:rsidR="006667D9" w:rsidRPr="00A45C44">
        <w:rPr>
          <w:rFonts w:ascii="Book Antiqua" w:eastAsia="Book Antiqua" w:hAnsi="Book Antiqua" w:cs="Book Antiqua"/>
          <w:color w:val="000000"/>
        </w:rPr>
        <w:t xml:space="preserve"> study design, patient characteristics, interventions, controls, and outcomes. The data acquisition </w:t>
      </w:r>
      <w:r w:rsidR="00046B75" w:rsidRPr="00A45C44">
        <w:rPr>
          <w:rFonts w:ascii="Book Antiqua" w:eastAsia="Book Antiqua" w:hAnsi="Book Antiqua" w:cs="Book Antiqua"/>
          <w:color w:val="000000"/>
        </w:rPr>
        <w:t>wa</w:t>
      </w:r>
      <w:r w:rsidR="006667D9" w:rsidRPr="00A45C44">
        <w:rPr>
          <w:rFonts w:ascii="Book Antiqua" w:eastAsia="Book Antiqua" w:hAnsi="Book Antiqua" w:cs="Book Antiqua"/>
          <w:color w:val="000000"/>
        </w:rPr>
        <w:t>s done independently by two authors.</w:t>
      </w:r>
    </w:p>
    <w:p w14:paraId="0BC081CA" w14:textId="77777777" w:rsidR="00A77B3E" w:rsidRPr="00A45C44" w:rsidRDefault="006667D9" w:rsidP="00175753">
      <w:pPr>
        <w:spacing w:line="360" w:lineRule="auto"/>
        <w:ind w:firstLineChars="100" w:firstLine="240"/>
        <w:jc w:val="both"/>
        <w:rPr>
          <w:rFonts w:ascii="Book Antiqua" w:eastAsia="Book Antiqua" w:hAnsi="Book Antiqua" w:cs="Book Antiqua"/>
          <w:color w:val="000000"/>
        </w:rPr>
      </w:pPr>
      <w:r w:rsidRPr="00A45C44">
        <w:rPr>
          <w:rFonts w:ascii="Book Antiqua" w:eastAsia="Book Antiqua" w:hAnsi="Book Antiqua" w:cs="Book Antiqua"/>
          <w:color w:val="000000"/>
        </w:rPr>
        <w:t>The methodological quality was mainly focused on five aspects, including randomization methods, stratification factors, double blind, follow-up,</w:t>
      </w:r>
      <w:r w:rsidR="00A062B8" w:rsidRPr="00A45C44">
        <w:rPr>
          <w:rFonts w:ascii="Book Antiqua" w:eastAsia="Book Antiqua" w:hAnsi="Book Antiqua" w:cs="Book Antiqua"/>
          <w:color w:val="000000"/>
        </w:rPr>
        <w:t xml:space="preserve"> and</w:t>
      </w:r>
      <w:r w:rsidRPr="00A45C44">
        <w:rPr>
          <w:rFonts w:ascii="Book Antiqua" w:eastAsia="Book Antiqua" w:hAnsi="Book Antiqua" w:cs="Book Antiqua"/>
          <w:color w:val="000000"/>
        </w:rPr>
        <w:t xml:space="preserve"> intent to treat, which were independently evaluated by two commentators. If there </w:t>
      </w:r>
      <w:r w:rsidR="00A967F7" w:rsidRPr="00A45C44">
        <w:rPr>
          <w:rFonts w:ascii="Book Antiqua" w:eastAsia="Book Antiqua" w:hAnsi="Book Antiqua" w:cs="Book Antiqua"/>
          <w:color w:val="000000"/>
        </w:rPr>
        <w:t>wa</w:t>
      </w:r>
      <w:r w:rsidRPr="00A45C44">
        <w:rPr>
          <w:rFonts w:ascii="Book Antiqua" w:eastAsia="Book Antiqua" w:hAnsi="Book Antiqua" w:cs="Book Antiqua"/>
          <w:color w:val="000000"/>
        </w:rPr>
        <w:t xml:space="preserve">s a dispute, a third reviewer was </w:t>
      </w:r>
      <w:r w:rsidR="00A967F7" w:rsidRPr="00A45C44">
        <w:rPr>
          <w:rFonts w:ascii="Book Antiqua" w:eastAsia="Book Antiqua" w:hAnsi="Book Antiqua" w:cs="Book Antiqua"/>
          <w:color w:val="000000"/>
        </w:rPr>
        <w:t>consulted</w:t>
      </w:r>
      <w:r w:rsidRPr="00A45C44">
        <w:rPr>
          <w:rFonts w:ascii="Book Antiqua" w:eastAsia="Book Antiqua" w:hAnsi="Book Antiqua" w:cs="Book Antiqua"/>
          <w:color w:val="000000"/>
        </w:rPr>
        <w:t>.</w:t>
      </w:r>
    </w:p>
    <w:p w14:paraId="733FEA63" w14:textId="77777777" w:rsidR="00231A58" w:rsidRPr="00A45C44" w:rsidRDefault="00231A58" w:rsidP="00175753">
      <w:pPr>
        <w:spacing w:line="360" w:lineRule="auto"/>
        <w:jc w:val="both"/>
        <w:rPr>
          <w:rFonts w:ascii="Book Antiqua" w:hAnsi="Book Antiqua"/>
        </w:rPr>
      </w:pPr>
    </w:p>
    <w:p w14:paraId="760FC728" w14:textId="77777777" w:rsidR="00A77B3E" w:rsidRPr="00A45C44" w:rsidRDefault="006667D9" w:rsidP="00175753">
      <w:pPr>
        <w:spacing w:line="360" w:lineRule="auto"/>
        <w:jc w:val="both"/>
        <w:rPr>
          <w:rFonts w:ascii="Book Antiqua" w:hAnsi="Book Antiqua"/>
          <w:i/>
          <w:iCs/>
        </w:rPr>
      </w:pPr>
      <w:r w:rsidRPr="00A45C44">
        <w:rPr>
          <w:rFonts w:ascii="Book Antiqua" w:eastAsia="Book Antiqua" w:hAnsi="Book Antiqua" w:cs="Book Antiqua"/>
          <w:b/>
          <w:bCs/>
          <w:i/>
          <w:iCs/>
          <w:color w:val="000000"/>
        </w:rPr>
        <w:t>Statistical analysis</w:t>
      </w:r>
    </w:p>
    <w:p w14:paraId="565838A6"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The hazard ratio (HR) was considered a reasonable effect size for OS and PFS outcomes after careful consideration. The existing HR with 95% </w:t>
      </w:r>
      <w:r w:rsidR="00A967F7" w:rsidRPr="00A45C44">
        <w:rPr>
          <w:rFonts w:ascii="Book Antiqua" w:eastAsia="Book Antiqua" w:hAnsi="Book Antiqua" w:cs="Book Antiqua"/>
          <w:color w:val="000000"/>
        </w:rPr>
        <w:t xml:space="preserve">confidence </w:t>
      </w:r>
      <w:r w:rsidRPr="00A45C44">
        <w:rPr>
          <w:rFonts w:ascii="Book Antiqua" w:eastAsia="Book Antiqua" w:hAnsi="Book Antiqua" w:cs="Book Antiqua"/>
          <w:color w:val="000000"/>
        </w:rPr>
        <w:t>interval (CI) values provided from the original research</w:t>
      </w:r>
      <w:r w:rsidR="00A967F7"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then HR data</w:t>
      </w:r>
      <w:r w:rsidR="00A967F7" w:rsidRPr="00A45C44">
        <w:rPr>
          <w:rFonts w:ascii="Book Antiqua" w:eastAsia="Book Antiqua" w:hAnsi="Book Antiqua" w:cs="Book Antiqua"/>
          <w:color w:val="000000"/>
        </w:rPr>
        <w:t xml:space="preserve"> was obtained</w:t>
      </w:r>
      <w:r w:rsidRPr="00A45C44">
        <w:rPr>
          <w:rFonts w:ascii="Book Antiqua" w:eastAsia="Book Antiqua" w:hAnsi="Book Antiqua" w:cs="Book Antiqua"/>
          <w:color w:val="000000"/>
        </w:rPr>
        <w:t>. If the HR and 95%CI values were not provided, the Kaplan-Meier survival curve</w:t>
      </w:r>
      <w:r w:rsidRPr="00A45C44">
        <w:rPr>
          <w:rFonts w:ascii="Book Antiqua" w:eastAsia="Book Antiqua" w:hAnsi="Book Antiqua" w:cs="Book Antiqua"/>
          <w:color w:val="000000"/>
          <w:vertAlign w:val="superscript"/>
        </w:rPr>
        <w:t>[18]</w:t>
      </w:r>
      <w:r w:rsidRPr="00A45C44">
        <w:rPr>
          <w:rFonts w:ascii="Book Antiqua" w:eastAsia="Book Antiqua" w:hAnsi="Book Antiqua" w:cs="Book Antiqua"/>
          <w:color w:val="000000"/>
        </w:rPr>
        <w:t xml:space="preserve"> </w:t>
      </w:r>
      <w:r w:rsidR="00A967F7" w:rsidRPr="00A45C44">
        <w:rPr>
          <w:rFonts w:ascii="Book Antiqua" w:eastAsia="Book Antiqua" w:hAnsi="Book Antiqua" w:cs="Book Antiqua"/>
          <w:color w:val="000000"/>
        </w:rPr>
        <w:t xml:space="preserve">was </w:t>
      </w:r>
      <w:r w:rsidRPr="00A45C44">
        <w:rPr>
          <w:rFonts w:ascii="Book Antiqua" w:eastAsia="Book Antiqua" w:hAnsi="Book Antiqua" w:cs="Book Antiqua"/>
          <w:color w:val="000000"/>
        </w:rPr>
        <w:t>adopted. The relative risk (RR) with 95%CI was employed for other dichotomous outcomes</w:t>
      </w:r>
      <w:r w:rsidRPr="00A45C44">
        <w:rPr>
          <w:rFonts w:ascii="Book Antiqua" w:eastAsia="Book Antiqua" w:hAnsi="Book Antiqua" w:cs="Book Antiqua"/>
          <w:color w:val="000000"/>
          <w:vertAlign w:val="superscript"/>
        </w:rPr>
        <w:t>[19,20]</w:t>
      </w:r>
      <w:r w:rsidRPr="00A45C44">
        <w:rPr>
          <w:rFonts w:ascii="Book Antiqua" w:eastAsia="Book Antiqua" w:hAnsi="Book Antiqua" w:cs="Book Antiqua"/>
          <w:color w:val="000000"/>
        </w:rPr>
        <w:t>. The statistical test was performed for heterogeneity</w:t>
      </w:r>
      <w:r w:rsidR="00631950"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w:t>
      </w:r>
      <w:r w:rsidRPr="00A45C44">
        <w:rPr>
          <w:rFonts w:ascii="Book Antiqua" w:eastAsia="Book Antiqua" w:hAnsi="Book Antiqua" w:cs="Book Antiqua"/>
          <w:i/>
          <w:iCs/>
          <w:color w:val="000000"/>
        </w:rPr>
        <w:t>I</w:t>
      </w:r>
      <w:r w:rsidRPr="00A45C44">
        <w:rPr>
          <w:rFonts w:ascii="Book Antiqua" w:eastAsia="Book Antiqua" w:hAnsi="Book Antiqua" w:cs="Book Antiqua"/>
          <w:color w:val="000000"/>
          <w:vertAlign w:val="superscript"/>
        </w:rPr>
        <w:t>2</w:t>
      </w:r>
      <w:r w:rsidR="00231A58"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&gt;</w:t>
      </w:r>
      <w:r w:rsidR="00231A58"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 xml:space="preserve">40% and </w:t>
      </w:r>
      <w:r w:rsidRPr="00A45C44">
        <w:rPr>
          <w:rFonts w:ascii="Book Antiqua" w:eastAsia="Book Antiqua" w:hAnsi="Book Antiqua" w:cs="Book Antiqua"/>
          <w:i/>
          <w:iCs/>
          <w:color w:val="000000"/>
        </w:rPr>
        <w:t>P</w:t>
      </w:r>
      <w:r w:rsidR="00231A58"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&lt;</w:t>
      </w:r>
      <w:r w:rsidR="00231A58"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0.1 were considered as evidence for heterogeneity as well</w:t>
      </w:r>
      <w:r w:rsidRPr="00A45C44">
        <w:rPr>
          <w:rFonts w:ascii="Book Antiqua" w:eastAsia="Book Antiqua" w:hAnsi="Book Antiqua" w:cs="Book Antiqua"/>
          <w:color w:val="000000"/>
          <w:vertAlign w:val="superscript"/>
        </w:rPr>
        <w:t>[20]</w:t>
      </w:r>
      <w:r w:rsidRPr="00A45C44">
        <w:rPr>
          <w:rFonts w:ascii="Book Antiqua" w:eastAsia="Book Antiqua" w:hAnsi="Book Antiqua" w:cs="Book Antiqua"/>
          <w:color w:val="000000"/>
        </w:rPr>
        <w:t>. There is a theory that i</w:t>
      </w:r>
      <w:r w:rsidR="00631950" w:rsidRPr="00A45C44">
        <w:rPr>
          <w:rFonts w:ascii="Book Antiqua" w:eastAsia="Book Antiqua" w:hAnsi="Book Antiqua" w:cs="Book Antiqua"/>
          <w:color w:val="000000"/>
        </w:rPr>
        <w:t>f</w:t>
      </w:r>
      <w:r w:rsidRPr="00A45C44">
        <w:rPr>
          <w:rFonts w:ascii="Book Antiqua" w:eastAsia="Book Antiqua" w:hAnsi="Book Antiqua" w:cs="Book Antiqua"/>
          <w:color w:val="000000"/>
        </w:rPr>
        <w:t xml:space="preserve"> the condition of the data were homogeneous under a fixed-effects model, </w:t>
      </w:r>
      <w:r w:rsidR="00631950" w:rsidRPr="00A45C44">
        <w:rPr>
          <w:rFonts w:ascii="Book Antiqua" w:eastAsia="Book Antiqua" w:hAnsi="Book Antiqua" w:cs="Book Antiqua"/>
          <w:color w:val="000000"/>
        </w:rPr>
        <w:t xml:space="preserve">then </w:t>
      </w:r>
      <w:r w:rsidRPr="00A45C44">
        <w:rPr>
          <w:rFonts w:ascii="Book Antiqua" w:eastAsia="Book Antiqua" w:hAnsi="Book Antiqua" w:cs="Book Antiqua"/>
          <w:color w:val="000000"/>
        </w:rPr>
        <w:t xml:space="preserve">the heterogeneity of the results was derived from the type of </w:t>
      </w:r>
      <w:r w:rsidR="00631950" w:rsidRPr="00A45C44">
        <w:rPr>
          <w:rFonts w:ascii="Book Antiqua" w:eastAsia="Book Antiqua" w:hAnsi="Book Antiqua" w:cs="Book Antiqua"/>
          <w:color w:val="000000"/>
        </w:rPr>
        <w:t>C</w:t>
      </w:r>
      <w:r w:rsidRPr="00A45C44">
        <w:rPr>
          <w:rFonts w:ascii="Book Antiqua" w:eastAsia="Book Antiqua" w:hAnsi="Book Antiqua" w:cs="Book Antiqua"/>
          <w:color w:val="000000"/>
        </w:rPr>
        <w:t xml:space="preserve">ox inhibitor and the difference in treatment line. Based on these modifiers, subgroups were conducted to address and analyze the heterogeneity. Ideally, the data are still heterogeneous, for which we introduce a stochastic effect model. The fixed-effects model was used instead when </w:t>
      </w:r>
      <w:r w:rsidRPr="00A45C44">
        <w:rPr>
          <w:rFonts w:ascii="Book Antiqua" w:eastAsia="Book Antiqua" w:hAnsi="Book Antiqua" w:cs="Book Antiqua"/>
          <w:i/>
          <w:iCs/>
          <w:color w:val="000000"/>
        </w:rPr>
        <w:t>I</w:t>
      </w:r>
      <w:r w:rsidRPr="00A45C44">
        <w:rPr>
          <w:rFonts w:ascii="Book Antiqua" w:eastAsia="Book Antiqua" w:hAnsi="Book Antiqua" w:cs="Book Antiqua"/>
          <w:color w:val="000000"/>
          <w:vertAlign w:val="superscript"/>
        </w:rPr>
        <w:t>2</w:t>
      </w:r>
      <w:r w:rsidRPr="00A45C44">
        <w:rPr>
          <w:rFonts w:ascii="Book Antiqua" w:eastAsia="Book Antiqua" w:hAnsi="Book Antiqua" w:cs="Book Antiqua"/>
          <w:color w:val="000000"/>
        </w:rPr>
        <w:t xml:space="preserve"> ≤</w:t>
      </w:r>
      <w:r w:rsidR="00231A58"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40%</w:t>
      </w:r>
      <w:r w:rsidRPr="00A45C44">
        <w:rPr>
          <w:rFonts w:ascii="Book Antiqua" w:eastAsia="Book Antiqua" w:hAnsi="Book Antiqua" w:cs="Book Antiqua"/>
          <w:color w:val="000000"/>
          <w:vertAlign w:val="superscript"/>
        </w:rPr>
        <w:t>[21]</w:t>
      </w:r>
      <w:r w:rsidRPr="00A45C44">
        <w:rPr>
          <w:rFonts w:ascii="Book Antiqua" w:eastAsia="Book Antiqua" w:hAnsi="Book Antiqua" w:cs="Book Antiqua"/>
          <w:color w:val="000000"/>
        </w:rPr>
        <w:t xml:space="preserve">. Besides treatment line (first-line and second-line) and phase (II and III), </w:t>
      </w:r>
      <w:r w:rsidR="00AE5134" w:rsidRPr="00A45C44">
        <w:rPr>
          <w:rFonts w:ascii="Book Antiqua" w:eastAsia="Book Antiqua" w:hAnsi="Book Antiqua" w:cs="Book Antiqua"/>
          <w:color w:val="000000"/>
        </w:rPr>
        <w:t>COX-2</w:t>
      </w:r>
      <w:r w:rsidRPr="00A45C44">
        <w:rPr>
          <w:rFonts w:ascii="Book Antiqua" w:eastAsia="Book Antiqua" w:hAnsi="Book Antiqua" w:cs="Book Antiqua"/>
          <w:color w:val="000000"/>
        </w:rPr>
        <w:t xml:space="preserve"> inhibitor types (celecoxib, rofecoxib</w:t>
      </w:r>
      <w:r w:rsidR="001B3A62"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apricoxib) were also identified as significant source of heterogeneity. Egger’s test </w:t>
      </w:r>
      <w:r w:rsidR="001B3A62" w:rsidRPr="00A45C44">
        <w:rPr>
          <w:rFonts w:ascii="Book Antiqua" w:eastAsia="Book Antiqua" w:hAnsi="Book Antiqua" w:cs="Book Antiqua"/>
          <w:color w:val="000000"/>
        </w:rPr>
        <w:t>wa</w:t>
      </w:r>
      <w:r w:rsidRPr="00A45C44">
        <w:rPr>
          <w:rFonts w:ascii="Book Antiqua" w:eastAsia="Book Antiqua" w:hAnsi="Book Antiqua" w:cs="Book Antiqua"/>
          <w:color w:val="000000"/>
        </w:rPr>
        <w:t>s a methodological tool to solve quantitative detection publication bias</w:t>
      </w:r>
      <w:r w:rsidRPr="00A45C44">
        <w:rPr>
          <w:rFonts w:ascii="Book Antiqua" w:eastAsia="Book Antiqua" w:hAnsi="Book Antiqua" w:cs="Book Antiqua"/>
          <w:color w:val="000000"/>
          <w:vertAlign w:val="superscript"/>
        </w:rPr>
        <w:t>[20]</w:t>
      </w:r>
      <w:r w:rsidRPr="00A45C44">
        <w:rPr>
          <w:rFonts w:ascii="Book Antiqua" w:eastAsia="Book Antiqua" w:hAnsi="Book Antiqua" w:cs="Book Antiqua"/>
          <w:color w:val="000000"/>
        </w:rPr>
        <w:t>. All data analyses were performed by R 5.3.1 software.</w:t>
      </w:r>
    </w:p>
    <w:p w14:paraId="11822088" w14:textId="77777777" w:rsidR="00A77B3E" w:rsidRPr="00A45C44" w:rsidRDefault="00A77B3E" w:rsidP="00175753">
      <w:pPr>
        <w:spacing w:line="360" w:lineRule="auto"/>
        <w:jc w:val="both"/>
        <w:rPr>
          <w:rFonts w:ascii="Book Antiqua" w:hAnsi="Book Antiqua"/>
        </w:rPr>
      </w:pPr>
    </w:p>
    <w:p w14:paraId="4826CE48"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aps/>
          <w:color w:val="000000"/>
          <w:u w:val="single"/>
        </w:rPr>
        <w:t>RESULTS</w:t>
      </w:r>
    </w:p>
    <w:p w14:paraId="13C487EF" w14:textId="77777777" w:rsidR="00A77B3E" w:rsidRPr="00A45C44" w:rsidRDefault="006667D9" w:rsidP="00175753">
      <w:pPr>
        <w:spacing w:line="360" w:lineRule="auto"/>
        <w:jc w:val="both"/>
        <w:rPr>
          <w:rFonts w:ascii="Book Antiqua" w:hAnsi="Book Antiqua"/>
          <w:i/>
          <w:iCs/>
        </w:rPr>
      </w:pPr>
      <w:r w:rsidRPr="00A45C44">
        <w:rPr>
          <w:rFonts w:ascii="Book Antiqua" w:eastAsia="Book Antiqua" w:hAnsi="Book Antiqua" w:cs="Book Antiqua"/>
          <w:b/>
          <w:bCs/>
          <w:i/>
          <w:iCs/>
          <w:color w:val="000000"/>
        </w:rPr>
        <w:t>Characteristics of included studies</w:t>
      </w:r>
    </w:p>
    <w:p w14:paraId="759FA540" w14:textId="77777777" w:rsidR="00A77B3E" w:rsidRPr="00682DE0" w:rsidRDefault="006667D9" w:rsidP="00175753">
      <w:pPr>
        <w:spacing w:line="360" w:lineRule="auto"/>
        <w:jc w:val="both"/>
        <w:rPr>
          <w:rFonts w:ascii="Book Antiqua" w:eastAsia="Book Antiqua" w:hAnsi="Book Antiqua" w:cs="Book Antiqua"/>
          <w:color w:val="000000" w:themeColor="text1"/>
        </w:rPr>
      </w:pPr>
      <w:r w:rsidRPr="00A45C44">
        <w:rPr>
          <w:rFonts w:ascii="Book Antiqua" w:eastAsia="Book Antiqua" w:hAnsi="Book Antiqua" w:cs="Book Antiqua"/>
          <w:color w:val="000000"/>
        </w:rPr>
        <w:t xml:space="preserve">There are 1328 publications picked from the six databases (Figure 1). Ultimately, </w:t>
      </w:r>
      <w:r w:rsidR="00175753">
        <w:rPr>
          <w:rFonts w:ascii="Book Antiqua" w:eastAsia="Book Antiqua" w:hAnsi="Book Antiqua" w:cs="Book Antiqua"/>
          <w:color w:val="000000"/>
        </w:rPr>
        <w:t>12</w:t>
      </w:r>
      <w:r w:rsidR="00175753"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studies</w:t>
      </w:r>
      <w:r w:rsidRPr="00A45C44">
        <w:rPr>
          <w:rFonts w:ascii="Book Antiqua" w:eastAsia="Book Antiqua" w:hAnsi="Book Antiqua" w:cs="Book Antiqua"/>
          <w:color w:val="000000"/>
          <w:vertAlign w:val="superscript"/>
        </w:rPr>
        <w:t>[22-33]</w:t>
      </w:r>
      <w:r w:rsidRPr="00A45C44">
        <w:rPr>
          <w:rFonts w:ascii="Book Antiqua" w:eastAsia="Book Antiqua" w:hAnsi="Book Antiqua" w:cs="Book Antiqua"/>
          <w:color w:val="000000"/>
        </w:rPr>
        <w:t xml:space="preserve"> </w:t>
      </w:r>
      <w:r w:rsidRPr="00682DE0">
        <w:rPr>
          <w:rFonts w:ascii="Book Antiqua" w:eastAsia="Book Antiqua" w:hAnsi="Book Antiqua" w:cs="Book Antiqua"/>
          <w:color w:val="000000" w:themeColor="text1"/>
        </w:rPr>
        <w:t>involving 2273 patients were screened and included in this meta-analysis. The COX-2</w:t>
      </w:r>
      <w:r w:rsidR="00EA16C3" w:rsidRPr="00682DE0">
        <w:rPr>
          <w:rFonts w:ascii="Book Antiqua" w:eastAsia="Book Antiqua" w:hAnsi="Book Antiqua" w:cs="Book Antiqua"/>
          <w:color w:val="000000" w:themeColor="text1"/>
        </w:rPr>
        <w:t xml:space="preserve"> inhibitors</w:t>
      </w:r>
      <w:r w:rsidRPr="00682DE0">
        <w:rPr>
          <w:rFonts w:ascii="Book Antiqua" w:eastAsia="Book Antiqua" w:hAnsi="Book Antiqua" w:cs="Book Antiqua"/>
          <w:color w:val="000000" w:themeColor="text1"/>
        </w:rPr>
        <w:t>, including celecoxib, apricoxib, and rofecoxib, were adopted in these studies and with most of the trials</w:t>
      </w:r>
      <w:r w:rsidR="00EA16C3"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opting for celecoxib. Only three studies chose rofecoxib</w:t>
      </w:r>
      <w:r w:rsidR="00EA16C3" w:rsidRPr="00682DE0">
        <w:rPr>
          <w:rFonts w:ascii="Book Antiqua" w:eastAsia="Book Antiqua" w:hAnsi="Book Antiqua" w:cs="Book Antiqua"/>
          <w:color w:val="000000" w:themeColor="text1"/>
        </w:rPr>
        <w:t xml:space="preserve"> or </w:t>
      </w:r>
      <w:r w:rsidRPr="00682DE0">
        <w:rPr>
          <w:rFonts w:ascii="Book Antiqua" w:eastAsia="Book Antiqua" w:hAnsi="Book Antiqua" w:cs="Book Antiqua"/>
          <w:color w:val="000000" w:themeColor="text1"/>
        </w:rPr>
        <w:t xml:space="preserve">apricoxib. Table 1 showed the characteristics of </w:t>
      </w:r>
      <w:r w:rsidR="00EA16C3" w:rsidRPr="00682DE0">
        <w:rPr>
          <w:rFonts w:ascii="Book Antiqua" w:eastAsia="Book Antiqua" w:hAnsi="Book Antiqua" w:cs="Book Antiqua"/>
          <w:color w:val="000000" w:themeColor="text1"/>
        </w:rPr>
        <w:t xml:space="preserve">the </w:t>
      </w:r>
      <w:r w:rsidR="00A45C44">
        <w:rPr>
          <w:rFonts w:ascii="Book Antiqua" w:eastAsia="Book Antiqua" w:hAnsi="Book Antiqua" w:cs="Book Antiqua"/>
          <w:color w:val="000000" w:themeColor="text1"/>
        </w:rPr>
        <w:t>12</w:t>
      </w:r>
      <w:r w:rsidR="00A45C4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studies.</w:t>
      </w:r>
    </w:p>
    <w:p w14:paraId="089388C1" w14:textId="77777777" w:rsidR="006667D9" w:rsidRPr="00682DE0" w:rsidRDefault="006667D9" w:rsidP="00175753">
      <w:pPr>
        <w:spacing w:line="360" w:lineRule="auto"/>
        <w:jc w:val="both"/>
        <w:rPr>
          <w:rFonts w:ascii="Book Antiqua" w:hAnsi="Book Antiqua"/>
          <w:color w:val="000000" w:themeColor="text1"/>
        </w:rPr>
      </w:pPr>
    </w:p>
    <w:p w14:paraId="1EF21B5F" w14:textId="77777777" w:rsidR="00A77B3E" w:rsidRPr="00682DE0" w:rsidRDefault="006667D9" w:rsidP="00175753">
      <w:pPr>
        <w:spacing w:line="360" w:lineRule="auto"/>
        <w:jc w:val="both"/>
        <w:rPr>
          <w:rFonts w:ascii="Book Antiqua" w:hAnsi="Book Antiqua"/>
          <w:i/>
          <w:iCs/>
          <w:color w:val="000000" w:themeColor="text1"/>
        </w:rPr>
      </w:pPr>
      <w:r w:rsidRPr="00682DE0">
        <w:rPr>
          <w:rFonts w:ascii="Book Antiqua" w:eastAsia="Book Antiqua" w:hAnsi="Book Antiqua" w:cs="Book Antiqua"/>
          <w:b/>
          <w:bCs/>
          <w:i/>
          <w:iCs/>
          <w:color w:val="000000" w:themeColor="text1"/>
        </w:rPr>
        <w:t>Methodological quality</w:t>
      </w:r>
    </w:p>
    <w:p w14:paraId="4910DB63" w14:textId="77777777" w:rsidR="00A77B3E" w:rsidRPr="00682DE0" w:rsidRDefault="006667D9" w:rsidP="00175753">
      <w:pPr>
        <w:spacing w:line="360" w:lineRule="auto"/>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t xml:space="preserve">Of these </w:t>
      </w:r>
      <w:r w:rsidR="00175753">
        <w:rPr>
          <w:rFonts w:ascii="Book Antiqua" w:eastAsia="Book Antiqua" w:hAnsi="Book Antiqua" w:cs="Book Antiqua"/>
          <w:color w:val="000000" w:themeColor="text1"/>
        </w:rPr>
        <w:t>12</w:t>
      </w:r>
      <w:r w:rsidR="00175753"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studies, only two trials</w:t>
      </w:r>
      <w:r w:rsidRPr="00682DE0">
        <w:rPr>
          <w:rFonts w:ascii="Book Antiqua" w:eastAsia="Book Antiqua" w:hAnsi="Book Antiqua" w:cs="Book Antiqua"/>
          <w:color w:val="000000" w:themeColor="text1"/>
          <w:vertAlign w:val="superscript"/>
        </w:rPr>
        <w:t>[31,33]</w:t>
      </w:r>
      <w:r w:rsidRPr="00682DE0">
        <w:rPr>
          <w:rFonts w:ascii="Book Antiqua" w:eastAsia="Book Antiqua" w:hAnsi="Book Antiqua" w:cs="Book Antiqua"/>
          <w:color w:val="000000" w:themeColor="text1"/>
        </w:rPr>
        <w:t xml:space="preserve"> have not reported a random component in their sequence-generation process. Five studies</w:t>
      </w:r>
      <w:r w:rsidRPr="00682DE0">
        <w:rPr>
          <w:rFonts w:ascii="Book Antiqua" w:eastAsia="Book Antiqua" w:hAnsi="Book Antiqua" w:cs="Book Antiqua"/>
          <w:color w:val="000000" w:themeColor="text1"/>
          <w:vertAlign w:val="superscript"/>
        </w:rPr>
        <w:t>[24,26,27,32,33]</w:t>
      </w:r>
      <w:r w:rsidRPr="00682DE0">
        <w:rPr>
          <w:rFonts w:ascii="Book Antiqua" w:eastAsia="Book Antiqua" w:hAnsi="Book Antiqua" w:cs="Book Antiqua"/>
          <w:color w:val="000000" w:themeColor="text1"/>
        </w:rPr>
        <w:t xml:space="preserve"> were designed with a double-blind trial. Although only five studies</w:t>
      </w:r>
      <w:r w:rsidRPr="00682DE0">
        <w:rPr>
          <w:rFonts w:ascii="Book Antiqua" w:eastAsia="Book Antiqua" w:hAnsi="Book Antiqua" w:cs="Book Antiqua"/>
          <w:color w:val="000000" w:themeColor="text1"/>
          <w:vertAlign w:val="superscript"/>
        </w:rPr>
        <w:t>[9,12,23,24,27]</w:t>
      </w:r>
      <w:r w:rsidRPr="00682DE0">
        <w:rPr>
          <w:rFonts w:ascii="Book Antiqua" w:eastAsia="Book Antiqua" w:hAnsi="Book Antiqua" w:cs="Book Antiqua"/>
          <w:color w:val="000000" w:themeColor="text1"/>
        </w:rPr>
        <w:t xml:space="preserve"> described specific follow-up times, and all studies used intention-to-treat strategy in the evaluation of outcome measures with the exception of one study</w:t>
      </w:r>
      <w:r w:rsidRPr="00682DE0">
        <w:rPr>
          <w:rFonts w:ascii="Book Antiqua" w:eastAsia="Book Antiqua" w:hAnsi="Book Antiqua" w:cs="Book Antiqua"/>
          <w:color w:val="000000" w:themeColor="text1"/>
          <w:vertAlign w:val="superscript"/>
        </w:rPr>
        <w:t>[29]</w:t>
      </w:r>
      <w:r w:rsidRPr="00682DE0">
        <w:rPr>
          <w:rFonts w:ascii="Book Antiqua" w:eastAsia="Book Antiqua" w:hAnsi="Book Antiqua" w:cs="Book Antiqua"/>
          <w:color w:val="000000" w:themeColor="text1"/>
        </w:rPr>
        <w:t>. The result of methodological quality is shown in Table 2.</w:t>
      </w:r>
    </w:p>
    <w:p w14:paraId="26BD3092" w14:textId="77777777" w:rsidR="006667D9" w:rsidRPr="00682DE0" w:rsidRDefault="006667D9" w:rsidP="00175753">
      <w:pPr>
        <w:spacing w:line="360" w:lineRule="auto"/>
        <w:jc w:val="both"/>
        <w:rPr>
          <w:rFonts w:ascii="Book Antiqua" w:hAnsi="Book Antiqua"/>
          <w:color w:val="000000" w:themeColor="text1"/>
        </w:rPr>
      </w:pPr>
    </w:p>
    <w:p w14:paraId="42FD0F14" w14:textId="77777777" w:rsidR="00A77B3E" w:rsidRPr="00682DE0" w:rsidRDefault="006667D9" w:rsidP="00175753">
      <w:pPr>
        <w:spacing w:line="360" w:lineRule="auto"/>
        <w:jc w:val="both"/>
        <w:rPr>
          <w:rFonts w:ascii="Book Antiqua" w:hAnsi="Book Antiqua"/>
          <w:i/>
          <w:iCs/>
          <w:color w:val="000000" w:themeColor="text1"/>
        </w:rPr>
      </w:pPr>
      <w:r w:rsidRPr="00682DE0">
        <w:rPr>
          <w:rFonts w:ascii="Book Antiqua" w:eastAsia="Book Antiqua" w:hAnsi="Book Antiqua" w:cs="Book Antiqua"/>
          <w:b/>
          <w:bCs/>
          <w:i/>
          <w:iCs/>
          <w:color w:val="000000" w:themeColor="text1"/>
        </w:rPr>
        <w:t>Results of primary outcomes</w:t>
      </w:r>
    </w:p>
    <w:p w14:paraId="01385B65" w14:textId="77777777" w:rsidR="00A77B3E" w:rsidRPr="00682DE0" w:rsidRDefault="006667D9" w:rsidP="00175753">
      <w:pPr>
        <w:spacing w:line="360" w:lineRule="auto"/>
        <w:jc w:val="both"/>
        <w:rPr>
          <w:rFonts w:ascii="Book Antiqua" w:hAnsi="Book Antiqua"/>
          <w:color w:val="000000" w:themeColor="text1"/>
        </w:rPr>
      </w:pPr>
      <w:r w:rsidRPr="00682DE0">
        <w:rPr>
          <w:rFonts w:ascii="Book Antiqua" w:eastAsia="Book Antiqua" w:hAnsi="Book Antiqua" w:cs="Book Antiqua"/>
          <w:b/>
          <w:bCs/>
          <w:color w:val="000000" w:themeColor="text1"/>
        </w:rPr>
        <w:t>O</w:t>
      </w:r>
      <w:r w:rsidR="00B81E4B" w:rsidRPr="00682DE0">
        <w:rPr>
          <w:rFonts w:ascii="Book Antiqua" w:eastAsia="Book Antiqua" w:hAnsi="Book Antiqua" w:cs="Book Antiqua"/>
          <w:b/>
          <w:bCs/>
          <w:color w:val="000000" w:themeColor="text1"/>
        </w:rPr>
        <w:t>S</w:t>
      </w:r>
      <w:r w:rsidRPr="00682DE0">
        <w:rPr>
          <w:rFonts w:ascii="Book Antiqua" w:eastAsia="Book Antiqua" w:hAnsi="Book Antiqua" w:cs="Book Antiqua"/>
          <w:b/>
          <w:bCs/>
          <w:color w:val="000000" w:themeColor="text1"/>
        </w:rPr>
        <w:t xml:space="preserve">: </w:t>
      </w:r>
      <w:r w:rsidRPr="00682DE0">
        <w:rPr>
          <w:rFonts w:ascii="Book Antiqua" w:eastAsia="Book Antiqua" w:hAnsi="Book Antiqua" w:cs="Book Antiqua"/>
          <w:color w:val="000000" w:themeColor="text1"/>
        </w:rPr>
        <w:t xml:space="preserve">A total of </w:t>
      </w:r>
      <w:r w:rsidR="007C16E0" w:rsidRPr="00682DE0">
        <w:rPr>
          <w:rFonts w:ascii="Book Antiqua" w:eastAsia="Book Antiqua" w:hAnsi="Book Antiqua" w:cs="Book Antiqua"/>
          <w:color w:val="000000" w:themeColor="text1"/>
        </w:rPr>
        <w:t>seven</w:t>
      </w:r>
      <w:r w:rsidRPr="00682DE0">
        <w:rPr>
          <w:rFonts w:ascii="Book Antiqua" w:eastAsia="Book Antiqua" w:hAnsi="Book Antiqua" w:cs="Book Antiqua"/>
          <w:color w:val="000000" w:themeColor="text1"/>
        </w:rPr>
        <w:t xml:space="preserve"> studies</w:t>
      </w:r>
      <w:r w:rsidR="007C16E0"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showed that compared with chemotherapy alone the result of combinations of treatments revealed that there </w:t>
      </w:r>
      <w:r w:rsidR="007C16E0" w:rsidRPr="00682DE0">
        <w:rPr>
          <w:rFonts w:ascii="Book Antiqua" w:eastAsia="Book Antiqua" w:hAnsi="Book Antiqua" w:cs="Book Antiqua"/>
          <w:color w:val="000000" w:themeColor="text1"/>
        </w:rPr>
        <w:t>wa</w:t>
      </w:r>
      <w:r w:rsidRPr="00682DE0">
        <w:rPr>
          <w:rFonts w:ascii="Book Antiqua" w:eastAsia="Book Antiqua" w:hAnsi="Book Antiqua" w:cs="Book Antiqua"/>
          <w:color w:val="000000" w:themeColor="text1"/>
        </w:rPr>
        <w:t xml:space="preserve">s no statistically significant difference in OS (HR = 1.08,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0.96 to 1.22; </w:t>
      </w:r>
      <w:r w:rsidRPr="00682DE0">
        <w:rPr>
          <w:rFonts w:ascii="Book Antiqua" w:eastAsia="Book Antiqua" w:hAnsi="Book Antiqua" w:cs="Book Antiqua"/>
          <w:i/>
          <w:iCs/>
          <w:color w:val="000000" w:themeColor="text1"/>
        </w:rPr>
        <w:t>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0%) (Figure 2).</w:t>
      </w:r>
    </w:p>
    <w:p w14:paraId="6A16DF19" w14:textId="77777777" w:rsidR="00A77B3E" w:rsidRPr="00682DE0" w:rsidRDefault="006667D9" w:rsidP="00175753">
      <w:pPr>
        <w:spacing w:line="360" w:lineRule="auto"/>
        <w:ind w:firstLineChars="100" w:firstLine="240"/>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t xml:space="preserve">In order to evaluate the </w:t>
      </w:r>
      <w:r w:rsidR="00231A58" w:rsidRPr="00682DE0">
        <w:rPr>
          <w:rFonts w:ascii="Book Antiqua" w:eastAsia="Book Antiqua" w:hAnsi="Book Antiqua" w:cs="Book Antiqua"/>
          <w:color w:val="000000" w:themeColor="text1"/>
        </w:rPr>
        <w:t>CB</w:t>
      </w:r>
      <w:r w:rsidRPr="00682DE0">
        <w:rPr>
          <w:rFonts w:ascii="Book Antiqua" w:eastAsia="Book Antiqua" w:hAnsi="Book Antiqua" w:cs="Book Antiqua"/>
          <w:color w:val="000000" w:themeColor="text1"/>
        </w:rPr>
        <w:t xml:space="preserve"> of COX-2 inhibitors, the subgroup analyses were conducted according to the type of COX-2 inhibitor and treatment line. </w:t>
      </w:r>
      <w:r w:rsidR="0035794A" w:rsidRPr="00682DE0">
        <w:rPr>
          <w:rFonts w:ascii="Book Antiqua" w:eastAsia="Book Antiqua" w:hAnsi="Book Antiqua" w:cs="Book Antiqua"/>
          <w:color w:val="000000" w:themeColor="text1"/>
        </w:rPr>
        <w:t>N</w:t>
      </w:r>
      <w:r w:rsidRPr="00682DE0">
        <w:rPr>
          <w:rFonts w:ascii="Book Antiqua" w:eastAsia="Book Antiqua" w:hAnsi="Book Antiqua" w:cs="Book Antiqua"/>
          <w:color w:val="000000" w:themeColor="text1"/>
        </w:rPr>
        <w:t xml:space="preserve">o </w:t>
      </w:r>
      <w:r w:rsidR="00231A58" w:rsidRPr="00682DE0">
        <w:rPr>
          <w:rFonts w:ascii="Book Antiqua" w:eastAsia="Book Antiqua" w:hAnsi="Book Antiqua" w:cs="Book Antiqua"/>
          <w:color w:val="000000" w:themeColor="text1"/>
        </w:rPr>
        <w:t>CB</w:t>
      </w:r>
      <w:r w:rsidRPr="00682DE0">
        <w:rPr>
          <w:rFonts w:ascii="Book Antiqua" w:eastAsia="Book Antiqua" w:hAnsi="Book Antiqua" w:cs="Book Antiqua"/>
          <w:color w:val="000000" w:themeColor="text1"/>
        </w:rPr>
        <w:t xml:space="preserve"> in OS was observed among the groups: </w:t>
      </w:r>
      <w:r w:rsidR="0035794A" w:rsidRPr="00682DE0">
        <w:rPr>
          <w:rFonts w:ascii="Book Antiqua" w:eastAsia="Book Antiqua" w:hAnsi="Book Antiqua" w:cs="Book Antiqua"/>
          <w:color w:val="000000" w:themeColor="text1"/>
        </w:rPr>
        <w:t>a</w:t>
      </w:r>
      <w:r w:rsidRPr="00682DE0">
        <w:rPr>
          <w:rFonts w:ascii="Book Antiqua" w:eastAsia="Book Antiqua" w:hAnsi="Book Antiqua" w:cs="Book Antiqua"/>
          <w:color w:val="000000" w:themeColor="text1"/>
        </w:rPr>
        <w:t xml:space="preserve">pricoxib (HR = 1.04,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0.64 to 1.69), celecoxib (HR = 1.10,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0.96 to 1.27), and rofecoxib (HR = 1.00,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0.75 to 1.34) (Figure 2A). Conducting subgroups by the type of treatment line compared with chemotherapy alone, the COX-2 inhibitors plus chemotherapy of first-line treatment (HR = 1.06,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0.93 to 1.21) and second-line treatment (HR = 1.19,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0.88 to 1.60) were no</w:t>
      </w:r>
      <w:r w:rsidR="0035794A" w:rsidRPr="00682DE0">
        <w:rPr>
          <w:rFonts w:ascii="Book Antiqua" w:eastAsia="Book Antiqua" w:hAnsi="Book Antiqua" w:cs="Book Antiqua"/>
          <w:color w:val="000000" w:themeColor="text1"/>
        </w:rPr>
        <w:t>t</w:t>
      </w:r>
      <w:r w:rsidRPr="00682DE0">
        <w:rPr>
          <w:rFonts w:ascii="Book Antiqua" w:eastAsia="Book Antiqua" w:hAnsi="Book Antiqua" w:cs="Book Antiqua"/>
          <w:color w:val="000000" w:themeColor="text1"/>
        </w:rPr>
        <w:t xml:space="preserve"> statistica</w:t>
      </w:r>
      <w:r w:rsidR="0035794A" w:rsidRPr="00682DE0">
        <w:rPr>
          <w:rFonts w:ascii="Book Antiqua" w:eastAsia="Book Antiqua" w:hAnsi="Book Antiqua" w:cs="Book Antiqua"/>
          <w:color w:val="000000" w:themeColor="text1"/>
        </w:rPr>
        <w:t>l</w:t>
      </w:r>
      <w:r w:rsidRPr="00682DE0">
        <w:rPr>
          <w:rFonts w:ascii="Book Antiqua" w:eastAsia="Book Antiqua" w:hAnsi="Book Antiqua" w:cs="Book Antiqua"/>
          <w:color w:val="000000" w:themeColor="text1"/>
        </w:rPr>
        <w:t>l</w:t>
      </w:r>
      <w:r w:rsidR="0035794A" w:rsidRPr="00682DE0">
        <w:rPr>
          <w:rFonts w:ascii="Book Antiqua" w:eastAsia="Book Antiqua" w:hAnsi="Book Antiqua" w:cs="Book Antiqua"/>
          <w:color w:val="000000" w:themeColor="text1"/>
        </w:rPr>
        <w:t>y</w:t>
      </w:r>
      <w:r w:rsidRPr="00682DE0">
        <w:rPr>
          <w:rFonts w:ascii="Book Antiqua" w:eastAsia="Book Antiqua" w:hAnsi="Book Antiqua" w:cs="Book Antiqua"/>
          <w:color w:val="000000" w:themeColor="text1"/>
        </w:rPr>
        <w:t xml:space="preserve"> </w:t>
      </w:r>
      <w:r w:rsidR="0035794A" w:rsidRPr="00682DE0">
        <w:rPr>
          <w:rFonts w:ascii="Book Antiqua" w:eastAsia="Book Antiqua" w:hAnsi="Book Antiqua" w:cs="Book Antiqua"/>
          <w:color w:val="000000" w:themeColor="text1"/>
        </w:rPr>
        <w:t>different (</w:t>
      </w:r>
      <w:r w:rsidRPr="00682DE0">
        <w:rPr>
          <w:rFonts w:ascii="Book Antiqua" w:eastAsia="Book Antiqua" w:hAnsi="Book Antiqua" w:cs="Book Antiqua"/>
          <w:color w:val="000000" w:themeColor="text1"/>
        </w:rPr>
        <w:t>Figure 2B</w:t>
      </w:r>
      <w:r w:rsidR="0035794A" w:rsidRPr="00682DE0">
        <w:rPr>
          <w:rFonts w:ascii="Book Antiqua" w:eastAsia="Book Antiqua" w:hAnsi="Book Antiqua" w:cs="Book Antiqua"/>
          <w:color w:val="000000" w:themeColor="text1"/>
        </w:rPr>
        <w:t>)</w:t>
      </w:r>
      <w:r w:rsidRPr="00682DE0">
        <w:rPr>
          <w:rFonts w:ascii="Book Antiqua" w:eastAsia="Book Antiqua" w:hAnsi="Book Antiqua" w:cs="Book Antiqua"/>
          <w:color w:val="000000" w:themeColor="text1"/>
        </w:rPr>
        <w:t xml:space="preserve">. In subgroup analyses of phase, phase II (HR = 1.19,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0.88 to 1.60) and phase III (HR = 1.06,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0.93 to 1.21) were not remarkably different (Figure 2C).</w:t>
      </w:r>
    </w:p>
    <w:p w14:paraId="0A799EC6" w14:textId="77777777" w:rsidR="00A45C44" w:rsidRPr="00682DE0" w:rsidRDefault="00A45C44" w:rsidP="00175753">
      <w:pPr>
        <w:spacing w:line="360" w:lineRule="auto"/>
        <w:jc w:val="both"/>
        <w:rPr>
          <w:rFonts w:ascii="Book Antiqua" w:hAnsi="Book Antiqua"/>
          <w:color w:val="000000" w:themeColor="text1"/>
        </w:rPr>
      </w:pPr>
    </w:p>
    <w:p w14:paraId="76CCC4F4" w14:textId="77777777" w:rsidR="00A77B3E" w:rsidRPr="00682DE0" w:rsidRDefault="006667D9" w:rsidP="00175753">
      <w:pPr>
        <w:spacing w:line="360" w:lineRule="auto"/>
        <w:jc w:val="both"/>
        <w:rPr>
          <w:rFonts w:ascii="Book Antiqua" w:hAnsi="Book Antiqua"/>
          <w:color w:val="000000" w:themeColor="text1"/>
        </w:rPr>
      </w:pPr>
      <w:r w:rsidRPr="00682DE0">
        <w:rPr>
          <w:rFonts w:ascii="Book Antiqua" w:eastAsia="Book Antiqua" w:hAnsi="Book Antiqua" w:cs="Book Antiqua"/>
          <w:b/>
          <w:bCs/>
          <w:color w:val="000000" w:themeColor="text1"/>
        </w:rPr>
        <w:t>P</w:t>
      </w:r>
      <w:r w:rsidR="00B81E4B" w:rsidRPr="00682DE0">
        <w:rPr>
          <w:rFonts w:ascii="Book Antiqua" w:eastAsia="Book Antiqua" w:hAnsi="Book Antiqua" w:cs="Book Antiqua"/>
          <w:b/>
          <w:bCs/>
          <w:color w:val="000000" w:themeColor="text1"/>
        </w:rPr>
        <w:t>FS</w:t>
      </w:r>
      <w:r w:rsidRPr="00682DE0">
        <w:rPr>
          <w:rFonts w:ascii="Book Antiqua" w:eastAsia="Book Antiqua" w:hAnsi="Book Antiqua" w:cs="Book Antiqua"/>
          <w:b/>
          <w:bCs/>
          <w:color w:val="000000" w:themeColor="text1"/>
        </w:rPr>
        <w:t xml:space="preserve">: </w:t>
      </w:r>
      <w:r w:rsidRPr="00682DE0">
        <w:rPr>
          <w:rFonts w:ascii="Book Antiqua" w:eastAsia="Book Antiqua" w:hAnsi="Book Antiqua" w:cs="Book Antiqua"/>
          <w:color w:val="000000" w:themeColor="text1"/>
        </w:rPr>
        <w:t xml:space="preserve">Six RCTs involving 1794 patients presented the relative data for PFS. Compared with chemotherapy alone, the COX-2 inhibitors plus chemotherapy (Figure 3) also did not represent a significant difference in PFS (HR = 0.97,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0.86 to 1.10).</w:t>
      </w:r>
    </w:p>
    <w:p w14:paraId="28ACB93B" w14:textId="77777777" w:rsidR="00A77B3E" w:rsidRPr="00682DE0" w:rsidRDefault="006667D9" w:rsidP="00175753">
      <w:pPr>
        <w:spacing w:line="360" w:lineRule="auto"/>
        <w:ind w:firstLineChars="100" w:firstLine="240"/>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t>Due to its lack of efficacy on PFS, we also performed further subgroup analysis, and all subgroup results were no</w:t>
      </w:r>
      <w:r w:rsidR="0035794A" w:rsidRPr="00682DE0">
        <w:rPr>
          <w:rFonts w:ascii="Book Antiqua" w:eastAsia="Book Antiqua" w:hAnsi="Book Antiqua" w:cs="Book Antiqua"/>
          <w:color w:val="000000" w:themeColor="text1"/>
        </w:rPr>
        <w:t>t</w:t>
      </w:r>
      <w:r w:rsidRPr="00682DE0">
        <w:rPr>
          <w:rFonts w:ascii="Book Antiqua" w:eastAsia="Book Antiqua" w:hAnsi="Book Antiqua" w:cs="Book Antiqua"/>
          <w:color w:val="000000" w:themeColor="text1"/>
        </w:rPr>
        <w:t xml:space="preserve"> significant</w:t>
      </w:r>
      <w:r w:rsidR="0035794A" w:rsidRPr="00682DE0">
        <w:rPr>
          <w:rFonts w:ascii="Book Antiqua" w:eastAsia="Book Antiqua" w:hAnsi="Book Antiqua" w:cs="Book Antiqua"/>
          <w:color w:val="000000" w:themeColor="text1"/>
        </w:rPr>
        <w:t>ly</w:t>
      </w:r>
      <w:r w:rsidRPr="00682DE0">
        <w:rPr>
          <w:rFonts w:ascii="Book Antiqua" w:eastAsia="Book Antiqua" w:hAnsi="Book Antiqua" w:cs="Book Antiqua"/>
          <w:color w:val="000000" w:themeColor="text1"/>
        </w:rPr>
        <w:t xml:space="preserve"> differen</w:t>
      </w:r>
      <w:r w:rsidR="0035794A" w:rsidRPr="00682DE0">
        <w:rPr>
          <w:rFonts w:ascii="Book Antiqua" w:eastAsia="Book Antiqua" w:hAnsi="Book Antiqua" w:cs="Book Antiqua"/>
          <w:color w:val="000000" w:themeColor="text1"/>
        </w:rPr>
        <w:t>t</w:t>
      </w:r>
      <w:r w:rsidRPr="00682DE0">
        <w:rPr>
          <w:rFonts w:ascii="Book Antiqua" w:eastAsia="Book Antiqua" w:hAnsi="Book Antiqua" w:cs="Book Antiqua"/>
          <w:color w:val="000000" w:themeColor="text1"/>
        </w:rPr>
        <w:t xml:space="preserve"> </w:t>
      </w:r>
      <w:r w:rsidR="0035794A" w:rsidRPr="00682DE0">
        <w:rPr>
          <w:rFonts w:ascii="Book Antiqua" w:eastAsia="Book Antiqua" w:hAnsi="Book Antiqua" w:cs="Book Antiqua"/>
          <w:b/>
          <w:bCs/>
          <w:color w:val="000000" w:themeColor="text1"/>
        </w:rPr>
        <w:t>(</w:t>
      </w:r>
      <w:r w:rsidRPr="00682DE0">
        <w:rPr>
          <w:rFonts w:ascii="Book Antiqua" w:eastAsia="Book Antiqua" w:hAnsi="Book Antiqua" w:cs="Book Antiqua"/>
          <w:color w:val="000000" w:themeColor="text1"/>
        </w:rPr>
        <w:t>Figure 3A-C</w:t>
      </w:r>
      <w:r w:rsidR="0035794A" w:rsidRPr="00682DE0">
        <w:rPr>
          <w:rFonts w:ascii="Book Antiqua" w:eastAsia="Book Antiqua" w:hAnsi="Book Antiqua" w:cs="Book Antiqua"/>
          <w:color w:val="000000" w:themeColor="text1"/>
        </w:rPr>
        <w:t>)</w:t>
      </w:r>
      <w:r w:rsidRPr="00682DE0">
        <w:rPr>
          <w:rFonts w:ascii="Book Antiqua" w:eastAsia="Book Antiqua" w:hAnsi="Book Antiqua" w:cs="Book Antiqua"/>
          <w:color w:val="000000" w:themeColor="text1"/>
        </w:rPr>
        <w:t>.</w:t>
      </w:r>
    </w:p>
    <w:p w14:paraId="054AD831" w14:textId="77777777" w:rsidR="00A45C44" w:rsidRPr="00682DE0" w:rsidRDefault="00A45C44" w:rsidP="00175753">
      <w:pPr>
        <w:spacing w:line="360" w:lineRule="auto"/>
        <w:jc w:val="both"/>
        <w:rPr>
          <w:rFonts w:ascii="Book Antiqua" w:hAnsi="Book Antiqua"/>
          <w:color w:val="000000" w:themeColor="text1"/>
        </w:rPr>
      </w:pPr>
    </w:p>
    <w:p w14:paraId="2354756B" w14:textId="77777777" w:rsidR="00A77B3E" w:rsidRPr="00175753" w:rsidRDefault="006667D9" w:rsidP="00175753">
      <w:pPr>
        <w:spacing w:line="360" w:lineRule="auto"/>
        <w:jc w:val="both"/>
        <w:rPr>
          <w:rFonts w:ascii="Book Antiqua" w:hAnsi="Book Antiqua"/>
        </w:rPr>
      </w:pPr>
      <w:r w:rsidRPr="00682DE0">
        <w:rPr>
          <w:rFonts w:ascii="Book Antiqua" w:eastAsia="Book Antiqua" w:hAnsi="Book Antiqua" w:cs="Book Antiqua"/>
          <w:b/>
          <w:bCs/>
          <w:color w:val="000000" w:themeColor="text1"/>
        </w:rPr>
        <w:t>One</w:t>
      </w:r>
      <w:r w:rsidR="00A45C44">
        <w:rPr>
          <w:rFonts w:ascii="Book Antiqua" w:eastAsia="Book Antiqua" w:hAnsi="Book Antiqua" w:cs="Book Antiqua"/>
          <w:b/>
          <w:bCs/>
          <w:color w:val="000000" w:themeColor="text1"/>
        </w:rPr>
        <w:t>-</w:t>
      </w:r>
      <w:r w:rsidRPr="00682DE0">
        <w:rPr>
          <w:rFonts w:ascii="Book Antiqua" w:eastAsia="Book Antiqua" w:hAnsi="Book Antiqua" w:cs="Book Antiqua"/>
          <w:b/>
          <w:bCs/>
          <w:color w:val="000000" w:themeColor="text1"/>
        </w:rPr>
        <w:t xml:space="preserve">year </w:t>
      </w:r>
      <w:r w:rsidR="00B81E4B" w:rsidRPr="00682DE0">
        <w:rPr>
          <w:rFonts w:ascii="Book Antiqua" w:eastAsia="Book Antiqua" w:hAnsi="Book Antiqua" w:cs="Book Antiqua"/>
          <w:b/>
          <w:bCs/>
          <w:color w:val="000000" w:themeColor="text1"/>
        </w:rPr>
        <w:t>SR</w:t>
      </w:r>
      <w:r w:rsidRPr="00682DE0">
        <w:rPr>
          <w:rFonts w:ascii="Book Antiqua" w:eastAsia="Book Antiqua" w:hAnsi="Book Antiqua" w:cs="Book Antiqua"/>
          <w:b/>
          <w:bCs/>
          <w:color w:val="000000" w:themeColor="text1"/>
        </w:rPr>
        <w:t>:</w:t>
      </w:r>
      <w:r w:rsidRPr="00175753">
        <w:rPr>
          <w:rFonts w:ascii="Book Antiqua" w:eastAsia="Book Antiqua" w:hAnsi="Book Antiqua" w:cs="Book Antiqua"/>
          <w:b/>
          <w:bCs/>
          <w:color w:val="000000"/>
        </w:rPr>
        <w:t xml:space="preserve"> </w:t>
      </w:r>
      <w:r w:rsidRPr="00175753">
        <w:rPr>
          <w:rFonts w:ascii="Book Antiqua" w:eastAsia="Book Antiqua" w:hAnsi="Book Antiqua" w:cs="Book Antiqua"/>
          <w:color w:val="000000"/>
        </w:rPr>
        <w:t>Eight RCTs</w:t>
      </w:r>
      <w:r w:rsidR="00A056ED" w:rsidRPr="00175753">
        <w:rPr>
          <w:rFonts w:ascii="Book Antiqua" w:eastAsia="Book Antiqua" w:hAnsi="Book Antiqua" w:cs="Book Antiqua"/>
          <w:color w:val="000000"/>
        </w:rPr>
        <w:t xml:space="preserve"> </w:t>
      </w:r>
      <w:r w:rsidRPr="00175753">
        <w:rPr>
          <w:rFonts w:ascii="Book Antiqua" w:eastAsia="Book Antiqua" w:hAnsi="Book Antiqua" w:cs="Book Antiqua"/>
          <w:color w:val="000000"/>
        </w:rPr>
        <w:t xml:space="preserve">including 1674 patients reported 1-year mortality rates </w:t>
      </w:r>
      <w:r w:rsidR="00A056ED" w:rsidRPr="00175753">
        <w:rPr>
          <w:rFonts w:ascii="Book Antiqua" w:eastAsia="Book Antiqua" w:hAnsi="Book Antiqua" w:cs="Book Antiqua"/>
          <w:color w:val="000000"/>
        </w:rPr>
        <w:t>(</w:t>
      </w:r>
      <w:r w:rsidRPr="00175753">
        <w:rPr>
          <w:rFonts w:ascii="Book Antiqua" w:eastAsia="Book Antiqua" w:hAnsi="Book Antiqua" w:cs="Book Antiqua"/>
          <w:color w:val="000000"/>
        </w:rPr>
        <w:t>Figure 4</w:t>
      </w:r>
      <w:r w:rsidR="00A056ED" w:rsidRPr="00175753">
        <w:rPr>
          <w:rFonts w:ascii="Book Antiqua" w:eastAsia="Book Antiqua" w:hAnsi="Book Antiqua" w:cs="Book Antiqua"/>
          <w:color w:val="000000"/>
        </w:rPr>
        <w:t>)</w:t>
      </w:r>
      <w:r w:rsidRPr="00175753">
        <w:rPr>
          <w:rFonts w:ascii="Book Antiqua" w:eastAsia="Book Antiqua" w:hAnsi="Book Antiqua" w:cs="Book Antiqua"/>
          <w:color w:val="000000"/>
        </w:rPr>
        <w:t>. Compared with chemotherapy alone, the COX-2 inhibitors plus chemotherapy w</w:t>
      </w:r>
      <w:r w:rsidR="00A056ED" w:rsidRPr="00175753">
        <w:rPr>
          <w:rFonts w:ascii="Book Antiqua" w:eastAsia="Book Antiqua" w:hAnsi="Book Antiqua" w:cs="Book Antiqua"/>
          <w:color w:val="000000"/>
        </w:rPr>
        <w:t>ere</w:t>
      </w:r>
      <w:r w:rsidRPr="00175753">
        <w:rPr>
          <w:rFonts w:ascii="Book Antiqua" w:eastAsia="Book Antiqua" w:hAnsi="Book Antiqua" w:cs="Book Antiqua"/>
          <w:color w:val="000000"/>
        </w:rPr>
        <w:t xml:space="preserve"> no</w:t>
      </w:r>
      <w:r w:rsidR="00A056ED" w:rsidRPr="00175753">
        <w:rPr>
          <w:rFonts w:ascii="Book Antiqua" w:eastAsia="Book Antiqua" w:hAnsi="Book Antiqua" w:cs="Book Antiqua"/>
          <w:color w:val="000000"/>
        </w:rPr>
        <w:t>t</w:t>
      </w:r>
      <w:r w:rsidRPr="00175753">
        <w:rPr>
          <w:rFonts w:ascii="Book Antiqua" w:eastAsia="Book Antiqua" w:hAnsi="Book Antiqua" w:cs="Book Antiqua"/>
          <w:color w:val="000000"/>
        </w:rPr>
        <w:t xml:space="preserve"> significant</w:t>
      </w:r>
      <w:r w:rsidR="00A056ED" w:rsidRPr="00175753">
        <w:rPr>
          <w:rFonts w:ascii="Book Antiqua" w:eastAsia="Book Antiqua" w:hAnsi="Book Antiqua" w:cs="Book Antiqua"/>
          <w:color w:val="000000"/>
        </w:rPr>
        <w:t>ly</w:t>
      </w:r>
      <w:r w:rsidRPr="00175753">
        <w:rPr>
          <w:rFonts w:ascii="Book Antiqua" w:eastAsia="Book Antiqua" w:hAnsi="Book Antiqua" w:cs="Book Antiqua"/>
          <w:color w:val="000000"/>
        </w:rPr>
        <w:t xml:space="preserve"> differen</w:t>
      </w:r>
      <w:r w:rsidR="00A056ED" w:rsidRPr="00175753">
        <w:rPr>
          <w:rFonts w:ascii="Book Antiqua" w:eastAsia="Book Antiqua" w:hAnsi="Book Antiqua" w:cs="Book Antiqua"/>
          <w:color w:val="000000"/>
        </w:rPr>
        <w:t>t</w:t>
      </w:r>
      <w:r w:rsidRPr="00175753">
        <w:rPr>
          <w:rFonts w:ascii="Book Antiqua" w:eastAsia="Book Antiqua" w:hAnsi="Book Antiqua" w:cs="Book Antiqua"/>
          <w:color w:val="000000"/>
        </w:rPr>
        <w:t xml:space="preserve"> (RR = 1.11, </w:t>
      </w:r>
      <w:r w:rsidR="00003BE1">
        <w:rPr>
          <w:rFonts w:ascii="Book Antiqua" w:eastAsia="Book Antiqua" w:hAnsi="Book Antiqua" w:cs="Book Antiqua"/>
          <w:color w:val="000000"/>
        </w:rPr>
        <w:t>95%CI:</w:t>
      </w:r>
      <w:r w:rsidRPr="00175753">
        <w:rPr>
          <w:rFonts w:ascii="Book Antiqua" w:eastAsia="Book Antiqua" w:hAnsi="Book Antiqua" w:cs="Book Antiqua"/>
          <w:color w:val="000000"/>
        </w:rPr>
        <w:t xml:space="preserve"> 0.97 to 1.27).</w:t>
      </w:r>
    </w:p>
    <w:p w14:paraId="7A294463" w14:textId="77777777" w:rsidR="00A77B3E" w:rsidRPr="00682DE0" w:rsidRDefault="006667D9" w:rsidP="00175753">
      <w:pPr>
        <w:spacing w:line="360" w:lineRule="auto"/>
        <w:ind w:firstLineChars="100" w:firstLine="240"/>
        <w:jc w:val="both"/>
        <w:rPr>
          <w:rFonts w:ascii="Book Antiqua" w:eastAsia="Book Antiqua" w:hAnsi="Book Antiqua" w:cs="Book Antiqua"/>
          <w:color w:val="000000" w:themeColor="text1"/>
        </w:rPr>
      </w:pPr>
      <w:r w:rsidRPr="00175753">
        <w:rPr>
          <w:rFonts w:ascii="Book Antiqua" w:eastAsia="Book Antiqua" w:hAnsi="Book Antiqua" w:cs="Book Antiqua"/>
          <w:color w:val="000000"/>
        </w:rPr>
        <w:t xml:space="preserve">Additionally, the results of </w:t>
      </w:r>
      <w:r w:rsidR="00A056ED" w:rsidRPr="00175753">
        <w:rPr>
          <w:rFonts w:ascii="Book Antiqua" w:eastAsia="Book Antiqua" w:hAnsi="Book Antiqua" w:cs="Book Antiqua"/>
          <w:color w:val="000000"/>
        </w:rPr>
        <w:t xml:space="preserve">the </w:t>
      </w:r>
      <w:r w:rsidRPr="00175753">
        <w:rPr>
          <w:rFonts w:ascii="Book Antiqua" w:eastAsia="Book Antiqua" w:hAnsi="Book Antiqua" w:cs="Book Antiqua"/>
          <w:color w:val="000000"/>
        </w:rPr>
        <w:t>subgroup analysis were not significant</w:t>
      </w:r>
      <w:r w:rsidR="00A056ED" w:rsidRPr="00175753">
        <w:rPr>
          <w:rFonts w:ascii="Book Antiqua" w:eastAsia="Book Antiqua" w:hAnsi="Book Antiqua" w:cs="Book Antiqua"/>
          <w:color w:val="000000"/>
        </w:rPr>
        <w:t>ly</w:t>
      </w:r>
      <w:r w:rsidRPr="00175753">
        <w:rPr>
          <w:rFonts w:ascii="Book Antiqua" w:eastAsia="Book Antiqua" w:hAnsi="Book Antiqua" w:cs="Book Antiqua"/>
          <w:color w:val="000000"/>
        </w:rPr>
        <w:t xml:space="preserve"> differen</w:t>
      </w:r>
      <w:r w:rsidR="00A056ED" w:rsidRPr="00175753">
        <w:rPr>
          <w:rFonts w:ascii="Book Antiqua" w:eastAsia="Book Antiqua" w:hAnsi="Book Antiqua" w:cs="Book Antiqua"/>
          <w:color w:val="000000"/>
        </w:rPr>
        <w:t>t</w:t>
      </w:r>
      <w:r w:rsidRPr="00175753">
        <w:rPr>
          <w:rFonts w:ascii="Book Antiqua" w:eastAsia="Book Antiqua" w:hAnsi="Book Antiqua" w:cs="Book Antiqua"/>
          <w:color w:val="000000"/>
        </w:rPr>
        <w:t xml:space="preserve"> among the types of COX-2 inhibitors: apricoxib (RR = 1.00, </w:t>
      </w:r>
      <w:r w:rsidR="00003BE1">
        <w:rPr>
          <w:rFonts w:ascii="Book Antiqua" w:eastAsia="Book Antiqua" w:hAnsi="Book Antiqua" w:cs="Book Antiqua"/>
          <w:color w:val="000000"/>
        </w:rPr>
        <w:t>95%CI:</w:t>
      </w:r>
      <w:r w:rsidRPr="00175753">
        <w:rPr>
          <w:rFonts w:ascii="Book Antiqua" w:eastAsia="Book Antiqua" w:hAnsi="Book Antiqua" w:cs="Book Antiqua"/>
          <w:color w:val="000000"/>
        </w:rPr>
        <w:t xml:space="preserve"> 0.15 to 6.72), celecoxib (RR = 1.12, </w:t>
      </w:r>
      <w:r w:rsidR="00003BE1">
        <w:rPr>
          <w:rFonts w:ascii="Book Antiqua" w:eastAsia="Book Antiqua" w:hAnsi="Book Antiqua" w:cs="Book Antiqua"/>
          <w:color w:val="000000"/>
        </w:rPr>
        <w:t>95%CI:</w:t>
      </w:r>
      <w:r w:rsidRPr="00175753">
        <w:rPr>
          <w:rFonts w:ascii="Book Antiqua" w:eastAsia="Book Antiqua" w:hAnsi="Book Antiqua" w:cs="Book Antiqua"/>
          <w:color w:val="000000"/>
        </w:rPr>
        <w:t xml:space="preserve"> 0.97 to 1.31), </w:t>
      </w:r>
      <w:r w:rsidR="00A056ED" w:rsidRPr="00175753">
        <w:rPr>
          <w:rFonts w:ascii="Book Antiqua" w:eastAsia="Book Antiqua" w:hAnsi="Book Antiqua" w:cs="Book Antiqua"/>
          <w:color w:val="000000"/>
        </w:rPr>
        <w:t xml:space="preserve">and </w:t>
      </w:r>
      <w:r w:rsidRPr="00175753">
        <w:rPr>
          <w:rFonts w:ascii="Book Antiqua" w:eastAsia="Book Antiqua" w:hAnsi="Book Antiqua" w:cs="Book Antiqua"/>
          <w:color w:val="000000"/>
        </w:rPr>
        <w:t xml:space="preserve">rofecoxib (RR = 1.06, </w:t>
      </w:r>
      <w:r w:rsidR="00003BE1">
        <w:rPr>
          <w:rFonts w:ascii="Book Antiqua" w:eastAsia="Book Antiqua" w:hAnsi="Book Antiqua" w:cs="Book Antiqua"/>
          <w:color w:val="000000"/>
        </w:rPr>
        <w:t>95%CI:</w:t>
      </w:r>
      <w:r w:rsidRPr="00175753">
        <w:rPr>
          <w:rFonts w:ascii="Book Antiqua" w:eastAsia="Book Antiqua" w:hAnsi="Book Antiqua" w:cs="Book Antiqua"/>
          <w:color w:val="000000"/>
        </w:rPr>
        <w:t xml:space="preserve"> 0.78 to 1.44) (Figure 4A</w:t>
      </w:r>
      <w:r w:rsidR="00A056ED" w:rsidRPr="00682DE0">
        <w:rPr>
          <w:rFonts w:ascii="Book Antiqua" w:eastAsia="Book Antiqua" w:hAnsi="Book Antiqua" w:cs="Book Antiqua"/>
          <w:color w:val="000000" w:themeColor="text1"/>
        </w:rPr>
        <w:t>)</w:t>
      </w:r>
      <w:r w:rsidRPr="00175753">
        <w:rPr>
          <w:rFonts w:ascii="Book Antiqua" w:eastAsia="Book Antiqua" w:hAnsi="Book Antiqua" w:cs="Book Antiqua"/>
          <w:color w:val="000000"/>
        </w:rPr>
        <w:t xml:space="preserve">. However, </w:t>
      </w:r>
      <w:r w:rsidR="00A056ED" w:rsidRPr="00175753">
        <w:rPr>
          <w:rFonts w:ascii="Book Antiqua" w:eastAsia="Book Antiqua" w:hAnsi="Book Antiqua" w:cs="Book Antiqua"/>
          <w:color w:val="000000"/>
        </w:rPr>
        <w:t xml:space="preserve">when </w:t>
      </w:r>
      <w:r w:rsidRPr="00175753">
        <w:rPr>
          <w:rFonts w:ascii="Book Antiqua" w:eastAsia="Book Antiqua" w:hAnsi="Book Antiqua" w:cs="Book Antiqua"/>
          <w:color w:val="000000"/>
        </w:rPr>
        <w:t xml:space="preserve">grouped by type of treatment line, the significant increase of 1-year SR (RR = 1.16; </w:t>
      </w:r>
      <w:r w:rsidR="00003BE1">
        <w:rPr>
          <w:rFonts w:ascii="Book Antiqua" w:eastAsia="Book Antiqua" w:hAnsi="Book Antiqua" w:cs="Book Antiqua"/>
          <w:color w:val="000000"/>
        </w:rPr>
        <w:t>95%CI:</w:t>
      </w:r>
      <w:r w:rsidRPr="00175753">
        <w:rPr>
          <w:rFonts w:ascii="Book Antiqua" w:eastAsia="Book Antiqua" w:hAnsi="Book Antiqua" w:cs="Book Antiqua"/>
          <w:color w:val="000000"/>
        </w:rPr>
        <w:t xml:space="preserve"> 1.01 to 1.34) was observed in first-line treatment, but there was no change in the second-line treatment (RR = 0.68; </w:t>
      </w:r>
      <w:r w:rsidR="00003BE1">
        <w:rPr>
          <w:rFonts w:ascii="Book Antiqua" w:eastAsia="Book Antiqua" w:hAnsi="Book Antiqua" w:cs="Book Antiqua"/>
          <w:color w:val="000000"/>
        </w:rPr>
        <w:t>95%CI:</w:t>
      </w:r>
      <w:r w:rsidRPr="00175753">
        <w:rPr>
          <w:rFonts w:ascii="Book Antiqua" w:eastAsia="Book Antiqua" w:hAnsi="Book Antiqua" w:cs="Book Antiqua"/>
          <w:color w:val="000000"/>
        </w:rPr>
        <w:t xml:space="preserve"> 0.41 to 1.14) (Figure 4B</w:t>
      </w:r>
      <w:r w:rsidRPr="00682DE0">
        <w:rPr>
          <w:rFonts w:ascii="Book Antiqua" w:eastAsia="Book Antiqua" w:hAnsi="Book Antiqua" w:cs="Book Antiqua"/>
          <w:color w:val="000000" w:themeColor="text1"/>
        </w:rPr>
        <w:t xml:space="preserve">). In subgroup analyses of phase, phase II (HR = 1.14,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0.71 to 1.84) and phase III (HR = 1.08,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0.92 to 1.27) were not significantly different (Figure 4C).</w:t>
      </w:r>
    </w:p>
    <w:p w14:paraId="1C3184DA" w14:textId="77777777" w:rsidR="00A45C44" w:rsidRPr="00682DE0" w:rsidRDefault="00A45C44" w:rsidP="00175753">
      <w:pPr>
        <w:spacing w:line="360" w:lineRule="auto"/>
        <w:jc w:val="both"/>
        <w:rPr>
          <w:rFonts w:ascii="Book Antiqua" w:hAnsi="Book Antiqua"/>
          <w:color w:val="000000" w:themeColor="text1"/>
        </w:rPr>
      </w:pPr>
    </w:p>
    <w:p w14:paraId="32C24E7A" w14:textId="77777777" w:rsidR="00A77B3E" w:rsidRPr="00682DE0" w:rsidRDefault="006667D9" w:rsidP="00175753">
      <w:pPr>
        <w:spacing w:line="360" w:lineRule="auto"/>
        <w:jc w:val="both"/>
        <w:rPr>
          <w:rFonts w:ascii="Book Antiqua" w:hAnsi="Book Antiqua"/>
          <w:color w:val="000000" w:themeColor="text1"/>
        </w:rPr>
      </w:pPr>
      <w:r w:rsidRPr="00682DE0">
        <w:rPr>
          <w:rFonts w:ascii="Book Antiqua" w:eastAsia="Book Antiqua" w:hAnsi="Book Antiqua" w:cs="Book Antiqua"/>
          <w:b/>
          <w:bCs/>
          <w:color w:val="000000" w:themeColor="text1"/>
        </w:rPr>
        <w:t>O</w:t>
      </w:r>
      <w:r w:rsidR="00231A58" w:rsidRPr="00682DE0">
        <w:rPr>
          <w:rFonts w:ascii="Book Antiqua" w:eastAsia="Book Antiqua" w:hAnsi="Book Antiqua" w:cs="Book Antiqua"/>
          <w:b/>
          <w:bCs/>
          <w:color w:val="000000" w:themeColor="text1"/>
        </w:rPr>
        <w:t>RR</w:t>
      </w:r>
      <w:r w:rsidRPr="00682DE0">
        <w:rPr>
          <w:rFonts w:ascii="Book Antiqua" w:eastAsia="Book Antiqua" w:hAnsi="Book Antiqua" w:cs="Book Antiqua"/>
          <w:b/>
          <w:bCs/>
          <w:color w:val="000000" w:themeColor="text1"/>
        </w:rPr>
        <w:t xml:space="preserve">: </w:t>
      </w:r>
      <w:r w:rsidRPr="00682DE0">
        <w:rPr>
          <w:rFonts w:ascii="Book Antiqua" w:eastAsia="Book Antiqua" w:hAnsi="Book Antiqua" w:cs="Book Antiqua"/>
          <w:color w:val="000000" w:themeColor="text1"/>
        </w:rPr>
        <w:t>Eight RCTs</w:t>
      </w:r>
      <w:r w:rsidR="000F51F1"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including 1662 patients reported ORRs. Comparison of two groups as shown in Figure 5 resulted in a</w:t>
      </w:r>
      <w:r w:rsidR="000F51F1" w:rsidRPr="00682DE0">
        <w:rPr>
          <w:rFonts w:ascii="Book Antiqua" w:eastAsia="Book Antiqua" w:hAnsi="Book Antiqua" w:cs="Book Antiqua"/>
          <w:color w:val="000000" w:themeColor="text1"/>
        </w:rPr>
        <w:t>n</w:t>
      </w:r>
      <w:r w:rsidRPr="00682DE0">
        <w:rPr>
          <w:rFonts w:ascii="Book Antiqua" w:eastAsia="Book Antiqua" w:hAnsi="Book Antiqua" w:cs="Book Antiqua"/>
          <w:color w:val="000000" w:themeColor="text1"/>
        </w:rPr>
        <w:t xml:space="preserve"> increase in the ORR (RR = 1.28,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1.10 to 1.49).</w:t>
      </w:r>
    </w:p>
    <w:p w14:paraId="63496966" w14:textId="77777777" w:rsidR="00A77B3E" w:rsidRPr="00682DE0" w:rsidRDefault="000F51F1" w:rsidP="00175753">
      <w:pPr>
        <w:spacing w:line="360" w:lineRule="auto"/>
        <w:ind w:firstLineChars="100" w:firstLine="240"/>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t xml:space="preserve">In the </w:t>
      </w:r>
      <w:r w:rsidR="006667D9" w:rsidRPr="00682DE0">
        <w:rPr>
          <w:rFonts w:ascii="Book Antiqua" w:eastAsia="Book Antiqua" w:hAnsi="Book Antiqua" w:cs="Book Antiqua"/>
          <w:color w:val="000000" w:themeColor="text1"/>
        </w:rPr>
        <w:t>subgroup analysis</w:t>
      </w:r>
      <w:r w:rsidRPr="00682DE0">
        <w:rPr>
          <w:rFonts w:ascii="Book Antiqua" w:eastAsia="Book Antiqua" w:hAnsi="Book Antiqua" w:cs="Book Antiqua"/>
          <w:color w:val="000000" w:themeColor="text1"/>
        </w:rPr>
        <w:t>,</w:t>
      </w:r>
      <w:r w:rsidR="006667D9" w:rsidRPr="00682DE0">
        <w:rPr>
          <w:rFonts w:ascii="Book Antiqua" w:eastAsia="Book Antiqua" w:hAnsi="Book Antiqua" w:cs="Book Antiqua"/>
          <w:color w:val="000000" w:themeColor="text1"/>
        </w:rPr>
        <w:t xml:space="preserve"> significantly increased ORRs </w:t>
      </w:r>
      <w:r w:rsidRPr="00682DE0">
        <w:rPr>
          <w:rFonts w:ascii="Book Antiqua" w:eastAsia="Book Antiqua" w:hAnsi="Book Antiqua" w:cs="Book Antiqua"/>
          <w:color w:val="000000" w:themeColor="text1"/>
        </w:rPr>
        <w:t xml:space="preserve">were observed </w:t>
      </w:r>
      <w:r w:rsidR="006667D9" w:rsidRPr="00682DE0">
        <w:rPr>
          <w:rFonts w:ascii="Book Antiqua" w:eastAsia="Book Antiqua" w:hAnsi="Book Antiqua" w:cs="Book Antiqua"/>
          <w:color w:val="000000" w:themeColor="text1"/>
        </w:rPr>
        <w:t xml:space="preserve">in celecoxib (RR = 1.23,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1.04 to 1.45), rofecoxib (RR = 1.56,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1.08 to 2.25), first-line treatment (RR = 1.30,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1.11 to 1.51), and phase III (RR = 1.27,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1.07 to 1.50). Second-line treatment (RR = 0.49,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0.09 to 2.60) and phase II (RR = 1.31,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0.88 to 1.95) with COX-2</w:t>
      </w:r>
      <w:r w:rsidRPr="00682DE0">
        <w:rPr>
          <w:rFonts w:ascii="Book Antiqua" w:eastAsia="Book Antiqua" w:hAnsi="Book Antiqua" w:cs="Book Antiqua"/>
          <w:color w:val="000000" w:themeColor="text1"/>
        </w:rPr>
        <w:t xml:space="preserve"> inhibitors</w:t>
      </w:r>
      <w:r w:rsidR="006667D9" w:rsidRPr="00682DE0">
        <w:rPr>
          <w:rFonts w:ascii="Book Antiqua" w:eastAsia="Book Antiqua" w:hAnsi="Book Antiqua" w:cs="Book Antiqua"/>
          <w:color w:val="000000" w:themeColor="text1"/>
        </w:rPr>
        <w:t xml:space="preserve"> reported no significant difference</w:t>
      </w:r>
      <w:r w:rsidRPr="00682DE0">
        <w:rPr>
          <w:rFonts w:ascii="Book Antiqua" w:eastAsia="Book Antiqua" w:hAnsi="Book Antiqua" w:cs="Book Antiqua"/>
          <w:color w:val="000000" w:themeColor="text1"/>
        </w:rPr>
        <w:t>s</w:t>
      </w:r>
      <w:r w:rsidR="006667D9"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6667D9" w:rsidRPr="00682DE0">
        <w:rPr>
          <w:rFonts w:ascii="Book Antiqua" w:eastAsia="Book Antiqua" w:hAnsi="Book Antiqua" w:cs="Book Antiqua"/>
          <w:color w:val="000000" w:themeColor="text1"/>
        </w:rPr>
        <w:t>Figure 5A-C</w:t>
      </w:r>
      <w:r w:rsidRPr="00682DE0">
        <w:rPr>
          <w:rFonts w:ascii="Book Antiqua" w:eastAsia="Book Antiqua" w:hAnsi="Book Antiqua" w:cs="Book Antiqua"/>
          <w:color w:val="000000" w:themeColor="text1"/>
        </w:rPr>
        <w:t>)</w:t>
      </w:r>
      <w:r w:rsidR="006667D9" w:rsidRPr="00682DE0">
        <w:rPr>
          <w:rFonts w:ascii="Book Antiqua" w:eastAsia="Book Antiqua" w:hAnsi="Book Antiqua" w:cs="Book Antiqua"/>
          <w:color w:val="000000" w:themeColor="text1"/>
        </w:rPr>
        <w:t>.</w:t>
      </w:r>
    </w:p>
    <w:p w14:paraId="125D480C" w14:textId="77777777" w:rsidR="00A45C44" w:rsidRPr="00682DE0" w:rsidRDefault="00A45C44" w:rsidP="00175753">
      <w:pPr>
        <w:spacing w:line="360" w:lineRule="auto"/>
        <w:jc w:val="both"/>
        <w:rPr>
          <w:rFonts w:ascii="Book Antiqua" w:hAnsi="Book Antiqua"/>
          <w:color w:val="000000" w:themeColor="text1"/>
        </w:rPr>
      </w:pPr>
    </w:p>
    <w:p w14:paraId="1FA1AD9B" w14:textId="77777777" w:rsidR="00A77B3E" w:rsidRPr="00682DE0" w:rsidRDefault="006667D9" w:rsidP="00175753">
      <w:pPr>
        <w:spacing w:line="360" w:lineRule="auto"/>
        <w:jc w:val="both"/>
        <w:rPr>
          <w:rFonts w:ascii="Book Antiqua" w:hAnsi="Book Antiqua"/>
          <w:color w:val="000000" w:themeColor="text1"/>
        </w:rPr>
      </w:pPr>
      <w:r w:rsidRPr="00682DE0">
        <w:rPr>
          <w:rFonts w:ascii="Book Antiqua" w:eastAsia="Book Antiqua" w:hAnsi="Book Antiqua" w:cs="Book Antiqua"/>
          <w:b/>
          <w:bCs/>
          <w:color w:val="000000" w:themeColor="text1"/>
        </w:rPr>
        <w:t>C</w:t>
      </w:r>
      <w:r w:rsidR="00231A58" w:rsidRPr="00682DE0">
        <w:rPr>
          <w:rFonts w:ascii="Book Antiqua" w:eastAsia="Book Antiqua" w:hAnsi="Book Antiqua" w:cs="Book Antiqua"/>
          <w:b/>
          <w:bCs/>
          <w:color w:val="000000" w:themeColor="text1"/>
        </w:rPr>
        <w:t>B</w:t>
      </w:r>
      <w:r w:rsidRPr="00682DE0">
        <w:rPr>
          <w:rFonts w:ascii="Book Antiqua" w:eastAsia="Book Antiqua" w:hAnsi="Book Antiqua" w:cs="Book Antiqua"/>
          <w:b/>
          <w:bCs/>
          <w:color w:val="000000" w:themeColor="text1"/>
        </w:rPr>
        <w:t xml:space="preserve">: </w:t>
      </w:r>
      <w:r w:rsidRPr="00682DE0">
        <w:rPr>
          <w:rFonts w:ascii="Book Antiqua" w:eastAsia="Book Antiqua" w:hAnsi="Book Antiqua" w:cs="Book Antiqua"/>
          <w:color w:val="000000" w:themeColor="text1"/>
        </w:rPr>
        <w:t>Nine RCTs</w:t>
      </w:r>
      <w:r w:rsidR="00A17C30"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including 1776 patients reported a CB (Figure 6). Compared with chemotherapy alone, the COX-2 inhibitors plus chemotherapy did not represent a significant difference in CB (RR = 1.05,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0.98 to 1.11; </w:t>
      </w:r>
      <w:r w:rsidRPr="00682DE0">
        <w:rPr>
          <w:rFonts w:ascii="Book Antiqua" w:eastAsia="Book Antiqua" w:hAnsi="Book Antiqua" w:cs="Book Antiqua"/>
          <w:i/>
          <w:iCs/>
          <w:color w:val="000000" w:themeColor="text1"/>
        </w:rPr>
        <w:t>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0%).</w:t>
      </w:r>
    </w:p>
    <w:p w14:paraId="188DE475" w14:textId="77777777" w:rsidR="00A77B3E" w:rsidRPr="00682DE0" w:rsidRDefault="006667D9" w:rsidP="00175753">
      <w:pPr>
        <w:spacing w:line="360" w:lineRule="auto"/>
        <w:ind w:firstLineChars="100" w:firstLine="240"/>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t xml:space="preserve">As mentioned above, no significantly different results were found in the three subgroup analyses: </w:t>
      </w:r>
      <w:r w:rsidR="00A17C30" w:rsidRPr="00682DE0">
        <w:rPr>
          <w:rFonts w:ascii="Book Antiqua" w:eastAsia="Book Antiqua" w:hAnsi="Book Antiqua" w:cs="Book Antiqua"/>
          <w:color w:val="000000" w:themeColor="text1"/>
        </w:rPr>
        <w:t>a</w:t>
      </w:r>
      <w:r w:rsidRPr="00682DE0">
        <w:rPr>
          <w:rFonts w:ascii="Book Antiqua" w:eastAsia="Book Antiqua" w:hAnsi="Book Antiqua" w:cs="Book Antiqua"/>
          <w:color w:val="000000" w:themeColor="text1"/>
        </w:rPr>
        <w:t xml:space="preserve">pricoxib (RR = 1.10,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0.73 to 1.65; </w:t>
      </w:r>
      <w:r w:rsidRPr="00682DE0">
        <w:rPr>
          <w:rFonts w:ascii="Book Antiqua" w:eastAsia="Book Antiqua" w:hAnsi="Book Antiqua" w:cs="Book Antiqua"/>
          <w:i/>
          <w:iCs/>
          <w:color w:val="000000" w:themeColor="text1"/>
        </w:rPr>
        <w:t>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xml:space="preserve">: NA), celecoxib (RR = 1.05,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0.99 to 1.12; </w:t>
      </w:r>
      <w:r w:rsidRPr="00682DE0">
        <w:rPr>
          <w:rFonts w:ascii="Book Antiqua" w:eastAsia="Book Antiqua" w:hAnsi="Book Antiqua" w:cs="Book Antiqua"/>
          <w:i/>
          <w:iCs/>
          <w:color w:val="000000" w:themeColor="text1"/>
        </w:rPr>
        <w:t>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xml:space="preserve">: 14.4%), rofecoxib (RR = 0.99,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0.81 to 1.21; </w:t>
      </w:r>
      <w:r w:rsidRPr="00682DE0">
        <w:rPr>
          <w:rFonts w:ascii="Book Antiqua" w:eastAsia="Book Antiqua" w:hAnsi="Book Antiqua" w:cs="Book Antiqua"/>
          <w:i/>
          <w:iCs/>
          <w:color w:val="000000" w:themeColor="text1"/>
        </w:rPr>
        <w:t>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xml:space="preserve">: NA), first-line treatment (RR = 1.05,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0.99 to 1.12; </w:t>
      </w:r>
      <w:r w:rsidRPr="00682DE0">
        <w:rPr>
          <w:rFonts w:ascii="Book Antiqua" w:eastAsia="Book Antiqua" w:hAnsi="Book Antiqua" w:cs="Book Antiqua"/>
          <w:i/>
          <w:iCs/>
          <w:color w:val="000000" w:themeColor="text1"/>
        </w:rPr>
        <w:t>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xml:space="preserve">: 5.8%), second-line treatment (RR = 0.96,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0.69 to 1.33; </w:t>
      </w:r>
      <w:r w:rsidRPr="00682DE0">
        <w:rPr>
          <w:rFonts w:ascii="Book Antiqua" w:eastAsia="Book Antiqua" w:hAnsi="Book Antiqua" w:cs="Book Antiqua"/>
          <w:i/>
          <w:iCs/>
          <w:color w:val="000000" w:themeColor="text1"/>
        </w:rPr>
        <w:t>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xml:space="preserve">: 0.0%), phase II (RR = 1.07,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0.92 to 1.26; </w:t>
      </w:r>
      <w:r w:rsidRPr="00682DE0">
        <w:rPr>
          <w:rFonts w:ascii="Book Antiqua" w:eastAsia="Book Antiqua" w:hAnsi="Book Antiqua" w:cs="Book Antiqua"/>
          <w:i/>
          <w:iCs/>
          <w:color w:val="000000" w:themeColor="text1"/>
        </w:rPr>
        <w:t>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xml:space="preserve">: 0%), and phase III (RR = 1.53,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1.00 to 2.33;</w:t>
      </w:r>
      <w:r w:rsidRPr="00682DE0">
        <w:rPr>
          <w:rFonts w:ascii="Book Antiqua" w:eastAsia="Book Antiqua" w:hAnsi="Book Antiqua" w:cs="Book Antiqua"/>
          <w:i/>
          <w:iCs/>
          <w:color w:val="000000" w:themeColor="text1"/>
        </w:rPr>
        <w:t xml:space="preserve"> I</w:t>
      </w:r>
      <w:r w:rsidRPr="00682DE0">
        <w:rPr>
          <w:rFonts w:ascii="Book Antiqua" w:eastAsia="Book Antiqua" w:hAnsi="Book Antiqua" w:cs="Book Antiqua"/>
          <w:color w:val="000000" w:themeColor="text1"/>
          <w:vertAlign w:val="superscript"/>
        </w:rPr>
        <w:t>2</w:t>
      </w:r>
      <w:r w:rsidRPr="00682DE0">
        <w:rPr>
          <w:rFonts w:ascii="Book Antiqua" w:eastAsia="Book Antiqua" w:hAnsi="Book Antiqua" w:cs="Book Antiqua"/>
          <w:color w:val="000000" w:themeColor="text1"/>
        </w:rPr>
        <w:t>: NA)</w:t>
      </w:r>
      <w:r w:rsidR="00A17C30"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Figure 6A-C</w:t>
      </w:r>
      <w:r w:rsidR="00A17C30" w:rsidRPr="00682DE0">
        <w:rPr>
          <w:rFonts w:ascii="Book Antiqua" w:eastAsia="Book Antiqua" w:hAnsi="Book Antiqua" w:cs="Book Antiqua"/>
          <w:color w:val="000000" w:themeColor="text1"/>
        </w:rPr>
        <w:t>)</w:t>
      </w:r>
      <w:r w:rsidRPr="00682DE0">
        <w:rPr>
          <w:rFonts w:ascii="Book Antiqua" w:eastAsia="Book Antiqua" w:hAnsi="Book Antiqua" w:cs="Book Antiqua"/>
          <w:color w:val="000000" w:themeColor="text1"/>
        </w:rPr>
        <w:t>.</w:t>
      </w:r>
    </w:p>
    <w:p w14:paraId="16822B7B" w14:textId="77777777" w:rsidR="006667D9" w:rsidRPr="00682DE0" w:rsidRDefault="006667D9" w:rsidP="00175753">
      <w:pPr>
        <w:spacing w:line="360" w:lineRule="auto"/>
        <w:jc w:val="both"/>
        <w:rPr>
          <w:rFonts w:ascii="Book Antiqua" w:hAnsi="Book Antiqua"/>
          <w:color w:val="000000" w:themeColor="text1"/>
        </w:rPr>
      </w:pPr>
    </w:p>
    <w:p w14:paraId="1ACAD265" w14:textId="77777777" w:rsidR="00A77B3E" w:rsidRPr="00682DE0" w:rsidRDefault="006667D9" w:rsidP="00175753">
      <w:pPr>
        <w:spacing w:line="360" w:lineRule="auto"/>
        <w:jc w:val="both"/>
        <w:rPr>
          <w:rFonts w:ascii="Book Antiqua" w:hAnsi="Book Antiqua"/>
          <w:i/>
          <w:iCs/>
          <w:color w:val="000000" w:themeColor="text1"/>
        </w:rPr>
      </w:pPr>
      <w:r w:rsidRPr="00682DE0">
        <w:rPr>
          <w:rFonts w:ascii="Book Antiqua" w:eastAsia="Book Antiqua" w:hAnsi="Book Antiqua" w:cs="Book Antiqua"/>
          <w:b/>
          <w:bCs/>
          <w:i/>
          <w:iCs/>
          <w:color w:val="000000" w:themeColor="text1"/>
        </w:rPr>
        <w:t>Results of secondary outcome variables</w:t>
      </w:r>
    </w:p>
    <w:p w14:paraId="71F635D2" w14:textId="77777777" w:rsidR="00A77B3E" w:rsidRPr="00682DE0" w:rsidRDefault="006667D9" w:rsidP="00175753">
      <w:pPr>
        <w:spacing w:line="360" w:lineRule="auto"/>
        <w:jc w:val="both"/>
        <w:rPr>
          <w:rFonts w:ascii="Book Antiqua" w:hAnsi="Book Antiqua"/>
          <w:color w:val="000000" w:themeColor="text1"/>
        </w:rPr>
      </w:pPr>
      <w:r w:rsidRPr="00682DE0">
        <w:rPr>
          <w:rFonts w:ascii="Book Antiqua" w:eastAsia="Book Antiqua" w:hAnsi="Book Antiqua" w:cs="Book Antiqua"/>
          <w:b/>
          <w:bCs/>
          <w:color w:val="000000" w:themeColor="text1"/>
        </w:rPr>
        <w:t>C</w:t>
      </w:r>
      <w:r w:rsidR="00231A58" w:rsidRPr="00682DE0">
        <w:rPr>
          <w:rFonts w:ascii="Book Antiqua" w:eastAsia="Book Antiqua" w:hAnsi="Book Antiqua" w:cs="Book Antiqua"/>
          <w:b/>
          <w:bCs/>
          <w:color w:val="000000" w:themeColor="text1"/>
        </w:rPr>
        <w:t>R</w:t>
      </w:r>
      <w:r w:rsidRPr="00682DE0">
        <w:rPr>
          <w:rFonts w:ascii="Book Antiqua" w:eastAsia="Book Antiqua" w:hAnsi="Book Antiqua" w:cs="Book Antiqua"/>
          <w:b/>
          <w:bCs/>
          <w:color w:val="000000" w:themeColor="text1"/>
        </w:rPr>
        <w:t xml:space="preserve">: </w:t>
      </w:r>
      <w:r w:rsidRPr="00682DE0">
        <w:rPr>
          <w:rFonts w:ascii="Book Antiqua" w:eastAsia="Book Antiqua" w:hAnsi="Book Antiqua" w:cs="Book Antiqua"/>
          <w:color w:val="000000" w:themeColor="text1"/>
        </w:rPr>
        <w:t xml:space="preserve">When we assessed the effect on CR involving </w:t>
      </w:r>
      <w:r w:rsidR="00205A41" w:rsidRPr="00682DE0">
        <w:rPr>
          <w:rFonts w:ascii="Book Antiqua" w:eastAsia="Book Antiqua" w:hAnsi="Book Antiqua" w:cs="Book Antiqua"/>
          <w:color w:val="000000" w:themeColor="text1"/>
        </w:rPr>
        <w:t xml:space="preserve">eight </w:t>
      </w:r>
      <w:r w:rsidRPr="00682DE0">
        <w:rPr>
          <w:rFonts w:ascii="Book Antiqua" w:eastAsia="Book Antiqua" w:hAnsi="Book Antiqua" w:cs="Book Antiqua"/>
          <w:color w:val="000000" w:themeColor="text1"/>
        </w:rPr>
        <w:t xml:space="preserve">RCTs (1460 patients, </w:t>
      </w:r>
      <w:r w:rsidR="00205A41" w:rsidRPr="00682DE0">
        <w:rPr>
          <w:rFonts w:ascii="Book Antiqua" w:eastAsia="Book Antiqua" w:hAnsi="Book Antiqua" w:cs="Book Antiqua"/>
          <w:color w:val="000000" w:themeColor="text1"/>
        </w:rPr>
        <w:t>t</w:t>
      </w:r>
      <w:r w:rsidRPr="00682DE0">
        <w:rPr>
          <w:rFonts w:ascii="Book Antiqua" w:eastAsia="Book Antiqua" w:hAnsi="Book Antiqua" w:cs="Book Antiqua"/>
          <w:color w:val="000000" w:themeColor="text1"/>
        </w:rPr>
        <w:t xml:space="preserve">here </w:t>
      </w:r>
      <w:r w:rsidR="00205A41" w:rsidRPr="00682DE0">
        <w:rPr>
          <w:rFonts w:ascii="Book Antiqua" w:eastAsia="Book Antiqua" w:hAnsi="Book Antiqua" w:cs="Book Antiqua"/>
          <w:color w:val="000000" w:themeColor="text1"/>
        </w:rPr>
        <w:t>we</w:t>
      </w:r>
      <w:r w:rsidRPr="00682DE0">
        <w:rPr>
          <w:rFonts w:ascii="Book Antiqua" w:eastAsia="Book Antiqua" w:hAnsi="Book Antiqua" w:cs="Book Antiqua"/>
          <w:color w:val="000000" w:themeColor="text1"/>
        </w:rPr>
        <w:t>re no difference</w:t>
      </w:r>
      <w:r w:rsidR="00205A41" w:rsidRPr="00682DE0">
        <w:rPr>
          <w:rFonts w:ascii="Book Antiqua" w:eastAsia="Book Antiqua" w:hAnsi="Book Antiqua" w:cs="Book Antiqua"/>
          <w:color w:val="000000" w:themeColor="text1"/>
        </w:rPr>
        <w:t>s</w:t>
      </w:r>
      <w:r w:rsidRPr="00682DE0">
        <w:rPr>
          <w:rFonts w:ascii="Book Antiqua" w:eastAsia="Book Antiqua" w:hAnsi="Book Antiqua" w:cs="Book Antiqua"/>
          <w:color w:val="000000" w:themeColor="text1"/>
        </w:rPr>
        <w:t xml:space="preserve"> between combined treatment and chemotherapy alone (RR = 0.90, </w:t>
      </w:r>
      <w:r w:rsidR="00003BE1">
        <w:rPr>
          <w:rFonts w:ascii="Book Antiqua" w:eastAsia="Book Antiqua" w:hAnsi="Book Antiqua" w:cs="Book Antiqua"/>
          <w:color w:val="000000" w:themeColor="text1"/>
        </w:rPr>
        <w:t>95%CI:</w:t>
      </w:r>
      <w:r w:rsidRPr="00682DE0">
        <w:rPr>
          <w:rFonts w:ascii="Book Antiqua" w:eastAsia="Book Antiqua" w:hAnsi="Book Antiqua" w:cs="Book Antiqua"/>
          <w:color w:val="000000" w:themeColor="text1"/>
        </w:rPr>
        <w:t xml:space="preserve"> 0.31-2.57) (Figure 7).</w:t>
      </w:r>
    </w:p>
    <w:p w14:paraId="0D7B9DEC" w14:textId="77777777" w:rsidR="00205A41" w:rsidRPr="00682DE0" w:rsidRDefault="00205A41" w:rsidP="00682DE0">
      <w:pPr>
        <w:spacing w:line="360" w:lineRule="auto"/>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t>The</w:t>
      </w:r>
      <w:r w:rsidR="006667D9" w:rsidRPr="00682DE0">
        <w:rPr>
          <w:rFonts w:ascii="Book Antiqua" w:eastAsia="Book Antiqua" w:hAnsi="Book Antiqua" w:cs="Book Antiqua"/>
          <w:color w:val="000000" w:themeColor="text1"/>
        </w:rPr>
        <w:t xml:space="preserve"> results of two subgroup analyses showed no significant difference: </w:t>
      </w:r>
      <w:r w:rsidRPr="00682DE0">
        <w:rPr>
          <w:rFonts w:ascii="Book Antiqua" w:eastAsia="Book Antiqua" w:hAnsi="Book Antiqua" w:cs="Book Antiqua"/>
          <w:color w:val="000000" w:themeColor="text1"/>
        </w:rPr>
        <w:t>a</w:t>
      </w:r>
      <w:r w:rsidR="006667D9" w:rsidRPr="00682DE0">
        <w:rPr>
          <w:rFonts w:ascii="Book Antiqua" w:eastAsia="Book Antiqua" w:hAnsi="Book Antiqua" w:cs="Book Antiqua"/>
          <w:color w:val="000000" w:themeColor="text1"/>
        </w:rPr>
        <w:t xml:space="preserve">pricoxib (RR = 0.17,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0.01 to 4.18), celecoxib (RR = 0.75,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0.19 to 3.05), rofecoxib (RR = 5.08,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0.25 to 104.78), first-line treatment (RR = 1.18,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0.36 to 3.85), second-line treatment (RR = 0.17,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0.01 to 4.18), phase II (RR = 0.74,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0.12 to 4.38), and phase III (RR = 0.84, </w:t>
      </w:r>
      <w:r w:rsidR="00003BE1">
        <w:rPr>
          <w:rFonts w:ascii="Book Antiqua" w:eastAsia="Book Antiqua" w:hAnsi="Book Antiqua" w:cs="Book Antiqua"/>
          <w:color w:val="000000" w:themeColor="text1"/>
        </w:rPr>
        <w:t>95%CI:</w:t>
      </w:r>
      <w:r w:rsidR="006667D9" w:rsidRPr="00682DE0">
        <w:rPr>
          <w:rFonts w:ascii="Book Antiqua" w:eastAsia="Book Antiqua" w:hAnsi="Book Antiqua" w:cs="Book Antiqua"/>
          <w:color w:val="000000" w:themeColor="text1"/>
        </w:rPr>
        <w:t xml:space="preserve"> 0.03 to 28.0)</w:t>
      </w:r>
      <w:r w:rsidRPr="00682DE0">
        <w:rPr>
          <w:rFonts w:ascii="Book Antiqua" w:eastAsia="Book Antiqua" w:hAnsi="Book Antiqua" w:cs="Book Antiqua"/>
          <w:color w:val="000000" w:themeColor="text1"/>
        </w:rPr>
        <w:t xml:space="preserve"> (Figure 7A-C)</w:t>
      </w:r>
      <w:r w:rsidR="006667D9" w:rsidRPr="00682DE0">
        <w:rPr>
          <w:rFonts w:ascii="Book Antiqua" w:eastAsia="Book Antiqua" w:hAnsi="Book Antiqua" w:cs="Book Antiqua"/>
          <w:color w:val="000000" w:themeColor="text1"/>
        </w:rPr>
        <w:t>.</w:t>
      </w:r>
    </w:p>
    <w:p w14:paraId="5A66181C" w14:textId="77777777" w:rsidR="00A45C44" w:rsidRPr="00682DE0" w:rsidRDefault="00A45C44" w:rsidP="00A45C44">
      <w:pPr>
        <w:spacing w:line="360" w:lineRule="auto"/>
        <w:jc w:val="both"/>
        <w:rPr>
          <w:rFonts w:ascii="Book Antiqua" w:hAnsi="Book Antiqua"/>
          <w:color w:val="000000" w:themeColor="text1"/>
        </w:rPr>
      </w:pPr>
    </w:p>
    <w:p w14:paraId="19B7DEEA" w14:textId="77777777" w:rsidR="00A77B3E" w:rsidRPr="00682DE0" w:rsidRDefault="006667D9" w:rsidP="00A45C44">
      <w:pPr>
        <w:spacing w:line="360" w:lineRule="auto"/>
        <w:jc w:val="both"/>
        <w:rPr>
          <w:rFonts w:ascii="Book Antiqua" w:hAnsi="Book Antiqua"/>
          <w:color w:val="000000" w:themeColor="text1"/>
        </w:rPr>
      </w:pPr>
      <w:r w:rsidRPr="00682DE0">
        <w:rPr>
          <w:rFonts w:ascii="Book Antiqua" w:eastAsia="Book Antiqua" w:hAnsi="Book Antiqua" w:cs="Book Antiqua"/>
          <w:b/>
          <w:bCs/>
          <w:color w:val="000000" w:themeColor="text1"/>
        </w:rPr>
        <w:t>P</w:t>
      </w:r>
      <w:r w:rsidR="00231A58" w:rsidRPr="00682DE0">
        <w:rPr>
          <w:rFonts w:ascii="Book Antiqua" w:eastAsia="Book Antiqua" w:hAnsi="Book Antiqua" w:cs="Book Antiqua"/>
          <w:b/>
          <w:bCs/>
          <w:color w:val="000000" w:themeColor="text1"/>
        </w:rPr>
        <w:t>R</w:t>
      </w:r>
      <w:r w:rsidR="002209B4" w:rsidRPr="00682DE0">
        <w:rPr>
          <w:rFonts w:ascii="Book Antiqua" w:eastAsia="Book Antiqua" w:hAnsi="Book Antiqua" w:cs="Book Antiqua"/>
          <w:b/>
          <w:bCs/>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When we assessed the effect on PR involving </w:t>
      </w:r>
      <w:r w:rsidR="00205A41" w:rsidRPr="00682DE0">
        <w:rPr>
          <w:rFonts w:ascii="Book Antiqua" w:eastAsia="Book Antiqua" w:hAnsi="Book Antiqua" w:cs="Book Antiqua"/>
          <w:color w:val="000000" w:themeColor="text1"/>
        </w:rPr>
        <w:t xml:space="preserve">eight </w:t>
      </w:r>
      <w:r w:rsidRPr="00682DE0">
        <w:rPr>
          <w:rFonts w:ascii="Book Antiqua" w:eastAsia="Book Antiqua" w:hAnsi="Book Antiqua" w:cs="Book Antiqua"/>
          <w:color w:val="000000" w:themeColor="text1"/>
        </w:rPr>
        <w:t>RCTs (1460 patients, COX-2 inhibitors combined with chemotherapy ha</w:t>
      </w:r>
      <w:r w:rsidR="00205A41" w:rsidRPr="00682DE0">
        <w:rPr>
          <w:rFonts w:ascii="Book Antiqua" w:eastAsia="Book Antiqua" w:hAnsi="Book Antiqua" w:cs="Book Antiqua"/>
          <w:color w:val="000000" w:themeColor="text1"/>
        </w:rPr>
        <w:t>d</w:t>
      </w:r>
      <w:r w:rsidRPr="00682DE0">
        <w:rPr>
          <w:rFonts w:ascii="Book Antiqua" w:eastAsia="Book Antiqua" w:hAnsi="Book Antiqua" w:cs="Book Antiqua"/>
          <w:color w:val="000000" w:themeColor="text1"/>
        </w:rPr>
        <w:t xml:space="preserve"> a significant increase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1.31,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1.11 to 1.56) compared with chemotherapy alone </w:t>
      </w:r>
      <w:r w:rsidR="009C6A39" w:rsidRPr="00682DE0">
        <w:rPr>
          <w:rFonts w:ascii="Book Antiqua" w:eastAsia="Book Antiqua" w:hAnsi="Book Antiqua" w:cs="Book Antiqua"/>
          <w:color w:val="000000" w:themeColor="text1"/>
        </w:rPr>
        <w:t>(</w:t>
      </w:r>
      <w:r w:rsidRPr="00682DE0">
        <w:rPr>
          <w:rFonts w:ascii="Book Antiqua" w:eastAsia="Book Antiqua" w:hAnsi="Book Antiqua" w:cs="Book Antiqua"/>
          <w:color w:val="000000" w:themeColor="text1"/>
        </w:rPr>
        <w:t>Figure 8</w:t>
      </w:r>
      <w:r w:rsidR="009C6A39" w:rsidRPr="00682DE0">
        <w:rPr>
          <w:rFonts w:ascii="Book Antiqua" w:eastAsia="Book Antiqua" w:hAnsi="Book Antiqua" w:cs="Book Antiqua"/>
          <w:color w:val="000000" w:themeColor="text1"/>
        </w:rPr>
        <w:t>)</w:t>
      </w:r>
      <w:r w:rsidRPr="00682DE0">
        <w:rPr>
          <w:rFonts w:ascii="Book Antiqua" w:eastAsia="Book Antiqua" w:hAnsi="Book Antiqua" w:cs="Book Antiqua"/>
          <w:color w:val="000000" w:themeColor="text1"/>
        </w:rPr>
        <w:t>.</w:t>
      </w:r>
    </w:p>
    <w:p w14:paraId="3DEF6A56" w14:textId="77777777" w:rsidR="00A77B3E" w:rsidRPr="00682DE0" w:rsidRDefault="006667D9" w:rsidP="000A52F5">
      <w:pPr>
        <w:spacing w:line="360" w:lineRule="auto"/>
        <w:ind w:firstLineChars="100" w:firstLine="240"/>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t>The following details of subgroup analysis were represented, and the significantly increased ORRs were observed for celecoxib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1.27,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1.04 to 1.55), rofecoxib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1.49,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1.03 to 2.16), first-line treatment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1.34,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1.13 to 1.60), and phase III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1.33,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1.09 to 1.63). Apricoxib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1.17,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0.38 to 3.56), second-line treatment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0.88,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0.35 to 2.17), and phase II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1.26,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0.86 to 1.84) with COX-2 inhibitors showed no remarkably differences (Figure 8A-C).</w:t>
      </w:r>
    </w:p>
    <w:p w14:paraId="24CF28FB" w14:textId="77777777" w:rsidR="00A45C44" w:rsidRPr="00682DE0" w:rsidRDefault="00A45C44" w:rsidP="00F62EF5">
      <w:pPr>
        <w:spacing w:line="360" w:lineRule="auto"/>
        <w:jc w:val="both"/>
        <w:rPr>
          <w:rFonts w:ascii="Book Antiqua" w:hAnsi="Book Antiqua"/>
          <w:color w:val="000000" w:themeColor="text1"/>
        </w:rPr>
      </w:pPr>
    </w:p>
    <w:p w14:paraId="3A63E074" w14:textId="77777777" w:rsidR="00A77B3E" w:rsidRPr="00682DE0" w:rsidRDefault="006667D9" w:rsidP="00F62EF5">
      <w:pPr>
        <w:spacing w:line="360" w:lineRule="auto"/>
        <w:jc w:val="both"/>
        <w:rPr>
          <w:rFonts w:ascii="Book Antiqua" w:hAnsi="Book Antiqua"/>
          <w:color w:val="000000" w:themeColor="text1"/>
        </w:rPr>
      </w:pPr>
      <w:r w:rsidRPr="00682DE0">
        <w:rPr>
          <w:rFonts w:ascii="Book Antiqua" w:eastAsia="Book Antiqua" w:hAnsi="Book Antiqua" w:cs="Book Antiqua"/>
          <w:b/>
          <w:bCs/>
          <w:color w:val="000000" w:themeColor="text1"/>
        </w:rPr>
        <w:t>S</w:t>
      </w:r>
      <w:r w:rsidR="00231A58" w:rsidRPr="00682DE0">
        <w:rPr>
          <w:rFonts w:ascii="Book Antiqua" w:eastAsia="Book Antiqua" w:hAnsi="Book Antiqua" w:cs="Book Antiqua"/>
          <w:b/>
          <w:bCs/>
          <w:color w:val="000000" w:themeColor="text1"/>
        </w:rPr>
        <w:t>D</w:t>
      </w:r>
      <w:r w:rsidR="002209B4" w:rsidRPr="00682DE0">
        <w:rPr>
          <w:rFonts w:ascii="Book Antiqua" w:eastAsia="Book Antiqua" w:hAnsi="Book Antiqua" w:cs="Book Antiqua"/>
          <w:b/>
          <w:bCs/>
          <w:color w:val="000000" w:themeColor="text1"/>
        </w:rPr>
        <w:t xml:space="preserve">: </w:t>
      </w:r>
      <w:r w:rsidRPr="00682DE0">
        <w:rPr>
          <w:rFonts w:ascii="Book Antiqua" w:eastAsia="Book Antiqua" w:hAnsi="Book Antiqua" w:cs="Book Antiqua"/>
          <w:color w:val="000000" w:themeColor="text1"/>
        </w:rPr>
        <w:t xml:space="preserve">When we assessed the effect on SD involving </w:t>
      </w:r>
      <w:r w:rsidR="009C6A39" w:rsidRPr="00682DE0">
        <w:rPr>
          <w:rFonts w:ascii="Book Antiqua" w:eastAsia="Book Antiqua" w:hAnsi="Book Antiqua" w:cs="Book Antiqua"/>
          <w:color w:val="000000" w:themeColor="text1"/>
        </w:rPr>
        <w:t xml:space="preserve">nine </w:t>
      </w:r>
      <w:r w:rsidRPr="00682DE0">
        <w:rPr>
          <w:rFonts w:ascii="Book Antiqua" w:eastAsia="Book Antiqua" w:hAnsi="Book Antiqua" w:cs="Book Antiqua"/>
          <w:color w:val="000000" w:themeColor="text1"/>
        </w:rPr>
        <w:t>RCTs with 1776 patients, COX-2</w:t>
      </w:r>
      <w:r w:rsidR="009C6A39" w:rsidRPr="00682DE0">
        <w:rPr>
          <w:rFonts w:ascii="Book Antiqua" w:eastAsia="Book Antiqua" w:hAnsi="Book Antiqua" w:cs="Book Antiqua"/>
          <w:color w:val="000000" w:themeColor="text1"/>
        </w:rPr>
        <w:t xml:space="preserve"> inhibitors</w:t>
      </w:r>
      <w:r w:rsidRPr="00682DE0">
        <w:rPr>
          <w:rFonts w:ascii="Book Antiqua" w:eastAsia="Book Antiqua" w:hAnsi="Book Antiqua" w:cs="Book Antiqua"/>
          <w:color w:val="000000" w:themeColor="text1"/>
        </w:rPr>
        <w:t xml:space="preserve"> plus chemotherapy resulted in a significant increase in SD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0.90,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0.80 to 1.02) compared with chemotherapy alone (Figure 9).</w:t>
      </w:r>
    </w:p>
    <w:p w14:paraId="24A68F9E" w14:textId="77777777" w:rsidR="00A77B3E" w:rsidRPr="00682DE0" w:rsidRDefault="006667D9" w:rsidP="00175753">
      <w:pPr>
        <w:spacing w:line="360" w:lineRule="auto"/>
        <w:ind w:firstLineChars="100" w:firstLine="240"/>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t xml:space="preserve">Subgroup analysis </w:t>
      </w:r>
      <w:r w:rsidR="009C6A39" w:rsidRPr="00682DE0">
        <w:rPr>
          <w:rFonts w:ascii="Book Antiqua" w:eastAsia="Book Antiqua" w:hAnsi="Book Antiqua" w:cs="Book Antiqua"/>
          <w:color w:val="000000" w:themeColor="text1"/>
        </w:rPr>
        <w:t>showed</w:t>
      </w:r>
      <w:r w:rsidR="002D6160" w:rsidRPr="00682DE0">
        <w:rPr>
          <w:rFonts w:ascii="Book Antiqua" w:eastAsia="Book Antiqua" w:hAnsi="Book Antiqua" w:cs="Book Antiqua"/>
          <w:color w:val="000000" w:themeColor="text1"/>
        </w:rPr>
        <w:t xml:space="preserve"> an in</w:t>
      </w:r>
      <w:r w:rsidRPr="00682DE0">
        <w:rPr>
          <w:rFonts w:ascii="Book Antiqua" w:eastAsia="Book Antiqua" w:hAnsi="Book Antiqua" w:cs="Book Antiqua"/>
          <w:color w:val="000000" w:themeColor="text1"/>
        </w:rPr>
        <w:t xml:space="preserve">significant increase </w:t>
      </w:r>
      <w:r w:rsidR="002D6160" w:rsidRPr="00682DE0">
        <w:rPr>
          <w:rFonts w:ascii="Book Antiqua" w:eastAsia="Book Antiqua" w:hAnsi="Book Antiqua" w:cs="Book Antiqua"/>
          <w:color w:val="000000" w:themeColor="text1"/>
        </w:rPr>
        <w:t>in</w:t>
      </w:r>
      <w:r w:rsidRPr="00682DE0">
        <w:rPr>
          <w:rFonts w:ascii="Book Antiqua" w:eastAsia="Book Antiqua" w:hAnsi="Book Antiqua" w:cs="Book Antiqua"/>
          <w:color w:val="000000" w:themeColor="text1"/>
        </w:rPr>
        <w:t xml:space="preserve"> SD for apricoxib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1.16,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0.68 to 1.97), celecoxib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0.94,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0.83 to 1.07), first-line treatment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0.89,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0.79 to 1.01), second-line treatment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1.02,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0.68 to 1.52), phase II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0.99,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0.78 to 1.27), and phase III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0.84,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0.66 to 1.07)</w:t>
      </w:r>
      <w:r w:rsidR="00B90253" w:rsidRPr="00682DE0">
        <w:rPr>
          <w:rFonts w:ascii="Book Antiqua" w:eastAsia="Book Antiqua" w:hAnsi="Book Antiqua" w:cs="Book Antiqua"/>
          <w:color w:val="000000" w:themeColor="text1"/>
        </w:rPr>
        <w:t>.</w:t>
      </w:r>
      <w:r w:rsidRPr="00682DE0">
        <w:rPr>
          <w:rFonts w:ascii="Book Antiqua" w:eastAsia="Book Antiqua" w:hAnsi="Book Antiqua" w:cs="Book Antiqua"/>
          <w:color w:val="000000" w:themeColor="text1"/>
        </w:rPr>
        <w:t xml:space="preserve"> </w:t>
      </w:r>
      <w:r w:rsidR="00B90253" w:rsidRPr="00682DE0">
        <w:rPr>
          <w:rFonts w:ascii="Book Antiqua" w:eastAsia="Book Antiqua" w:hAnsi="Book Antiqua" w:cs="Book Antiqua"/>
          <w:color w:val="000000" w:themeColor="text1"/>
        </w:rPr>
        <w:t>However, a change was noted</w:t>
      </w:r>
      <w:r w:rsidRPr="00682DE0">
        <w:rPr>
          <w:rFonts w:ascii="Book Antiqua" w:eastAsia="Book Antiqua" w:hAnsi="Book Antiqua" w:cs="Book Antiqua"/>
          <w:color w:val="000000" w:themeColor="text1"/>
        </w:rPr>
        <w:t xml:space="preserve"> for</w:t>
      </w:r>
      <w:r w:rsidR="00B90253"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rofecoxib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0.57,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0.37 to 0.87).</w:t>
      </w:r>
    </w:p>
    <w:p w14:paraId="24E07332" w14:textId="77777777" w:rsidR="00A45C44" w:rsidRPr="00682DE0" w:rsidRDefault="00A45C44" w:rsidP="00175753">
      <w:pPr>
        <w:spacing w:line="360" w:lineRule="auto"/>
        <w:jc w:val="both"/>
        <w:rPr>
          <w:rFonts w:ascii="Book Antiqua" w:hAnsi="Book Antiqua"/>
          <w:color w:val="000000" w:themeColor="text1"/>
        </w:rPr>
      </w:pPr>
    </w:p>
    <w:p w14:paraId="51B013FD" w14:textId="77777777" w:rsidR="00A77B3E" w:rsidRPr="00682DE0" w:rsidRDefault="006667D9" w:rsidP="00175753">
      <w:pPr>
        <w:spacing w:line="360" w:lineRule="auto"/>
        <w:jc w:val="both"/>
        <w:rPr>
          <w:rFonts w:ascii="Book Antiqua" w:hAnsi="Book Antiqua"/>
          <w:color w:val="000000" w:themeColor="text1"/>
        </w:rPr>
      </w:pPr>
      <w:r w:rsidRPr="00682DE0">
        <w:rPr>
          <w:rFonts w:ascii="Book Antiqua" w:eastAsia="Book Antiqua" w:hAnsi="Book Antiqua" w:cs="Book Antiqua"/>
          <w:b/>
          <w:bCs/>
          <w:color w:val="000000" w:themeColor="text1"/>
        </w:rPr>
        <w:t>Toxicity</w:t>
      </w:r>
      <w:r w:rsidR="002209B4" w:rsidRPr="00682DE0">
        <w:rPr>
          <w:rFonts w:ascii="Book Antiqua" w:eastAsia="Book Antiqua" w:hAnsi="Book Antiqua" w:cs="Book Antiqua"/>
          <w:b/>
          <w:bCs/>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The increase in COX-2 inhibitor was positively correlated with the increase in grade 3 and 4 toxicity of leukopenia</w:t>
      </w:r>
      <w:r w:rsidR="00B90253" w:rsidRPr="00682DE0">
        <w:rPr>
          <w:rFonts w:ascii="Book Antiqua" w:eastAsia="Book Antiqua" w:hAnsi="Book Antiqua" w:cs="Book Antiqua"/>
          <w:color w:val="000000" w:themeColor="text1"/>
        </w:rPr>
        <w:t xml:space="preserve"> (RR = 1.20, </w:t>
      </w:r>
      <w:r w:rsidR="00003BE1">
        <w:rPr>
          <w:rFonts w:ascii="Book Antiqua" w:eastAsia="Book Antiqua" w:hAnsi="Book Antiqua" w:cs="Book Antiqua"/>
          <w:color w:val="000000" w:themeColor="text1"/>
        </w:rPr>
        <w:t>95%CI:</w:t>
      </w:r>
      <w:r w:rsidR="00B90253" w:rsidRPr="00682DE0">
        <w:rPr>
          <w:rFonts w:ascii="Book Antiqua" w:eastAsia="Book Antiqua" w:hAnsi="Book Antiqua" w:cs="Book Antiqua"/>
          <w:color w:val="000000" w:themeColor="text1"/>
        </w:rPr>
        <w:t xml:space="preserve"> 1.03 to 1.40)</w:t>
      </w:r>
      <w:r w:rsidRPr="00682DE0">
        <w:rPr>
          <w:rFonts w:ascii="Book Antiqua" w:eastAsia="Book Antiqua" w:hAnsi="Book Antiqua" w:cs="Book Antiqua"/>
          <w:color w:val="000000" w:themeColor="text1"/>
        </w:rPr>
        <w:t>, thrombocytopenia</w:t>
      </w:r>
      <w:r w:rsidR="00B90253" w:rsidRPr="00682DE0">
        <w:rPr>
          <w:rFonts w:ascii="Book Antiqua" w:eastAsia="Book Antiqua" w:hAnsi="Book Antiqua" w:cs="Book Antiqua"/>
          <w:color w:val="000000" w:themeColor="text1"/>
        </w:rPr>
        <w:t xml:space="preserve"> (RR = 1.33, </w:t>
      </w:r>
      <w:r w:rsidR="00003BE1">
        <w:rPr>
          <w:rFonts w:ascii="Book Antiqua" w:eastAsia="Book Antiqua" w:hAnsi="Book Antiqua" w:cs="Book Antiqua"/>
          <w:color w:val="000000" w:themeColor="text1"/>
        </w:rPr>
        <w:t>95%CI:</w:t>
      </w:r>
      <w:r w:rsidR="00B90253" w:rsidRPr="00682DE0">
        <w:rPr>
          <w:rFonts w:ascii="Book Antiqua" w:eastAsia="Book Antiqua" w:hAnsi="Book Antiqua" w:cs="Book Antiqua"/>
          <w:color w:val="000000" w:themeColor="text1"/>
        </w:rPr>
        <w:t xml:space="preserve"> 1.05 to 1.68),</w:t>
      </w:r>
      <w:r w:rsidRPr="00682DE0">
        <w:rPr>
          <w:rFonts w:ascii="Book Antiqua" w:eastAsia="Book Antiqua" w:hAnsi="Book Antiqua" w:cs="Book Antiqua"/>
          <w:color w:val="000000" w:themeColor="text1"/>
        </w:rPr>
        <w:t xml:space="preserve"> and cardiovascular events</w:t>
      </w:r>
      <w:r w:rsidR="00B90253" w:rsidRPr="00682DE0">
        <w:rPr>
          <w:rFonts w:ascii="Book Antiqua" w:eastAsia="Book Antiqua" w:hAnsi="Book Antiqua" w:cs="Book Antiqua"/>
          <w:color w:val="000000" w:themeColor="text1"/>
        </w:rPr>
        <w:t xml:space="preserve"> (RR = 2.39, </w:t>
      </w:r>
      <w:r w:rsidR="00003BE1">
        <w:rPr>
          <w:rFonts w:ascii="Book Antiqua" w:eastAsia="Book Antiqua" w:hAnsi="Book Antiqua" w:cs="Book Antiqua"/>
          <w:color w:val="000000" w:themeColor="text1"/>
        </w:rPr>
        <w:t>95%CI:</w:t>
      </w:r>
      <w:r w:rsidR="00B90253" w:rsidRPr="00682DE0">
        <w:rPr>
          <w:rFonts w:ascii="Book Antiqua" w:eastAsia="Book Antiqua" w:hAnsi="Book Antiqua" w:cs="Book Antiqua"/>
          <w:color w:val="000000" w:themeColor="text1"/>
        </w:rPr>
        <w:t xml:space="preserve"> 1.06 to 5.42) (Table 3).</w:t>
      </w:r>
      <w:r w:rsidRPr="00682DE0">
        <w:rPr>
          <w:rFonts w:ascii="Book Antiqua" w:eastAsia="Book Antiqua" w:hAnsi="Book Antiqua" w:cs="Book Antiqua"/>
          <w:color w:val="000000" w:themeColor="text1"/>
        </w:rPr>
        <w:t xml:space="preserve"> </w:t>
      </w:r>
    </w:p>
    <w:p w14:paraId="6AFBAE0B" w14:textId="77777777" w:rsidR="00A77B3E" w:rsidRPr="00682DE0" w:rsidRDefault="006667D9" w:rsidP="00175753">
      <w:pPr>
        <w:spacing w:line="360" w:lineRule="auto"/>
        <w:ind w:firstLineChars="100" w:firstLine="240"/>
        <w:jc w:val="both"/>
        <w:rPr>
          <w:rFonts w:ascii="Book Antiqua" w:eastAsia="Book Antiqua" w:hAnsi="Book Antiqua" w:cs="Book Antiqua"/>
          <w:color w:val="000000" w:themeColor="text1"/>
        </w:rPr>
      </w:pPr>
      <w:r w:rsidRPr="00682DE0">
        <w:rPr>
          <w:rFonts w:ascii="Book Antiqua" w:eastAsia="Book Antiqua" w:hAnsi="Book Antiqua" w:cs="Book Antiqua"/>
          <w:color w:val="000000" w:themeColor="text1"/>
        </w:rPr>
        <w:t>Subgroup analysis of leukopenia in Table 3</w:t>
      </w:r>
      <w:r w:rsidRPr="00682DE0">
        <w:rPr>
          <w:rFonts w:ascii="Book Antiqua" w:eastAsia="Book Antiqua" w:hAnsi="Book Antiqua" w:cs="Book Antiqua"/>
          <w:b/>
          <w:bCs/>
          <w:color w:val="000000" w:themeColor="text1"/>
        </w:rPr>
        <w:t xml:space="preserve"> </w:t>
      </w:r>
      <w:r w:rsidRPr="00682DE0">
        <w:rPr>
          <w:rFonts w:ascii="Book Antiqua" w:eastAsia="Book Antiqua" w:hAnsi="Book Antiqua" w:cs="Book Antiqua"/>
          <w:color w:val="000000" w:themeColor="text1"/>
        </w:rPr>
        <w:t>showed that all of celecoxib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1.26,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1.07 to 1.49), first-line treatment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1.20,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1.02 to 1.42), and phase III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1.21,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1.03 to 1.44) increased the risk of leukopenia. Subgroup analysis of thrombocytopenia showed that celecoxib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1.40,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1.08 to 1.81), second-line treatment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2.66,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1.14 to 6.17), and phase II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2.69,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1.19 to 6.07) significantly increased the incidence of thrombocytopenia. Subgroup analysis of cardiovascular events showed that rofecoxib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4.58,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1.01 to 20.7), first-line treatment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2.35,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1.01 to 5.49), and phase III (RR</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 xml:space="preserve">2.35, </w:t>
      </w:r>
      <w:r w:rsidR="00003BE1">
        <w:rPr>
          <w:rFonts w:ascii="Book Antiqua" w:eastAsia="Book Antiqua" w:hAnsi="Book Antiqua" w:cs="Book Antiqua"/>
          <w:color w:val="000000" w:themeColor="text1"/>
        </w:rPr>
        <w:t>95%CI:</w:t>
      </w:r>
      <w:r w:rsidR="002209B4" w:rsidRPr="00682DE0">
        <w:rPr>
          <w:rFonts w:ascii="Book Antiqua" w:eastAsia="Book Antiqua" w:hAnsi="Book Antiqua" w:cs="Book Antiqua"/>
          <w:color w:val="000000" w:themeColor="text1"/>
        </w:rPr>
        <w:t xml:space="preserve"> </w:t>
      </w:r>
      <w:r w:rsidRPr="00682DE0">
        <w:rPr>
          <w:rFonts w:ascii="Book Antiqua" w:eastAsia="Book Antiqua" w:hAnsi="Book Antiqua" w:cs="Book Antiqua"/>
          <w:color w:val="000000" w:themeColor="text1"/>
        </w:rPr>
        <w:t>1.01 to 5.49) increased the risk of cardiovascular events. However, the risks of other toxicities were not found</w:t>
      </w:r>
      <w:r w:rsidR="006C63BE" w:rsidRPr="00682DE0">
        <w:rPr>
          <w:rFonts w:ascii="Book Antiqua" w:eastAsia="Book Antiqua" w:hAnsi="Book Antiqua" w:cs="Book Antiqua"/>
          <w:color w:val="000000" w:themeColor="text1"/>
        </w:rPr>
        <w:t xml:space="preserve"> to be</w:t>
      </w:r>
      <w:r w:rsidRPr="00682DE0">
        <w:rPr>
          <w:rFonts w:ascii="Book Antiqua" w:eastAsia="Book Antiqua" w:hAnsi="Book Antiqua" w:cs="Book Antiqua"/>
          <w:color w:val="000000" w:themeColor="text1"/>
        </w:rPr>
        <w:t xml:space="preserve"> increased significantly (Table 3).</w:t>
      </w:r>
    </w:p>
    <w:p w14:paraId="5450D3BB" w14:textId="77777777" w:rsidR="00A45C44" w:rsidRPr="00682DE0" w:rsidRDefault="00A45C44" w:rsidP="00175753">
      <w:pPr>
        <w:spacing w:line="360" w:lineRule="auto"/>
        <w:jc w:val="both"/>
        <w:rPr>
          <w:rFonts w:ascii="Book Antiqua" w:hAnsi="Book Antiqua"/>
          <w:color w:val="000000" w:themeColor="text1"/>
        </w:rPr>
      </w:pPr>
    </w:p>
    <w:p w14:paraId="3BD790F7" w14:textId="77777777" w:rsidR="00A77B3E" w:rsidRPr="00A45C44" w:rsidRDefault="006667D9" w:rsidP="00175753">
      <w:pPr>
        <w:spacing w:line="360" w:lineRule="auto"/>
        <w:jc w:val="both"/>
        <w:rPr>
          <w:rFonts w:ascii="Book Antiqua" w:hAnsi="Book Antiqua"/>
        </w:rPr>
      </w:pPr>
      <w:r w:rsidRPr="00682DE0">
        <w:rPr>
          <w:rFonts w:ascii="Book Antiqua" w:eastAsia="Book Antiqua" w:hAnsi="Book Antiqua" w:cs="Book Antiqua"/>
          <w:b/>
          <w:bCs/>
          <w:color w:val="000000" w:themeColor="text1"/>
        </w:rPr>
        <w:t>Publication bias</w:t>
      </w:r>
      <w:r w:rsidR="002209B4" w:rsidRPr="00682DE0">
        <w:rPr>
          <w:rFonts w:ascii="Book Antiqua" w:eastAsia="Book Antiqua" w:hAnsi="Book Antiqua" w:cs="Book Antiqua"/>
          <w:b/>
          <w:bCs/>
          <w:color w:val="000000" w:themeColor="text1"/>
        </w:rPr>
        <w:t>:</w:t>
      </w:r>
      <w:r w:rsidR="002209B4" w:rsidRPr="00A45C44">
        <w:rPr>
          <w:rFonts w:ascii="Book Antiqua" w:eastAsia="Book Antiqua" w:hAnsi="Book Antiqua" w:cs="Book Antiqua"/>
          <w:b/>
          <w:bCs/>
          <w:color w:val="000000"/>
        </w:rPr>
        <w:t xml:space="preserve"> </w:t>
      </w:r>
      <w:r w:rsidRPr="00A45C44">
        <w:rPr>
          <w:rFonts w:ascii="Book Antiqua" w:eastAsia="Book Antiqua" w:hAnsi="Book Antiqua" w:cs="Book Antiqua"/>
          <w:color w:val="000000"/>
        </w:rPr>
        <w:t>In the results of publication bias using Egger’s test, all primary outcomes (</w:t>
      </w:r>
      <w:r w:rsidRPr="00A45C44">
        <w:rPr>
          <w:rFonts w:ascii="Book Antiqua" w:eastAsia="Book Antiqua" w:hAnsi="Book Antiqua" w:cs="Book Antiqua"/>
          <w:i/>
          <w:iCs/>
          <w:color w:val="000000"/>
        </w:rPr>
        <w:t>P</w:t>
      </w:r>
      <w:r w:rsidRPr="00A45C44">
        <w:rPr>
          <w:rFonts w:ascii="Book Antiqua" w:eastAsia="Book Antiqua" w:hAnsi="Book Antiqua" w:cs="Book Antiqua"/>
          <w:color w:val="000000"/>
          <w:vertAlign w:val="subscript"/>
        </w:rPr>
        <w:t>OS</w:t>
      </w:r>
      <w:r w:rsidRPr="00A45C44">
        <w:rPr>
          <w:rFonts w:ascii="Book Antiqua" w:eastAsia="Book Antiqua" w:hAnsi="Book Antiqua" w:cs="Book Antiqua"/>
          <w:color w:val="000000"/>
        </w:rPr>
        <w:t xml:space="preserve">: 0.314, </w:t>
      </w:r>
      <w:r w:rsidRPr="00A45C44">
        <w:rPr>
          <w:rFonts w:ascii="Book Antiqua" w:eastAsia="Book Antiqua" w:hAnsi="Book Antiqua" w:cs="Book Antiqua"/>
          <w:i/>
          <w:iCs/>
          <w:color w:val="000000"/>
        </w:rPr>
        <w:t>P</w:t>
      </w:r>
      <w:r w:rsidRPr="00A45C44">
        <w:rPr>
          <w:rFonts w:ascii="Book Antiqua" w:eastAsia="Book Antiqua" w:hAnsi="Book Antiqua" w:cs="Book Antiqua"/>
          <w:color w:val="000000"/>
          <w:vertAlign w:val="subscript"/>
        </w:rPr>
        <w:t>PFS</w:t>
      </w:r>
      <w:r w:rsidRPr="00A45C44">
        <w:rPr>
          <w:rFonts w:ascii="Book Antiqua" w:eastAsia="Book Antiqua" w:hAnsi="Book Antiqua" w:cs="Book Antiqua"/>
          <w:color w:val="000000"/>
        </w:rPr>
        <w:t xml:space="preserve">: 0.807, </w:t>
      </w:r>
      <w:r w:rsidRPr="00A45C44">
        <w:rPr>
          <w:rFonts w:ascii="Book Antiqua" w:eastAsia="Book Antiqua" w:hAnsi="Book Antiqua" w:cs="Book Antiqua"/>
          <w:i/>
          <w:iCs/>
          <w:color w:val="000000"/>
        </w:rPr>
        <w:t>P</w:t>
      </w:r>
      <w:r w:rsidRPr="00A45C44">
        <w:rPr>
          <w:rFonts w:ascii="Book Antiqua" w:eastAsia="Book Antiqua" w:hAnsi="Book Antiqua" w:cs="Book Antiqua"/>
          <w:color w:val="000000"/>
          <w:vertAlign w:val="subscript"/>
        </w:rPr>
        <w:t>ORR</w:t>
      </w:r>
      <w:r w:rsidR="002209B4" w:rsidRPr="00A45C44">
        <w:rPr>
          <w:rFonts w:ascii="Book Antiqua" w:eastAsia="Book Antiqua" w:hAnsi="Book Antiqua" w:cs="Book Antiqua"/>
          <w:color w:val="000000"/>
        </w:rPr>
        <w:t>:</w:t>
      </w:r>
      <w:r w:rsidR="002209B4" w:rsidRPr="00A45C44">
        <w:rPr>
          <w:rFonts w:ascii="Book Antiqua" w:eastAsia="Book Antiqua" w:hAnsi="Book Antiqua" w:cs="Book Antiqua"/>
          <w:color w:val="000000"/>
          <w:vertAlign w:val="subscript"/>
        </w:rPr>
        <w:t xml:space="preserve"> </w:t>
      </w:r>
      <w:r w:rsidRPr="00A45C44">
        <w:rPr>
          <w:rFonts w:ascii="Book Antiqua" w:eastAsia="Book Antiqua" w:hAnsi="Book Antiqua" w:cs="Book Antiqua"/>
          <w:color w:val="000000"/>
        </w:rPr>
        <w:t xml:space="preserve">0.883, </w:t>
      </w:r>
      <w:r w:rsidRPr="00A45C44">
        <w:rPr>
          <w:rFonts w:ascii="Book Antiqua" w:eastAsia="Book Antiqua" w:hAnsi="Book Antiqua" w:cs="Book Antiqua"/>
          <w:i/>
          <w:iCs/>
          <w:color w:val="000000"/>
        </w:rPr>
        <w:t>P</w:t>
      </w:r>
      <w:r w:rsidRPr="00A45C44">
        <w:rPr>
          <w:rFonts w:ascii="Book Antiqua" w:eastAsia="Book Antiqua" w:hAnsi="Book Antiqua" w:cs="Book Antiqua"/>
          <w:color w:val="000000"/>
          <w:vertAlign w:val="subscript"/>
        </w:rPr>
        <w:t>1-year SR</w:t>
      </w:r>
      <w:r w:rsidRPr="00A45C44">
        <w:rPr>
          <w:rFonts w:ascii="Book Antiqua" w:eastAsia="Book Antiqua" w:hAnsi="Book Antiqua" w:cs="Book Antiqua"/>
          <w:color w:val="000000"/>
        </w:rPr>
        <w:t xml:space="preserve">: 0.624, and </w:t>
      </w:r>
      <w:r w:rsidRPr="00A45C44">
        <w:rPr>
          <w:rFonts w:ascii="Book Antiqua" w:eastAsia="Book Antiqua" w:hAnsi="Book Antiqua" w:cs="Book Antiqua"/>
          <w:i/>
          <w:iCs/>
          <w:color w:val="000000"/>
        </w:rPr>
        <w:t>P</w:t>
      </w:r>
      <w:r w:rsidRPr="00A45C44">
        <w:rPr>
          <w:rFonts w:ascii="Book Antiqua" w:eastAsia="Book Antiqua" w:hAnsi="Book Antiqua" w:cs="Book Antiqua"/>
          <w:color w:val="000000"/>
          <w:vertAlign w:val="subscript"/>
        </w:rPr>
        <w:t>CB</w:t>
      </w:r>
      <w:r w:rsidRPr="00A45C44">
        <w:rPr>
          <w:rFonts w:ascii="Book Antiqua" w:eastAsia="Book Antiqua" w:hAnsi="Book Antiqua" w:cs="Book Antiqua"/>
          <w:color w:val="000000"/>
        </w:rPr>
        <w:t>: 0.220) were not significantly different. With respect to secondary outcomes, we did not obtain significant difference (data not shown).</w:t>
      </w:r>
    </w:p>
    <w:p w14:paraId="57E11A03" w14:textId="77777777" w:rsidR="00A77B3E" w:rsidRPr="00A45C44" w:rsidRDefault="00A77B3E" w:rsidP="00175753">
      <w:pPr>
        <w:spacing w:line="360" w:lineRule="auto"/>
        <w:jc w:val="both"/>
        <w:rPr>
          <w:rFonts w:ascii="Book Antiqua" w:hAnsi="Book Antiqua"/>
        </w:rPr>
      </w:pPr>
    </w:p>
    <w:p w14:paraId="71AFCD76"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aps/>
          <w:color w:val="000000"/>
          <w:u w:val="single"/>
        </w:rPr>
        <w:t>DISCUSSION</w:t>
      </w:r>
    </w:p>
    <w:p w14:paraId="006A290C" w14:textId="77777777" w:rsidR="00A77B3E" w:rsidRPr="00A45C44" w:rsidRDefault="006667D9" w:rsidP="00A45C44">
      <w:pPr>
        <w:spacing w:line="360" w:lineRule="auto"/>
        <w:jc w:val="both"/>
        <w:rPr>
          <w:rFonts w:ascii="Book Antiqua" w:hAnsi="Book Antiqua"/>
        </w:rPr>
      </w:pPr>
      <w:r w:rsidRPr="00A45C44">
        <w:rPr>
          <w:rFonts w:ascii="Book Antiqua" w:eastAsia="Book Antiqua" w:hAnsi="Book Antiqua" w:cs="Book Antiqua"/>
          <w:color w:val="000000"/>
        </w:rPr>
        <w:t xml:space="preserve">Based on extensive preclinical and clinical studies, COX-2 inhibitors have shown significant </w:t>
      </w:r>
      <w:r w:rsidR="00231A58" w:rsidRPr="00A45C44">
        <w:rPr>
          <w:rFonts w:ascii="Book Antiqua" w:eastAsia="Book Antiqua" w:hAnsi="Book Antiqua" w:cs="Book Antiqua"/>
          <w:color w:val="000000"/>
        </w:rPr>
        <w:t>CB</w:t>
      </w:r>
      <w:r w:rsidRPr="00A45C44">
        <w:rPr>
          <w:rFonts w:ascii="Book Antiqua" w:eastAsia="Book Antiqua" w:hAnsi="Book Antiqua" w:cs="Book Antiqua"/>
          <w:color w:val="000000"/>
        </w:rPr>
        <w:t xml:space="preserve">s in both therapy and the chemoprevention of lung cancer. In this study, COX-2 inhibitors can increase the efficacy of chemotherapy regarding ORR. In a subgroup analysis, we found that celecoxib and rofecoxib might improve the ORR of patients with advanced NSCLC. Based on the treatment line, an increased ORR was found in first-line treatment with COX-2 inhibitors for advanced NSCLC patients. However, the second-line treatment with COX-2 inhibitors did not yield a significant effect in the ORR, possibly due to the inclusion of only one article. Teng </w:t>
      </w:r>
      <w:r w:rsidRPr="00A45C44">
        <w:rPr>
          <w:rFonts w:ascii="Book Antiqua" w:eastAsia="Book Antiqua" w:hAnsi="Book Antiqua" w:cs="Book Antiqua"/>
          <w:i/>
          <w:iCs/>
          <w:color w:val="000000"/>
        </w:rPr>
        <w:t>et al</w:t>
      </w:r>
      <w:r w:rsidRPr="00A45C44">
        <w:rPr>
          <w:rFonts w:ascii="Book Antiqua" w:eastAsia="Book Antiqua" w:hAnsi="Book Antiqua" w:cs="Book Antiqua"/>
          <w:color w:val="000000"/>
          <w:vertAlign w:val="superscript"/>
        </w:rPr>
        <w:t>[31]</w:t>
      </w:r>
      <w:r w:rsidRPr="00A45C44">
        <w:rPr>
          <w:rFonts w:ascii="Book Antiqua" w:eastAsia="Book Antiqua" w:hAnsi="Book Antiqua" w:cs="Book Antiqua"/>
          <w:color w:val="000000"/>
        </w:rPr>
        <w:t xml:space="preserve"> reported a higher ORR with celecoxib added to chemotherapy, whereas a study by Schneider </w:t>
      </w:r>
      <w:r w:rsidRPr="00A45C44">
        <w:rPr>
          <w:rFonts w:ascii="Book Antiqua" w:eastAsia="Book Antiqua" w:hAnsi="Book Antiqua" w:cs="Book Antiqua"/>
          <w:i/>
          <w:iCs/>
          <w:color w:val="000000"/>
        </w:rPr>
        <w:t>et al</w:t>
      </w:r>
      <w:r w:rsidRPr="00A45C44">
        <w:rPr>
          <w:rFonts w:ascii="Book Antiqua" w:eastAsia="Book Antiqua" w:hAnsi="Book Antiqua" w:cs="Book Antiqua"/>
          <w:color w:val="000000"/>
          <w:vertAlign w:val="superscript"/>
        </w:rPr>
        <w:t>[34]</w:t>
      </w:r>
      <w:r w:rsidRPr="00A45C44">
        <w:rPr>
          <w:rFonts w:ascii="Book Antiqua" w:eastAsia="Book Antiqua" w:hAnsi="Book Antiqua" w:cs="Book Antiqua"/>
          <w:color w:val="000000"/>
        </w:rPr>
        <w:t xml:space="preserve"> showed that celecoxib did not seem to improve the response rate. The most plausible explanation may be that different chemotherapy regimens were used. Teng </w:t>
      </w:r>
      <w:r w:rsidRPr="00A45C44">
        <w:rPr>
          <w:rFonts w:ascii="Book Antiqua" w:eastAsia="Book Antiqua" w:hAnsi="Book Antiqua" w:cs="Book Antiqua"/>
          <w:i/>
          <w:iCs/>
          <w:color w:val="000000"/>
        </w:rPr>
        <w:t>et al</w:t>
      </w:r>
      <w:r w:rsidRPr="00A45C44">
        <w:rPr>
          <w:rFonts w:ascii="Book Antiqua" w:eastAsia="Book Antiqua" w:hAnsi="Book Antiqua" w:cs="Book Antiqua"/>
          <w:color w:val="000000"/>
          <w:vertAlign w:val="superscript"/>
        </w:rPr>
        <w:t>[31]</w:t>
      </w:r>
      <w:r w:rsidRPr="00A45C44">
        <w:rPr>
          <w:rFonts w:ascii="Book Antiqua" w:eastAsia="Book Antiqua" w:hAnsi="Book Antiqua" w:cs="Book Antiqua"/>
          <w:color w:val="000000"/>
        </w:rPr>
        <w:t xml:space="preserve"> used gemcitabine/cisplatin, whereas Schneider </w:t>
      </w:r>
      <w:r w:rsidR="002209B4" w:rsidRPr="00A45C44">
        <w:rPr>
          <w:rFonts w:ascii="Book Antiqua" w:eastAsia="Book Antiqua" w:hAnsi="Book Antiqua" w:cs="Book Antiqua"/>
          <w:i/>
          <w:iCs/>
          <w:color w:val="000000"/>
        </w:rPr>
        <w:t>et al</w:t>
      </w:r>
      <w:r w:rsidR="002209B4" w:rsidRPr="00A45C44">
        <w:rPr>
          <w:rFonts w:ascii="Book Antiqua" w:eastAsia="Book Antiqua" w:hAnsi="Book Antiqua" w:cs="Book Antiqua"/>
          <w:color w:val="000000"/>
          <w:vertAlign w:val="superscript"/>
        </w:rPr>
        <w:t>[34]</w:t>
      </w:r>
      <w:r w:rsidR="002209B4"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used docetaxel. However, for the CB, a significant difference was not discovered.</w:t>
      </w:r>
      <w:r w:rsidR="0023317F" w:rsidRPr="00A45C44">
        <w:rPr>
          <w:rFonts w:ascii="Book Antiqua" w:eastAsia="Book Antiqua" w:hAnsi="Book Antiqua" w:cs="Book Antiqua"/>
          <w:color w:val="000000"/>
        </w:rPr>
        <w:t xml:space="preserve"> The</w:t>
      </w:r>
      <w:r w:rsidRPr="00A45C44">
        <w:rPr>
          <w:rFonts w:ascii="Book Antiqua" w:eastAsia="Book Antiqua" w:hAnsi="Book Antiqua" w:cs="Book Antiqua"/>
          <w:color w:val="000000"/>
        </w:rPr>
        <w:t xml:space="preserve"> </w:t>
      </w:r>
      <w:r w:rsidR="0023317F" w:rsidRPr="00A45C44">
        <w:rPr>
          <w:rFonts w:ascii="Book Antiqua" w:eastAsia="Book Antiqua" w:hAnsi="Book Antiqua" w:cs="Book Antiqua"/>
          <w:color w:val="000000"/>
        </w:rPr>
        <w:t>f</w:t>
      </w:r>
      <w:r w:rsidRPr="00A45C44">
        <w:rPr>
          <w:rFonts w:ascii="Book Antiqua" w:eastAsia="Book Antiqua" w:hAnsi="Book Antiqua" w:cs="Book Antiqua"/>
          <w:color w:val="000000"/>
        </w:rPr>
        <w:t xml:space="preserve">indings of </w:t>
      </w:r>
      <w:r w:rsidR="0023317F" w:rsidRPr="00A45C44">
        <w:rPr>
          <w:rFonts w:ascii="Book Antiqua" w:eastAsia="Book Antiqua" w:hAnsi="Book Antiqua" w:cs="Book Antiqua"/>
          <w:color w:val="000000"/>
        </w:rPr>
        <w:t xml:space="preserve">the </w:t>
      </w:r>
      <w:r w:rsidRPr="00A45C44">
        <w:rPr>
          <w:rFonts w:ascii="Book Antiqua" w:eastAsia="Book Antiqua" w:hAnsi="Book Antiqua" w:cs="Book Antiqua"/>
          <w:color w:val="000000"/>
        </w:rPr>
        <w:t>subgroup</w:t>
      </w:r>
      <w:r w:rsidR="0023317F" w:rsidRPr="00A45C44">
        <w:rPr>
          <w:rFonts w:ascii="Book Antiqua" w:eastAsia="Book Antiqua" w:hAnsi="Book Antiqua" w:cs="Book Antiqua"/>
          <w:color w:val="000000"/>
        </w:rPr>
        <w:t xml:space="preserve"> analysis</w:t>
      </w:r>
      <w:r w:rsidRPr="00A45C44">
        <w:rPr>
          <w:rFonts w:ascii="Book Antiqua" w:eastAsia="Book Antiqua" w:hAnsi="Book Antiqua" w:cs="Book Antiqua"/>
          <w:color w:val="000000"/>
        </w:rPr>
        <w:t xml:space="preserve"> were consistent with those of previous studies</w:t>
      </w:r>
      <w:r w:rsidRPr="00A45C44">
        <w:rPr>
          <w:rFonts w:ascii="Book Antiqua" w:eastAsia="Book Antiqua" w:hAnsi="Book Antiqua" w:cs="Book Antiqua"/>
          <w:color w:val="000000"/>
          <w:vertAlign w:val="superscript"/>
        </w:rPr>
        <w:t>[22,28,30]</w:t>
      </w:r>
      <w:r w:rsidRPr="00A45C44">
        <w:rPr>
          <w:rFonts w:ascii="Book Antiqua" w:eastAsia="Book Antiqua" w:hAnsi="Book Antiqua" w:cs="Book Antiqua"/>
          <w:color w:val="000000"/>
        </w:rPr>
        <w:t xml:space="preserve">. Although no evidence showed that COX-2 inhibition could improve the CB for advanced NSCLC patients, Edelman </w:t>
      </w:r>
      <w:r w:rsidRPr="00A45C44">
        <w:rPr>
          <w:rFonts w:ascii="Book Antiqua" w:eastAsia="Book Antiqua" w:hAnsi="Book Antiqua" w:cs="Book Antiqua"/>
          <w:i/>
          <w:iCs/>
          <w:color w:val="000000"/>
        </w:rPr>
        <w:t>et al</w:t>
      </w:r>
      <w:r w:rsidRPr="00A45C44">
        <w:rPr>
          <w:rFonts w:ascii="Book Antiqua" w:eastAsia="Book Antiqua" w:hAnsi="Book Antiqua" w:cs="Book Antiqua"/>
          <w:color w:val="000000"/>
          <w:vertAlign w:val="superscript"/>
        </w:rPr>
        <w:t>[35]</w:t>
      </w:r>
      <w:r w:rsidRPr="00A45C44">
        <w:rPr>
          <w:rFonts w:ascii="Book Antiqua" w:eastAsia="Book Antiqua" w:hAnsi="Book Antiqua" w:cs="Book Antiqua"/>
          <w:color w:val="000000"/>
        </w:rPr>
        <w:t xml:space="preserve"> </w:t>
      </w:r>
      <w:r w:rsidR="0023317F" w:rsidRPr="00A45C44">
        <w:rPr>
          <w:rFonts w:ascii="Book Antiqua" w:eastAsia="Book Antiqua" w:hAnsi="Book Antiqua" w:cs="Book Antiqua"/>
          <w:color w:val="000000"/>
        </w:rPr>
        <w:t xml:space="preserve">highlighted </w:t>
      </w:r>
      <w:r w:rsidRPr="00A45C44">
        <w:rPr>
          <w:rFonts w:ascii="Book Antiqua" w:eastAsia="Book Antiqua" w:hAnsi="Book Antiqua" w:cs="Book Antiqua"/>
          <w:color w:val="000000"/>
        </w:rPr>
        <w:t xml:space="preserve">the importance of seeking molecular oriented therapy using COX-2 inhibitors. COX-2 inhibitors plus chemotherapy has no improvement on the 1-year SR for advanced NSCLC patients. </w:t>
      </w:r>
      <w:r w:rsidR="0023317F" w:rsidRPr="00A45C44">
        <w:rPr>
          <w:rFonts w:ascii="Book Antiqua" w:eastAsia="Book Antiqua" w:hAnsi="Book Antiqua" w:cs="Book Antiqua"/>
          <w:color w:val="000000"/>
        </w:rPr>
        <w:t>In the s</w:t>
      </w:r>
      <w:r w:rsidRPr="00A45C44">
        <w:rPr>
          <w:rFonts w:ascii="Book Antiqua" w:eastAsia="Book Antiqua" w:hAnsi="Book Antiqua" w:cs="Book Antiqua"/>
          <w:color w:val="000000"/>
        </w:rPr>
        <w:t>ubgroup analysis of</w:t>
      </w:r>
      <w:r w:rsidR="0023317F" w:rsidRPr="00A45C44">
        <w:rPr>
          <w:rFonts w:ascii="Book Antiqua" w:eastAsia="Book Antiqua" w:hAnsi="Book Antiqua" w:cs="Book Antiqua"/>
          <w:color w:val="000000"/>
        </w:rPr>
        <w:t xml:space="preserve"> the</w:t>
      </w:r>
      <w:r w:rsidRPr="00A45C44">
        <w:rPr>
          <w:rFonts w:ascii="Book Antiqua" w:eastAsia="Book Antiqua" w:hAnsi="Book Antiqua" w:cs="Book Antiqua"/>
          <w:color w:val="000000"/>
        </w:rPr>
        <w:t xml:space="preserve"> treatment line, COX-2 inhibitors in first-line treatment revealed a significant increase of the 1-year SR. Accordingly, the conclusion was made that COX-2 inhibitors more effective</w:t>
      </w:r>
      <w:r w:rsidR="0023317F" w:rsidRPr="00A45C44">
        <w:rPr>
          <w:rFonts w:ascii="Book Antiqua" w:eastAsia="Book Antiqua" w:hAnsi="Book Antiqua" w:cs="Book Antiqua"/>
          <w:color w:val="000000"/>
        </w:rPr>
        <w:t>ly</w:t>
      </w:r>
      <w:r w:rsidRPr="00A45C44">
        <w:rPr>
          <w:rFonts w:ascii="Book Antiqua" w:eastAsia="Book Antiqua" w:hAnsi="Book Antiqua" w:cs="Book Antiqua"/>
          <w:color w:val="000000"/>
        </w:rPr>
        <w:t xml:space="preserve"> improved both ORR and the 1-year SR for people suffer</w:t>
      </w:r>
      <w:r w:rsidR="0023317F" w:rsidRPr="00A45C44">
        <w:rPr>
          <w:rFonts w:ascii="Book Antiqua" w:eastAsia="Book Antiqua" w:hAnsi="Book Antiqua" w:cs="Book Antiqua"/>
          <w:color w:val="000000"/>
        </w:rPr>
        <w:t>ing with</w:t>
      </w:r>
      <w:r w:rsidRPr="00A45C44">
        <w:rPr>
          <w:rFonts w:ascii="Book Antiqua" w:eastAsia="Book Antiqua" w:hAnsi="Book Antiqua" w:cs="Book Antiqua"/>
          <w:color w:val="000000"/>
        </w:rPr>
        <w:t xml:space="preserve"> advanced NSCLC using first-line chemotherapy. The meta-analysis by Zhou </w:t>
      </w:r>
      <w:r w:rsidRPr="00A45C44">
        <w:rPr>
          <w:rFonts w:ascii="Book Antiqua" w:eastAsia="Book Antiqua" w:hAnsi="Book Antiqua" w:cs="Book Antiqua"/>
          <w:i/>
          <w:iCs/>
          <w:color w:val="000000"/>
        </w:rPr>
        <w:t>et al</w:t>
      </w:r>
      <w:r w:rsidRPr="00A45C44">
        <w:rPr>
          <w:rFonts w:ascii="Book Antiqua" w:eastAsia="Book Antiqua" w:hAnsi="Book Antiqua" w:cs="Book Antiqua"/>
          <w:color w:val="000000"/>
          <w:vertAlign w:val="superscript"/>
        </w:rPr>
        <w:t>[16]</w:t>
      </w:r>
      <w:r w:rsidRPr="00A45C44">
        <w:rPr>
          <w:rFonts w:ascii="Book Antiqua" w:eastAsia="Book Antiqua" w:hAnsi="Book Antiqua" w:cs="Book Antiqua"/>
          <w:color w:val="000000"/>
        </w:rPr>
        <w:t xml:space="preserve"> stated that the COX-2</w:t>
      </w:r>
      <w:r w:rsidR="0023317F" w:rsidRPr="00A45C44">
        <w:rPr>
          <w:rFonts w:ascii="Book Antiqua" w:eastAsia="Book Antiqua" w:hAnsi="Book Antiqua" w:cs="Book Antiqua"/>
          <w:color w:val="000000"/>
        </w:rPr>
        <w:t xml:space="preserve"> inhibitors</w:t>
      </w:r>
      <w:r w:rsidRPr="00A45C44">
        <w:rPr>
          <w:rFonts w:ascii="Book Antiqua" w:eastAsia="Book Antiqua" w:hAnsi="Book Antiqua" w:cs="Book Antiqua"/>
          <w:color w:val="000000"/>
        </w:rPr>
        <w:t xml:space="preserve"> may increase the ORR with advanced NSCLC.</w:t>
      </w:r>
    </w:p>
    <w:p w14:paraId="03B56A89" w14:textId="77777777" w:rsidR="00B53511" w:rsidRPr="00A45C44" w:rsidRDefault="006667D9" w:rsidP="00A45C44">
      <w:pPr>
        <w:spacing w:line="360" w:lineRule="auto"/>
        <w:ind w:firstLineChars="100" w:firstLine="240"/>
        <w:jc w:val="both"/>
        <w:rPr>
          <w:rFonts w:ascii="Book Antiqua" w:eastAsia="Book Antiqua" w:hAnsi="Book Antiqua" w:cs="Book Antiqua"/>
          <w:color w:val="000000"/>
        </w:rPr>
      </w:pPr>
      <w:r w:rsidRPr="00A45C44">
        <w:rPr>
          <w:rFonts w:ascii="Book Antiqua" w:eastAsia="Book Antiqua" w:hAnsi="Book Antiqua" w:cs="Book Antiqua"/>
          <w:color w:val="000000"/>
        </w:rPr>
        <w:t>Toxicity exist</w:t>
      </w:r>
      <w:r w:rsidR="0023317F" w:rsidRPr="00A45C44">
        <w:rPr>
          <w:rFonts w:ascii="Book Antiqua" w:eastAsia="Book Antiqua" w:hAnsi="Book Antiqua" w:cs="Book Antiqua"/>
          <w:color w:val="000000"/>
        </w:rPr>
        <w:t>s</w:t>
      </w:r>
      <w:r w:rsidRPr="00A45C44">
        <w:rPr>
          <w:rFonts w:ascii="Book Antiqua" w:eastAsia="Book Antiqua" w:hAnsi="Book Antiqua" w:cs="Book Antiqua"/>
          <w:color w:val="000000"/>
        </w:rPr>
        <w:t xml:space="preserve"> differently for individuals in incidence and severity</w:t>
      </w:r>
      <w:r w:rsidRPr="00A45C44">
        <w:rPr>
          <w:rFonts w:ascii="Book Antiqua" w:eastAsia="Book Antiqua" w:hAnsi="Book Antiqua" w:cs="Book Antiqua"/>
          <w:color w:val="000000"/>
          <w:vertAlign w:val="superscript"/>
        </w:rPr>
        <w:t>[36]</w:t>
      </w:r>
      <w:r w:rsidRPr="00A45C44">
        <w:rPr>
          <w:rFonts w:ascii="Book Antiqua" w:eastAsia="Book Antiqua" w:hAnsi="Book Antiqua" w:cs="Book Antiqua"/>
          <w:color w:val="000000"/>
        </w:rPr>
        <w:t xml:space="preserve">. Compared </w:t>
      </w:r>
      <w:r w:rsidR="0023317F" w:rsidRPr="00A45C44">
        <w:rPr>
          <w:rFonts w:ascii="Book Antiqua" w:eastAsia="Book Antiqua" w:hAnsi="Book Antiqua" w:cs="Book Antiqua"/>
          <w:color w:val="000000"/>
        </w:rPr>
        <w:t>to</w:t>
      </w:r>
      <w:r w:rsidRPr="00A45C44">
        <w:rPr>
          <w:rFonts w:ascii="Book Antiqua" w:eastAsia="Book Antiqua" w:hAnsi="Book Antiqua" w:cs="Book Antiqua"/>
          <w:color w:val="000000"/>
        </w:rPr>
        <w:t xml:space="preserve"> chemotherapy alone, COX-2 inhibitors associated with chemotherapy might have </w:t>
      </w:r>
      <w:r w:rsidR="00824AFB" w:rsidRPr="00A45C44">
        <w:rPr>
          <w:rFonts w:ascii="Book Antiqua" w:eastAsia="Book Antiqua" w:hAnsi="Book Antiqua" w:cs="Book Antiqua"/>
          <w:color w:val="000000"/>
        </w:rPr>
        <w:t xml:space="preserve">a </w:t>
      </w:r>
      <w:r w:rsidRPr="00A45C44">
        <w:rPr>
          <w:rFonts w:ascii="Book Antiqua" w:eastAsia="Book Antiqua" w:hAnsi="Book Antiqua" w:cs="Book Antiqua"/>
          <w:color w:val="000000"/>
        </w:rPr>
        <w:t xml:space="preserve">higher incidence of hematological toxicity, except for anemia. In addition, it </w:t>
      </w:r>
      <w:r w:rsidR="00824AFB" w:rsidRPr="00A45C44">
        <w:rPr>
          <w:rFonts w:ascii="Book Antiqua" w:eastAsia="Book Antiqua" w:hAnsi="Book Antiqua" w:cs="Book Antiqua"/>
          <w:color w:val="000000"/>
        </w:rPr>
        <w:t xml:space="preserve">was </w:t>
      </w:r>
      <w:r w:rsidRPr="00A45C44">
        <w:rPr>
          <w:rFonts w:ascii="Book Antiqua" w:eastAsia="Book Antiqua" w:hAnsi="Book Antiqua" w:cs="Book Antiqua"/>
          <w:color w:val="000000"/>
        </w:rPr>
        <w:t>confirmed by subgroup analysis that combined treatment (celecoxib plus chemotherapy) could increase the risk of hematological toxicity, particularly for two periods (in that first-line treatment with leukopenia and second-line treatment with thrombocytopenia). This is consistent with previous meta-analyses</w:t>
      </w:r>
      <w:r w:rsidRPr="00A45C44">
        <w:rPr>
          <w:rFonts w:ascii="Book Antiqua" w:eastAsia="Book Antiqua" w:hAnsi="Book Antiqua" w:cs="Book Antiqua"/>
          <w:color w:val="000000"/>
          <w:vertAlign w:val="superscript"/>
        </w:rPr>
        <w:t>[15,16]</w:t>
      </w:r>
      <w:r w:rsidRPr="00A45C44">
        <w:rPr>
          <w:rFonts w:ascii="Book Antiqua" w:eastAsia="Book Antiqua" w:hAnsi="Book Antiqua" w:cs="Book Antiqua"/>
          <w:color w:val="000000"/>
        </w:rPr>
        <w:t xml:space="preserve">. Nevertheless, </w:t>
      </w:r>
      <w:r w:rsidR="00824AFB" w:rsidRPr="00A45C44">
        <w:rPr>
          <w:rFonts w:ascii="Book Antiqua" w:eastAsia="Book Antiqua" w:hAnsi="Book Antiqua" w:cs="Book Antiqua"/>
          <w:color w:val="000000"/>
        </w:rPr>
        <w:t>i</w:t>
      </w:r>
      <w:r w:rsidRPr="00A45C44">
        <w:rPr>
          <w:rFonts w:ascii="Book Antiqua" w:eastAsia="Book Antiqua" w:hAnsi="Book Antiqua" w:cs="Book Antiqua"/>
          <w:color w:val="000000"/>
        </w:rPr>
        <w:t>t is likely that COX-2 is necessary for marrow recovery after cytotoxic chemo</w:t>
      </w:r>
      <w:r w:rsidR="00A83A6F">
        <w:rPr>
          <w:rFonts w:ascii="Book Antiqua" w:eastAsia="Book Antiqua" w:hAnsi="Book Antiqua" w:cs="Book Antiqua"/>
          <w:color w:val="000000"/>
        </w:rPr>
        <w:t>-</w:t>
      </w:r>
      <w:r w:rsidRPr="00A45C44">
        <w:rPr>
          <w:rFonts w:ascii="Book Antiqua" w:eastAsia="Book Antiqua" w:hAnsi="Book Antiqua" w:cs="Book Antiqua"/>
          <w:color w:val="000000"/>
        </w:rPr>
        <w:t>therapy</w:t>
      </w:r>
      <w:r w:rsidRPr="00A45C44">
        <w:rPr>
          <w:rFonts w:ascii="Book Antiqua" w:eastAsia="Book Antiqua" w:hAnsi="Book Antiqua" w:cs="Book Antiqua"/>
          <w:color w:val="000000"/>
          <w:vertAlign w:val="superscript"/>
        </w:rPr>
        <w:t>[37]</w:t>
      </w:r>
      <w:r w:rsidRPr="00A45C44">
        <w:rPr>
          <w:rFonts w:ascii="Book Antiqua" w:eastAsia="Book Antiqua" w:hAnsi="Book Antiqua" w:cs="Book Antiqua"/>
          <w:color w:val="000000"/>
        </w:rPr>
        <w:t>. A study</w:t>
      </w:r>
      <w:r w:rsidRPr="00A45C44">
        <w:rPr>
          <w:rFonts w:ascii="Book Antiqua" w:eastAsia="Book Antiqua" w:hAnsi="Book Antiqua" w:cs="Book Antiqua"/>
          <w:color w:val="000000"/>
          <w:vertAlign w:val="superscript"/>
        </w:rPr>
        <w:t>[38]</w:t>
      </w:r>
      <w:r w:rsidRPr="00A45C44">
        <w:rPr>
          <w:rFonts w:ascii="Book Antiqua" w:eastAsia="Book Antiqua" w:hAnsi="Book Antiqua" w:cs="Book Antiqua"/>
          <w:color w:val="000000"/>
        </w:rPr>
        <w:t xml:space="preserve"> </w:t>
      </w:r>
      <w:r w:rsidR="00824AFB" w:rsidRPr="00A45C44">
        <w:rPr>
          <w:rFonts w:ascii="Book Antiqua" w:eastAsia="Book Antiqua" w:hAnsi="Book Antiqua" w:cs="Book Antiqua"/>
          <w:color w:val="000000"/>
        </w:rPr>
        <w:t>s</w:t>
      </w:r>
      <w:r w:rsidRPr="00A45C44">
        <w:rPr>
          <w:rFonts w:ascii="Book Antiqua" w:eastAsia="Book Antiqua" w:hAnsi="Book Antiqua" w:cs="Book Antiqua"/>
          <w:color w:val="000000"/>
        </w:rPr>
        <w:t xml:space="preserve">uggested that the directed differentiation of erythroid, myeloid, </w:t>
      </w:r>
      <w:r w:rsidR="00824AFB" w:rsidRPr="00A45C44">
        <w:rPr>
          <w:rFonts w:ascii="Book Antiqua" w:eastAsia="Book Antiqua" w:hAnsi="Book Antiqua" w:cs="Book Antiqua"/>
          <w:color w:val="000000"/>
        </w:rPr>
        <w:t xml:space="preserve">and </w:t>
      </w:r>
      <w:r w:rsidRPr="00A45C44">
        <w:rPr>
          <w:rFonts w:ascii="Book Antiqua" w:eastAsia="Book Antiqua" w:hAnsi="Book Antiqua" w:cs="Book Antiqua"/>
          <w:color w:val="000000"/>
        </w:rPr>
        <w:t xml:space="preserve">megakaryocytic progenitors is related to the level of COX-2. Therefore, COX-2 </w:t>
      </w:r>
      <w:r w:rsidR="00B53511" w:rsidRPr="00A45C44">
        <w:rPr>
          <w:rFonts w:ascii="Book Antiqua" w:eastAsia="Book Antiqua" w:hAnsi="Book Antiqua" w:cs="Book Antiqua"/>
          <w:color w:val="000000"/>
        </w:rPr>
        <w:t xml:space="preserve">inhibitors </w:t>
      </w:r>
      <w:r w:rsidRPr="00A45C44">
        <w:rPr>
          <w:rFonts w:ascii="Book Antiqua" w:eastAsia="Book Antiqua" w:hAnsi="Book Antiqua" w:cs="Book Antiqua"/>
          <w:color w:val="000000"/>
        </w:rPr>
        <w:t xml:space="preserve">may also result in higher risk of hematological toxicity while increasing the ORR </w:t>
      </w:r>
      <w:r w:rsidR="00B53511" w:rsidRPr="00A45C44">
        <w:rPr>
          <w:rFonts w:ascii="Book Antiqua" w:eastAsia="Book Antiqua" w:hAnsi="Book Antiqua" w:cs="Book Antiqua"/>
          <w:color w:val="000000"/>
        </w:rPr>
        <w:t xml:space="preserve">by </w:t>
      </w:r>
      <w:r w:rsidRPr="00A45C44">
        <w:rPr>
          <w:rFonts w:ascii="Book Antiqua" w:eastAsia="Book Antiqua" w:hAnsi="Book Antiqua" w:cs="Book Antiqua"/>
          <w:color w:val="000000"/>
        </w:rPr>
        <w:t>using COX-2</w:t>
      </w:r>
      <w:r w:rsidR="00B53511" w:rsidRPr="00A45C44">
        <w:rPr>
          <w:rFonts w:ascii="Book Antiqua" w:eastAsia="Book Antiqua" w:hAnsi="Book Antiqua" w:cs="Book Antiqua"/>
          <w:color w:val="000000"/>
        </w:rPr>
        <w:t xml:space="preserve"> inhibitors</w:t>
      </w:r>
      <w:r w:rsidRPr="00A45C44">
        <w:rPr>
          <w:rFonts w:ascii="Book Antiqua" w:eastAsia="Book Antiqua" w:hAnsi="Book Antiqua" w:cs="Book Antiqua"/>
          <w:color w:val="000000"/>
        </w:rPr>
        <w:t xml:space="preserve">. </w:t>
      </w:r>
    </w:p>
    <w:p w14:paraId="61C4AD96" w14:textId="77777777" w:rsidR="00A77B3E" w:rsidRPr="00A45C44" w:rsidRDefault="00B53511" w:rsidP="00A45C44">
      <w:pPr>
        <w:spacing w:line="360" w:lineRule="auto"/>
        <w:ind w:firstLineChars="100" w:firstLine="240"/>
        <w:jc w:val="both"/>
        <w:rPr>
          <w:rFonts w:ascii="Book Antiqua" w:hAnsi="Book Antiqua"/>
        </w:rPr>
      </w:pPr>
      <w:r w:rsidRPr="00A45C44">
        <w:rPr>
          <w:rFonts w:ascii="Book Antiqua" w:eastAsia="Book Antiqua" w:hAnsi="Book Antiqua" w:cs="Book Antiqua"/>
          <w:color w:val="000000"/>
        </w:rPr>
        <w:t>T</w:t>
      </w:r>
      <w:r w:rsidR="006667D9" w:rsidRPr="00A45C44">
        <w:rPr>
          <w:rFonts w:ascii="Book Antiqua" w:eastAsia="Book Antiqua" w:hAnsi="Book Antiqua" w:cs="Book Antiqua"/>
          <w:color w:val="000000"/>
        </w:rPr>
        <w:t xml:space="preserve">his study illustrated that COX-2 augmented the risk of cardiovascular events as well. Cardiovascular events with higher incidences happened </w:t>
      </w:r>
      <w:r w:rsidR="00302862" w:rsidRPr="00A45C44">
        <w:rPr>
          <w:rFonts w:ascii="Book Antiqua" w:eastAsia="Book Antiqua" w:hAnsi="Book Antiqua" w:cs="Book Antiqua"/>
          <w:color w:val="000000"/>
        </w:rPr>
        <w:t>when</w:t>
      </w:r>
      <w:r w:rsidR="006667D9" w:rsidRPr="00A45C44">
        <w:rPr>
          <w:rFonts w:ascii="Book Antiqua" w:eastAsia="Book Antiqua" w:hAnsi="Book Antiqua" w:cs="Book Antiqua"/>
          <w:color w:val="000000"/>
        </w:rPr>
        <w:t xml:space="preserve"> using rofecoxib</w:t>
      </w:r>
      <w:r w:rsidR="00302862" w:rsidRPr="00A45C44">
        <w:rPr>
          <w:rFonts w:ascii="Book Antiqua" w:eastAsia="Book Antiqua" w:hAnsi="Book Antiqua" w:cs="Book Antiqua"/>
          <w:color w:val="000000"/>
        </w:rPr>
        <w:t>.</w:t>
      </w:r>
      <w:r w:rsidR="006667D9" w:rsidRPr="00A45C44">
        <w:rPr>
          <w:rFonts w:ascii="Book Antiqua" w:eastAsia="Book Antiqua" w:hAnsi="Book Antiqua" w:cs="Book Antiqua"/>
          <w:color w:val="000000"/>
        </w:rPr>
        <w:t xml:space="preserve"> </w:t>
      </w:r>
      <w:r w:rsidR="00302862" w:rsidRPr="00A45C44">
        <w:rPr>
          <w:rFonts w:ascii="Book Antiqua" w:eastAsia="Book Antiqua" w:hAnsi="Book Antiqua" w:cs="Book Antiqua"/>
          <w:color w:val="000000"/>
        </w:rPr>
        <w:t>The</w:t>
      </w:r>
      <w:r w:rsidR="006667D9" w:rsidRPr="00A45C44">
        <w:rPr>
          <w:rFonts w:ascii="Book Antiqua" w:eastAsia="Book Antiqua" w:hAnsi="Book Antiqua" w:cs="Book Antiqua"/>
          <w:color w:val="000000"/>
        </w:rPr>
        <w:t xml:space="preserve"> influence</w:t>
      </w:r>
      <w:r w:rsidR="00302862" w:rsidRPr="00A45C44">
        <w:rPr>
          <w:rFonts w:ascii="Book Antiqua" w:eastAsia="Book Antiqua" w:hAnsi="Book Antiqua" w:cs="Book Antiqua"/>
          <w:color w:val="000000"/>
        </w:rPr>
        <w:t xml:space="preserve"> of rofecoxib</w:t>
      </w:r>
      <w:r w:rsidR="006667D9" w:rsidRPr="00A45C44">
        <w:rPr>
          <w:rFonts w:ascii="Book Antiqua" w:eastAsia="Book Antiqua" w:hAnsi="Book Antiqua" w:cs="Book Antiqua"/>
          <w:color w:val="000000"/>
        </w:rPr>
        <w:t xml:space="preserve"> on cardiovascular events still needed to be investigated for a few studies, whereas celecoxib ha</w:t>
      </w:r>
      <w:r w:rsidR="00302862" w:rsidRPr="00A45C44">
        <w:rPr>
          <w:rFonts w:ascii="Book Antiqua" w:eastAsia="Book Antiqua" w:hAnsi="Book Antiqua" w:cs="Book Antiqua"/>
          <w:color w:val="000000"/>
        </w:rPr>
        <w:t>d</w:t>
      </w:r>
      <w:r w:rsidR="006667D9" w:rsidRPr="00A45C44">
        <w:rPr>
          <w:rFonts w:ascii="Book Antiqua" w:eastAsia="Book Antiqua" w:hAnsi="Book Antiqua" w:cs="Book Antiqua"/>
          <w:color w:val="000000"/>
        </w:rPr>
        <w:t xml:space="preserve"> no effect on </w:t>
      </w:r>
      <w:r w:rsidR="00302862" w:rsidRPr="00A45C44">
        <w:rPr>
          <w:rFonts w:ascii="Book Antiqua" w:eastAsia="Book Antiqua" w:hAnsi="Book Antiqua" w:cs="Book Antiqua"/>
          <w:color w:val="000000"/>
        </w:rPr>
        <w:t>cardiovascular</w:t>
      </w:r>
      <w:r w:rsidR="006667D9" w:rsidRPr="00A45C44">
        <w:rPr>
          <w:rFonts w:ascii="Book Antiqua" w:eastAsia="Book Antiqua" w:hAnsi="Book Antiqua" w:cs="Book Antiqua"/>
          <w:color w:val="000000"/>
        </w:rPr>
        <w:t xml:space="preserve"> events. On the basis of classifying </w:t>
      </w:r>
      <w:r w:rsidR="00302862" w:rsidRPr="00A45C44">
        <w:rPr>
          <w:rFonts w:ascii="Book Antiqua" w:eastAsia="Book Antiqua" w:hAnsi="Book Antiqua" w:cs="Book Antiqua"/>
          <w:color w:val="000000"/>
        </w:rPr>
        <w:t xml:space="preserve">the </w:t>
      </w:r>
      <w:r w:rsidR="006667D9" w:rsidRPr="00A45C44">
        <w:rPr>
          <w:rFonts w:ascii="Book Antiqua" w:eastAsia="Book Antiqua" w:hAnsi="Book Antiqua" w:cs="Book Antiqua"/>
          <w:color w:val="000000"/>
        </w:rPr>
        <w:t>treatment line, it slightly increased the risk of cardiovascular events of advanced NSCLC through first-line treatment associated with COX-2, but no obvious difference</w:t>
      </w:r>
      <w:r w:rsidR="00302862" w:rsidRPr="00A45C44">
        <w:rPr>
          <w:rFonts w:ascii="Book Antiqua" w:eastAsia="Book Antiqua" w:hAnsi="Book Antiqua" w:cs="Book Antiqua"/>
          <w:color w:val="000000"/>
        </w:rPr>
        <w:t>s were observed</w:t>
      </w:r>
      <w:r w:rsidR="006667D9" w:rsidRPr="00A45C44">
        <w:rPr>
          <w:rFonts w:ascii="Book Antiqua" w:eastAsia="Book Antiqua" w:hAnsi="Book Antiqua" w:cs="Book Antiqua"/>
          <w:color w:val="000000"/>
        </w:rPr>
        <w:t xml:space="preserve"> </w:t>
      </w:r>
      <w:r w:rsidR="00302862" w:rsidRPr="00A45C44">
        <w:rPr>
          <w:rFonts w:ascii="Book Antiqua" w:eastAsia="Book Antiqua" w:hAnsi="Book Antiqua" w:cs="Book Antiqua"/>
          <w:color w:val="000000"/>
        </w:rPr>
        <w:t>for</w:t>
      </w:r>
      <w:r w:rsidR="006667D9" w:rsidRPr="00A45C44">
        <w:rPr>
          <w:rFonts w:ascii="Book Antiqua" w:eastAsia="Book Antiqua" w:hAnsi="Book Antiqua" w:cs="Book Antiqua"/>
          <w:color w:val="000000"/>
        </w:rPr>
        <w:t xml:space="preserve"> second-line treatment. Prostacyclin</w:t>
      </w:r>
      <w:r w:rsidR="006667D9" w:rsidRPr="00A45C44">
        <w:rPr>
          <w:rFonts w:ascii="Book Antiqua" w:eastAsia="Book Antiqua" w:hAnsi="Book Antiqua" w:cs="Book Antiqua"/>
          <w:color w:val="000000"/>
          <w:vertAlign w:val="superscript"/>
        </w:rPr>
        <w:t>[39]</w:t>
      </w:r>
      <w:r w:rsidR="006667D9" w:rsidRPr="00A45C44">
        <w:rPr>
          <w:rFonts w:ascii="Book Antiqua" w:eastAsia="Book Antiqua" w:hAnsi="Book Antiqua" w:cs="Book Antiqua"/>
          <w:color w:val="000000"/>
        </w:rPr>
        <w:t xml:space="preserve">, a substance that associates with the expression of </w:t>
      </w:r>
      <w:r w:rsidR="00F245D8" w:rsidRPr="00A45C44">
        <w:rPr>
          <w:rFonts w:ascii="Book Antiqua" w:eastAsia="Book Antiqua" w:hAnsi="Book Antiqua" w:cs="Book Antiqua"/>
          <w:color w:val="000000"/>
        </w:rPr>
        <w:t>COX</w:t>
      </w:r>
      <w:r w:rsidR="006667D9" w:rsidRPr="00A45C44">
        <w:rPr>
          <w:rFonts w:ascii="Book Antiqua" w:eastAsia="Book Antiqua" w:hAnsi="Book Antiqua" w:cs="Book Antiqua"/>
          <w:color w:val="000000"/>
        </w:rPr>
        <w:t>-2, existed in rof</w:t>
      </w:r>
      <w:r w:rsidR="00D4507A" w:rsidRPr="00A45C44">
        <w:rPr>
          <w:rFonts w:ascii="Book Antiqua" w:eastAsia="Book Antiqua" w:hAnsi="Book Antiqua" w:cs="Book Antiqua"/>
          <w:color w:val="000000"/>
        </w:rPr>
        <w:t>eco</w:t>
      </w:r>
      <w:r w:rsidR="006667D9" w:rsidRPr="00A45C44">
        <w:rPr>
          <w:rFonts w:ascii="Book Antiqua" w:eastAsia="Book Antiqua" w:hAnsi="Book Antiqua" w:cs="Book Antiqua"/>
          <w:color w:val="000000"/>
        </w:rPr>
        <w:t>xib</w:t>
      </w:r>
      <w:r w:rsidR="00D4507A" w:rsidRPr="00A45C44">
        <w:rPr>
          <w:rFonts w:ascii="Book Antiqua" w:eastAsia="Book Antiqua" w:hAnsi="Book Antiqua" w:cs="Book Antiqua"/>
          <w:color w:val="000000"/>
        </w:rPr>
        <w:t>.</w:t>
      </w:r>
      <w:r w:rsidR="006667D9" w:rsidRPr="00A45C44">
        <w:rPr>
          <w:rFonts w:ascii="Book Antiqua" w:eastAsia="Book Antiqua" w:hAnsi="Book Antiqua" w:cs="Book Antiqua"/>
          <w:color w:val="000000"/>
        </w:rPr>
        <w:t xml:space="preserve"> </w:t>
      </w:r>
      <w:r w:rsidR="00D4507A" w:rsidRPr="00A45C44">
        <w:rPr>
          <w:rFonts w:ascii="Book Antiqua" w:eastAsia="Book Antiqua" w:hAnsi="Book Antiqua" w:cs="Book Antiqua"/>
          <w:color w:val="000000"/>
        </w:rPr>
        <w:t>Therefore,</w:t>
      </w:r>
      <w:r w:rsidR="006667D9" w:rsidRPr="00A45C44">
        <w:rPr>
          <w:rFonts w:ascii="Book Antiqua" w:eastAsia="Book Antiqua" w:hAnsi="Book Antiqua" w:cs="Book Antiqua"/>
          <w:color w:val="000000"/>
        </w:rPr>
        <w:t xml:space="preserve"> rof</w:t>
      </w:r>
      <w:r w:rsidR="00D4507A" w:rsidRPr="00A45C44">
        <w:rPr>
          <w:rFonts w:ascii="Book Antiqua" w:eastAsia="Book Antiqua" w:hAnsi="Book Antiqua" w:cs="Book Antiqua"/>
          <w:color w:val="000000"/>
        </w:rPr>
        <w:t>eco</w:t>
      </w:r>
      <w:r w:rsidR="006667D9" w:rsidRPr="00A45C44">
        <w:rPr>
          <w:rFonts w:ascii="Book Antiqua" w:eastAsia="Book Antiqua" w:hAnsi="Book Antiqua" w:cs="Book Antiqua"/>
          <w:color w:val="000000"/>
        </w:rPr>
        <w:t xml:space="preserve">xib might participate in </w:t>
      </w:r>
      <w:r w:rsidR="00D4507A" w:rsidRPr="00A45C44">
        <w:rPr>
          <w:rFonts w:ascii="Book Antiqua" w:eastAsia="Book Antiqua" w:hAnsi="Book Antiqua" w:cs="Book Antiqua"/>
          <w:color w:val="000000"/>
        </w:rPr>
        <w:t xml:space="preserve">the </w:t>
      </w:r>
      <w:r w:rsidR="006667D9" w:rsidRPr="00A45C44">
        <w:rPr>
          <w:rFonts w:ascii="Book Antiqua" w:eastAsia="Book Antiqua" w:hAnsi="Book Antiqua" w:cs="Book Antiqua"/>
          <w:color w:val="000000"/>
        </w:rPr>
        <w:t xml:space="preserve">process of formation of thrombosis. </w:t>
      </w:r>
      <w:r w:rsidR="006667D9" w:rsidRPr="00A45C44">
        <w:rPr>
          <w:rFonts w:ascii="Book Antiqua" w:eastAsia="Book Antiqua" w:hAnsi="Book Antiqua" w:cs="Book Antiqua"/>
          <w:i/>
          <w:iCs/>
          <w:color w:val="000000"/>
        </w:rPr>
        <w:t>In vitro</w:t>
      </w:r>
      <w:r w:rsidR="006667D9" w:rsidRPr="00A45C44">
        <w:rPr>
          <w:rFonts w:ascii="Book Antiqua" w:eastAsia="Book Antiqua" w:hAnsi="Book Antiqua" w:cs="Book Antiqua"/>
          <w:color w:val="000000"/>
        </w:rPr>
        <w:t xml:space="preserve"> experiments have proven that celecoxib has a lower specific effect on </w:t>
      </w:r>
      <w:r w:rsidR="002209B4" w:rsidRPr="00A45C44">
        <w:rPr>
          <w:rFonts w:ascii="Book Antiqua" w:eastAsia="Book Antiqua" w:hAnsi="Book Antiqua" w:cs="Book Antiqua"/>
          <w:color w:val="000000"/>
        </w:rPr>
        <w:t>COX</w:t>
      </w:r>
      <w:r w:rsidR="006667D9" w:rsidRPr="00A45C44">
        <w:rPr>
          <w:rFonts w:ascii="Book Antiqua" w:eastAsia="Book Antiqua" w:hAnsi="Book Antiqua" w:cs="Book Antiqua"/>
          <w:color w:val="000000"/>
        </w:rPr>
        <w:t>-2 than rof</w:t>
      </w:r>
      <w:r w:rsidR="00D4507A" w:rsidRPr="00A45C44">
        <w:rPr>
          <w:rFonts w:ascii="Book Antiqua" w:eastAsia="Book Antiqua" w:hAnsi="Book Antiqua" w:cs="Book Antiqua"/>
          <w:color w:val="000000"/>
        </w:rPr>
        <w:t>eco</w:t>
      </w:r>
      <w:r w:rsidR="006667D9" w:rsidRPr="00A45C44">
        <w:rPr>
          <w:rFonts w:ascii="Book Antiqua" w:eastAsia="Book Antiqua" w:hAnsi="Book Antiqua" w:cs="Book Antiqua"/>
          <w:color w:val="000000"/>
        </w:rPr>
        <w:t xml:space="preserve">xib and is less likely to cause thrombosis, which indicates the rationality of our </w:t>
      </w:r>
      <w:r w:rsidR="00D4507A" w:rsidRPr="00A45C44">
        <w:rPr>
          <w:rFonts w:ascii="Book Antiqua" w:eastAsia="Book Antiqua" w:hAnsi="Book Antiqua" w:cs="Book Antiqua"/>
          <w:color w:val="000000"/>
        </w:rPr>
        <w:t>hypothesis.</w:t>
      </w:r>
      <w:r w:rsidR="006667D9" w:rsidRPr="00A45C44">
        <w:rPr>
          <w:rFonts w:ascii="Book Antiqua" w:eastAsia="Book Antiqua" w:hAnsi="Book Antiqua" w:cs="Book Antiqua"/>
          <w:color w:val="000000"/>
        </w:rPr>
        <w:t xml:space="preserve"> Given that patients may not benefit from COX-2 selective </w:t>
      </w:r>
      <w:r w:rsidR="00AB4DB4" w:rsidRPr="00A45C44">
        <w:rPr>
          <w:rFonts w:ascii="Book Antiqua" w:eastAsia="Book Antiqua" w:hAnsi="Book Antiqua" w:cs="Book Antiqua"/>
          <w:color w:val="000000"/>
        </w:rPr>
        <w:t>nonsteroidal anti-inflammatory drugs</w:t>
      </w:r>
      <w:r w:rsidR="006667D9" w:rsidRPr="00A45C44">
        <w:rPr>
          <w:rFonts w:ascii="Book Antiqua" w:eastAsia="Book Antiqua" w:hAnsi="Book Antiqua" w:cs="Book Antiqua"/>
          <w:color w:val="000000"/>
          <w:vertAlign w:val="superscript"/>
        </w:rPr>
        <w:t>[40]</w:t>
      </w:r>
      <w:r w:rsidR="006667D9" w:rsidRPr="00A45C44">
        <w:rPr>
          <w:rFonts w:ascii="Book Antiqua" w:eastAsia="Book Antiqua" w:hAnsi="Book Antiqua" w:cs="Book Antiqua"/>
          <w:color w:val="000000"/>
        </w:rPr>
        <w:t>, it makes sense to use aspirin to prevent vascular events again.</w:t>
      </w:r>
    </w:p>
    <w:p w14:paraId="51443215" w14:textId="77777777" w:rsidR="00A77B3E" w:rsidRPr="00A45C44" w:rsidRDefault="003D17AF" w:rsidP="00A45C44">
      <w:pPr>
        <w:spacing w:line="360" w:lineRule="auto"/>
        <w:ind w:firstLineChars="100" w:firstLine="240"/>
        <w:jc w:val="both"/>
        <w:rPr>
          <w:rFonts w:ascii="Book Antiqua" w:hAnsi="Book Antiqua"/>
        </w:rPr>
      </w:pPr>
      <w:r w:rsidRPr="00A45C44">
        <w:rPr>
          <w:rFonts w:ascii="Book Antiqua" w:eastAsia="Book Antiqua" w:hAnsi="Book Antiqua" w:cs="Book Antiqua"/>
          <w:color w:val="000000"/>
        </w:rPr>
        <w:t xml:space="preserve">There are several </w:t>
      </w:r>
      <w:r w:rsidR="006667D9" w:rsidRPr="00A45C44">
        <w:rPr>
          <w:rFonts w:ascii="Book Antiqua" w:eastAsia="Book Antiqua" w:hAnsi="Book Antiqua" w:cs="Book Antiqua"/>
          <w:color w:val="000000"/>
        </w:rPr>
        <w:t xml:space="preserve">meta-analyses concerning published research on the </w:t>
      </w:r>
      <w:r w:rsidR="00231A58" w:rsidRPr="00A45C44">
        <w:rPr>
          <w:rFonts w:ascii="Book Antiqua" w:eastAsia="Book Antiqua" w:hAnsi="Book Antiqua" w:cs="Book Antiqua"/>
          <w:color w:val="000000"/>
        </w:rPr>
        <w:t>CB</w:t>
      </w:r>
      <w:r w:rsidR="006667D9" w:rsidRPr="00A45C44">
        <w:rPr>
          <w:rFonts w:ascii="Book Antiqua" w:eastAsia="Book Antiqua" w:hAnsi="Book Antiqua" w:cs="Book Antiqua"/>
          <w:color w:val="000000"/>
        </w:rPr>
        <w:t xml:space="preserve"> profile of COX-2</w:t>
      </w:r>
      <w:r w:rsidR="006667D9" w:rsidRPr="00A45C44">
        <w:rPr>
          <w:rFonts w:ascii="Book Antiqua" w:eastAsia="Book Antiqua" w:hAnsi="Book Antiqua" w:cs="Book Antiqua"/>
          <w:color w:val="000000"/>
          <w:vertAlign w:val="superscript"/>
        </w:rPr>
        <w:t>[14-17]</w:t>
      </w:r>
      <w:r w:rsidR="006667D9" w:rsidRPr="00A45C44">
        <w:rPr>
          <w:rFonts w:ascii="Book Antiqua" w:eastAsia="Book Antiqua" w:hAnsi="Book Antiqua" w:cs="Book Antiqua"/>
          <w:color w:val="000000"/>
        </w:rPr>
        <w:t xml:space="preserve">. The superiority of the ORR alone made it difficult to adequately demonstrate that the inhibition of the COX-2 inhibitors could improve the efficacy. </w:t>
      </w:r>
      <w:r w:rsidRPr="00A45C44">
        <w:rPr>
          <w:rFonts w:ascii="Book Antiqua" w:eastAsia="Book Antiqua" w:hAnsi="Book Antiqua" w:cs="Book Antiqua"/>
          <w:color w:val="000000"/>
        </w:rPr>
        <w:t>A r</w:t>
      </w:r>
      <w:r w:rsidR="006667D9" w:rsidRPr="00A45C44">
        <w:rPr>
          <w:rFonts w:ascii="Book Antiqua" w:eastAsia="Book Antiqua" w:hAnsi="Book Antiqua" w:cs="Book Antiqua"/>
          <w:color w:val="000000"/>
        </w:rPr>
        <w:t>elevant</w:t>
      </w:r>
      <w:r w:rsidR="002209B4" w:rsidRPr="00A45C44">
        <w:rPr>
          <w:rFonts w:ascii="Book Antiqua" w:eastAsia="Book Antiqua" w:hAnsi="Book Antiqua" w:cs="Book Antiqua"/>
          <w:color w:val="000000"/>
        </w:rPr>
        <w:t xml:space="preserve"> </w:t>
      </w:r>
      <w:r w:rsidR="006667D9" w:rsidRPr="00A45C44">
        <w:rPr>
          <w:rFonts w:ascii="Book Antiqua" w:eastAsia="Book Antiqua" w:hAnsi="Book Antiqua" w:cs="Book Antiqua"/>
          <w:color w:val="000000"/>
        </w:rPr>
        <w:t>stud</w:t>
      </w:r>
      <w:r w:rsidRPr="00A45C44">
        <w:rPr>
          <w:rFonts w:ascii="Book Antiqua" w:eastAsia="Book Antiqua" w:hAnsi="Book Antiqua" w:cs="Book Antiqua"/>
          <w:color w:val="000000"/>
        </w:rPr>
        <w:t>y</w:t>
      </w:r>
      <w:r w:rsidR="006667D9" w:rsidRPr="00A45C44">
        <w:rPr>
          <w:rFonts w:ascii="Book Antiqua" w:eastAsia="Book Antiqua" w:hAnsi="Book Antiqua" w:cs="Book Antiqua"/>
          <w:color w:val="000000"/>
          <w:vertAlign w:val="superscript"/>
        </w:rPr>
        <w:t>[15]</w:t>
      </w:r>
      <w:r w:rsidR="006667D9" w:rsidRPr="00A45C44">
        <w:rPr>
          <w:rFonts w:ascii="Book Antiqua" w:eastAsia="Book Antiqua" w:hAnsi="Book Antiqua" w:cs="Book Antiqua"/>
          <w:color w:val="000000"/>
        </w:rPr>
        <w:t xml:space="preserve"> analyzed </w:t>
      </w:r>
      <w:r w:rsidRPr="00A45C44">
        <w:rPr>
          <w:rFonts w:ascii="Book Antiqua" w:eastAsia="Book Antiqua" w:hAnsi="Book Antiqua" w:cs="Book Antiqua"/>
          <w:color w:val="000000"/>
        </w:rPr>
        <w:t>six</w:t>
      </w:r>
      <w:r w:rsidR="006667D9" w:rsidRPr="00A45C44">
        <w:rPr>
          <w:rFonts w:ascii="Book Antiqua" w:eastAsia="Book Antiqua" w:hAnsi="Book Antiqua" w:cs="Book Antiqua"/>
          <w:color w:val="000000"/>
        </w:rPr>
        <w:t xml:space="preserve"> studies, setting forth all endpoints that did not conduct subgroup analysis. In addition, no subgroup analyses were performed when toxicities were assessed by Zhou </w:t>
      </w:r>
      <w:r w:rsidR="006667D9" w:rsidRPr="00A45C44">
        <w:rPr>
          <w:rFonts w:ascii="Book Antiqua" w:eastAsia="Book Antiqua" w:hAnsi="Book Antiqua" w:cs="Book Antiqua"/>
          <w:i/>
          <w:iCs/>
          <w:color w:val="000000"/>
        </w:rPr>
        <w:t>et al</w:t>
      </w:r>
      <w:r w:rsidR="006667D9" w:rsidRPr="00A45C44">
        <w:rPr>
          <w:rFonts w:ascii="Book Antiqua" w:eastAsia="Book Antiqua" w:hAnsi="Book Antiqua" w:cs="Book Antiqua"/>
          <w:color w:val="000000"/>
          <w:vertAlign w:val="superscript"/>
        </w:rPr>
        <w:t>[16]</w:t>
      </w:r>
      <w:r w:rsidR="006667D9" w:rsidRPr="00A45C44">
        <w:rPr>
          <w:rFonts w:ascii="Book Antiqua" w:eastAsia="Book Antiqua" w:hAnsi="Book Antiqua" w:cs="Book Antiqua"/>
          <w:color w:val="000000"/>
        </w:rPr>
        <w:t xml:space="preserve">. Dai </w:t>
      </w:r>
      <w:r w:rsidR="006667D9" w:rsidRPr="00A45C44">
        <w:rPr>
          <w:rFonts w:ascii="Book Antiqua" w:eastAsia="Book Antiqua" w:hAnsi="Book Antiqua" w:cs="Book Antiqua"/>
          <w:i/>
          <w:iCs/>
          <w:color w:val="000000"/>
        </w:rPr>
        <w:t>et al</w:t>
      </w:r>
      <w:r w:rsidR="002209B4" w:rsidRPr="00A45C44">
        <w:rPr>
          <w:rFonts w:ascii="Book Antiqua" w:eastAsia="Book Antiqua" w:hAnsi="Book Antiqua" w:cs="Book Antiqua"/>
          <w:color w:val="000000"/>
          <w:vertAlign w:val="superscript"/>
        </w:rPr>
        <w:t>[17]</w:t>
      </w:r>
      <w:r w:rsidR="006667D9" w:rsidRPr="00A45C44">
        <w:rPr>
          <w:rFonts w:ascii="Book Antiqua" w:eastAsia="Book Antiqua" w:hAnsi="Book Antiqua" w:cs="Book Antiqua"/>
          <w:color w:val="000000"/>
        </w:rPr>
        <w:t xml:space="preserve"> study describing all efficacy endpoints with subgroup analysis, but other efficacy outcomes (CB, CR, PR and SD) were lacking, and toxicity was not performed by subgroup analysis to explore the difference in different types of COX-2 inhibitor</w:t>
      </w:r>
      <w:r w:rsidRPr="00A45C44">
        <w:rPr>
          <w:rFonts w:ascii="Book Antiqua" w:eastAsia="Book Antiqua" w:hAnsi="Book Antiqua" w:cs="Book Antiqua"/>
          <w:color w:val="000000"/>
        </w:rPr>
        <w:t>s</w:t>
      </w:r>
      <w:r w:rsidR="006667D9" w:rsidRPr="00A45C44">
        <w:rPr>
          <w:rFonts w:ascii="Book Antiqua" w:eastAsia="Book Antiqua" w:hAnsi="Book Antiqua" w:cs="Book Antiqua"/>
          <w:color w:val="000000"/>
        </w:rPr>
        <w:t xml:space="preserve"> and </w:t>
      </w:r>
      <w:r w:rsidRPr="00A45C44">
        <w:rPr>
          <w:rFonts w:ascii="Book Antiqua" w:eastAsia="Book Antiqua" w:hAnsi="Book Antiqua" w:cs="Book Antiqua"/>
          <w:color w:val="000000"/>
        </w:rPr>
        <w:t xml:space="preserve">the </w:t>
      </w:r>
      <w:r w:rsidR="006667D9" w:rsidRPr="00A45C44">
        <w:rPr>
          <w:rFonts w:ascii="Book Antiqua" w:eastAsia="Book Antiqua" w:hAnsi="Book Antiqua" w:cs="Book Antiqua"/>
          <w:color w:val="000000"/>
        </w:rPr>
        <w:t>treatment line. In this meta-analysis, 12 studies were included, and five main outcomes (ORR, CB, 1-year SR, OS and PFS) and four secondary outcomes (CR, PR, SD and toxicity) were defined above. Moreover, considering the potential clinical heterogeneity, subgroup analyses were employed based on the different types of COX-2</w:t>
      </w:r>
      <w:r w:rsidRPr="00A45C44">
        <w:rPr>
          <w:rFonts w:ascii="Book Antiqua" w:eastAsia="Book Antiqua" w:hAnsi="Book Antiqua" w:cs="Book Antiqua"/>
          <w:color w:val="000000"/>
        </w:rPr>
        <w:t xml:space="preserve"> inhibitors</w:t>
      </w:r>
      <w:r w:rsidR="006667D9" w:rsidRPr="00A45C44">
        <w:rPr>
          <w:rFonts w:ascii="Book Antiqua" w:eastAsia="Book Antiqua" w:hAnsi="Book Antiqua" w:cs="Book Antiqua"/>
          <w:color w:val="000000"/>
        </w:rPr>
        <w:t xml:space="preserve"> and treatment line.</w:t>
      </w:r>
    </w:p>
    <w:p w14:paraId="4042415F" w14:textId="77777777" w:rsidR="00A77B3E" w:rsidRPr="00A45C44" w:rsidRDefault="00820ADE" w:rsidP="00A45C44">
      <w:pPr>
        <w:spacing w:line="360" w:lineRule="auto"/>
        <w:ind w:firstLineChars="100" w:firstLine="240"/>
        <w:jc w:val="both"/>
        <w:rPr>
          <w:rFonts w:ascii="Book Antiqua" w:hAnsi="Book Antiqua"/>
        </w:rPr>
      </w:pPr>
      <w:r w:rsidRPr="00A45C44">
        <w:rPr>
          <w:rFonts w:ascii="Book Antiqua" w:eastAsia="Book Antiqua" w:hAnsi="Book Antiqua" w:cs="Book Antiqua"/>
          <w:color w:val="000000"/>
        </w:rPr>
        <w:t xml:space="preserve">This study has some </w:t>
      </w:r>
      <w:r w:rsidR="006667D9" w:rsidRPr="00A45C44">
        <w:rPr>
          <w:rFonts w:ascii="Book Antiqua" w:eastAsia="Book Antiqua" w:hAnsi="Book Antiqua" w:cs="Book Antiqua"/>
          <w:color w:val="000000"/>
        </w:rPr>
        <w:t xml:space="preserve">limitations. </w:t>
      </w:r>
      <w:r w:rsidR="003D17AF" w:rsidRPr="00A45C44">
        <w:rPr>
          <w:rFonts w:ascii="Book Antiqua" w:eastAsia="Book Antiqua" w:hAnsi="Book Antiqua" w:cs="Book Antiqua"/>
          <w:color w:val="000000"/>
        </w:rPr>
        <w:t>First</w:t>
      </w:r>
      <w:r w:rsidR="006667D9" w:rsidRPr="00A45C44">
        <w:rPr>
          <w:rFonts w:ascii="Book Antiqua" w:eastAsia="Book Antiqua" w:hAnsi="Book Antiqua" w:cs="Book Antiqua"/>
          <w:color w:val="000000"/>
        </w:rPr>
        <w:t xml:space="preserve">, there are not many clinical trials </w:t>
      </w:r>
      <w:r w:rsidRPr="00A45C44">
        <w:rPr>
          <w:rFonts w:ascii="Book Antiqua" w:eastAsia="Book Antiqua" w:hAnsi="Book Antiqua" w:cs="Book Antiqua"/>
          <w:color w:val="000000"/>
        </w:rPr>
        <w:t xml:space="preserve">that </w:t>
      </w:r>
      <w:r w:rsidR="006667D9" w:rsidRPr="00A45C44">
        <w:rPr>
          <w:rFonts w:ascii="Book Antiqua" w:eastAsia="Book Antiqua" w:hAnsi="Book Antiqua" w:cs="Book Antiqua"/>
          <w:color w:val="000000"/>
        </w:rPr>
        <w:t>met the study design of this systematic review</w:t>
      </w:r>
      <w:r w:rsidRPr="00A45C44">
        <w:rPr>
          <w:rFonts w:ascii="Book Antiqua" w:eastAsia="Book Antiqua" w:hAnsi="Book Antiqua" w:cs="Book Antiqua"/>
          <w:color w:val="000000"/>
        </w:rPr>
        <w:t>,</w:t>
      </w:r>
      <w:r w:rsidR="006667D9"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e</w:t>
      </w:r>
      <w:r w:rsidR="006667D9" w:rsidRPr="00A45C44">
        <w:rPr>
          <w:rFonts w:ascii="Book Antiqua" w:eastAsia="Book Antiqua" w:hAnsi="Book Antiqua" w:cs="Book Antiqua"/>
          <w:color w:val="000000"/>
        </w:rPr>
        <w:t>specially in subgroup analysis, the small number of trials for rofecoxib, apricoxib</w:t>
      </w:r>
      <w:r w:rsidRPr="00A45C44">
        <w:rPr>
          <w:rFonts w:ascii="Book Antiqua" w:eastAsia="Book Antiqua" w:hAnsi="Book Antiqua" w:cs="Book Antiqua"/>
          <w:color w:val="000000"/>
        </w:rPr>
        <w:t>,</w:t>
      </w:r>
      <w:r w:rsidR="006667D9" w:rsidRPr="00A45C44">
        <w:rPr>
          <w:rFonts w:ascii="Book Antiqua" w:eastAsia="Book Antiqua" w:hAnsi="Book Antiqua" w:cs="Book Antiqua"/>
          <w:color w:val="000000"/>
        </w:rPr>
        <w:t xml:space="preserve"> or second-line treatment</w:t>
      </w:r>
      <w:r w:rsidRPr="00A45C44">
        <w:rPr>
          <w:rFonts w:ascii="Book Antiqua" w:eastAsia="Book Antiqua" w:hAnsi="Book Antiqua" w:cs="Book Antiqua"/>
          <w:color w:val="000000"/>
        </w:rPr>
        <w:t xml:space="preserve"> </w:t>
      </w:r>
      <w:r w:rsidR="006667D9" w:rsidRPr="00A45C44">
        <w:rPr>
          <w:rFonts w:ascii="Book Antiqua" w:eastAsia="Book Antiqua" w:hAnsi="Book Antiqua" w:cs="Book Antiqua"/>
          <w:color w:val="000000"/>
        </w:rPr>
        <w:t xml:space="preserve">limited the analytical power. Hence, more clinical studies </w:t>
      </w:r>
      <w:r w:rsidRPr="00A45C44">
        <w:rPr>
          <w:rFonts w:ascii="Book Antiqua" w:eastAsia="Book Antiqua" w:hAnsi="Book Antiqua" w:cs="Book Antiqua"/>
          <w:color w:val="000000"/>
        </w:rPr>
        <w:t xml:space="preserve">are </w:t>
      </w:r>
      <w:r w:rsidR="006667D9" w:rsidRPr="00A45C44">
        <w:rPr>
          <w:rFonts w:ascii="Book Antiqua" w:eastAsia="Book Antiqua" w:hAnsi="Book Antiqua" w:cs="Book Antiqua"/>
          <w:color w:val="000000"/>
        </w:rPr>
        <w:t xml:space="preserve">needed to </w:t>
      </w:r>
      <w:r w:rsidRPr="00A45C44">
        <w:rPr>
          <w:rFonts w:ascii="Book Antiqua" w:eastAsia="Book Antiqua" w:hAnsi="Book Antiqua" w:cs="Book Antiqua"/>
          <w:color w:val="000000"/>
        </w:rPr>
        <w:t xml:space="preserve">further </w:t>
      </w:r>
      <w:r w:rsidR="006667D9" w:rsidRPr="00A45C44">
        <w:rPr>
          <w:rFonts w:ascii="Book Antiqua" w:eastAsia="Book Antiqua" w:hAnsi="Book Antiqua" w:cs="Book Antiqua"/>
          <w:color w:val="000000"/>
        </w:rPr>
        <w:t>confirm our results about combined treatment and chemotherapy alone for advanced NSCLC. Second, due to the lack of data on the response rate and survival outcomes in the included RCTs, this may result in too small a result sample and the accuracy of the results.</w:t>
      </w:r>
    </w:p>
    <w:p w14:paraId="48D2A903" w14:textId="77777777" w:rsidR="00A77B3E" w:rsidRPr="00A45C44" w:rsidRDefault="00A77B3E" w:rsidP="000A52F5">
      <w:pPr>
        <w:spacing w:line="360" w:lineRule="auto"/>
        <w:jc w:val="both"/>
        <w:rPr>
          <w:rFonts w:ascii="Book Antiqua" w:hAnsi="Book Antiqua"/>
        </w:rPr>
      </w:pPr>
    </w:p>
    <w:p w14:paraId="54AAA737"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aps/>
          <w:color w:val="000000"/>
          <w:u w:val="single"/>
        </w:rPr>
        <w:t>CONCLUSION</w:t>
      </w:r>
    </w:p>
    <w:p w14:paraId="31DDBBA1"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This meta-analysis demonstrated that, in terms of ORR for patients </w:t>
      </w:r>
      <w:r w:rsidR="00820ADE" w:rsidRPr="00A45C44">
        <w:rPr>
          <w:rFonts w:ascii="Book Antiqua" w:eastAsia="Book Antiqua" w:hAnsi="Book Antiqua" w:cs="Book Antiqua"/>
          <w:color w:val="000000"/>
        </w:rPr>
        <w:t xml:space="preserve">who </w:t>
      </w:r>
      <w:r w:rsidRPr="00A45C44">
        <w:rPr>
          <w:rFonts w:ascii="Book Antiqua" w:eastAsia="Book Antiqua" w:hAnsi="Book Antiqua" w:cs="Book Antiqua"/>
          <w:color w:val="000000"/>
        </w:rPr>
        <w:t xml:space="preserve">received adjuvant chemotherapy of advanced NSCLC, COX-2 inhibitors improved the ORR and have no improvement on prolonged mortality. However, the COX-2 </w:t>
      </w:r>
      <w:r w:rsidR="008023DE" w:rsidRPr="00A45C44">
        <w:rPr>
          <w:rFonts w:ascii="Book Antiqua" w:eastAsia="Book Antiqua" w:hAnsi="Book Antiqua" w:cs="Book Antiqua"/>
          <w:color w:val="000000"/>
        </w:rPr>
        <w:t xml:space="preserve">inhibitors </w:t>
      </w:r>
      <w:r w:rsidRPr="00A45C44">
        <w:rPr>
          <w:rFonts w:ascii="Book Antiqua" w:eastAsia="Book Antiqua" w:hAnsi="Book Antiqua" w:cs="Book Antiqua"/>
          <w:color w:val="000000"/>
        </w:rPr>
        <w:t>could enhance both the ORR and improve the 1-year SR</w:t>
      </w:r>
      <w:r w:rsidR="008023DE" w:rsidRPr="00A45C44">
        <w:rPr>
          <w:rFonts w:ascii="Book Antiqua" w:eastAsia="Book Antiqua" w:hAnsi="Book Antiqua" w:cs="Book Antiqua"/>
          <w:color w:val="000000"/>
        </w:rPr>
        <w:t>, particularly with first-line chemotherapy</w:t>
      </w:r>
      <w:r w:rsidRPr="00A45C44">
        <w:rPr>
          <w:rFonts w:ascii="Book Antiqua" w:eastAsia="Book Antiqua" w:hAnsi="Book Antiqua" w:cs="Book Antiqua"/>
          <w:color w:val="000000"/>
        </w:rPr>
        <w:t>. Concerning toxicity, celecoxib plus chemotherapy resulted in a higher incidence of hematologic toxicities. Meanwhile</w:t>
      </w:r>
      <w:r w:rsidR="008023DE"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rofecoxib may augment the risk of cardiovascular events.</w:t>
      </w:r>
    </w:p>
    <w:p w14:paraId="2273D061" w14:textId="77777777" w:rsidR="00A77B3E" w:rsidRPr="00A45C44" w:rsidRDefault="00A77B3E" w:rsidP="00175753">
      <w:pPr>
        <w:spacing w:line="360" w:lineRule="auto"/>
        <w:jc w:val="both"/>
        <w:rPr>
          <w:rFonts w:ascii="Book Antiqua" w:hAnsi="Book Antiqua"/>
        </w:rPr>
      </w:pPr>
    </w:p>
    <w:p w14:paraId="500DD841"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aps/>
          <w:color w:val="000000"/>
          <w:u w:val="single"/>
        </w:rPr>
        <w:t>ARTICLE HIGHLIGHTS</w:t>
      </w:r>
    </w:p>
    <w:p w14:paraId="3E2E063D"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i/>
          <w:color w:val="000000"/>
        </w:rPr>
        <w:t>Research background</w:t>
      </w:r>
    </w:p>
    <w:p w14:paraId="06B216B9"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The proportion of non-small cell lung cancer (NSCLC) is more than </w:t>
      </w:r>
      <w:r w:rsidR="00623F60" w:rsidRPr="00A45C44">
        <w:rPr>
          <w:rFonts w:ascii="Book Antiqua" w:eastAsia="Book Antiqua" w:hAnsi="Book Antiqua" w:cs="Book Antiqua"/>
          <w:color w:val="000000"/>
        </w:rPr>
        <w:t>80%</w:t>
      </w:r>
      <w:r w:rsidRPr="00A45C44">
        <w:rPr>
          <w:rFonts w:ascii="Book Antiqua" w:eastAsia="Book Antiqua" w:hAnsi="Book Antiqua" w:cs="Book Antiqua"/>
          <w:color w:val="000000"/>
        </w:rPr>
        <w:t xml:space="preserve"> </w:t>
      </w:r>
      <w:r w:rsidR="00623F60" w:rsidRPr="00A45C44">
        <w:rPr>
          <w:rFonts w:ascii="Book Antiqua" w:eastAsia="Book Antiqua" w:hAnsi="Book Antiqua" w:cs="Book Antiqua"/>
          <w:color w:val="000000"/>
        </w:rPr>
        <w:t xml:space="preserve">of </w:t>
      </w:r>
      <w:r w:rsidRPr="00A45C44">
        <w:rPr>
          <w:rFonts w:ascii="Book Antiqua" w:eastAsia="Book Antiqua" w:hAnsi="Book Antiqua" w:cs="Book Antiqua"/>
          <w:color w:val="000000"/>
        </w:rPr>
        <w:t>all lung tumors. Most patients have advanced NSCLC at stage ШB or IV when diagnosed and have to receive alleviative treatment in order to maintain</w:t>
      </w:r>
      <w:r w:rsidR="00287CE4" w:rsidRPr="00A45C44">
        <w:rPr>
          <w:rFonts w:ascii="Book Antiqua" w:eastAsia="Book Antiqua" w:hAnsi="Book Antiqua" w:cs="Book Antiqua"/>
          <w:color w:val="000000"/>
        </w:rPr>
        <w:t xml:space="preserve"> their</w:t>
      </w:r>
      <w:r w:rsidRPr="00A45C44">
        <w:rPr>
          <w:rFonts w:ascii="Book Antiqua" w:eastAsia="Book Antiqua" w:hAnsi="Book Antiqua" w:cs="Book Antiqua"/>
          <w:color w:val="000000"/>
        </w:rPr>
        <w:t xml:space="preserve"> lives. The median survival time is 6-10 mo for patients who </w:t>
      </w:r>
      <w:r w:rsidR="00287CE4" w:rsidRPr="00A45C44">
        <w:rPr>
          <w:rFonts w:ascii="Book Antiqua" w:eastAsia="Book Antiqua" w:hAnsi="Book Antiqua" w:cs="Book Antiqua"/>
          <w:color w:val="000000"/>
        </w:rPr>
        <w:t xml:space="preserve">are </w:t>
      </w:r>
      <w:r w:rsidRPr="00A45C44">
        <w:rPr>
          <w:rFonts w:ascii="Book Antiqua" w:eastAsia="Book Antiqua" w:hAnsi="Book Antiqua" w:cs="Book Antiqua"/>
          <w:color w:val="000000"/>
        </w:rPr>
        <w:t xml:space="preserve">diagnosed </w:t>
      </w:r>
      <w:r w:rsidR="00287CE4" w:rsidRPr="00A45C44">
        <w:rPr>
          <w:rFonts w:ascii="Book Antiqua" w:eastAsia="Book Antiqua" w:hAnsi="Book Antiqua" w:cs="Book Antiqua"/>
          <w:color w:val="000000"/>
        </w:rPr>
        <w:t xml:space="preserve">with </w:t>
      </w:r>
      <w:r w:rsidRPr="00A45C44">
        <w:rPr>
          <w:rFonts w:ascii="Book Antiqua" w:eastAsia="Book Antiqua" w:hAnsi="Book Antiqua" w:cs="Book Antiqua"/>
          <w:color w:val="000000"/>
        </w:rPr>
        <w:t>advanced NSCLC in performance status 0-2</w:t>
      </w:r>
      <w:r w:rsidR="00287CE4" w:rsidRPr="00A45C44">
        <w:rPr>
          <w:rFonts w:ascii="Book Antiqua" w:eastAsia="Book Antiqua" w:hAnsi="Book Antiqua" w:cs="Book Antiqua"/>
          <w:color w:val="000000"/>
        </w:rPr>
        <w:t xml:space="preserve"> when</w:t>
      </w:r>
      <w:r w:rsidRPr="00A45C44">
        <w:rPr>
          <w:rFonts w:ascii="Book Antiqua" w:eastAsia="Book Antiqua" w:hAnsi="Book Antiqua" w:cs="Book Antiqua"/>
          <w:color w:val="000000"/>
        </w:rPr>
        <w:t xml:space="preserve"> adopting palliative first-line chemotherapy.</w:t>
      </w:r>
    </w:p>
    <w:p w14:paraId="791E7266" w14:textId="77777777" w:rsidR="00A77B3E" w:rsidRPr="00A45C44" w:rsidRDefault="00A77B3E" w:rsidP="00175753">
      <w:pPr>
        <w:spacing w:line="360" w:lineRule="auto"/>
        <w:jc w:val="both"/>
        <w:rPr>
          <w:rFonts w:ascii="Book Antiqua" w:hAnsi="Book Antiqua"/>
        </w:rPr>
      </w:pPr>
    </w:p>
    <w:p w14:paraId="20179FEE"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i/>
          <w:color w:val="000000"/>
        </w:rPr>
        <w:t>Research motivation</w:t>
      </w:r>
    </w:p>
    <w:p w14:paraId="455F1E17"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The motivation of this study is to investigate COX-2 for intervention of N</w:t>
      </w:r>
      <w:r w:rsidR="00F74CE2" w:rsidRPr="00A45C44">
        <w:rPr>
          <w:rFonts w:ascii="Book Antiqua" w:eastAsia="Book Antiqua" w:hAnsi="Book Antiqua" w:cs="Book Antiqua"/>
          <w:color w:val="000000"/>
        </w:rPr>
        <w:t>S</w:t>
      </w:r>
      <w:r w:rsidRPr="00A45C44">
        <w:rPr>
          <w:rFonts w:ascii="Book Antiqua" w:eastAsia="Book Antiqua" w:hAnsi="Book Antiqua" w:cs="Book Antiqua"/>
          <w:color w:val="000000"/>
        </w:rPr>
        <w:t>CLC</w:t>
      </w:r>
      <w:r w:rsidR="00F74CE2" w:rsidRPr="00A45C44">
        <w:rPr>
          <w:rFonts w:ascii="Book Antiqua" w:eastAsia="Book Antiqua" w:hAnsi="Book Antiqua" w:cs="Book Antiqua"/>
          <w:color w:val="000000"/>
        </w:rPr>
        <w:t>, which</w:t>
      </w:r>
      <w:r w:rsidRPr="00A45C44">
        <w:rPr>
          <w:rFonts w:ascii="Book Antiqua" w:eastAsia="Book Antiqua" w:hAnsi="Book Antiqua" w:cs="Book Antiqua"/>
          <w:color w:val="000000"/>
        </w:rPr>
        <w:t xml:space="preserve"> is mired in controversy in</w:t>
      </w:r>
      <w:r w:rsidR="00F74CE2" w:rsidRPr="00A45C44">
        <w:rPr>
          <w:rFonts w:ascii="Book Antiqua" w:eastAsia="Book Antiqua" w:hAnsi="Book Antiqua" w:cs="Book Antiqua"/>
          <w:color w:val="000000"/>
        </w:rPr>
        <w:t xml:space="preserve"> the</w:t>
      </w:r>
      <w:r w:rsidRPr="00A45C44">
        <w:rPr>
          <w:rFonts w:ascii="Book Antiqua" w:eastAsia="Book Antiqua" w:hAnsi="Book Antiqua" w:cs="Book Antiqua"/>
          <w:color w:val="000000"/>
        </w:rPr>
        <w:t xml:space="preserve"> medical field.</w:t>
      </w:r>
    </w:p>
    <w:p w14:paraId="6D122DC5" w14:textId="77777777" w:rsidR="00A77B3E" w:rsidRPr="00A45C44" w:rsidRDefault="00A77B3E" w:rsidP="00175753">
      <w:pPr>
        <w:spacing w:line="360" w:lineRule="auto"/>
        <w:jc w:val="both"/>
        <w:rPr>
          <w:rFonts w:ascii="Book Antiqua" w:hAnsi="Book Antiqua"/>
        </w:rPr>
      </w:pPr>
    </w:p>
    <w:p w14:paraId="6D72E177"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i/>
          <w:color w:val="000000"/>
        </w:rPr>
        <w:t>Research objectives</w:t>
      </w:r>
    </w:p>
    <w:p w14:paraId="6B4078A8"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This systematic review based on randomized controlled trials was conducted to appraise the benefit of chemotherapy-assisted addition of COX-2 for advanced NSCLC.</w:t>
      </w:r>
    </w:p>
    <w:p w14:paraId="2361AA90" w14:textId="77777777" w:rsidR="00A77B3E" w:rsidRPr="00A45C44" w:rsidRDefault="00A77B3E" w:rsidP="00175753">
      <w:pPr>
        <w:spacing w:line="360" w:lineRule="auto"/>
        <w:jc w:val="both"/>
        <w:rPr>
          <w:rFonts w:ascii="Book Antiqua" w:hAnsi="Book Antiqua"/>
        </w:rPr>
      </w:pPr>
    </w:p>
    <w:p w14:paraId="74D90E95"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i/>
          <w:color w:val="000000"/>
        </w:rPr>
        <w:t>Research methods</w:t>
      </w:r>
    </w:p>
    <w:p w14:paraId="461153C7" w14:textId="77777777" w:rsidR="00A77B3E" w:rsidRPr="00A45C44" w:rsidRDefault="006667D9" w:rsidP="00A45C44">
      <w:pPr>
        <w:spacing w:line="360" w:lineRule="auto"/>
        <w:jc w:val="both"/>
        <w:rPr>
          <w:rFonts w:ascii="Book Antiqua" w:hAnsi="Book Antiqua"/>
        </w:rPr>
      </w:pPr>
      <w:r w:rsidRPr="00A45C44">
        <w:rPr>
          <w:rFonts w:ascii="Book Antiqua" w:eastAsia="Book Antiqua" w:hAnsi="Book Antiqua" w:cs="Book Antiqua"/>
          <w:color w:val="000000"/>
        </w:rPr>
        <w:t>We searched the six electronic databases up until December 9, 2019 for studies that examined the efficacy and safety of the addition of COX-2 inhibitors to chemotherapy for NSCLC. Overall survival</w:t>
      </w:r>
      <w:r w:rsidR="00B81E4B" w:rsidRPr="00A45C44">
        <w:rPr>
          <w:rFonts w:ascii="Book Antiqua" w:eastAsia="Book Antiqua" w:hAnsi="Book Antiqua" w:cs="Book Antiqua"/>
          <w:color w:val="000000"/>
        </w:rPr>
        <w:t>(OS)</w:t>
      </w:r>
      <w:r w:rsidRPr="00A45C44">
        <w:rPr>
          <w:rFonts w:ascii="Book Antiqua" w:eastAsia="Book Antiqua" w:hAnsi="Book Antiqua" w:cs="Book Antiqua"/>
          <w:color w:val="000000"/>
        </w:rPr>
        <w:t>, progression</w:t>
      </w:r>
      <w:r w:rsidR="00B26189" w:rsidRPr="00A45C44">
        <w:rPr>
          <w:rFonts w:ascii="Book Antiqua" w:eastAsia="Book Antiqua" w:hAnsi="Book Antiqua" w:cs="Book Antiqua"/>
          <w:color w:val="000000"/>
        </w:rPr>
        <w:t xml:space="preserve"> </w:t>
      </w:r>
      <w:r w:rsidRPr="00A45C44">
        <w:rPr>
          <w:rFonts w:ascii="Book Antiqua" w:eastAsia="Book Antiqua" w:hAnsi="Book Antiqua" w:cs="Book Antiqua"/>
          <w:color w:val="000000"/>
        </w:rPr>
        <w:t>free survival</w:t>
      </w:r>
      <w:r w:rsidR="00B81E4B" w:rsidRPr="00A45C44">
        <w:rPr>
          <w:rFonts w:ascii="Book Antiqua" w:eastAsia="Book Antiqua" w:hAnsi="Book Antiqua" w:cs="Book Antiqua"/>
          <w:color w:val="000000"/>
        </w:rPr>
        <w:t xml:space="preserve"> (PFS)</w:t>
      </w:r>
      <w:r w:rsidRPr="00A45C44">
        <w:rPr>
          <w:rFonts w:ascii="Book Antiqua" w:eastAsia="Book Antiqua" w:hAnsi="Book Antiqua" w:cs="Book Antiqua"/>
          <w:color w:val="000000"/>
        </w:rPr>
        <w:t>, 1-year survival rate</w:t>
      </w:r>
      <w:r w:rsidR="00B81E4B" w:rsidRPr="00A45C44">
        <w:rPr>
          <w:rFonts w:ascii="Book Antiqua" w:eastAsia="Book Antiqua" w:hAnsi="Book Antiqua" w:cs="Book Antiqua"/>
          <w:color w:val="000000"/>
        </w:rPr>
        <w:t xml:space="preserve"> (SR)</w:t>
      </w:r>
      <w:r w:rsidRPr="00A45C44">
        <w:rPr>
          <w:rFonts w:ascii="Book Antiqua" w:eastAsia="Book Antiqua" w:hAnsi="Book Antiqua" w:cs="Book Antiqua"/>
          <w:color w:val="000000"/>
        </w:rPr>
        <w:t>, overall response rate</w:t>
      </w:r>
      <w:r w:rsidR="00231A58" w:rsidRPr="00A45C44">
        <w:rPr>
          <w:rFonts w:ascii="Book Antiqua" w:eastAsia="Book Antiqua" w:hAnsi="Book Antiqua" w:cs="Book Antiqua"/>
          <w:color w:val="000000"/>
        </w:rPr>
        <w:t xml:space="preserve"> (ORR)</w:t>
      </w:r>
      <w:r w:rsidRPr="00A45C44">
        <w:rPr>
          <w:rFonts w:ascii="Book Antiqua" w:eastAsia="Book Antiqua" w:hAnsi="Book Antiqua" w:cs="Book Antiqua"/>
          <w:color w:val="000000"/>
        </w:rPr>
        <w:t>, clinical benefit</w:t>
      </w:r>
      <w:r w:rsidR="00231A58" w:rsidRPr="00A45C44">
        <w:rPr>
          <w:rFonts w:ascii="Book Antiqua" w:eastAsia="Book Antiqua" w:hAnsi="Book Antiqua" w:cs="Book Antiqua"/>
          <w:color w:val="000000"/>
        </w:rPr>
        <w:t xml:space="preserve"> (CB)</w:t>
      </w:r>
      <w:r w:rsidRPr="00A45C44">
        <w:rPr>
          <w:rFonts w:ascii="Book Antiqua" w:eastAsia="Book Antiqua" w:hAnsi="Book Antiqua" w:cs="Book Antiqua"/>
          <w:color w:val="000000"/>
        </w:rPr>
        <w:t>, complete response</w:t>
      </w:r>
      <w:r w:rsidR="00231A58" w:rsidRPr="00A45C44">
        <w:rPr>
          <w:rFonts w:ascii="Book Antiqua" w:eastAsia="Book Antiqua" w:hAnsi="Book Antiqua" w:cs="Book Antiqua"/>
          <w:color w:val="000000"/>
        </w:rPr>
        <w:t xml:space="preserve"> (CR)</w:t>
      </w:r>
      <w:r w:rsidRPr="00A45C44">
        <w:rPr>
          <w:rFonts w:ascii="Book Antiqua" w:eastAsia="Book Antiqua" w:hAnsi="Book Antiqua" w:cs="Book Antiqua"/>
          <w:color w:val="000000"/>
        </w:rPr>
        <w:t>, partial response</w:t>
      </w:r>
      <w:r w:rsidR="00231A58" w:rsidRPr="00A45C44">
        <w:rPr>
          <w:rFonts w:ascii="Book Antiqua" w:eastAsia="Book Antiqua" w:hAnsi="Book Antiqua" w:cs="Book Antiqua"/>
          <w:color w:val="000000"/>
        </w:rPr>
        <w:t xml:space="preserve"> (PR)</w:t>
      </w:r>
      <w:r w:rsidRPr="00A45C44">
        <w:rPr>
          <w:rFonts w:ascii="Book Antiqua" w:eastAsia="Book Antiqua" w:hAnsi="Book Antiqua" w:cs="Book Antiqua"/>
          <w:color w:val="000000"/>
        </w:rPr>
        <w:t>, stable disease</w:t>
      </w:r>
      <w:r w:rsidR="00231A58" w:rsidRPr="00A45C44">
        <w:rPr>
          <w:rFonts w:ascii="Book Antiqua" w:eastAsia="Book Antiqua" w:hAnsi="Book Antiqua" w:cs="Book Antiqua"/>
          <w:color w:val="000000"/>
        </w:rPr>
        <w:t xml:space="preserve"> (SD)</w:t>
      </w:r>
      <w:r w:rsidRPr="00A45C44">
        <w:rPr>
          <w:rFonts w:ascii="Book Antiqua" w:eastAsia="Book Antiqua" w:hAnsi="Book Antiqua" w:cs="Book Antiqua"/>
          <w:color w:val="000000"/>
        </w:rPr>
        <w:t>, and toxicities were measured with more than one outcome as their endpoints. Fixed and random effects models were used to calculate risk estimates in a meta-analysis. Potential publication bias was calculated using Egger’s linear regression test. Data analysis was performed using R software.</w:t>
      </w:r>
    </w:p>
    <w:p w14:paraId="21C7D7A1" w14:textId="77777777" w:rsidR="00A77B3E" w:rsidRPr="00A45C44" w:rsidRDefault="00A77B3E" w:rsidP="000A52F5">
      <w:pPr>
        <w:spacing w:line="360" w:lineRule="auto"/>
        <w:jc w:val="both"/>
        <w:rPr>
          <w:rFonts w:ascii="Book Antiqua" w:hAnsi="Book Antiqua"/>
        </w:rPr>
      </w:pPr>
    </w:p>
    <w:p w14:paraId="0AA80944"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i/>
          <w:color w:val="000000"/>
        </w:rPr>
        <w:t>Research results</w:t>
      </w:r>
    </w:p>
    <w:p w14:paraId="6B783E02"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The COX-2 inhibitors combined with chemotherapy were not found to be more effective than chemotherapy alone in </w:t>
      </w:r>
      <w:r w:rsidR="00B81E4B" w:rsidRPr="00A45C44">
        <w:rPr>
          <w:rFonts w:ascii="Book Antiqua" w:eastAsia="Book Antiqua" w:hAnsi="Book Antiqua" w:cs="Book Antiqua"/>
          <w:color w:val="000000"/>
        </w:rPr>
        <w:t>OS</w:t>
      </w:r>
      <w:r w:rsidRPr="00A45C44">
        <w:rPr>
          <w:rFonts w:ascii="Book Antiqua" w:eastAsia="Book Antiqua" w:hAnsi="Book Antiqua" w:cs="Book Antiqua"/>
          <w:color w:val="000000"/>
        </w:rPr>
        <w:t>,</w:t>
      </w:r>
      <w:r w:rsidR="00F74CE2" w:rsidRPr="00A45C44">
        <w:rPr>
          <w:rFonts w:ascii="Book Antiqua" w:eastAsia="Book Antiqua" w:hAnsi="Book Antiqua" w:cs="Book Antiqua"/>
          <w:color w:val="000000"/>
        </w:rPr>
        <w:t xml:space="preserve"> </w:t>
      </w:r>
      <w:r w:rsidR="00B81E4B" w:rsidRPr="00A45C44">
        <w:rPr>
          <w:rFonts w:ascii="Book Antiqua" w:eastAsia="Book Antiqua" w:hAnsi="Book Antiqua" w:cs="Book Antiqua"/>
          <w:color w:val="000000"/>
        </w:rPr>
        <w:t>PFS</w:t>
      </w:r>
      <w:r w:rsidRPr="00A45C44">
        <w:rPr>
          <w:rFonts w:ascii="Book Antiqua" w:eastAsia="Book Antiqua" w:hAnsi="Book Antiqua" w:cs="Book Antiqua"/>
          <w:color w:val="000000"/>
        </w:rPr>
        <w:t xml:space="preserve">, 1-year </w:t>
      </w:r>
      <w:r w:rsidR="00231A58" w:rsidRPr="00A45C44">
        <w:rPr>
          <w:rFonts w:ascii="Book Antiqua" w:eastAsia="Book Antiqua" w:hAnsi="Book Antiqua" w:cs="Book Antiqua"/>
          <w:color w:val="000000"/>
        </w:rPr>
        <w:t>SR</w:t>
      </w:r>
      <w:r w:rsidRPr="00A45C44">
        <w:rPr>
          <w:rFonts w:ascii="Book Antiqua" w:eastAsia="Book Antiqua" w:hAnsi="Book Antiqua" w:cs="Book Antiqua"/>
          <w:color w:val="000000"/>
        </w:rPr>
        <w:t xml:space="preserve">, </w:t>
      </w:r>
      <w:r w:rsidR="00231A58" w:rsidRPr="00A45C44">
        <w:rPr>
          <w:rFonts w:ascii="Book Antiqua" w:eastAsia="Book Antiqua" w:hAnsi="Book Antiqua" w:cs="Book Antiqua"/>
          <w:color w:val="000000"/>
        </w:rPr>
        <w:t>CB</w:t>
      </w:r>
      <w:r w:rsidRPr="00A45C44">
        <w:rPr>
          <w:rFonts w:ascii="Book Antiqua" w:eastAsia="Book Antiqua" w:hAnsi="Book Antiqua" w:cs="Book Antiqua"/>
          <w:color w:val="000000"/>
        </w:rPr>
        <w:t xml:space="preserve">, </w:t>
      </w:r>
      <w:r w:rsidR="00231A58" w:rsidRPr="00A45C44">
        <w:rPr>
          <w:rFonts w:ascii="Book Antiqua" w:eastAsia="Book Antiqua" w:hAnsi="Book Antiqua" w:cs="Book Antiqua"/>
          <w:color w:val="000000"/>
        </w:rPr>
        <w:t>CR</w:t>
      </w:r>
      <w:r w:rsidRPr="00A45C44">
        <w:rPr>
          <w:rFonts w:ascii="Book Antiqua" w:eastAsia="Book Antiqua" w:hAnsi="Book Antiqua" w:cs="Book Antiqua"/>
          <w:color w:val="000000"/>
        </w:rPr>
        <w:t xml:space="preserve">, and </w:t>
      </w:r>
      <w:r w:rsidR="00231A58" w:rsidRPr="00A45C44">
        <w:rPr>
          <w:rFonts w:ascii="Book Antiqua" w:eastAsia="Book Antiqua" w:hAnsi="Book Antiqua" w:cs="Book Antiqua"/>
          <w:color w:val="000000"/>
        </w:rPr>
        <w:t>SD</w:t>
      </w:r>
      <w:r w:rsidRPr="00A45C44">
        <w:rPr>
          <w:rFonts w:ascii="Book Antiqua" w:eastAsia="Book Antiqua" w:hAnsi="Book Antiqua" w:cs="Book Antiqua"/>
          <w:color w:val="000000"/>
        </w:rPr>
        <w:t xml:space="preserve">. However, there was a difference in </w:t>
      </w:r>
      <w:r w:rsidR="00231A58" w:rsidRPr="00A45C44">
        <w:rPr>
          <w:rFonts w:ascii="Book Antiqua" w:eastAsia="Book Antiqua" w:hAnsi="Book Antiqua" w:cs="Book Antiqua"/>
          <w:color w:val="000000"/>
        </w:rPr>
        <w:t>ORR</w:t>
      </w:r>
      <w:r w:rsidRPr="00A45C44">
        <w:rPr>
          <w:rFonts w:ascii="Book Antiqua" w:eastAsia="Book Antiqua" w:hAnsi="Book Antiqua" w:cs="Book Antiqua"/>
          <w:color w:val="000000"/>
        </w:rPr>
        <w:t xml:space="preserve"> for patients with advanced NSCLC. In a subgroup analysis, significantly increased </w:t>
      </w:r>
      <w:r w:rsidR="00231A58" w:rsidRPr="00A45C44">
        <w:rPr>
          <w:rFonts w:ascii="Book Antiqua" w:eastAsia="Book Antiqua" w:hAnsi="Book Antiqua" w:cs="Book Antiqua"/>
          <w:color w:val="000000"/>
        </w:rPr>
        <w:t>ORR</w:t>
      </w:r>
      <w:r w:rsidRPr="00A45C44">
        <w:rPr>
          <w:rFonts w:ascii="Book Antiqua" w:eastAsia="Book Antiqua" w:hAnsi="Book Antiqua" w:cs="Book Antiqua"/>
          <w:color w:val="000000"/>
        </w:rPr>
        <w:t xml:space="preserve"> results were found for celecoxib, rofecoxib, first-line treatment</w:t>
      </w:r>
      <w:r w:rsidR="00012566"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and </w:t>
      </w:r>
      <w:r w:rsidR="00231A58" w:rsidRPr="00A45C44">
        <w:rPr>
          <w:rFonts w:ascii="Book Antiqua" w:eastAsia="Book Antiqua" w:hAnsi="Book Antiqua" w:cs="Book Antiqua"/>
          <w:color w:val="000000"/>
        </w:rPr>
        <w:t>PR</w:t>
      </w:r>
      <w:r w:rsidRPr="00A45C44">
        <w:rPr>
          <w:rFonts w:ascii="Book Antiqua" w:eastAsia="Book Antiqua" w:hAnsi="Book Antiqua" w:cs="Book Antiqua"/>
          <w:color w:val="000000"/>
        </w:rPr>
        <w:t>. For adverse events, the increase in COX-2 inhibitor was positively correlated with the increase in grade 3 and 4 toxicity of leukopenia, thrombocytopenia and cardiovascular events.</w:t>
      </w:r>
    </w:p>
    <w:p w14:paraId="7EEFB76D" w14:textId="77777777" w:rsidR="00A77B3E" w:rsidRPr="00A45C44" w:rsidRDefault="00A77B3E" w:rsidP="00175753">
      <w:pPr>
        <w:spacing w:line="360" w:lineRule="auto"/>
        <w:jc w:val="both"/>
        <w:rPr>
          <w:rFonts w:ascii="Book Antiqua" w:hAnsi="Book Antiqua"/>
        </w:rPr>
      </w:pPr>
    </w:p>
    <w:p w14:paraId="4D5CD598"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i/>
          <w:color w:val="000000"/>
        </w:rPr>
        <w:t>Research conclusions</w:t>
      </w:r>
    </w:p>
    <w:p w14:paraId="7D7B11F0"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COX-2 inhibitor combined with chemotherapy increased total effective rate of advanced NSCLC with the possible increased risk of blood toxicity and cardiovascular events and had no effect on survival index.</w:t>
      </w:r>
    </w:p>
    <w:p w14:paraId="756C2FB3" w14:textId="77777777" w:rsidR="00A77B3E" w:rsidRPr="00A45C44" w:rsidRDefault="00A77B3E" w:rsidP="00175753">
      <w:pPr>
        <w:spacing w:line="360" w:lineRule="auto"/>
        <w:jc w:val="both"/>
        <w:rPr>
          <w:rFonts w:ascii="Book Antiqua" w:hAnsi="Book Antiqua"/>
        </w:rPr>
      </w:pPr>
    </w:p>
    <w:p w14:paraId="526EEE9F"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i/>
          <w:color w:val="000000"/>
        </w:rPr>
        <w:t>Research perspectives</w:t>
      </w:r>
    </w:p>
    <w:p w14:paraId="04C528B3"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This study can provide reference value for the application of COX-2 in the treatment of lung cancer.</w:t>
      </w:r>
    </w:p>
    <w:p w14:paraId="1AB713D3" w14:textId="77777777" w:rsidR="00A77B3E" w:rsidRPr="00A45C44" w:rsidRDefault="00A77B3E" w:rsidP="00175753">
      <w:pPr>
        <w:spacing w:line="360" w:lineRule="auto"/>
        <w:jc w:val="both"/>
        <w:rPr>
          <w:rFonts w:ascii="Book Antiqua" w:hAnsi="Book Antiqua"/>
        </w:rPr>
      </w:pPr>
    </w:p>
    <w:p w14:paraId="7C80535A"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REFERENCES</w:t>
      </w:r>
    </w:p>
    <w:p w14:paraId="620A8B65"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 </w:t>
      </w:r>
      <w:r w:rsidRPr="00A45C44">
        <w:rPr>
          <w:rFonts w:ascii="Book Antiqua" w:eastAsia="Book Antiqua" w:hAnsi="Book Antiqua" w:cs="Book Antiqua"/>
          <w:b/>
          <w:bCs/>
          <w:color w:val="000000"/>
        </w:rPr>
        <w:t>Grønberg BH</w:t>
      </w:r>
      <w:r w:rsidRPr="00A45C44">
        <w:rPr>
          <w:rFonts w:ascii="Book Antiqua" w:eastAsia="Book Antiqua" w:hAnsi="Book Antiqua" w:cs="Book Antiqua"/>
          <w:color w:val="000000"/>
        </w:rPr>
        <w:t xml:space="preserve">, Bremnes RM, Fløtten O, Amundsen T, Brunsvig PF, Hjelde HH, Kaasa S, von Plessen C, Stornes F, Tollåli T, Wammer F, Aasebø U, Sundstrøm S. Phase III study by the Norwegian lung cancer study group: pemetrexed plus carboplatin compared with gemcitabine plus carboplatin as first-line chemotherapy in advanced non-small-cell lung cancer. </w:t>
      </w:r>
      <w:r w:rsidRPr="00A45C44">
        <w:rPr>
          <w:rFonts w:ascii="Book Antiqua" w:eastAsia="Book Antiqua" w:hAnsi="Book Antiqua" w:cs="Book Antiqua"/>
          <w:i/>
          <w:iCs/>
          <w:color w:val="000000"/>
        </w:rPr>
        <w:t>J Clin Oncol</w:t>
      </w:r>
      <w:r w:rsidRPr="00A45C44">
        <w:rPr>
          <w:rFonts w:ascii="Book Antiqua" w:eastAsia="Book Antiqua" w:hAnsi="Book Antiqua" w:cs="Book Antiqua"/>
          <w:color w:val="000000"/>
        </w:rPr>
        <w:t xml:space="preserve"> 2009; </w:t>
      </w:r>
      <w:r w:rsidRPr="00A45C44">
        <w:rPr>
          <w:rFonts w:ascii="Book Antiqua" w:eastAsia="Book Antiqua" w:hAnsi="Book Antiqua" w:cs="Book Antiqua"/>
          <w:b/>
          <w:bCs/>
          <w:color w:val="000000"/>
        </w:rPr>
        <w:t>27</w:t>
      </w:r>
      <w:r w:rsidRPr="00A45C44">
        <w:rPr>
          <w:rFonts w:ascii="Book Antiqua" w:eastAsia="Book Antiqua" w:hAnsi="Book Antiqua" w:cs="Book Antiqua"/>
          <w:color w:val="000000"/>
        </w:rPr>
        <w:t>: 3217-3224 [PMID: 19433683 DOI: 10.1200/JCO.2008.20.9114]</w:t>
      </w:r>
    </w:p>
    <w:p w14:paraId="49928A84"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 </w:t>
      </w:r>
      <w:r w:rsidRPr="00A45C44">
        <w:rPr>
          <w:rFonts w:ascii="Book Antiqua" w:eastAsia="Book Antiqua" w:hAnsi="Book Antiqua" w:cs="Book Antiqua"/>
          <w:b/>
          <w:bCs/>
          <w:color w:val="000000"/>
        </w:rPr>
        <w:t>Mok TS</w:t>
      </w:r>
      <w:r w:rsidRPr="00A45C44">
        <w:rPr>
          <w:rFonts w:ascii="Book Antiqua" w:eastAsia="Book Antiqua" w:hAnsi="Book Antiqua" w:cs="Book Antiqua"/>
          <w:color w:val="000000"/>
        </w:rPr>
        <w:t xml:space="preserve">, Wu YL, Thongprasert S, Yang CH, Chu DT, Saijo N, Sunpaweravong P, Han B, Margono B, Ichinose Y, Nishiwaki Y, Ohe Y, Yang JJ, Chewaskulyong B, Jiang H, Duffield EL, Watkins CL, Armour AA, Fukuoka M. Gefitinib or carboplatin-paclitaxel in pulmonary adenocarcinoma. </w:t>
      </w:r>
      <w:r w:rsidRPr="00A45C44">
        <w:rPr>
          <w:rFonts w:ascii="Book Antiqua" w:eastAsia="Book Antiqua" w:hAnsi="Book Antiqua" w:cs="Book Antiqua"/>
          <w:i/>
          <w:iCs/>
          <w:color w:val="000000"/>
        </w:rPr>
        <w:t>N Engl J Med</w:t>
      </w:r>
      <w:r w:rsidRPr="00A45C44">
        <w:rPr>
          <w:rFonts w:ascii="Book Antiqua" w:eastAsia="Book Antiqua" w:hAnsi="Book Antiqua" w:cs="Book Antiqua"/>
          <w:color w:val="000000"/>
        </w:rPr>
        <w:t xml:space="preserve"> 2009; </w:t>
      </w:r>
      <w:r w:rsidRPr="00A45C44">
        <w:rPr>
          <w:rFonts w:ascii="Book Antiqua" w:eastAsia="Book Antiqua" w:hAnsi="Book Antiqua" w:cs="Book Antiqua"/>
          <w:b/>
          <w:bCs/>
          <w:color w:val="000000"/>
        </w:rPr>
        <w:t>361</w:t>
      </w:r>
      <w:r w:rsidRPr="00A45C44">
        <w:rPr>
          <w:rFonts w:ascii="Book Antiqua" w:eastAsia="Book Antiqua" w:hAnsi="Book Antiqua" w:cs="Book Antiqua"/>
          <w:color w:val="000000"/>
        </w:rPr>
        <w:t>: 947-957 [PMID: 19692680 DOI: 10.1056/NEJMoa0810699]</w:t>
      </w:r>
    </w:p>
    <w:p w14:paraId="15D8C837"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 </w:t>
      </w:r>
      <w:r w:rsidRPr="00A45C44">
        <w:rPr>
          <w:rFonts w:ascii="Book Antiqua" w:eastAsia="Book Antiqua" w:hAnsi="Book Antiqua" w:cs="Book Antiqua"/>
          <w:b/>
          <w:bCs/>
          <w:color w:val="000000"/>
        </w:rPr>
        <w:t>Helbekkmo N</w:t>
      </w:r>
      <w:r w:rsidRPr="00A45C44">
        <w:rPr>
          <w:rFonts w:ascii="Book Antiqua" w:eastAsia="Book Antiqua" w:hAnsi="Book Antiqua" w:cs="Book Antiqua"/>
          <w:color w:val="000000"/>
        </w:rPr>
        <w:t xml:space="preserve">, Sundstrøm SH, Aasebø U, Brunsvig PF, von Plessen C, Hjelde HH, Garpestad OK, Bailey A, Bremnes RM; Norwegian Lung Cancer Study Group. Vinorelbine/carboplatin </w:t>
      </w:r>
      <w:r w:rsidRPr="00A45C44">
        <w:rPr>
          <w:rFonts w:ascii="Book Antiqua" w:eastAsia="Book Antiqua" w:hAnsi="Book Antiqua" w:cs="Book Antiqua"/>
          <w:i/>
          <w:iCs/>
          <w:color w:val="000000"/>
        </w:rPr>
        <w:t>vs</w:t>
      </w:r>
      <w:r w:rsidRPr="00A45C44">
        <w:rPr>
          <w:rFonts w:ascii="Book Antiqua" w:eastAsia="Book Antiqua" w:hAnsi="Book Antiqua" w:cs="Book Antiqua"/>
          <w:color w:val="000000"/>
        </w:rPr>
        <w:t xml:space="preserve"> gemcitabine/carboplatin in advanced NSCLC shows similar efficacy, but different impact of toxicity. </w:t>
      </w:r>
      <w:r w:rsidRPr="00A45C44">
        <w:rPr>
          <w:rFonts w:ascii="Book Antiqua" w:eastAsia="Book Antiqua" w:hAnsi="Book Antiqua" w:cs="Book Antiqua"/>
          <w:i/>
          <w:iCs/>
          <w:color w:val="000000"/>
        </w:rPr>
        <w:t>Br J Cancer</w:t>
      </w:r>
      <w:r w:rsidRPr="00A45C44">
        <w:rPr>
          <w:rFonts w:ascii="Book Antiqua" w:eastAsia="Book Antiqua" w:hAnsi="Book Antiqua" w:cs="Book Antiqua"/>
          <w:color w:val="000000"/>
        </w:rPr>
        <w:t xml:space="preserve"> 2007; </w:t>
      </w:r>
      <w:r w:rsidRPr="00A45C44">
        <w:rPr>
          <w:rFonts w:ascii="Book Antiqua" w:eastAsia="Book Antiqua" w:hAnsi="Book Antiqua" w:cs="Book Antiqua"/>
          <w:b/>
          <w:bCs/>
          <w:color w:val="000000"/>
        </w:rPr>
        <w:t>97</w:t>
      </w:r>
      <w:r w:rsidRPr="00A45C44">
        <w:rPr>
          <w:rFonts w:ascii="Book Antiqua" w:eastAsia="Book Antiqua" w:hAnsi="Book Antiqua" w:cs="Book Antiqua"/>
          <w:color w:val="000000"/>
        </w:rPr>
        <w:t>: 283-289 [PMID: 17595658 DOI: 10.1038/sj.bjc.6603869]</w:t>
      </w:r>
    </w:p>
    <w:p w14:paraId="3885ACCA"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4 </w:t>
      </w:r>
      <w:r w:rsidRPr="00A45C44">
        <w:rPr>
          <w:rFonts w:ascii="Book Antiqua" w:eastAsia="Book Antiqua" w:hAnsi="Book Antiqua" w:cs="Book Antiqua"/>
          <w:b/>
          <w:bCs/>
          <w:color w:val="000000"/>
        </w:rPr>
        <w:t>von Plessen C</w:t>
      </w:r>
      <w:r w:rsidRPr="00A45C44">
        <w:rPr>
          <w:rFonts w:ascii="Book Antiqua" w:eastAsia="Book Antiqua" w:hAnsi="Book Antiqua" w:cs="Book Antiqua"/>
          <w:color w:val="000000"/>
        </w:rPr>
        <w:t xml:space="preserve">, Bergman B, Andresen O, Bremnes RM, Sundstrom S, Gilleryd M, Stephens R, Vilsvik J, Aasebo U, Sorenson S. Palliative chemotherapy beyond three courses conveys no survival or consistent quality-of-life benefits in advanced non-small-cell lung cancer. </w:t>
      </w:r>
      <w:r w:rsidRPr="00A45C44">
        <w:rPr>
          <w:rFonts w:ascii="Book Antiqua" w:eastAsia="Book Antiqua" w:hAnsi="Book Antiqua" w:cs="Book Antiqua"/>
          <w:i/>
          <w:iCs/>
          <w:color w:val="000000"/>
        </w:rPr>
        <w:t>Br J Cancer</w:t>
      </w:r>
      <w:r w:rsidRPr="00A45C44">
        <w:rPr>
          <w:rFonts w:ascii="Book Antiqua" w:eastAsia="Book Antiqua" w:hAnsi="Book Antiqua" w:cs="Book Antiqua"/>
          <w:color w:val="000000"/>
        </w:rPr>
        <w:t xml:space="preserve"> 2006; </w:t>
      </w:r>
      <w:r w:rsidRPr="00A45C44">
        <w:rPr>
          <w:rFonts w:ascii="Book Antiqua" w:eastAsia="Book Antiqua" w:hAnsi="Book Antiqua" w:cs="Book Antiqua"/>
          <w:b/>
          <w:bCs/>
          <w:color w:val="000000"/>
        </w:rPr>
        <w:t>95</w:t>
      </w:r>
      <w:r w:rsidRPr="00A45C44">
        <w:rPr>
          <w:rFonts w:ascii="Book Antiqua" w:eastAsia="Book Antiqua" w:hAnsi="Book Antiqua" w:cs="Book Antiqua"/>
          <w:color w:val="000000"/>
        </w:rPr>
        <w:t>: 966-973 [PMID: 17047644 DOI: 10.1038/sj.bjc.6603383]</w:t>
      </w:r>
    </w:p>
    <w:p w14:paraId="7B428DCE"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5 </w:t>
      </w:r>
      <w:r w:rsidRPr="00A45C44">
        <w:rPr>
          <w:rFonts w:ascii="Book Antiqua" w:eastAsia="Book Antiqua" w:hAnsi="Book Antiqua" w:cs="Book Antiqua"/>
          <w:b/>
          <w:bCs/>
          <w:color w:val="000000"/>
        </w:rPr>
        <w:t>Sederholm C</w:t>
      </w:r>
      <w:r w:rsidRPr="00A45C44">
        <w:rPr>
          <w:rFonts w:ascii="Book Antiqua" w:eastAsia="Book Antiqua" w:hAnsi="Book Antiqua" w:cs="Book Antiqua"/>
          <w:color w:val="000000"/>
        </w:rPr>
        <w:t xml:space="preserve">, Hillerdal G, Lamberg K, Kölbeck K, Dufmats M, Westberg R, Gawande SR. Phase III trial of gemcitabine plus carboplatin </w:t>
      </w:r>
      <w:r w:rsidRPr="00A45C44">
        <w:rPr>
          <w:rFonts w:ascii="Book Antiqua" w:eastAsia="Book Antiqua" w:hAnsi="Book Antiqua" w:cs="Book Antiqua"/>
          <w:i/>
          <w:iCs/>
          <w:color w:val="000000"/>
        </w:rPr>
        <w:t>v</w:t>
      </w:r>
      <w:r w:rsidR="007B6353" w:rsidRPr="00A45C44">
        <w:rPr>
          <w:rFonts w:ascii="Book Antiqua" w:eastAsia="Book Antiqua" w:hAnsi="Book Antiqua" w:cs="Book Antiqua"/>
          <w:i/>
          <w:iCs/>
          <w:color w:val="000000"/>
        </w:rPr>
        <w:t>ersu</w:t>
      </w:r>
      <w:r w:rsidRPr="00A45C44">
        <w:rPr>
          <w:rFonts w:ascii="Book Antiqua" w:eastAsia="Book Antiqua" w:hAnsi="Book Antiqua" w:cs="Book Antiqua"/>
          <w:i/>
          <w:iCs/>
          <w:color w:val="000000"/>
        </w:rPr>
        <w:t>s</w:t>
      </w:r>
      <w:r w:rsidRPr="00A45C44">
        <w:rPr>
          <w:rFonts w:ascii="Book Antiqua" w:eastAsia="Book Antiqua" w:hAnsi="Book Antiqua" w:cs="Book Antiqua"/>
          <w:color w:val="000000"/>
        </w:rPr>
        <w:t xml:space="preserve"> single-agent gemcitabine in the treatment of locally advanced or metastatic non-small-cell lung cancer: the Swedish Lung Cancer Study Group. </w:t>
      </w:r>
      <w:r w:rsidRPr="00A45C44">
        <w:rPr>
          <w:rFonts w:ascii="Book Antiqua" w:eastAsia="Book Antiqua" w:hAnsi="Book Antiqua" w:cs="Book Antiqua"/>
          <w:i/>
          <w:iCs/>
          <w:color w:val="000000"/>
        </w:rPr>
        <w:t>J Clin Oncol</w:t>
      </w:r>
      <w:r w:rsidRPr="00A45C44">
        <w:rPr>
          <w:rFonts w:ascii="Book Antiqua" w:eastAsia="Book Antiqua" w:hAnsi="Book Antiqua" w:cs="Book Antiqua"/>
          <w:color w:val="000000"/>
        </w:rPr>
        <w:t xml:space="preserve"> 2005; </w:t>
      </w:r>
      <w:r w:rsidRPr="00A45C44">
        <w:rPr>
          <w:rFonts w:ascii="Book Antiqua" w:eastAsia="Book Antiqua" w:hAnsi="Book Antiqua" w:cs="Book Antiqua"/>
          <w:b/>
          <w:bCs/>
          <w:color w:val="000000"/>
        </w:rPr>
        <w:t>23</w:t>
      </w:r>
      <w:r w:rsidRPr="00A45C44">
        <w:rPr>
          <w:rFonts w:ascii="Book Antiqua" w:eastAsia="Book Antiqua" w:hAnsi="Book Antiqua" w:cs="Book Antiqua"/>
          <w:color w:val="000000"/>
        </w:rPr>
        <w:t>: 8380-8388 [PMID: 16293868 DOI: 10.1200/JCO.2005.01.2781]</w:t>
      </w:r>
    </w:p>
    <w:p w14:paraId="43472287"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6 </w:t>
      </w:r>
      <w:r w:rsidRPr="00A45C44">
        <w:rPr>
          <w:rFonts w:ascii="Book Antiqua" w:eastAsia="Book Antiqua" w:hAnsi="Book Antiqua" w:cs="Book Antiqua"/>
          <w:b/>
          <w:bCs/>
          <w:color w:val="000000"/>
        </w:rPr>
        <w:t>Lasalvia-Prisco E</w:t>
      </w:r>
      <w:r w:rsidRPr="00A45C44">
        <w:rPr>
          <w:rFonts w:ascii="Book Antiqua" w:eastAsia="Book Antiqua" w:hAnsi="Book Antiqua" w:cs="Book Antiqua"/>
          <w:color w:val="000000"/>
        </w:rPr>
        <w:t xml:space="preserve">, Goldschmidt P, Galmarini F, Cucchi S, Vázquez J, Aghazarian M, Lasalvia-Galante E, Golomar W, Gordon W. Addition of an induction regimen of antiangiogenesis and antitumor immunity to standard chemotherapy improves survival in advanced malignancies. </w:t>
      </w:r>
      <w:r w:rsidRPr="00A45C44">
        <w:rPr>
          <w:rFonts w:ascii="Book Antiqua" w:eastAsia="Book Antiqua" w:hAnsi="Book Antiqua" w:cs="Book Antiqua"/>
          <w:i/>
          <w:iCs/>
          <w:color w:val="000000"/>
        </w:rPr>
        <w:t>Med Oncol</w:t>
      </w:r>
      <w:r w:rsidRPr="00A45C44">
        <w:rPr>
          <w:rFonts w:ascii="Book Antiqua" w:eastAsia="Book Antiqua" w:hAnsi="Book Antiqua" w:cs="Book Antiqua"/>
          <w:color w:val="000000"/>
        </w:rPr>
        <w:t xml:space="preserve"> 2012; </w:t>
      </w:r>
      <w:r w:rsidRPr="00A45C44">
        <w:rPr>
          <w:rFonts w:ascii="Book Antiqua" w:eastAsia="Book Antiqua" w:hAnsi="Book Antiqua" w:cs="Book Antiqua"/>
          <w:b/>
          <w:bCs/>
          <w:color w:val="000000"/>
        </w:rPr>
        <w:t>29</w:t>
      </w:r>
      <w:r w:rsidRPr="00A45C44">
        <w:rPr>
          <w:rFonts w:ascii="Book Antiqua" w:eastAsia="Book Antiqua" w:hAnsi="Book Antiqua" w:cs="Book Antiqua"/>
          <w:color w:val="000000"/>
        </w:rPr>
        <w:t>: 3626-3633 [PMID: 22810591 DOI: 10.1007/s12032-012-0301-1]</w:t>
      </w:r>
    </w:p>
    <w:p w14:paraId="1B047747"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7 </w:t>
      </w:r>
      <w:r w:rsidRPr="00A45C44">
        <w:rPr>
          <w:rFonts w:ascii="Book Antiqua" w:eastAsia="Book Antiqua" w:hAnsi="Book Antiqua" w:cs="Book Antiqua"/>
          <w:b/>
          <w:bCs/>
          <w:color w:val="000000"/>
        </w:rPr>
        <w:t>Brown JR</w:t>
      </w:r>
      <w:r w:rsidRPr="00A45C44">
        <w:rPr>
          <w:rFonts w:ascii="Book Antiqua" w:eastAsia="Book Antiqua" w:hAnsi="Book Antiqua" w:cs="Book Antiqua"/>
          <w:color w:val="000000"/>
        </w:rPr>
        <w:t xml:space="preserve">, DuBois RN. COX-2: a molecular target for colorectal cancer prevention. </w:t>
      </w:r>
      <w:r w:rsidRPr="00A45C44">
        <w:rPr>
          <w:rFonts w:ascii="Book Antiqua" w:eastAsia="Book Antiqua" w:hAnsi="Book Antiqua" w:cs="Book Antiqua"/>
          <w:i/>
          <w:iCs/>
          <w:color w:val="000000"/>
        </w:rPr>
        <w:t>J Clin Oncol</w:t>
      </w:r>
      <w:r w:rsidRPr="00A45C44">
        <w:rPr>
          <w:rFonts w:ascii="Book Antiqua" w:eastAsia="Book Antiqua" w:hAnsi="Book Antiqua" w:cs="Book Antiqua"/>
          <w:color w:val="000000"/>
        </w:rPr>
        <w:t xml:space="preserve"> 2005; </w:t>
      </w:r>
      <w:r w:rsidRPr="00A45C44">
        <w:rPr>
          <w:rFonts w:ascii="Book Antiqua" w:eastAsia="Book Antiqua" w:hAnsi="Book Antiqua" w:cs="Book Antiqua"/>
          <w:b/>
          <w:bCs/>
          <w:color w:val="000000"/>
        </w:rPr>
        <w:t>23</w:t>
      </w:r>
      <w:r w:rsidRPr="00A45C44">
        <w:rPr>
          <w:rFonts w:ascii="Book Antiqua" w:eastAsia="Book Antiqua" w:hAnsi="Book Antiqua" w:cs="Book Antiqua"/>
          <w:color w:val="000000"/>
        </w:rPr>
        <w:t>: 2840-2855 [PMID: 15837998 DOI: 10.1200/JCO.2005.09.051]</w:t>
      </w:r>
    </w:p>
    <w:p w14:paraId="1560974B"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8 </w:t>
      </w:r>
      <w:r w:rsidRPr="00A45C44">
        <w:rPr>
          <w:rFonts w:ascii="Book Antiqua" w:eastAsia="Book Antiqua" w:hAnsi="Book Antiqua" w:cs="Book Antiqua"/>
          <w:b/>
          <w:bCs/>
          <w:color w:val="000000"/>
        </w:rPr>
        <w:t>Smith WL</w:t>
      </w:r>
      <w:r w:rsidRPr="00A45C44">
        <w:rPr>
          <w:rFonts w:ascii="Book Antiqua" w:eastAsia="Book Antiqua" w:hAnsi="Book Antiqua" w:cs="Book Antiqua"/>
          <w:color w:val="000000"/>
        </w:rPr>
        <w:t xml:space="preserve">, Langenbach R. Why there are two cyclooxygenase isozymes. </w:t>
      </w:r>
      <w:r w:rsidRPr="00A45C44">
        <w:rPr>
          <w:rFonts w:ascii="Book Antiqua" w:eastAsia="Book Antiqua" w:hAnsi="Book Antiqua" w:cs="Book Antiqua"/>
          <w:i/>
          <w:iCs/>
          <w:color w:val="000000"/>
        </w:rPr>
        <w:t>J Clin Invest</w:t>
      </w:r>
      <w:r w:rsidRPr="00A45C44">
        <w:rPr>
          <w:rFonts w:ascii="Book Antiqua" w:eastAsia="Book Antiqua" w:hAnsi="Book Antiqua" w:cs="Book Antiqua"/>
          <w:color w:val="000000"/>
        </w:rPr>
        <w:t xml:space="preserve"> 2001; </w:t>
      </w:r>
      <w:r w:rsidRPr="00A45C44">
        <w:rPr>
          <w:rFonts w:ascii="Book Antiqua" w:eastAsia="Book Antiqua" w:hAnsi="Book Antiqua" w:cs="Book Antiqua"/>
          <w:b/>
          <w:bCs/>
          <w:color w:val="000000"/>
        </w:rPr>
        <w:t>107</w:t>
      </w:r>
      <w:r w:rsidRPr="00A45C44">
        <w:rPr>
          <w:rFonts w:ascii="Book Antiqua" w:eastAsia="Book Antiqua" w:hAnsi="Book Antiqua" w:cs="Book Antiqua"/>
          <w:color w:val="000000"/>
        </w:rPr>
        <w:t>: 1491-1495 [PMID: 11413152 DOI: 10.1172/JCI13271]</w:t>
      </w:r>
    </w:p>
    <w:p w14:paraId="3598CA13"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9 </w:t>
      </w:r>
      <w:r w:rsidRPr="00A45C44">
        <w:rPr>
          <w:rFonts w:ascii="Book Antiqua" w:eastAsia="Book Antiqua" w:hAnsi="Book Antiqua" w:cs="Book Antiqua"/>
          <w:b/>
          <w:bCs/>
          <w:color w:val="000000"/>
        </w:rPr>
        <w:t>Achiwa H</w:t>
      </w:r>
      <w:r w:rsidRPr="00A45C44">
        <w:rPr>
          <w:rFonts w:ascii="Book Antiqua" w:eastAsia="Book Antiqua" w:hAnsi="Book Antiqua" w:cs="Book Antiqua"/>
          <w:color w:val="000000"/>
        </w:rPr>
        <w:t xml:space="preserve">, Yatabe Y, Hida T, Kuroishi T, Kozaki K, Nakamura S, Ogawa M, Sugiura T, Mitsudomi T, Takahashi T. Prognostic significance of elevated cyclooxygenase 2 expression in primary, resected lung adenocarcinomas. </w:t>
      </w:r>
      <w:r w:rsidRPr="00A45C44">
        <w:rPr>
          <w:rFonts w:ascii="Book Antiqua" w:eastAsia="Book Antiqua" w:hAnsi="Book Antiqua" w:cs="Book Antiqua"/>
          <w:i/>
          <w:iCs/>
          <w:color w:val="000000"/>
        </w:rPr>
        <w:t>Clin Cancer Res</w:t>
      </w:r>
      <w:r w:rsidRPr="00A45C44">
        <w:rPr>
          <w:rFonts w:ascii="Book Antiqua" w:eastAsia="Book Antiqua" w:hAnsi="Book Antiqua" w:cs="Book Antiqua"/>
          <w:color w:val="000000"/>
        </w:rPr>
        <w:t xml:space="preserve"> 1999; </w:t>
      </w:r>
      <w:r w:rsidRPr="00A45C44">
        <w:rPr>
          <w:rFonts w:ascii="Book Antiqua" w:eastAsia="Book Antiqua" w:hAnsi="Book Antiqua" w:cs="Book Antiqua"/>
          <w:b/>
          <w:bCs/>
          <w:color w:val="000000"/>
        </w:rPr>
        <w:t>5</w:t>
      </w:r>
      <w:r w:rsidRPr="00A45C44">
        <w:rPr>
          <w:rFonts w:ascii="Book Antiqua" w:eastAsia="Book Antiqua" w:hAnsi="Book Antiqua" w:cs="Book Antiqua"/>
          <w:color w:val="000000"/>
        </w:rPr>
        <w:t>: 1001-1005 [PMID: 10353732]</w:t>
      </w:r>
    </w:p>
    <w:p w14:paraId="418D0CB9"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10 </w:t>
      </w:r>
      <w:r w:rsidRPr="00A45C44">
        <w:rPr>
          <w:rFonts w:ascii="Book Antiqua" w:eastAsia="Book Antiqua" w:hAnsi="Book Antiqua" w:cs="Book Antiqua"/>
          <w:b/>
          <w:bCs/>
          <w:color w:val="000000"/>
        </w:rPr>
        <w:t>Masferrer JL</w:t>
      </w:r>
      <w:r w:rsidRPr="00A45C44">
        <w:rPr>
          <w:rFonts w:ascii="Book Antiqua" w:eastAsia="Book Antiqua" w:hAnsi="Book Antiqua" w:cs="Book Antiqua"/>
          <w:color w:val="000000"/>
        </w:rPr>
        <w:t xml:space="preserve">, Leahy KM, Koki AT, Zweifel BS, Settle SL, Woerner BM, Edwards DA, Flickinger AG, Moore RJ, Seibert K. Antiangiogenic and antitumor activities of cyclooxygenase-2 inhibitors. </w:t>
      </w:r>
      <w:r w:rsidRPr="00A45C44">
        <w:rPr>
          <w:rFonts w:ascii="Book Antiqua" w:eastAsia="Book Antiqua" w:hAnsi="Book Antiqua" w:cs="Book Antiqua"/>
          <w:i/>
          <w:iCs/>
          <w:color w:val="000000"/>
        </w:rPr>
        <w:t>Cancer Res</w:t>
      </w:r>
      <w:r w:rsidRPr="00A45C44">
        <w:rPr>
          <w:rFonts w:ascii="Book Antiqua" w:eastAsia="Book Antiqua" w:hAnsi="Book Antiqua" w:cs="Book Antiqua"/>
          <w:color w:val="000000"/>
        </w:rPr>
        <w:t xml:space="preserve"> 2000; </w:t>
      </w:r>
      <w:r w:rsidRPr="00A45C44">
        <w:rPr>
          <w:rFonts w:ascii="Book Antiqua" w:eastAsia="Book Antiqua" w:hAnsi="Book Antiqua" w:cs="Book Antiqua"/>
          <w:b/>
          <w:bCs/>
          <w:color w:val="000000"/>
        </w:rPr>
        <w:t>60</w:t>
      </w:r>
      <w:r w:rsidRPr="00A45C44">
        <w:rPr>
          <w:rFonts w:ascii="Book Antiqua" w:eastAsia="Book Antiqua" w:hAnsi="Book Antiqua" w:cs="Book Antiqua"/>
          <w:color w:val="000000"/>
        </w:rPr>
        <w:t>: 1306-1311 [PMID: 10728691]</w:t>
      </w:r>
    </w:p>
    <w:p w14:paraId="5B2DFC88"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11 </w:t>
      </w:r>
      <w:r w:rsidRPr="00A45C44">
        <w:rPr>
          <w:rFonts w:ascii="Book Antiqua" w:eastAsia="Book Antiqua" w:hAnsi="Book Antiqua" w:cs="Book Antiqua"/>
          <w:b/>
          <w:bCs/>
          <w:color w:val="000000"/>
        </w:rPr>
        <w:t>Hida T</w:t>
      </w:r>
      <w:r w:rsidRPr="00A45C44">
        <w:rPr>
          <w:rFonts w:ascii="Book Antiqua" w:eastAsia="Book Antiqua" w:hAnsi="Book Antiqua" w:cs="Book Antiqua"/>
          <w:color w:val="000000"/>
        </w:rPr>
        <w:t xml:space="preserve">, Yatabe Y, Achiwa H, Muramatsu H, Kozaki K, Nakamura S, Ogawa M, Mitsudomi T, Sugiura T, Takahashi T. Increased expression of cyclooxygenase 2 occurs frequently in human lung cancers, specifically in adenocarcinomas. </w:t>
      </w:r>
      <w:r w:rsidRPr="00A45C44">
        <w:rPr>
          <w:rFonts w:ascii="Book Antiqua" w:eastAsia="Book Antiqua" w:hAnsi="Book Antiqua" w:cs="Book Antiqua"/>
          <w:i/>
          <w:iCs/>
          <w:color w:val="000000"/>
        </w:rPr>
        <w:t>Cancer Res</w:t>
      </w:r>
      <w:r w:rsidRPr="00A45C44">
        <w:rPr>
          <w:rFonts w:ascii="Book Antiqua" w:eastAsia="Book Antiqua" w:hAnsi="Book Antiqua" w:cs="Book Antiqua"/>
          <w:color w:val="000000"/>
        </w:rPr>
        <w:t xml:space="preserve"> 1998; </w:t>
      </w:r>
      <w:r w:rsidRPr="00A45C44">
        <w:rPr>
          <w:rFonts w:ascii="Book Antiqua" w:eastAsia="Book Antiqua" w:hAnsi="Book Antiqua" w:cs="Book Antiqua"/>
          <w:b/>
          <w:bCs/>
          <w:color w:val="000000"/>
        </w:rPr>
        <w:t>58</w:t>
      </w:r>
      <w:r w:rsidRPr="00A45C44">
        <w:rPr>
          <w:rFonts w:ascii="Book Antiqua" w:eastAsia="Book Antiqua" w:hAnsi="Book Antiqua" w:cs="Book Antiqua"/>
          <w:color w:val="000000"/>
        </w:rPr>
        <w:t>: 3761-3764 [PMID: 9731479]</w:t>
      </w:r>
    </w:p>
    <w:p w14:paraId="0E3DD9C2"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12 </w:t>
      </w:r>
      <w:r w:rsidRPr="00A45C44">
        <w:rPr>
          <w:rFonts w:ascii="Book Antiqua" w:eastAsia="Book Antiqua" w:hAnsi="Book Antiqua" w:cs="Book Antiqua"/>
          <w:b/>
          <w:bCs/>
          <w:color w:val="000000"/>
        </w:rPr>
        <w:t>Li Y</w:t>
      </w:r>
      <w:r w:rsidRPr="00A45C44">
        <w:rPr>
          <w:rFonts w:ascii="Book Antiqua" w:eastAsia="Book Antiqua" w:hAnsi="Book Antiqua" w:cs="Book Antiqua"/>
          <w:color w:val="000000"/>
        </w:rPr>
        <w:t xml:space="preserve">, Li S, Sun D, Song L, Liu X. Expression of 15-hydroxyprostaglandin dehydrogenase and cyclooxygenase-2 in non-small cell lung cancer: Correlations with angiogenesis and prognosis. </w:t>
      </w:r>
      <w:r w:rsidRPr="00A45C44">
        <w:rPr>
          <w:rFonts w:ascii="Book Antiqua" w:eastAsia="Book Antiqua" w:hAnsi="Book Antiqua" w:cs="Book Antiqua"/>
          <w:i/>
          <w:iCs/>
          <w:color w:val="000000"/>
        </w:rPr>
        <w:t>Oncol Lett</w:t>
      </w:r>
      <w:r w:rsidRPr="00A45C44">
        <w:rPr>
          <w:rFonts w:ascii="Book Antiqua" w:eastAsia="Book Antiqua" w:hAnsi="Book Antiqua" w:cs="Book Antiqua"/>
          <w:color w:val="000000"/>
        </w:rPr>
        <w:t xml:space="preserve"> 2014; </w:t>
      </w:r>
      <w:r w:rsidRPr="00A45C44">
        <w:rPr>
          <w:rFonts w:ascii="Book Antiqua" w:eastAsia="Book Antiqua" w:hAnsi="Book Antiqua" w:cs="Book Antiqua"/>
          <w:b/>
          <w:bCs/>
          <w:color w:val="000000"/>
        </w:rPr>
        <w:t>8</w:t>
      </w:r>
      <w:r w:rsidRPr="00A45C44">
        <w:rPr>
          <w:rFonts w:ascii="Book Antiqua" w:eastAsia="Book Antiqua" w:hAnsi="Book Antiqua" w:cs="Book Antiqua"/>
          <w:color w:val="000000"/>
        </w:rPr>
        <w:t>: 1589-1594 [PMID: 25202373 DOI: 10.3892/ol.2014.2371]</w:t>
      </w:r>
    </w:p>
    <w:p w14:paraId="75D78D9D"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13 </w:t>
      </w:r>
      <w:r w:rsidRPr="00A45C44">
        <w:rPr>
          <w:rFonts w:ascii="Book Antiqua" w:eastAsia="Book Antiqua" w:hAnsi="Book Antiqua" w:cs="Book Antiqua"/>
          <w:b/>
          <w:bCs/>
          <w:color w:val="000000"/>
        </w:rPr>
        <w:t>Warner TD</w:t>
      </w:r>
      <w:r w:rsidRPr="00A45C44">
        <w:rPr>
          <w:rFonts w:ascii="Book Antiqua" w:eastAsia="Book Antiqua" w:hAnsi="Book Antiqua" w:cs="Book Antiqua"/>
          <w:color w:val="000000"/>
        </w:rPr>
        <w:t xml:space="preserve">, Giuliano F, Vojnovic I, Bukasa A, Mitchell JA, Vane JR. Nonsteroid drug selectivities for cyclo-oxygenase-1 rather than cyclo-oxygenase-2 are associated with human gastrointestinal toxicity: a full </w:t>
      </w:r>
      <w:r w:rsidRPr="00A45C44">
        <w:rPr>
          <w:rFonts w:ascii="Book Antiqua" w:eastAsia="Book Antiqua" w:hAnsi="Book Antiqua" w:cs="Book Antiqua"/>
          <w:i/>
          <w:iCs/>
          <w:color w:val="000000"/>
        </w:rPr>
        <w:t>in vitro</w:t>
      </w:r>
      <w:r w:rsidRPr="00A45C44">
        <w:rPr>
          <w:rFonts w:ascii="Book Antiqua" w:eastAsia="Book Antiqua" w:hAnsi="Book Antiqua" w:cs="Book Antiqua"/>
          <w:color w:val="000000"/>
        </w:rPr>
        <w:t xml:space="preserve"> analysis. </w:t>
      </w:r>
      <w:r w:rsidRPr="00A45C44">
        <w:rPr>
          <w:rFonts w:ascii="Book Antiqua" w:eastAsia="Book Antiqua" w:hAnsi="Book Antiqua" w:cs="Book Antiqua"/>
          <w:i/>
          <w:iCs/>
          <w:color w:val="000000"/>
        </w:rPr>
        <w:t>Proc Natl Acad Sci USA</w:t>
      </w:r>
      <w:r w:rsidRPr="00A45C44">
        <w:rPr>
          <w:rFonts w:ascii="Book Antiqua" w:eastAsia="Book Antiqua" w:hAnsi="Book Antiqua" w:cs="Book Antiqua"/>
          <w:color w:val="000000"/>
        </w:rPr>
        <w:t xml:space="preserve"> 1999; </w:t>
      </w:r>
      <w:r w:rsidRPr="00A45C44">
        <w:rPr>
          <w:rFonts w:ascii="Book Antiqua" w:eastAsia="Book Antiqua" w:hAnsi="Book Antiqua" w:cs="Book Antiqua"/>
          <w:b/>
          <w:bCs/>
          <w:color w:val="000000"/>
        </w:rPr>
        <w:t>96</w:t>
      </w:r>
      <w:r w:rsidRPr="00A45C44">
        <w:rPr>
          <w:rFonts w:ascii="Book Antiqua" w:eastAsia="Book Antiqua" w:hAnsi="Book Antiqua" w:cs="Book Antiqua"/>
          <w:color w:val="000000"/>
        </w:rPr>
        <w:t>: 7563-7568 [PMID: 10377455 DOI: 10.1073/pnas.96.13.7563]</w:t>
      </w:r>
    </w:p>
    <w:p w14:paraId="6960AB55"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14 </w:t>
      </w:r>
      <w:r w:rsidRPr="00A45C44">
        <w:rPr>
          <w:rFonts w:ascii="Book Antiqua" w:eastAsia="Book Antiqua" w:hAnsi="Book Antiqua" w:cs="Book Antiqua"/>
          <w:b/>
          <w:bCs/>
          <w:color w:val="000000"/>
        </w:rPr>
        <w:t>Chen J</w:t>
      </w:r>
      <w:r w:rsidRPr="00A45C44">
        <w:rPr>
          <w:rFonts w:ascii="Book Antiqua" w:eastAsia="Book Antiqua" w:hAnsi="Book Antiqua" w:cs="Book Antiqua"/>
          <w:color w:val="000000"/>
        </w:rPr>
        <w:t xml:space="preserve">, Shen P, Zhang XC, Zhao MD, Zhang XG, Yang L. Efficacy and safety profile of celecoxib for treating advanced cancers: a meta-analysis of 11 randomized clinical trials. </w:t>
      </w:r>
      <w:r w:rsidRPr="00A45C44">
        <w:rPr>
          <w:rFonts w:ascii="Book Antiqua" w:eastAsia="Book Antiqua" w:hAnsi="Book Antiqua" w:cs="Book Antiqua"/>
          <w:i/>
          <w:iCs/>
          <w:color w:val="000000"/>
        </w:rPr>
        <w:t>Clin Ther</w:t>
      </w:r>
      <w:r w:rsidRPr="00A45C44">
        <w:rPr>
          <w:rFonts w:ascii="Book Antiqua" w:eastAsia="Book Antiqua" w:hAnsi="Book Antiqua" w:cs="Book Antiqua"/>
          <w:color w:val="000000"/>
        </w:rPr>
        <w:t xml:space="preserve"> 2014; </w:t>
      </w:r>
      <w:r w:rsidRPr="00A45C44">
        <w:rPr>
          <w:rFonts w:ascii="Book Antiqua" w:eastAsia="Book Antiqua" w:hAnsi="Book Antiqua" w:cs="Book Antiqua"/>
          <w:b/>
          <w:bCs/>
          <w:color w:val="000000"/>
        </w:rPr>
        <w:t>36</w:t>
      </w:r>
      <w:r w:rsidRPr="00A45C44">
        <w:rPr>
          <w:rFonts w:ascii="Book Antiqua" w:eastAsia="Book Antiqua" w:hAnsi="Book Antiqua" w:cs="Book Antiqua"/>
          <w:color w:val="000000"/>
        </w:rPr>
        <w:t>: 1253-1263 [PMID: 25016505 DOI: 10.1016/j.clinthera.2014.06.015]</w:t>
      </w:r>
    </w:p>
    <w:p w14:paraId="3C99B9EA"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15 </w:t>
      </w:r>
      <w:r w:rsidRPr="00A45C44">
        <w:rPr>
          <w:rFonts w:ascii="Book Antiqua" w:eastAsia="Book Antiqua" w:hAnsi="Book Antiqua" w:cs="Book Antiqua"/>
          <w:b/>
          <w:bCs/>
          <w:color w:val="000000"/>
        </w:rPr>
        <w:t>Hou LC</w:t>
      </w:r>
      <w:r w:rsidRPr="00A45C44">
        <w:rPr>
          <w:rFonts w:ascii="Book Antiqua" w:eastAsia="Book Antiqua" w:hAnsi="Book Antiqua" w:cs="Book Antiqua"/>
          <w:color w:val="000000"/>
        </w:rPr>
        <w:t xml:space="preserve">, Huang F, Xu HB. Does celecoxib improve the efficacy of chemotherapy for advanced non-small cell lung cancer? </w:t>
      </w:r>
      <w:r w:rsidRPr="00A45C44">
        <w:rPr>
          <w:rFonts w:ascii="Book Antiqua" w:eastAsia="Book Antiqua" w:hAnsi="Book Antiqua" w:cs="Book Antiqua"/>
          <w:i/>
          <w:iCs/>
          <w:color w:val="000000"/>
        </w:rPr>
        <w:t>Br J Clin Pharmacol</w:t>
      </w:r>
      <w:r w:rsidRPr="00A45C44">
        <w:rPr>
          <w:rFonts w:ascii="Book Antiqua" w:eastAsia="Book Antiqua" w:hAnsi="Book Antiqua" w:cs="Book Antiqua"/>
          <w:color w:val="000000"/>
        </w:rPr>
        <w:t xml:space="preserve"> 2016; </w:t>
      </w:r>
      <w:r w:rsidRPr="00A45C44">
        <w:rPr>
          <w:rFonts w:ascii="Book Antiqua" w:eastAsia="Book Antiqua" w:hAnsi="Book Antiqua" w:cs="Book Antiqua"/>
          <w:b/>
          <w:bCs/>
          <w:color w:val="000000"/>
        </w:rPr>
        <w:t>81</w:t>
      </w:r>
      <w:r w:rsidRPr="00A45C44">
        <w:rPr>
          <w:rFonts w:ascii="Book Antiqua" w:eastAsia="Book Antiqua" w:hAnsi="Book Antiqua" w:cs="Book Antiqua"/>
          <w:color w:val="000000"/>
        </w:rPr>
        <w:t>: 23-32 [PMID: 26331772 DOI: 10.1111/bcp.12757]</w:t>
      </w:r>
    </w:p>
    <w:p w14:paraId="707E1E45"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16 </w:t>
      </w:r>
      <w:r w:rsidRPr="00A45C44">
        <w:rPr>
          <w:rFonts w:ascii="Book Antiqua" w:eastAsia="Book Antiqua" w:hAnsi="Book Antiqua" w:cs="Book Antiqua"/>
          <w:b/>
          <w:bCs/>
          <w:color w:val="000000"/>
        </w:rPr>
        <w:t>Zhou YY</w:t>
      </w:r>
      <w:r w:rsidRPr="00A45C44">
        <w:rPr>
          <w:rFonts w:ascii="Book Antiqua" w:eastAsia="Book Antiqua" w:hAnsi="Book Antiqua" w:cs="Book Antiqua"/>
          <w:color w:val="000000"/>
        </w:rPr>
        <w:t xml:space="preserve">, Hu ZG, Zeng FJ, Han J. Clinical Profile of Cyclooxygenase-2 Inhibitors in Treating Non-Small Cell Lung Cancer: A Meta-Analysis of Nine Randomized Clinical Trials. </w:t>
      </w:r>
      <w:r w:rsidRPr="00A45C44">
        <w:rPr>
          <w:rFonts w:ascii="Book Antiqua" w:eastAsia="Book Antiqua" w:hAnsi="Book Antiqua" w:cs="Book Antiqua"/>
          <w:i/>
          <w:iCs/>
          <w:color w:val="000000"/>
        </w:rPr>
        <w:t>PLoS One</w:t>
      </w:r>
      <w:r w:rsidRPr="00A45C44">
        <w:rPr>
          <w:rFonts w:ascii="Book Antiqua" w:eastAsia="Book Antiqua" w:hAnsi="Book Antiqua" w:cs="Book Antiqua"/>
          <w:color w:val="000000"/>
        </w:rPr>
        <w:t xml:space="preserve"> 2016; </w:t>
      </w:r>
      <w:r w:rsidRPr="00A45C44">
        <w:rPr>
          <w:rFonts w:ascii="Book Antiqua" w:eastAsia="Book Antiqua" w:hAnsi="Book Antiqua" w:cs="Book Antiqua"/>
          <w:b/>
          <w:bCs/>
          <w:color w:val="000000"/>
        </w:rPr>
        <w:t>11</w:t>
      </w:r>
      <w:r w:rsidRPr="00A45C44">
        <w:rPr>
          <w:rFonts w:ascii="Book Antiqua" w:eastAsia="Book Antiqua" w:hAnsi="Book Antiqua" w:cs="Book Antiqua"/>
          <w:color w:val="000000"/>
        </w:rPr>
        <w:t>: e0151939 [PMID: 27007231 DOI: 10.1371/journal.pone.0151939]</w:t>
      </w:r>
    </w:p>
    <w:p w14:paraId="315C3C39"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17 </w:t>
      </w:r>
      <w:r w:rsidRPr="00A45C44">
        <w:rPr>
          <w:rFonts w:ascii="Book Antiqua" w:eastAsia="Book Antiqua" w:hAnsi="Book Antiqua" w:cs="Book Antiqua"/>
          <w:b/>
          <w:bCs/>
          <w:color w:val="000000"/>
        </w:rPr>
        <w:t>Dai P</w:t>
      </w:r>
      <w:r w:rsidRPr="00A45C44">
        <w:rPr>
          <w:rFonts w:ascii="Book Antiqua" w:eastAsia="Book Antiqua" w:hAnsi="Book Antiqua" w:cs="Book Antiqua"/>
          <w:color w:val="000000"/>
        </w:rPr>
        <w:t xml:space="preserve">, Li J, Ma XP, Huang J, Meng JJ, Gong P. Efficacy and safety of COX-2 inhibitors for advanced non-small-cell lung cancer with chemotherapy: a meta-analysis. </w:t>
      </w:r>
      <w:r w:rsidRPr="00A45C44">
        <w:rPr>
          <w:rFonts w:ascii="Book Antiqua" w:eastAsia="Book Antiqua" w:hAnsi="Book Antiqua" w:cs="Book Antiqua"/>
          <w:i/>
          <w:iCs/>
          <w:color w:val="000000"/>
        </w:rPr>
        <w:t>Onco Targets Ther</w:t>
      </w:r>
      <w:r w:rsidRPr="00A45C44">
        <w:rPr>
          <w:rFonts w:ascii="Book Antiqua" w:eastAsia="Book Antiqua" w:hAnsi="Book Antiqua" w:cs="Book Antiqua"/>
          <w:color w:val="000000"/>
        </w:rPr>
        <w:t xml:space="preserve"> 2018; </w:t>
      </w:r>
      <w:r w:rsidRPr="00A45C44">
        <w:rPr>
          <w:rFonts w:ascii="Book Antiqua" w:eastAsia="Book Antiqua" w:hAnsi="Book Antiqua" w:cs="Book Antiqua"/>
          <w:b/>
          <w:bCs/>
          <w:color w:val="000000"/>
        </w:rPr>
        <w:t>11</w:t>
      </w:r>
      <w:r w:rsidRPr="00A45C44">
        <w:rPr>
          <w:rFonts w:ascii="Book Antiqua" w:eastAsia="Book Antiqua" w:hAnsi="Book Antiqua" w:cs="Book Antiqua"/>
          <w:color w:val="000000"/>
        </w:rPr>
        <w:t>: 721-730 [PMID: 29440919 DOI: 10.2147/OTT.S148670]</w:t>
      </w:r>
    </w:p>
    <w:p w14:paraId="3A7F13A0"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18 </w:t>
      </w:r>
      <w:r w:rsidRPr="00A45C44">
        <w:rPr>
          <w:rFonts w:ascii="Book Antiqua" w:eastAsia="Book Antiqua" w:hAnsi="Book Antiqua" w:cs="Book Antiqua"/>
          <w:b/>
          <w:bCs/>
          <w:color w:val="000000"/>
        </w:rPr>
        <w:t>Tierney JF</w:t>
      </w:r>
      <w:r w:rsidRPr="00A45C44">
        <w:rPr>
          <w:rFonts w:ascii="Book Antiqua" w:eastAsia="Book Antiqua" w:hAnsi="Book Antiqua" w:cs="Book Antiqua"/>
          <w:color w:val="000000"/>
        </w:rPr>
        <w:t xml:space="preserve">, Stewart LA, Ghersi D, Burdett S, Sydes MR. Practical methods for incorporating summary time-to-event data into meta-analysis. </w:t>
      </w:r>
      <w:r w:rsidRPr="00A45C44">
        <w:rPr>
          <w:rFonts w:ascii="Book Antiqua" w:eastAsia="Book Antiqua" w:hAnsi="Book Antiqua" w:cs="Book Antiqua"/>
          <w:i/>
          <w:iCs/>
          <w:color w:val="000000"/>
        </w:rPr>
        <w:t>Trials</w:t>
      </w:r>
      <w:r w:rsidRPr="00A45C44">
        <w:rPr>
          <w:rFonts w:ascii="Book Antiqua" w:eastAsia="Book Antiqua" w:hAnsi="Book Antiqua" w:cs="Book Antiqua"/>
          <w:color w:val="000000"/>
        </w:rPr>
        <w:t xml:space="preserve"> 2007; </w:t>
      </w:r>
      <w:r w:rsidRPr="00A45C44">
        <w:rPr>
          <w:rFonts w:ascii="Book Antiqua" w:eastAsia="Book Antiqua" w:hAnsi="Book Antiqua" w:cs="Book Antiqua"/>
          <w:b/>
          <w:bCs/>
          <w:color w:val="000000"/>
        </w:rPr>
        <w:t>8</w:t>
      </w:r>
      <w:r w:rsidRPr="00A45C44">
        <w:rPr>
          <w:rFonts w:ascii="Book Antiqua" w:eastAsia="Book Antiqua" w:hAnsi="Book Antiqua" w:cs="Book Antiqua"/>
          <w:color w:val="000000"/>
        </w:rPr>
        <w:t>: 16 [PMID: 17555582 DOI: 10.1186/1745-6215-8-16]</w:t>
      </w:r>
    </w:p>
    <w:p w14:paraId="3820AE74"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19 </w:t>
      </w:r>
      <w:r w:rsidRPr="00A45C44">
        <w:rPr>
          <w:rFonts w:ascii="Book Antiqua" w:eastAsia="Book Antiqua" w:hAnsi="Book Antiqua" w:cs="Book Antiqua"/>
          <w:b/>
          <w:bCs/>
          <w:color w:val="000000"/>
        </w:rPr>
        <w:t>Deeks JJ</w:t>
      </w:r>
      <w:r w:rsidRPr="00A45C44">
        <w:rPr>
          <w:rFonts w:ascii="Book Antiqua" w:eastAsia="Book Antiqua" w:hAnsi="Book Antiqua" w:cs="Book Antiqua"/>
          <w:color w:val="000000"/>
        </w:rPr>
        <w:t xml:space="preserve">. Issues in the selection of a summary statistic for meta-analysis of clinical trials with binary outcomes. </w:t>
      </w:r>
      <w:r w:rsidRPr="00A45C44">
        <w:rPr>
          <w:rFonts w:ascii="Book Antiqua" w:eastAsia="Book Antiqua" w:hAnsi="Book Antiqua" w:cs="Book Antiqua"/>
          <w:i/>
          <w:iCs/>
          <w:color w:val="000000"/>
        </w:rPr>
        <w:t>Stat Med</w:t>
      </w:r>
      <w:r w:rsidRPr="00A45C44">
        <w:rPr>
          <w:rFonts w:ascii="Book Antiqua" w:eastAsia="Book Antiqua" w:hAnsi="Book Antiqua" w:cs="Book Antiqua"/>
          <w:color w:val="000000"/>
        </w:rPr>
        <w:t xml:space="preserve"> 2002; </w:t>
      </w:r>
      <w:r w:rsidRPr="00A45C44">
        <w:rPr>
          <w:rFonts w:ascii="Book Antiqua" w:eastAsia="Book Antiqua" w:hAnsi="Book Antiqua" w:cs="Book Antiqua"/>
          <w:b/>
          <w:bCs/>
          <w:color w:val="000000"/>
        </w:rPr>
        <w:t>21</w:t>
      </w:r>
      <w:r w:rsidRPr="00A45C44">
        <w:rPr>
          <w:rFonts w:ascii="Book Antiqua" w:eastAsia="Book Antiqua" w:hAnsi="Book Antiqua" w:cs="Book Antiqua"/>
          <w:color w:val="000000"/>
        </w:rPr>
        <w:t>: 1575-1600 [PMID: 12111921 DOI: 10.1002/sim.1188]</w:t>
      </w:r>
    </w:p>
    <w:p w14:paraId="58D15D00"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highlight w:val="yellow"/>
        </w:rPr>
        <w:t xml:space="preserve">20 </w:t>
      </w:r>
      <w:r w:rsidRPr="00A45C44">
        <w:rPr>
          <w:rFonts w:ascii="Book Antiqua" w:eastAsia="Book Antiqua" w:hAnsi="Book Antiqua" w:cs="Book Antiqua"/>
          <w:b/>
          <w:bCs/>
          <w:color w:val="000000"/>
          <w:highlight w:val="yellow"/>
        </w:rPr>
        <w:t xml:space="preserve">Higgins JP. </w:t>
      </w:r>
      <w:r w:rsidRPr="00A45C44">
        <w:rPr>
          <w:rFonts w:ascii="Book Antiqua" w:eastAsia="Book Antiqua" w:hAnsi="Book Antiqua" w:cs="Book Antiqua"/>
          <w:color w:val="000000"/>
          <w:highlight w:val="yellow"/>
        </w:rPr>
        <w:t xml:space="preserve">Cochrane handbook for systematic reviews of interventions, v.5.1. </w:t>
      </w:r>
      <w:r w:rsidR="00DE630A" w:rsidRPr="00A45C44">
        <w:rPr>
          <w:rFonts w:ascii="Book Antiqua" w:eastAsia="Book Antiqua" w:hAnsi="Book Antiqua" w:cs="Book Antiqua"/>
          <w:color w:val="000000"/>
          <w:highlight w:val="yellow"/>
        </w:rPr>
        <w:t xml:space="preserve">2011 </w:t>
      </w:r>
      <w:r w:rsidRPr="00A45C44">
        <w:rPr>
          <w:rFonts w:ascii="Book Antiqua" w:eastAsia="Book Antiqua" w:hAnsi="Book Antiqua" w:cs="Book Antiqua"/>
          <w:color w:val="000000"/>
          <w:highlight w:val="yellow"/>
        </w:rPr>
        <w:t xml:space="preserve">Available from: </w:t>
      </w:r>
      <w:r w:rsidR="00B43B0F" w:rsidRPr="00A45C44">
        <w:rPr>
          <w:rFonts w:ascii="Book Antiqua" w:eastAsia="Book Antiqua" w:hAnsi="Book Antiqua" w:cs="Book Antiqua"/>
          <w:color w:val="000000"/>
          <w:highlight w:val="yellow"/>
        </w:rPr>
        <w:t>https://training.cochrane.org/handbook/archive/v5.1/</w:t>
      </w:r>
    </w:p>
    <w:p w14:paraId="72E9A010"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21 </w:t>
      </w:r>
      <w:r w:rsidRPr="00A45C44">
        <w:rPr>
          <w:rFonts w:ascii="Book Antiqua" w:eastAsia="Book Antiqua" w:hAnsi="Book Antiqua" w:cs="Book Antiqua"/>
          <w:b/>
          <w:bCs/>
          <w:color w:val="000000"/>
        </w:rPr>
        <w:t>Barili F</w:t>
      </w:r>
      <w:r w:rsidRPr="00A45C44">
        <w:rPr>
          <w:rFonts w:ascii="Book Antiqua" w:eastAsia="Book Antiqua" w:hAnsi="Book Antiqua" w:cs="Book Antiqua"/>
          <w:color w:val="000000"/>
        </w:rPr>
        <w:t xml:space="preserve">, Parolari A, Kappetein PA, Freemantle N. Statistical Primer: heterogeneity, random- or fixed-effects model analyses? </w:t>
      </w:r>
      <w:r w:rsidRPr="00A45C44">
        <w:rPr>
          <w:rFonts w:ascii="Book Antiqua" w:eastAsia="Book Antiqua" w:hAnsi="Book Antiqua" w:cs="Book Antiqua"/>
          <w:i/>
          <w:iCs/>
          <w:color w:val="000000"/>
        </w:rPr>
        <w:t>Interact Cardiovasc Thorac Surg</w:t>
      </w:r>
      <w:r w:rsidRPr="00A45C44">
        <w:rPr>
          <w:rFonts w:ascii="Book Antiqua" w:eastAsia="Book Antiqua" w:hAnsi="Book Antiqua" w:cs="Book Antiqua"/>
          <w:color w:val="000000"/>
        </w:rPr>
        <w:t xml:space="preserve"> 2018; </w:t>
      </w:r>
      <w:r w:rsidRPr="00A45C44">
        <w:rPr>
          <w:rFonts w:ascii="Book Antiqua" w:eastAsia="Book Antiqua" w:hAnsi="Book Antiqua" w:cs="Book Antiqua"/>
          <w:b/>
          <w:bCs/>
          <w:color w:val="000000"/>
        </w:rPr>
        <w:t>27</w:t>
      </w:r>
      <w:r w:rsidRPr="00A45C44">
        <w:rPr>
          <w:rFonts w:ascii="Book Antiqua" w:eastAsia="Book Antiqua" w:hAnsi="Book Antiqua" w:cs="Book Antiqua"/>
          <w:color w:val="000000"/>
        </w:rPr>
        <w:t>: 317-321 [PMID: 29868857 DOI: 10.1093/icvts/ivy163]</w:t>
      </w:r>
    </w:p>
    <w:p w14:paraId="07AE8891"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22 </w:t>
      </w:r>
      <w:r w:rsidRPr="00A45C44">
        <w:rPr>
          <w:rFonts w:ascii="Book Antiqua" w:eastAsia="Book Antiqua" w:hAnsi="Book Antiqua" w:cs="Book Antiqua"/>
          <w:b/>
          <w:bCs/>
          <w:color w:val="000000"/>
        </w:rPr>
        <w:t>Lilenbaum R</w:t>
      </w:r>
      <w:r w:rsidRPr="00A45C44">
        <w:rPr>
          <w:rFonts w:ascii="Book Antiqua" w:eastAsia="Book Antiqua" w:hAnsi="Book Antiqua" w:cs="Book Antiqua"/>
          <w:color w:val="000000"/>
        </w:rPr>
        <w:t xml:space="preserve">, Socinski MA, Altorki NK, Hart LL, Keresztes RS, Hariharan S, Morrison ME, Fayyad R, Bonomi P. Randomized phase II trial of docetaxel/irinotecan and gemcitabine/irinotecan with or without celecoxib in the second-line treatment of non-small-cell lung cancer. </w:t>
      </w:r>
      <w:r w:rsidRPr="00A45C44">
        <w:rPr>
          <w:rFonts w:ascii="Book Antiqua" w:eastAsia="Book Antiqua" w:hAnsi="Book Antiqua" w:cs="Book Antiqua"/>
          <w:i/>
          <w:iCs/>
          <w:color w:val="000000"/>
        </w:rPr>
        <w:t>J Clin Oncol</w:t>
      </w:r>
      <w:r w:rsidRPr="00A45C44">
        <w:rPr>
          <w:rFonts w:ascii="Book Antiqua" w:eastAsia="Book Antiqua" w:hAnsi="Book Antiqua" w:cs="Book Antiqua"/>
          <w:color w:val="000000"/>
        </w:rPr>
        <w:t xml:space="preserve"> 2006; </w:t>
      </w:r>
      <w:r w:rsidRPr="00A45C44">
        <w:rPr>
          <w:rFonts w:ascii="Book Antiqua" w:eastAsia="Book Antiqua" w:hAnsi="Book Antiqua" w:cs="Book Antiqua"/>
          <w:b/>
          <w:bCs/>
          <w:color w:val="000000"/>
        </w:rPr>
        <w:t>24</w:t>
      </w:r>
      <w:r w:rsidRPr="00A45C44">
        <w:rPr>
          <w:rFonts w:ascii="Book Antiqua" w:eastAsia="Book Antiqua" w:hAnsi="Book Antiqua" w:cs="Book Antiqua"/>
          <w:color w:val="000000"/>
        </w:rPr>
        <w:t>: 4825-4832 [PMID: 17050867 DOI: 10.1200/JCO.2006.07.4773]</w:t>
      </w:r>
    </w:p>
    <w:p w14:paraId="4DB9D4CD"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23 </w:t>
      </w:r>
      <w:r w:rsidRPr="00A45C44">
        <w:rPr>
          <w:rFonts w:ascii="Book Antiqua" w:eastAsia="Book Antiqua" w:hAnsi="Book Antiqua" w:cs="Book Antiqua"/>
          <w:b/>
          <w:bCs/>
          <w:color w:val="000000"/>
        </w:rPr>
        <w:t>Gridelli C</w:t>
      </w:r>
      <w:r w:rsidRPr="00A45C44">
        <w:rPr>
          <w:rFonts w:ascii="Book Antiqua" w:eastAsia="Book Antiqua" w:hAnsi="Book Antiqua" w:cs="Book Antiqua"/>
          <w:color w:val="000000"/>
        </w:rPr>
        <w:t xml:space="preserve">, Gallo C, Ceribelli A, Gebbia V, Gamucci T, Ciardiello F, Carozza F, Favaretto A, Daniele B, Galetta D, Barbera S, Rosetti F, Rossi A, Maione P, Cognetti F, Testa A, Di Maio M, Morabito A, Perrone F; GECO investigators. Factorial phase III randomised trial of rofecoxib and prolonged constant infusion of gemcitabine in advanced non-small-cell lung cancer: the GEmcitabine-COxib in NSCLC (GECO) study. </w:t>
      </w:r>
      <w:r w:rsidRPr="00A45C44">
        <w:rPr>
          <w:rFonts w:ascii="Book Antiqua" w:eastAsia="Book Antiqua" w:hAnsi="Book Antiqua" w:cs="Book Antiqua"/>
          <w:i/>
          <w:iCs/>
          <w:color w:val="000000"/>
        </w:rPr>
        <w:t>Lancet Oncol</w:t>
      </w:r>
      <w:r w:rsidRPr="00A45C44">
        <w:rPr>
          <w:rFonts w:ascii="Book Antiqua" w:eastAsia="Book Antiqua" w:hAnsi="Book Antiqua" w:cs="Book Antiqua"/>
          <w:color w:val="000000"/>
        </w:rPr>
        <w:t xml:space="preserve"> 2007; </w:t>
      </w:r>
      <w:r w:rsidRPr="00A45C44">
        <w:rPr>
          <w:rFonts w:ascii="Book Antiqua" w:eastAsia="Book Antiqua" w:hAnsi="Book Antiqua" w:cs="Book Antiqua"/>
          <w:b/>
          <w:bCs/>
          <w:color w:val="000000"/>
        </w:rPr>
        <w:t>8</w:t>
      </w:r>
      <w:r w:rsidRPr="00A45C44">
        <w:rPr>
          <w:rFonts w:ascii="Book Antiqua" w:eastAsia="Book Antiqua" w:hAnsi="Book Antiqua" w:cs="Book Antiqua"/>
          <w:color w:val="000000"/>
        </w:rPr>
        <w:t>: 500-512 [PMID: 17513173 DOI: 10.1016/S1470-2045(07)70146-8]</w:t>
      </w:r>
    </w:p>
    <w:p w14:paraId="6D25AA2A"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24 </w:t>
      </w:r>
      <w:r w:rsidRPr="00A45C44">
        <w:rPr>
          <w:rFonts w:ascii="Book Antiqua" w:eastAsia="Book Antiqua" w:hAnsi="Book Antiqua" w:cs="Book Antiqua"/>
          <w:b/>
          <w:bCs/>
          <w:color w:val="000000"/>
        </w:rPr>
        <w:t>Koch A</w:t>
      </w:r>
      <w:r w:rsidRPr="00A45C44">
        <w:rPr>
          <w:rFonts w:ascii="Book Antiqua" w:eastAsia="Book Antiqua" w:hAnsi="Book Antiqua" w:cs="Book Antiqua"/>
          <w:color w:val="000000"/>
        </w:rPr>
        <w:t xml:space="preserve">, Bergman B, Holmberg E, Sederholm C, Ek L, Kosieradzki J, Lamberg K, Thaning L, Ydreborg SO, Sörenson S; Swedish Lung Cancer Study Group. Effect of celecoxib on survival in patients with advanced non-small cell lung cancer: a double blind randomised clinical phase III trial (CYCLUS study) by the Swedish Lung Cancer Study Group. </w:t>
      </w:r>
      <w:r w:rsidRPr="00A45C44">
        <w:rPr>
          <w:rFonts w:ascii="Book Antiqua" w:eastAsia="Book Antiqua" w:hAnsi="Book Antiqua" w:cs="Book Antiqua"/>
          <w:i/>
          <w:iCs/>
          <w:color w:val="000000"/>
        </w:rPr>
        <w:t>Eur J Cancer</w:t>
      </w:r>
      <w:r w:rsidRPr="00A45C44">
        <w:rPr>
          <w:rFonts w:ascii="Book Antiqua" w:eastAsia="Book Antiqua" w:hAnsi="Book Antiqua" w:cs="Book Antiqua"/>
          <w:color w:val="000000"/>
        </w:rPr>
        <w:t xml:space="preserve"> 2011; </w:t>
      </w:r>
      <w:r w:rsidRPr="00A45C44">
        <w:rPr>
          <w:rFonts w:ascii="Book Antiqua" w:eastAsia="Book Antiqua" w:hAnsi="Book Antiqua" w:cs="Book Antiqua"/>
          <w:b/>
          <w:bCs/>
          <w:color w:val="000000"/>
        </w:rPr>
        <w:t>47</w:t>
      </w:r>
      <w:r w:rsidRPr="00A45C44">
        <w:rPr>
          <w:rFonts w:ascii="Book Antiqua" w:eastAsia="Book Antiqua" w:hAnsi="Book Antiqua" w:cs="Book Antiqua"/>
          <w:color w:val="000000"/>
        </w:rPr>
        <w:t>: 1546-1555 [PMID: 21565487 DOI: 10.1016/j.ejca.2011.03.035]</w:t>
      </w:r>
    </w:p>
    <w:p w14:paraId="58FE0A76"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25 </w:t>
      </w:r>
      <w:r w:rsidRPr="00A45C44">
        <w:rPr>
          <w:rFonts w:ascii="Book Antiqua" w:eastAsia="Book Antiqua" w:hAnsi="Book Antiqua" w:cs="Book Antiqua"/>
          <w:b/>
          <w:bCs/>
          <w:color w:val="000000"/>
        </w:rPr>
        <w:t>Groen HJ</w:t>
      </w:r>
      <w:r w:rsidRPr="00A45C44">
        <w:rPr>
          <w:rFonts w:ascii="Book Antiqua" w:eastAsia="Book Antiqua" w:hAnsi="Book Antiqua" w:cs="Book Antiqua"/>
          <w:color w:val="000000"/>
        </w:rPr>
        <w:t xml:space="preserve">, Sietsma H, Vincent A, Hochstenbag MM, van Putten JW, van den Berg A, Dalesio O, Biesma B, Smit HJ, Termeer A, Hiltermann TJ, van den Borne BE, Schramel FM. Randomized, placebo-controlled phase III study of docetaxel plus carboplatin with celecoxib and cyclooxygenase-2 expression as a biomarker for patients with advanced non-small-cell lung cancer: the NVALT-4 study. </w:t>
      </w:r>
      <w:r w:rsidRPr="00A45C44">
        <w:rPr>
          <w:rFonts w:ascii="Book Antiqua" w:eastAsia="Book Antiqua" w:hAnsi="Book Antiqua" w:cs="Book Antiqua"/>
          <w:i/>
          <w:iCs/>
          <w:color w:val="000000"/>
        </w:rPr>
        <w:t>J Clin Oncol</w:t>
      </w:r>
      <w:r w:rsidRPr="00A45C44">
        <w:rPr>
          <w:rFonts w:ascii="Book Antiqua" w:eastAsia="Book Antiqua" w:hAnsi="Book Antiqua" w:cs="Book Antiqua"/>
          <w:color w:val="000000"/>
        </w:rPr>
        <w:t xml:space="preserve"> 2011; </w:t>
      </w:r>
      <w:r w:rsidRPr="00A45C44">
        <w:rPr>
          <w:rFonts w:ascii="Book Antiqua" w:eastAsia="Book Antiqua" w:hAnsi="Book Antiqua" w:cs="Book Antiqua"/>
          <w:b/>
          <w:bCs/>
          <w:color w:val="000000"/>
        </w:rPr>
        <w:t>29</w:t>
      </w:r>
      <w:r w:rsidRPr="00A45C44">
        <w:rPr>
          <w:rFonts w:ascii="Book Antiqua" w:eastAsia="Book Antiqua" w:hAnsi="Book Antiqua" w:cs="Book Antiqua"/>
          <w:color w:val="000000"/>
        </w:rPr>
        <w:t>: 4320-4326 [PMID: 21990410 DOI: 10.1200/JCO.2011.35.5214]</w:t>
      </w:r>
    </w:p>
    <w:p w14:paraId="24E43ECA"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26 </w:t>
      </w:r>
      <w:r w:rsidRPr="00A45C44">
        <w:rPr>
          <w:rFonts w:ascii="Book Antiqua" w:eastAsia="Book Antiqua" w:hAnsi="Book Antiqua" w:cs="Book Antiqua"/>
          <w:b/>
          <w:bCs/>
          <w:color w:val="000000"/>
        </w:rPr>
        <w:t>Edelman MJ</w:t>
      </w:r>
      <w:r w:rsidRPr="00A45C44">
        <w:rPr>
          <w:rFonts w:ascii="Book Antiqua" w:eastAsia="Book Antiqua" w:hAnsi="Book Antiqua" w:cs="Book Antiqua"/>
          <w:color w:val="000000"/>
        </w:rPr>
        <w:t xml:space="preserve">, Tan MT, Fidler MJ, Sanborn RE, Otterson G, Sequist LV, Evans TL, Schneider BJ, Keresztes R, Rogers JS, de Mayolo JA, Feliciano J, Yang Y, Medeiros M, Zaknoen SL. Randomized, double-blind, placebo-controlled, multicenter phase II study of the efficacy and safety of apricoxib in combination with either docetaxel or pemetrexed in patients with biomarker-selected non-small-cell lung cancer. </w:t>
      </w:r>
      <w:r w:rsidRPr="00A45C44">
        <w:rPr>
          <w:rFonts w:ascii="Book Antiqua" w:eastAsia="Book Antiqua" w:hAnsi="Book Antiqua" w:cs="Book Antiqua"/>
          <w:i/>
          <w:iCs/>
          <w:color w:val="000000"/>
        </w:rPr>
        <w:t>J Clin Oncol</w:t>
      </w:r>
      <w:r w:rsidRPr="00A45C44">
        <w:rPr>
          <w:rFonts w:ascii="Book Antiqua" w:eastAsia="Book Antiqua" w:hAnsi="Book Antiqua" w:cs="Book Antiqua"/>
          <w:color w:val="000000"/>
        </w:rPr>
        <w:t xml:space="preserve"> 2015; </w:t>
      </w:r>
      <w:r w:rsidRPr="00A45C44">
        <w:rPr>
          <w:rFonts w:ascii="Book Antiqua" w:eastAsia="Book Antiqua" w:hAnsi="Book Antiqua" w:cs="Book Antiqua"/>
          <w:b/>
          <w:bCs/>
          <w:color w:val="000000"/>
        </w:rPr>
        <w:t>33</w:t>
      </w:r>
      <w:r w:rsidRPr="00A45C44">
        <w:rPr>
          <w:rFonts w:ascii="Book Antiqua" w:eastAsia="Book Antiqua" w:hAnsi="Book Antiqua" w:cs="Book Antiqua"/>
          <w:color w:val="000000"/>
        </w:rPr>
        <w:t>: 189-194 [PMID: 25452446 DOI: 10.1200/JCO.2014.55.5789]</w:t>
      </w:r>
    </w:p>
    <w:p w14:paraId="634990C4"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27 </w:t>
      </w:r>
      <w:r w:rsidRPr="00A45C44">
        <w:rPr>
          <w:rFonts w:ascii="Book Antiqua" w:eastAsia="Book Antiqua" w:hAnsi="Book Antiqua" w:cs="Book Antiqua"/>
          <w:b/>
          <w:bCs/>
          <w:color w:val="000000"/>
        </w:rPr>
        <w:t>Edelman MJ</w:t>
      </w:r>
      <w:r w:rsidRPr="00A45C44">
        <w:rPr>
          <w:rFonts w:ascii="Book Antiqua" w:eastAsia="Book Antiqua" w:hAnsi="Book Antiqua" w:cs="Book Antiqua"/>
          <w:color w:val="000000"/>
        </w:rPr>
        <w:t xml:space="preserve">, Wang X, Hodgson L, Cheney RT, Baggstrom MQ, Thomas SP, Gajra A, Bertino E, Reckamp KL, Molina J, Schiller JH, Mitchell-Richards K, Friedman PN, Ritter J, Milne G, Hahn OM, Stinchcombe TE, Vokes EE; Alliance for Clinical Trials in Oncology. Phase III Randomized, Placebo-Controlled, Double-Blind Trial of Celecoxib in Addition to Standard Chemotherapy for Advanced Non-Small-Cell Lung Cancer With Cyclooxygenase-2 Overexpression: CALGB 30801 (Alliance). </w:t>
      </w:r>
      <w:r w:rsidRPr="00A45C44">
        <w:rPr>
          <w:rFonts w:ascii="Book Antiqua" w:eastAsia="Book Antiqua" w:hAnsi="Book Antiqua" w:cs="Book Antiqua"/>
          <w:i/>
          <w:iCs/>
          <w:color w:val="000000"/>
        </w:rPr>
        <w:t>J Clin Oncol</w:t>
      </w:r>
      <w:r w:rsidRPr="00A45C44">
        <w:rPr>
          <w:rFonts w:ascii="Book Antiqua" w:eastAsia="Book Antiqua" w:hAnsi="Book Antiqua" w:cs="Book Antiqua"/>
          <w:color w:val="000000"/>
        </w:rPr>
        <w:t xml:space="preserve"> 2017; </w:t>
      </w:r>
      <w:r w:rsidRPr="00A45C44">
        <w:rPr>
          <w:rFonts w:ascii="Book Antiqua" w:eastAsia="Book Antiqua" w:hAnsi="Book Antiqua" w:cs="Book Antiqua"/>
          <w:b/>
          <w:bCs/>
          <w:color w:val="000000"/>
        </w:rPr>
        <w:t>35</w:t>
      </w:r>
      <w:r w:rsidRPr="00A45C44">
        <w:rPr>
          <w:rFonts w:ascii="Book Antiqua" w:eastAsia="Book Antiqua" w:hAnsi="Book Antiqua" w:cs="Book Antiqua"/>
          <w:color w:val="000000"/>
        </w:rPr>
        <w:t>: 2184-2192 [PMID: 28489511 DOI: 10.1200/JCO.2016.71.3743]</w:t>
      </w:r>
    </w:p>
    <w:p w14:paraId="184390B0"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28 </w:t>
      </w:r>
      <w:r w:rsidRPr="00A45C44">
        <w:rPr>
          <w:rFonts w:ascii="Book Antiqua" w:eastAsia="Book Antiqua" w:hAnsi="Book Antiqua" w:cs="Book Antiqua"/>
          <w:b/>
          <w:bCs/>
          <w:color w:val="000000"/>
        </w:rPr>
        <w:t>Xiong J,</w:t>
      </w:r>
      <w:r w:rsidRPr="00A45C44">
        <w:rPr>
          <w:rFonts w:ascii="Book Antiqua" w:eastAsia="Book Antiqua" w:hAnsi="Book Antiqua" w:cs="Book Antiqua"/>
          <w:color w:val="000000"/>
        </w:rPr>
        <w:t xml:space="preserve"> Xiang X, Zhang L, Zhong L, Chen W, Yu F. </w:t>
      </w:r>
      <w:r w:rsidR="00EE514E" w:rsidRPr="00A45C44">
        <w:rPr>
          <w:rFonts w:ascii="Book Antiqua" w:eastAsia="Book Antiqua" w:hAnsi="Book Antiqua" w:cs="Book Antiqua"/>
          <w:color w:val="000000"/>
        </w:rPr>
        <w:t xml:space="preserve">A Phase </w:t>
      </w:r>
      <w:r w:rsidR="00505AEF" w:rsidRPr="00A45C44">
        <w:rPr>
          <w:rFonts w:ascii="Book Antiqua" w:eastAsia="宋体" w:hAnsi="Book Antiqua" w:cs="宋体"/>
          <w:color w:val="000000"/>
        </w:rPr>
        <w:t>ІІ</w:t>
      </w:r>
      <w:r w:rsidR="00EE514E" w:rsidRPr="00A45C44">
        <w:rPr>
          <w:rFonts w:ascii="Book Antiqua" w:eastAsia="Book Antiqua" w:hAnsi="Book Antiqua" w:cs="Book Antiqua"/>
          <w:color w:val="000000"/>
        </w:rPr>
        <w:t xml:space="preserve"> Study of Vinorelbine/Cisplatin with or without Cox-2 Inhibitor in First-Line Treatment of Non-small Cell Lung Cancer</w:t>
      </w:r>
      <w:r w:rsidRPr="00A45C44">
        <w:rPr>
          <w:rFonts w:ascii="Book Antiqua" w:eastAsia="Book Antiqua" w:hAnsi="Book Antiqua" w:cs="Book Antiqua"/>
          <w:color w:val="000000"/>
        </w:rPr>
        <w:t xml:space="preserve">. </w:t>
      </w:r>
      <w:r w:rsidR="00EE514E" w:rsidRPr="00A45C44">
        <w:rPr>
          <w:rFonts w:ascii="Book Antiqua" w:eastAsia="Book Antiqua" w:hAnsi="Book Antiqua" w:cs="Book Antiqua"/>
          <w:i/>
          <w:iCs/>
          <w:color w:val="000000"/>
        </w:rPr>
        <w:t>Zhongliu Fangzhi Yanjiu</w:t>
      </w:r>
      <w:r w:rsidRPr="00A45C44">
        <w:rPr>
          <w:rFonts w:ascii="Book Antiqua" w:eastAsia="Book Antiqua" w:hAnsi="Book Antiqua" w:cs="Book Antiqua"/>
          <w:color w:val="000000"/>
        </w:rPr>
        <w:t xml:space="preserve"> 2008;</w:t>
      </w:r>
      <w:r w:rsidR="00DB7388" w:rsidRPr="00A45C44">
        <w:rPr>
          <w:rFonts w:ascii="Book Antiqua" w:eastAsia="Book Antiqua" w:hAnsi="Book Antiqua" w:cs="Book Antiqua"/>
          <w:color w:val="000000"/>
        </w:rPr>
        <w:t xml:space="preserve"> </w:t>
      </w:r>
      <w:r w:rsidRPr="00A45C44">
        <w:rPr>
          <w:rFonts w:ascii="Book Antiqua" w:eastAsia="Book Antiqua" w:hAnsi="Book Antiqua" w:cs="Book Antiqua"/>
          <w:b/>
          <w:bCs/>
          <w:color w:val="000000"/>
        </w:rPr>
        <w:t>35</w:t>
      </w:r>
      <w:r w:rsidRPr="00A45C44">
        <w:rPr>
          <w:rFonts w:ascii="Book Antiqua" w:eastAsia="Book Antiqua" w:hAnsi="Book Antiqua" w:cs="Book Antiqua"/>
          <w:color w:val="000000"/>
        </w:rPr>
        <w:t>: 201</w:t>
      </w:r>
      <w:r w:rsidR="00EE514E" w:rsidRPr="00A45C44">
        <w:rPr>
          <w:rFonts w:ascii="Book Antiqua" w:eastAsia="Book Antiqua" w:hAnsi="Book Antiqua" w:cs="Book Antiqua"/>
          <w:color w:val="000000"/>
        </w:rPr>
        <w:t>-</w:t>
      </w:r>
      <w:r w:rsidRPr="00A45C44">
        <w:rPr>
          <w:rFonts w:ascii="Book Antiqua" w:eastAsia="Book Antiqua" w:hAnsi="Book Antiqua" w:cs="Book Antiqua"/>
          <w:color w:val="000000"/>
        </w:rPr>
        <w:t>203</w:t>
      </w:r>
    </w:p>
    <w:p w14:paraId="73126F79"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29 </w:t>
      </w:r>
      <w:r w:rsidRPr="00A45C44">
        <w:rPr>
          <w:rFonts w:ascii="Book Antiqua" w:eastAsia="Book Antiqua" w:hAnsi="Book Antiqua" w:cs="Book Antiqua"/>
          <w:b/>
          <w:bCs/>
          <w:color w:val="000000"/>
        </w:rPr>
        <w:t>Zhou S</w:t>
      </w:r>
      <w:r w:rsidR="00FE21EC" w:rsidRPr="00A45C44">
        <w:rPr>
          <w:rFonts w:ascii="Book Antiqua" w:eastAsia="Book Antiqua" w:hAnsi="Book Antiqua" w:cs="Book Antiqua"/>
          <w:b/>
          <w:bCs/>
          <w:color w:val="000000"/>
        </w:rPr>
        <w:t>W</w:t>
      </w:r>
      <w:r w:rsidRPr="00A45C44">
        <w:rPr>
          <w:rFonts w:ascii="Book Antiqua" w:eastAsia="Book Antiqua" w:hAnsi="Book Antiqua" w:cs="Book Antiqua"/>
          <w:b/>
          <w:bCs/>
          <w:color w:val="000000"/>
        </w:rPr>
        <w:t>,</w:t>
      </w:r>
      <w:r w:rsidRPr="00A45C44">
        <w:rPr>
          <w:rFonts w:ascii="Book Antiqua" w:eastAsia="Book Antiqua" w:hAnsi="Book Antiqua" w:cs="Book Antiqua"/>
          <w:color w:val="000000"/>
        </w:rPr>
        <w:t xml:space="preserve"> Zhou C</w:t>
      </w:r>
      <w:r w:rsidR="00FE21EC" w:rsidRPr="00A45C44">
        <w:rPr>
          <w:rFonts w:ascii="Book Antiqua" w:eastAsia="Book Antiqua" w:hAnsi="Book Antiqua" w:cs="Book Antiqua"/>
          <w:color w:val="000000"/>
        </w:rPr>
        <w:t>C</w:t>
      </w:r>
      <w:r w:rsidRPr="00A45C44">
        <w:rPr>
          <w:rFonts w:ascii="Book Antiqua" w:eastAsia="Book Antiqua" w:hAnsi="Book Antiqua" w:cs="Book Antiqua"/>
          <w:color w:val="000000"/>
        </w:rPr>
        <w:t>, Xu J</w:t>
      </w:r>
      <w:r w:rsidR="00FE21EC" w:rsidRPr="00A45C44">
        <w:rPr>
          <w:rFonts w:ascii="Book Antiqua" w:eastAsia="Book Antiqua" w:hAnsi="Book Antiqua" w:cs="Book Antiqua"/>
          <w:color w:val="000000"/>
        </w:rPr>
        <w:t>F</w:t>
      </w:r>
      <w:r w:rsidRPr="00A45C44">
        <w:rPr>
          <w:rFonts w:ascii="Book Antiqua" w:eastAsia="Book Antiqua" w:hAnsi="Book Antiqua" w:cs="Book Antiqua"/>
          <w:color w:val="000000"/>
        </w:rPr>
        <w:t>, Lv M</w:t>
      </w:r>
      <w:r w:rsidR="00FE21EC" w:rsidRPr="00A45C44">
        <w:rPr>
          <w:rFonts w:ascii="Book Antiqua" w:eastAsia="Book Antiqua" w:hAnsi="Book Antiqua" w:cs="Book Antiqua"/>
          <w:color w:val="000000"/>
        </w:rPr>
        <w:t>J</w:t>
      </w:r>
      <w:r w:rsidRPr="00A45C44">
        <w:rPr>
          <w:rFonts w:ascii="Book Antiqua" w:eastAsia="Book Antiqua" w:hAnsi="Book Antiqua" w:cs="Book Antiqua"/>
          <w:color w:val="000000"/>
        </w:rPr>
        <w:t xml:space="preserve">. First-line regimen of vinorelbine and cisplatin (NP) combined with cyclooxygenase-2 inhibitor celecoxib in advanced nonsmall-cell lung cancer. </w:t>
      </w:r>
      <w:r w:rsidRPr="00A45C44">
        <w:rPr>
          <w:rFonts w:ascii="Book Antiqua" w:eastAsia="Book Antiqua" w:hAnsi="Book Antiqua" w:cs="Book Antiqua"/>
          <w:i/>
          <w:iCs/>
          <w:color w:val="000000"/>
        </w:rPr>
        <w:t xml:space="preserve">Tongji </w:t>
      </w:r>
      <w:r w:rsidR="00FE21EC" w:rsidRPr="00A45C44">
        <w:rPr>
          <w:rFonts w:ascii="Book Antiqua" w:eastAsia="Book Antiqua" w:hAnsi="Book Antiqua" w:cs="Book Antiqua"/>
          <w:i/>
          <w:iCs/>
          <w:color w:val="000000"/>
        </w:rPr>
        <w:t>Daxue Xuebao</w:t>
      </w:r>
      <w:r w:rsidRPr="00A45C44">
        <w:rPr>
          <w:rFonts w:ascii="Book Antiqua" w:eastAsia="Book Antiqua" w:hAnsi="Book Antiqua" w:cs="Book Antiqua"/>
          <w:color w:val="000000"/>
        </w:rPr>
        <w:t xml:space="preserve"> 2007;</w:t>
      </w:r>
      <w:r w:rsidR="00FE21EC" w:rsidRPr="00A45C44">
        <w:rPr>
          <w:rFonts w:ascii="Book Antiqua" w:eastAsia="Book Antiqua" w:hAnsi="Book Antiqua" w:cs="Book Antiqua"/>
          <w:color w:val="000000"/>
        </w:rPr>
        <w:t xml:space="preserve"> </w:t>
      </w:r>
      <w:r w:rsidRPr="00A45C44">
        <w:rPr>
          <w:rFonts w:ascii="Book Antiqua" w:eastAsia="Book Antiqua" w:hAnsi="Book Antiqua" w:cs="Book Antiqua"/>
          <w:b/>
          <w:bCs/>
          <w:color w:val="000000"/>
        </w:rPr>
        <w:t>28</w:t>
      </w:r>
      <w:r w:rsidRPr="00A45C44">
        <w:rPr>
          <w:rFonts w:ascii="Book Antiqua" w:eastAsia="Book Antiqua" w:hAnsi="Book Antiqua" w:cs="Book Antiqua"/>
          <w:color w:val="000000"/>
        </w:rPr>
        <w:t>: 87</w:t>
      </w:r>
      <w:r w:rsidR="00FE21EC" w:rsidRPr="00A45C44">
        <w:rPr>
          <w:rFonts w:ascii="Book Antiqua" w:eastAsia="Book Antiqua" w:hAnsi="Book Antiqua" w:cs="Book Antiqua"/>
          <w:color w:val="000000"/>
        </w:rPr>
        <w:t>-</w:t>
      </w:r>
      <w:r w:rsidRPr="00A45C44">
        <w:rPr>
          <w:rFonts w:ascii="Book Antiqua" w:eastAsia="Book Antiqua" w:hAnsi="Book Antiqua" w:cs="Book Antiqua"/>
          <w:color w:val="000000"/>
        </w:rPr>
        <w:t>91</w:t>
      </w:r>
    </w:p>
    <w:p w14:paraId="254B765C"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30 </w:t>
      </w:r>
      <w:r w:rsidRPr="00A45C44">
        <w:rPr>
          <w:rFonts w:ascii="Book Antiqua" w:eastAsia="Book Antiqua" w:hAnsi="Book Antiqua" w:cs="Book Antiqua"/>
          <w:b/>
          <w:bCs/>
          <w:color w:val="000000"/>
        </w:rPr>
        <w:t>Liu GH</w:t>
      </w:r>
      <w:r w:rsidR="00B16EDC" w:rsidRPr="00A45C44">
        <w:rPr>
          <w:rFonts w:ascii="Book Antiqua" w:eastAsia="Book Antiqua" w:hAnsi="Book Antiqua" w:cs="Book Antiqua"/>
          <w:color w:val="000000"/>
        </w:rPr>
        <w:t>,</w:t>
      </w:r>
      <w:r w:rsidRPr="00A45C44">
        <w:rPr>
          <w:rFonts w:ascii="Book Antiqua" w:eastAsia="Book Antiqua" w:hAnsi="Book Antiqua" w:cs="Book Antiqua"/>
          <w:color w:val="000000"/>
        </w:rPr>
        <w:t xml:space="preserve"> H</w:t>
      </w:r>
      <w:r w:rsidR="00B16EDC" w:rsidRPr="00A45C44">
        <w:rPr>
          <w:rFonts w:ascii="Book Antiqua" w:eastAsia="Book Antiqua" w:hAnsi="Book Antiqua" w:cs="Book Antiqua"/>
          <w:color w:val="000000"/>
        </w:rPr>
        <w:t xml:space="preserve">uang </w:t>
      </w:r>
      <w:r w:rsidRPr="00A45C44">
        <w:rPr>
          <w:rFonts w:ascii="Book Antiqua" w:eastAsia="Book Antiqua" w:hAnsi="Book Antiqua" w:cs="Book Antiqua"/>
          <w:color w:val="000000"/>
        </w:rPr>
        <w:t>J</w:t>
      </w:r>
      <w:r w:rsidR="00B16EDC" w:rsidRPr="00A45C44">
        <w:rPr>
          <w:rFonts w:ascii="Book Antiqua" w:eastAsia="Book Antiqua" w:hAnsi="Book Antiqua" w:cs="Book Antiqua"/>
          <w:color w:val="000000"/>
        </w:rPr>
        <w:t>A</w:t>
      </w:r>
      <w:r w:rsidRPr="00A45C44">
        <w:rPr>
          <w:rFonts w:ascii="Book Antiqua" w:eastAsia="Book Antiqua" w:hAnsi="Book Antiqua" w:cs="Book Antiqua"/>
          <w:color w:val="000000"/>
        </w:rPr>
        <w:t xml:space="preserve">. Clinical study of celecoxib combined with chemotherapy in the treatment of patients with advanced lung cancer. </w:t>
      </w:r>
      <w:r w:rsidR="00B16EDC" w:rsidRPr="00A45C44">
        <w:rPr>
          <w:rFonts w:ascii="Book Antiqua" w:eastAsia="Book Antiqua" w:hAnsi="Book Antiqua" w:cs="Book Antiqua"/>
          <w:i/>
          <w:iCs/>
          <w:color w:val="000000"/>
        </w:rPr>
        <w:t>Zhonghua Zhongliu Fangzhi Zazhi</w:t>
      </w:r>
      <w:r w:rsidRPr="00A45C44">
        <w:rPr>
          <w:rFonts w:ascii="Book Antiqua" w:eastAsia="Book Antiqua" w:hAnsi="Book Antiqua" w:cs="Book Antiqua"/>
          <w:color w:val="000000"/>
        </w:rPr>
        <w:t xml:space="preserve"> 2012;</w:t>
      </w:r>
      <w:r w:rsidR="00B16EDC" w:rsidRPr="00A45C44">
        <w:rPr>
          <w:rFonts w:ascii="Book Antiqua" w:eastAsia="Book Antiqua" w:hAnsi="Book Antiqua" w:cs="Book Antiqua"/>
          <w:color w:val="000000"/>
        </w:rPr>
        <w:t xml:space="preserve"> </w:t>
      </w:r>
      <w:r w:rsidRPr="00A45C44">
        <w:rPr>
          <w:rFonts w:ascii="Book Antiqua" w:eastAsia="Book Antiqua" w:hAnsi="Book Antiqua" w:cs="Book Antiqua"/>
          <w:b/>
          <w:bCs/>
          <w:color w:val="000000"/>
        </w:rPr>
        <w:t>19</w:t>
      </w:r>
      <w:r w:rsidRPr="00A45C44">
        <w:rPr>
          <w:rFonts w:ascii="Book Antiqua" w:eastAsia="Book Antiqua" w:hAnsi="Book Antiqua" w:cs="Book Antiqua"/>
          <w:color w:val="000000"/>
        </w:rPr>
        <w:t>: 1661</w:t>
      </w:r>
      <w:r w:rsidR="00B16EDC" w:rsidRPr="00A45C44">
        <w:rPr>
          <w:rFonts w:ascii="Book Antiqua" w:eastAsia="Book Antiqua" w:hAnsi="Book Antiqua" w:cs="Book Antiqua"/>
          <w:color w:val="000000"/>
        </w:rPr>
        <w:t>-</w:t>
      </w:r>
      <w:r w:rsidRPr="00A45C44">
        <w:rPr>
          <w:rFonts w:ascii="Book Antiqua" w:eastAsia="Book Antiqua" w:hAnsi="Book Antiqua" w:cs="Book Antiqua"/>
          <w:color w:val="000000"/>
        </w:rPr>
        <w:t>1663</w:t>
      </w:r>
    </w:p>
    <w:p w14:paraId="5B087592"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31 </w:t>
      </w:r>
      <w:r w:rsidRPr="00A45C44">
        <w:rPr>
          <w:rFonts w:ascii="Book Antiqua" w:eastAsia="Book Antiqua" w:hAnsi="Book Antiqua" w:cs="Book Antiqua"/>
          <w:b/>
          <w:bCs/>
          <w:color w:val="000000"/>
        </w:rPr>
        <w:t>Teng J</w:t>
      </w:r>
      <w:r w:rsidR="00047402" w:rsidRPr="00A45C44">
        <w:rPr>
          <w:rFonts w:ascii="Book Antiqua" w:eastAsia="Book Antiqua" w:hAnsi="Book Antiqua" w:cs="Book Antiqua"/>
          <w:b/>
          <w:bCs/>
          <w:color w:val="000000"/>
        </w:rPr>
        <w:t>J</w:t>
      </w:r>
      <w:r w:rsidRPr="00A45C44">
        <w:rPr>
          <w:rFonts w:ascii="Book Antiqua" w:eastAsia="Book Antiqua" w:hAnsi="Book Antiqua" w:cs="Book Antiqua"/>
          <w:b/>
          <w:bCs/>
          <w:color w:val="000000"/>
        </w:rPr>
        <w:t>,</w:t>
      </w:r>
      <w:r w:rsidRPr="00A45C44">
        <w:rPr>
          <w:rFonts w:ascii="Book Antiqua" w:eastAsia="Book Antiqua" w:hAnsi="Book Antiqua" w:cs="Book Antiqua"/>
          <w:color w:val="000000"/>
        </w:rPr>
        <w:t xml:space="preserve"> Pei J, Han BH, Jiang LY, Zhong H, Gu AQ, </w:t>
      </w:r>
      <w:r w:rsidR="00047402" w:rsidRPr="00A45C44">
        <w:rPr>
          <w:rFonts w:ascii="Book Antiqua" w:eastAsia="Book Antiqua" w:hAnsi="Book Antiqua" w:cs="Book Antiqua"/>
          <w:color w:val="000000"/>
        </w:rPr>
        <w:t>Chu TQ</w:t>
      </w:r>
      <w:r w:rsidRPr="00A45C44">
        <w:rPr>
          <w:rFonts w:ascii="Book Antiqua" w:eastAsia="Book Antiqua" w:hAnsi="Book Antiqua" w:cs="Book Antiqua"/>
          <w:color w:val="000000"/>
        </w:rPr>
        <w:t xml:space="preserve">. Serum DKK-1 Levels in the advanced non-small cell lung caner patients: a randomized clinical study on combination of celecoxib with cisplatin-based chemotherapy. </w:t>
      </w:r>
      <w:r w:rsidR="00047402" w:rsidRPr="00A45C44">
        <w:rPr>
          <w:rFonts w:ascii="Book Antiqua" w:eastAsia="Book Antiqua" w:hAnsi="Book Antiqua" w:cs="Book Antiqua"/>
          <w:i/>
          <w:iCs/>
          <w:color w:val="000000"/>
        </w:rPr>
        <w:t>Shijie Linchuang Yaowu</w:t>
      </w:r>
      <w:r w:rsidRPr="00A45C44">
        <w:rPr>
          <w:rFonts w:ascii="Book Antiqua" w:eastAsia="Book Antiqua" w:hAnsi="Book Antiqua" w:cs="Book Antiqua"/>
          <w:color w:val="000000"/>
        </w:rPr>
        <w:t xml:space="preserve"> 2015;</w:t>
      </w:r>
      <w:r w:rsidR="00047402" w:rsidRPr="00A45C44">
        <w:rPr>
          <w:rFonts w:ascii="Book Antiqua" w:eastAsia="Book Antiqua" w:hAnsi="Book Antiqua" w:cs="Book Antiqua"/>
          <w:color w:val="000000"/>
        </w:rPr>
        <w:t xml:space="preserve"> </w:t>
      </w:r>
      <w:r w:rsidRPr="00A45C44">
        <w:rPr>
          <w:rFonts w:ascii="Book Antiqua" w:eastAsia="Book Antiqua" w:hAnsi="Book Antiqua" w:cs="Book Antiqua"/>
          <w:b/>
          <w:bCs/>
          <w:color w:val="000000"/>
        </w:rPr>
        <w:t>36</w:t>
      </w:r>
      <w:r w:rsidRPr="00A45C44">
        <w:rPr>
          <w:rFonts w:ascii="Book Antiqua" w:eastAsia="Book Antiqua" w:hAnsi="Book Antiqua" w:cs="Book Antiqua"/>
          <w:color w:val="000000"/>
        </w:rPr>
        <w:t>: 388-394</w:t>
      </w:r>
    </w:p>
    <w:p w14:paraId="6E934D2F"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32 </w:t>
      </w:r>
      <w:r w:rsidRPr="00A45C44">
        <w:rPr>
          <w:rFonts w:ascii="Book Antiqua" w:eastAsia="Book Antiqua" w:hAnsi="Book Antiqua" w:cs="Book Antiqua"/>
          <w:b/>
          <w:bCs/>
          <w:color w:val="000000"/>
        </w:rPr>
        <w:t>Sörenson S</w:t>
      </w:r>
      <w:r w:rsidRPr="00A45C44">
        <w:rPr>
          <w:rFonts w:ascii="Book Antiqua" w:eastAsia="Book Antiqua" w:hAnsi="Book Antiqua" w:cs="Book Antiqua"/>
          <w:color w:val="000000"/>
        </w:rPr>
        <w:t xml:space="preserve">, Fohlin H, Lindgren A, Lindskog M, Bergman B, Sederholm C, Ek L, Lamberg K, Clinchy B. Predictive role of plasma vascular endothelial growth factor for the effect of celecoxib in advanced non-small cell lung cancer treated with chemotherapy. </w:t>
      </w:r>
      <w:r w:rsidRPr="00A45C44">
        <w:rPr>
          <w:rFonts w:ascii="Book Antiqua" w:eastAsia="Book Antiqua" w:hAnsi="Book Antiqua" w:cs="Book Antiqua"/>
          <w:i/>
          <w:iCs/>
          <w:color w:val="000000"/>
        </w:rPr>
        <w:t>Eur J Cancer</w:t>
      </w:r>
      <w:r w:rsidRPr="00A45C44">
        <w:rPr>
          <w:rFonts w:ascii="Book Antiqua" w:eastAsia="Book Antiqua" w:hAnsi="Book Antiqua" w:cs="Book Antiqua"/>
          <w:color w:val="000000"/>
        </w:rPr>
        <w:t xml:space="preserve"> 2013; </w:t>
      </w:r>
      <w:r w:rsidRPr="00A45C44">
        <w:rPr>
          <w:rFonts w:ascii="Book Antiqua" w:eastAsia="Book Antiqua" w:hAnsi="Book Antiqua" w:cs="Book Antiqua"/>
          <w:b/>
          <w:bCs/>
          <w:color w:val="000000"/>
        </w:rPr>
        <w:t>49</w:t>
      </w:r>
      <w:r w:rsidRPr="00A45C44">
        <w:rPr>
          <w:rFonts w:ascii="Book Antiqua" w:eastAsia="Book Antiqua" w:hAnsi="Book Antiqua" w:cs="Book Antiqua"/>
          <w:color w:val="000000"/>
        </w:rPr>
        <w:t>: 115-120 [PMID: 22951014 DOI: 10.1016/j.ejca.2012.07.032]</w:t>
      </w:r>
    </w:p>
    <w:p w14:paraId="2404FA8A"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33 </w:t>
      </w:r>
      <w:r w:rsidRPr="00A45C44">
        <w:rPr>
          <w:rFonts w:ascii="Book Antiqua" w:eastAsia="Book Antiqua" w:hAnsi="Book Antiqua" w:cs="Book Antiqua"/>
          <w:b/>
          <w:bCs/>
          <w:color w:val="000000"/>
        </w:rPr>
        <w:t>Gitlitz BJ</w:t>
      </w:r>
      <w:r w:rsidRPr="00A45C44">
        <w:rPr>
          <w:rFonts w:ascii="Book Antiqua" w:eastAsia="Book Antiqua" w:hAnsi="Book Antiqua" w:cs="Book Antiqua"/>
          <w:color w:val="000000"/>
        </w:rPr>
        <w:t xml:space="preserve">, Bernstein E, Santos ES, Otterson GA, Milne G, Syto M, Burrows F, Zaknoen S. A randomized, placebo-controlled, multicenter, biomarker-selected, phase 2 study of apricoxib in combination with erlotinib in patients with advanced non-small-cell lung cancer. </w:t>
      </w:r>
      <w:r w:rsidRPr="00A45C44">
        <w:rPr>
          <w:rFonts w:ascii="Book Antiqua" w:eastAsia="Book Antiqua" w:hAnsi="Book Antiqua" w:cs="Book Antiqua"/>
          <w:i/>
          <w:iCs/>
          <w:color w:val="000000"/>
        </w:rPr>
        <w:t>J Thorac Oncol</w:t>
      </w:r>
      <w:r w:rsidRPr="00A45C44">
        <w:rPr>
          <w:rFonts w:ascii="Book Antiqua" w:eastAsia="Book Antiqua" w:hAnsi="Book Antiqua" w:cs="Book Antiqua"/>
          <w:color w:val="000000"/>
        </w:rPr>
        <w:t xml:space="preserve"> 2014; </w:t>
      </w:r>
      <w:r w:rsidRPr="00A45C44">
        <w:rPr>
          <w:rFonts w:ascii="Book Antiqua" w:eastAsia="Book Antiqua" w:hAnsi="Book Antiqua" w:cs="Book Antiqua"/>
          <w:b/>
          <w:bCs/>
          <w:color w:val="000000"/>
        </w:rPr>
        <w:t>9</w:t>
      </w:r>
      <w:r w:rsidRPr="00A45C44">
        <w:rPr>
          <w:rFonts w:ascii="Book Antiqua" w:eastAsia="Book Antiqua" w:hAnsi="Book Antiqua" w:cs="Book Antiqua"/>
          <w:color w:val="000000"/>
        </w:rPr>
        <w:t>: 577-582 [PMID: 24736085 DOI: 10.1097/JTO.0000000000000082]</w:t>
      </w:r>
    </w:p>
    <w:p w14:paraId="6E0C3A5A"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34 </w:t>
      </w:r>
      <w:r w:rsidRPr="00A45C44">
        <w:rPr>
          <w:rFonts w:ascii="Book Antiqua" w:eastAsia="Book Antiqua" w:hAnsi="Book Antiqua" w:cs="Book Antiqua"/>
          <w:b/>
          <w:bCs/>
          <w:color w:val="000000"/>
        </w:rPr>
        <w:t>Schneider BJ</w:t>
      </w:r>
      <w:r w:rsidRPr="00A45C44">
        <w:rPr>
          <w:rFonts w:ascii="Book Antiqua" w:eastAsia="Book Antiqua" w:hAnsi="Book Antiqua" w:cs="Book Antiqua"/>
          <w:color w:val="000000"/>
        </w:rPr>
        <w:t xml:space="preserve">, Kalemkerian GP, Kraut MJ, Wozniak AJ, Worden FP, Smith DW, Chen W, Gadgeel SM. Phase II study of celecoxib and docetaxel in non-small cell lung cancer (NSCLC) patients with progression after platinum-based therapy. </w:t>
      </w:r>
      <w:r w:rsidRPr="00A45C44">
        <w:rPr>
          <w:rFonts w:ascii="Book Antiqua" w:eastAsia="Book Antiqua" w:hAnsi="Book Antiqua" w:cs="Book Antiqua"/>
          <w:i/>
          <w:iCs/>
          <w:color w:val="000000"/>
        </w:rPr>
        <w:t>J Thorac Oncol</w:t>
      </w:r>
      <w:r w:rsidRPr="00A45C44">
        <w:rPr>
          <w:rFonts w:ascii="Book Antiqua" w:eastAsia="Book Antiqua" w:hAnsi="Book Antiqua" w:cs="Book Antiqua"/>
          <w:color w:val="000000"/>
        </w:rPr>
        <w:t xml:space="preserve"> 2008; </w:t>
      </w:r>
      <w:r w:rsidRPr="00A45C44">
        <w:rPr>
          <w:rFonts w:ascii="Book Antiqua" w:eastAsia="Book Antiqua" w:hAnsi="Book Antiqua" w:cs="Book Antiqua"/>
          <w:b/>
          <w:bCs/>
          <w:color w:val="000000"/>
        </w:rPr>
        <w:t>3</w:t>
      </w:r>
      <w:r w:rsidRPr="00A45C44">
        <w:rPr>
          <w:rFonts w:ascii="Book Antiqua" w:eastAsia="Book Antiqua" w:hAnsi="Book Antiqua" w:cs="Book Antiqua"/>
          <w:color w:val="000000"/>
        </w:rPr>
        <w:t>: 1454-1459 [PMID: 19057272 DOI: 10.1097/JTO.0b013e31818de1d2]</w:t>
      </w:r>
    </w:p>
    <w:p w14:paraId="66276DB4"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35 </w:t>
      </w:r>
      <w:r w:rsidRPr="00A45C44">
        <w:rPr>
          <w:rFonts w:ascii="Book Antiqua" w:eastAsia="Book Antiqua" w:hAnsi="Book Antiqua" w:cs="Book Antiqua"/>
          <w:b/>
          <w:bCs/>
          <w:color w:val="000000"/>
        </w:rPr>
        <w:t>Edelman MJ</w:t>
      </w:r>
      <w:r w:rsidRPr="00A45C44">
        <w:rPr>
          <w:rFonts w:ascii="Book Antiqua" w:eastAsia="Book Antiqua" w:hAnsi="Book Antiqua" w:cs="Book Antiqua"/>
          <w:color w:val="000000"/>
        </w:rPr>
        <w:t xml:space="preserve">, Watson D, Wang X, Morrison C, Kratzke RA, Jewell S, Hodgson L, Mauer AM, Gajra A, Masters GA, Bedor M, Vokes EE, Green MJ. Eicosanoid modulation in advanced lung cancer: cyclooxygenase-2 expression is a positive predictive factor for celecoxib + chemotherapy--Cancer and Leukemia Group B Trial 30203. </w:t>
      </w:r>
      <w:r w:rsidRPr="00A45C44">
        <w:rPr>
          <w:rFonts w:ascii="Book Antiqua" w:eastAsia="Book Antiqua" w:hAnsi="Book Antiqua" w:cs="Book Antiqua"/>
          <w:i/>
          <w:iCs/>
          <w:color w:val="000000"/>
        </w:rPr>
        <w:t>J Clin Oncol</w:t>
      </w:r>
      <w:r w:rsidRPr="00A45C44">
        <w:rPr>
          <w:rFonts w:ascii="Book Antiqua" w:eastAsia="Book Antiqua" w:hAnsi="Book Antiqua" w:cs="Book Antiqua"/>
          <w:color w:val="000000"/>
        </w:rPr>
        <w:t xml:space="preserve"> 2008; </w:t>
      </w:r>
      <w:r w:rsidRPr="00A45C44">
        <w:rPr>
          <w:rFonts w:ascii="Book Antiqua" w:eastAsia="Book Antiqua" w:hAnsi="Book Antiqua" w:cs="Book Antiqua"/>
          <w:b/>
          <w:bCs/>
          <w:color w:val="000000"/>
        </w:rPr>
        <w:t>26</w:t>
      </w:r>
      <w:r w:rsidRPr="00A45C44">
        <w:rPr>
          <w:rFonts w:ascii="Book Antiqua" w:eastAsia="Book Antiqua" w:hAnsi="Book Antiqua" w:cs="Book Antiqua"/>
          <w:color w:val="000000"/>
        </w:rPr>
        <w:t>: 848-855 [PMID: 18281656 DOI: 10.1200/JCO.2007.13.8081]</w:t>
      </w:r>
    </w:p>
    <w:p w14:paraId="11A87885"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36 </w:t>
      </w:r>
      <w:r w:rsidRPr="00A45C44">
        <w:rPr>
          <w:rFonts w:ascii="Book Antiqua" w:eastAsia="Book Antiqua" w:hAnsi="Book Antiqua" w:cs="Book Antiqua"/>
          <w:b/>
          <w:bCs/>
          <w:color w:val="000000"/>
        </w:rPr>
        <w:t>Rabik CA</w:t>
      </w:r>
      <w:r w:rsidRPr="00A45C44">
        <w:rPr>
          <w:rFonts w:ascii="Book Antiqua" w:eastAsia="Book Antiqua" w:hAnsi="Book Antiqua" w:cs="Book Antiqua"/>
          <w:color w:val="000000"/>
        </w:rPr>
        <w:t xml:space="preserve">, Dolan ME. Molecular mechanisms of resistance and toxicity associated with platinating agents. </w:t>
      </w:r>
      <w:r w:rsidRPr="00A45C44">
        <w:rPr>
          <w:rFonts w:ascii="Book Antiqua" w:eastAsia="Book Antiqua" w:hAnsi="Book Antiqua" w:cs="Book Antiqua"/>
          <w:i/>
          <w:iCs/>
          <w:color w:val="000000"/>
        </w:rPr>
        <w:t>Cancer Treat Rev</w:t>
      </w:r>
      <w:r w:rsidRPr="00A45C44">
        <w:rPr>
          <w:rFonts w:ascii="Book Antiqua" w:eastAsia="Book Antiqua" w:hAnsi="Book Antiqua" w:cs="Book Antiqua"/>
          <w:color w:val="000000"/>
        </w:rPr>
        <w:t xml:space="preserve"> 2007; </w:t>
      </w:r>
      <w:r w:rsidRPr="00A45C44">
        <w:rPr>
          <w:rFonts w:ascii="Book Antiqua" w:eastAsia="Book Antiqua" w:hAnsi="Book Antiqua" w:cs="Book Antiqua"/>
          <w:b/>
          <w:bCs/>
          <w:color w:val="000000"/>
        </w:rPr>
        <w:t>33</w:t>
      </w:r>
      <w:r w:rsidRPr="00A45C44">
        <w:rPr>
          <w:rFonts w:ascii="Book Antiqua" w:eastAsia="Book Antiqua" w:hAnsi="Book Antiqua" w:cs="Book Antiqua"/>
          <w:color w:val="000000"/>
        </w:rPr>
        <w:t>: 9-23 [PMID: 17084534 DOI: 10.1016/j.ctrv.2006.09.006]</w:t>
      </w:r>
    </w:p>
    <w:p w14:paraId="07244FE6"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37 </w:t>
      </w:r>
      <w:r w:rsidRPr="00A45C44">
        <w:rPr>
          <w:rFonts w:ascii="Book Antiqua" w:eastAsia="Book Antiqua" w:hAnsi="Book Antiqua" w:cs="Book Antiqua"/>
          <w:b/>
          <w:bCs/>
          <w:color w:val="000000"/>
        </w:rPr>
        <w:t>Lorenz M</w:t>
      </w:r>
      <w:r w:rsidRPr="00A45C44">
        <w:rPr>
          <w:rFonts w:ascii="Book Antiqua" w:eastAsia="Book Antiqua" w:hAnsi="Book Antiqua" w:cs="Book Antiqua"/>
          <w:color w:val="000000"/>
        </w:rPr>
        <w:t xml:space="preserve">, Slaughter HS, Wescott DM, Carter SI, Schnyder B, Dinchuk JE, Car BD. Cyclooxygenase-2 is essential for normal recovery from 5-fluorouracil-induced myelotoxicity in mice. </w:t>
      </w:r>
      <w:r w:rsidRPr="00A45C44">
        <w:rPr>
          <w:rFonts w:ascii="Book Antiqua" w:eastAsia="Book Antiqua" w:hAnsi="Book Antiqua" w:cs="Book Antiqua"/>
          <w:i/>
          <w:iCs/>
          <w:color w:val="000000"/>
        </w:rPr>
        <w:t>Exp Hematol</w:t>
      </w:r>
      <w:r w:rsidRPr="00A45C44">
        <w:rPr>
          <w:rFonts w:ascii="Book Antiqua" w:eastAsia="Book Antiqua" w:hAnsi="Book Antiqua" w:cs="Book Antiqua"/>
          <w:color w:val="000000"/>
        </w:rPr>
        <w:t xml:space="preserve"> 1999; </w:t>
      </w:r>
      <w:r w:rsidRPr="00A45C44">
        <w:rPr>
          <w:rFonts w:ascii="Book Antiqua" w:eastAsia="Book Antiqua" w:hAnsi="Book Antiqua" w:cs="Book Antiqua"/>
          <w:b/>
          <w:bCs/>
          <w:color w:val="000000"/>
        </w:rPr>
        <w:t>27</w:t>
      </w:r>
      <w:r w:rsidRPr="00A45C44">
        <w:rPr>
          <w:rFonts w:ascii="Book Antiqua" w:eastAsia="Book Antiqua" w:hAnsi="Book Antiqua" w:cs="Book Antiqua"/>
          <w:color w:val="000000"/>
        </w:rPr>
        <w:t>: 1494-1502 [PMID: 10517490 DOI: 10.1016/s0301-472x(99)00087-9]</w:t>
      </w:r>
    </w:p>
    <w:p w14:paraId="1719EC45"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38 </w:t>
      </w:r>
      <w:r w:rsidRPr="00A45C44">
        <w:rPr>
          <w:rFonts w:ascii="Book Antiqua" w:eastAsia="Book Antiqua" w:hAnsi="Book Antiqua" w:cs="Book Antiqua"/>
          <w:b/>
          <w:bCs/>
          <w:color w:val="000000"/>
        </w:rPr>
        <w:t>Soza-Ried C</w:t>
      </w:r>
      <w:r w:rsidRPr="00A45C44">
        <w:rPr>
          <w:rFonts w:ascii="Book Antiqua" w:eastAsia="Book Antiqua" w:hAnsi="Book Antiqua" w:cs="Book Antiqua"/>
          <w:color w:val="000000"/>
        </w:rPr>
        <w:t xml:space="preserve">, Hess I, Netuschil N, Schorpp M, Boehm T. Essential role of c-myb in definitive hematopoiesis is evolutionarily conserved. </w:t>
      </w:r>
      <w:r w:rsidRPr="00A45C44">
        <w:rPr>
          <w:rFonts w:ascii="Book Antiqua" w:eastAsia="Book Antiqua" w:hAnsi="Book Antiqua" w:cs="Book Antiqua"/>
          <w:i/>
          <w:iCs/>
          <w:color w:val="000000"/>
        </w:rPr>
        <w:t>Proc Natl Acad Sci USA</w:t>
      </w:r>
      <w:r w:rsidRPr="00A45C44">
        <w:rPr>
          <w:rFonts w:ascii="Book Antiqua" w:eastAsia="Book Antiqua" w:hAnsi="Book Antiqua" w:cs="Book Antiqua"/>
          <w:color w:val="000000"/>
        </w:rPr>
        <w:t xml:space="preserve"> 2010; </w:t>
      </w:r>
      <w:r w:rsidRPr="00A45C44">
        <w:rPr>
          <w:rFonts w:ascii="Book Antiqua" w:eastAsia="Book Antiqua" w:hAnsi="Book Antiqua" w:cs="Book Antiqua"/>
          <w:b/>
          <w:bCs/>
          <w:color w:val="000000"/>
        </w:rPr>
        <w:t>107</w:t>
      </w:r>
      <w:r w:rsidRPr="00A45C44">
        <w:rPr>
          <w:rFonts w:ascii="Book Antiqua" w:eastAsia="Book Antiqua" w:hAnsi="Book Antiqua" w:cs="Book Antiqua"/>
          <w:color w:val="000000"/>
        </w:rPr>
        <w:t>: 17304-17308 [PMID: 20823231 DOI: 10.1073/pnas.1004640107]</w:t>
      </w:r>
    </w:p>
    <w:p w14:paraId="5889D201"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39 </w:t>
      </w:r>
      <w:r w:rsidRPr="00A45C44">
        <w:rPr>
          <w:rFonts w:ascii="Book Antiqua" w:eastAsia="Book Antiqua" w:hAnsi="Book Antiqua" w:cs="Book Antiqua"/>
          <w:b/>
          <w:bCs/>
          <w:color w:val="000000"/>
        </w:rPr>
        <w:t>McAdam BF</w:t>
      </w:r>
      <w:r w:rsidRPr="00A45C44">
        <w:rPr>
          <w:rFonts w:ascii="Book Antiqua" w:eastAsia="Book Antiqua" w:hAnsi="Book Antiqua" w:cs="Book Antiqua"/>
          <w:color w:val="000000"/>
        </w:rPr>
        <w:t xml:space="preserve">, Catella-Lawson F, Mardini IA, Kapoor S, Lawson JA, FitzGerald GA. Systemic biosynthesis of prostacyclin by cyclooxygenase (COX)-2: the human pharmacology of a selective inhibitor of COX-2. </w:t>
      </w:r>
      <w:r w:rsidRPr="00A45C44">
        <w:rPr>
          <w:rFonts w:ascii="Book Antiqua" w:eastAsia="Book Antiqua" w:hAnsi="Book Antiqua" w:cs="Book Antiqua"/>
          <w:i/>
          <w:iCs/>
          <w:color w:val="000000"/>
        </w:rPr>
        <w:t>Proc Natl Acad Sci USA</w:t>
      </w:r>
      <w:r w:rsidRPr="00A45C44">
        <w:rPr>
          <w:rFonts w:ascii="Book Antiqua" w:eastAsia="Book Antiqua" w:hAnsi="Book Antiqua" w:cs="Book Antiqua"/>
          <w:color w:val="000000"/>
        </w:rPr>
        <w:t xml:space="preserve"> 1999; </w:t>
      </w:r>
      <w:r w:rsidRPr="00A45C44">
        <w:rPr>
          <w:rFonts w:ascii="Book Antiqua" w:eastAsia="Book Antiqua" w:hAnsi="Book Antiqua" w:cs="Book Antiqua"/>
          <w:b/>
          <w:bCs/>
          <w:color w:val="000000"/>
        </w:rPr>
        <w:t>96</w:t>
      </w:r>
      <w:r w:rsidRPr="00A45C44">
        <w:rPr>
          <w:rFonts w:ascii="Book Antiqua" w:eastAsia="Book Antiqua" w:hAnsi="Book Antiqua" w:cs="Book Antiqua"/>
          <w:color w:val="000000"/>
        </w:rPr>
        <w:t>: 272-277 [PMID: 9874808 DOI: 10.1073/pnas.96.1.272]</w:t>
      </w:r>
    </w:p>
    <w:p w14:paraId="3A4A6062"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 xml:space="preserve">40 </w:t>
      </w:r>
      <w:r w:rsidRPr="00A45C44">
        <w:rPr>
          <w:rFonts w:ascii="Book Antiqua" w:eastAsia="Book Antiqua" w:hAnsi="Book Antiqua" w:cs="Book Antiqua"/>
          <w:b/>
          <w:bCs/>
          <w:color w:val="000000"/>
        </w:rPr>
        <w:t>Belknap S</w:t>
      </w:r>
      <w:r w:rsidRPr="00A45C44">
        <w:rPr>
          <w:rFonts w:ascii="Book Antiqua" w:eastAsia="Book Antiqua" w:hAnsi="Book Antiqua" w:cs="Book Antiqua"/>
          <w:color w:val="000000"/>
        </w:rPr>
        <w:t xml:space="preserve">. Review: studies on the cardiovascular effects of selective COX-2 inhibitors show mixed results. </w:t>
      </w:r>
      <w:r w:rsidRPr="00A45C44">
        <w:rPr>
          <w:rFonts w:ascii="Book Antiqua" w:eastAsia="Book Antiqua" w:hAnsi="Book Antiqua" w:cs="Book Antiqua"/>
          <w:i/>
          <w:iCs/>
          <w:color w:val="000000"/>
        </w:rPr>
        <w:t>ACP J Club</w:t>
      </w:r>
      <w:r w:rsidRPr="00A45C44">
        <w:rPr>
          <w:rFonts w:ascii="Book Antiqua" w:eastAsia="Book Antiqua" w:hAnsi="Book Antiqua" w:cs="Book Antiqua"/>
          <w:color w:val="000000"/>
        </w:rPr>
        <w:t xml:space="preserve"> 2002; </w:t>
      </w:r>
      <w:r w:rsidRPr="00A45C44">
        <w:rPr>
          <w:rFonts w:ascii="Book Antiqua" w:eastAsia="Book Antiqua" w:hAnsi="Book Antiqua" w:cs="Book Antiqua"/>
          <w:b/>
          <w:bCs/>
          <w:color w:val="000000"/>
        </w:rPr>
        <w:t>136</w:t>
      </w:r>
      <w:r w:rsidRPr="00A45C44">
        <w:rPr>
          <w:rFonts w:ascii="Book Antiqua" w:eastAsia="Book Antiqua" w:hAnsi="Book Antiqua" w:cs="Book Antiqua"/>
          <w:color w:val="000000"/>
        </w:rPr>
        <w:t>: 53 [PMID: 11874278]</w:t>
      </w:r>
    </w:p>
    <w:p w14:paraId="52605848" w14:textId="77777777" w:rsidR="00A77B3E" w:rsidRPr="00A45C44" w:rsidRDefault="00A77B3E" w:rsidP="00175753">
      <w:pPr>
        <w:spacing w:line="360" w:lineRule="auto"/>
        <w:jc w:val="both"/>
        <w:rPr>
          <w:rFonts w:ascii="Book Antiqua" w:hAnsi="Book Antiqua"/>
        </w:rPr>
        <w:sectPr w:rsidR="00A77B3E" w:rsidRPr="00A45C44" w:rsidSect="004A6995">
          <w:type w:val="continuous"/>
          <w:pgSz w:w="12240" w:h="15840"/>
          <w:pgMar w:top="1440" w:right="1440" w:bottom="1440" w:left="1440" w:header="720" w:footer="720" w:gutter="0"/>
          <w:cols w:space="720"/>
          <w:docGrid w:linePitch="360"/>
        </w:sectPr>
      </w:pPr>
    </w:p>
    <w:p w14:paraId="5527A356" w14:textId="77777777" w:rsidR="0038597C" w:rsidRDefault="0038597C">
      <w:pPr>
        <w:rPr>
          <w:rFonts w:ascii="Book Antiqua" w:eastAsia="Book Antiqua" w:hAnsi="Book Antiqua" w:cs="Book Antiqua"/>
          <w:b/>
          <w:color w:val="000000"/>
        </w:rPr>
      </w:pPr>
      <w:r>
        <w:rPr>
          <w:rFonts w:ascii="Book Antiqua" w:eastAsia="Book Antiqua" w:hAnsi="Book Antiqua" w:cs="Book Antiqua"/>
          <w:b/>
          <w:color w:val="000000"/>
        </w:rPr>
        <w:br w:type="page"/>
      </w:r>
    </w:p>
    <w:p w14:paraId="6CB20AA2" w14:textId="77777777" w:rsidR="00A77B3E" w:rsidRPr="00A45C44" w:rsidRDefault="006667D9" w:rsidP="00682DE0">
      <w:pPr>
        <w:jc w:val="both"/>
        <w:rPr>
          <w:rFonts w:ascii="Book Antiqua" w:hAnsi="Book Antiqua"/>
        </w:rPr>
      </w:pPr>
      <w:r w:rsidRPr="00A45C44">
        <w:rPr>
          <w:rFonts w:ascii="Book Antiqua" w:eastAsia="Book Antiqua" w:hAnsi="Book Antiqua" w:cs="Book Antiqua"/>
          <w:b/>
          <w:color w:val="000000"/>
        </w:rPr>
        <w:t>Footnotes</w:t>
      </w:r>
    </w:p>
    <w:p w14:paraId="054ED461" w14:textId="77777777" w:rsidR="00A77B3E" w:rsidRPr="00A45C44" w:rsidRDefault="006667D9" w:rsidP="00A45C44">
      <w:pPr>
        <w:spacing w:line="360" w:lineRule="auto"/>
        <w:jc w:val="both"/>
        <w:rPr>
          <w:rFonts w:ascii="Book Antiqua" w:hAnsi="Book Antiqua"/>
        </w:rPr>
      </w:pPr>
      <w:r w:rsidRPr="00A45C44">
        <w:rPr>
          <w:rFonts w:ascii="Book Antiqua" w:eastAsia="Book Antiqua" w:hAnsi="Book Antiqua" w:cs="Book Antiqua"/>
          <w:b/>
          <w:bCs/>
          <w:color w:val="000000"/>
        </w:rPr>
        <w:t xml:space="preserve">Conflict-of-interest statement: </w:t>
      </w:r>
      <w:r w:rsidRPr="00A45C44">
        <w:rPr>
          <w:rFonts w:ascii="Book Antiqua" w:eastAsia="Book Antiqua" w:hAnsi="Book Antiqua" w:cs="Book Antiqua"/>
          <w:color w:val="000000"/>
        </w:rPr>
        <w:t>The authors have declared that no conflict-of-interest exist.</w:t>
      </w:r>
    </w:p>
    <w:p w14:paraId="3C363387" w14:textId="77777777" w:rsidR="00A77B3E" w:rsidRPr="00A45C44" w:rsidRDefault="00A77B3E" w:rsidP="000A52F5">
      <w:pPr>
        <w:spacing w:line="360" w:lineRule="auto"/>
        <w:jc w:val="both"/>
        <w:rPr>
          <w:rFonts w:ascii="Book Antiqua" w:hAnsi="Book Antiqua"/>
        </w:rPr>
      </w:pPr>
    </w:p>
    <w:p w14:paraId="066394EB"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bCs/>
          <w:color w:val="000000"/>
        </w:rPr>
        <w:t xml:space="preserve">PRISMA 2009 Checklist statement: </w:t>
      </w:r>
      <w:r w:rsidR="003631F4" w:rsidRPr="00A45C44">
        <w:rPr>
          <w:rFonts w:ascii="Book Antiqua" w:hAnsi="Book Antiqua"/>
        </w:rPr>
        <w:t>The authors have read the PRISMA 2009 Checklist, and the manuscript was prepared and revised according to the PRISMA 2009 Checklist.</w:t>
      </w:r>
    </w:p>
    <w:p w14:paraId="3554AACD" w14:textId="77777777" w:rsidR="00A77B3E" w:rsidRPr="00A45C44" w:rsidRDefault="00A77B3E" w:rsidP="00175753">
      <w:pPr>
        <w:spacing w:line="360" w:lineRule="auto"/>
        <w:jc w:val="both"/>
        <w:rPr>
          <w:rFonts w:ascii="Book Antiqua" w:hAnsi="Book Antiqua"/>
        </w:rPr>
      </w:pPr>
    </w:p>
    <w:p w14:paraId="0C29537E"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bCs/>
          <w:color w:val="000000"/>
        </w:rPr>
        <w:t xml:space="preserve">Open-Access: </w:t>
      </w:r>
      <w:r w:rsidRPr="00A45C4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874B429" w14:textId="77777777" w:rsidR="00A77B3E" w:rsidRPr="00A45C44" w:rsidRDefault="00A77B3E" w:rsidP="00175753">
      <w:pPr>
        <w:spacing w:line="360" w:lineRule="auto"/>
        <w:jc w:val="both"/>
        <w:rPr>
          <w:rFonts w:ascii="Book Antiqua" w:hAnsi="Book Antiqua"/>
        </w:rPr>
      </w:pPr>
    </w:p>
    <w:p w14:paraId="203042E4"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 xml:space="preserve">Manuscript source: </w:t>
      </w:r>
      <w:r w:rsidRPr="00A45C44">
        <w:rPr>
          <w:rFonts w:ascii="Book Antiqua" w:eastAsia="Book Antiqua" w:hAnsi="Book Antiqua" w:cs="Book Antiqua"/>
          <w:color w:val="000000"/>
        </w:rPr>
        <w:t xml:space="preserve">Unsolicited </w:t>
      </w:r>
      <w:r w:rsidR="003631F4" w:rsidRPr="00A45C44">
        <w:rPr>
          <w:rFonts w:ascii="Book Antiqua" w:eastAsia="Book Antiqua" w:hAnsi="Book Antiqua" w:cs="Book Antiqua"/>
          <w:color w:val="000000"/>
        </w:rPr>
        <w:t>m</w:t>
      </w:r>
      <w:r w:rsidRPr="00A45C44">
        <w:rPr>
          <w:rFonts w:ascii="Book Antiqua" w:eastAsia="Book Antiqua" w:hAnsi="Book Antiqua" w:cs="Book Antiqua"/>
          <w:color w:val="000000"/>
        </w:rPr>
        <w:t>anuscript</w:t>
      </w:r>
    </w:p>
    <w:p w14:paraId="7682EEEE" w14:textId="77777777" w:rsidR="00A77B3E" w:rsidRPr="00A45C44" w:rsidRDefault="00A77B3E" w:rsidP="00175753">
      <w:pPr>
        <w:spacing w:line="360" w:lineRule="auto"/>
        <w:jc w:val="both"/>
        <w:rPr>
          <w:rFonts w:ascii="Book Antiqua" w:hAnsi="Book Antiqua"/>
        </w:rPr>
      </w:pPr>
    </w:p>
    <w:p w14:paraId="181512F4"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 xml:space="preserve">Peer-review started: </w:t>
      </w:r>
      <w:r w:rsidRPr="00A45C44">
        <w:rPr>
          <w:rFonts w:ascii="Book Antiqua" w:eastAsia="Book Antiqua" w:hAnsi="Book Antiqua" w:cs="Book Antiqua"/>
          <w:color w:val="000000"/>
        </w:rPr>
        <w:t>July 1</w:t>
      </w:r>
      <w:r w:rsidR="00796C9B">
        <w:rPr>
          <w:rFonts w:ascii="Book Antiqua" w:eastAsia="Book Antiqua" w:hAnsi="Book Antiqua" w:cs="Book Antiqua"/>
          <w:color w:val="000000"/>
        </w:rPr>
        <w:t>5</w:t>
      </w:r>
      <w:r w:rsidRPr="00A45C44">
        <w:rPr>
          <w:rFonts w:ascii="Book Antiqua" w:eastAsia="Book Antiqua" w:hAnsi="Book Antiqua" w:cs="Book Antiqua"/>
          <w:color w:val="000000"/>
        </w:rPr>
        <w:t>, 2020</w:t>
      </w:r>
    </w:p>
    <w:p w14:paraId="7B84E318"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 xml:space="preserve">First decision: </w:t>
      </w:r>
      <w:r w:rsidRPr="00A45C44">
        <w:rPr>
          <w:rFonts w:ascii="Book Antiqua" w:eastAsia="Book Antiqua" w:hAnsi="Book Antiqua" w:cs="Book Antiqua"/>
          <w:color w:val="000000"/>
        </w:rPr>
        <w:t>September 29, 2020</w:t>
      </w:r>
    </w:p>
    <w:p w14:paraId="3409025C"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 xml:space="preserve">Article in press: </w:t>
      </w:r>
      <w:r w:rsidR="005406D1" w:rsidRPr="00A45C44">
        <w:rPr>
          <w:rFonts w:ascii="Book Antiqua" w:eastAsia="Book Antiqua" w:hAnsi="Book Antiqua" w:cs="Book Antiqua"/>
          <w:color w:val="000000"/>
        </w:rPr>
        <w:t>November 9, 2020</w:t>
      </w:r>
    </w:p>
    <w:p w14:paraId="58AC59F6" w14:textId="77777777" w:rsidR="00A77B3E" w:rsidRPr="00A45C44" w:rsidRDefault="00A77B3E" w:rsidP="00175753">
      <w:pPr>
        <w:spacing w:line="360" w:lineRule="auto"/>
        <w:jc w:val="both"/>
        <w:rPr>
          <w:rFonts w:ascii="Book Antiqua" w:hAnsi="Book Antiqua"/>
        </w:rPr>
      </w:pPr>
    </w:p>
    <w:p w14:paraId="67042AB3"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 xml:space="preserve">Specialty type: </w:t>
      </w:r>
      <w:r w:rsidR="00FB3A77" w:rsidRPr="00A45C44">
        <w:rPr>
          <w:rFonts w:ascii="Book Antiqua" w:eastAsia="Book Antiqua" w:hAnsi="Book Antiqua" w:cs="Book Antiqua"/>
          <w:color w:val="000000"/>
        </w:rPr>
        <w:t>Medicine, research and experimental</w:t>
      </w:r>
    </w:p>
    <w:p w14:paraId="25E70A4B"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 xml:space="preserve">Country/Territory of origin: </w:t>
      </w:r>
      <w:r w:rsidRPr="00A45C44">
        <w:rPr>
          <w:rFonts w:ascii="Book Antiqua" w:eastAsia="Book Antiqua" w:hAnsi="Book Antiqua" w:cs="Book Antiqua"/>
          <w:color w:val="000000"/>
        </w:rPr>
        <w:t>China</w:t>
      </w:r>
    </w:p>
    <w:p w14:paraId="2B829CFD"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Peer-review report’s scientific quality classification</w:t>
      </w:r>
    </w:p>
    <w:p w14:paraId="4CCD6329"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Grade A (Excellent): A</w:t>
      </w:r>
    </w:p>
    <w:p w14:paraId="7E620025"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Grade B (Very good): 0</w:t>
      </w:r>
    </w:p>
    <w:p w14:paraId="10AC8CFF"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Grade C (Good): 0</w:t>
      </w:r>
    </w:p>
    <w:p w14:paraId="46A9C85C"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Grade D (Fair): 0</w:t>
      </w:r>
    </w:p>
    <w:p w14:paraId="7A785453"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color w:val="000000"/>
        </w:rPr>
        <w:t>Grade E (Poor): 0</w:t>
      </w:r>
    </w:p>
    <w:p w14:paraId="7547EB5C" w14:textId="77777777" w:rsidR="00A77B3E" w:rsidRPr="00A45C44" w:rsidRDefault="00A77B3E" w:rsidP="00175753">
      <w:pPr>
        <w:spacing w:line="360" w:lineRule="auto"/>
        <w:jc w:val="both"/>
        <w:rPr>
          <w:rFonts w:ascii="Book Antiqua" w:hAnsi="Book Antiqua"/>
        </w:rPr>
      </w:pPr>
    </w:p>
    <w:p w14:paraId="631D2853" w14:textId="77777777" w:rsidR="00A77B3E" w:rsidRPr="005406D1" w:rsidRDefault="006667D9" w:rsidP="00175753">
      <w:pPr>
        <w:spacing w:line="360" w:lineRule="auto"/>
        <w:jc w:val="both"/>
        <w:rPr>
          <w:rFonts w:ascii="Book Antiqua" w:eastAsia="Book Antiqua" w:hAnsi="Book Antiqua" w:cs="Book Antiqua"/>
          <w:bCs/>
          <w:color w:val="000000"/>
        </w:rPr>
      </w:pPr>
      <w:r w:rsidRPr="00A45C44">
        <w:rPr>
          <w:rFonts w:ascii="Book Antiqua" w:eastAsia="Book Antiqua" w:hAnsi="Book Antiqua" w:cs="Book Antiqua"/>
          <w:b/>
          <w:color w:val="000000"/>
        </w:rPr>
        <w:t xml:space="preserve">P-Reviewer: </w:t>
      </w:r>
      <w:r w:rsidRPr="00A45C44">
        <w:rPr>
          <w:rFonts w:ascii="Book Antiqua" w:eastAsia="Book Antiqua" w:hAnsi="Book Antiqua" w:cs="Book Antiqua"/>
          <w:color w:val="000000"/>
        </w:rPr>
        <w:t>Ampollini L</w:t>
      </w:r>
      <w:r w:rsidRPr="00A45C44">
        <w:rPr>
          <w:rFonts w:ascii="Book Antiqua" w:eastAsia="Book Antiqua" w:hAnsi="Book Antiqua" w:cs="Book Antiqua"/>
          <w:b/>
          <w:color w:val="000000"/>
        </w:rPr>
        <w:t xml:space="preserve"> S-Editor: </w:t>
      </w:r>
      <w:r w:rsidRPr="00A45C44">
        <w:rPr>
          <w:rFonts w:ascii="Book Antiqua" w:eastAsia="Book Antiqua" w:hAnsi="Book Antiqua" w:cs="Book Antiqua"/>
          <w:color w:val="000000"/>
        </w:rPr>
        <w:t>Huang P</w:t>
      </w:r>
      <w:r w:rsidRPr="00A45C44">
        <w:rPr>
          <w:rFonts w:ascii="Book Antiqua" w:eastAsia="Book Antiqua" w:hAnsi="Book Antiqua" w:cs="Book Antiqua"/>
          <w:b/>
          <w:color w:val="000000"/>
        </w:rPr>
        <w:t xml:space="preserve"> L-Editor: </w:t>
      </w:r>
      <w:r w:rsidR="00733BD7" w:rsidRPr="00A45C44">
        <w:rPr>
          <w:rFonts w:ascii="Book Antiqua" w:eastAsia="Book Antiqua" w:hAnsi="Book Antiqua" w:cs="Book Antiqua"/>
          <w:bCs/>
          <w:color w:val="000000"/>
        </w:rPr>
        <w:t>Filipodia</w:t>
      </w:r>
      <w:r w:rsidRPr="00A45C44">
        <w:rPr>
          <w:rFonts w:ascii="Book Antiqua" w:eastAsia="Book Antiqua" w:hAnsi="Book Antiqua" w:cs="Book Antiqua"/>
          <w:b/>
          <w:color w:val="000000"/>
        </w:rPr>
        <w:t xml:space="preserve"> P-Editor: </w:t>
      </w:r>
      <w:bookmarkStart w:id="2" w:name="_Hlk59736949"/>
      <w:r w:rsidR="005406D1">
        <w:rPr>
          <w:rFonts w:ascii="Book Antiqua" w:eastAsia="Book Antiqua" w:hAnsi="Book Antiqua" w:cs="Book Antiqua"/>
          <w:bCs/>
          <w:color w:val="000000"/>
        </w:rPr>
        <w:t>Wang LYT</w:t>
      </w:r>
      <w:bookmarkEnd w:id="2"/>
    </w:p>
    <w:p w14:paraId="70A0D463" w14:textId="77777777" w:rsidR="00677B6A" w:rsidRPr="00A45C44" w:rsidRDefault="00677B6A" w:rsidP="00175753">
      <w:pPr>
        <w:spacing w:line="360" w:lineRule="auto"/>
        <w:jc w:val="both"/>
        <w:rPr>
          <w:rFonts w:ascii="Book Antiqua" w:hAnsi="Book Antiqua"/>
        </w:rPr>
        <w:sectPr w:rsidR="00677B6A" w:rsidRPr="00A45C44" w:rsidSect="004A6995">
          <w:type w:val="continuous"/>
          <w:pgSz w:w="12240" w:h="15840"/>
          <w:pgMar w:top="1440" w:right="1440" w:bottom="1440" w:left="1440" w:header="720" w:footer="720" w:gutter="0"/>
          <w:cols w:space="720"/>
          <w:docGrid w:linePitch="360"/>
        </w:sectPr>
      </w:pPr>
    </w:p>
    <w:p w14:paraId="6500CACE" w14:textId="77777777" w:rsidR="00A77B3E" w:rsidRPr="00A45C44" w:rsidRDefault="006667D9" w:rsidP="00175753">
      <w:pPr>
        <w:spacing w:line="360" w:lineRule="auto"/>
        <w:jc w:val="both"/>
        <w:rPr>
          <w:rFonts w:ascii="Book Antiqua" w:hAnsi="Book Antiqua"/>
        </w:rPr>
      </w:pPr>
      <w:r w:rsidRPr="00A45C44">
        <w:rPr>
          <w:rFonts w:ascii="Book Antiqua" w:eastAsia="Book Antiqua" w:hAnsi="Book Antiqua" w:cs="Book Antiqua"/>
          <w:b/>
          <w:color w:val="000000"/>
        </w:rPr>
        <w:t>Figure Legends</w:t>
      </w:r>
    </w:p>
    <w:p w14:paraId="6A712FF4" w14:textId="77777777" w:rsidR="00A77B3E" w:rsidRPr="00682DE0" w:rsidRDefault="00972520" w:rsidP="00175753">
      <w:pPr>
        <w:spacing w:line="360" w:lineRule="auto"/>
        <w:jc w:val="both"/>
        <w:rPr>
          <w:rFonts w:ascii="Book Antiqua" w:hAnsi="Book Antiqua"/>
          <w:color w:val="000000" w:themeColor="text1"/>
        </w:rPr>
      </w:pPr>
      <w:r w:rsidRPr="00682DE0">
        <w:rPr>
          <w:rFonts w:ascii="Book Antiqua" w:hAnsi="Book Antiqua"/>
          <w:noProof/>
          <w:color w:val="000000" w:themeColor="text1"/>
          <w:lang w:eastAsia="zh-CN"/>
        </w:rPr>
        <w:drawing>
          <wp:inline distT="0" distB="0" distL="0" distR="0" wp14:anchorId="6DA95283" wp14:editId="13CF4FFF">
            <wp:extent cx="5425440" cy="445948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2350" cy="4473386"/>
                    </a:xfrm>
                    <a:prstGeom prst="rect">
                      <a:avLst/>
                    </a:prstGeom>
                  </pic:spPr>
                </pic:pic>
              </a:graphicData>
            </a:graphic>
          </wp:inline>
        </w:drawing>
      </w:r>
    </w:p>
    <w:p w14:paraId="13498BCB" w14:textId="77777777" w:rsidR="00AB2503" w:rsidRPr="00682DE0" w:rsidRDefault="00AB2503"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 xml:space="preserve">Figure 1 </w:t>
      </w:r>
      <w:r w:rsidR="00825F25" w:rsidRPr="00682DE0">
        <w:rPr>
          <w:rFonts w:ascii="Book Antiqua" w:hAnsi="Book Antiqua"/>
          <w:b/>
          <w:bCs/>
          <w:color w:val="000000" w:themeColor="text1"/>
        </w:rPr>
        <w:t>Summary of trial identification and selection</w:t>
      </w:r>
      <w:r w:rsidRPr="00682DE0">
        <w:rPr>
          <w:rFonts w:ascii="Book Antiqua" w:hAnsi="Book Antiqua"/>
          <w:b/>
          <w:bCs/>
          <w:color w:val="000000" w:themeColor="text1"/>
        </w:rPr>
        <w:t>.</w:t>
      </w:r>
    </w:p>
    <w:p w14:paraId="0784B0A8" w14:textId="77777777" w:rsidR="00953879" w:rsidRPr="00682DE0" w:rsidRDefault="00953879"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br w:type="page"/>
      </w:r>
      <w:r w:rsidR="00FD2CC3" w:rsidRPr="00682DE0">
        <w:rPr>
          <w:rFonts w:ascii="Book Antiqua" w:hAnsi="Book Antiqua"/>
          <w:b/>
          <w:bCs/>
          <w:noProof/>
          <w:color w:val="000000" w:themeColor="text1"/>
          <w:lang w:eastAsia="zh-CN"/>
        </w:rPr>
        <w:drawing>
          <wp:inline distT="0" distB="0" distL="0" distR="0" wp14:anchorId="133CAC67" wp14:editId="19AE98D4">
            <wp:extent cx="4084320" cy="717499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4320" cy="7174992"/>
                    </a:xfrm>
                    <a:prstGeom prst="rect">
                      <a:avLst/>
                    </a:prstGeom>
                  </pic:spPr>
                </pic:pic>
              </a:graphicData>
            </a:graphic>
          </wp:inline>
        </w:drawing>
      </w:r>
    </w:p>
    <w:p w14:paraId="0879E292" w14:textId="77777777" w:rsidR="0042385A" w:rsidRPr="00682DE0" w:rsidRDefault="0042385A"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 xml:space="preserve">Figure 2 </w:t>
      </w:r>
      <w:r w:rsidR="00825F25" w:rsidRPr="00682DE0">
        <w:rPr>
          <w:rFonts w:ascii="Book Antiqua" w:hAnsi="Book Antiqua"/>
          <w:b/>
          <w:bCs/>
          <w:color w:val="000000" w:themeColor="text1"/>
        </w:rPr>
        <w:t>Subgroup analyses of forest plot for overall survival</w:t>
      </w:r>
      <w:r w:rsidR="000E7B34" w:rsidRPr="00682DE0">
        <w:rPr>
          <w:rFonts w:ascii="Book Antiqua" w:hAnsi="Book Antiqua"/>
          <w:b/>
          <w:bCs/>
          <w:color w:val="000000" w:themeColor="text1"/>
        </w:rPr>
        <w:t>.</w:t>
      </w:r>
    </w:p>
    <w:p w14:paraId="46F59DBB" w14:textId="77777777" w:rsidR="0042385A" w:rsidRPr="00682DE0" w:rsidRDefault="0042385A" w:rsidP="00175753">
      <w:pPr>
        <w:spacing w:line="360" w:lineRule="auto"/>
        <w:jc w:val="both"/>
        <w:rPr>
          <w:rFonts w:ascii="Book Antiqua" w:hAnsi="Book Antiqua"/>
          <w:color w:val="000000" w:themeColor="text1"/>
        </w:rPr>
      </w:pPr>
      <w:r w:rsidRPr="00682DE0">
        <w:rPr>
          <w:rFonts w:ascii="Book Antiqua" w:hAnsi="Book Antiqua"/>
          <w:color w:val="000000" w:themeColor="text1"/>
        </w:rPr>
        <w:br w:type="page"/>
      </w:r>
      <w:r w:rsidR="00FD2CC3" w:rsidRPr="00682DE0">
        <w:rPr>
          <w:rFonts w:ascii="Book Antiqua" w:hAnsi="Book Antiqua"/>
          <w:noProof/>
          <w:color w:val="000000" w:themeColor="text1"/>
          <w:lang w:eastAsia="zh-CN"/>
        </w:rPr>
        <w:drawing>
          <wp:inline distT="0" distB="0" distL="0" distR="0" wp14:anchorId="5A29B356" wp14:editId="0CD1DE89">
            <wp:extent cx="4181856" cy="715060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1856" cy="7150608"/>
                    </a:xfrm>
                    <a:prstGeom prst="rect">
                      <a:avLst/>
                    </a:prstGeom>
                  </pic:spPr>
                </pic:pic>
              </a:graphicData>
            </a:graphic>
          </wp:inline>
        </w:drawing>
      </w:r>
    </w:p>
    <w:p w14:paraId="57B0EC98" w14:textId="77777777" w:rsidR="00825F25" w:rsidRPr="00682DE0" w:rsidRDefault="00825F25"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Figure 3 Subgroup analyses of forest plot for progression</w:t>
      </w:r>
      <w:r w:rsidR="001075F9" w:rsidRPr="00682DE0">
        <w:rPr>
          <w:rFonts w:ascii="Book Antiqua" w:hAnsi="Book Antiqua"/>
          <w:b/>
          <w:bCs/>
          <w:color w:val="000000" w:themeColor="text1"/>
        </w:rPr>
        <w:t xml:space="preserve"> </w:t>
      </w:r>
      <w:r w:rsidRPr="00682DE0">
        <w:rPr>
          <w:rFonts w:ascii="Book Antiqua" w:hAnsi="Book Antiqua"/>
          <w:b/>
          <w:bCs/>
          <w:color w:val="000000" w:themeColor="text1"/>
        </w:rPr>
        <w:t>free survival.</w:t>
      </w:r>
    </w:p>
    <w:p w14:paraId="39715F02" w14:textId="77777777" w:rsidR="00825F25" w:rsidRPr="000A52F5" w:rsidRDefault="00825F25" w:rsidP="00175753">
      <w:pPr>
        <w:spacing w:line="360" w:lineRule="auto"/>
        <w:jc w:val="both"/>
        <w:rPr>
          <w:rFonts w:ascii="Book Antiqua" w:hAnsi="Book Antiqua"/>
          <w:b/>
          <w:bCs/>
        </w:rPr>
      </w:pPr>
      <w:r w:rsidRPr="00682DE0">
        <w:rPr>
          <w:rFonts w:ascii="Book Antiqua" w:hAnsi="Book Antiqua"/>
          <w:b/>
          <w:bCs/>
          <w:color w:val="000000" w:themeColor="text1"/>
        </w:rPr>
        <w:br w:type="page"/>
      </w:r>
      <w:r w:rsidR="00FD2CC3" w:rsidRPr="00682DE0">
        <w:rPr>
          <w:rFonts w:ascii="Book Antiqua" w:hAnsi="Book Antiqua"/>
          <w:b/>
          <w:bCs/>
          <w:noProof/>
          <w:color w:val="000000" w:themeColor="text1"/>
          <w:lang w:eastAsia="zh-CN"/>
        </w:rPr>
        <w:drawing>
          <wp:inline distT="0" distB="0" distL="0" distR="0" wp14:anchorId="6A52DDA5" wp14:editId="080E05C5">
            <wp:extent cx="4072128" cy="715060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2128" cy="7150608"/>
                    </a:xfrm>
                    <a:prstGeom prst="rect">
                      <a:avLst/>
                    </a:prstGeom>
                  </pic:spPr>
                </pic:pic>
              </a:graphicData>
            </a:graphic>
          </wp:inline>
        </w:drawing>
      </w:r>
    </w:p>
    <w:p w14:paraId="4D5696C2" w14:textId="77777777" w:rsidR="000F4A8B" w:rsidRPr="000A52F5" w:rsidRDefault="00652326" w:rsidP="000A52F5">
      <w:pPr>
        <w:spacing w:line="360" w:lineRule="auto"/>
        <w:jc w:val="both"/>
        <w:rPr>
          <w:rFonts w:ascii="Book Antiqua" w:hAnsi="Book Antiqua"/>
          <w:b/>
          <w:bCs/>
        </w:rPr>
      </w:pPr>
      <w:r w:rsidRPr="000A52F5">
        <w:rPr>
          <w:rFonts w:ascii="Book Antiqua" w:hAnsi="Book Antiqua"/>
          <w:b/>
          <w:bCs/>
        </w:rPr>
        <w:t>Figure 4 Subgroup analyses of forest plot for 1-year survival rate</w:t>
      </w:r>
      <w:r w:rsidR="000F4A8B" w:rsidRPr="000A52F5">
        <w:rPr>
          <w:rFonts w:ascii="Book Antiqua" w:hAnsi="Book Antiqua"/>
          <w:b/>
          <w:bCs/>
        </w:rPr>
        <w:t>.</w:t>
      </w:r>
    </w:p>
    <w:p w14:paraId="0DE271D0" w14:textId="77777777" w:rsidR="00652326" w:rsidRPr="00682DE0" w:rsidRDefault="000F4A8B" w:rsidP="000A52F5">
      <w:pPr>
        <w:spacing w:line="360" w:lineRule="auto"/>
        <w:jc w:val="both"/>
        <w:rPr>
          <w:rFonts w:ascii="Book Antiqua" w:hAnsi="Book Antiqua"/>
          <w:b/>
          <w:bCs/>
          <w:color w:val="000000" w:themeColor="text1"/>
        </w:rPr>
      </w:pPr>
      <w:r w:rsidRPr="000A52F5">
        <w:rPr>
          <w:rFonts w:ascii="Book Antiqua" w:hAnsi="Book Antiqua"/>
          <w:b/>
          <w:bCs/>
        </w:rPr>
        <w:br w:type="page"/>
      </w:r>
      <w:r w:rsidR="00FD2CC3" w:rsidRPr="00682DE0">
        <w:rPr>
          <w:rFonts w:ascii="Book Antiqua" w:hAnsi="Book Antiqua"/>
          <w:b/>
          <w:bCs/>
          <w:noProof/>
          <w:color w:val="000000" w:themeColor="text1"/>
          <w:lang w:eastAsia="zh-CN"/>
        </w:rPr>
        <w:drawing>
          <wp:inline distT="0" distB="0" distL="0" distR="0" wp14:anchorId="1D000F97" wp14:editId="2662D01A">
            <wp:extent cx="4053840" cy="693724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53840" cy="6937248"/>
                    </a:xfrm>
                    <a:prstGeom prst="rect">
                      <a:avLst/>
                    </a:prstGeom>
                  </pic:spPr>
                </pic:pic>
              </a:graphicData>
            </a:graphic>
          </wp:inline>
        </w:drawing>
      </w:r>
    </w:p>
    <w:p w14:paraId="4334EA2A" w14:textId="77777777" w:rsidR="00F87952" w:rsidRPr="00682DE0" w:rsidRDefault="00F87952"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Figure 5 Subgroup analyses of forest plot for overall response rate.</w:t>
      </w:r>
    </w:p>
    <w:p w14:paraId="60083089" w14:textId="77777777" w:rsidR="00F87952" w:rsidRPr="00682DE0" w:rsidRDefault="00F87952"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br w:type="page"/>
      </w:r>
      <w:r w:rsidR="00C65D6E" w:rsidRPr="00682DE0">
        <w:rPr>
          <w:rFonts w:ascii="Book Antiqua" w:hAnsi="Book Antiqua"/>
          <w:b/>
          <w:bCs/>
          <w:noProof/>
          <w:color w:val="000000" w:themeColor="text1"/>
          <w:lang w:eastAsia="zh-CN"/>
        </w:rPr>
        <w:drawing>
          <wp:inline distT="0" distB="0" distL="0" distR="0" wp14:anchorId="37D62A6C" wp14:editId="2E2634D2">
            <wp:extent cx="3663696" cy="699211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63696" cy="6992112"/>
                    </a:xfrm>
                    <a:prstGeom prst="rect">
                      <a:avLst/>
                    </a:prstGeom>
                  </pic:spPr>
                </pic:pic>
              </a:graphicData>
            </a:graphic>
          </wp:inline>
        </w:drawing>
      </w:r>
    </w:p>
    <w:p w14:paraId="353AEB76" w14:textId="77777777" w:rsidR="007E2D34" w:rsidRPr="00682DE0" w:rsidRDefault="007E2D34"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Figure 6 Subgroup analyses of forest plot for clinical benefit.</w:t>
      </w:r>
    </w:p>
    <w:p w14:paraId="3067D2BA" w14:textId="77777777" w:rsidR="007E2D34" w:rsidRPr="00682DE0" w:rsidRDefault="007E2D34"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br w:type="page"/>
      </w:r>
      <w:r w:rsidR="00C65D6E" w:rsidRPr="00682DE0">
        <w:rPr>
          <w:rFonts w:ascii="Book Antiqua" w:hAnsi="Book Antiqua"/>
          <w:b/>
          <w:bCs/>
          <w:noProof/>
          <w:color w:val="000000" w:themeColor="text1"/>
          <w:lang w:eastAsia="zh-CN"/>
        </w:rPr>
        <w:drawing>
          <wp:inline distT="0" distB="0" distL="0" distR="0" wp14:anchorId="0AC52FFD" wp14:editId="49CEAC44">
            <wp:extent cx="3877056" cy="687628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7056" cy="6876288"/>
                    </a:xfrm>
                    <a:prstGeom prst="rect">
                      <a:avLst/>
                    </a:prstGeom>
                  </pic:spPr>
                </pic:pic>
              </a:graphicData>
            </a:graphic>
          </wp:inline>
        </w:drawing>
      </w:r>
    </w:p>
    <w:p w14:paraId="1A0C00A4" w14:textId="77777777" w:rsidR="0041484A" w:rsidRPr="00682DE0" w:rsidRDefault="0041484A"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Figure 7 Subgroup analyses of forest plot for complete response.</w:t>
      </w:r>
    </w:p>
    <w:p w14:paraId="5981499A" w14:textId="77777777" w:rsidR="00CA7354" w:rsidRPr="00682DE0" w:rsidRDefault="0041484A" w:rsidP="00E3010C">
      <w:pPr>
        <w:spacing w:line="360" w:lineRule="auto"/>
        <w:jc w:val="both"/>
        <w:rPr>
          <w:rFonts w:ascii="Book Antiqua" w:hAnsi="Book Antiqua"/>
          <w:b/>
          <w:bCs/>
          <w:color w:val="000000" w:themeColor="text1"/>
        </w:rPr>
      </w:pPr>
      <w:r w:rsidRPr="00682DE0">
        <w:rPr>
          <w:rFonts w:ascii="Book Antiqua" w:hAnsi="Book Antiqua"/>
          <w:b/>
          <w:bCs/>
          <w:color w:val="000000" w:themeColor="text1"/>
        </w:rPr>
        <w:br w:type="page"/>
      </w:r>
    </w:p>
    <w:p w14:paraId="4FF1715C" w14:textId="77777777" w:rsidR="00E3010C" w:rsidRDefault="00DC7D24" w:rsidP="00175753">
      <w:pPr>
        <w:spacing w:line="360" w:lineRule="auto"/>
        <w:jc w:val="both"/>
        <w:rPr>
          <w:rFonts w:ascii="Book Antiqua" w:hAnsi="Book Antiqua"/>
          <w:b/>
          <w:bCs/>
          <w:color w:val="000000" w:themeColor="text1"/>
        </w:rPr>
      </w:pPr>
      <w:r>
        <w:rPr>
          <w:rFonts w:ascii="Book Antiqua" w:hAnsi="Book Antiqua"/>
          <w:b/>
          <w:bCs/>
          <w:noProof/>
          <w:color w:val="000000" w:themeColor="text1"/>
        </w:rPr>
      </w:r>
      <w:r>
        <w:rPr>
          <w:rFonts w:ascii="Book Antiqua" w:hAnsi="Book Antiqua"/>
          <w:b/>
          <w:bCs/>
          <w:noProof/>
          <w:color w:val="000000" w:themeColor="text1"/>
        </w:rPr>
        <w:pict w14:anchorId="3912619E">
          <v:group id="组合 10" o:spid="_x0000_s1026" style="width:298.75pt;height:548.3pt;mso-position-horizontal-relative:char;mso-position-vertical-relative:line" coordorigin="3348,367" coordsize="41149,76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 o:spid="_x0000_s1027" type="#_x0000_t75" style="position:absolute;left:3454;top:367;width:40324;height:26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">
              <v:imagedata r:id="rId15" o:title=""/>
            </v:shape>
            <v:shape id="图片 19" o:spid="_x0000_s1028" type="#_x0000_t75" style="position:absolute;left:3364;top:27120;width:41134;height:22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">
              <v:imagedata r:id="rId16" o:title=""/>
            </v:shape>
            <v:shape id="图片 20" o:spid="_x0000_s1029" type="#_x0000_t75" style="position:absolute;left:3348;top:49796;width:41135;height:26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">
              <v:imagedata r:id="rId17" o:title=""/>
            </v:shape>
            <w10:wrap type="none"/>
            <w10:anchorlock/>
          </v:group>
        </w:pict>
      </w:r>
    </w:p>
    <w:p w14:paraId="7C96BD25" w14:textId="77777777" w:rsidR="00FD2CC3" w:rsidRPr="00682DE0" w:rsidRDefault="00FD2CC3"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Figure 8 Subgroup analyses of forest plot for partial response.</w:t>
      </w:r>
    </w:p>
    <w:p w14:paraId="3DE335C5" w14:textId="77777777" w:rsidR="00FD2CC3" w:rsidRPr="00682DE0" w:rsidRDefault="00FD2CC3"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br w:type="page"/>
      </w:r>
      <w:r w:rsidR="00AA6CAF" w:rsidRPr="00682DE0">
        <w:rPr>
          <w:rFonts w:ascii="Book Antiqua" w:hAnsi="Book Antiqua"/>
          <w:b/>
          <w:bCs/>
          <w:noProof/>
          <w:color w:val="000000" w:themeColor="text1"/>
          <w:lang w:eastAsia="zh-CN"/>
        </w:rPr>
        <w:drawing>
          <wp:inline distT="0" distB="0" distL="0" distR="0" wp14:anchorId="1137CA62" wp14:editId="245BDF3B">
            <wp:extent cx="3850131" cy="732282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55961" cy="7333909"/>
                    </a:xfrm>
                    <a:prstGeom prst="rect">
                      <a:avLst/>
                    </a:prstGeom>
                  </pic:spPr>
                </pic:pic>
              </a:graphicData>
            </a:graphic>
          </wp:inline>
        </w:drawing>
      </w:r>
    </w:p>
    <w:p w14:paraId="50928DD3" w14:textId="77777777" w:rsidR="00AA6CAF" w:rsidRPr="00682DE0" w:rsidRDefault="00AA6CAF"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Figure 9 Subgroup analyses of forest plot for stable disease.</w:t>
      </w:r>
    </w:p>
    <w:p w14:paraId="2157A787" w14:textId="77777777" w:rsidR="0042385A" w:rsidRPr="00682DE0" w:rsidRDefault="0042385A" w:rsidP="00175753">
      <w:pPr>
        <w:spacing w:line="360" w:lineRule="auto"/>
        <w:jc w:val="both"/>
        <w:rPr>
          <w:rFonts w:ascii="Book Antiqua" w:hAnsi="Book Antiqua"/>
          <w:b/>
          <w:bCs/>
          <w:color w:val="000000" w:themeColor="text1"/>
        </w:rPr>
      </w:pPr>
    </w:p>
    <w:p w14:paraId="3AC2B1A5" w14:textId="77777777" w:rsidR="0042385A" w:rsidRPr="00682DE0" w:rsidRDefault="0042385A" w:rsidP="00175753">
      <w:pPr>
        <w:spacing w:line="360" w:lineRule="auto"/>
        <w:jc w:val="both"/>
        <w:rPr>
          <w:rFonts w:ascii="Book Antiqua" w:hAnsi="Book Antiqua"/>
          <w:b/>
          <w:bCs/>
          <w:color w:val="000000" w:themeColor="text1"/>
        </w:rPr>
        <w:sectPr w:rsidR="0042385A" w:rsidRPr="00682DE0" w:rsidSect="004A6995">
          <w:type w:val="continuous"/>
          <w:pgSz w:w="12240" w:h="15840"/>
          <w:pgMar w:top="1440" w:right="1440" w:bottom="1440" w:left="1440" w:header="720" w:footer="720" w:gutter="0"/>
          <w:cols w:space="720"/>
          <w:docGrid w:linePitch="360"/>
        </w:sectPr>
      </w:pPr>
    </w:p>
    <w:p w14:paraId="5A25EB58" w14:textId="77777777" w:rsidR="00AB2503" w:rsidRPr="00682DE0" w:rsidRDefault="00FE3204"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t xml:space="preserve">Table 1 </w:t>
      </w:r>
      <w:r w:rsidR="000A52F5">
        <w:rPr>
          <w:rFonts w:ascii="Book Antiqua" w:hAnsi="Book Antiqua"/>
          <w:b/>
          <w:bCs/>
          <w:color w:val="000000" w:themeColor="text1"/>
        </w:rPr>
        <w:t>C</w:t>
      </w:r>
      <w:r w:rsidRPr="00682DE0">
        <w:rPr>
          <w:rFonts w:ascii="Book Antiqua" w:hAnsi="Book Antiqua"/>
          <w:b/>
          <w:bCs/>
          <w:color w:val="000000" w:themeColor="text1"/>
        </w:rPr>
        <w:t>haracteristics of each individual study</w:t>
      </w:r>
    </w:p>
    <w:tbl>
      <w:tblPr>
        <w:tblStyle w:val="a5"/>
        <w:tblW w:w="5151" w:type="pct"/>
        <w:jc w:val="righ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9"/>
        <w:gridCol w:w="711"/>
        <w:gridCol w:w="567"/>
        <w:gridCol w:w="991"/>
        <w:gridCol w:w="850"/>
        <w:gridCol w:w="1132"/>
        <w:gridCol w:w="850"/>
        <w:gridCol w:w="1132"/>
        <w:gridCol w:w="996"/>
        <w:gridCol w:w="820"/>
        <w:gridCol w:w="850"/>
        <w:gridCol w:w="852"/>
        <w:gridCol w:w="1135"/>
        <w:gridCol w:w="1083"/>
        <w:gridCol w:w="926"/>
      </w:tblGrid>
      <w:tr w:rsidR="00A45C44" w:rsidRPr="00175753" w14:paraId="49366671" w14:textId="77777777" w:rsidTr="00FE3204">
        <w:trPr>
          <w:trHeight w:val="1002"/>
          <w:jc w:val="right"/>
        </w:trPr>
        <w:tc>
          <w:tcPr>
            <w:tcW w:w="250" w:type="pct"/>
            <w:tcBorders>
              <w:top w:val="single" w:sz="4" w:space="0" w:color="auto"/>
            </w:tcBorders>
          </w:tcPr>
          <w:p w14:paraId="7BC27817" w14:textId="77777777" w:rsidR="00FE3204" w:rsidRPr="00682DE0" w:rsidRDefault="00AF0F37"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 xml:space="preserve">Trials or </w:t>
            </w:r>
            <w:r w:rsidR="00FE3204" w:rsidRPr="00682DE0">
              <w:rPr>
                <w:rFonts w:ascii="Book Antiqua" w:hAnsi="Book Antiqua"/>
                <w:b/>
                <w:color w:val="000000" w:themeColor="text1"/>
              </w:rPr>
              <w:t>Ref.</w:t>
            </w:r>
          </w:p>
        </w:tc>
        <w:tc>
          <w:tcPr>
            <w:tcW w:w="262" w:type="pct"/>
            <w:tcBorders>
              <w:top w:val="single" w:sz="4" w:space="0" w:color="auto"/>
            </w:tcBorders>
          </w:tcPr>
          <w:p w14:paraId="6E86047C" w14:textId="77777777" w:rsidR="00FE3204" w:rsidRPr="00682DE0" w:rsidRDefault="00FE3204"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Year</w:t>
            </w:r>
          </w:p>
        </w:tc>
        <w:tc>
          <w:tcPr>
            <w:tcW w:w="209" w:type="pct"/>
            <w:tcBorders>
              <w:top w:val="single" w:sz="4" w:space="0" w:color="auto"/>
            </w:tcBorders>
          </w:tcPr>
          <w:p w14:paraId="26670C40" w14:textId="77777777" w:rsidR="00FE3204" w:rsidRPr="00682DE0" w:rsidRDefault="00FE3204"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Phase</w:t>
            </w:r>
          </w:p>
        </w:tc>
        <w:tc>
          <w:tcPr>
            <w:tcW w:w="365" w:type="pct"/>
            <w:tcBorders>
              <w:top w:val="single" w:sz="4" w:space="0" w:color="auto"/>
            </w:tcBorders>
          </w:tcPr>
          <w:p w14:paraId="5A4DA8D3"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Study period</w:t>
            </w:r>
          </w:p>
        </w:tc>
        <w:tc>
          <w:tcPr>
            <w:tcW w:w="313" w:type="pct"/>
            <w:tcBorders>
              <w:top w:val="single" w:sz="4" w:space="0" w:color="auto"/>
            </w:tcBorders>
          </w:tcPr>
          <w:p w14:paraId="70527B9E" w14:textId="77777777" w:rsidR="00FE3204" w:rsidRPr="00682DE0" w:rsidRDefault="00FE3204"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Country</w:t>
            </w:r>
          </w:p>
        </w:tc>
        <w:tc>
          <w:tcPr>
            <w:tcW w:w="417" w:type="pct"/>
            <w:tcBorders>
              <w:top w:val="single" w:sz="4" w:space="0" w:color="auto"/>
            </w:tcBorders>
          </w:tcPr>
          <w:p w14:paraId="275D5BDA" w14:textId="77777777" w:rsidR="00FE3204" w:rsidRPr="00682DE0" w:rsidRDefault="00FE3204" w:rsidP="00682DE0">
            <w:pPr>
              <w:spacing w:line="360" w:lineRule="auto"/>
              <w:jc w:val="both"/>
              <w:rPr>
                <w:rFonts w:ascii="Book Antiqua" w:hAnsi="Book Antiqua" w:cs="Times New Roman"/>
                <w:b/>
                <w:bCs/>
                <w:color w:val="000000" w:themeColor="text1"/>
              </w:rPr>
            </w:pPr>
            <w:r w:rsidRPr="00682DE0">
              <w:rPr>
                <w:rFonts w:ascii="Book Antiqua" w:hAnsi="Book Antiqua"/>
                <w:b/>
                <w:bCs/>
                <w:color w:val="000000" w:themeColor="text1"/>
              </w:rPr>
              <w:t>Sample (I/C)</w:t>
            </w:r>
          </w:p>
        </w:tc>
        <w:tc>
          <w:tcPr>
            <w:tcW w:w="313" w:type="pct"/>
            <w:tcBorders>
              <w:top w:val="single" w:sz="4" w:space="0" w:color="auto"/>
            </w:tcBorders>
          </w:tcPr>
          <w:p w14:paraId="439992FC"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A</w:t>
            </w:r>
            <w:r w:rsidRPr="00682DE0">
              <w:rPr>
                <w:rFonts w:ascii="Book Antiqua" w:hAnsi="Book Antiqua"/>
                <w:b/>
                <w:color w:val="000000" w:themeColor="text1"/>
              </w:rPr>
              <w:t>ge (I/C</w:t>
            </w:r>
            <w:r w:rsidRPr="00682DE0">
              <w:rPr>
                <w:rFonts w:ascii="Book Antiqua" w:hAnsi="Book Antiqua"/>
                <w:b/>
                <w:bCs/>
                <w:color w:val="000000" w:themeColor="text1"/>
              </w:rPr>
              <w:t>)</w:t>
            </w:r>
          </w:p>
        </w:tc>
        <w:tc>
          <w:tcPr>
            <w:tcW w:w="417" w:type="pct"/>
            <w:tcBorders>
              <w:top w:val="single" w:sz="4" w:space="0" w:color="auto"/>
            </w:tcBorders>
          </w:tcPr>
          <w:p w14:paraId="75A8B0C0"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Male (female) (I/C)</w:t>
            </w:r>
          </w:p>
        </w:tc>
        <w:tc>
          <w:tcPr>
            <w:tcW w:w="367" w:type="pct"/>
            <w:tcBorders>
              <w:top w:val="single" w:sz="4" w:space="0" w:color="auto"/>
            </w:tcBorders>
          </w:tcPr>
          <w:p w14:paraId="6391A278" w14:textId="77777777" w:rsidR="00FE3204" w:rsidRPr="00682DE0" w:rsidRDefault="00FE3204"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 xml:space="preserve">Histology </w:t>
            </w:r>
            <w:r w:rsidRPr="00682DE0">
              <w:rPr>
                <w:rFonts w:ascii="Book Antiqua" w:hAnsi="Book Antiqua"/>
                <w:b/>
                <w:bCs/>
                <w:color w:val="000000" w:themeColor="text1"/>
              </w:rPr>
              <w:t>(I/C) (AC, SCC, Other)</w:t>
            </w:r>
          </w:p>
        </w:tc>
        <w:tc>
          <w:tcPr>
            <w:tcW w:w="302" w:type="pct"/>
            <w:tcBorders>
              <w:top w:val="single" w:sz="4" w:space="0" w:color="auto"/>
            </w:tcBorders>
          </w:tcPr>
          <w:p w14:paraId="6512C503"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Extent of disease, Stage</w:t>
            </w:r>
          </w:p>
        </w:tc>
        <w:tc>
          <w:tcPr>
            <w:tcW w:w="313" w:type="pct"/>
            <w:tcBorders>
              <w:top w:val="single" w:sz="4" w:space="0" w:color="auto"/>
            </w:tcBorders>
          </w:tcPr>
          <w:p w14:paraId="1C1CE1C1"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ECOG PS or Karnofsky score</w:t>
            </w:r>
          </w:p>
        </w:tc>
        <w:tc>
          <w:tcPr>
            <w:tcW w:w="314" w:type="pct"/>
            <w:tcBorders>
              <w:top w:val="single" w:sz="4" w:space="0" w:color="auto"/>
            </w:tcBorders>
          </w:tcPr>
          <w:p w14:paraId="1B0D5E8A"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Treatment Line</w:t>
            </w:r>
          </w:p>
        </w:tc>
        <w:tc>
          <w:tcPr>
            <w:tcW w:w="418" w:type="pct"/>
            <w:tcBorders>
              <w:top w:val="single" w:sz="4" w:space="0" w:color="auto"/>
            </w:tcBorders>
          </w:tcPr>
          <w:p w14:paraId="6AF09B2A"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Interventions</w:t>
            </w:r>
          </w:p>
        </w:tc>
        <w:tc>
          <w:tcPr>
            <w:tcW w:w="399" w:type="pct"/>
            <w:tcBorders>
              <w:top w:val="single" w:sz="4" w:space="0" w:color="auto"/>
            </w:tcBorders>
          </w:tcPr>
          <w:p w14:paraId="2B7D7B97"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Control</w:t>
            </w:r>
          </w:p>
        </w:tc>
        <w:tc>
          <w:tcPr>
            <w:tcW w:w="341" w:type="pct"/>
            <w:tcBorders>
              <w:top w:val="single" w:sz="4" w:space="0" w:color="auto"/>
            </w:tcBorders>
          </w:tcPr>
          <w:p w14:paraId="07FB27E6" w14:textId="77777777" w:rsidR="00FE3204" w:rsidRPr="00682DE0" w:rsidRDefault="00FE3204" w:rsidP="00A45C44">
            <w:pPr>
              <w:spacing w:line="360" w:lineRule="auto"/>
              <w:jc w:val="both"/>
              <w:rPr>
                <w:rFonts w:ascii="Book Antiqua" w:hAnsi="Book Antiqua" w:cs="Times New Roman"/>
                <w:color w:val="000000" w:themeColor="text1"/>
              </w:rPr>
            </w:pPr>
            <w:r w:rsidRPr="00682DE0">
              <w:rPr>
                <w:rFonts w:ascii="Book Antiqua" w:hAnsi="Book Antiqua"/>
                <w:b/>
                <w:bCs/>
                <w:color w:val="000000" w:themeColor="text1"/>
              </w:rPr>
              <w:t>Follow-up</w:t>
            </w:r>
            <w:r w:rsidR="000A52F5">
              <w:rPr>
                <w:rFonts w:ascii="Book Antiqua" w:hAnsi="Book Antiqua" w:cs="Times New Roman"/>
                <w:b/>
                <w:bCs/>
                <w:color w:val="000000" w:themeColor="text1"/>
              </w:rPr>
              <w:t xml:space="preserve"> in </w:t>
            </w:r>
            <w:r w:rsidRPr="00682DE0">
              <w:rPr>
                <w:rFonts w:ascii="Book Antiqua" w:hAnsi="Book Antiqua"/>
                <w:b/>
                <w:bCs/>
                <w:color w:val="000000" w:themeColor="text1"/>
              </w:rPr>
              <w:t>mo</w:t>
            </w:r>
          </w:p>
        </w:tc>
      </w:tr>
      <w:tr w:rsidR="00A45C44" w:rsidRPr="00175753" w14:paraId="5C863B94" w14:textId="77777777" w:rsidTr="00FE3204">
        <w:trPr>
          <w:jc w:val="right"/>
        </w:trPr>
        <w:tc>
          <w:tcPr>
            <w:tcW w:w="250" w:type="pct"/>
            <w:tcBorders>
              <w:top w:val="single" w:sz="4" w:space="0" w:color="auto"/>
            </w:tcBorders>
          </w:tcPr>
          <w:p w14:paraId="4704C641"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 xml:space="preserve">Lilenbaum </w:t>
            </w:r>
            <w:r w:rsidRPr="00682DE0">
              <w:rPr>
                <w:rFonts w:ascii="Book Antiqua" w:hAnsi="Book Antiqua"/>
                <w:i/>
                <w:iCs/>
                <w:color w:val="000000" w:themeColor="text1"/>
              </w:rPr>
              <w:t>et al</w:t>
            </w:r>
            <w:r w:rsidRPr="00682DE0">
              <w:rPr>
                <w:rFonts w:ascii="Book Antiqua" w:hAnsi="Book Antiqua"/>
                <w:color w:val="000000" w:themeColor="text1"/>
                <w:vertAlign w:val="superscript"/>
              </w:rPr>
              <w:t>[22]</w:t>
            </w:r>
          </w:p>
        </w:tc>
        <w:tc>
          <w:tcPr>
            <w:tcW w:w="262" w:type="pct"/>
            <w:tcBorders>
              <w:top w:val="single" w:sz="4" w:space="0" w:color="auto"/>
            </w:tcBorders>
          </w:tcPr>
          <w:p w14:paraId="1D36973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2006</w:t>
            </w:r>
          </w:p>
        </w:tc>
        <w:tc>
          <w:tcPr>
            <w:tcW w:w="209" w:type="pct"/>
            <w:tcBorders>
              <w:top w:val="single" w:sz="4" w:space="0" w:color="auto"/>
            </w:tcBorders>
          </w:tcPr>
          <w:p w14:paraId="5253C629"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II</w:t>
            </w:r>
          </w:p>
        </w:tc>
        <w:tc>
          <w:tcPr>
            <w:tcW w:w="365" w:type="pct"/>
            <w:tcBorders>
              <w:top w:val="single" w:sz="4" w:space="0" w:color="auto"/>
            </w:tcBorders>
          </w:tcPr>
          <w:p w14:paraId="72E60109"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Feb 2002 to Sept 2003</w:t>
            </w:r>
          </w:p>
        </w:tc>
        <w:tc>
          <w:tcPr>
            <w:tcW w:w="313" w:type="pct"/>
            <w:tcBorders>
              <w:top w:val="single" w:sz="4" w:space="0" w:color="auto"/>
            </w:tcBorders>
          </w:tcPr>
          <w:p w14:paraId="7CC2B6EB"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United States</w:t>
            </w:r>
          </w:p>
        </w:tc>
        <w:tc>
          <w:tcPr>
            <w:tcW w:w="417" w:type="pct"/>
            <w:tcBorders>
              <w:top w:val="single" w:sz="4" w:space="0" w:color="auto"/>
            </w:tcBorders>
          </w:tcPr>
          <w:p w14:paraId="54F050E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133 (67/66)</w:t>
            </w:r>
          </w:p>
        </w:tc>
        <w:tc>
          <w:tcPr>
            <w:tcW w:w="313" w:type="pct"/>
            <w:tcBorders>
              <w:top w:val="single" w:sz="4" w:space="0" w:color="auto"/>
            </w:tcBorders>
          </w:tcPr>
          <w:p w14:paraId="225D822B"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62.7 (37-84)/63.5</w:t>
            </w:r>
            <w:r w:rsidR="00BE11F7" w:rsidRPr="00682DE0">
              <w:rPr>
                <w:rFonts w:ascii="Book Antiqua" w:hAnsi="Book Antiqua"/>
                <w:color w:val="000000" w:themeColor="text1"/>
              </w:rPr>
              <w:t xml:space="preserve"> </w:t>
            </w:r>
            <w:r w:rsidRPr="00682DE0">
              <w:rPr>
                <w:rFonts w:ascii="Book Antiqua" w:hAnsi="Book Antiqua"/>
                <w:color w:val="000000" w:themeColor="text1"/>
              </w:rPr>
              <w:t>(41-78)</w:t>
            </w:r>
          </w:p>
        </w:tc>
        <w:tc>
          <w:tcPr>
            <w:tcW w:w="417" w:type="pct"/>
            <w:tcBorders>
              <w:top w:val="single" w:sz="4" w:space="0" w:color="auto"/>
            </w:tcBorders>
          </w:tcPr>
          <w:p w14:paraId="78577EF0"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40</w:t>
            </w:r>
            <w:r w:rsidR="00BE11F7" w:rsidRPr="00682DE0">
              <w:rPr>
                <w:rFonts w:ascii="Book Antiqua" w:hAnsi="Book Antiqua"/>
                <w:color w:val="000000" w:themeColor="text1"/>
              </w:rPr>
              <w:t xml:space="preserve"> </w:t>
            </w:r>
            <w:r w:rsidRPr="00682DE0">
              <w:rPr>
                <w:rFonts w:ascii="Book Antiqua" w:hAnsi="Book Antiqua"/>
                <w:color w:val="000000" w:themeColor="text1"/>
              </w:rPr>
              <w:t>(27)/40</w:t>
            </w:r>
            <w:r w:rsidR="00BE11F7" w:rsidRPr="00682DE0">
              <w:rPr>
                <w:rFonts w:ascii="Book Antiqua" w:hAnsi="Book Antiqua"/>
                <w:color w:val="000000" w:themeColor="text1"/>
              </w:rPr>
              <w:t xml:space="preserve"> </w:t>
            </w:r>
            <w:r w:rsidRPr="00682DE0">
              <w:rPr>
                <w:rFonts w:ascii="Book Antiqua" w:hAnsi="Book Antiqua"/>
                <w:color w:val="000000" w:themeColor="text1"/>
              </w:rPr>
              <w:t>(26)</w:t>
            </w:r>
          </w:p>
        </w:tc>
        <w:tc>
          <w:tcPr>
            <w:tcW w:w="367" w:type="pct"/>
            <w:tcBorders>
              <w:top w:val="single" w:sz="4" w:space="0" w:color="auto"/>
            </w:tcBorders>
          </w:tcPr>
          <w:p w14:paraId="4FADBCCA"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 NA, NA</w:t>
            </w:r>
          </w:p>
        </w:tc>
        <w:tc>
          <w:tcPr>
            <w:tcW w:w="302" w:type="pct"/>
            <w:tcBorders>
              <w:top w:val="single" w:sz="4" w:space="0" w:color="auto"/>
            </w:tcBorders>
          </w:tcPr>
          <w:p w14:paraId="5730781C" w14:textId="77777777" w:rsidR="00FE3204" w:rsidRPr="00682DE0" w:rsidRDefault="00505AEF" w:rsidP="00682DE0">
            <w:pPr>
              <w:spacing w:line="360" w:lineRule="auto"/>
              <w:jc w:val="both"/>
              <w:rPr>
                <w:rFonts w:ascii="Book Antiqua"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005440F7" w:rsidRPr="00682DE0">
              <w:rPr>
                <w:rFonts w:ascii="Book Antiqua" w:eastAsia="宋体" w:hAnsi="Book Antiqua" w:cs="宋体"/>
                <w:color w:val="000000" w:themeColor="text1"/>
              </w:rPr>
              <w:t>IV</w:t>
            </w:r>
          </w:p>
        </w:tc>
        <w:tc>
          <w:tcPr>
            <w:tcW w:w="313" w:type="pct"/>
            <w:tcBorders>
              <w:top w:val="single" w:sz="4" w:space="0" w:color="auto"/>
            </w:tcBorders>
          </w:tcPr>
          <w:p w14:paraId="797CA522"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0-1</w:t>
            </w:r>
          </w:p>
        </w:tc>
        <w:tc>
          <w:tcPr>
            <w:tcW w:w="314" w:type="pct"/>
            <w:tcBorders>
              <w:top w:val="single" w:sz="4" w:space="0" w:color="auto"/>
            </w:tcBorders>
          </w:tcPr>
          <w:p w14:paraId="3DD7F6D2"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Second</w:t>
            </w:r>
          </w:p>
        </w:tc>
        <w:tc>
          <w:tcPr>
            <w:tcW w:w="418" w:type="pct"/>
            <w:tcBorders>
              <w:top w:val="single" w:sz="4" w:space="0" w:color="auto"/>
            </w:tcBorders>
          </w:tcPr>
          <w:p w14:paraId="2124BEAB"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Celecoxib 400 mg po bid + DTX 35</w:t>
            </w:r>
            <w:r w:rsidR="00BE11F7" w:rsidRPr="00682DE0">
              <w:rPr>
                <w:rFonts w:ascii="Book Antiqua" w:hAnsi="Book Antiqua"/>
                <w:color w:val="000000" w:themeColor="text1"/>
              </w:rPr>
              <w:t xml:space="preserve"> </w:t>
            </w:r>
            <w:r w:rsidRPr="00682DE0">
              <w:rPr>
                <w:rFonts w:ascii="Book Antiqua" w:hAnsi="Book Antiqua"/>
                <w:color w:val="000000" w:themeColor="text1"/>
              </w:rPr>
              <w:t>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or GEM 1000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 CPT-11 60</w:t>
            </w:r>
            <w:r w:rsidR="00BE11F7" w:rsidRPr="00682DE0">
              <w:rPr>
                <w:rFonts w:ascii="Book Antiqua" w:hAnsi="Book Antiqua"/>
                <w:color w:val="000000" w:themeColor="text1"/>
              </w:rPr>
              <w:t>-</w:t>
            </w:r>
            <w:r w:rsidRPr="00682DE0">
              <w:rPr>
                <w:rFonts w:ascii="Book Antiqua" w:hAnsi="Book Antiqua"/>
                <w:color w:val="000000" w:themeColor="text1"/>
              </w:rPr>
              <w:t>100</w:t>
            </w:r>
            <w:r w:rsidR="00BE11F7" w:rsidRPr="00682DE0">
              <w:rPr>
                <w:rFonts w:ascii="Book Antiqua" w:hAnsi="Book Antiqua"/>
                <w:color w:val="000000" w:themeColor="text1"/>
              </w:rPr>
              <w:t xml:space="preserve"> </w:t>
            </w:r>
            <w:r w:rsidRPr="00682DE0">
              <w:rPr>
                <w:rFonts w:ascii="Book Antiqua" w:hAnsi="Book Antiqua"/>
                <w:color w:val="000000" w:themeColor="text1"/>
              </w:rPr>
              <w:t>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day 1 and </w:t>
            </w:r>
            <w:r w:rsidR="00F62EF5" w:rsidRPr="0044656E">
              <w:rPr>
                <w:rFonts w:ascii="Book Antiqua" w:hAnsi="Book Antiqua" w:cs="Times New Roman"/>
                <w:color w:val="000000" w:themeColor="text1"/>
              </w:rPr>
              <w:t>day</w:t>
            </w:r>
            <w:r w:rsidR="00F62EF5" w:rsidRPr="00F62EF5">
              <w:rPr>
                <w:rFonts w:ascii="Book Antiqua" w:hAnsi="Book Antiqua" w:cs="Times New Roman"/>
                <w:color w:val="000000" w:themeColor="text1"/>
              </w:rPr>
              <w:t xml:space="preserve"> </w:t>
            </w:r>
            <w:r w:rsidRPr="00682DE0">
              <w:rPr>
                <w:rFonts w:ascii="Book Antiqua" w:hAnsi="Book Antiqua"/>
                <w:color w:val="000000" w:themeColor="text1"/>
              </w:rPr>
              <w:t>8, q3w</w:t>
            </w:r>
          </w:p>
        </w:tc>
        <w:tc>
          <w:tcPr>
            <w:tcW w:w="399" w:type="pct"/>
            <w:tcBorders>
              <w:top w:val="single" w:sz="4" w:space="0" w:color="auto"/>
            </w:tcBorders>
          </w:tcPr>
          <w:p w14:paraId="19B35A93"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DTX 35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or GEM 1000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 CPT-11 60</w:t>
            </w:r>
            <w:r w:rsidR="00BE11F7" w:rsidRPr="00682DE0">
              <w:rPr>
                <w:rFonts w:ascii="Book Antiqua" w:hAnsi="Book Antiqua"/>
                <w:color w:val="000000" w:themeColor="text1"/>
              </w:rPr>
              <w:t>-</w:t>
            </w:r>
            <w:r w:rsidRPr="00682DE0">
              <w:rPr>
                <w:rFonts w:ascii="Book Antiqua" w:hAnsi="Book Antiqua"/>
                <w:color w:val="000000" w:themeColor="text1"/>
              </w:rPr>
              <w:t>100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day 1 and </w:t>
            </w:r>
            <w:r w:rsidR="00052E59" w:rsidRPr="00682DE0">
              <w:rPr>
                <w:rFonts w:ascii="Book Antiqua" w:hAnsi="Book Antiqua"/>
                <w:color w:val="000000" w:themeColor="text1"/>
              </w:rPr>
              <w:t xml:space="preserve">day </w:t>
            </w:r>
            <w:r w:rsidRPr="00682DE0">
              <w:rPr>
                <w:rFonts w:ascii="Book Antiqua" w:hAnsi="Book Antiqua"/>
                <w:color w:val="000000" w:themeColor="text1"/>
              </w:rPr>
              <w:t>8</w:t>
            </w:r>
            <w:r w:rsidR="00052E59" w:rsidRPr="00682DE0">
              <w:rPr>
                <w:rFonts w:ascii="Book Antiqua" w:hAnsi="Book Antiqua"/>
                <w:color w:val="000000" w:themeColor="text1"/>
              </w:rPr>
              <w:t xml:space="preserve">, </w:t>
            </w:r>
            <w:r w:rsidRPr="00682DE0">
              <w:rPr>
                <w:rFonts w:ascii="Book Antiqua" w:hAnsi="Book Antiqua"/>
                <w:color w:val="000000" w:themeColor="text1"/>
              </w:rPr>
              <w:t>q3w</w:t>
            </w:r>
          </w:p>
        </w:tc>
        <w:tc>
          <w:tcPr>
            <w:tcW w:w="341" w:type="pct"/>
            <w:tcBorders>
              <w:top w:val="single" w:sz="4" w:space="0" w:color="auto"/>
            </w:tcBorders>
          </w:tcPr>
          <w:p w14:paraId="10A67293"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r>
      <w:tr w:rsidR="00A45C44" w:rsidRPr="00175753" w14:paraId="45B93848" w14:textId="77777777" w:rsidTr="00FE3204">
        <w:trPr>
          <w:jc w:val="right"/>
        </w:trPr>
        <w:tc>
          <w:tcPr>
            <w:tcW w:w="250" w:type="pct"/>
          </w:tcPr>
          <w:p w14:paraId="24A8963A" w14:textId="77777777" w:rsidR="00FE3204" w:rsidRPr="00682DE0" w:rsidRDefault="00AF0F37"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GECO</w:t>
            </w:r>
            <w:r w:rsidR="00BE11F7" w:rsidRPr="00682DE0">
              <w:rPr>
                <w:rFonts w:ascii="Book Antiqua" w:hAnsi="Book Antiqua"/>
                <w:color w:val="000000" w:themeColor="text1"/>
                <w:vertAlign w:val="superscript"/>
              </w:rPr>
              <w:t>[23]</w:t>
            </w:r>
          </w:p>
        </w:tc>
        <w:tc>
          <w:tcPr>
            <w:tcW w:w="262" w:type="pct"/>
          </w:tcPr>
          <w:p w14:paraId="7297F367"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2007</w:t>
            </w:r>
          </w:p>
        </w:tc>
        <w:tc>
          <w:tcPr>
            <w:tcW w:w="209" w:type="pct"/>
          </w:tcPr>
          <w:p w14:paraId="4A61A96F" w14:textId="77777777" w:rsidR="00FE3204" w:rsidRPr="00682DE0" w:rsidRDefault="005440F7"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p>
        </w:tc>
        <w:tc>
          <w:tcPr>
            <w:tcW w:w="365" w:type="pct"/>
          </w:tcPr>
          <w:p w14:paraId="1FADDA4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Jan 2003 to May 2005</w:t>
            </w:r>
          </w:p>
        </w:tc>
        <w:tc>
          <w:tcPr>
            <w:tcW w:w="313" w:type="pct"/>
          </w:tcPr>
          <w:p w14:paraId="6B9B65D3"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Italy</w:t>
            </w:r>
          </w:p>
        </w:tc>
        <w:tc>
          <w:tcPr>
            <w:tcW w:w="417" w:type="pct"/>
          </w:tcPr>
          <w:p w14:paraId="439E4AE9"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400 (149/251)</w:t>
            </w:r>
          </w:p>
        </w:tc>
        <w:tc>
          <w:tcPr>
            <w:tcW w:w="313" w:type="pct"/>
          </w:tcPr>
          <w:p w14:paraId="2AAC9ED8"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61.5</w:t>
            </w:r>
            <w:r w:rsidR="00BE11F7" w:rsidRPr="00682DE0">
              <w:rPr>
                <w:rFonts w:ascii="Book Antiqua" w:hAnsi="Book Antiqua"/>
                <w:color w:val="000000" w:themeColor="text1"/>
              </w:rPr>
              <w:t xml:space="preserve"> </w:t>
            </w:r>
            <w:r w:rsidRPr="00682DE0">
              <w:rPr>
                <w:rFonts w:ascii="Book Antiqua" w:hAnsi="Book Antiqua"/>
                <w:color w:val="000000" w:themeColor="text1"/>
              </w:rPr>
              <w:t>(29-71)/59</w:t>
            </w:r>
            <w:r w:rsidR="00052E59" w:rsidRPr="00682DE0">
              <w:rPr>
                <w:rFonts w:ascii="Book Antiqua" w:hAnsi="Book Antiqua"/>
                <w:color w:val="000000" w:themeColor="text1"/>
              </w:rPr>
              <w:t>.0</w:t>
            </w:r>
            <w:r w:rsidR="00BE11F7" w:rsidRPr="00682DE0">
              <w:rPr>
                <w:rFonts w:ascii="Book Antiqua" w:hAnsi="Book Antiqua"/>
                <w:color w:val="000000" w:themeColor="text1"/>
              </w:rPr>
              <w:t xml:space="preserve"> </w:t>
            </w:r>
            <w:r w:rsidRPr="00682DE0">
              <w:rPr>
                <w:rFonts w:ascii="Book Antiqua" w:hAnsi="Book Antiqua"/>
                <w:color w:val="000000" w:themeColor="text1"/>
              </w:rPr>
              <w:t>(37-70)</w:t>
            </w:r>
          </w:p>
        </w:tc>
        <w:tc>
          <w:tcPr>
            <w:tcW w:w="417" w:type="pct"/>
          </w:tcPr>
          <w:p w14:paraId="3B5681E9"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120</w:t>
            </w:r>
            <w:r w:rsidR="00BE11F7" w:rsidRPr="00682DE0">
              <w:rPr>
                <w:rFonts w:ascii="Book Antiqua" w:hAnsi="Book Antiqua"/>
                <w:color w:val="000000" w:themeColor="text1"/>
              </w:rPr>
              <w:t xml:space="preserve"> </w:t>
            </w:r>
            <w:r w:rsidRPr="00682DE0">
              <w:rPr>
                <w:rFonts w:ascii="Book Antiqua" w:hAnsi="Book Antiqua"/>
                <w:color w:val="000000" w:themeColor="text1"/>
              </w:rPr>
              <w:t>(29)/202</w:t>
            </w:r>
            <w:r w:rsidR="00052E59" w:rsidRPr="00682DE0">
              <w:rPr>
                <w:rFonts w:ascii="Book Antiqua" w:hAnsi="Book Antiqua"/>
                <w:color w:val="000000" w:themeColor="text1"/>
              </w:rPr>
              <w:t xml:space="preserve"> </w:t>
            </w:r>
            <w:r w:rsidRPr="00682DE0">
              <w:rPr>
                <w:rFonts w:ascii="Book Antiqua" w:hAnsi="Book Antiqua"/>
                <w:color w:val="000000" w:themeColor="text1"/>
              </w:rPr>
              <w:t>(49)</w:t>
            </w:r>
          </w:p>
        </w:tc>
        <w:tc>
          <w:tcPr>
            <w:tcW w:w="367" w:type="pct"/>
          </w:tcPr>
          <w:p w14:paraId="00C29F64"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68/134, 47/53, 34/64</w:t>
            </w:r>
          </w:p>
        </w:tc>
        <w:tc>
          <w:tcPr>
            <w:tcW w:w="302" w:type="pct"/>
          </w:tcPr>
          <w:p w14:paraId="45696757" w14:textId="77777777" w:rsidR="00FE3204" w:rsidRPr="00682DE0" w:rsidRDefault="005440F7"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77AE4E4B"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0-1</w:t>
            </w:r>
          </w:p>
        </w:tc>
        <w:tc>
          <w:tcPr>
            <w:tcW w:w="314" w:type="pct"/>
          </w:tcPr>
          <w:p w14:paraId="74FE88CE"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First</w:t>
            </w:r>
          </w:p>
        </w:tc>
        <w:tc>
          <w:tcPr>
            <w:tcW w:w="418" w:type="pct"/>
          </w:tcPr>
          <w:p w14:paraId="63D346E3"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Rofecoxib 50 mg po qd + GEM 1200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in 30-min or PCI GEM 1200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00BE11F7" w:rsidRPr="00682DE0">
              <w:rPr>
                <w:rFonts w:ascii="Book Antiqua" w:hAnsi="Book Antiqua"/>
                <w:color w:val="000000" w:themeColor="text1"/>
                <w:vertAlign w:val="superscript"/>
              </w:rPr>
              <w:t xml:space="preserve"> </w:t>
            </w:r>
            <w:r w:rsidRPr="00682DE0">
              <w:rPr>
                <w:rFonts w:ascii="Book Antiqua" w:hAnsi="Book Antiqua"/>
                <w:color w:val="000000" w:themeColor="text1"/>
              </w:rPr>
              <w:t>over 120-min iv infusions days 1 and 8 + DDP 80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qd day 1, q3w</w:t>
            </w:r>
          </w:p>
        </w:tc>
        <w:tc>
          <w:tcPr>
            <w:tcW w:w="399" w:type="pct"/>
          </w:tcPr>
          <w:p w14:paraId="3B535CA4"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GEM 1200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in 30-min or</w:t>
            </w:r>
            <w:r w:rsidR="0019005D" w:rsidRPr="00682DE0">
              <w:rPr>
                <w:rFonts w:ascii="Book Antiqua" w:hAnsi="Book Antiqua"/>
                <w:color w:val="000000" w:themeColor="text1"/>
              </w:rPr>
              <w:t xml:space="preserve"> </w:t>
            </w:r>
            <w:r w:rsidRPr="00682DE0">
              <w:rPr>
                <w:rFonts w:ascii="Book Antiqua" w:hAnsi="Book Antiqua"/>
                <w:color w:val="000000" w:themeColor="text1"/>
              </w:rPr>
              <w:t>PCI GEM 1200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00BE11F7" w:rsidRPr="00682DE0">
              <w:rPr>
                <w:rFonts w:ascii="Book Antiqua" w:hAnsi="Book Antiqua"/>
                <w:color w:val="000000" w:themeColor="text1"/>
                <w:vertAlign w:val="superscript"/>
              </w:rPr>
              <w:t xml:space="preserve"> </w:t>
            </w:r>
            <w:r w:rsidRPr="00682DE0">
              <w:rPr>
                <w:rFonts w:ascii="Book Antiqua" w:hAnsi="Book Antiqua"/>
                <w:color w:val="000000" w:themeColor="text1"/>
              </w:rPr>
              <w:t>over 120-min iv infusions days 1 and 8 + DDP 80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qd day 1, q3w</w:t>
            </w:r>
          </w:p>
        </w:tc>
        <w:tc>
          <w:tcPr>
            <w:tcW w:w="341" w:type="pct"/>
          </w:tcPr>
          <w:p w14:paraId="0815C1D2"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22</w:t>
            </w:r>
          </w:p>
        </w:tc>
      </w:tr>
      <w:tr w:rsidR="00A45C44" w:rsidRPr="00175753" w14:paraId="2C57AAF2" w14:textId="77777777" w:rsidTr="00FE3204">
        <w:trPr>
          <w:jc w:val="right"/>
        </w:trPr>
        <w:tc>
          <w:tcPr>
            <w:tcW w:w="250" w:type="pct"/>
          </w:tcPr>
          <w:p w14:paraId="6DB0F553"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Zhou</w:t>
            </w:r>
            <w:r w:rsidR="00BE11F7" w:rsidRPr="00682DE0">
              <w:rPr>
                <w:rFonts w:ascii="Book Antiqua" w:hAnsi="Book Antiqua"/>
                <w:color w:val="000000" w:themeColor="text1"/>
              </w:rPr>
              <w:t xml:space="preserve"> </w:t>
            </w:r>
            <w:r w:rsidR="00BE11F7" w:rsidRPr="00682DE0">
              <w:rPr>
                <w:rFonts w:ascii="Book Antiqua" w:hAnsi="Book Antiqua"/>
                <w:i/>
                <w:iCs/>
                <w:color w:val="000000" w:themeColor="text1"/>
              </w:rPr>
              <w:t>et al</w:t>
            </w:r>
            <w:r w:rsidR="00BE11F7" w:rsidRPr="00682DE0">
              <w:rPr>
                <w:rFonts w:ascii="Book Antiqua" w:hAnsi="Book Antiqua"/>
                <w:color w:val="000000" w:themeColor="text1"/>
                <w:vertAlign w:val="superscript"/>
              </w:rPr>
              <w:t>[29]</w:t>
            </w:r>
          </w:p>
        </w:tc>
        <w:tc>
          <w:tcPr>
            <w:tcW w:w="262" w:type="pct"/>
          </w:tcPr>
          <w:p w14:paraId="38C062D2"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2007</w:t>
            </w:r>
          </w:p>
        </w:tc>
        <w:tc>
          <w:tcPr>
            <w:tcW w:w="209" w:type="pct"/>
          </w:tcPr>
          <w:p w14:paraId="479BDAE5"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II</w:t>
            </w:r>
          </w:p>
        </w:tc>
        <w:tc>
          <w:tcPr>
            <w:tcW w:w="365" w:type="pct"/>
          </w:tcPr>
          <w:p w14:paraId="41295D68"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June 2004 to June 2005</w:t>
            </w:r>
          </w:p>
        </w:tc>
        <w:tc>
          <w:tcPr>
            <w:tcW w:w="313" w:type="pct"/>
          </w:tcPr>
          <w:p w14:paraId="6AF12CEE"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China</w:t>
            </w:r>
          </w:p>
        </w:tc>
        <w:tc>
          <w:tcPr>
            <w:tcW w:w="417" w:type="pct"/>
          </w:tcPr>
          <w:p w14:paraId="4155919C"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65 (32/33)</w:t>
            </w:r>
          </w:p>
        </w:tc>
        <w:tc>
          <w:tcPr>
            <w:tcW w:w="313" w:type="pct"/>
          </w:tcPr>
          <w:p w14:paraId="0ABFDDEC"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57</w:t>
            </w:r>
            <w:r w:rsidR="00052E59" w:rsidRPr="00682DE0">
              <w:rPr>
                <w:rFonts w:ascii="Book Antiqua" w:hAnsi="Book Antiqua"/>
                <w:color w:val="000000" w:themeColor="text1"/>
              </w:rPr>
              <w:t>.0</w:t>
            </w:r>
            <w:r w:rsidR="00BE11F7" w:rsidRPr="00682DE0">
              <w:rPr>
                <w:rFonts w:ascii="Book Antiqua" w:hAnsi="Book Antiqua"/>
                <w:color w:val="000000" w:themeColor="text1"/>
              </w:rPr>
              <w:t xml:space="preserve"> </w:t>
            </w:r>
            <w:r w:rsidRPr="00682DE0">
              <w:rPr>
                <w:rFonts w:ascii="Book Antiqua" w:hAnsi="Book Antiqua"/>
                <w:color w:val="000000" w:themeColor="text1"/>
              </w:rPr>
              <w:t>(45-77)/55.5</w:t>
            </w:r>
            <w:r w:rsidR="00BE11F7" w:rsidRPr="00682DE0">
              <w:rPr>
                <w:rFonts w:ascii="Book Antiqua" w:hAnsi="Book Antiqua"/>
                <w:color w:val="000000" w:themeColor="text1"/>
              </w:rPr>
              <w:t xml:space="preserve"> </w:t>
            </w:r>
            <w:r w:rsidRPr="00682DE0">
              <w:rPr>
                <w:rFonts w:ascii="Book Antiqua" w:hAnsi="Book Antiqua"/>
                <w:color w:val="000000" w:themeColor="text1"/>
              </w:rPr>
              <w:t>(40-76)</w:t>
            </w:r>
          </w:p>
        </w:tc>
        <w:tc>
          <w:tcPr>
            <w:tcW w:w="417" w:type="pct"/>
          </w:tcPr>
          <w:p w14:paraId="7DB16ED0"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24</w:t>
            </w:r>
            <w:r w:rsidR="00BE11F7" w:rsidRPr="00682DE0">
              <w:rPr>
                <w:rFonts w:ascii="Book Antiqua" w:hAnsi="Book Antiqua"/>
                <w:color w:val="000000" w:themeColor="text1"/>
              </w:rPr>
              <w:t xml:space="preserve"> </w:t>
            </w:r>
            <w:r w:rsidRPr="00682DE0">
              <w:rPr>
                <w:rFonts w:ascii="Book Antiqua" w:hAnsi="Book Antiqua"/>
                <w:color w:val="000000" w:themeColor="text1"/>
              </w:rPr>
              <w:t>(8)/24</w:t>
            </w:r>
            <w:r w:rsidR="00BE11F7" w:rsidRPr="00682DE0">
              <w:rPr>
                <w:rFonts w:ascii="Book Antiqua" w:hAnsi="Book Antiqua"/>
                <w:color w:val="000000" w:themeColor="text1"/>
              </w:rPr>
              <w:t xml:space="preserve"> </w:t>
            </w:r>
            <w:r w:rsidRPr="00682DE0">
              <w:rPr>
                <w:rFonts w:ascii="Book Antiqua" w:hAnsi="Book Antiqua"/>
                <w:color w:val="000000" w:themeColor="text1"/>
              </w:rPr>
              <w:t>(9)</w:t>
            </w:r>
          </w:p>
        </w:tc>
        <w:tc>
          <w:tcPr>
            <w:tcW w:w="367" w:type="pct"/>
          </w:tcPr>
          <w:p w14:paraId="1AF517BA"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17/19, 9/8, 5/3</w:t>
            </w:r>
          </w:p>
        </w:tc>
        <w:tc>
          <w:tcPr>
            <w:tcW w:w="302" w:type="pct"/>
          </w:tcPr>
          <w:p w14:paraId="479BFF48" w14:textId="77777777"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469D3649"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0-2</w:t>
            </w:r>
          </w:p>
        </w:tc>
        <w:tc>
          <w:tcPr>
            <w:tcW w:w="314" w:type="pct"/>
          </w:tcPr>
          <w:p w14:paraId="18387327"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First</w:t>
            </w:r>
          </w:p>
        </w:tc>
        <w:tc>
          <w:tcPr>
            <w:tcW w:w="418" w:type="pct"/>
          </w:tcPr>
          <w:p w14:paraId="48A65078"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Celecoxib 400 mg po bid day</w:t>
            </w:r>
            <w:r w:rsidR="00F62EF5">
              <w:rPr>
                <w:rFonts w:ascii="Book Antiqua" w:hAnsi="Book Antiqua" w:cs="Times New Roman"/>
                <w:color w:val="000000" w:themeColor="text1"/>
              </w:rPr>
              <w:t>s</w:t>
            </w:r>
            <w:r w:rsidRPr="00682DE0">
              <w:rPr>
                <w:rFonts w:ascii="Book Antiqua" w:hAnsi="Book Antiqua"/>
                <w:color w:val="000000" w:themeColor="text1"/>
              </w:rPr>
              <w:t xml:space="preserve"> 1-12 + NVB 25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 qd day 1 and 8 + DDP 75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qd days 1 and 2, q3w</w:t>
            </w:r>
          </w:p>
        </w:tc>
        <w:tc>
          <w:tcPr>
            <w:tcW w:w="399" w:type="pct"/>
          </w:tcPr>
          <w:p w14:paraId="2F69F95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NVB 25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 qd days 1 and 8 + DDP 75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qd days 1 and 2, q3w</w:t>
            </w:r>
          </w:p>
        </w:tc>
        <w:tc>
          <w:tcPr>
            <w:tcW w:w="341" w:type="pct"/>
          </w:tcPr>
          <w:p w14:paraId="0F904299"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r>
      <w:tr w:rsidR="00A45C44" w:rsidRPr="00175753" w14:paraId="73C38EB9" w14:textId="77777777" w:rsidTr="00FE3204">
        <w:trPr>
          <w:jc w:val="right"/>
        </w:trPr>
        <w:tc>
          <w:tcPr>
            <w:tcW w:w="250" w:type="pct"/>
          </w:tcPr>
          <w:p w14:paraId="3A45C4B4"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Xiong</w:t>
            </w:r>
            <w:r w:rsidR="00BE11F7" w:rsidRPr="00682DE0">
              <w:rPr>
                <w:rFonts w:ascii="Book Antiqua" w:hAnsi="Book Antiqua"/>
                <w:color w:val="000000" w:themeColor="text1"/>
              </w:rPr>
              <w:t xml:space="preserve"> </w:t>
            </w:r>
            <w:r w:rsidR="00BE11F7" w:rsidRPr="00682DE0">
              <w:rPr>
                <w:rFonts w:ascii="Book Antiqua" w:hAnsi="Book Antiqua"/>
                <w:i/>
                <w:iCs/>
                <w:color w:val="000000" w:themeColor="text1"/>
              </w:rPr>
              <w:t>et al</w:t>
            </w:r>
            <w:r w:rsidR="00BE11F7" w:rsidRPr="00682DE0">
              <w:rPr>
                <w:rFonts w:ascii="Book Antiqua" w:hAnsi="Book Antiqua"/>
                <w:color w:val="000000" w:themeColor="text1"/>
                <w:vertAlign w:val="superscript"/>
              </w:rPr>
              <w:t>[28]</w:t>
            </w:r>
          </w:p>
        </w:tc>
        <w:tc>
          <w:tcPr>
            <w:tcW w:w="262" w:type="pct"/>
          </w:tcPr>
          <w:p w14:paraId="21980F79"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2008</w:t>
            </w:r>
          </w:p>
        </w:tc>
        <w:tc>
          <w:tcPr>
            <w:tcW w:w="209" w:type="pct"/>
          </w:tcPr>
          <w:p w14:paraId="619665E1"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II</w:t>
            </w:r>
          </w:p>
        </w:tc>
        <w:tc>
          <w:tcPr>
            <w:tcW w:w="365" w:type="pct"/>
          </w:tcPr>
          <w:p w14:paraId="61CF492B"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Jan 2003 to Jan 2006</w:t>
            </w:r>
          </w:p>
        </w:tc>
        <w:tc>
          <w:tcPr>
            <w:tcW w:w="313" w:type="pct"/>
          </w:tcPr>
          <w:p w14:paraId="6836EE0E"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China</w:t>
            </w:r>
          </w:p>
        </w:tc>
        <w:tc>
          <w:tcPr>
            <w:tcW w:w="417" w:type="pct"/>
          </w:tcPr>
          <w:p w14:paraId="1E577D75"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60 (30/30)</w:t>
            </w:r>
          </w:p>
        </w:tc>
        <w:tc>
          <w:tcPr>
            <w:tcW w:w="313" w:type="pct"/>
          </w:tcPr>
          <w:p w14:paraId="1D74BA5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56.4/58.3</w:t>
            </w:r>
          </w:p>
        </w:tc>
        <w:tc>
          <w:tcPr>
            <w:tcW w:w="417" w:type="pct"/>
          </w:tcPr>
          <w:p w14:paraId="221D3E00"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16</w:t>
            </w:r>
            <w:r w:rsidR="00BE11F7" w:rsidRPr="00682DE0">
              <w:rPr>
                <w:rFonts w:ascii="Book Antiqua" w:hAnsi="Book Antiqua"/>
                <w:color w:val="000000" w:themeColor="text1"/>
              </w:rPr>
              <w:t xml:space="preserve"> </w:t>
            </w:r>
            <w:r w:rsidRPr="00682DE0">
              <w:rPr>
                <w:rFonts w:ascii="Book Antiqua" w:hAnsi="Book Antiqua"/>
                <w:color w:val="000000" w:themeColor="text1"/>
              </w:rPr>
              <w:t>(14)/17</w:t>
            </w:r>
            <w:r w:rsidR="00BE11F7" w:rsidRPr="00682DE0">
              <w:rPr>
                <w:rFonts w:ascii="Book Antiqua" w:hAnsi="Book Antiqua"/>
                <w:color w:val="000000" w:themeColor="text1"/>
              </w:rPr>
              <w:t xml:space="preserve"> </w:t>
            </w:r>
            <w:r w:rsidRPr="00682DE0">
              <w:rPr>
                <w:rFonts w:ascii="Book Antiqua" w:hAnsi="Book Antiqua"/>
                <w:color w:val="000000" w:themeColor="text1"/>
              </w:rPr>
              <w:t>(13)</w:t>
            </w:r>
          </w:p>
        </w:tc>
        <w:tc>
          <w:tcPr>
            <w:tcW w:w="367" w:type="pct"/>
          </w:tcPr>
          <w:p w14:paraId="56E047C9"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16/17, 10/10, 4/3</w:t>
            </w:r>
          </w:p>
        </w:tc>
        <w:tc>
          <w:tcPr>
            <w:tcW w:w="302" w:type="pct"/>
          </w:tcPr>
          <w:p w14:paraId="752ED64A" w14:textId="77777777"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20DFC0C8"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0-2</w:t>
            </w:r>
          </w:p>
        </w:tc>
        <w:tc>
          <w:tcPr>
            <w:tcW w:w="314" w:type="pct"/>
          </w:tcPr>
          <w:p w14:paraId="42F381B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First</w:t>
            </w:r>
          </w:p>
        </w:tc>
        <w:tc>
          <w:tcPr>
            <w:tcW w:w="418" w:type="pct"/>
          </w:tcPr>
          <w:p w14:paraId="12C400C8"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Celecoxib 400 mg po bid + NVB 25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 qd day</w:t>
            </w:r>
            <w:r w:rsidR="00F62EF5">
              <w:rPr>
                <w:rFonts w:ascii="Book Antiqua" w:hAnsi="Book Antiqua" w:cs="Times New Roman"/>
                <w:color w:val="000000" w:themeColor="text1"/>
              </w:rPr>
              <w:t>s</w:t>
            </w:r>
            <w:r w:rsidRPr="00682DE0">
              <w:rPr>
                <w:rFonts w:ascii="Book Antiqua" w:hAnsi="Book Antiqua"/>
                <w:color w:val="000000" w:themeColor="text1"/>
              </w:rPr>
              <w:t xml:space="preserve"> 1 and 8 + DDP 70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qd days 1-3, q3w</w:t>
            </w:r>
          </w:p>
        </w:tc>
        <w:tc>
          <w:tcPr>
            <w:tcW w:w="399" w:type="pct"/>
          </w:tcPr>
          <w:p w14:paraId="045EAE1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NVB 25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w:t>
            </w:r>
            <w:r w:rsidR="00972520" w:rsidRPr="00682DE0">
              <w:rPr>
                <w:rFonts w:ascii="Book Antiqua" w:hAnsi="Book Antiqua"/>
                <w:color w:val="000000" w:themeColor="text1"/>
              </w:rPr>
              <w:t xml:space="preserve"> </w:t>
            </w:r>
            <w:r w:rsidRPr="00682DE0">
              <w:rPr>
                <w:rFonts w:ascii="Book Antiqua" w:hAnsi="Book Antiqua"/>
                <w:color w:val="000000" w:themeColor="text1"/>
              </w:rPr>
              <w:t>qd days 1 and 8 + DDP 70 mg</w:t>
            </w:r>
            <w:r w:rsidR="00BE11F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qd days 1-3, q3w</w:t>
            </w:r>
          </w:p>
        </w:tc>
        <w:tc>
          <w:tcPr>
            <w:tcW w:w="341" w:type="pct"/>
          </w:tcPr>
          <w:p w14:paraId="3F4922A9"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r>
      <w:tr w:rsidR="00A45C44" w:rsidRPr="00175753" w14:paraId="2DFF8496" w14:textId="77777777" w:rsidTr="00FE3204">
        <w:trPr>
          <w:jc w:val="right"/>
        </w:trPr>
        <w:tc>
          <w:tcPr>
            <w:tcW w:w="250" w:type="pct"/>
          </w:tcPr>
          <w:p w14:paraId="30474D8A"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CYCLUS</w:t>
            </w:r>
            <w:r w:rsidR="00AF0F37" w:rsidRPr="00682DE0">
              <w:rPr>
                <w:rFonts w:ascii="Book Antiqua" w:hAnsi="Book Antiqua"/>
                <w:color w:val="000000" w:themeColor="text1"/>
                <w:vertAlign w:val="superscript"/>
              </w:rPr>
              <w:t>[24]</w:t>
            </w:r>
          </w:p>
        </w:tc>
        <w:tc>
          <w:tcPr>
            <w:tcW w:w="262" w:type="pct"/>
          </w:tcPr>
          <w:p w14:paraId="3A766433"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2011</w:t>
            </w:r>
          </w:p>
        </w:tc>
        <w:tc>
          <w:tcPr>
            <w:tcW w:w="209" w:type="pct"/>
          </w:tcPr>
          <w:p w14:paraId="6AEED3CA" w14:textId="77777777"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p>
        </w:tc>
        <w:tc>
          <w:tcPr>
            <w:tcW w:w="365" w:type="pct"/>
          </w:tcPr>
          <w:p w14:paraId="673FCF5C"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May 2003 to May 2006</w:t>
            </w:r>
          </w:p>
        </w:tc>
        <w:tc>
          <w:tcPr>
            <w:tcW w:w="313" w:type="pct"/>
          </w:tcPr>
          <w:p w14:paraId="1602FAAE"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Sweden</w:t>
            </w:r>
          </w:p>
        </w:tc>
        <w:tc>
          <w:tcPr>
            <w:tcW w:w="417" w:type="pct"/>
          </w:tcPr>
          <w:p w14:paraId="0B579B2A"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316 (158/158)</w:t>
            </w:r>
          </w:p>
        </w:tc>
        <w:tc>
          <w:tcPr>
            <w:tcW w:w="313" w:type="pct"/>
          </w:tcPr>
          <w:p w14:paraId="3AE84558"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66</w:t>
            </w:r>
            <w:r w:rsidR="00AF0F37" w:rsidRPr="00682DE0">
              <w:rPr>
                <w:rFonts w:ascii="Book Antiqua" w:hAnsi="Book Antiqua"/>
                <w:color w:val="000000" w:themeColor="text1"/>
              </w:rPr>
              <w:t xml:space="preserve"> </w:t>
            </w:r>
            <w:r w:rsidRPr="00682DE0">
              <w:rPr>
                <w:rFonts w:ascii="Book Antiqua" w:hAnsi="Book Antiqua"/>
                <w:color w:val="000000" w:themeColor="text1"/>
              </w:rPr>
              <w:t>(38-85)/65</w:t>
            </w:r>
            <w:r w:rsidR="00AF0F37" w:rsidRPr="00682DE0">
              <w:rPr>
                <w:rFonts w:ascii="Book Antiqua" w:hAnsi="Book Antiqua"/>
                <w:color w:val="000000" w:themeColor="text1"/>
              </w:rPr>
              <w:t xml:space="preserve"> </w:t>
            </w:r>
            <w:r w:rsidRPr="00682DE0">
              <w:rPr>
                <w:rFonts w:ascii="Book Antiqua" w:hAnsi="Book Antiqua"/>
                <w:color w:val="000000" w:themeColor="text1"/>
              </w:rPr>
              <w:t>(37-85)</w:t>
            </w:r>
          </w:p>
        </w:tc>
        <w:tc>
          <w:tcPr>
            <w:tcW w:w="417" w:type="pct"/>
          </w:tcPr>
          <w:p w14:paraId="7BB90573"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73</w:t>
            </w:r>
            <w:r w:rsidR="00AF0F37" w:rsidRPr="00682DE0">
              <w:rPr>
                <w:rFonts w:ascii="Book Antiqua" w:hAnsi="Book Antiqua"/>
                <w:color w:val="000000" w:themeColor="text1"/>
              </w:rPr>
              <w:t xml:space="preserve"> </w:t>
            </w:r>
            <w:r w:rsidRPr="00682DE0">
              <w:rPr>
                <w:rFonts w:ascii="Book Antiqua" w:hAnsi="Book Antiqua"/>
                <w:color w:val="000000" w:themeColor="text1"/>
              </w:rPr>
              <w:t>(85)/87</w:t>
            </w:r>
            <w:r w:rsidR="00AF0F37" w:rsidRPr="00682DE0">
              <w:rPr>
                <w:rFonts w:ascii="Book Antiqua" w:hAnsi="Book Antiqua"/>
                <w:color w:val="000000" w:themeColor="text1"/>
              </w:rPr>
              <w:t xml:space="preserve"> </w:t>
            </w:r>
            <w:r w:rsidRPr="00682DE0">
              <w:rPr>
                <w:rFonts w:ascii="Book Antiqua" w:hAnsi="Book Antiqua"/>
                <w:color w:val="000000" w:themeColor="text1"/>
              </w:rPr>
              <w:t>(71)</w:t>
            </w:r>
          </w:p>
        </w:tc>
        <w:tc>
          <w:tcPr>
            <w:tcW w:w="367" w:type="pct"/>
          </w:tcPr>
          <w:p w14:paraId="04130DBC"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77/94, 38/27, 43/36</w:t>
            </w:r>
          </w:p>
        </w:tc>
        <w:tc>
          <w:tcPr>
            <w:tcW w:w="302" w:type="pct"/>
          </w:tcPr>
          <w:p w14:paraId="6A0289A3" w14:textId="77777777"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7E670FB9"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0-2</w:t>
            </w:r>
          </w:p>
        </w:tc>
        <w:tc>
          <w:tcPr>
            <w:tcW w:w="314" w:type="pct"/>
          </w:tcPr>
          <w:p w14:paraId="52D3206C"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First</w:t>
            </w:r>
          </w:p>
        </w:tc>
        <w:tc>
          <w:tcPr>
            <w:tcW w:w="418" w:type="pct"/>
          </w:tcPr>
          <w:p w14:paraId="088F9E9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Celecoxib 400 mg po bid + GEM or NVB + CBP or DDP, ivgtt q3w</w:t>
            </w:r>
            <w:r w:rsidR="00AF0F37" w:rsidRPr="00682DE0">
              <w:rPr>
                <w:rFonts w:ascii="Book Antiqua" w:hAnsi="Book Antiqua"/>
                <w:color w:val="000000" w:themeColor="text1"/>
                <w:vertAlign w:val="superscript"/>
              </w:rPr>
              <w:t>1</w:t>
            </w:r>
          </w:p>
        </w:tc>
        <w:tc>
          <w:tcPr>
            <w:tcW w:w="399" w:type="pct"/>
          </w:tcPr>
          <w:p w14:paraId="08C3A1AF"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Placebo + GEM or NVB + CBP or DDP, ivgtt q3w</w:t>
            </w:r>
          </w:p>
        </w:tc>
        <w:tc>
          <w:tcPr>
            <w:tcW w:w="341" w:type="pct"/>
          </w:tcPr>
          <w:p w14:paraId="541E6B19"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36</w:t>
            </w:r>
          </w:p>
        </w:tc>
      </w:tr>
      <w:tr w:rsidR="00A45C44" w:rsidRPr="00175753" w14:paraId="19424907" w14:textId="77777777" w:rsidTr="00FE3204">
        <w:trPr>
          <w:jc w:val="right"/>
        </w:trPr>
        <w:tc>
          <w:tcPr>
            <w:tcW w:w="250" w:type="pct"/>
          </w:tcPr>
          <w:p w14:paraId="3E8E348D"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NVALT-4</w:t>
            </w:r>
            <w:r w:rsidR="00AF0F37" w:rsidRPr="00682DE0">
              <w:rPr>
                <w:rFonts w:ascii="Book Antiqua" w:hAnsi="Book Antiqua"/>
                <w:color w:val="000000" w:themeColor="text1"/>
                <w:vertAlign w:val="superscript"/>
              </w:rPr>
              <w:t>[25]</w:t>
            </w:r>
          </w:p>
        </w:tc>
        <w:tc>
          <w:tcPr>
            <w:tcW w:w="262" w:type="pct"/>
          </w:tcPr>
          <w:p w14:paraId="7082D8B1"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2011</w:t>
            </w:r>
          </w:p>
        </w:tc>
        <w:tc>
          <w:tcPr>
            <w:tcW w:w="209" w:type="pct"/>
          </w:tcPr>
          <w:p w14:paraId="66BFE57A" w14:textId="77777777"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p>
        </w:tc>
        <w:tc>
          <w:tcPr>
            <w:tcW w:w="365" w:type="pct"/>
          </w:tcPr>
          <w:p w14:paraId="6AD357C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July 2003 to Dec 2007</w:t>
            </w:r>
          </w:p>
        </w:tc>
        <w:tc>
          <w:tcPr>
            <w:tcW w:w="313" w:type="pct"/>
          </w:tcPr>
          <w:p w14:paraId="48DC558C"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Netherlands</w:t>
            </w:r>
          </w:p>
        </w:tc>
        <w:tc>
          <w:tcPr>
            <w:tcW w:w="417" w:type="pct"/>
          </w:tcPr>
          <w:p w14:paraId="47CAC249"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561 (281/280)</w:t>
            </w:r>
          </w:p>
        </w:tc>
        <w:tc>
          <w:tcPr>
            <w:tcW w:w="313" w:type="pct"/>
          </w:tcPr>
          <w:p w14:paraId="488C4FF9"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62</w:t>
            </w:r>
            <w:r w:rsidR="00AF0F37" w:rsidRPr="00682DE0">
              <w:rPr>
                <w:rFonts w:ascii="Book Antiqua" w:hAnsi="Book Antiqua"/>
                <w:color w:val="000000" w:themeColor="text1"/>
              </w:rPr>
              <w:t xml:space="preserve"> </w:t>
            </w:r>
            <w:r w:rsidRPr="00682DE0">
              <w:rPr>
                <w:rFonts w:ascii="Book Antiqua" w:hAnsi="Book Antiqua"/>
                <w:color w:val="000000" w:themeColor="text1"/>
              </w:rPr>
              <w:t>(40-84)/61</w:t>
            </w:r>
            <w:r w:rsidR="00AF0F37" w:rsidRPr="00682DE0">
              <w:rPr>
                <w:rFonts w:ascii="Book Antiqua" w:hAnsi="Book Antiqua"/>
                <w:color w:val="000000" w:themeColor="text1"/>
              </w:rPr>
              <w:t xml:space="preserve"> </w:t>
            </w:r>
            <w:r w:rsidRPr="00682DE0">
              <w:rPr>
                <w:rFonts w:ascii="Book Antiqua" w:hAnsi="Book Antiqua"/>
                <w:color w:val="000000" w:themeColor="text1"/>
              </w:rPr>
              <w:t>(33-84)</w:t>
            </w:r>
          </w:p>
        </w:tc>
        <w:tc>
          <w:tcPr>
            <w:tcW w:w="417" w:type="pct"/>
          </w:tcPr>
          <w:p w14:paraId="49E4DB0C"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184</w:t>
            </w:r>
            <w:r w:rsidR="00AF0F37" w:rsidRPr="00682DE0">
              <w:rPr>
                <w:rFonts w:ascii="Book Antiqua" w:hAnsi="Book Antiqua"/>
                <w:color w:val="000000" w:themeColor="text1"/>
              </w:rPr>
              <w:t xml:space="preserve"> </w:t>
            </w:r>
            <w:r w:rsidRPr="00682DE0">
              <w:rPr>
                <w:rFonts w:ascii="Book Antiqua" w:hAnsi="Book Antiqua"/>
                <w:color w:val="000000" w:themeColor="text1"/>
              </w:rPr>
              <w:t>(97)/171</w:t>
            </w:r>
            <w:r w:rsidR="00AF0F37" w:rsidRPr="00682DE0">
              <w:rPr>
                <w:rFonts w:ascii="Book Antiqua" w:hAnsi="Book Antiqua"/>
                <w:color w:val="000000" w:themeColor="text1"/>
              </w:rPr>
              <w:t xml:space="preserve"> </w:t>
            </w:r>
            <w:r w:rsidRPr="00682DE0">
              <w:rPr>
                <w:rFonts w:ascii="Book Antiqua" w:hAnsi="Book Antiqua"/>
                <w:color w:val="000000" w:themeColor="text1"/>
              </w:rPr>
              <w:t>(109)</w:t>
            </w:r>
          </w:p>
        </w:tc>
        <w:tc>
          <w:tcPr>
            <w:tcW w:w="367" w:type="pct"/>
          </w:tcPr>
          <w:p w14:paraId="6BB44229"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138/132, 44/57, 99/91</w:t>
            </w:r>
          </w:p>
        </w:tc>
        <w:tc>
          <w:tcPr>
            <w:tcW w:w="302" w:type="pct"/>
          </w:tcPr>
          <w:p w14:paraId="7D5B00D3" w14:textId="77777777"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273B8814"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0-2</w:t>
            </w:r>
          </w:p>
        </w:tc>
        <w:tc>
          <w:tcPr>
            <w:tcW w:w="314" w:type="pct"/>
          </w:tcPr>
          <w:p w14:paraId="31E0309F"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First</w:t>
            </w:r>
          </w:p>
        </w:tc>
        <w:tc>
          <w:tcPr>
            <w:tcW w:w="418" w:type="pct"/>
          </w:tcPr>
          <w:p w14:paraId="00B616F0"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Celecoxib 400 mg po bid + DTX 75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qd day 1 + CBP ivgtt qd day 1, q3w</w:t>
            </w:r>
            <w:r w:rsidR="00AF0F37" w:rsidRPr="00682DE0">
              <w:rPr>
                <w:rFonts w:ascii="Book Antiqua" w:hAnsi="Book Antiqua"/>
                <w:color w:val="000000" w:themeColor="text1"/>
                <w:vertAlign w:val="superscript"/>
              </w:rPr>
              <w:t>2</w:t>
            </w:r>
          </w:p>
        </w:tc>
        <w:tc>
          <w:tcPr>
            <w:tcW w:w="399" w:type="pct"/>
          </w:tcPr>
          <w:p w14:paraId="649A9A20"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Placebo + DTX 75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qd day 1 + CBP ivgtt qd day 1, q3w</w:t>
            </w:r>
          </w:p>
        </w:tc>
        <w:tc>
          <w:tcPr>
            <w:tcW w:w="341" w:type="pct"/>
          </w:tcPr>
          <w:p w14:paraId="1A17AC86"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r>
      <w:tr w:rsidR="00A45C44" w:rsidRPr="00175753" w14:paraId="374B4666" w14:textId="77777777" w:rsidTr="00FE3204">
        <w:trPr>
          <w:jc w:val="right"/>
        </w:trPr>
        <w:tc>
          <w:tcPr>
            <w:tcW w:w="250" w:type="pct"/>
          </w:tcPr>
          <w:p w14:paraId="1EF85BCD"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Liu</w:t>
            </w:r>
            <w:r w:rsidR="00AF0F37" w:rsidRPr="00682DE0">
              <w:rPr>
                <w:rFonts w:ascii="Book Antiqua" w:hAnsi="Book Antiqua"/>
                <w:color w:val="000000" w:themeColor="text1"/>
              </w:rPr>
              <w:t xml:space="preserve"> </w:t>
            </w:r>
            <w:r w:rsidR="00AF0F37" w:rsidRPr="00682DE0">
              <w:rPr>
                <w:rFonts w:ascii="Book Antiqua" w:hAnsi="Book Antiqua"/>
                <w:i/>
                <w:iCs/>
                <w:color w:val="000000" w:themeColor="text1"/>
              </w:rPr>
              <w:t>et al</w:t>
            </w:r>
            <w:r w:rsidR="00AF0F37" w:rsidRPr="00682DE0">
              <w:rPr>
                <w:rFonts w:ascii="Book Antiqua" w:hAnsi="Book Antiqua"/>
                <w:color w:val="000000" w:themeColor="text1"/>
                <w:vertAlign w:val="superscript"/>
              </w:rPr>
              <w:t>[30]</w:t>
            </w:r>
          </w:p>
        </w:tc>
        <w:tc>
          <w:tcPr>
            <w:tcW w:w="262" w:type="pct"/>
          </w:tcPr>
          <w:p w14:paraId="38E67B2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2012</w:t>
            </w:r>
          </w:p>
        </w:tc>
        <w:tc>
          <w:tcPr>
            <w:tcW w:w="209" w:type="pct"/>
          </w:tcPr>
          <w:p w14:paraId="7D102D8F"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365" w:type="pct"/>
          </w:tcPr>
          <w:p w14:paraId="70B0BA5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Jan 2006 to May 2011</w:t>
            </w:r>
          </w:p>
        </w:tc>
        <w:tc>
          <w:tcPr>
            <w:tcW w:w="313" w:type="pct"/>
          </w:tcPr>
          <w:p w14:paraId="46E96AF4"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China</w:t>
            </w:r>
          </w:p>
        </w:tc>
        <w:tc>
          <w:tcPr>
            <w:tcW w:w="417" w:type="pct"/>
          </w:tcPr>
          <w:p w14:paraId="03B8FA45"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46 (24/22)</w:t>
            </w:r>
          </w:p>
        </w:tc>
        <w:tc>
          <w:tcPr>
            <w:tcW w:w="313" w:type="pct"/>
          </w:tcPr>
          <w:p w14:paraId="6A65E48F"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62</w:t>
            </w:r>
            <w:r w:rsidR="00AF0F37" w:rsidRPr="00682DE0">
              <w:rPr>
                <w:rFonts w:ascii="Book Antiqua" w:hAnsi="Book Antiqua"/>
                <w:color w:val="000000" w:themeColor="text1"/>
              </w:rPr>
              <w:t xml:space="preserve"> </w:t>
            </w:r>
            <w:r w:rsidRPr="00682DE0">
              <w:rPr>
                <w:rFonts w:ascii="Book Antiqua" w:hAnsi="Book Antiqua"/>
                <w:color w:val="000000" w:themeColor="text1"/>
              </w:rPr>
              <w:t>(49-75)/64</w:t>
            </w:r>
            <w:r w:rsidR="00AF0F37" w:rsidRPr="00682DE0">
              <w:rPr>
                <w:rFonts w:ascii="Book Antiqua" w:hAnsi="Book Antiqua"/>
                <w:color w:val="000000" w:themeColor="text1"/>
              </w:rPr>
              <w:t xml:space="preserve"> </w:t>
            </w:r>
            <w:r w:rsidRPr="00682DE0">
              <w:rPr>
                <w:rFonts w:ascii="Book Antiqua" w:hAnsi="Book Antiqua"/>
                <w:color w:val="000000" w:themeColor="text1"/>
              </w:rPr>
              <w:t>(52-76)</w:t>
            </w:r>
          </w:p>
        </w:tc>
        <w:tc>
          <w:tcPr>
            <w:tcW w:w="417" w:type="pct"/>
          </w:tcPr>
          <w:p w14:paraId="61FE2454"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14</w:t>
            </w:r>
            <w:r w:rsidR="00AF0F37" w:rsidRPr="00682DE0">
              <w:rPr>
                <w:rFonts w:ascii="Book Antiqua" w:hAnsi="Book Antiqua"/>
                <w:color w:val="000000" w:themeColor="text1"/>
              </w:rPr>
              <w:t xml:space="preserve"> </w:t>
            </w:r>
            <w:r w:rsidRPr="00682DE0">
              <w:rPr>
                <w:rFonts w:ascii="Book Antiqua" w:hAnsi="Book Antiqua"/>
                <w:color w:val="000000" w:themeColor="text1"/>
              </w:rPr>
              <w:t>(10)/15</w:t>
            </w:r>
            <w:r w:rsidR="00AF0F37" w:rsidRPr="00682DE0">
              <w:rPr>
                <w:rFonts w:ascii="Book Antiqua" w:hAnsi="Book Antiqua"/>
                <w:color w:val="000000" w:themeColor="text1"/>
              </w:rPr>
              <w:t xml:space="preserve"> </w:t>
            </w:r>
            <w:r w:rsidRPr="00682DE0">
              <w:rPr>
                <w:rFonts w:ascii="Book Antiqua" w:hAnsi="Book Antiqua"/>
                <w:color w:val="000000" w:themeColor="text1"/>
              </w:rPr>
              <w:t>(7)</w:t>
            </w:r>
          </w:p>
        </w:tc>
        <w:tc>
          <w:tcPr>
            <w:tcW w:w="367" w:type="pct"/>
          </w:tcPr>
          <w:p w14:paraId="6DC4974F"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15/14, 9/8, 0/0</w:t>
            </w:r>
          </w:p>
        </w:tc>
        <w:tc>
          <w:tcPr>
            <w:tcW w:w="302" w:type="pct"/>
          </w:tcPr>
          <w:p w14:paraId="29EDA803" w14:textId="77777777"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1D534DB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 xml:space="preserve">Karnofsky </w:t>
            </w:r>
            <w:r w:rsidR="00AF0F37" w:rsidRPr="00682DE0">
              <w:rPr>
                <w:rFonts w:ascii="Book Antiqua" w:eastAsia="宋体" w:hAnsi="Book Antiqua" w:cs="宋体" w:hint="eastAsia"/>
                <w:color w:val="000000" w:themeColor="text1"/>
              </w:rPr>
              <w:t>≥</w:t>
            </w:r>
            <w:r w:rsidR="00AF0F37" w:rsidRPr="00682DE0">
              <w:rPr>
                <w:rFonts w:ascii="Book Antiqua" w:eastAsia="宋体" w:hAnsi="Book Antiqua" w:cs="宋体"/>
                <w:color w:val="000000" w:themeColor="text1"/>
              </w:rPr>
              <w:t xml:space="preserve"> </w:t>
            </w:r>
            <w:r w:rsidRPr="00682DE0">
              <w:rPr>
                <w:rFonts w:ascii="Book Antiqua" w:hAnsi="Book Antiqua"/>
                <w:color w:val="000000" w:themeColor="text1"/>
              </w:rPr>
              <w:t>70</w:t>
            </w:r>
          </w:p>
        </w:tc>
        <w:tc>
          <w:tcPr>
            <w:tcW w:w="314" w:type="pct"/>
          </w:tcPr>
          <w:p w14:paraId="1FDA0C8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First</w:t>
            </w:r>
          </w:p>
        </w:tc>
        <w:tc>
          <w:tcPr>
            <w:tcW w:w="418" w:type="pct"/>
          </w:tcPr>
          <w:p w14:paraId="0B203C3E"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Celecoxib 400 mg po bid days 1-5 + DTX 75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qd day 1 + DDP 100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qd day 1, q3w</w:t>
            </w:r>
          </w:p>
        </w:tc>
        <w:tc>
          <w:tcPr>
            <w:tcW w:w="399" w:type="pct"/>
          </w:tcPr>
          <w:p w14:paraId="6EB3C0C8"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DTX 75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qd day 1 + DDP 100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qd day 1, q3w</w:t>
            </w:r>
          </w:p>
        </w:tc>
        <w:tc>
          <w:tcPr>
            <w:tcW w:w="341" w:type="pct"/>
          </w:tcPr>
          <w:p w14:paraId="00F7A395"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r>
      <w:tr w:rsidR="00A45C44" w:rsidRPr="00175753" w14:paraId="503CD339" w14:textId="77777777" w:rsidTr="00FE3204">
        <w:trPr>
          <w:jc w:val="right"/>
        </w:trPr>
        <w:tc>
          <w:tcPr>
            <w:tcW w:w="250" w:type="pct"/>
          </w:tcPr>
          <w:p w14:paraId="5DD88488" w14:textId="77777777" w:rsidR="00FE3204" w:rsidRPr="00682DE0" w:rsidRDefault="00AF0F37"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 xml:space="preserve">Sörenson </w:t>
            </w:r>
            <w:r w:rsidRPr="00682DE0">
              <w:rPr>
                <w:rFonts w:ascii="Book Antiqua" w:hAnsi="Book Antiqua"/>
                <w:i/>
                <w:iCs/>
                <w:color w:val="000000" w:themeColor="text1"/>
              </w:rPr>
              <w:t>et al</w:t>
            </w:r>
            <w:r w:rsidRPr="00682DE0">
              <w:rPr>
                <w:rFonts w:ascii="Book Antiqua" w:hAnsi="Book Antiqua"/>
                <w:color w:val="000000" w:themeColor="text1"/>
                <w:vertAlign w:val="superscript"/>
              </w:rPr>
              <w:t>[32]</w:t>
            </w:r>
          </w:p>
        </w:tc>
        <w:tc>
          <w:tcPr>
            <w:tcW w:w="262" w:type="pct"/>
          </w:tcPr>
          <w:p w14:paraId="566133AA"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2013</w:t>
            </w:r>
          </w:p>
        </w:tc>
        <w:tc>
          <w:tcPr>
            <w:tcW w:w="209" w:type="pct"/>
          </w:tcPr>
          <w:p w14:paraId="6A07EDED" w14:textId="77777777" w:rsidR="00FE3204" w:rsidRPr="00682DE0" w:rsidRDefault="0019005D" w:rsidP="00682DE0">
            <w:pPr>
              <w:spacing w:line="360" w:lineRule="auto"/>
              <w:jc w:val="both"/>
              <w:rPr>
                <w:rFonts w:ascii="Book Antiqua" w:hAnsi="Book Antiqua" w:cs="Times New Roman"/>
                <w:color w:val="000000" w:themeColor="text1"/>
              </w:rPr>
            </w:pPr>
            <w:r w:rsidRPr="00682DE0">
              <w:rPr>
                <w:rFonts w:ascii="Book Antiqua" w:eastAsia="宋体" w:hAnsi="Book Antiqua" w:cs="宋体"/>
                <w:color w:val="000000" w:themeColor="text1"/>
              </w:rPr>
              <w:t>Ш</w:t>
            </w:r>
          </w:p>
        </w:tc>
        <w:tc>
          <w:tcPr>
            <w:tcW w:w="365" w:type="pct"/>
          </w:tcPr>
          <w:p w14:paraId="4D3F8FE3"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May 2006 to May 2009</w:t>
            </w:r>
          </w:p>
        </w:tc>
        <w:tc>
          <w:tcPr>
            <w:tcW w:w="313" w:type="pct"/>
          </w:tcPr>
          <w:p w14:paraId="1A7FDBCC"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Swed</w:t>
            </w:r>
            <w:r w:rsidR="00BD4E05" w:rsidRPr="00682DE0">
              <w:rPr>
                <w:rFonts w:ascii="Book Antiqua" w:hAnsi="Book Antiqua"/>
                <w:color w:val="000000" w:themeColor="text1"/>
              </w:rPr>
              <w:t>en</w:t>
            </w:r>
          </w:p>
        </w:tc>
        <w:tc>
          <w:tcPr>
            <w:tcW w:w="417" w:type="pct"/>
          </w:tcPr>
          <w:p w14:paraId="361FDCE7"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107 (52/55)</w:t>
            </w:r>
          </w:p>
        </w:tc>
        <w:tc>
          <w:tcPr>
            <w:tcW w:w="313" w:type="pct"/>
          </w:tcPr>
          <w:p w14:paraId="7F6A61CE"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65</w:t>
            </w:r>
            <w:r w:rsidR="00AF0F37" w:rsidRPr="00682DE0">
              <w:rPr>
                <w:rFonts w:ascii="Book Antiqua" w:hAnsi="Book Antiqua"/>
                <w:color w:val="000000" w:themeColor="text1"/>
              </w:rPr>
              <w:t xml:space="preserve"> </w:t>
            </w:r>
            <w:r w:rsidRPr="00682DE0">
              <w:rPr>
                <w:rFonts w:ascii="Book Antiqua" w:hAnsi="Book Antiqua"/>
                <w:color w:val="000000" w:themeColor="text1"/>
              </w:rPr>
              <w:t>(37-84)</w:t>
            </w:r>
          </w:p>
        </w:tc>
        <w:tc>
          <w:tcPr>
            <w:tcW w:w="417" w:type="pct"/>
          </w:tcPr>
          <w:p w14:paraId="2F371E83"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50/57</w:t>
            </w:r>
          </w:p>
        </w:tc>
        <w:tc>
          <w:tcPr>
            <w:tcW w:w="367" w:type="pct"/>
          </w:tcPr>
          <w:p w14:paraId="709A5909"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65, 16, 26</w:t>
            </w:r>
          </w:p>
        </w:tc>
        <w:tc>
          <w:tcPr>
            <w:tcW w:w="302" w:type="pct"/>
          </w:tcPr>
          <w:p w14:paraId="6C56991D" w14:textId="77777777" w:rsidR="00FE3204" w:rsidRPr="00682DE0" w:rsidRDefault="0019005D" w:rsidP="00682DE0">
            <w:pPr>
              <w:spacing w:line="360" w:lineRule="auto"/>
              <w:jc w:val="both"/>
              <w:rPr>
                <w:rFonts w:ascii="Book Antiqua"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513CEEA3"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314" w:type="pct"/>
          </w:tcPr>
          <w:p w14:paraId="299BBBDB"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First</w:t>
            </w:r>
          </w:p>
        </w:tc>
        <w:tc>
          <w:tcPr>
            <w:tcW w:w="418" w:type="pct"/>
          </w:tcPr>
          <w:p w14:paraId="568295D3"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Celecoxib at a dose of 400 mg bid + carboplatin plus gemcitabine/vinorelbine</w:t>
            </w:r>
          </w:p>
        </w:tc>
        <w:tc>
          <w:tcPr>
            <w:tcW w:w="399" w:type="pct"/>
          </w:tcPr>
          <w:p w14:paraId="6ABAB49D"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Carboplatin + gemcitabine/ vinorelbine</w:t>
            </w:r>
          </w:p>
        </w:tc>
        <w:tc>
          <w:tcPr>
            <w:tcW w:w="341" w:type="pct"/>
          </w:tcPr>
          <w:p w14:paraId="17AFD9A2" w14:textId="77777777" w:rsidR="00FE3204" w:rsidRPr="00682DE0" w:rsidRDefault="00FE3204" w:rsidP="00A45C44">
            <w:pPr>
              <w:spacing w:line="360" w:lineRule="auto"/>
              <w:jc w:val="both"/>
              <w:rPr>
                <w:rFonts w:ascii="Book Antiqua" w:hAnsi="Book Antiqua" w:cs="Times New Roman"/>
                <w:color w:val="000000" w:themeColor="text1"/>
              </w:rPr>
            </w:pPr>
            <w:r w:rsidRPr="00682DE0">
              <w:rPr>
                <w:rFonts w:ascii="Book Antiqua" w:hAnsi="Book Antiqua"/>
                <w:color w:val="000000" w:themeColor="text1"/>
              </w:rPr>
              <w:t>5</w:t>
            </w:r>
          </w:p>
        </w:tc>
      </w:tr>
      <w:tr w:rsidR="00A45C44" w:rsidRPr="00175753" w14:paraId="4F096376" w14:textId="77777777" w:rsidTr="00FE3204">
        <w:trPr>
          <w:jc w:val="right"/>
        </w:trPr>
        <w:tc>
          <w:tcPr>
            <w:tcW w:w="250" w:type="pct"/>
          </w:tcPr>
          <w:p w14:paraId="48801476"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Gitlitz</w:t>
            </w:r>
            <w:r w:rsidR="00AF0F37" w:rsidRPr="00682DE0">
              <w:rPr>
                <w:rFonts w:ascii="Book Antiqua" w:hAnsi="Book Antiqua"/>
                <w:color w:val="000000" w:themeColor="text1"/>
              </w:rPr>
              <w:t xml:space="preserve"> </w:t>
            </w:r>
            <w:r w:rsidR="00AF0F37" w:rsidRPr="00682DE0">
              <w:rPr>
                <w:rFonts w:ascii="Book Antiqua" w:hAnsi="Book Antiqua"/>
                <w:i/>
                <w:iCs/>
                <w:color w:val="000000" w:themeColor="text1"/>
              </w:rPr>
              <w:t>et al</w:t>
            </w:r>
            <w:r w:rsidR="00AF0F37" w:rsidRPr="00682DE0">
              <w:rPr>
                <w:rFonts w:ascii="Book Antiqua" w:hAnsi="Book Antiqua"/>
                <w:color w:val="000000" w:themeColor="text1"/>
                <w:vertAlign w:val="superscript"/>
              </w:rPr>
              <w:t>[33]</w:t>
            </w:r>
          </w:p>
        </w:tc>
        <w:tc>
          <w:tcPr>
            <w:tcW w:w="262" w:type="pct"/>
          </w:tcPr>
          <w:p w14:paraId="749DDC23"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2014</w:t>
            </w:r>
          </w:p>
        </w:tc>
        <w:tc>
          <w:tcPr>
            <w:tcW w:w="209" w:type="pct"/>
          </w:tcPr>
          <w:p w14:paraId="671332C8"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II</w:t>
            </w:r>
          </w:p>
        </w:tc>
        <w:tc>
          <w:tcPr>
            <w:tcW w:w="365" w:type="pct"/>
          </w:tcPr>
          <w:p w14:paraId="66901D76"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NA</w:t>
            </w:r>
          </w:p>
        </w:tc>
        <w:tc>
          <w:tcPr>
            <w:tcW w:w="313" w:type="pct"/>
          </w:tcPr>
          <w:p w14:paraId="41C72CE8"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U</w:t>
            </w:r>
            <w:r w:rsidR="00AF0F37" w:rsidRPr="00682DE0">
              <w:rPr>
                <w:rFonts w:ascii="Book Antiqua" w:hAnsi="Book Antiqua"/>
                <w:color w:val="000000" w:themeColor="text1"/>
              </w:rPr>
              <w:t>nited States</w:t>
            </w:r>
          </w:p>
        </w:tc>
        <w:tc>
          <w:tcPr>
            <w:tcW w:w="417" w:type="pct"/>
          </w:tcPr>
          <w:p w14:paraId="11128F7C"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120 (78/42)</w:t>
            </w:r>
          </w:p>
        </w:tc>
        <w:tc>
          <w:tcPr>
            <w:tcW w:w="313" w:type="pct"/>
          </w:tcPr>
          <w:p w14:paraId="10173B4D"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63</w:t>
            </w:r>
            <w:r w:rsidR="00AF0F37" w:rsidRPr="00682DE0">
              <w:rPr>
                <w:rFonts w:ascii="Book Antiqua" w:hAnsi="Book Antiqua"/>
                <w:color w:val="000000" w:themeColor="text1"/>
              </w:rPr>
              <w:t xml:space="preserve"> </w:t>
            </w:r>
            <w:r w:rsidRPr="00682DE0">
              <w:rPr>
                <w:rFonts w:ascii="Book Antiqua" w:hAnsi="Book Antiqua"/>
                <w:color w:val="000000" w:themeColor="text1"/>
              </w:rPr>
              <w:t>(35-81)/65</w:t>
            </w:r>
            <w:r w:rsidR="00AF0F37" w:rsidRPr="00682DE0">
              <w:rPr>
                <w:rFonts w:ascii="Book Antiqua" w:hAnsi="Book Antiqua"/>
                <w:color w:val="000000" w:themeColor="text1"/>
              </w:rPr>
              <w:t xml:space="preserve"> </w:t>
            </w:r>
            <w:r w:rsidRPr="00682DE0">
              <w:rPr>
                <w:rFonts w:ascii="Book Antiqua" w:hAnsi="Book Antiqua"/>
                <w:color w:val="000000" w:themeColor="text1"/>
              </w:rPr>
              <w:t>(36-84)</w:t>
            </w:r>
          </w:p>
        </w:tc>
        <w:tc>
          <w:tcPr>
            <w:tcW w:w="417" w:type="pct"/>
          </w:tcPr>
          <w:p w14:paraId="664AB5BD"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78</w:t>
            </w:r>
            <w:r w:rsidR="00AF0F37" w:rsidRPr="00682DE0">
              <w:rPr>
                <w:rFonts w:ascii="Book Antiqua" w:hAnsi="Book Antiqua"/>
                <w:color w:val="000000" w:themeColor="text1"/>
              </w:rPr>
              <w:t xml:space="preserve"> </w:t>
            </w:r>
            <w:r w:rsidRPr="00682DE0">
              <w:rPr>
                <w:rFonts w:ascii="Book Antiqua" w:hAnsi="Book Antiqua"/>
                <w:color w:val="000000" w:themeColor="text1"/>
              </w:rPr>
              <w:t>(42)/42</w:t>
            </w:r>
            <w:r w:rsidR="00AF0F37" w:rsidRPr="00682DE0">
              <w:rPr>
                <w:rFonts w:ascii="Book Antiqua" w:hAnsi="Book Antiqua"/>
                <w:color w:val="000000" w:themeColor="text1"/>
              </w:rPr>
              <w:t xml:space="preserve"> </w:t>
            </w:r>
            <w:r w:rsidRPr="00682DE0">
              <w:rPr>
                <w:rFonts w:ascii="Book Antiqua" w:hAnsi="Book Antiqua"/>
                <w:color w:val="000000" w:themeColor="text1"/>
              </w:rPr>
              <w:t>(25)</w:t>
            </w:r>
          </w:p>
        </w:tc>
        <w:tc>
          <w:tcPr>
            <w:tcW w:w="367" w:type="pct"/>
          </w:tcPr>
          <w:p w14:paraId="5B2AF969"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45/24, 21/11, 12/7</w:t>
            </w:r>
          </w:p>
        </w:tc>
        <w:tc>
          <w:tcPr>
            <w:tcW w:w="302" w:type="pct"/>
          </w:tcPr>
          <w:p w14:paraId="1AAF249D" w14:textId="77777777" w:rsidR="00FE3204" w:rsidRPr="00682DE0" w:rsidRDefault="0019005D" w:rsidP="00682DE0">
            <w:pPr>
              <w:spacing w:line="360" w:lineRule="auto"/>
              <w:jc w:val="both"/>
              <w:rPr>
                <w:rFonts w:ascii="Book Antiqua"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4C1C4AF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0-2</w:t>
            </w:r>
          </w:p>
        </w:tc>
        <w:tc>
          <w:tcPr>
            <w:tcW w:w="314" w:type="pct"/>
          </w:tcPr>
          <w:p w14:paraId="7475AF56"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Second</w:t>
            </w:r>
          </w:p>
        </w:tc>
        <w:tc>
          <w:tcPr>
            <w:tcW w:w="418" w:type="pct"/>
          </w:tcPr>
          <w:p w14:paraId="61D477DE"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Apricoxib (400 mg/d) + erlotinib (150 mg/d) on 21-d cycles</w:t>
            </w:r>
          </w:p>
        </w:tc>
        <w:tc>
          <w:tcPr>
            <w:tcW w:w="399" w:type="pct"/>
          </w:tcPr>
          <w:p w14:paraId="2F0762C8"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Placebo + erlotinib (150 mg/d) on 21-d cycles</w:t>
            </w:r>
          </w:p>
        </w:tc>
        <w:tc>
          <w:tcPr>
            <w:tcW w:w="341" w:type="pct"/>
          </w:tcPr>
          <w:p w14:paraId="4965520C" w14:textId="77777777" w:rsidR="00FE3204" w:rsidRPr="00682DE0" w:rsidRDefault="00FE3204" w:rsidP="00A45C44">
            <w:pPr>
              <w:spacing w:line="360" w:lineRule="auto"/>
              <w:jc w:val="both"/>
              <w:rPr>
                <w:rFonts w:ascii="Book Antiqua" w:hAnsi="Book Antiqua" w:cs="Times New Roman"/>
                <w:color w:val="000000" w:themeColor="text1"/>
              </w:rPr>
            </w:pPr>
            <w:r w:rsidRPr="00682DE0">
              <w:rPr>
                <w:rFonts w:ascii="Book Antiqua" w:hAnsi="Book Antiqua"/>
                <w:color w:val="000000" w:themeColor="text1"/>
              </w:rPr>
              <w:t>NA</w:t>
            </w:r>
          </w:p>
        </w:tc>
      </w:tr>
      <w:tr w:rsidR="00A45C44" w:rsidRPr="00175753" w14:paraId="1CCEF095" w14:textId="77777777" w:rsidTr="00FE3204">
        <w:trPr>
          <w:jc w:val="right"/>
        </w:trPr>
        <w:tc>
          <w:tcPr>
            <w:tcW w:w="250" w:type="pct"/>
          </w:tcPr>
          <w:p w14:paraId="36397C2F"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0822-GCC</w:t>
            </w:r>
            <w:r w:rsidR="003C2DB3" w:rsidRPr="00682DE0">
              <w:rPr>
                <w:rFonts w:ascii="Book Antiqua" w:hAnsi="Book Antiqua"/>
                <w:color w:val="000000" w:themeColor="text1"/>
                <w:vertAlign w:val="superscript"/>
              </w:rPr>
              <w:t>[26]</w:t>
            </w:r>
          </w:p>
        </w:tc>
        <w:tc>
          <w:tcPr>
            <w:tcW w:w="262" w:type="pct"/>
          </w:tcPr>
          <w:p w14:paraId="565DFA81"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2015</w:t>
            </w:r>
          </w:p>
        </w:tc>
        <w:tc>
          <w:tcPr>
            <w:tcW w:w="209" w:type="pct"/>
          </w:tcPr>
          <w:p w14:paraId="6E600220"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II</w:t>
            </w:r>
          </w:p>
        </w:tc>
        <w:tc>
          <w:tcPr>
            <w:tcW w:w="365" w:type="pct"/>
          </w:tcPr>
          <w:p w14:paraId="743E689A"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313" w:type="pct"/>
          </w:tcPr>
          <w:p w14:paraId="193FDA34"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U</w:t>
            </w:r>
            <w:r w:rsidR="00AF0F37" w:rsidRPr="00682DE0">
              <w:rPr>
                <w:rFonts w:ascii="Book Antiqua" w:hAnsi="Book Antiqua"/>
                <w:color w:val="000000" w:themeColor="text1"/>
              </w:rPr>
              <w:t>nited States</w:t>
            </w:r>
          </w:p>
        </w:tc>
        <w:tc>
          <w:tcPr>
            <w:tcW w:w="417" w:type="pct"/>
          </w:tcPr>
          <w:p w14:paraId="41A2B2EA"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72</w:t>
            </w:r>
            <w:r w:rsidR="00AF0F37" w:rsidRPr="00682DE0">
              <w:rPr>
                <w:rFonts w:ascii="Book Antiqua" w:hAnsi="Book Antiqua"/>
                <w:color w:val="000000" w:themeColor="text1"/>
              </w:rPr>
              <w:t xml:space="preserve"> </w:t>
            </w:r>
            <w:r w:rsidRPr="00682DE0">
              <w:rPr>
                <w:rFonts w:ascii="Book Antiqua" w:hAnsi="Book Antiqua"/>
                <w:color w:val="000000" w:themeColor="text1"/>
              </w:rPr>
              <w:t>(36/36)</w:t>
            </w:r>
          </w:p>
        </w:tc>
        <w:tc>
          <w:tcPr>
            <w:tcW w:w="313" w:type="pct"/>
          </w:tcPr>
          <w:p w14:paraId="19B6936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62/66</w:t>
            </w:r>
          </w:p>
        </w:tc>
        <w:tc>
          <w:tcPr>
            <w:tcW w:w="417" w:type="pct"/>
          </w:tcPr>
          <w:p w14:paraId="0C427CF7"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20</w:t>
            </w:r>
            <w:r w:rsidR="00AF0F37" w:rsidRPr="00682DE0">
              <w:rPr>
                <w:rFonts w:ascii="Book Antiqua" w:hAnsi="Book Antiqua"/>
                <w:color w:val="000000" w:themeColor="text1"/>
              </w:rPr>
              <w:t xml:space="preserve"> </w:t>
            </w:r>
            <w:r w:rsidRPr="00682DE0">
              <w:rPr>
                <w:rFonts w:ascii="Book Antiqua" w:hAnsi="Book Antiqua"/>
                <w:color w:val="000000" w:themeColor="text1"/>
              </w:rPr>
              <w:t>(16)/20</w:t>
            </w:r>
            <w:r w:rsidR="00AF0F37" w:rsidRPr="00682DE0">
              <w:rPr>
                <w:rFonts w:ascii="Book Antiqua" w:hAnsi="Book Antiqua"/>
                <w:color w:val="000000" w:themeColor="text1"/>
              </w:rPr>
              <w:t xml:space="preserve"> </w:t>
            </w:r>
            <w:r w:rsidRPr="00682DE0">
              <w:rPr>
                <w:rFonts w:ascii="Book Antiqua" w:hAnsi="Book Antiqua"/>
                <w:color w:val="000000" w:themeColor="text1"/>
              </w:rPr>
              <w:t>(16)</w:t>
            </w:r>
          </w:p>
        </w:tc>
        <w:tc>
          <w:tcPr>
            <w:tcW w:w="367" w:type="pct"/>
          </w:tcPr>
          <w:p w14:paraId="6DC0C454"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24/25, 8/6, 4/5</w:t>
            </w:r>
          </w:p>
        </w:tc>
        <w:tc>
          <w:tcPr>
            <w:tcW w:w="302" w:type="pct"/>
          </w:tcPr>
          <w:p w14:paraId="1738B7FD" w14:textId="77777777"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75F726EB"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0-2</w:t>
            </w:r>
          </w:p>
        </w:tc>
        <w:tc>
          <w:tcPr>
            <w:tcW w:w="314" w:type="pct"/>
          </w:tcPr>
          <w:p w14:paraId="259D068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Second</w:t>
            </w:r>
          </w:p>
        </w:tc>
        <w:tc>
          <w:tcPr>
            <w:tcW w:w="418" w:type="pct"/>
          </w:tcPr>
          <w:p w14:paraId="14110865"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Apricoxib 400 mg po qd + DTX 75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or PET 500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q3w</w:t>
            </w:r>
          </w:p>
        </w:tc>
        <w:tc>
          <w:tcPr>
            <w:tcW w:w="399" w:type="pct"/>
          </w:tcPr>
          <w:p w14:paraId="6C7BD4DE"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Placebo 400 mg po qd DTX 75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or PET 500 mg</w:t>
            </w:r>
            <w:r w:rsidR="00AF0F37"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q3w</w:t>
            </w:r>
          </w:p>
        </w:tc>
        <w:tc>
          <w:tcPr>
            <w:tcW w:w="341" w:type="pct"/>
          </w:tcPr>
          <w:p w14:paraId="65A2421B"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r>
      <w:tr w:rsidR="00A45C44" w:rsidRPr="00175753" w14:paraId="65137DA7" w14:textId="77777777" w:rsidTr="00FE3204">
        <w:trPr>
          <w:jc w:val="right"/>
        </w:trPr>
        <w:tc>
          <w:tcPr>
            <w:tcW w:w="250" w:type="pct"/>
          </w:tcPr>
          <w:p w14:paraId="49F057C0"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Teng</w:t>
            </w:r>
            <w:r w:rsidR="00AF0F37" w:rsidRPr="00682DE0">
              <w:rPr>
                <w:rFonts w:ascii="Book Antiqua" w:hAnsi="Book Antiqua"/>
                <w:color w:val="000000" w:themeColor="text1"/>
              </w:rPr>
              <w:t xml:space="preserve"> </w:t>
            </w:r>
            <w:r w:rsidR="00AF0F37" w:rsidRPr="00682DE0">
              <w:rPr>
                <w:rFonts w:ascii="Book Antiqua" w:hAnsi="Book Antiqua"/>
                <w:i/>
                <w:iCs/>
                <w:color w:val="000000" w:themeColor="text1"/>
              </w:rPr>
              <w:t>et al</w:t>
            </w:r>
            <w:r w:rsidR="00AF0F37" w:rsidRPr="00682DE0">
              <w:rPr>
                <w:rFonts w:ascii="Book Antiqua" w:hAnsi="Book Antiqua"/>
                <w:color w:val="000000" w:themeColor="text1"/>
                <w:vertAlign w:val="superscript"/>
              </w:rPr>
              <w:t>[31]</w:t>
            </w:r>
          </w:p>
        </w:tc>
        <w:tc>
          <w:tcPr>
            <w:tcW w:w="262" w:type="pct"/>
          </w:tcPr>
          <w:p w14:paraId="24632F80"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2015</w:t>
            </w:r>
          </w:p>
        </w:tc>
        <w:tc>
          <w:tcPr>
            <w:tcW w:w="209" w:type="pct"/>
          </w:tcPr>
          <w:p w14:paraId="0C2217AC"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II</w:t>
            </w:r>
          </w:p>
        </w:tc>
        <w:tc>
          <w:tcPr>
            <w:tcW w:w="365" w:type="pct"/>
          </w:tcPr>
          <w:p w14:paraId="12F2D09E"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Aug 2009 to May 2012</w:t>
            </w:r>
          </w:p>
        </w:tc>
        <w:tc>
          <w:tcPr>
            <w:tcW w:w="313" w:type="pct"/>
          </w:tcPr>
          <w:p w14:paraId="0839FA8B"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China</w:t>
            </w:r>
          </w:p>
        </w:tc>
        <w:tc>
          <w:tcPr>
            <w:tcW w:w="417" w:type="pct"/>
          </w:tcPr>
          <w:p w14:paraId="334D625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81</w:t>
            </w:r>
            <w:r w:rsidR="003C2DB3" w:rsidRPr="00682DE0">
              <w:rPr>
                <w:rFonts w:ascii="Book Antiqua" w:hAnsi="Book Antiqua"/>
                <w:color w:val="000000" w:themeColor="text1"/>
              </w:rPr>
              <w:t xml:space="preserve"> </w:t>
            </w:r>
            <w:r w:rsidRPr="00682DE0">
              <w:rPr>
                <w:rFonts w:ascii="Book Antiqua" w:hAnsi="Book Antiqua"/>
                <w:color w:val="000000" w:themeColor="text1"/>
              </w:rPr>
              <w:t>(41/40)</w:t>
            </w:r>
          </w:p>
        </w:tc>
        <w:tc>
          <w:tcPr>
            <w:tcW w:w="313" w:type="pct"/>
          </w:tcPr>
          <w:p w14:paraId="3AC368A5"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57.7</w:t>
            </w:r>
            <w:r w:rsidR="003C2DB3" w:rsidRPr="00682DE0">
              <w:rPr>
                <w:rFonts w:ascii="Book Antiqua" w:hAnsi="Book Antiqua"/>
                <w:color w:val="000000" w:themeColor="text1"/>
              </w:rPr>
              <w:t xml:space="preserve"> </w:t>
            </w:r>
            <w:r w:rsidRPr="00682DE0">
              <w:rPr>
                <w:rFonts w:ascii="Book Antiqua" w:hAnsi="Book Antiqua"/>
                <w:color w:val="000000" w:themeColor="text1"/>
              </w:rPr>
              <w:t>(28-72)/57.3</w:t>
            </w:r>
            <w:r w:rsidR="003C2DB3" w:rsidRPr="00682DE0">
              <w:rPr>
                <w:rFonts w:ascii="Book Antiqua" w:hAnsi="Book Antiqua"/>
                <w:color w:val="000000" w:themeColor="text1"/>
              </w:rPr>
              <w:t xml:space="preserve"> </w:t>
            </w:r>
            <w:r w:rsidRPr="00682DE0">
              <w:rPr>
                <w:rFonts w:ascii="Book Antiqua" w:hAnsi="Book Antiqua"/>
                <w:color w:val="000000" w:themeColor="text1"/>
              </w:rPr>
              <w:t>(33-76)</w:t>
            </w:r>
          </w:p>
        </w:tc>
        <w:tc>
          <w:tcPr>
            <w:tcW w:w="417" w:type="pct"/>
          </w:tcPr>
          <w:p w14:paraId="75925A21"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30</w:t>
            </w:r>
            <w:r w:rsidR="003C2DB3" w:rsidRPr="00682DE0">
              <w:rPr>
                <w:rFonts w:ascii="Book Antiqua" w:hAnsi="Book Antiqua"/>
                <w:color w:val="000000" w:themeColor="text1"/>
              </w:rPr>
              <w:t xml:space="preserve"> </w:t>
            </w:r>
            <w:r w:rsidRPr="00682DE0">
              <w:rPr>
                <w:rFonts w:ascii="Book Antiqua" w:hAnsi="Book Antiqua"/>
                <w:color w:val="000000" w:themeColor="text1"/>
              </w:rPr>
              <w:t>(11)/26</w:t>
            </w:r>
            <w:r w:rsidR="003C2DB3" w:rsidRPr="00682DE0">
              <w:rPr>
                <w:rFonts w:ascii="Book Antiqua" w:hAnsi="Book Antiqua"/>
                <w:color w:val="000000" w:themeColor="text1"/>
              </w:rPr>
              <w:t xml:space="preserve"> </w:t>
            </w:r>
            <w:r w:rsidRPr="00682DE0">
              <w:rPr>
                <w:rFonts w:ascii="Book Antiqua" w:hAnsi="Book Antiqua"/>
                <w:color w:val="000000" w:themeColor="text1"/>
              </w:rPr>
              <w:t>(14)</w:t>
            </w:r>
          </w:p>
        </w:tc>
        <w:tc>
          <w:tcPr>
            <w:tcW w:w="367" w:type="pct"/>
          </w:tcPr>
          <w:p w14:paraId="0A989C2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28/26, 13/14, 0/0</w:t>
            </w:r>
          </w:p>
        </w:tc>
        <w:tc>
          <w:tcPr>
            <w:tcW w:w="302" w:type="pct"/>
          </w:tcPr>
          <w:p w14:paraId="1BAC2B50" w14:textId="77777777"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3706620C"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0-1</w:t>
            </w:r>
          </w:p>
        </w:tc>
        <w:tc>
          <w:tcPr>
            <w:tcW w:w="314" w:type="pct"/>
          </w:tcPr>
          <w:p w14:paraId="0AEC32D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First</w:t>
            </w:r>
          </w:p>
        </w:tc>
        <w:tc>
          <w:tcPr>
            <w:tcW w:w="418" w:type="pct"/>
          </w:tcPr>
          <w:p w14:paraId="22680D39"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Celecoxib 200 mg po bid + NVB 25 mg</w:t>
            </w:r>
            <w:r w:rsidR="003C2DB3"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days 1 and 8 + DDP 70 mg</w:t>
            </w:r>
            <w:r w:rsidR="003C2DB3"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qd day 1, q4w</w:t>
            </w:r>
          </w:p>
        </w:tc>
        <w:tc>
          <w:tcPr>
            <w:tcW w:w="399" w:type="pct"/>
          </w:tcPr>
          <w:p w14:paraId="0CCFFB62"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NVB 25 mg</w:t>
            </w:r>
            <w:r w:rsidR="003C2DB3"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days 1 and 8 + DDP 70 mg</w:t>
            </w:r>
            <w:r w:rsidR="003C2DB3"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ivgtt qd day 1, q4w</w:t>
            </w:r>
          </w:p>
        </w:tc>
        <w:tc>
          <w:tcPr>
            <w:tcW w:w="341" w:type="pct"/>
          </w:tcPr>
          <w:p w14:paraId="21EB9082"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r>
      <w:tr w:rsidR="00A45C44" w:rsidRPr="00175753" w14:paraId="5154A1DB" w14:textId="77777777" w:rsidTr="00FE3204">
        <w:trPr>
          <w:jc w:val="right"/>
        </w:trPr>
        <w:tc>
          <w:tcPr>
            <w:tcW w:w="250" w:type="pct"/>
          </w:tcPr>
          <w:p w14:paraId="37C852E0"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CALGB-30801</w:t>
            </w:r>
            <w:r w:rsidR="003C2DB3" w:rsidRPr="00682DE0">
              <w:rPr>
                <w:rFonts w:ascii="Book Antiqua" w:hAnsi="Book Antiqua"/>
                <w:color w:val="000000" w:themeColor="text1"/>
                <w:vertAlign w:val="superscript"/>
              </w:rPr>
              <w:t>[27]</w:t>
            </w:r>
          </w:p>
        </w:tc>
        <w:tc>
          <w:tcPr>
            <w:tcW w:w="262" w:type="pct"/>
          </w:tcPr>
          <w:p w14:paraId="1B2021BC"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2017</w:t>
            </w:r>
          </w:p>
        </w:tc>
        <w:tc>
          <w:tcPr>
            <w:tcW w:w="209" w:type="pct"/>
          </w:tcPr>
          <w:p w14:paraId="3ABAF247" w14:textId="77777777"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p>
        </w:tc>
        <w:tc>
          <w:tcPr>
            <w:tcW w:w="365" w:type="pct"/>
          </w:tcPr>
          <w:p w14:paraId="30ED647C"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Nov 2013 to Jan 2016</w:t>
            </w:r>
          </w:p>
        </w:tc>
        <w:tc>
          <w:tcPr>
            <w:tcW w:w="313" w:type="pct"/>
          </w:tcPr>
          <w:p w14:paraId="1E34C8F5"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U</w:t>
            </w:r>
            <w:r w:rsidR="003C2DB3" w:rsidRPr="00682DE0">
              <w:rPr>
                <w:rFonts w:ascii="Book Antiqua" w:hAnsi="Book Antiqua"/>
                <w:color w:val="000000" w:themeColor="text1"/>
              </w:rPr>
              <w:t>nited States</w:t>
            </w:r>
          </w:p>
        </w:tc>
        <w:tc>
          <w:tcPr>
            <w:tcW w:w="417" w:type="pct"/>
          </w:tcPr>
          <w:p w14:paraId="6A0E25A9"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312</w:t>
            </w:r>
            <w:r w:rsidR="003C2DB3" w:rsidRPr="00682DE0">
              <w:rPr>
                <w:rFonts w:ascii="Book Antiqua" w:hAnsi="Book Antiqua"/>
                <w:color w:val="000000" w:themeColor="text1"/>
              </w:rPr>
              <w:t xml:space="preserve"> </w:t>
            </w:r>
            <w:r w:rsidRPr="00682DE0">
              <w:rPr>
                <w:rFonts w:ascii="Book Antiqua" w:hAnsi="Book Antiqua"/>
                <w:color w:val="000000" w:themeColor="text1"/>
              </w:rPr>
              <w:t>(154/158)</w:t>
            </w:r>
          </w:p>
        </w:tc>
        <w:tc>
          <w:tcPr>
            <w:tcW w:w="313" w:type="pct"/>
          </w:tcPr>
          <w:p w14:paraId="3BC7A940"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64</w:t>
            </w:r>
            <w:r w:rsidR="003C2DB3" w:rsidRPr="00682DE0">
              <w:rPr>
                <w:rFonts w:ascii="Book Antiqua" w:hAnsi="Book Antiqua"/>
                <w:color w:val="000000" w:themeColor="text1"/>
              </w:rPr>
              <w:t xml:space="preserve"> </w:t>
            </w:r>
            <w:r w:rsidRPr="00682DE0">
              <w:rPr>
                <w:rFonts w:ascii="Book Antiqua" w:hAnsi="Book Antiqua"/>
                <w:color w:val="000000" w:themeColor="text1"/>
              </w:rPr>
              <w:t>(38-83)/64</w:t>
            </w:r>
            <w:r w:rsidR="003C2DB3" w:rsidRPr="00682DE0">
              <w:rPr>
                <w:rFonts w:ascii="Book Antiqua" w:hAnsi="Book Antiqua"/>
                <w:color w:val="000000" w:themeColor="text1"/>
              </w:rPr>
              <w:t xml:space="preserve"> </w:t>
            </w:r>
            <w:r w:rsidRPr="00682DE0">
              <w:rPr>
                <w:rFonts w:ascii="Book Antiqua" w:hAnsi="Book Antiqua"/>
                <w:color w:val="000000" w:themeColor="text1"/>
              </w:rPr>
              <w:t>(36-89)</w:t>
            </w:r>
          </w:p>
        </w:tc>
        <w:tc>
          <w:tcPr>
            <w:tcW w:w="417" w:type="pct"/>
          </w:tcPr>
          <w:p w14:paraId="75B4C274" w14:textId="77777777" w:rsidR="00FE3204" w:rsidRPr="00682DE0" w:rsidRDefault="00FE3204"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82</w:t>
            </w:r>
            <w:r w:rsidR="003C2DB3" w:rsidRPr="00682DE0">
              <w:rPr>
                <w:rFonts w:ascii="Book Antiqua" w:hAnsi="Book Antiqua"/>
                <w:color w:val="000000" w:themeColor="text1"/>
              </w:rPr>
              <w:t xml:space="preserve"> </w:t>
            </w:r>
            <w:r w:rsidRPr="00682DE0">
              <w:rPr>
                <w:rFonts w:ascii="Book Antiqua" w:hAnsi="Book Antiqua"/>
                <w:color w:val="000000" w:themeColor="text1"/>
              </w:rPr>
              <w:t>(72)/87</w:t>
            </w:r>
            <w:r w:rsidR="003C2DB3" w:rsidRPr="00682DE0">
              <w:rPr>
                <w:rFonts w:ascii="Book Antiqua" w:hAnsi="Book Antiqua"/>
                <w:color w:val="000000" w:themeColor="text1"/>
              </w:rPr>
              <w:t xml:space="preserve"> </w:t>
            </w:r>
            <w:r w:rsidRPr="00682DE0">
              <w:rPr>
                <w:rFonts w:ascii="Book Antiqua" w:hAnsi="Book Antiqua"/>
                <w:color w:val="000000" w:themeColor="text1"/>
              </w:rPr>
              <w:t>(71)</w:t>
            </w:r>
          </w:p>
        </w:tc>
        <w:tc>
          <w:tcPr>
            <w:tcW w:w="367" w:type="pct"/>
          </w:tcPr>
          <w:p w14:paraId="3294E3E9"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 44/43, NA</w:t>
            </w:r>
          </w:p>
        </w:tc>
        <w:tc>
          <w:tcPr>
            <w:tcW w:w="302" w:type="pct"/>
          </w:tcPr>
          <w:p w14:paraId="14F84095" w14:textId="77777777" w:rsidR="00FE3204" w:rsidRPr="00682DE0" w:rsidRDefault="0019005D" w:rsidP="00682DE0">
            <w:pPr>
              <w:spacing w:line="360" w:lineRule="auto"/>
              <w:jc w:val="both"/>
              <w:rPr>
                <w:rFonts w:ascii="Book Antiqua" w:eastAsia="宋体" w:hAnsi="Book Antiqua" w:cs="Times New Roman"/>
                <w:color w:val="000000" w:themeColor="text1"/>
              </w:rPr>
            </w:pPr>
            <w:r w:rsidRPr="00682DE0">
              <w:rPr>
                <w:rFonts w:ascii="Book Antiqua" w:eastAsia="宋体" w:hAnsi="Book Antiqua" w:cs="宋体"/>
                <w:color w:val="000000" w:themeColor="text1"/>
              </w:rPr>
              <w:t>Ш</w:t>
            </w:r>
            <w:r w:rsidR="00FE3204" w:rsidRPr="00682DE0">
              <w:rPr>
                <w:rFonts w:ascii="Book Antiqua" w:hAnsi="Book Antiqua"/>
                <w:color w:val="000000" w:themeColor="text1"/>
              </w:rPr>
              <w:t xml:space="preserve">B, </w:t>
            </w:r>
            <w:r w:rsidRPr="00682DE0">
              <w:rPr>
                <w:rFonts w:ascii="Book Antiqua" w:eastAsia="宋体" w:hAnsi="Book Antiqua" w:cs="宋体"/>
                <w:color w:val="000000" w:themeColor="text1"/>
              </w:rPr>
              <w:t>IV</w:t>
            </w:r>
          </w:p>
        </w:tc>
        <w:tc>
          <w:tcPr>
            <w:tcW w:w="313" w:type="pct"/>
          </w:tcPr>
          <w:p w14:paraId="12D24CE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0-2</w:t>
            </w:r>
          </w:p>
        </w:tc>
        <w:tc>
          <w:tcPr>
            <w:tcW w:w="314" w:type="pct"/>
          </w:tcPr>
          <w:p w14:paraId="28DDEDCD"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First</w:t>
            </w:r>
          </w:p>
        </w:tc>
        <w:tc>
          <w:tcPr>
            <w:tcW w:w="418" w:type="pct"/>
          </w:tcPr>
          <w:p w14:paraId="64F892CF"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Celecoxib 400 mg po bid + CBP + PET 500 mg</w:t>
            </w:r>
            <w:r w:rsidR="003C2DB3"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day 1, q3w for nonsquamous or Celecoxib 400 mg po bid + CBP day 1 + GEM 1000 mg</w:t>
            </w:r>
            <w:r w:rsidR="003C2DB3"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day 1 and day 8, q3w for squamous</w:t>
            </w:r>
          </w:p>
        </w:tc>
        <w:tc>
          <w:tcPr>
            <w:tcW w:w="399" w:type="pct"/>
          </w:tcPr>
          <w:p w14:paraId="2F24F806" w14:textId="77777777" w:rsidR="00FE3204" w:rsidRPr="00682DE0" w:rsidRDefault="00FE3204"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Placebo + CBP + PET 500 mg</w:t>
            </w:r>
            <w:r w:rsidR="003C2DB3"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day 1, q3w for</w:t>
            </w:r>
            <w:r w:rsidR="003C2DB3" w:rsidRPr="00682DE0">
              <w:rPr>
                <w:rFonts w:ascii="Book Antiqua" w:hAnsi="Book Antiqua"/>
                <w:color w:val="000000" w:themeColor="text1"/>
              </w:rPr>
              <w:t xml:space="preserve"> </w:t>
            </w:r>
            <w:r w:rsidRPr="00682DE0">
              <w:rPr>
                <w:rFonts w:ascii="Book Antiqua" w:hAnsi="Book Antiqua"/>
                <w:color w:val="000000" w:themeColor="text1"/>
              </w:rPr>
              <w:t xml:space="preserve">nonsquamous or </w:t>
            </w:r>
            <w:r w:rsidR="003C2DB3" w:rsidRPr="00682DE0">
              <w:rPr>
                <w:rFonts w:ascii="Book Antiqua" w:hAnsi="Book Antiqua"/>
                <w:color w:val="000000" w:themeColor="text1"/>
              </w:rPr>
              <w:t>p</w:t>
            </w:r>
            <w:r w:rsidRPr="00682DE0">
              <w:rPr>
                <w:rFonts w:ascii="Book Antiqua" w:hAnsi="Book Antiqua"/>
                <w:color w:val="000000" w:themeColor="text1"/>
              </w:rPr>
              <w:t>lacebo + CBP day 1 + GEM 1000 mg</w:t>
            </w:r>
            <w:r w:rsidR="003C2DB3" w:rsidRPr="00682DE0">
              <w:rPr>
                <w:rFonts w:ascii="Book Antiqua" w:hAnsi="Book Antiqua"/>
                <w:color w:val="000000" w:themeColor="text1"/>
              </w:rPr>
              <w:t>/</w:t>
            </w:r>
            <w:r w:rsidRPr="00682DE0">
              <w:rPr>
                <w:rFonts w:ascii="Book Antiqua" w:hAnsi="Book Antiqua"/>
                <w:color w:val="000000" w:themeColor="text1"/>
              </w:rPr>
              <w:t>m</w:t>
            </w:r>
            <w:r w:rsidRPr="00682DE0">
              <w:rPr>
                <w:rFonts w:ascii="Book Antiqua" w:hAnsi="Book Antiqua"/>
                <w:color w:val="000000" w:themeColor="text1"/>
                <w:vertAlign w:val="superscript"/>
              </w:rPr>
              <w:t>2</w:t>
            </w:r>
            <w:r w:rsidRPr="00682DE0">
              <w:rPr>
                <w:rFonts w:ascii="Book Antiqua" w:hAnsi="Book Antiqua"/>
                <w:color w:val="000000" w:themeColor="text1"/>
              </w:rPr>
              <w:t xml:space="preserve"> day 1 and day 8, q3w for squamous</w:t>
            </w:r>
          </w:p>
        </w:tc>
        <w:tc>
          <w:tcPr>
            <w:tcW w:w="341" w:type="pct"/>
          </w:tcPr>
          <w:p w14:paraId="384BDC71" w14:textId="77777777" w:rsidR="00FE3204" w:rsidRPr="00682DE0" w:rsidRDefault="00FE3204" w:rsidP="00A45C44">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31</w:t>
            </w:r>
          </w:p>
        </w:tc>
      </w:tr>
    </w:tbl>
    <w:p w14:paraId="36D2415A" w14:textId="77777777" w:rsidR="004B3C3A" w:rsidRPr="00682DE0" w:rsidRDefault="004B3C3A" w:rsidP="00A45C44">
      <w:pPr>
        <w:spacing w:line="360" w:lineRule="auto"/>
        <w:jc w:val="both"/>
        <w:rPr>
          <w:rFonts w:ascii="Book Antiqua" w:hAnsi="Book Antiqua"/>
          <w:color w:val="000000" w:themeColor="text1"/>
        </w:rPr>
      </w:pPr>
      <w:r w:rsidRPr="00682DE0">
        <w:rPr>
          <w:rFonts w:ascii="Book Antiqua" w:hAnsi="Book Antiqua"/>
          <w:color w:val="000000" w:themeColor="text1"/>
          <w:vertAlign w:val="superscript"/>
        </w:rPr>
        <w:t>1</w:t>
      </w:r>
      <w:r w:rsidRPr="00682DE0">
        <w:rPr>
          <w:rFonts w:ascii="Book Antiqua" w:hAnsi="Book Antiqua"/>
          <w:color w:val="000000" w:themeColor="text1"/>
        </w:rPr>
        <w:t xml:space="preserve">The dose of chemotherapeutic agents was not mentioned in the trial. </w:t>
      </w:r>
      <w:r w:rsidRPr="00682DE0">
        <w:rPr>
          <w:rFonts w:ascii="Book Antiqua" w:hAnsi="Book Antiqua"/>
          <w:color w:val="000000" w:themeColor="text1"/>
          <w:vertAlign w:val="superscript"/>
        </w:rPr>
        <w:t>2</w:t>
      </w:r>
      <w:r w:rsidRPr="00682DE0">
        <w:rPr>
          <w:rFonts w:ascii="Book Antiqua" w:hAnsi="Book Antiqua"/>
          <w:color w:val="000000" w:themeColor="text1"/>
        </w:rPr>
        <w:t>The dose of carboplatin was not mentioned in the trial. AC: Adenocarcinoma; I/C: Interventions/Control; Bid: Twice daily; CBP: Carboplatin; CR: Complete response; d: Day; DDP: Cisplatin; DTX: Docetaxel; iv: Intravenously; ECOG PS: Eastern Cooperative Oncology Group performance status; GEM: Gemcitabine; ivgtt: Intravenous drip; PCI: Prolonged constant infusion; NA: Not applicable; NVB: Vinorelbine; PET: Pemetrexed; OS: Overall survival; PFS: Progression</w:t>
      </w:r>
      <w:r w:rsidR="00B26189" w:rsidRPr="00682DE0">
        <w:rPr>
          <w:rFonts w:ascii="Book Antiqua" w:hAnsi="Book Antiqua"/>
          <w:color w:val="000000" w:themeColor="text1"/>
        </w:rPr>
        <w:t xml:space="preserve"> </w:t>
      </w:r>
      <w:r w:rsidRPr="00682DE0">
        <w:rPr>
          <w:rFonts w:ascii="Book Antiqua" w:hAnsi="Book Antiqua"/>
          <w:color w:val="000000" w:themeColor="text1"/>
        </w:rPr>
        <w:t>free survival; Po: Orally; PR: Partial response; SCC: Squamous cell carcinoma; q: Every; w: Weeks.</w:t>
      </w:r>
    </w:p>
    <w:p w14:paraId="3B21D7A9" w14:textId="77777777" w:rsidR="00FE3204" w:rsidRPr="00682DE0" w:rsidRDefault="004B3C3A" w:rsidP="00175753">
      <w:pPr>
        <w:spacing w:line="360" w:lineRule="auto"/>
        <w:jc w:val="both"/>
        <w:rPr>
          <w:rFonts w:ascii="Book Antiqua" w:hAnsi="Book Antiqua"/>
          <w:b/>
          <w:bCs/>
          <w:color w:val="000000" w:themeColor="text1"/>
        </w:rPr>
      </w:pPr>
      <w:r w:rsidRPr="00682DE0">
        <w:rPr>
          <w:rFonts w:ascii="Book Antiqua" w:hAnsi="Book Antiqua"/>
          <w:color w:val="000000" w:themeColor="text1"/>
        </w:rPr>
        <w:br w:type="page"/>
      </w:r>
      <w:r w:rsidR="003D627A" w:rsidRPr="00682DE0">
        <w:rPr>
          <w:rFonts w:ascii="Book Antiqua" w:hAnsi="Book Antiqua"/>
          <w:b/>
          <w:bCs/>
          <w:color w:val="000000" w:themeColor="text1"/>
        </w:rPr>
        <w:t>Table 2 The risk of bias in the included studies</w:t>
      </w:r>
    </w:p>
    <w:tbl>
      <w:tblPr>
        <w:tblStyle w:val="a5"/>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710"/>
        <w:gridCol w:w="2403"/>
        <w:gridCol w:w="3128"/>
        <w:gridCol w:w="1144"/>
        <w:gridCol w:w="2647"/>
        <w:gridCol w:w="1599"/>
      </w:tblGrid>
      <w:tr w:rsidR="00A45C44" w:rsidRPr="00175753" w14:paraId="7B106C92" w14:textId="77777777" w:rsidTr="0025796C">
        <w:trPr>
          <w:jc w:val="center"/>
        </w:trPr>
        <w:tc>
          <w:tcPr>
            <w:tcW w:w="0" w:type="auto"/>
            <w:tcBorders>
              <w:top w:val="single" w:sz="4" w:space="0" w:color="auto"/>
              <w:bottom w:val="single" w:sz="4" w:space="0" w:color="auto"/>
            </w:tcBorders>
            <w:vAlign w:val="center"/>
          </w:tcPr>
          <w:p w14:paraId="1C5B508E" w14:textId="77777777" w:rsidR="003D627A" w:rsidRPr="00682DE0" w:rsidRDefault="003D627A" w:rsidP="00682DE0">
            <w:pPr>
              <w:spacing w:line="360" w:lineRule="auto"/>
              <w:jc w:val="both"/>
              <w:rPr>
                <w:rFonts w:ascii="Book Antiqua" w:eastAsia="宋体" w:hAnsi="Book Antiqua" w:cs="Times New Roman"/>
                <w:b/>
                <w:bCs/>
                <w:color w:val="000000" w:themeColor="text1"/>
              </w:rPr>
            </w:pPr>
            <w:r w:rsidRPr="00682DE0">
              <w:rPr>
                <w:rFonts w:ascii="Book Antiqua" w:hAnsi="Book Antiqua"/>
                <w:b/>
                <w:bCs/>
                <w:color w:val="000000" w:themeColor="text1"/>
              </w:rPr>
              <w:t>Trial or Ref.</w:t>
            </w:r>
          </w:p>
        </w:tc>
        <w:tc>
          <w:tcPr>
            <w:tcW w:w="0" w:type="auto"/>
            <w:tcBorders>
              <w:top w:val="single" w:sz="4" w:space="0" w:color="auto"/>
              <w:bottom w:val="single" w:sz="4" w:space="0" w:color="auto"/>
            </w:tcBorders>
            <w:vAlign w:val="center"/>
          </w:tcPr>
          <w:p w14:paraId="762E091C" w14:textId="77777777" w:rsidR="003D627A" w:rsidRPr="00682DE0" w:rsidRDefault="003D627A" w:rsidP="00682DE0">
            <w:pPr>
              <w:spacing w:line="360" w:lineRule="auto"/>
              <w:jc w:val="both"/>
              <w:rPr>
                <w:rFonts w:ascii="Book Antiqua" w:eastAsia="宋体" w:hAnsi="Book Antiqua" w:cs="Times New Roman"/>
                <w:b/>
                <w:bCs/>
                <w:color w:val="000000" w:themeColor="text1"/>
              </w:rPr>
            </w:pPr>
            <w:r w:rsidRPr="00682DE0">
              <w:rPr>
                <w:rFonts w:ascii="Book Antiqua" w:hAnsi="Book Antiqua"/>
                <w:b/>
                <w:bCs/>
                <w:color w:val="000000" w:themeColor="text1"/>
              </w:rPr>
              <w:t>Year</w:t>
            </w:r>
          </w:p>
        </w:tc>
        <w:tc>
          <w:tcPr>
            <w:tcW w:w="0" w:type="auto"/>
            <w:tcBorders>
              <w:top w:val="single" w:sz="4" w:space="0" w:color="auto"/>
              <w:bottom w:val="single" w:sz="4" w:space="0" w:color="auto"/>
            </w:tcBorders>
            <w:vAlign w:val="center"/>
          </w:tcPr>
          <w:p w14:paraId="5F2079D8" w14:textId="77777777" w:rsidR="003D627A" w:rsidRPr="00682DE0" w:rsidRDefault="003D627A" w:rsidP="00682DE0">
            <w:pPr>
              <w:spacing w:line="360" w:lineRule="auto"/>
              <w:jc w:val="both"/>
              <w:rPr>
                <w:rFonts w:ascii="Book Antiqua" w:eastAsia="宋体" w:hAnsi="Book Antiqua" w:cs="Times New Roman"/>
                <w:b/>
                <w:bCs/>
                <w:color w:val="000000" w:themeColor="text1"/>
              </w:rPr>
            </w:pPr>
            <w:r w:rsidRPr="00682DE0">
              <w:rPr>
                <w:rFonts w:ascii="Book Antiqua" w:hAnsi="Book Antiqua"/>
                <w:b/>
                <w:bCs/>
                <w:color w:val="000000" w:themeColor="text1"/>
              </w:rPr>
              <w:t>Randomi</w:t>
            </w:r>
            <w:r w:rsidR="00E36A4C" w:rsidRPr="00682DE0">
              <w:rPr>
                <w:rFonts w:ascii="Book Antiqua" w:hAnsi="Book Antiqua"/>
                <w:b/>
                <w:bCs/>
                <w:color w:val="000000" w:themeColor="text1"/>
              </w:rPr>
              <w:t>z</w:t>
            </w:r>
            <w:r w:rsidRPr="00682DE0">
              <w:rPr>
                <w:rFonts w:ascii="Book Antiqua" w:hAnsi="Book Antiqua"/>
                <w:b/>
                <w:bCs/>
                <w:color w:val="000000" w:themeColor="text1"/>
              </w:rPr>
              <w:t>ation methods</w:t>
            </w:r>
          </w:p>
        </w:tc>
        <w:tc>
          <w:tcPr>
            <w:tcW w:w="0" w:type="auto"/>
            <w:tcBorders>
              <w:top w:val="single" w:sz="4" w:space="0" w:color="auto"/>
              <w:bottom w:val="single" w:sz="4" w:space="0" w:color="auto"/>
            </w:tcBorders>
            <w:vAlign w:val="center"/>
          </w:tcPr>
          <w:p w14:paraId="7BEF4B47" w14:textId="77777777" w:rsidR="003D627A" w:rsidRPr="00682DE0" w:rsidRDefault="003D627A" w:rsidP="00682DE0">
            <w:pPr>
              <w:spacing w:line="360" w:lineRule="auto"/>
              <w:jc w:val="both"/>
              <w:rPr>
                <w:rFonts w:ascii="Book Antiqua" w:eastAsia="宋体" w:hAnsi="Book Antiqua" w:cs="Times New Roman"/>
                <w:b/>
                <w:bCs/>
                <w:color w:val="000000" w:themeColor="text1"/>
              </w:rPr>
            </w:pPr>
            <w:r w:rsidRPr="00682DE0">
              <w:rPr>
                <w:rFonts w:ascii="Book Antiqua" w:hAnsi="Book Antiqua"/>
                <w:b/>
                <w:bCs/>
                <w:color w:val="000000" w:themeColor="text1"/>
              </w:rPr>
              <w:t>Stratification factors</w:t>
            </w:r>
          </w:p>
        </w:tc>
        <w:tc>
          <w:tcPr>
            <w:tcW w:w="0" w:type="auto"/>
            <w:tcBorders>
              <w:top w:val="single" w:sz="4" w:space="0" w:color="auto"/>
              <w:bottom w:val="single" w:sz="4" w:space="0" w:color="auto"/>
            </w:tcBorders>
            <w:vAlign w:val="center"/>
          </w:tcPr>
          <w:p w14:paraId="2627CDA5" w14:textId="77777777" w:rsidR="003D627A" w:rsidRPr="00682DE0" w:rsidRDefault="003D627A" w:rsidP="00682DE0">
            <w:pPr>
              <w:spacing w:line="360" w:lineRule="auto"/>
              <w:jc w:val="both"/>
              <w:rPr>
                <w:rFonts w:ascii="Book Antiqua" w:eastAsia="宋体" w:hAnsi="Book Antiqua" w:cs="Times New Roman"/>
                <w:b/>
                <w:bCs/>
                <w:color w:val="000000" w:themeColor="text1"/>
              </w:rPr>
            </w:pPr>
            <w:r w:rsidRPr="00682DE0">
              <w:rPr>
                <w:rFonts w:ascii="Book Antiqua" w:hAnsi="Book Antiqua"/>
                <w:b/>
                <w:bCs/>
                <w:color w:val="000000" w:themeColor="text1"/>
              </w:rPr>
              <w:t>Double blind</w:t>
            </w:r>
          </w:p>
        </w:tc>
        <w:tc>
          <w:tcPr>
            <w:tcW w:w="0" w:type="auto"/>
            <w:tcBorders>
              <w:top w:val="single" w:sz="4" w:space="0" w:color="auto"/>
              <w:bottom w:val="single" w:sz="4" w:space="0" w:color="auto"/>
            </w:tcBorders>
            <w:vAlign w:val="center"/>
          </w:tcPr>
          <w:p w14:paraId="6008E751" w14:textId="77777777" w:rsidR="003D627A" w:rsidRPr="00682DE0" w:rsidRDefault="003D627A" w:rsidP="00682DE0">
            <w:pPr>
              <w:spacing w:line="360" w:lineRule="auto"/>
              <w:jc w:val="both"/>
              <w:rPr>
                <w:rFonts w:ascii="Book Antiqua" w:eastAsia="宋体" w:hAnsi="Book Antiqua" w:cs="Times New Roman"/>
                <w:b/>
                <w:bCs/>
                <w:color w:val="000000" w:themeColor="text1"/>
              </w:rPr>
            </w:pPr>
            <w:r w:rsidRPr="00682DE0">
              <w:rPr>
                <w:rFonts w:ascii="Book Antiqua" w:hAnsi="Book Antiqua"/>
                <w:b/>
                <w:bCs/>
                <w:color w:val="000000" w:themeColor="text1"/>
              </w:rPr>
              <w:t>Follow-up</w:t>
            </w:r>
          </w:p>
        </w:tc>
        <w:tc>
          <w:tcPr>
            <w:tcW w:w="0" w:type="auto"/>
            <w:tcBorders>
              <w:top w:val="single" w:sz="4" w:space="0" w:color="auto"/>
              <w:bottom w:val="single" w:sz="4" w:space="0" w:color="auto"/>
            </w:tcBorders>
            <w:vAlign w:val="center"/>
          </w:tcPr>
          <w:p w14:paraId="509EE6FE" w14:textId="77777777" w:rsidR="003D627A" w:rsidRPr="00682DE0" w:rsidRDefault="003D627A" w:rsidP="00682DE0">
            <w:pPr>
              <w:spacing w:line="360" w:lineRule="auto"/>
              <w:jc w:val="both"/>
              <w:rPr>
                <w:rFonts w:ascii="Book Antiqua" w:eastAsia="宋体" w:hAnsi="Book Antiqua" w:cs="Times New Roman"/>
                <w:b/>
                <w:bCs/>
                <w:color w:val="000000" w:themeColor="text1"/>
              </w:rPr>
            </w:pPr>
            <w:r w:rsidRPr="00682DE0">
              <w:rPr>
                <w:rFonts w:ascii="Book Antiqua" w:hAnsi="Book Antiqua"/>
                <w:b/>
                <w:bCs/>
                <w:color w:val="000000" w:themeColor="text1"/>
              </w:rPr>
              <w:t>Intent to treat</w:t>
            </w:r>
          </w:p>
        </w:tc>
      </w:tr>
      <w:tr w:rsidR="00A45C44" w:rsidRPr="00175753" w14:paraId="667F88BC" w14:textId="77777777" w:rsidTr="0025796C">
        <w:trPr>
          <w:jc w:val="center"/>
        </w:trPr>
        <w:tc>
          <w:tcPr>
            <w:tcW w:w="0" w:type="auto"/>
            <w:tcBorders>
              <w:top w:val="single" w:sz="4" w:space="0" w:color="auto"/>
            </w:tcBorders>
            <w:vAlign w:val="center"/>
          </w:tcPr>
          <w:p w14:paraId="40221620" w14:textId="77777777" w:rsidR="003D627A" w:rsidRPr="00682DE0" w:rsidRDefault="003D627A"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 xml:space="preserve">Lilenbaum </w:t>
            </w:r>
            <w:r w:rsidRPr="00682DE0">
              <w:rPr>
                <w:rFonts w:ascii="Book Antiqua" w:hAnsi="Book Antiqua"/>
                <w:i/>
                <w:iCs/>
                <w:color w:val="000000" w:themeColor="text1"/>
              </w:rPr>
              <w:t>et al</w:t>
            </w:r>
            <w:r w:rsidRPr="00682DE0">
              <w:rPr>
                <w:rFonts w:ascii="Book Antiqua" w:hAnsi="Book Antiqua"/>
                <w:color w:val="000000" w:themeColor="text1"/>
                <w:vertAlign w:val="superscript"/>
              </w:rPr>
              <w:t>[26]</w:t>
            </w:r>
          </w:p>
        </w:tc>
        <w:tc>
          <w:tcPr>
            <w:tcW w:w="0" w:type="auto"/>
            <w:tcBorders>
              <w:top w:val="single" w:sz="4" w:space="0" w:color="auto"/>
            </w:tcBorders>
            <w:vAlign w:val="center"/>
          </w:tcPr>
          <w:p w14:paraId="76B7917A"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2006</w:t>
            </w:r>
          </w:p>
        </w:tc>
        <w:tc>
          <w:tcPr>
            <w:tcW w:w="0" w:type="auto"/>
            <w:tcBorders>
              <w:top w:val="single" w:sz="4" w:space="0" w:color="auto"/>
            </w:tcBorders>
            <w:vAlign w:val="center"/>
          </w:tcPr>
          <w:p w14:paraId="7B54FCF0"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Centrali</w:t>
            </w:r>
            <w:r w:rsidR="00E36A4C" w:rsidRPr="00682DE0">
              <w:rPr>
                <w:rFonts w:ascii="Book Antiqua" w:hAnsi="Book Antiqua"/>
                <w:color w:val="000000" w:themeColor="text1"/>
              </w:rPr>
              <w:t>z</w:t>
            </w:r>
            <w:r w:rsidRPr="00682DE0">
              <w:rPr>
                <w:rFonts w:ascii="Book Antiqua" w:hAnsi="Book Antiqua"/>
                <w:color w:val="000000" w:themeColor="text1"/>
              </w:rPr>
              <w:t>ed</w:t>
            </w:r>
          </w:p>
        </w:tc>
        <w:tc>
          <w:tcPr>
            <w:tcW w:w="0" w:type="auto"/>
            <w:tcBorders>
              <w:top w:val="single" w:sz="4" w:space="0" w:color="auto"/>
            </w:tcBorders>
            <w:vAlign w:val="center"/>
          </w:tcPr>
          <w:p w14:paraId="06787AB4"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PS, age, sex, disease stage, response to treatment</w:t>
            </w:r>
          </w:p>
        </w:tc>
        <w:tc>
          <w:tcPr>
            <w:tcW w:w="0" w:type="auto"/>
            <w:tcBorders>
              <w:top w:val="single" w:sz="4" w:space="0" w:color="auto"/>
            </w:tcBorders>
            <w:vAlign w:val="center"/>
          </w:tcPr>
          <w:p w14:paraId="5707F413"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w:t>
            </w:r>
          </w:p>
        </w:tc>
        <w:tc>
          <w:tcPr>
            <w:tcW w:w="0" w:type="auto"/>
            <w:tcBorders>
              <w:top w:val="single" w:sz="4" w:space="0" w:color="auto"/>
            </w:tcBorders>
            <w:vAlign w:val="center"/>
          </w:tcPr>
          <w:p w14:paraId="672B6EF1"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0" w:type="auto"/>
            <w:tcBorders>
              <w:top w:val="single" w:sz="4" w:space="0" w:color="auto"/>
            </w:tcBorders>
            <w:vAlign w:val="center"/>
          </w:tcPr>
          <w:p w14:paraId="084BFEED"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195985C1" w14:textId="77777777" w:rsidTr="0025796C">
        <w:trPr>
          <w:jc w:val="center"/>
        </w:trPr>
        <w:tc>
          <w:tcPr>
            <w:tcW w:w="0" w:type="auto"/>
            <w:vAlign w:val="center"/>
          </w:tcPr>
          <w:p w14:paraId="45AD8ECE" w14:textId="77777777" w:rsidR="003D627A" w:rsidRPr="00682DE0" w:rsidRDefault="003D627A"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GECO</w:t>
            </w:r>
            <w:r w:rsidR="0025796C" w:rsidRPr="00682DE0">
              <w:rPr>
                <w:rFonts w:ascii="Book Antiqua" w:hAnsi="Book Antiqua"/>
                <w:color w:val="000000" w:themeColor="text1"/>
                <w:vertAlign w:val="superscript"/>
              </w:rPr>
              <w:t>[23]</w:t>
            </w:r>
          </w:p>
        </w:tc>
        <w:tc>
          <w:tcPr>
            <w:tcW w:w="0" w:type="auto"/>
            <w:vAlign w:val="center"/>
          </w:tcPr>
          <w:p w14:paraId="2E4C4E01"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2007</w:t>
            </w:r>
          </w:p>
        </w:tc>
        <w:tc>
          <w:tcPr>
            <w:tcW w:w="0" w:type="auto"/>
            <w:vAlign w:val="center"/>
          </w:tcPr>
          <w:p w14:paraId="405935AF"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Centrali</w:t>
            </w:r>
            <w:r w:rsidR="00E36A4C" w:rsidRPr="00682DE0">
              <w:rPr>
                <w:rFonts w:ascii="Book Antiqua" w:hAnsi="Book Antiqua"/>
                <w:color w:val="000000" w:themeColor="text1"/>
              </w:rPr>
              <w:t>z</w:t>
            </w:r>
            <w:r w:rsidRPr="00682DE0">
              <w:rPr>
                <w:rFonts w:ascii="Book Antiqua" w:hAnsi="Book Antiqua"/>
                <w:color w:val="000000" w:themeColor="text1"/>
              </w:rPr>
              <w:t>ed</w:t>
            </w:r>
          </w:p>
        </w:tc>
        <w:tc>
          <w:tcPr>
            <w:tcW w:w="0" w:type="auto"/>
            <w:vAlign w:val="center"/>
          </w:tcPr>
          <w:p w14:paraId="396D52B1" w14:textId="77777777" w:rsidR="003D627A" w:rsidRPr="00682DE0" w:rsidRDefault="003D627A"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Treatment, gender, PS, disease stage, tumor histology, cente</w:t>
            </w:r>
            <w:r w:rsidR="00E36A4C" w:rsidRPr="00682DE0">
              <w:rPr>
                <w:rFonts w:ascii="Book Antiqua" w:hAnsi="Book Antiqua"/>
                <w:color w:val="000000" w:themeColor="text1"/>
              </w:rPr>
              <w:t>r</w:t>
            </w:r>
            <w:r w:rsidRPr="00682DE0">
              <w:rPr>
                <w:rFonts w:ascii="Book Antiqua" w:hAnsi="Book Antiqua"/>
                <w:color w:val="000000" w:themeColor="text1"/>
              </w:rPr>
              <w:t xml:space="preserve"> (three categories according to size)</w:t>
            </w:r>
          </w:p>
        </w:tc>
        <w:tc>
          <w:tcPr>
            <w:tcW w:w="0" w:type="auto"/>
            <w:vAlign w:val="center"/>
          </w:tcPr>
          <w:p w14:paraId="320A1B28"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w:t>
            </w:r>
          </w:p>
        </w:tc>
        <w:tc>
          <w:tcPr>
            <w:tcW w:w="0" w:type="auto"/>
            <w:vAlign w:val="center"/>
          </w:tcPr>
          <w:p w14:paraId="48C0929D" w14:textId="77777777" w:rsidR="003D627A" w:rsidRPr="00682DE0" w:rsidRDefault="003D627A" w:rsidP="00682DE0">
            <w:pPr>
              <w:spacing w:after="240"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Median follow-up of 22 mo of alive patients (range 0</w:t>
            </w:r>
            <w:r w:rsidR="0025796C" w:rsidRPr="00682DE0">
              <w:rPr>
                <w:rFonts w:ascii="Book Antiqua" w:hAnsi="Book Antiqua"/>
                <w:color w:val="000000" w:themeColor="text1"/>
              </w:rPr>
              <w:t>-</w:t>
            </w:r>
            <w:r w:rsidRPr="00682DE0">
              <w:rPr>
                <w:rFonts w:ascii="Book Antiqua" w:hAnsi="Book Antiqua"/>
                <w:color w:val="000000" w:themeColor="text1"/>
              </w:rPr>
              <w:t>40)</w:t>
            </w:r>
          </w:p>
        </w:tc>
        <w:tc>
          <w:tcPr>
            <w:tcW w:w="0" w:type="auto"/>
            <w:vAlign w:val="center"/>
          </w:tcPr>
          <w:p w14:paraId="1EC57D02"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71658ED7" w14:textId="77777777" w:rsidTr="0025796C">
        <w:trPr>
          <w:jc w:val="center"/>
        </w:trPr>
        <w:tc>
          <w:tcPr>
            <w:tcW w:w="0" w:type="auto"/>
            <w:vAlign w:val="center"/>
          </w:tcPr>
          <w:p w14:paraId="1A6CF04B" w14:textId="77777777" w:rsidR="003D627A" w:rsidRPr="00682DE0" w:rsidRDefault="003D627A"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Zhou</w:t>
            </w:r>
            <w:r w:rsidR="0025796C" w:rsidRPr="00682DE0">
              <w:rPr>
                <w:rFonts w:ascii="Book Antiqua" w:hAnsi="Book Antiqua"/>
                <w:i/>
                <w:iCs/>
                <w:color w:val="000000" w:themeColor="text1"/>
              </w:rPr>
              <w:t xml:space="preserve"> et al</w:t>
            </w:r>
            <w:r w:rsidR="0025796C" w:rsidRPr="00682DE0">
              <w:rPr>
                <w:rFonts w:ascii="Book Antiqua" w:hAnsi="Book Antiqua"/>
                <w:color w:val="000000" w:themeColor="text1"/>
                <w:vertAlign w:val="superscript"/>
              </w:rPr>
              <w:t>[29]</w:t>
            </w:r>
          </w:p>
        </w:tc>
        <w:tc>
          <w:tcPr>
            <w:tcW w:w="0" w:type="auto"/>
            <w:vAlign w:val="center"/>
          </w:tcPr>
          <w:p w14:paraId="604B230B"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2007</w:t>
            </w:r>
          </w:p>
        </w:tc>
        <w:tc>
          <w:tcPr>
            <w:tcW w:w="0" w:type="auto"/>
            <w:vAlign w:val="center"/>
          </w:tcPr>
          <w:p w14:paraId="3D8C46DF"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Envelopes</w:t>
            </w:r>
          </w:p>
        </w:tc>
        <w:tc>
          <w:tcPr>
            <w:tcW w:w="0" w:type="auto"/>
            <w:vAlign w:val="center"/>
          </w:tcPr>
          <w:p w14:paraId="4987A5BD"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Types</w:t>
            </w:r>
          </w:p>
        </w:tc>
        <w:tc>
          <w:tcPr>
            <w:tcW w:w="0" w:type="auto"/>
            <w:vAlign w:val="center"/>
          </w:tcPr>
          <w:p w14:paraId="73EE1D7F"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w:t>
            </w:r>
          </w:p>
        </w:tc>
        <w:tc>
          <w:tcPr>
            <w:tcW w:w="0" w:type="auto"/>
            <w:vAlign w:val="center"/>
          </w:tcPr>
          <w:p w14:paraId="10EE892D"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0" w:type="auto"/>
            <w:vAlign w:val="center"/>
          </w:tcPr>
          <w:p w14:paraId="2A113686"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 4 of 65 excluded from analysis</w:t>
            </w:r>
          </w:p>
        </w:tc>
      </w:tr>
      <w:tr w:rsidR="00A45C44" w:rsidRPr="00175753" w14:paraId="510CCFD3" w14:textId="77777777" w:rsidTr="0025796C">
        <w:trPr>
          <w:jc w:val="center"/>
        </w:trPr>
        <w:tc>
          <w:tcPr>
            <w:tcW w:w="0" w:type="auto"/>
            <w:vAlign w:val="center"/>
          </w:tcPr>
          <w:p w14:paraId="6025B7FA" w14:textId="77777777" w:rsidR="003D627A" w:rsidRPr="00682DE0" w:rsidRDefault="003D627A"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Xiong</w:t>
            </w:r>
            <w:r w:rsidR="0025796C" w:rsidRPr="00682DE0">
              <w:rPr>
                <w:rFonts w:ascii="Book Antiqua" w:hAnsi="Book Antiqua"/>
                <w:i/>
                <w:iCs/>
                <w:color w:val="000000" w:themeColor="text1"/>
              </w:rPr>
              <w:t xml:space="preserve"> et al</w:t>
            </w:r>
            <w:r w:rsidR="0025796C" w:rsidRPr="00682DE0">
              <w:rPr>
                <w:rFonts w:ascii="Book Antiqua" w:hAnsi="Book Antiqua"/>
                <w:color w:val="000000" w:themeColor="text1"/>
                <w:vertAlign w:val="superscript"/>
              </w:rPr>
              <w:t>[28]</w:t>
            </w:r>
          </w:p>
        </w:tc>
        <w:tc>
          <w:tcPr>
            <w:tcW w:w="0" w:type="auto"/>
            <w:vAlign w:val="center"/>
          </w:tcPr>
          <w:p w14:paraId="220FE4FD"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2008</w:t>
            </w:r>
          </w:p>
        </w:tc>
        <w:tc>
          <w:tcPr>
            <w:tcW w:w="0" w:type="auto"/>
            <w:vAlign w:val="center"/>
          </w:tcPr>
          <w:p w14:paraId="56D0785A"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Random number table</w:t>
            </w:r>
          </w:p>
        </w:tc>
        <w:tc>
          <w:tcPr>
            <w:tcW w:w="0" w:type="auto"/>
            <w:vAlign w:val="center"/>
          </w:tcPr>
          <w:p w14:paraId="16A6089D"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Disease stage, COX-2 expression</w:t>
            </w:r>
          </w:p>
        </w:tc>
        <w:tc>
          <w:tcPr>
            <w:tcW w:w="0" w:type="auto"/>
            <w:vAlign w:val="center"/>
          </w:tcPr>
          <w:p w14:paraId="7AA5226F"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w:t>
            </w:r>
          </w:p>
        </w:tc>
        <w:tc>
          <w:tcPr>
            <w:tcW w:w="0" w:type="auto"/>
            <w:vAlign w:val="center"/>
          </w:tcPr>
          <w:p w14:paraId="2C26ED64"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0" w:type="auto"/>
            <w:vAlign w:val="center"/>
          </w:tcPr>
          <w:p w14:paraId="6C6DF2E9"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31A125B8" w14:textId="77777777" w:rsidTr="0025796C">
        <w:trPr>
          <w:jc w:val="center"/>
        </w:trPr>
        <w:tc>
          <w:tcPr>
            <w:tcW w:w="0" w:type="auto"/>
            <w:vAlign w:val="center"/>
          </w:tcPr>
          <w:p w14:paraId="738DC32A" w14:textId="77777777" w:rsidR="003D627A" w:rsidRPr="00682DE0" w:rsidRDefault="003D627A"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CYCLUS</w:t>
            </w:r>
            <w:r w:rsidR="0025796C" w:rsidRPr="00682DE0">
              <w:rPr>
                <w:rFonts w:ascii="Book Antiqua" w:hAnsi="Book Antiqua"/>
                <w:color w:val="000000" w:themeColor="text1"/>
                <w:vertAlign w:val="superscript"/>
              </w:rPr>
              <w:t>[24]</w:t>
            </w:r>
          </w:p>
        </w:tc>
        <w:tc>
          <w:tcPr>
            <w:tcW w:w="0" w:type="auto"/>
            <w:vAlign w:val="center"/>
          </w:tcPr>
          <w:p w14:paraId="20852995"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2011</w:t>
            </w:r>
          </w:p>
        </w:tc>
        <w:tc>
          <w:tcPr>
            <w:tcW w:w="0" w:type="auto"/>
            <w:vAlign w:val="center"/>
          </w:tcPr>
          <w:p w14:paraId="2F98EE67"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Minimization</w:t>
            </w:r>
          </w:p>
        </w:tc>
        <w:tc>
          <w:tcPr>
            <w:tcW w:w="0" w:type="auto"/>
            <w:vAlign w:val="center"/>
          </w:tcPr>
          <w:p w14:paraId="18FEC4E1"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PS, sex, stage, smoking status</w:t>
            </w:r>
          </w:p>
        </w:tc>
        <w:tc>
          <w:tcPr>
            <w:tcW w:w="0" w:type="auto"/>
            <w:vAlign w:val="center"/>
          </w:tcPr>
          <w:p w14:paraId="00D3AEF4"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c>
          <w:tcPr>
            <w:tcW w:w="0" w:type="auto"/>
            <w:vAlign w:val="center"/>
          </w:tcPr>
          <w:p w14:paraId="53EB777E"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After randomi</w:t>
            </w:r>
            <w:r w:rsidR="00E36A4C" w:rsidRPr="00682DE0">
              <w:rPr>
                <w:rFonts w:ascii="Book Antiqua" w:hAnsi="Book Antiqua"/>
                <w:color w:val="000000" w:themeColor="text1"/>
              </w:rPr>
              <w:t>z</w:t>
            </w:r>
            <w:r w:rsidRPr="00682DE0">
              <w:rPr>
                <w:rFonts w:ascii="Book Antiqua" w:hAnsi="Book Antiqua"/>
                <w:color w:val="000000" w:themeColor="text1"/>
              </w:rPr>
              <w:t>ation, the follow-up time ranged from 0 to 36 mo</w:t>
            </w:r>
          </w:p>
        </w:tc>
        <w:tc>
          <w:tcPr>
            <w:tcW w:w="0" w:type="auto"/>
            <w:vAlign w:val="center"/>
          </w:tcPr>
          <w:p w14:paraId="0B54071A"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747306FE" w14:textId="77777777" w:rsidTr="0025796C">
        <w:trPr>
          <w:jc w:val="center"/>
        </w:trPr>
        <w:tc>
          <w:tcPr>
            <w:tcW w:w="0" w:type="auto"/>
            <w:vAlign w:val="center"/>
          </w:tcPr>
          <w:p w14:paraId="0E30E34E" w14:textId="77777777" w:rsidR="003D627A" w:rsidRPr="00682DE0" w:rsidRDefault="003D627A"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NVALT-4</w:t>
            </w:r>
            <w:r w:rsidR="0025796C" w:rsidRPr="00682DE0">
              <w:rPr>
                <w:rFonts w:ascii="Book Antiqua" w:hAnsi="Book Antiqua"/>
                <w:color w:val="000000" w:themeColor="text1"/>
                <w:vertAlign w:val="superscript"/>
              </w:rPr>
              <w:t>[25]</w:t>
            </w:r>
          </w:p>
        </w:tc>
        <w:tc>
          <w:tcPr>
            <w:tcW w:w="0" w:type="auto"/>
            <w:vAlign w:val="center"/>
          </w:tcPr>
          <w:p w14:paraId="048CEA8D"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2011</w:t>
            </w:r>
          </w:p>
        </w:tc>
        <w:tc>
          <w:tcPr>
            <w:tcW w:w="0" w:type="auto"/>
            <w:vAlign w:val="center"/>
          </w:tcPr>
          <w:p w14:paraId="2D0ED414"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Centrali</w:t>
            </w:r>
            <w:r w:rsidR="00F3241F" w:rsidRPr="00682DE0">
              <w:rPr>
                <w:rFonts w:ascii="Book Antiqua" w:hAnsi="Book Antiqua"/>
                <w:color w:val="000000" w:themeColor="text1"/>
              </w:rPr>
              <w:t>z</w:t>
            </w:r>
            <w:r w:rsidRPr="00682DE0">
              <w:rPr>
                <w:rFonts w:ascii="Book Antiqua" w:hAnsi="Book Antiqua"/>
                <w:color w:val="000000" w:themeColor="text1"/>
              </w:rPr>
              <w:t>ed</w:t>
            </w:r>
          </w:p>
        </w:tc>
        <w:tc>
          <w:tcPr>
            <w:tcW w:w="0" w:type="auto"/>
            <w:vAlign w:val="center"/>
          </w:tcPr>
          <w:p w14:paraId="2CEAC73A"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PS, extent of disease, use of salicylic acid, histology, COX-2 expression, treatment</w:t>
            </w:r>
          </w:p>
        </w:tc>
        <w:tc>
          <w:tcPr>
            <w:tcW w:w="0" w:type="auto"/>
            <w:vAlign w:val="center"/>
          </w:tcPr>
          <w:p w14:paraId="45E9CC3E"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w:t>
            </w:r>
          </w:p>
        </w:tc>
        <w:tc>
          <w:tcPr>
            <w:tcW w:w="0" w:type="auto"/>
            <w:vAlign w:val="center"/>
          </w:tcPr>
          <w:p w14:paraId="354D4E00"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0" w:type="auto"/>
            <w:vAlign w:val="center"/>
          </w:tcPr>
          <w:p w14:paraId="71B629EB"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2CAEEF16" w14:textId="77777777" w:rsidTr="0025796C">
        <w:trPr>
          <w:jc w:val="center"/>
        </w:trPr>
        <w:tc>
          <w:tcPr>
            <w:tcW w:w="0" w:type="auto"/>
            <w:vAlign w:val="center"/>
          </w:tcPr>
          <w:p w14:paraId="7BE02A64" w14:textId="77777777" w:rsidR="003D627A" w:rsidRPr="00682DE0" w:rsidRDefault="003D627A"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Liu</w:t>
            </w:r>
            <w:r w:rsidR="0025796C" w:rsidRPr="00682DE0">
              <w:rPr>
                <w:rFonts w:ascii="Book Antiqua" w:hAnsi="Book Antiqua"/>
                <w:i/>
                <w:iCs/>
                <w:color w:val="000000" w:themeColor="text1"/>
              </w:rPr>
              <w:t xml:space="preserve"> et al</w:t>
            </w:r>
            <w:r w:rsidR="0025796C" w:rsidRPr="00682DE0">
              <w:rPr>
                <w:rFonts w:ascii="Book Antiqua" w:hAnsi="Book Antiqua"/>
                <w:color w:val="000000" w:themeColor="text1"/>
                <w:vertAlign w:val="superscript"/>
              </w:rPr>
              <w:t>[30]</w:t>
            </w:r>
          </w:p>
        </w:tc>
        <w:tc>
          <w:tcPr>
            <w:tcW w:w="0" w:type="auto"/>
            <w:vAlign w:val="center"/>
          </w:tcPr>
          <w:p w14:paraId="61C742BA"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2012</w:t>
            </w:r>
          </w:p>
        </w:tc>
        <w:tc>
          <w:tcPr>
            <w:tcW w:w="0" w:type="auto"/>
            <w:vAlign w:val="center"/>
          </w:tcPr>
          <w:p w14:paraId="3457B1E9"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Mechanical sampling method</w:t>
            </w:r>
          </w:p>
        </w:tc>
        <w:tc>
          <w:tcPr>
            <w:tcW w:w="0" w:type="auto"/>
            <w:vAlign w:val="center"/>
          </w:tcPr>
          <w:p w14:paraId="23511768"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Stage</w:t>
            </w:r>
          </w:p>
        </w:tc>
        <w:tc>
          <w:tcPr>
            <w:tcW w:w="0" w:type="auto"/>
            <w:vAlign w:val="center"/>
          </w:tcPr>
          <w:p w14:paraId="78FBA980"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w:t>
            </w:r>
          </w:p>
        </w:tc>
        <w:tc>
          <w:tcPr>
            <w:tcW w:w="0" w:type="auto"/>
            <w:vAlign w:val="center"/>
          </w:tcPr>
          <w:p w14:paraId="69A28098"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0" w:type="auto"/>
            <w:vAlign w:val="center"/>
          </w:tcPr>
          <w:p w14:paraId="1A2C330B" w14:textId="77777777" w:rsidR="003D627A" w:rsidRPr="00682DE0" w:rsidRDefault="003D627A"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5540132C" w14:textId="77777777" w:rsidTr="008B36E9">
        <w:trPr>
          <w:jc w:val="center"/>
        </w:trPr>
        <w:tc>
          <w:tcPr>
            <w:tcW w:w="0" w:type="auto"/>
            <w:vAlign w:val="center"/>
          </w:tcPr>
          <w:p w14:paraId="4E16DA69"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 xml:space="preserve">Sörenson </w:t>
            </w:r>
            <w:r w:rsidRPr="00682DE0">
              <w:rPr>
                <w:rFonts w:ascii="Book Antiqua" w:hAnsi="Book Antiqua"/>
                <w:i/>
                <w:iCs/>
                <w:color w:val="000000" w:themeColor="text1"/>
              </w:rPr>
              <w:t>et al</w:t>
            </w:r>
            <w:r w:rsidRPr="00682DE0">
              <w:rPr>
                <w:rFonts w:ascii="Book Antiqua" w:hAnsi="Book Antiqua"/>
                <w:color w:val="000000" w:themeColor="text1"/>
                <w:vertAlign w:val="superscript"/>
              </w:rPr>
              <w:t>[32]</w:t>
            </w:r>
          </w:p>
        </w:tc>
        <w:tc>
          <w:tcPr>
            <w:tcW w:w="0" w:type="auto"/>
            <w:vAlign w:val="center"/>
          </w:tcPr>
          <w:p w14:paraId="5DC5C98E"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2013</w:t>
            </w:r>
          </w:p>
        </w:tc>
        <w:tc>
          <w:tcPr>
            <w:tcW w:w="0" w:type="auto"/>
            <w:vAlign w:val="center"/>
          </w:tcPr>
          <w:p w14:paraId="07D23D82"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Minimization</w:t>
            </w:r>
          </w:p>
        </w:tc>
        <w:tc>
          <w:tcPr>
            <w:tcW w:w="0" w:type="auto"/>
            <w:vAlign w:val="center"/>
          </w:tcPr>
          <w:p w14:paraId="278E4D70"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PS, sex, stage, smoking status</w:t>
            </w:r>
          </w:p>
        </w:tc>
        <w:tc>
          <w:tcPr>
            <w:tcW w:w="0" w:type="auto"/>
            <w:vAlign w:val="center"/>
          </w:tcPr>
          <w:p w14:paraId="193D97C8"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c>
          <w:tcPr>
            <w:tcW w:w="0" w:type="auto"/>
            <w:vAlign w:val="center"/>
          </w:tcPr>
          <w:p w14:paraId="6AF4A22E"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After randomi</w:t>
            </w:r>
            <w:r w:rsidR="00E36A4C" w:rsidRPr="00682DE0">
              <w:rPr>
                <w:rFonts w:ascii="Book Antiqua" w:hAnsi="Book Antiqua"/>
                <w:color w:val="000000" w:themeColor="text1"/>
              </w:rPr>
              <w:t>z</w:t>
            </w:r>
            <w:r w:rsidRPr="00682DE0">
              <w:rPr>
                <w:rFonts w:ascii="Book Antiqua" w:hAnsi="Book Antiqua"/>
                <w:color w:val="000000" w:themeColor="text1"/>
              </w:rPr>
              <w:t>ation, the follow-up time ranged from 0 to 36 mo</w:t>
            </w:r>
          </w:p>
        </w:tc>
        <w:tc>
          <w:tcPr>
            <w:tcW w:w="0" w:type="auto"/>
            <w:vAlign w:val="center"/>
          </w:tcPr>
          <w:p w14:paraId="45FEA656"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412966CC" w14:textId="77777777" w:rsidTr="0025796C">
        <w:trPr>
          <w:jc w:val="center"/>
        </w:trPr>
        <w:tc>
          <w:tcPr>
            <w:tcW w:w="0" w:type="auto"/>
            <w:vAlign w:val="center"/>
          </w:tcPr>
          <w:p w14:paraId="162C6856"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Gitlitz</w:t>
            </w:r>
            <w:r w:rsidRPr="00682DE0">
              <w:rPr>
                <w:rFonts w:ascii="Book Antiqua" w:hAnsi="Book Antiqua"/>
                <w:i/>
                <w:iCs/>
                <w:color w:val="000000" w:themeColor="text1"/>
              </w:rPr>
              <w:t xml:space="preserve"> et al</w:t>
            </w:r>
            <w:r w:rsidRPr="00682DE0">
              <w:rPr>
                <w:rFonts w:ascii="Book Antiqua" w:hAnsi="Book Antiqua"/>
                <w:color w:val="000000" w:themeColor="text1"/>
                <w:vertAlign w:val="superscript"/>
              </w:rPr>
              <w:t>[33]</w:t>
            </w:r>
          </w:p>
        </w:tc>
        <w:tc>
          <w:tcPr>
            <w:tcW w:w="0" w:type="auto"/>
            <w:vAlign w:val="center"/>
          </w:tcPr>
          <w:p w14:paraId="40AB6D8E"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2014</w:t>
            </w:r>
          </w:p>
        </w:tc>
        <w:tc>
          <w:tcPr>
            <w:tcW w:w="0" w:type="auto"/>
            <w:vAlign w:val="center"/>
          </w:tcPr>
          <w:p w14:paraId="0B96B0EA"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NA</w:t>
            </w:r>
          </w:p>
        </w:tc>
        <w:tc>
          <w:tcPr>
            <w:tcW w:w="0" w:type="auto"/>
            <w:vAlign w:val="center"/>
          </w:tcPr>
          <w:p w14:paraId="2F0DA9B2"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ECOG PS, sex, age</w:t>
            </w:r>
          </w:p>
        </w:tc>
        <w:tc>
          <w:tcPr>
            <w:tcW w:w="0" w:type="auto"/>
            <w:vAlign w:val="center"/>
          </w:tcPr>
          <w:p w14:paraId="3A33DD58"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Yes</w:t>
            </w:r>
          </w:p>
        </w:tc>
        <w:tc>
          <w:tcPr>
            <w:tcW w:w="0" w:type="auto"/>
            <w:vAlign w:val="center"/>
          </w:tcPr>
          <w:p w14:paraId="72BF3DFA"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The median follow-up time was 30 mo</w:t>
            </w:r>
          </w:p>
        </w:tc>
        <w:tc>
          <w:tcPr>
            <w:tcW w:w="0" w:type="auto"/>
            <w:vAlign w:val="center"/>
          </w:tcPr>
          <w:p w14:paraId="2DB984D3"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Yes</w:t>
            </w:r>
          </w:p>
        </w:tc>
      </w:tr>
      <w:tr w:rsidR="00A45C44" w:rsidRPr="00175753" w14:paraId="63425A03" w14:textId="77777777" w:rsidTr="0025796C">
        <w:trPr>
          <w:trHeight w:val="385"/>
          <w:jc w:val="center"/>
        </w:trPr>
        <w:tc>
          <w:tcPr>
            <w:tcW w:w="0" w:type="auto"/>
            <w:vAlign w:val="center"/>
          </w:tcPr>
          <w:p w14:paraId="6C597946"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0822-GCC</w:t>
            </w:r>
            <w:r w:rsidRPr="00682DE0">
              <w:rPr>
                <w:rFonts w:ascii="Book Antiqua" w:hAnsi="Book Antiqua"/>
                <w:color w:val="000000" w:themeColor="text1"/>
                <w:vertAlign w:val="superscript"/>
              </w:rPr>
              <w:t>[26]</w:t>
            </w:r>
          </w:p>
        </w:tc>
        <w:tc>
          <w:tcPr>
            <w:tcW w:w="0" w:type="auto"/>
            <w:vAlign w:val="center"/>
          </w:tcPr>
          <w:p w14:paraId="3F8E521D"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2015</w:t>
            </w:r>
          </w:p>
        </w:tc>
        <w:tc>
          <w:tcPr>
            <w:tcW w:w="0" w:type="auto"/>
            <w:vAlign w:val="center"/>
          </w:tcPr>
          <w:p w14:paraId="51F0FABA"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Centrali</w:t>
            </w:r>
            <w:r w:rsidR="00E36A4C" w:rsidRPr="00682DE0">
              <w:rPr>
                <w:rFonts w:ascii="Book Antiqua" w:hAnsi="Book Antiqua"/>
                <w:color w:val="000000" w:themeColor="text1"/>
              </w:rPr>
              <w:t>z</w:t>
            </w:r>
            <w:r w:rsidRPr="00682DE0">
              <w:rPr>
                <w:rFonts w:ascii="Book Antiqua" w:hAnsi="Book Antiqua"/>
                <w:color w:val="000000" w:themeColor="text1"/>
              </w:rPr>
              <w:t>ed</w:t>
            </w:r>
          </w:p>
        </w:tc>
        <w:tc>
          <w:tcPr>
            <w:tcW w:w="0" w:type="auto"/>
            <w:vAlign w:val="center"/>
          </w:tcPr>
          <w:p w14:paraId="24CF8365"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ECOG PS, sex, stage, race</w:t>
            </w:r>
          </w:p>
        </w:tc>
        <w:tc>
          <w:tcPr>
            <w:tcW w:w="0" w:type="auto"/>
            <w:vAlign w:val="center"/>
          </w:tcPr>
          <w:p w14:paraId="47F07AA7"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c>
          <w:tcPr>
            <w:tcW w:w="0" w:type="auto"/>
            <w:vAlign w:val="center"/>
          </w:tcPr>
          <w:p w14:paraId="6F9E4503"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0" w:type="auto"/>
            <w:vAlign w:val="center"/>
          </w:tcPr>
          <w:p w14:paraId="25CA76F5"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31D0DD36" w14:textId="77777777" w:rsidTr="0025796C">
        <w:trPr>
          <w:trHeight w:val="419"/>
          <w:jc w:val="center"/>
        </w:trPr>
        <w:tc>
          <w:tcPr>
            <w:tcW w:w="0" w:type="auto"/>
            <w:vAlign w:val="center"/>
          </w:tcPr>
          <w:p w14:paraId="03840A19"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 xml:space="preserve">Teng </w:t>
            </w:r>
            <w:r w:rsidRPr="00682DE0">
              <w:rPr>
                <w:rFonts w:ascii="Book Antiqua" w:hAnsi="Book Antiqua"/>
                <w:i/>
                <w:iCs/>
                <w:color w:val="000000" w:themeColor="text1"/>
              </w:rPr>
              <w:t>et al</w:t>
            </w:r>
            <w:r w:rsidRPr="00682DE0">
              <w:rPr>
                <w:rFonts w:ascii="Book Antiqua" w:hAnsi="Book Antiqua"/>
                <w:color w:val="000000" w:themeColor="text1"/>
                <w:vertAlign w:val="superscript"/>
              </w:rPr>
              <w:t>[31]</w:t>
            </w:r>
          </w:p>
        </w:tc>
        <w:tc>
          <w:tcPr>
            <w:tcW w:w="0" w:type="auto"/>
            <w:vAlign w:val="center"/>
          </w:tcPr>
          <w:p w14:paraId="7B840EDC"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2015</w:t>
            </w:r>
          </w:p>
        </w:tc>
        <w:tc>
          <w:tcPr>
            <w:tcW w:w="0" w:type="auto"/>
            <w:vAlign w:val="center"/>
          </w:tcPr>
          <w:p w14:paraId="143B0D74"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0" w:type="auto"/>
            <w:vAlign w:val="center"/>
          </w:tcPr>
          <w:p w14:paraId="387FD49D"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Serum DKK-1 levels</w:t>
            </w:r>
          </w:p>
        </w:tc>
        <w:tc>
          <w:tcPr>
            <w:tcW w:w="0" w:type="auto"/>
            <w:vAlign w:val="center"/>
          </w:tcPr>
          <w:p w14:paraId="1B0C4ABA"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No</w:t>
            </w:r>
          </w:p>
        </w:tc>
        <w:tc>
          <w:tcPr>
            <w:tcW w:w="0" w:type="auto"/>
            <w:vAlign w:val="center"/>
          </w:tcPr>
          <w:p w14:paraId="419B842F"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NA</w:t>
            </w:r>
          </w:p>
        </w:tc>
        <w:tc>
          <w:tcPr>
            <w:tcW w:w="0" w:type="auto"/>
            <w:vAlign w:val="center"/>
          </w:tcPr>
          <w:p w14:paraId="062AC4E9"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r w:rsidR="00A45C44" w:rsidRPr="00175753" w14:paraId="5A713C33" w14:textId="77777777" w:rsidTr="0025796C">
        <w:trPr>
          <w:jc w:val="center"/>
        </w:trPr>
        <w:tc>
          <w:tcPr>
            <w:tcW w:w="0" w:type="auto"/>
            <w:vAlign w:val="center"/>
          </w:tcPr>
          <w:p w14:paraId="34C32DCB" w14:textId="77777777" w:rsidR="0025796C" w:rsidRPr="00682DE0" w:rsidRDefault="0025796C" w:rsidP="00682DE0">
            <w:pPr>
              <w:spacing w:line="360" w:lineRule="auto"/>
              <w:jc w:val="both"/>
              <w:rPr>
                <w:rFonts w:ascii="Book Antiqua" w:hAnsi="Book Antiqua" w:cs="Times New Roman"/>
                <w:color w:val="000000" w:themeColor="text1"/>
              </w:rPr>
            </w:pPr>
            <w:r w:rsidRPr="00682DE0">
              <w:rPr>
                <w:rFonts w:ascii="Book Antiqua" w:hAnsi="Book Antiqua"/>
                <w:color w:val="000000" w:themeColor="text1"/>
              </w:rPr>
              <w:t>CALGB-30801</w:t>
            </w:r>
            <w:r w:rsidRPr="00682DE0">
              <w:rPr>
                <w:rFonts w:ascii="Book Antiqua" w:hAnsi="Book Antiqua"/>
                <w:color w:val="000000" w:themeColor="text1"/>
                <w:vertAlign w:val="superscript"/>
              </w:rPr>
              <w:t>[27]</w:t>
            </w:r>
          </w:p>
        </w:tc>
        <w:tc>
          <w:tcPr>
            <w:tcW w:w="0" w:type="auto"/>
            <w:vAlign w:val="center"/>
          </w:tcPr>
          <w:p w14:paraId="3EC0A208"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2017</w:t>
            </w:r>
          </w:p>
        </w:tc>
        <w:tc>
          <w:tcPr>
            <w:tcW w:w="0" w:type="auto"/>
            <w:vAlign w:val="center"/>
          </w:tcPr>
          <w:p w14:paraId="7F14EC36"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Stratified random permuted-blocks procedure</w:t>
            </w:r>
          </w:p>
        </w:tc>
        <w:tc>
          <w:tcPr>
            <w:tcW w:w="0" w:type="auto"/>
            <w:vAlign w:val="center"/>
          </w:tcPr>
          <w:p w14:paraId="60B6D59E"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Sex, histology and chemotherapy, smoking status, stage, age group, PS</w:t>
            </w:r>
          </w:p>
        </w:tc>
        <w:tc>
          <w:tcPr>
            <w:tcW w:w="0" w:type="auto"/>
            <w:vAlign w:val="center"/>
          </w:tcPr>
          <w:p w14:paraId="612DEDEE"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c>
          <w:tcPr>
            <w:tcW w:w="0" w:type="auto"/>
            <w:vAlign w:val="center"/>
          </w:tcPr>
          <w:p w14:paraId="3A0DB401"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The median follow-up time was 31 mo</w:t>
            </w:r>
          </w:p>
        </w:tc>
        <w:tc>
          <w:tcPr>
            <w:tcW w:w="0" w:type="auto"/>
            <w:vAlign w:val="center"/>
          </w:tcPr>
          <w:p w14:paraId="3ABF5D76" w14:textId="77777777" w:rsidR="0025796C" w:rsidRPr="00682DE0" w:rsidRDefault="0025796C" w:rsidP="00682DE0">
            <w:pPr>
              <w:spacing w:line="360" w:lineRule="auto"/>
              <w:jc w:val="both"/>
              <w:rPr>
                <w:rFonts w:ascii="Book Antiqua" w:eastAsia="宋体" w:hAnsi="Book Antiqua" w:cs="Times New Roman"/>
                <w:color w:val="000000" w:themeColor="text1"/>
              </w:rPr>
            </w:pPr>
            <w:r w:rsidRPr="00682DE0">
              <w:rPr>
                <w:rFonts w:ascii="Book Antiqua" w:hAnsi="Book Antiqua"/>
                <w:color w:val="000000" w:themeColor="text1"/>
              </w:rPr>
              <w:t>Yes</w:t>
            </w:r>
          </w:p>
        </w:tc>
      </w:tr>
    </w:tbl>
    <w:p w14:paraId="451F638B" w14:textId="77777777" w:rsidR="0025796C" w:rsidRPr="00682DE0" w:rsidRDefault="0025796C" w:rsidP="00A45C44">
      <w:pPr>
        <w:spacing w:line="360" w:lineRule="auto"/>
        <w:jc w:val="both"/>
        <w:rPr>
          <w:rFonts w:ascii="Book Antiqua" w:hAnsi="Book Antiqua"/>
          <w:color w:val="000000" w:themeColor="text1"/>
        </w:rPr>
      </w:pPr>
      <w:r w:rsidRPr="00682DE0">
        <w:rPr>
          <w:rFonts w:ascii="Book Antiqua" w:hAnsi="Book Antiqua"/>
          <w:color w:val="000000" w:themeColor="text1"/>
        </w:rPr>
        <w:t>ECOG: Eastern Cooperative Oncology Group; PS: Performance status; COX-2: Cydooxygenase-2; NA: Not available.</w:t>
      </w:r>
    </w:p>
    <w:p w14:paraId="603A9E5D" w14:textId="77777777" w:rsidR="0025796C" w:rsidRPr="00682DE0" w:rsidRDefault="00580E54" w:rsidP="00175753">
      <w:pPr>
        <w:spacing w:line="360" w:lineRule="auto"/>
        <w:jc w:val="both"/>
        <w:rPr>
          <w:rFonts w:ascii="Book Antiqua" w:hAnsi="Book Antiqua"/>
          <w:b/>
          <w:bCs/>
          <w:color w:val="000000" w:themeColor="text1"/>
        </w:rPr>
      </w:pPr>
      <w:r w:rsidRPr="00682DE0">
        <w:rPr>
          <w:rFonts w:ascii="Book Antiqua" w:hAnsi="Book Antiqua"/>
          <w:b/>
          <w:bCs/>
          <w:color w:val="000000" w:themeColor="text1"/>
        </w:rPr>
        <w:br w:type="page"/>
      </w:r>
      <w:r w:rsidR="0025796C" w:rsidRPr="00682DE0">
        <w:rPr>
          <w:rFonts w:ascii="Book Antiqua" w:hAnsi="Book Antiqua"/>
          <w:b/>
          <w:bCs/>
          <w:color w:val="000000" w:themeColor="text1"/>
        </w:rPr>
        <w:t>Table 3 Subgroup analyses of the toxicities of COX-2 inhibitor</w:t>
      </w:r>
    </w:p>
    <w:tbl>
      <w:tblPr>
        <w:tblStyle w:val="a5"/>
        <w:tblW w:w="5000" w:type="pct"/>
        <w:tblInd w:w="-176"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98"/>
        <w:gridCol w:w="938"/>
        <w:gridCol w:w="1547"/>
        <w:gridCol w:w="1484"/>
        <w:gridCol w:w="2385"/>
        <w:gridCol w:w="796"/>
        <w:gridCol w:w="2258"/>
        <w:gridCol w:w="1470"/>
      </w:tblGrid>
      <w:tr w:rsidR="00A45C44" w:rsidRPr="00175753" w14:paraId="3747B754" w14:textId="77777777" w:rsidTr="00BE72FB">
        <w:tc>
          <w:tcPr>
            <w:tcW w:w="872" w:type="pct"/>
            <w:tcBorders>
              <w:top w:val="single" w:sz="4" w:space="0" w:color="auto"/>
              <w:bottom w:val="single" w:sz="4" w:space="0" w:color="auto"/>
            </w:tcBorders>
            <w:vAlign w:val="center"/>
          </w:tcPr>
          <w:p w14:paraId="43DA51F1" w14:textId="77777777" w:rsidR="0025796C" w:rsidRPr="00682DE0" w:rsidRDefault="0025796C"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Toxicity</w:t>
            </w:r>
          </w:p>
        </w:tc>
        <w:tc>
          <w:tcPr>
            <w:tcW w:w="356" w:type="pct"/>
            <w:tcBorders>
              <w:top w:val="single" w:sz="4" w:space="0" w:color="auto"/>
              <w:bottom w:val="single" w:sz="4" w:space="0" w:color="auto"/>
            </w:tcBorders>
            <w:vAlign w:val="center"/>
          </w:tcPr>
          <w:p w14:paraId="29866391" w14:textId="77777777" w:rsidR="0025796C" w:rsidRPr="00682DE0" w:rsidRDefault="00F04D36"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RCT</w:t>
            </w:r>
            <w:r w:rsidR="00F62EF5">
              <w:rPr>
                <w:rFonts w:ascii="Book Antiqua" w:hAnsi="Book Antiqua" w:cs="Times New Roman"/>
                <w:b/>
                <w:color w:val="000000" w:themeColor="text1"/>
              </w:rPr>
              <w:t>,</w:t>
            </w:r>
            <w:r w:rsidRPr="00682DE0">
              <w:rPr>
                <w:rFonts w:ascii="Book Antiqua" w:hAnsi="Book Antiqua"/>
                <w:b/>
                <w:color w:val="000000" w:themeColor="text1"/>
              </w:rPr>
              <w:t xml:space="preserve"> </w:t>
            </w:r>
            <w:r w:rsidRPr="00682DE0">
              <w:rPr>
                <w:rFonts w:ascii="Book Antiqua" w:hAnsi="Book Antiqua"/>
                <w:b/>
                <w:i/>
                <w:iCs/>
                <w:color w:val="000000" w:themeColor="text1"/>
              </w:rPr>
              <w:t>n</w:t>
            </w:r>
          </w:p>
        </w:tc>
        <w:tc>
          <w:tcPr>
            <w:tcW w:w="587" w:type="pct"/>
            <w:tcBorders>
              <w:top w:val="single" w:sz="4" w:space="0" w:color="auto"/>
              <w:bottom w:val="single" w:sz="4" w:space="0" w:color="auto"/>
            </w:tcBorders>
            <w:vAlign w:val="center"/>
          </w:tcPr>
          <w:p w14:paraId="23A6836D" w14:textId="77777777" w:rsidR="0025796C" w:rsidRPr="00682DE0" w:rsidRDefault="0025796C"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RR</w:t>
            </w:r>
            <w:r w:rsidR="00F04D36" w:rsidRPr="00682DE0">
              <w:rPr>
                <w:rFonts w:ascii="Book Antiqua" w:hAnsi="Book Antiqua"/>
                <w:b/>
                <w:color w:val="000000" w:themeColor="text1"/>
              </w:rPr>
              <w:t xml:space="preserve"> </w:t>
            </w:r>
            <w:r w:rsidRPr="00682DE0">
              <w:rPr>
                <w:rFonts w:ascii="Book Antiqua" w:hAnsi="Book Antiqua"/>
                <w:b/>
                <w:color w:val="000000" w:themeColor="text1"/>
              </w:rPr>
              <w:t>(95%CI)</w:t>
            </w:r>
          </w:p>
        </w:tc>
        <w:tc>
          <w:tcPr>
            <w:tcW w:w="563" w:type="pct"/>
            <w:tcBorders>
              <w:top w:val="single" w:sz="4" w:space="0" w:color="auto"/>
              <w:bottom w:val="single" w:sz="4" w:space="0" w:color="auto"/>
            </w:tcBorders>
            <w:vAlign w:val="center"/>
          </w:tcPr>
          <w:p w14:paraId="460CA698" w14:textId="77777777" w:rsidR="0025796C" w:rsidRPr="00682DE0" w:rsidRDefault="0025796C" w:rsidP="00682DE0">
            <w:pPr>
              <w:spacing w:line="360" w:lineRule="auto"/>
              <w:jc w:val="both"/>
              <w:rPr>
                <w:rFonts w:ascii="Book Antiqua" w:hAnsi="Book Antiqua" w:cs="Times New Roman"/>
                <w:b/>
                <w:color w:val="000000" w:themeColor="text1"/>
              </w:rPr>
            </w:pPr>
            <w:r w:rsidRPr="00682DE0">
              <w:rPr>
                <w:rFonts w:ascii="Book Antiqua" w:hAnsi="Book Antiqua"/>
                <w:b/>
                <w:i/>
                <w:iCs/>
                <w:color w:val="000000" w:themeColor="text1"/>
              </w:rPr>
              <w:t>P</w:t>
            </w:r>
            <w:r w:rsidRPr="00682DE0">
              <w:rPr>
                <w:rFonts w:ascii="Book Antiqua" w:hAnsi="Book Antiqua"/>
                <w:b/>
                <w:color w:val="000000" w:themeColor="text1"/>
              </w:rPr>
              <w:t xml:space="preserve"> value for between groups</w:t>
            </w:r>
          </w:p>
        </w:tc>
        <w:tc>
          <w:tcPr>
            <w:tcW w:w="905" w:type="pct"/>
            <w:tcBorders>
              <w:top w:val="single" w:sz="4" w:space="0" w:color="auto"/>
              <w:bottom w:val="single" w:sz="4" w:space="0" w:color="auto"/>
            </w:tcBorders>
            <w:vAlign w:val="center"/>
          </w:tcPr>
          <w:p w14:paraId="6E5FDF52" w14:textId="77777777" w:rsidR="0025796C" w:rsidRPr="00682DE0" w:rsidRDefault="0025796C"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Toxicity</w:t>
            </w:r>
          </w:p>
        </w:tc>
        <w:tc>
          <w:tcPr>
            <w:tcW w:w="302" w:type="pct"/>
            <w:tcBorders>
              <w:top w:val="single" w:sz="4" w:space="0" w:color="auto"/>
              <w:bottom w:val="single" w:sz="4" w:space="0" w:color="auto"/>
            </w:tcBorders>
            <w:vAlign w:val="center"/>
          </w:tcPr>
          <w:p w14:paraId="6F073F47" w14:textId="77777777" w:rsidR="0025796C" w:rsidRPr="00682DE0" w:rsidRDefault="0025796C"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RCT</w:t>
            </w:r>
            <w:r w:rsidR="00F62EF5">
              <w:rPr>
                <w:rFonts w:ascii="Book Antiqua" w:hAnsi="Book Antiqua" w:cs="Times New Roman"/>
                <w:b/>
                <w:color w:val="000000" w:themeColor="text1"/>
              </w:rPr>
              <w:t>,</w:t>
            </w:r>
            <w:r w:rsidRPr="00682DE0">
              <w:rPr>
                <w:rFonts w:ascii="Book Antiqua" w:hAnsi="Book Antiqua"/>
                <w:b/>
                <w:color w:val="000000" w:themeColor="text1"/>
              </w:rPr>
              <w:t xml:space="preserve"> </w:t>
            </w:r>
            <w:r w:rsidRPr="00682DE0">
              <w:rPr>
                <w:rFonts w:ascii="Book Antiqua" w:hAnsi="Book Antiqua"/>
                <w:b/>
                <w:i/>
                <w:iCs/>
                <w:color w:val="000000" w:themeColor="text1"/>
              </w:rPr>
              <w:t>n</w:t>
            </w:r>
          </w:p>
        </w:tc>
        <w:tc>
          <w:tcPr>
            <w:tcW w:w="857" w:type="pct"/>
            <w:tcBorders>
              <w:top w:val="single" w:sz="4" w:space="0" w:color="auto"/>
              <w:bottom w:val="single" w:sz="4" w:space="0" w:color="auto"/>
            </w:tcBorders>
            <w:vAlign w:val="center"/>
          </w:tcPr>
          <w:p w14:paraId="0413759E" w14:textId="77777777" w:rsidR="0025796C" w:rsidRPr="00682DE0" w:rsidRDefault="0025796C" w:rsidP="00682DE0">
            <w:pPr>
              <w:spacing w:line="360" w:lineRule="auto"/>
              <w:jc w:val="both"/>
              <w:rPr>
                <w:rFonts w:ascii="Book Antiqua" w:hAnsi="Book Antiqua" w:cs="Times New Roman"/>
                <w:b/>
                <w:color w:val="000000" w:themeColor="text1"/>
              </w:rPr>
            </w:pPr>
            <w:r w:rsidRPr="00682DE0">
              <w:rPr>
                <w:rFonts w:ascii="Book Antiqua" w:hAnsi="Book Antiqua"/>
                <w:b/>
                <w:color w:val="000000" w:themeColor="text1"/>
              </w:rPr>
              <w:t>RR (95%CI)</w:t>
            </w:r>
          </w:p>
        </w:tc>
        <w:tc>
          <w:tcPr>
            <w:tcW w:w="557" w:type="pct"/>
            <w:tcBorders>
              <w:top w:val="single" w:sz="4" w:space="0" w:color="auto"/>
              <w:bottom w:val="single" w:sz="4" w:space="0" w:color="auto"/>
            </w:tcBorders>
            <w:vAlign w:val="center"/>
          </w:tcPr>
          <w:p w14:paraId="7993D462" w14:textId="77777777" w:rsidR="0025796C" w:rsidRPr="00682DE0" w:rsidRDefault="0025796C" w:rsidP="00682DE0">
            <w:pPr>
              <w:spacing w:line="360" w:lineRule="auto"/>
              <w:jc w:val="both"/>
              <w:rPr>
                <w:rFonts w:ascii="Book Antiqua" w:hAnsi="Book Antiqua" w:cs="Times New Roman"/>
                <w:b/>
                <w:color w:val="000000" w:themeColor="text1"/>
              </w:rPr>
            </w:pPr>
            <w:r w:rsidRPr="00682DE0">
              <w:rPr>
                <w:rFonts w:ascii="Book Antiqua" w:hAnsi="Book Antiqua"/>
                <w:b/>
                <w:i/>
                <w:iCs/>
                <w:color w:val="000000" w:themeColor="text1"/>
              </w:rPr>
              <w:t>P</w:t>
            </w:r>
            <w:r w:rsidRPr="00682DE0">
              <w:rPr>
                <w:rFonts w:ascii="Book Antiqua" w:hAnsi="Book Antiqua"/>
                <w:b/>
                <w:color w:val="000000" w:themeColor="text1"/>
              </w:rPr>
              <w:t xml:space="preserve"> value for </w:t>
            </w:r>
            <w:r w:rsidR="000255B4" w:rsidRPr="00682DE0">
              <w:rPr>
                <w:rFonts w:ascii="Book Antiqua" w:hAnsi="Book Antiqua"/>
                <w:b/>
                <w:color w:val="000000" w:themeColor="text1"/>
              </w:rPr>
              <w:t>b</w:t>
            </w:r>
            <w:r w:rsidRPr="00682DE0">
              <w:rPr>
                <w:rFonts w:ascii="Book Antiqua" w:hAnsi="Book Antiqua"/>
                <w:b/>
                <w:color w:val="000000" w:themeColor="text1"/>
              </w:rPr>
              <w:t>etween groups</w:t>
            </w:r>
          </w:p>
        </w:tc>
      </w:tr>
      <w:tr w:rsidR="00A45C44" w:rsidRPr="00175753" w14:paraId="7751C633" w14:textId="77777777" w:rsidTr="00BE72FB">
        <w:tc>
          <w:tcPr>
            <w:tcW w:w="872" w:type="pct"/>
            <w:tcBorders>
              <w:top w:val="single" w:sz="4" w:space="0" w:color="auto"/>
            </w:tcBorders>
            <w:vAlign w:val="center"/>
          </w:tcPr>
          <w:p w14:paraId="5550D19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Leucopenia</w:t>
            </w:r>
          </w:p>
        </w:tc>
        <w:tc>
          <w:tcPr>
            <w:tcW w:w="356" w:type="pct"/>
            <w:tcBorders>
              <w:top w:val="single" w:sz="4" w:space="0" w:color="auto"/>
            </w:tcBorders>
            <w:vAlign w:val="center"/>
          </w:tcPr>
          <w:p w14:paraId="1885003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8</w:t>
            </w:r>
          </w:p>
        </w:tc>
        <w:tc>
          <w:tcPr>
            <w:tcW w:w="587" w:type="pct"/>
            <w:tcBorders>
              <w:top w:val="single" w:sz="4" w:space="0" w:color="auto"/>
            </w:tcBorders>
            <w:vAlign w:val="center"/>
          </w:tcPr>
          <w:p w14:paraId="41663BE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1.20 (1.03, 1.40)</w:t>
            </w:r>
          </w:p>
        </w:tc>
        <w:tc>
          <w:tcPr>
            <w:tcW w:w="563" w:type="pct"/>
            <w:tcBorders>
              <w:top w:val="single" w:sz="4" w:space="0" w:color="auto"/>
            </w:tcBorders>
            <w:vAlign w:val="center"/>
          </w:tcPr>
          <w:p w14:paraId="0A1626A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0.020</w:t>
            </w:r>
          </w:p>
        </w:tc>
        <w:tc>
          <w:tcPr>
            <w:tcW w:w="905" w:type="pct"/>
            <w:tcBorders>
              <w:top w:val="single" w:sz="4" w:space="0" w:color="auto"/>
            </w:tcBorders>
            <w:vAlign w:val="center"/>
          </w:tcPr>
          <w:p w14:paraId="0ED4AA0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Diarrhea</w:t>
            </w:r>
          </w:p>
        </w:tc>
        <w:tc>
          <w:tcPr>
            <w:tcW w:w="302" w:type="pct"/>
            <w:tcBorders>
              <w:top w:val="single" w:sz="4" w:space="0" w:color="auto"/>
            </w:tcBorders>
            <w:vAlign w:val="center"/>
          </w:tcPr>
          <w:p w14:paraId="0F8CC47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857" w:type="pct"/>
            <w:tcBorders>
              <w:top w:val="single" w:sz="4" w:space="0" w:color="auto"/>
            </w:tcBorders>
            <w:vAlign w:val="center"/>
          </w:tcPr>
          <w:p w14:paraId="2658BF0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1.31 (0.64, 2.71)</w:t>
            </w:r>
          </w:p>
        </w:tc>
        <w:tc>
          <w:tcPr>
            <w:tcW w:w="557" w:type="pct"/>
            <w:tcBorders>
              <w:top w:val="single" w:sz="4" w:space="0" w:color="auto"/>
            </w:tcBorders>
            <w:vAlign w:val="center"/>
          </w:tcPr>
          <w:p w14:paraId="35A4335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0.460</w:t>
            </w:r>
          </w:p>
        </w:tc>
      </w:tr>
      <w:tr w:rsidR="00A45C44" w:rsidRPr="00175753" w14:paraId="647F631A" w14:textId="77777777" w:rsidTr="00BE72FB">
        <w:tc>
          <w:tcPr>
            <w:tcW w:w="2378" w:type="pct"/>
            <w:gridSpan w:val="4"/>
            <w:vAlign w:val="center"/>
          </w:tcPr>
          <w:p w14:paraId="172D8492" w14:textId="77777777" w:rsidR="0025796C" w:rsidRPr="00682DE0" w:rsidRDefault="00AE5134"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COX-2</w:t>
            </w:r>
            <w:r w:rsidR="0025796C" w:rsidRPr="00682DE0">
              <w:rPr>
                <w:rFonts w:ascii="Book Antiqua" w:hAnsi="Book Antiqua"/>
                <w:bCs/>
                <w:color w:val="000000" w:themeColor="text1"/>
              </w:rPr>
              <w:t xml:space="preserve"> inhibitor type</w:t>
            </w:r>
          </w:p>
        </w:tc>
        <w:tc>
          <w:tcPr>
            <w:tcW w:w="2622" w:type="pct"/>
            <w:gridSpan w:val="4"/>
            <w:vAlign w:val="center"/>
          </w:tcPr>
          <w:p w14:paraId="48439A33" w14:textId="77777777" w:rsidR="0025796C" w:rsidRPr="00682DE0" w:rsidRDefault="00AE5134"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COX-2</w:t>
            </w:r>
            <w:r w:rsidR="0025796C" w:rsidRPr="00682DE0">
              <w:rPr>
                <w:rFonts w:ascii="Book Antiqua" w:hAnsi="Book Antiqua"/>
                <w:bCs/>
                <w:color w:val="000000" w:themeColor="text1"/>
              </w:rPr>
              <w:t xml:space="preserve"> inhibitor type</w:t>
            </w:r>
          </w:p>
        </w:tc>
      </w:tr>
      <w:tr w:rsidR="00A45C44" w:rsidRPr="00175753" w14:paraId="28A1A26E" w14:textId="77777777" w:rsidTr="00BE72FB">
        <w:tc>
          <w:tcPr>
            <w:tcW w:w="872" w:type="pct"/>
            <w:vAlign w:val="center"/>
          </w:tcPr>
          <w:p w14:paraId="0609CEB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356" w:type="pct"/>
            <w:vAlign w:val="center"/>
          </w:tcPr>
          <w:p w14:paraId="414BF60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6</w:t>
            </w:r>
          </w:p>
        </w:tc>
        <w:tc>
          <w:tcPr>
            <w:tcW w:w="587" w:type="pct"/>
            <w:vAlign w:val="center"/>
          </w:tcPr>
          <w:p w14:paraId="1A2A698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1.26 (1.07, 1.49)</w:t>
            </w:r>
          </w:p>
        </w:tc>
        <w:tc>
          <w:tcPr>
            <w:tcW w:w="563" w:type="pct"/>
            <w:vMerge w:val="restart"/>
            <w:vAlign w:val="center"/>
          </w:tcPr>
          <w:p w14:paraId="681FF52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0.28</w:t>
            </w:r>
            <w:r w:rsidR="00293DF0" w:rsidRPr="00682DE0">
              <w:rPr>
                <w:rFonts w:ascii="Book Antiqua" w:hAnsi="Book Antiqua"/>
                <w:bCs/>
                <w:color w:val="000000" w:themeColor="text1"/>
              </w:rPr>
              <w:t>0</w:t>
            </w:r>
          </w:p>
        </w:tc>
        <w:tc>
          <w:tcPr>
            <w:tcW w:w="905" w:type="pct"/>
            <w:vAlign w:val="center"/>
          </w:tcPr>
          <w:p w14:paraId="2D0BC19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302" w:type="pct"/>
            <w:vAlign w:val="center"/>
          </w:tcPr>
          <w:p w14:paraId="370E861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857" w:type="pct"/>
            <w:vAlign w:val="center"/>
          </w:tcPr>
          <w:p w14:paraId="433AD7B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1.24 (0.59, 2.62)</w:t>
            </w:r>
          </w:p>
        </w:tc>
        <w:tc>
          <w:tcPr>
            <w:tcW w:w="557" w:type="pct"/>
            <w:vMerge w:val="restart"/>
            <w:vAlign w:val="center"/>
          </w:tcPr>
          <w:p w14:paraId="4372DD5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0.94</w:t>
            </w:r>
            <w:r w:rsidR="00293DF0" w:rsidRPr="00682DE0">
              <w:rPr>
                <w:rFonts w:ascii="Book Antiqua" w:hAnsi="Book Antiqua"/>
                <w:bCs/>
                <w:color w:val="000000" w:themeColor="text1"/>
              </w:rPr>
              <w:t>0</w:t>
            </w:r>
          </w:p>
        </w:tc>
      </w:tr>
      <w:tr w:rsidR="00A45C44" w:rsidRPr="00175753" w14:paraId="6C9274A2" w14:textId="77777777" w:rsidTr="00BE72FB">
        <w:tc>
          <w:tcPr>
            <w:tcW w:w="872" w:type="pct"/>
            <w:vAlign w:val="center"/>
          </w:tcPr>
          <w:p w14:paraId="5BE1114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Rofecoxib</w:t>
            </w:r>
          </w:p>
        </w:tc>
        <w:tc>
          <w:tcPr>
            <w:tcW w:w="356" w:type="pct"/>
            <w:vAlign w:val="center"/>
          </w:tcPr>
          <w:p w14:paraId="6461B1C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587" w:type="pct"/>
            <w:vAlign w:val="center"/>
          </w:tcPr>
          <w:p w14:paraId="12EE145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0.80 (0.43, 1.50)</w:t>
            </w:r>
          </w:p>
        </w:tc>
        <w:tc>
          <w:tcPr>
            <w:tcW w:w="563" w:type="pct"/>
            <w:vMerge/>
            <w:vAlign w:val="center"/>
          </w:tcPr>
          <w:p w14:paraId="528ED014"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5" w:type="pct"/>
            <w:vAlign w:val="center"/>
          </w:tcPr>
          <w:p w14:paraId="4BD168E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Rofecoxib</w:t>
            </w:r>
          </w:p>
        </w:tc>
        <w:tc>
          <w:tcPr>
            <w:tcW w:w="302" w:type="pct"/>
            <w:vAlign w:val="center"/>
          </w:tcPr>
          <w:p w14:paraId="3BB162D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857" w:type="pct"/>
            <w:vAlign w:val="center"/>
          </w:tcPr>
          <w:p w14:paraId="1F2AC46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3.05 (0.13, 74.1)</w:t>
            </w:r>
          </w:p>
        </w:tc>
        <w:tc>
          <w:tcPr>
            <w:tcW w:w="557" w:type="pct"/>
            <w:vMerge/>
            <w:vAlign w:val="center"/>
          </w:tcPr>
          <w:p w14:paraId="46BD7085"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7CAE63C0" w14:textId="77777777" w:rsidTr="00BE72FB">
        <w:tc>
          <w:tcPr>
            <w:tcW w:w="872" w:type="pct"/>
            <w:vAlign w:val="center"/>
          </w:tcPr>
          <w:p w14:paraId="49914E4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356" w:type="pct"/>
            <w:vAlign w:val="center"/>
          </w:tcPr>
          <w:p w14:paraId="6674FB7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587" w:type="pct"/>
            <w:vAlign w:val="center"/>
          </w:tcPr>
          <w:p w14:paraId="30E0FAB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0.92 (0.47, 1.80)</w:t>
            </w:r>
          </w:p>
        </w:tc>
        <w:tc>
          <w:tcPr>
            <w:tcW w:w="563" w:type="pct"/>
            <w:vMerge/>
            <w:vAlign w:val="center"/>
          </w:tcPr>
          <w:p w14:paraId="41FF5EE7"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5" w:type="pct"/>
            <w:vAlign w:val="center"/>
          </w:tcPr>
          <w:p w14:paraId="7CE899A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302" w:type="pct"/>
            <w:vAlign w:val="center"/>
          </w:tcPr>
          <w:p w14:paraId="025AD44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857" w:type="pct"/>
            <w:vAlign w:val="center"/>
          </w:tcPr>
          <w:p w14:paraId="718DE44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2.69 (0.33, 22.3)</w:t>
            </w:r>
          </w:p>
        </w:tc>
        <w:tc>
          <w:tcPr>
            <w:tcW w:w="557" w:type="pct"/>
            <w:vMerge/>
            <w:vAlign w:val="center"/>
          </w:tcPr>
          <w:p w14:paraId="6B7B851C"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4F4E35B7" w14:textId="77777777" w:rsidTr="00BE72FB">
        <w:tc>
          <w:tcPr>
            <w:tcW w:w="872" w:type="pct"/>
            <w:vAlign w:val="center"/>
          </w:tcPr>
          <w:p w14:paraId="4935C23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c>
          <w:tcPr>
            <w:tcW w:w="356" w:type="pct"/>
            <w:vAlign w:val="center"/>
          </w:tcPr>
          <w:p w14:paraId="2E67E556"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587" w:type="pct"/>
            <w:vAlign w:val="center"/>
          </w:tcPr>
          <w:p w14:paraId="62D5E0AB"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563" w:type="pct"/>
            <w:vAlign w:val="center"/>
          </w:tcPr>
          <w:p w14:paraId="4218E473"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2622" w:type="pct"/>
            <w:gridSpan w:val="4"/>
            <w:vAlign w:val="center"/>
          </w:tcPr>
          <w:p w14:paraId="5000F1E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r>
      <w:tr w:rsidR="00A45C44" w:rsidRPr="00175753" w14:paraId="1069FE54" w14:textId="77777777" w:rsidTr="00BE72FB">
        <w:tc>
          <w:tcPr>
            <w:tcW w:w="872" w:type="pct"/>
            <w:vAlign w:val="center"/>
          </w:tcPr>
          <w:p w14:paraId="066F89C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356" w:type="pct"/>
            <w:vAlign w:val="center"/>
          </w:tcPr>
          <w:p w14:paraId="0006023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6</w:t>
            </w:r>
          </w:p>
        </w:tc>
        <w:tc>
          <w:tcPr>
            <w:tcW w:w="587" w:type="pct"/>
            <w:vAlign w:val="center"/>
          </w:tcPr>
          <w:p w14:paraId="018EFCA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1.20 (1.02, 1.42)</w:t>
            </w:r>
          </w:p>
        </w:tc>
        <w:tc>
          <w:tcPr>
            <w:tcW w:w="563" w:type="pct"/>
            <w:vMerge w:val="restart"/>
            <w:vAlign w:val="center"/>
          </w:tcPr>
          <w:p w14:paraId="657F46E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0.90</w:t>
            </w:r>
            <w:r w:rsidR="00293DF0" w:rsidRPr="00682DE0">
              <w:rPr>
                <w:rFonts w:ascii="Book Antiqua" w:hAnsi="Book Antiqua"/>
                <w:bCs/>
                <w:color w:val="000000" w:themeColor="text1"/>
              </w:rPr>
              <w:t>0</w:t>
            </w:r>
          </w:p>
        </w:tc>
        <w:tc>
          <w:tcPr>
            <w:tcW w:w="905" w:type="pct"/>
            <w:vAlign w:val="center"/>
          </w:tcPr>
          <w:p w14:paraId="5ECF977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302" w:type="pct"/>
            <w:vAlign w:val="center"/>
          </w:tcPr>
          <w:p w14:paraId="5CF2E8C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857" w:type="pct"/>
            <w:vAlign w:val="center"/>
          </w:tcPr>
          <w:p w14:paraId="6DD902B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0.91 (0.40, 2.07)</w:t>
            </w:r>
          </w:p>
        </w:tc>
        <w:tc>
          <w:tcPr>
            <w:tcW w:w="557" w:type="pct"/>
            <w:vMerge w:val="restart"/>
            <w:vAlign w:val="center"/>
          </w:tcPr>
          <w:p w14:paraId="394B14C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0.08</w:t>
            </w:r>
            <w:r w:rsidR="00293DF0" w:rsidRPr="00682DE0">
              <w:rPr>
                <w:rFonts w:ascii="Book Antiqua" w:hAnsi="Book Antiqua"/>
                <w:bCs/>
                <w:color w:val="000000" w:themeColor="text1"/>
              </w:rPr>
              <w:t>0</w:t>
            </w:r>
          </w:p>
        </w:tc>
      </w:tr>
      <w:tr w:rsidR="00A45C44" w:rsidRPr="00175753" w14:paraId="16F7FF9C" w14:textId="77777777" w:rsidTr="00BE72FB">
        <w:tc>
          <w:tcPr>
            <w:tcW w:w="872" w:type="pct"/>
            <w:tcBorders>
              <w:bottom w:val="nil"/>
            </w:tcBorders>
            <w:vAlign w:val="center"/>
          </w:tcPr>
          <w:p w14:paraId="4D4E87A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356" w:type="pct"/>
            <w:tcBorders>
              <w:bottom w:val="nil"/>
            </w:tcBorders>
            <w:vAlign w:val="center"/>
          </w:tcPr>
          <w:p w14:paraId="58B7C34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587" w:type="pct"/>
            <w:tcBorders>
              <w:bottom w:val="nil"/>
            </w:tcBorders>
            <w:vAlign w:val="center"/>
          </w:tcPr>
          <w:p w14:paraId="1CCC377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1.19 (0.76, 1.87)</w:t>
            </w:r>
          </w:p>
        </w:tc>
        <w:tc>
          <w:tcPr>
            <w:tcW w:w="563" w:type="pct"/>
            <w:vMerge/>
            <w:tcBorders>
              <w:bottom w:val="nil"/>
            </w:tcBorders>
            <w:vAlign w:val="center"/>
          </w:tcPr>
          <w:p w14:paraId="6177B50D"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5" w:type="pct"/>
            <w:tcBorders>
              <w:bottom w:val="nil"/>
            </w:tcBorders>
            <w:vAlign w:val="center"/>
          </w:tcPr>
          <w:p w14:paraId="4869AD1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302" w:type="pct"/>
            <w:tcBorders>
              <w:bottom w:val="nil"/>
            </w:tcBorders>
            <w:vAlign w:val="center"/>
          </w:tcPr>
          <w:p w14:paraId="1922C88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857" w:type="pct"/>
            <w:tcBorders>
              <w:bottom w:val="nil"/>
            </w:tcBorders>
            <w:vAlign w:val="center"/>
          </w:tcPr>
          <w:p w14:paraId="667426E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4.10 (0.95, 17.6</w:t>
            </w:r>
            <w:r w:rsidR="00293DF0" w:rsidRPr="00682DE0">
              <w:rPr>
                <w:rFonts w:ascii="Book Antiqua" w:hAnsi="Book Antiqua"/>
                <w:bCs/>
                <w:color w:val="000000" w:themeColor="text1"/>
              </w:rPr>
              <w:t>0</w:t>
            </w:r>
            <w:r w:rsidRPr="00682DE0">
              <w:rPr>
                <w:rFonts w:ascii="Book Antiqua" w:hAnsi="Book Antiqua"/>
                <w:bCs/>
                <w:color w:val="000000" w:themeColor="text1"/>
              </w:rPr>
              <w:t>)</w:t>
            </w:r>
          </w:p>
        </w:tc>
        <w:tc>
          <w:tcPr>
            <w:tcW w:w="557" w:type="pct"/>
            <w:vMerge/>
            <w:tcBorders>
              <w:bottom w:val="nil"/>
            </w:tcBorders>
            <w:vAlign w:val="center"/>
          </w:tcPr>
          <w:p w14:paraId="110564C8"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260F9AD9" w14:textId="77777777" w:rsidTr="00BE72FB">
        <w:tc>
          <w:tcPr>
            <w:tcW w:w="2378" w:type="pct"/>
            <w:gridSpan w:val="4"/>
            <w:tcBorders>
              <w:top w:val="nil"/>
              <w:bottom w:val="nil"/>
            </w:tcBorders>
            <w:vAlign w:val="center"/>
          </w:tcPr>
          <w:p w14:paraId="4315CAE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c>
          <w:tcPr>
            <w:tcW w:w="2622" w:type="pct"/>
            <w:gridSpan w:val="4"/>
            <w:tcBorders>
              <w:top w:val="nil"/>
              <w:bottom w:val="nil"/>
            </w:tcBorders>
            <w:vAlign w:val="center"/>
          </w:tcPr>
          <w:p w14:paraId="3616DC5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r>
      <w:tr w:rsidR="00A45C44" w:rsidRPr="00175753" w14:paraId="447A1F6A" w14:textId="77777777" w:rsidTr="00BE72FB">
        <w:tc>
          <w:tcPr>
            <w:tcW w:w="872" w:type="pct"/>
            <w:tcBorders>
              <w:top w:val="nil"/>
              <w:bottom w:val="nil"/>
            </w:tcBorders>
            <w:vAlign w:val="center"/>
          </w:tcPr>
          <w:p w14:paraId="3FB434D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w:t>
            </w:r>
          </w:p>
        </w:tc>
        <w:tc>
          <w:tcPr>
            <w:tcW w:w="356" w:type="pct"/>
            <w:tcBorders>
              <w:top w:val="nil"/>
              <w:bottom w:val="nil"/>
            </w:tcBorders>
            <w:vAlign w:val="center"/>
          </w:tcPr>
          <w:p w14:paraId="7F5D382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587" w:type="pct"/>
            <w:tcBorders>
              <w:top w:val="nil"/>
              <w:bottom w:val="nil"/>
            </w:tcBorders>
            <w:vAlign w:val="center"/>
          </w:tcPr>
          <w:p w14:paraId="363F6A7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1.14 (0.77, 1.69)</w:t>
            </w:r>
          </w:p>
        </w:tc>
        <w:tc>
          <w:tcPr>
            <w:tcW w:w="563" w:type="pct"/>
            <w:vMerge w:val="restart"/>
            <w:tcBorders>
              <w:top w:val="nil"/>
              <w:bottom w:val="nil"/>
            </w:tcBorders>
            <w:vAlign w:val="center"/>
          </w:tcPr>
          <w:p w14:paraId="39E4F3E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0.72</w:t>
            </w:r>
            <w:r w:rsidR="00293DF0" w:rsidRPr="00682DE0">
              <w:rPr>
                <w:rFonts w:ascii="Book Antiqua" w:hAnsi="Book Antiqua"/>
                <w:bCs/>
                <w:color w:val="000000" w:themeColor="text1"/>
              </w:rPr>
              <w:t>0</w:t>
            </w:r>
          </w:p>
        </w:tc>
        <w:tc>
          <w:tcPr>
            <w:tcW w:w="905" w:type="pct"/>
            <w:tcBorders>
              <w:top w:val="nil"/>
              <w:bottom w:val="nil"/>
            </w:tcBorders>
            <w:vAlign w:val="center"/>
          </w:tcPr>
          <w:p w14:paraId="1F6D00F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w:t>
            </w:r>
          </w:p>
        </w:tc>
        <w:tc>
          <w:tcPr>
            <w:tcW w:w="302" w:type="pct"/>
            <w:tcBorders>
              <w:top w:val="nil"/>
              <w:bottom w:val="nil"/>
            </w:tcBorders>
            <w:vAlign w:val="center"/>
          </w:tcPr>
          <w:p w14:paraId="33CAD1B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857" w:type="pct"/>
            <w:tcBorders>
              <w:top w:val="nil"/>
              <w:bottom w:val="nil"/>
            </w:tcBorders>
            <w:vAlign w:val="center"/>
          </w:tcPr>
          <w:p w14:paraId="06DCD02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4.10 (0.95, 17.6</w:t>
            </w:r>
            <w:r w:rsidR="00293DF0" w:rsidRPr="00682DE0">
              <w:rPr>
                <w:rFonts w:ascii="Book Antiqua" w:hAnsi="Book Antiqua"/>
                <w:bCs/>
                <w:color w:val="000000" w:themeColor="text1"/>
              </w:rPr>
              <w:t>0</w:t>
            </w:r>
            <w:r w:rsidRPr="00682DE0">
              <w:rPr>
                <w:rFonts w:ascii="Book Antiqua" w:hAnsi="Book Antiqua"/>
                <w:bCs/>
                <w:color w:val="000000" w:themeColor="text1"/>
              </w:rPr>
              <w:t>)</w:t>
            </w:r>
          </w:p>
        </w:tc>
        <w:tc>
          <w:tcPr>
            <w:tcW w:w="557" w:type="pct"/>
            <w:vMerge w:val="restart"/>
            <w:tcBorders>
              <w:top w:val="nil"/>
              <w:bottom w:val="nil"/>
            </w:tcBorders>
            <w:vAlign w:val="center"/>
          </w:tcPr>
          <w:p w14:paraId="6029F3C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0.08</w:t>
            </w:r>
            <w:r w:rsidR="00293DF0" w:rsidRPr="00682DE0">
              <w:rPr>
                <w:rFonts w:ascii="Book Antiqua" w:hAnsi="Book Antiqua"/>
                <w:bCs/>
                <w:color w:val="000000" w:themeColor="text1"/>
              </w:rPr>
              <w:t>0</w:t>
            </w:r>
          </w:p>
        </w:tc>
      </w:tr>
      <w:tr w:rsidR="00A45C44" w:rsidRPr="00175753" w14:paraId="2C6C291E" w14:textId="77777777" w:rsidTr="00BE72FB">
        <w:tc>
          <w:tcPr>
            <w:tcW w:w="872" w:type="pct"/>
            <w:tcBorders>
              <w:top w:val="nil"/>
              <w:bottom w:val="nil"/>
            </w:tcBorders>
            <w:vAlign w:val="center"/>
          </w:tcPr>
          <w:p w14:paraId="1C14049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356" w:type="pct"/>
            <w:tcBorders>
              <w:top w:val="nil"/>
              <w:bottom w:val="nil"/>
            </w:tcBorders>
            <w:vAlign w:val="center"/>
          </w:tcPr>
          <w:p w14:paraId="470101F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587" w:type="pct"/>
            <w:tcBorders>
              <w:top w:val="nil"/>
              <w:bottom w:val="nil"/>
            </w:tcBorders>
            <w:vAlign w:val="center"/>
          </w:tcPr>
          <w:p w14:paraId="0CB4B31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1.21 (1.03, 1.44)</w:t>
            </w:r>
          </w:p>
        </w:tc>
        <w:tc>
          <w:tcPr>
            <w:tcW w:w="563" w:type="pct"/>
            <w:vMerge/>
            <w:tcBorders>
              <w:top w:val="nil"/>
              <w:bottom w:val="nil"/>
            </w:tcBorders>
            <w:vAlign w:val="center"/>
          </w:tcPr>
          <w:p w14:paraId="0B47AE89"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5" w:type="pct"/>
            <w:tcBorders>
              <w:top w:val="nil"/>
              <w:bottom w:val="nil"/>
            </w:tcBorders>
            <w:vAlign w:val="center"/>
          </w:tcPr>
          <w:p w14:paraId="57FF793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302" w:type="pct"/>
            <w:tcBorders>
              <w:top w:val="nil"/>
              <w:bottom w:val="nil"/>
            </w:tcBorders>
            <w:vAlign w:val="center"/>
          </w:tcPr>
          <w:p w14:paraId="7ED901D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857" w:type="pct"/>
            <w:tcBorders>
              <w:top w:val="nil"/>
              <w:bottom w:val="nil"/>
            </w:tcBorders>
            <w:vAlign w:val="center"/>
          </w:tcPr>
          <w:p w14:paraId="6628D2B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0.91 (0.40, 2.07)</w:t>
            </w:r>
          </w:p>
        </w:tc>
        <w:tc>
          <w:tcPr>
            <w:tcW w:w="557" w:type="pct"/>
            <w:vMerge/>
            <w:tcBorders>
              <w:bottom w:val="nil"/>
            </w:tcBorders>
            <w:vAlign w:val="center"/>
          </w:tcPr>
          <w:p w14:paraId="4729DF66"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24EF25F0" w14:textId="77777777" w:rsidTr="00BE72FB">
        <w:tc>
          <w:tcPr>
            <w:tcW w:w="872" w:type="pct"/>
            <w:tcBorders>
              <w:top w:val="nil"/>
              <w:bottom w:val="nil"/>
            </w:tcBorders>
            <w:vAlign w:val="center"/>
          </w:tcPr>
          <w:p w14:paraId="4C722E4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Thrombocytopenia</w:t>
            </w:r>
          </w:p>
        </w:tc>
        <w:tc>
          <w:tcPr>
            <w:tcW w:w="356" w:type="pct"/>
            <w:tcBorders>
              <w:top w:val="nil"/>
              <w:bottom w:val="nil"/>
            </w:tcBorders>
            <w:vAlign w:val="center"/>
          </w:tcPr>
          <w:p w14:paraId="536727F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8</w:t>
            </w:r>
          </w:p>
        </w:tc>
        <w:tc>
          <w:tcPr>
            <w:tcW w:w="587" w:type="pct"/>
            <w:tcBorders>
              <w:top w:val="nil"/>
              <w:bottom w:val="nil"/>
            </w:tcBorders>
            <w:vAlign w:val="center"/>
          </w:tcPr>
          <w:p w14:paraId="377559C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1.33 (1.05, 1.68)</w:t>
            </w:r>
          </w:p>
        </w:tc>
        <w:tc>
          <w:tcPr>
            <w:tcW w:w="563" w:type="pct"/>
            <w:tcBorders>
              <w:top w:val="nil"/>
              <w:bottom w:val="nil"/>
            </w:tcBorders>
            <w:vAlign w:val="center"/>
          </w:tcPr>
          <w:p w14:paraId="2C028E8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0.017</w:t>
            </w:r>
          </w:p>
        </w:tc>
        <w:tc>
          <w:tcPr>
            <w:tcW w:w="905" w:type="pct"/>
            <w:tcBorders>
              <w:top w:val="nil"/>
              <w:bottom w:val="nil"/>
            </w:tcBorders>
            <w:vAlign w:val="center"/>
          </w:tcPr>
          <w:p w14:paraId="792272F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Gastric ulcer</w:t>
            </w:r>
          </w:p>
        </w:tc>
        <w:tc>
          <w:tcPr>
            <w:tcW w:w="302" w:type="pct"/>
            <w:tcBorders>
              <w:top w:val="nil"/>
              <w:bottom w:val="nil"/>
            </w:tcBorders>
            <w:vAlign w:val="center"/>
          </w:tcPr>
          <w:p w14:paraId="39A2124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857" w:type="pct"/>
            <w:tcBorders>
              <w:top w:val="nil"/>
              <w:bottom w:val="nil"/>
            </w:tcBorders>
            <w:vAlign w:val="center"/>
          </w:tcPr>
          <w:p w14:paraId="19A2FFE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1.00 (0.25, 3.97)</w:t>
            </w:r>
          </w:p>
        </w:tc>
        <w:tc>
          <w:tcPr>
            <w:tcW w:w="557" w:type="pct"/>
            <w:tcBorders>
              <w:top w:val="nil"/>
              <w:bottom w:val="nil"/>
            </w:tcBorders>
            <w:vAlign w:val="center"/>
          </w:tcPr>
          <w:p w14:paraId="1D3F6AC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0.997</w:t>
            </w:r>
          </w:p>
        </w:tc>
      </w:tr>
      <w:tr w:rsidR="00A45C44" w:rsidRPr="00175753" w14:paraId="63D6074F" w14:textId="77777777" w:rsidTr="00BE72FB">
        <w:tc>
          <w:tcPr>
            <w:tcW w:w="2378" w:type="pct"/>
            <w:gridSpan w:val="4"/>
            <w:tcBorders>
              <w:top w:val="nil"/>
            </w:tcBorders>
            <w:vAlign w:val="center"/>
          </w:tcPr>
          <w:p w14:paraId="058F2808" w14:textId="77777777" w:rsidR="0025796C" w:rsidRPr="00682DE0" w:rsidRDefault="00AE5134"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COX-2</w:t>
            </w:r>
            <w:r w:rsidR="0025796C" w:rsidRPr="00682DE0">
              <w:rPr>
                <w:rFonts w:ascii="Book Antiqua" w:hAnsi="Book Antiqua"/>
                <w:bCs/>
                <w:color w:val="000000" w:themeColor="text1"/>
              </w:rPr>
              <w:t xml:space="preserve"> inhibitor type</w:t>
            </w:r>
          </w:p>
        </w:tc>
        <w:tc>
          <w:tcPr>
            <w:tcW w:w="2622" w:type="pct"/>
            <w:gridSpan w:val="4"/>
            <w:tcBorders>
              <w:top w:val="nil"/>
            </w:tcBorders>
            <w:vAlign w:val="center"/>
          </w:tcPr>
          <w:p w14:paraId="5FFF6517" w14:textId="77777777" w:rsidR="0025796C" w:rsidRPr="00682DE0" w:rsidRDefault="00AE5134"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COX-2</w:t>
            </w:r>
            <w:r w:rsidR="0025796C" w:rsidRPr="00682DE0">
              <w:rPr>
                <w:rFonts w:ascii="Book Antiqua" w:hAnsi="Book Antiqua"/>
                <w:bCs/>
                <w:color w:val="000000" w:themeColor="text1"/>
              </w:rPr>
              <w:t xml:space="preserve"> inhibitor type</w:t>
            </w:r>
          </w:p>
        </w:tc>
      </w:tr>
      <w:tr w:rsidR="00A45C44" w:rsidRPr="00175753" w14:paraId="4D7F7A45" w14:textId="77777777" w:rsidTr="00BE72FB">
        <w:tc>
          <w:tcPr>
            <w:tcW w:w="872" w:type="pct"/>
            <w:vAlign w:val="center"/>
          </w:tcPr>
          <w:p w14:paraId="24E3476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356" w:type="pct"/>
            <w:vAlign w:val="center"/>
          </w:tcPr>
          <w:p w14:paraId="3E361A5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6</w:t>
            </w:r>
          </w:p>
        </w:tc>
        <w:tc>
          <w:tcPr>
            <w:tcW w:w="587" w:type="pct"/>
            <w:vAlign w:val="center"/>
          </w:tcPr>
          <w:p w14:paraId="3C9E88F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1.40 (1.08, 1.81)</w:t>
            </w:r>
          </w:p>
        </w:tc>
        <w:tc>
          <w:tcPr>
            <w:tcW w:w="563" w:type="pct"/>
            <w:vMerge w:val="restart"/>
            <w:vAlign w:val="center"/>
          </w:tcPr>
          <w:p w14:paraId="28F8B55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0.56</w:t>
            </w:r>
            <w:r w:rsidR="00293DF0" w:rsidRPr="00682DE0">
              <w:rPr>
                <w:rFonts w:ascii="Book Antiqua" w:hAnsi="Book Antiqua"/>
                <w:bCs/>
                <w:color w:val="000000" w:themeColor="text1"/>
              </w:rPr>
              <w:t>0</w:t>
            </w:r>
          </w:p>
        </w:tc>
        <w:tc>
          <w:tcPr>
            <w:tcW w:w="905" w:type="pct"/>
            <w:vAlign w:val="center"/>
          </w:tcPr>
          <w:p w14:paraId="68515CA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302" w:type="pct"/>
            <w:vAlign w:val="center"/>
          </w:tcPr>
          <w:p w14:paraId="145CB6F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857" w:type="pct"/>
            <w:vAlign w:val="center"/>
          </w:tcPr>
          <w:p w14:paraId="43E4912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1.00 (0.25, 3.97)</w:t>
            </w:r>
          </w:p>
        </w:tc>
        <w:tc>
          <w:tcPr>
            <w:tcW w:w="557" w:type="pct"/>
            <w:vMerge w:val="restart"/>
            <w:vAlign w:val="center"/>
          </w:tcPr>
          <w:p w14:paraId="32A05F9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r>
      <w:tr w:rsidR="00A45C44" w:rsidRPr="00175753" w14:paraId="226DEAB9" w14:textId="77777777" w:rsidTr="00BE72FB">
        <w:tc>
          <w:tcPr>
            <w:tcW w:w="872" w:type="pct"/>
            <w:vAlign w:val="center"/>
          </w:tcPr>
          <w:p w14:paraId="2E828A2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Rofecoxib</w:t>
            </w:r>
          </w:p>
        </w:tc>
        <w:tc>
          <w:tcPr>
            <w:tcW w:w="356" w:type="pct"/>
            <w:vAlign w:val="center"/>
          </w:tcPr>
          <w:p w14:paraId="60FBA36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587" w:type="pct"/>
            <w:vAlign w:val="center"/>
          </w:tcPr>
          <w:p w14:paraId="30B8BC6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1.02 (0.59, 1.76)</w:t>
            </w:r>
          </w:p>
        </w:tc>
        <w:tc>
          <w:tcPr>
            <w:tcW w:w="563" w:type="pct"/>
            <w:vMerge/>
            <w:vAlign w:val="center"/>
          </w:tcPr>
          <w:p w14:paraId="3A216DCD"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5" w:type="pct"/>
            <w:vAlign w:val="center"/>
          </w:tcPr>
          <w:p w14:paraId="2F7E20E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Rofecoxib</w:t>
            </w:r>
          </w:p>
        </w:tc>
        <w:tc>
          <w:tcPr>
            <w:tcW w:w="302" w:type="pct"/>
            <w:vAlign w:val="center"/>
          </w:tcPr>
          <w:p w14:paraId="14C0DFB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857" w:type="pct"/>
            <w:vAlign w:val="center"/>
          </w:tcPr>
          <w:p w14:paraId="46531FE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557" w:type="pct"/>
            <w:vMerge/>
            <w:vAlign w:val="center"/>
          </w:tcPr>
          <w:p w14:paraId="7DFB07FA"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25EEFA37" w14:textId="77777777" w:rsidTr="00BE72FB">
        <w:tc>
          <w:tcPr>
            <w:tcW w:w="872" w:type="pct"/>
            <w:vAlign w:val="center"/>
          </w:tcPr>
          <w:p w14:paraId="6DD27A1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356" w:type="pct"/>
            <w:vAlign w:val="center"/>
          </w:tcPr>
          <w:p w14:paraId="3EA1ED9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587" w:type="pct"/>
            <w:vAlign w:val="center"/>
          </w:tcPr>
          <w:p w14:paraId="652486C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3.00 (0.13, 71.3</w:t>
            </w:r>
            <w:r w:rsidR="00293DF0" w:rsidRPr="00682DE0">
              <w:rPr>
                <w:rFonts w:ascii="Book Antiqua" w:hAnsi="Book Antiqua"/>
                <w:bCs/>
                <w:color w:val="000000" w:themeColor="text1"/>
              </w:rPr>
              <w:t>0</w:t>
            </w:r>
            <w:r w:rsidRPr="00682DE0">
              <w:rPr>
                <w:rFonts w:ascii="Book Antiqua" w:hAnsi="Book Antiqua"/>
                <w:bCs/>
                <w:color w:val="000000" w:themeColor="text1"/>
              </w:rPr>
              <w:t>)</w:t>
            </w:r>
          </w:p>
        </w:tc>
        <w:tc>
          <w:tcPr>
            <w:tcW w:w="563" w:type="pct"/>
            <w:vMerge/>
            <w:vAlign w:val="center"/>
          </w:tcPr>
          <w:p w14:paraId="45547B94"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5" w:type="pct"/>
            <w:vAlign w:val="center"/>
          </w:tcPr>
          <w:p w14:paraId="5515C87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302" w:type="pct"/>
            <w:vAlign w:val="center"/>
          </w:tcPr>
          <w:p w14:paraId="3FB74B3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857" w:type="pct"/>
            <w:vAlign w:val="center"/>
          </w:tcPr>
          <w:p w14:paraId="75CCCD8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557" w:type="pct"/>
            <w:vMerge/>
            <w:vAlign w:val="center"/>
          </w:tcPr>
          <w:p w14:paraId="4CF674E3"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77BD6139" w14:textId="77777777" w:rsidTr="00BE72FB">
        <w:tc>
          <w:tcPr>
            <w:tcW w:w="2378" w:type="pct"/>
            <w:gridSpan w:val="4"/>
            <w:vAlign w:val="center"/>
          </w:tcPr>
          <w:p w14:paraId="5C01C9F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c>
          <w:tcPr>
            <w:tcW w:w="2622" w:type="pct"/>
            <w:gridSpan w:val="4"/>
            <w:vAlign w:val="center"/>
          </w:tcPr>
          <w:p w14:paraId="4BAE45E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r>
      <w:tr w:rsidR="00A45C44" w:rsidRPr="00175753" w14:paraId="375D5928" w14:textId="77777777" w:rsidTr="00BE72FB">
        <w:tc>
          <w:tcPr>
            <w:tcW w:w="872" w:type="pct"/>
            <w:vAlign w:val="center"/>
          </w:tcPr>
          <w:p w14:paraId="3747B68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356" w:type="pct"/>
            <w:vAlign w:val="center"/>
          </w:tcPr>
          <w:p w14:paraId="5532256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6</w:t>
            </w:r>
          </w:p>
        </w:tc>
        <w:tc>
          <w:tcPr>
            <w:tcW w:w="587" w:type="pct"/>
            <w:vAlign w:val="center"/>
          </w:tcPr>
          <w:p w14:paraId="7FD1710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1.24 (0.97, 1.58)</w:t>
            </w:r>
          </w:p>
        </w:tc>
        <w:tc>
          <w:tcPr>
            <w:tcW w:w="563" w:type="pct"/>
            <w:vMerge w:val="restart"/>
            <w:vAlign w:val="center"/>
          </w:tcPr>
          <w:p w14:paraId="20EAE60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0.09</w:t>
            </w:r>
            <w:r w:rsidR="00293DF0" w:rsidRPr="00682DE0">
              <w:rPr>
                <w:rFonts w:ascii="Book Antiqua" w:hAnsi="Book Antiqua"/>
                <w:bCs/>
                <w:color w:val="000000" w:themeColor="text1"/>
              </w:rPr>
              <w:t>0</w:t>
            </w:r>
          </w:p>
        </w:tc>
        <w:tc>
          <w:tcPr>
            <w:tcW w:w="905" w:type="pct"/>
            <w:vAlign w:val="center"/>
          </w:tcPr>
          <w:p w14:paraId="6E86659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302" w:type="pct"/>
            <w:vAlign w:val="center"/>
          </w:tcPr>
          <w:p w14:paraId="34F438A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857" w:type="pct"/>
            <w:vAlign w:val="center"/>
          </w:tcPr>
          <w:p w14:paraId="182E66F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1.00 (0.25, 3.97)</w:t>
            </w:r>
          </w:p>
        </w:tc>
        <w:tc>
          <w:tcPr>
            <w:tcW w:w="557" w:type="pct"/>
            <w:vMerge w:val="restart"/>
            <w:vAlign w:val="center"/>
          </w:tcPr>
          <w:p w14:paraId="4730D4B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r>
      <w:tr w:rsidR="00A45C44" w:rsidRPr="00175753" w14:paraId="0E734C5E" w14:textId="77777777" w:rsidTr="00BE72FB">
        <w:tc>
          <w:tcPr>
            <w:tcW w:w="872" w:type="pct"/>
            <w:tcBorders>
              <w:bottom w:val="nil"/>
            </w:tcBorders>
            <w:vAlign w:val="center"/>
          </w:tcPr>
          <w:p w14:paraId="133223D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356" w:type="pct"/>
            <w:tcBorders>
              <w:bottom w:val="nil"/>
            </w:tcBorders>
            <w:vAlign w:val="center"/>
          </w:tcPr>
          <w:p w14:paraId="0596579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587" w:type="pct"/>
            <w:tcBorders>
              <w:bottom w:val="nil"/>
            </w:tcBorders>
            <w:vAlign w:val="center"/>
          </w:tcPr>
          <w:p w14:paraId="73ABC75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2.66 (1.14, 6.17)</w:t>
            </w:r>
          </w:p>
        </w:tc>
        <w:tc>
          <w:tcPr>
            <w:tcW w:w="563" w:type="pct"/>
            <w:vMerge/>
            <w:tcBorders>
              <w:bottom w:val="nil"/>
            </w:tcBorders>
            <w:vAlign w:val="center"/>
          </w:tcPr>
          <w:p w14:paraId="200B8CB5"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5" w:type="pct"/>
            <w:tcBorders>
              <w:bottom w:val="nil"/>
            </w:tcBorders>
            <w:vAlign w:val="center"/>
          </w:tcPr>
          <w:p w14:paraId="7621BA7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302" w:type="pct"/>
            <w:tcBorders>
              <w:bottom w:val="nil"/>
            </w:tcBorders>
            <w:vAlign w:val="center"/>
          </w:tcPr>
          <w:p w14:paraId="06FB68B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857" w:type="pct"/>
            <w:tcBorders>
              <w:bottom w:val="nil"/>
            </w:tcBorders>
            <w:vAlign w:val="center"/>
          </w:tcPr>
          <w:p w14:paraId="75ECBCC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557" w:type="pct"/>
            <w:vMerge/>
            <w:tcBorders>
              <w:bottom w:val="nil"/>
            </w:tcBorders>
            <w:vAlign w:val="center"/>
          </w:tcPr>
          <w:p w14:paraId="1613BE2C"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020EB532" w14:textId="77777777" w:rsidTr="00BE72FB">
        <w:tc>
          <w:tcPr>
            <w:tcW w:w="2378" w:type="pct"/>
            <w:gridSpan w:val="4"/>
            <w:tcBorders>
              <w:top w:val="nil"/>
              <w:bottom w:val="nil"/>
            </w:tcBorders>
            <w:vAlign w:val="center"/>
          </w:tcPr>
          <w:p w14:paraId="7845765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c>
          <w:tcPr>
            <w:tcW w:w="2622" w:type="pct"/>
            <w:gridSpan w:val="4"/>
            <w:tcBorders>
              <w:top w:val="nil"/>
              <w:bottom w:val="nil"/>
            </w:tcBorders>
            <w:vAlign w:val="center"/>
          </w:tcPr>
          <w:p w14:paraId="1BD97FF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r>
      <w:tr w:rsidR="00A45C44" w:rsidRPr="00175753" w14:paraId="42343E3B" w14:textId="77777777" w:rsidTr="00BE72FB">
        <w:tc>
          <w:tcPr>
            <w:tcW w:w="872" w:type="pct"/>
            <w:tcBorders>
              <w:top w:val="nil"/>
              <w:bottom w:val="nil"/>
            </w:tcBorders>
            <w:vAlign w:val="center"/>
          </w:tcPr>
          <w:p w14:paraId="0949F4D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w:t>
            </w:r>
          </w:p>
        </w:tc>
        <w:tc>
          <w:tcPr>
            <w:tcW w:w="356" w:type="pct"/>
            <w:tcBorders>
              <w:top w:val="nil"/>
              <w:bottom w:val="nil"/>
              <w:right w:val="nil"/>
            </w:tcBorders>
            <w:vAlign w:val="center"/>
          </w:tcPr>
          <w:p w14:paraId="7541AB8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587" w:type="pct"/>
            <w:tcBorders>
              <w:top w:val="nil"/>
              <w:left w:val="nil"/>
              <w:bottom w:val="nil"/>
              <w:right w:val="nil"/>
            </w:tcBorders>
            <w:vAlign w:val="center"/>
          </w:tcPr>
          <w:p w14:paraId="735D397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2.69 (1.19, 6.07)</w:t>
            </w:r>
          </w:p>
        </w:tc>
        <w:tc>
          <w:tcPr>
            <w:tcW w:w="563" w:type="pct"/>
            <w:vMerge w:val="restart"/>
            <w:tcBorders>
              <w:top w:val="nil"/>
              <w:left w:val="nil"/>
              <w:bottom w:val="nil"/>
              <w:right w:val="nil"/>
            </w:tcBorders>
            <w:vAlign w:val="center"/>
          </w:tcPr>
          <w:p w14:paraId="5A724B0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0.07</w:t>
            </w:r>
            <w:r w:rsidR="00293DF0" w:rsidRPr="00682DE0">
              <w:rPr>
                <w:rFonts w:ascii="Book Antiqua" w:hAnsi="Book Antiqua"/>
                <w:bCs/>
                <w:color w:val="000000" w:themeColor="text1"/>
              </w:rPr>
              <w:t>0</w:t>
            </w:r>
          </w:p>
        </w:tc>
        <w:tc>
          <w:tcPr>
            <w:tcW w:w="905" w:type="pct"/>
            <w:tcBorders>
              <w:top w:val="nil"/>
              <w:left w:val="nil"/>
              <w:bottom w:val="nil"/>
              <w:right w:val="nil"/>
            </w:tcBorders>
            <w:vAlign w:val="center"/>
          </w:tcPr>
          <w:p w14:paraId="6DB5C37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w:t>
            </w:r>
          </w:p>
        </w:tc>
        <w:tc>
          <w:tcPr>
            <w:tcW w:w="302" w:type="pct"/>
            <w:tcBorders>
              <w:top w:val="nil"/>
              <w:left w:val="nil"/>
              <w:bottom w:val="nil"/>
              <w:right w:val="nil"/>
            </w:tcBorders>
            <w:vAlign w:val="center"/>
          </w:tcPr>
          <w:p w14:paraId="7119216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857" w:type="pct"/>
            <w:tcBorders>
              <w:top w:val="nil"/>
              <w:left w:val="nil"/>
              <w:bottom w:val="nil"/>
              <w:right w:val="nil"/>
            </w:tcBorders>
            <w:vAlign w:val="center"/>
          </w:tcPr>
          <w:p w14:paraId="6C23061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1.00 (0.25, 3.97)</w:t>
            </w:r>
          </w:p>
        </w:tc>
        <w:tc>
          <w:tcPr>
            <w:tcW w:w="557" w:type="pct"/>
            <w:vMerge w:val="restart"/>
            <w:tcBorders>
              <w:top w:val="nil"/>
              <w:left w:val="nil"/>
              <w:bottom w:val="nil"/>
              <w:right w:val="nil"/>
            </w:tcBorders>
            <w:vAlign w:val="center"/>
          </w:tcPr>
          <w:p w14:paraId="16AE926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r>
      <w:tr w:rsidR="00A45C44" w:rsidRPr="00175753" w14:paraId="767BFEC9" w14:textId="77777777" w:rsidTr="00BE72FB">
        <w:tc>
          <w:tcPr>
            <w:tcW w:w="872" w:type="pct"/>
            <w:tcBorders>
              <w:top w:val="nil"/>
              <w:bottom w:val="nil"/>
            </w:tcBorders>
            <w:vAlign w:val="center"/>
          </w:tcPr>
          <w:p w14:paraId="6944471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356" w:type="pct"/>
            <w:tcBorders>
              <w:top w:val="nil"/>
              <w:bottom w:val="nil"/>
              <w:right w:val="nil"/>
            </w:tcBorders>
            <w:vAlign w:val="center"/>
          </w:tcPr>
          <w:p w14:paraId="7B67CEC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587" w:type="pct"/>
            <w:tcBorders>
              <w:top w:val="nil"/>
              <w:left w:val="nil"/>
              <w:bottom w:val="nil"/>
              <w:right w:val="nil"/>
            </w:tcBorders>
            <w:vAlign w:val="center"/>
          </w:tcPr>
          <w:p w14:paraId="5875E7C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1.23 (0.96, 1.56)</w:t>
            </w:r>
          </w:p>
        </w:tc>
        <w:tc>
          <w:tcPr>
            <w:tcW w:w="563" w:type="pct"/>
            <w:vMerge/>
            <w:tcBorders>
              <w:top w:val="nil"/>
              <w:left w:val="nil"/>
              <w:bottom w:val="nil"/>
              <w:right w:val="nil"/>
            </w:tcBorders>
            <w:vAlign w:val="center"/>
          </w:tcPr>
          <w:p w14:paraId="3E491AC0"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5" w:type="pct"/>
            <w:tcBorders>
              <w:top w:val="nil"/>
              <w:left w:val="nil"/>
              <w:bottom w:val="nil"/>
              <w:right w:val="nil"/>
            </w:tcBorders>
            <w:vAlign w:val="center"/>
          </w:tcPr>
          <w:p w14:paraId="15941BB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302" w:type="pct"/>
            <w:tcBorders>
              <w:top w:val="nil"/>
              <w:left w:val="nil"/>
              <w:bottom w:val="nil"/>
              <w:right w:val="nil"/>
            </w:tcBorders>
            <w:vAlign w:val="center"/>
          </w:tcPr>
          <w:p w14:paraId="6DF7AE1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857" w:type="pct"/>
            <w:tcBorders>
              <w:top w:val="nil"/>
              <w:left w:val="nil"/>
              <w:bottom w:val="nil"/>
              <w:right w:val="nil"/>
            </w:tcBorders>
            <w:vAlign w:val="center"/>
          </w:tcPr>
          <w:p w14:paraId="51DDAEA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557" w:type="pct"/>
            <w:vMerge/>
            <w:tcBorders>
              <w:top w:val="nil"/>
              <w:left w:val="nil"/>
              <w:bottom w:val="nil"/>
              <w:right w:val="nil"/>
            </w:tcBorders>
            <w:vAlign w:val="center"/>
          </w:tcPr>
          <w:p w14:paraId="4082D6EC"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1EB070DB" w14:textId="77777777" w:rsidTr="00BE72FB">
        <w:tc>
          <w:tcPr>
            <w:tcW w:w="872" w:type="pct"/>
            <w:tcBorders>
              <w:top w:val="nil"/>
              <w:bottom w:val="nil"/>
            </w:tcBorders>
            <w:vAlign w:val="center"/>
          </w:tcPr>
          <w:p w14:paraId="0DEA6A2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Anemia</w:t>
            </w:r>
          </w:p>
        </w:tc>
        <w:tc>
          <w:tcPr>
            <w:tcW w:w="356" w:type="pct"/>
            <w:tcBorders>
              <w:top w:val="nil"/>
              <w:bottom w:val="nil"/>
            </w:tcBorders>
            <w:vAlign w:val="center"/>
          </w:tcPr>
          <w:p w14:paraId="74F7C4E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5</w:t>
            </w:r>
          </w:p>
        </w:tc>
        <w:tc>
          <w:tcPr>
            <w:tcW w:w="587" w:type="pct"/>
            <w:tcBorders>
              <w:top w:val="nil"/>
              <w:bottom w:val="nil"/>
            </w:tcBorders>
            <w:vAlign w:val="center"/>
          </w:tcPr>
          <w:p w14:paraId="604A484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1.32 (0.75, 2.33)</w:t>
            </w:r>
          </w:p>
        </w:tc>
        <w:tc>
          <w:tcPr>
            <w:tcW w:w="563" w:type="pct"/>
            <w:tcBorders>
              <w:top w:val="nil"/>
              <w:bottom w:val="nil"/>
            </w:tcBorders>
            <w:vAlign w:val="center"/>
          </w:tcPr>
          <w:p w14:paraId="1CC3D4F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0.343</w:t>
            </w:r>
          </w:p>
        </w:tc>
        <w:tc>
          <w:tcPr>
            <w:tcW w:w="905" w:type="pct"/>
            <w:tcBorders>
              <w:top w:val="nil"/>
              <w:bottom w:val="nil"/>
            </w:tcBorders>
            <w:vAlign w:val="center"/>
          </w:tcPr>
          <w:p w14:paraId="1FCEB7C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Asthenia</w:t>
            </w:r>
          </w:p>
        </w:tc>
        <w:tc>
          <w:tcPr>
            <w:tcW w:w="302" w:type="pct"/>
            <w:tcBorders>
              <w:top w:val="nil"/>
              <w:bottom w:val="nil"/>
            </w:tcBorders>
            <w:vAlign w:val="center"/>
          </w:tcPr>
          <w:p w14:paraId="586D9DF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7</w:t>
            </w:r>
          </w:p>
        </w:tc>
        <w:tc>
          <w:tcPr>
            <w:tcW w:w="857" w:type="pct"/>
            <w:tcBorders>
              <w:top w:val="nil"/>
              <w:bottom w:val="nil"/>
            </w:tcBorders>
            <w:vAlign w:val="center"/>
          </w:tcPr>
          <w:p w14:paraId="005207E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0.84 (0.56, 1.28)</w:t>
            </w:r>
          </w:p>
        </w:tc>
        <w:tc>
          <w:tcPr>
            <w:tcW w:w="557" w:type="pct"/>
            <w:tcBorders>
              <w:top w:val="nil"/>
              <w:bottom w:val="nil"/>
            </w:tcBorders>
            <w:vAlign w:val="center"/>
          </w:tcPr>
          <w:p w14:paraId="6606672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0.426</w:t>
            </w:r>
          </w:p>
        </w:tc>
      </w:tr>
      <w:tr w:rsidR="00A45C44" w:rsidRPr="00175753" w14:paraId="264F5A8B" w14:textId="77777777" w:rsidTr="00BE72FB">
        <w:tc>
          <w:tcPr>
            <w:tcW w:w="2378" w:type="pct"/>
            <w:gridSpan w:val="4"/>
            <w:tcBorders>
              <w:top w:val="nil"/>
            </w:tcBorders>
            <w:vAlign w:val="center"/>
          </w:tcPr>
          <w:p w14:paraId="71E64511" w14:textId="77777777" w:rsidR="0025796C" w:rsidRPr="00682DE0" w:rsidRDefault="00AE5134"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COX-2</w:t>
            </w:r>
            <w:r w:rsidR="0025796C" w:rsidRPr="00682DE0">
              <w:rPr>
                <w:rFonts w:ascii="Book Antiqua" w:hAnsi="Book Antiqua"/>
                <w:bCs/>
                <w:color w:val="000000" w:themeColor="text1"/>
              </w:rPr>
              <w:t xml:space="preserve"> inhibitor type</w:t>
            </w:r>
          </w:p>
        </w:tc>
        <w:tc>
          <w:tcPr>
            <w:tcW w:w="2622" w:type="pct"/>
            <w:gridSpan w:val="4"/>
            <w:tcBorders>
              <w:top w:val="nil"/>
            </w:tcBorders>
            <w:vAlign w:val="center"/>
          </w:tcPr>
          <w:p w14:paraId="29F49044" w14:textId="77777777" w:rsidR="0025796C" w:rsidRPr="00682DE0" w:rsidRDefault="00AE5134"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COX-2</w:t>
            </w:r>
            <w:r w:rsidR="0025796C" w:rsidRPr="00682DE0">
              <w:rPr>
                <w:rFonts w:ascii="Book Antiqua" w:hAnsi="Book Antiqua"/>
                <w:bCs/>
                <w:color w:val="000000" w:themeColor="text1"/>
              </w:rPr>
              <w:t xml:space="preserve"> inhibitor type</w:t>
            </w:r>
          </w:p>
        </w:tc>
      </w:tr>
      <w:tr w:rsidR="00A45C44" w:rsidRPr="00175753" w14:paraId="34B81CD8" w14:textId="77777777" w:rsidTr="00BE72FB">
        <w:tc>
          <w:tcPr>
            <w:tcW w:w="872" w:type="pct"/>
            <w:vAlign w:val="center"/>
          </w:tcPr>
          <w:p w14:paraId="4D51582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356" w:type="pct"/>
            <w:vAlign w:val="center"/>
          </w:tcPr>
          <w:p w14:paraId="44B0430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587" w:type="pct"/>
            <w:vAlign w:val="center"/>
          </w:tcPr>
          <w:p w14:paraId="3907985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2.76 (0.96, 7.97)</w:t>
            </w:r>
          </w:p>
        </w:tc>
        <w:tc>
          <w:tcPr>
            <w:tcW w:w="563" w:type="pct"/>
            <w:vMerge w:val="restart"/>
            <w:vAlign w:val="center"/>
          </w:tcPr>
          <w:p w14:paraId="736B272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0.11</w:t>
            </w:r>
            <w:r w:rsidR="00C83279" w:rsidRPr="00682DE0">
              <w:rPr>
                <w:rFonts w:ascii="Book Antiqua" w:hAnsi="Book Antiqua"/>
                <w:bCs/>
                <w:color w:val="000000" w:themeColor="text1"/>
              </w:rPr>
              <w:t>0</w:t>
            </w:r>
          </w:p>
        </w:tc>
        <w:tc>
          <w:tcPr>
            <w:tcW w:w="905" w:type="pct"/>
            <w:vAlign w:val="center"/>
          </w:tcPr>
          <w:p w14:paraId="70CADBB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302" w:type="pct"/>
            <w:vAlign w:val="center"/>
          </w:tcPr>
          <w:p w14:paraId="315ACFF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5</w:t>
            </w:r>
          </w:p>
        </w:tc>
        <w:tc>
          <w:tcPr>
            <w:tcW w:w="857" w:type="pct"/>
            <w:vAlign w:val="center"/>
          </w:tcPr>
          <w:p w14:paraId="03E93FA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0.94 (0.60, 1.48)</w:t>
            </w:r>
          </w:p>
        </w:tc>
        <w:tc>
          <w:tcPr>
            <w:tcW w:w="557" w:type="pct"/>
            <w:vMerge w:val="restart"/>
            <w:vAlign w:val="center"/>
          </w:tcPr>
          <w:p w14:paraId="263AB17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0.59</w:t>
            </w:r>
            <w:r w:rsidR="00C83279" w:rsidRPr="00682DE0">
              <w:rPr>
                <w:rFonts w:ascii="Book Antiqua" w:hAnsi="Book Antiqua"/>
                <w:bCs/>
                <w:color w:val="000000" w:themeColor="text1"/>
              </w:rPr>
              <w:t>0</w:t>
            </w:r>
          </w:p>
        </w:tc>
      </w:tr>
      <w:tr w:rsidR="00A45C44" w:rsidRPr="00175753" w14:paraId="4C6869B2" w14:textId="77777777" w:rsidTr="00BE72FB">
        <w:tc>
          <w:tcPr>
            <w:tcW w:w="872" w:type="pct"/>
            <w:vAlign w:val="center"/>
          </w:tcPr>
          <w:p w14:paraId="16375DC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Rofecoxib</w:t>
            </w:r>
          </w:p>
        </w:tc>
        <w:tc>
          <w:tcPr>
            <w:tcW w:w="356" w:type="pct"/>
            <w:vAlign w:val="center"/>
          </w:tcPr>
          <w:p w14:paraId="6515E79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587" w:type="pct"/>
            <w:vAlign w:val="center"/>
          </w:tcPr>
          <w:p w14:paraId="1463A56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0.80 (0.38, 1.69)</w:t>
            </w:r>
          </w:p>
        </w:tc>
        <w:tc>
          <w:tcPr>
            <w:tcW w:w="563" w:type="pct"/>
            <w:vMerge/>
            <w:vAlign w:val="center"/>
          </w:tcPr>
          <w:p w14:paraId="4DCDA780"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5" w:type="pct"/>
            <w:vAlign w:val="center"/>
          </w:tcPr>
          <w:p w14:paraId="659FCB1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Rofecoxib</w:t>
            </w:r>
          </w:p>
        </w:tc>
        <w:tc>
          <w:tcPr>
            <w:tcW w:w="302" w:type="pct"/>
            <w:vAlign w:val="center"/>
          </w:tcPr>
          <w:p w14:paraId="3E3F194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857" w:type="pct"/>
            <w:vAlign w:val="center"/>
          </w:tcPr>
          <w:p w14:paraId="15B9B68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0.51 (0.16, 1.64)</w:t>
            </w:r>
          </w:p>
        </w:tc>
        <w:tc>
          <w:tcPr>
            <w:tcW w:w="557" w:type="pct"/>
            <w:vMerge/>
            <w:vAlign w:val="center"/>
          </w:tcPr>
          <w:p w14:paraId="109C0494"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133BD1BD" w14:textId="77777777" w:rsidTr="00BE72FB">
        <w:tc>
          <w:tcPr>
            <w:tcW w:w="872" w:type="pct"/>
            <w:vAlign w:val="center"/>
          </w:tcPr>
          <w:p w14:paraId="5CABB9E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356" w:type="pct"/>
            <w:vAlign w:val="center"/>
          </w:tcPr>
          <w:p w14:paraId="43072CB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587" w:type="pct"/>
            <w:vAlign w:val="center"/>
          </w:tcPr>
          <w:p w14:paraId="054ADD2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3.14 (0.51, 19.5</w:t>
            </w:r>
            <w:r w:rsidR="00293DF0" w:rsidRPr="00682DE0">
              <w:rPr>
                <w:rFonts w:ascii="Book Antiqua" w:hAnsi="Book Antiqua"/>
                <w:bCs/>
                <w:color w:val="000000" w:themeColor="text1"/>
              </w:rPr>
              <w:t>0</w:t>
            </w:r>
            <w:r w:rsidRPr="00682DE0">
              <w:rPr>
                <w:rFonts w:ascii="Book Antiqua" w:hAnsi="Book Antiqua"/>
                <w:bCs/>
                <w:color w:val="000000" w:themeColor="text1"/>
              </w:rPr>
              <w:t>)</w:t>
            </w:r>
          </w:p>
        </w:tc>
        <w:tc>
          <w:tcPr>
            <w:tcW w:w="563" w:type="pct"/>
            <w:vMerge/>
            <w:vAlign w:val="center"/>
          </w:tcPr>
          <w:p w14:paraId="2413840E"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5" w:type="pct"/>
            <w:vAlign w:val="center"/>
          </w:tcPr>
          <w:p w14:paraId="1BBDC0D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302" w:type="pct"/>
            <w:vAlign w:val="center"/>
          </w:tcPr>
          <w:p w14:paraId="599CA57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857" w:type="pct"/>
            <w:vAlign w:val="center"/>
          </w:tcPr>
          <w:p w14:paraId="6984B57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0.94 (0.20, 4.44)</w:t>
            </w:r>
          </w:p>
        </w:tc>
        <w:tc>
          <w:tcPr>
            <w:tcW w:w="557" w:type="pct"/>
            <w:vMerge/>
            <w:vAlign w:val="center"/>
          </w:tcPr>
          <w:p w14:paraId="2333BF3A"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332C1CFD" w14:textId="77777777" w:rsidTr="00BE72FB">
        <w:tc>
          <w:tcPr>
            <w:tcW w:w="2378" w:type="pct"/>
            <w:gridSpan w:val="4"/>
            <w:vAlign w:val="center"/>
          </w:tcPr>
          <w:p w14:paraId="78EA05F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c>
          <w:tcPr>
            <w:tcW w:w="2622" w:type="pct"/>
            <w:gridSpan w:val="4"/>
            <w:vAlign w:val="center"/>
          </w:tcPr>
          <w:p w14:paraId="44F2D6E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r>
      <w:tr w:rsidR="00A45C44" w:rsidRPr="00175753" w14:paraId="6893B305" w14:textId="77777777" w:rsidTr="00BE72FB">
        <w:tc>
          <w:tcPr>
            <w:tcW w:w="872" w:type="pct"/>
            <w:vAlign w:val="center"/>
          </w:tcPr>
          <w:p w14:paraId="3E60D60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356" w:type="pct"/>
            <w:vAlign w:val="center"/>
          </w:tcPr>
          <w:p w14:paraId="240076C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587" w:type="pct"/>
            <w:vAlign w:val="center"/>
          </w:tcPr>
          <w:p w14:paraId="40D9AA2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1.07 (0.56, 2.05)</w:t>
            </w:r>
          </w:p>
        </w:tc>
        <w:tc>
          <w:tcPr>
            <w:tcW w:w="563" w:type="pct"/>
            <w:vMerge w:val="restart"/>
            <w:vAlign w:val="center"/>
          </w:tcPr>
          <w:p w14:paraId="796074C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0.14</w:t>
            </w:r>
            <w:r w:rsidR="00C83279" w:rsidRPr="00682DE0">
              <w:rPr>
                <w:rFonts w:ascii="Book Antiqua" w:hAnsi="Book Antiqua"/>
                <w:bCs/>
                <w:color w:val="000000" w:themeColor="text1"/>
              </w:rPr>
              <w:t>0</w:t>
            </w:r>
          </w:p>
        </w:tc>
        <w:tc>
          <w:tcPr>
            <w:tcW w:w="905" w:type="pct"/>
            <w:vAlign w:val="center"/>
          </w:tcPr>
          <w:p w14:paraId="046DBAE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302" w:type="pct"/>
            <w:vAlign w:val="center"/>
          </w:tcPr>
          <w:p w14:paraId="00A744D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5</w:t>
            </w:r>
          </w:p>
        </w:tc>
        <w:tc>
          <w:tcPr>
            <w:tcW w:w="857" w:type="pct"/>
            <w:vAlign w:val="center"/>
          </w:tcPr>
          <w:p w14:paraId="2C08FD0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0.92 (0.60, 1.42)</w:t>
            </w:r>
          </w:p>
        </w:tc>
        <w:tc>
          <w:tcPr>
            <w:tcW w:w="557" w:type="pct"/>
            <w:vMerge w:val="restart"/>
            <w:vAlign w:val="center"/>
          </w:tcPr>
          <w:p w14:paraId="6FDF678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0.56</w:t>
            </w:r>
            <w:r w:rsidR="00C83279" w:rsidRPr="00682DE0">
              <w:rPr>
                <w:rFonts w:ascii="Book Antiqua" w:hAnsi="Book Antiqua"/>
                <w:bCs/>
                <w:color w:val="000000" w:themeColor="text1"/>
              </w:rPr>
              <w:t>0</w:t>
            </w:r>
          </w:p>
        </w:tc>
      </w:tr>
      <w:tr w:rsidR="00A45C44" w:rsidRPr="00175753" w14:paraId="71F30B64" w14:textId="77777777" w:rsidTr="00BE72FB">
        <w:tc>
          <w:tcPr>
            <w:tcW w:w="872" w:type="pct"/>
            <w:tcBorders>
              <w:bottom w:val="nil"/>
            </w:tcBorders>
            <w:vAlign w:val="center"/>
          </w:tcPr>
          <w:p w14:paraId="0547AA8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356" w:type="pct"/>
            <w:tcBorders>
              <w:bottom w:val="nil"/>
            </w:tcBorders>
            <w:vAlign w:val="center"/>
          </w:tcPr>
          <w:p w14:paraId="29668DA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587" w:type="pct"/>
            <w:tcBorders>
              <w:bottom w:val="nil"/>
            </w:tcBorders>
            <w:vAlign w:val="center"/>
          </w:tcPr>
          <w:p w14:paraId="5E54525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2.91 (0.89, 9.98)</w:t>
            </w:r>
          </w:p>
        </w:tc>
        <w:tc>
          <w:tcPr>
            <w:tcW w:w="563" w:type="pct"/>
            <w:vMerge/>
            <w:tcBorders>
              <w:bottom w:val="nil"/>
            </w:tcBorders>
            <w:vAlign w:val="center"/>
          </w:tcPr>
          <w:p w14:paraId="63E7F9A5"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5" w:type="pct"/>
            <w:tcBorders>
              <w:bottom w:val="nil"/>
            </w:tcBorders>
            <w:vAlign w:val="center"/>
          </w:tcPr>
          <w:p w14:paraId="55611C8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302" w:type="pct"/>
            <w:tcBorders>
              <w:bottom w:val="nil"/>
            </w:tcBorders>
            <w:vAlign w:val="center"/>
          </w:tcPr>
          <w:p w14:paraId="0991903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857" w:type="pct"/>
            <w:tcBorders>
              <w:bottom w:val="nil"/>
            </w:tcBorders>
            <w:vAlign w:val="center"/>
          </w:tcPr>
          <w:p w14:paraId="30554D0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0.53 (0.15, 1.88)</w:t>
            </w:r>
          </w:p>
        </w:tc>
        <w:tc>
          <w:tcPr>
            <w:tcW w:w="557" w:type="pct"/>
            <w:vMerge/>
            <w:tcBorders>
              <w:bottom w:val="nil"/>
            </w:tcBorders>
            <w:vAlign w:val="center"/>
          </w:tcPr>
          <w:p w14:paraId="53795D09"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20CBB141" w14:textId="77777777" w:rsidTr="00BE72FB">
        <w:tc>
          <w:tcPr>
            <w:tcW w:w="2378" w:type="pct"/>
            <w:gridSpan w:val="4"/>
            <w:tcBorders>
              <w:top w:val="nil"/>
              <w:bottom w:val="nil"/>
            </w:tcBorders>
            <w:vAlign w:val="center"/>
          </w:tcPr>
          <w:p w14:paraId="1408F57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c>
          <w:tcPr>
            <w:tcW w:w="2622" w:type="pct"/>
            <w:gridSpan w:val="4"/>
            <w:tcBorders>
              <w:top w:val="nil"/>
              <w:bottom w:val="nil"/>
            </w:tcBorders>
            <w:vAlign w:val="center"/>
          </w:tcPr>
          <w:p w14:paraId="36BD8CB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r>
      <w:tr w:rsidR="00A45C44" w:rsidRPr="00175753" w14:paraId="48FBC03A" w14:textId="77777777" w:rsidTr="00BE72FB">
        <w:tc>
          <w:tcPr>
            <w:tcW w:w="872" w:type="pct"/>
            <w:tcBorders>
              <w:top w:val="nil"/>
              <w:bottom w:val="nil"/>
            </w:tcBorders>
            <w:vAlign w:val="center"/>
          </w:tcPr>
          <w:p w14:paraId="415BD89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w:t>
            </w:r>
          </w:p>
        </w:tc>
        <w:tc>
          <w:tcPr>
            <w:tcW w:w="356" w:type="pct"/>
            <w:tcBorders>
              <w:top w:val="nil"/>
              <w:bottom w:val="nil"/>
            </w:tcBorders>
            <w:vAlign w:val="center"/>
          </w:tcPr>
          <w:p w14:paraId="7B91DC3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587" w:type="pct"/>
            <w:tcBorders>
              <w:top w:val="nil"/>
              <w:bottom w:val="nil"/>
            </w:tcBorders>
            <w:vAlign w:val="center"/>
          </w:tcPr>
          <w:p w14:paraId="25BB353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3.03 (</w:t>
            </w:r>
            <w:r w:rsidR="00C83279" w:rsidRPr="00682DE0">
              <w:rPr>
                <w:rFonts w:ascii="Book Antiqua" w:hAnsi="Book Antiqua"/>
                <w:bCs/>
                <w:color w:val="000000" w:themeColor="text1"/>
              </w:rPr>
              <w:t>1</w:t>
            </w:r>
            <w:r w:rsidRPr="00682DE0">
              <w:rPr>
                <w:rFonts w:ascii="Book Antiqua" w:hAnsi="Book Antiqua"/>
                <w:bCs/>
                <w:color w:val="000000" w:themeColor="text1"/>
              </w:rPr>
              <w:t>.</w:t>
            </w:r>
            <w:r w:rsidR="008B36E9" w:rsidRPr="00682DE0">
              <w:rPr>
                <w:rFonts w:ascii="Book Antiqua" w:hAnsi="Book Antiqua"/>
                <w:bCs/>
                <w:color w:val="000000" w:themeColor="text1"/>
              </w:rPr>
              <w:t>00</w:t>
            </w:r>
            <w:r w:rsidRPr="00682DE0">
              <w:rPr>
                <w:rFonts w:ascii="Book Antiqua" w:hAnsi="Book Antiqua"/>
                <w:bCs/>
                <w:color w:val="000000" w:themeColor="text1"/>
              </w:rPr>
              <w:t>, 9.24)</w:t>
            </w:r>
          </w:p>
        </w:tc>
        <w:tc>
          <w:tcPr>
            <w:tcW w:w="563" w:type="pct"/>
            <w:vMerge w:val="restart"/>
            <w:tcBorders>
              <w:top w:val="nil"/>
              <w:bottom w:val="nil"/>
            </w:tcBorders>
            <w:vAlign w:val="center"/>
          </w:tcPr>
          <w:p w14:paraId="19F5D1E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0.10</w:t>
            </w:r>
            <w:r w:rsidR="00C83279" w:rsidRPr="00682DE0">
              <w:rPr>
                <w:rFonts w:ascii="Book Antiqua" w:hAnsi="Book Antiqua"/>
                <w:bCs/>
                <w:color w:val="000000" w:themeColor="text1"/>
              </w:rPr>
              <w:t>0</w:t>
            </w:r>
          </w:p>
        </w:tc>
        <w:tc>
          <w:tcPr>
            <w:tcW w:w="905" w:type="pct"/>
            <w:tcBorders>
              <w:top w:val="nil"/>
              <w:bottom w:val="nil"/>
            </w:tcBorders>
            <w:vAlign w:val="center"/>
          </w:tcPr>
          <w:p w14:paraId="068270F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w:t>
            </w:r>
          </w:p>
        </w:tc>
        <w:tc>
          <w:tcPr>
            <w:tcW w:w="302" w:type="pct"/>
            <w:tcBorders>
              <w:top w:val="nil"/>
              <w:bottom w:val="nil"/>
            </w:tcBorders>
            <w:vAlign w:val="center"/>
          </w:tcPr>
          <w:p w14:paraId="5534C31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857" w:type="pct"/>
            <w:tcBorders>
              <w:top w:val="nil"/>
              <w:bottom w:val="nil"/>
            </w:tcBorders>
            <w:vAlign w:val="center"/>
          </w:tcPr>
          <w:p w14:paraId="642C4F5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0.75 (0.28, 2.02)</w:t>
            </w:r>
          </w:p>
        </w:tc>
        <w:tc>
          <w:tcPr>
            <w:tcW w:w="557" w:type="pct"/>
            <w:vMerge w:val="restart"/>
            <w:tcBorders>
              <w:top w:val="nil"/>
              <w:bottom w:val="nil"/>
            </w:tcBorders>
            <w:vAlign w:val="center"/>
          </w:tcPr>
          <w:p w14:paraId="12EDD47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0.90</w:t>
            </w:r>
            <w:r w:rsidR="00C83279" w:rsidRPr="00682DE0">
              <w:rPr>
                <w:rFonts w:ascii="Book Antiqua" w:hAnsi="Book Antiqua"/>
                <w:bCs/>
                <w:color w:val="000000" w:themeColor="text1"/>
              </w:rPr>
              <w:t>0</w:t>
            </w:r>
          </w:p>
        </w:tc>
      </w:tr>
      <w:tr w:rsidR="00A45C44" w:rsidRPr="00175753" w14:paraId="636AC3CF" w14:textId="77777777" w:rsidTr="00BE72FB">
        <w:tc>
          <w:tcPr>
            <w:tcW w:w="872" w:type="pct"/>
            <w:tcBorders>
              <w:top w:val="nil"/>
              <w:bottom w:val="nil"/>
            </w:tcBorders>
            <w:vAlign w:val="center"/>
          </w:tcPr>
          <w:p w14:paraId="7D0A4E5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356" w:type="pct"/>
            <w:tcBorders>
              <w:top w:val="nil"/>
              <w:bottom w:val="nil"/>
            </w:tcBorders>
            <w:vAlign w:val="center"/>
          </w:tcPr>
          <w:p w14:paraId="0F6CD85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587" w:type="pct"/>
            <w:tcBorders>
              <w:top w:val="nil"/>
              <w:bottom w:val="nil"/>
            </w:tcBorders>
            <w:vAlign w:val="center"/>
          </w:tcPr>
          <w:p w14:paraId="5DB569C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1.01 (0.52, 1.97)</w:t>
            </w:r>
          </w:p>
        </w:tc>
        <w:tc>
          <w:tcPr>
            <w:tcW w:w="563" w:type="pct"/>
            <w:vMerge/>
            <w:tcBorders>
              <w:top w:val="nil"/>
              <w:bottom w:val="nil"/>
            </w:tcBorders>
            <w:vAlign w:val="center"/>
          </w:tcPr>
          <w:p w14:paraId="13A8237B"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5" w:type="pct"/>
            <w:tcBorders>
              <w:top w:val="nil"/>
              <w:bottom w:val="nil"/>
            </w:tcBorders>
            <w:vAlign w:val="center"/>
          </w:tcPr>
          <w:p w14:paraId="3465E8E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302" w:type="pct"/>
            <w:tcBorders>
              <w:top w:val="nil"/>
              <w:bottom w:val="nil"/>
            </w:tcBorders>
            <w:vAlign w:val="center"/>
          </w:tcPr>
          <w:p w14:paraId="44A4706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857" w:type="pct"/>
            <w:tcBorders>
              <w:top w:val="nil"/>
              <w:bottom w:val="nil"/>
            </w:tcBorders>
            <w:vAlign w:val="center"/>
          </w:tcPr>
          <w:p w14:paraId="7379301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0.86 (0.54, 1.39)</w:t>
            </w:r>
          </w:p>
        </w:tc>
        <w:tc>
          <w:tcPr>
            <w:tcW w:w="557" w:type="pct"/>
            <w:vMerge/>
            <w:tcBorders>
              <w:top w:val="nil"/>
              <w:bottom w:val="nil"/>
            </w:tcBorders>
            <w:vAlign w:val="center"/>
          </w:tcPr>
          <w:p w14:paraId="0B374BFC"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0809BD16" w14:textId="77777777" w:rsidTr="00BE72FB">
        <w:tc>
          <w:tcPr>
            <w:tcW w:w="872" w:type="pct"/>
            <w:tcBorders>
              <w:top w:val="nil"/>
              <w:bottom w:val="nil"/>
            </w:tcBorders>
            <w:vAlign w:val="center"/>
          </w:tcPr>
          <w:p w14:paraId="11E6BE0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Nausea</w:t>
            </w:r>
          </w:p>
        </w:tc>
        <w:tc>
          <w:tcPr>
            <w:tcW w:w="356" w:type="pct"/>
            <w:tcBorders>
              <w:top w:val="nil"/>
              <w:bottom w:val="nil"/>
            </w:tcBorders>
            <w:vAlign w:val="center"/>
          </w:tcPr>
          <w:p w14:paraId="5C16017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7</w:t>
            </w:r>
          </w:p>
        </w:tc>
        <w:tc>
          <w:tcPr>
            <w:tcW w:w="587" w:type="pct"/>
            <w:tcBorders>
              <w:top w:val="nil"/>
              <w:bottom w:val="nil"/>
            </w:tcBorders>
            <w:vAlign w:val="center"/>
          </w:tcPr>
          <w:p w14:paraId="53431F0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0.85 (0.53, 1.36)</w:t>
            </w:r>
          </w:p>
        </w:tc>
        <w:tc>
          <w:tcPr>
            <w:tcW w:w="563" w:type="pct"/>
            <w:tcBorders>
              <w:top w:val="nil"/>
              <w:bottom w:val="nil"/>
            </w:tcBorders>
            <w:vAlign w:val="center"/>
          </w:tcPr>
          <w:p w14:paraId="510A1F7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0.507</w:t>
            </w:r>
          </w:p>
        </w:tc>
        <w:tc>
          <w:tcPr>
            <w:tcW w:w="905" w:type="pct"/>
            <w:tcBorders>
              <w:top w:val="nil"/>
              <w:bottom w:val="nil"/>
            </w:tcBorders>
            <w:vAlign w:val="center"/>
          </w:tcPr>
          <w:p w14:paraId="0C66F75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Cardiotoxicity</w:t>
            </w:r>
          </w:p>
        </w:tc>
        <w:tc>
          <w:tcPr>
            <w:tcW w:w="302" w:type="pct"/>
            <w:tcBorders>
              <w:top w:val="nil"/>
              <w:bottom w:val="nil"/>
            </w:tcBorders>
            <w:vAlign w:val="center"/>
          </w:tcPr>
          <w:p w14:paraId="652BCB4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5</w:t>
            </w:r>
          </w:p>
        </w:tc>
        <w:tc>
          <w:tcPr>
            <w:tcW w:w="857" w:type="pct"/>
            <w:tcBorders>
              <w:top w:val="nil"/>
              <w:bottom w:val="nil"/>
            </w:tcBorders>
            <w:vAlign w:val="center"/>
          </w:tcPr>
          <w:p w14:paraId="5C213FB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2.39 (1.06, 5.42)</w:t>
            </w:r>
          </w:p>
        </w:tc>
        <w:tc>
          <w:tcPr>
            <w:tcW w:w="557" w:type="pct"/>
            <w:tcBorders>
              <w:top w:val="nil"/>
              <w:bottom w:val="nil"/>
            </w:tcBorders>
            <w:vAlign w:val="center"/>
          </w:tcPr>
          <w:p w14:paraId="0297790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0.037</w:t>
            </w:r>
          </w:p>
        </w:tc>
      </w:tr>
      <w:tr w:rsidR="00A45C44" w:rsidRPr="00175753" w14:paraId="2CF71A1B" w14:textId="77777777" w:rsidTr="00BE72FB">
        <w:tc>
          <w:tcPr>
            <w:tcW w:w="2378" w:type="pct"/>
            <w:gridSpan w:val="4"/>
            <w:tcBorders>
              <w:top w:val="nil"/>
            </w:tcBorders>
            <w:vAlign w:val="center"/>
          </w:tcPr>
          <w:p w14:paraId="78A79E6D" w14:textId="77777777" w:rsidR="0025796C" w:rsidRPr="00682DE0" w:rsidRDefault="00AE5134"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COX-2</w:t>
            </w:r>
            <w:r w:rsidR="0025796C" w:rsidRPr="00682DE0">
              <w:rPr>
                <w:rFonts w:ascii="Book Antiqua" w:hAnsi="Book Antiqua"/>
                <w:bCs/>
                <w:color w:val="000000" w:themeColor="text1"/>
              </w:rPr>
              <w:t xml:space="preserve"> inhibitor type</w:t>
            </w:r>
          </w:p>
        </w:tc>
        <w:tc>
          <w:tcPr>
            <w:tcW w:w="2622" w:type="pct"/>
            <w:gridSpan w:val="4"/>
            <w:tcBorders>
              <w:top w:val="nil"/>
            </w:tcBorders>
            <w:vAlign w:val="center"/>
          </w:tcPr>
          <w:p w14:paraId="5175BD9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 xml:space="preserve"> </w:t>
            </w:r>
            <w:r w:rsidR="00AE5134" w:rsidRPr="00682DE0">
              <w:rPr>
                <w:rFonts w:ascii="Book Antiqua" w:hAnsi="Book Antiqua"/>
                <w:bCs/>
                <w:color w:val="000000" w:themeColor="text1"/>
              </w:rPr>
              <w:t>COX-2</w:t>
            </w:r>
            <w:r w:rsidRPr="00682DE0">
              <w:rPr>
                <w:rFonts w:ascii="Book Antiqua" w:hAnsi="Book Antiqua"/>
                <w:bCs/>
                <w:color w:val="000000" w:themeColor="text1"/>
              </w:rPr>
              <w:t xml:space="preserve"> inhibitor type</w:t>
            </w:r>
          </w:p>
        </w:tc>
      </w:tr>
      <w:tr w:rsidR="00A45C44" w:rsidRPr="00175753" w14:paraId="68D4D624" w14:textId="77777777" w:rsidTr="00BE72FB">
        <w:tc>
          <w:tcPr>
            <w:tcW w:w="872" w:type="pct"/>
            <w:vAlign w:val="center"/>
          </w:tcPr>
          <w:p w14:paraId="1EB145E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356" w:type="pct"/>
            <w:vAlign w:val="center"/>
          </w:tcPr>
          <w:p w14:paraId="11D30BA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5</w:t>
            </w:r>
          </w:p>
        </w:tc>
        <w:tc>
          <w:tcPr>
            <w:tcW w:w="587" w:type="pct"/>
            <w:vAlign w:val="center"/>
          </w:tcPr>
          <w:p w14:paraId="6871E41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0.87 (0.50, 1.51)</w:t>
            </w:r>
          </w:p>
        </w:tc>
        <w:tc>
          <w:tcPr>
            <w:tcW w:w="563" w:type="pct"/>
            <w:vMerge w:val="restart"/>
            <w:vAlign w:val="center"/>
          </w:tcPr>
          <w:p w14:paraId="744961C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0.96</w:t>
            </w:r>
            <w:r w:rsidR="00C83279" w:rsidRPr="00682DE0">
              <w:rPr>
                <w:rFonts w:ascii="Book Antiqua" w:hAnsi="Book Antiqua"/>
                <w:bCs/>
                <w:color w:val="000000" w:themeColor="text1"/>
              </w:rPr>
              <w:t>0</w:t>
            </w:r>
          </w:p>
        </w:tc>
        <w:tc>
          <w:tcPr>
            <w:tcW w:w="905" w:type="pct"/>
            <w:vAlign w:val="center"/>
          </w:tcPr>
          <w:p w14:paraId="3E3944C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302" w:type="pct"/>
            <w:vAlign w:val="center"/>
          </w:tcPr>
          <w:p w14:paraId="3610110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857" w:type="pct"/>
            <w:vAlign w:val="center"/>
          </w:tcPr>
          <w:p w14:paraId="2169529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1.55 (0.53, 4.50)</w:t>
            </w:r>
          </w:p>
        </w:tc>
        <w:tc>
          <w:tcPr>
            <w:tcW w:w="557" w:type="pct"/>
            <w:vMerge w:val="restart"/>
            <w:vAlign w:val="center"/>
          </w:tcPr>
          <w:p w14:paraId="6092550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0.54</w:t>
            </w:r>
            <w:r w:rsidR="00C83279" w:rsidRPr="00682DE0">
              <w:rPr>
                <w:rFonts w:ascii="Book Antiqua" w:hAnsi="Book Antiqua"/>
                <w:bCs/>
                <w:color w:val="000000" w:themeColor="text1"/>
              </w:rPr>
              <w:t>0</w:t>
            </w:r>
          </w:p>
        </w:tc>
      </w:tr>
      <w:tr w:rsidR="00A45C44" w:rsidRPr="00175753" w14:paraId="3940392F" w14:textId="77777777" w:rsidTr="00BE72FB">
        <w:tc>
          <w:tcPr>
            <w:tcW w:w="872" w:type="pct"/>
            <w:vAlign w:val="center"/>
          </w:tcPr>
          <w:p w14:paraId="482812C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Rofecoxib</w:t>
            </w:r>
          </w:p>
        </w:tc>
        <w:tc>
          <w:tcPr>
            <w:tcW w:w="356" w:type="pct"/>
            <w:vAlign w:val="center"/>
          </w:tcPr>
          <w:p w14:paraId="4465EF4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587" w:type="pct"/>
            <w:vAlign w:val="center"/>
          </w:tcPr>
          <w:p w14:paraId="1599687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0.76 (0.27, 2.13)</w:t>
            </w:r>
          </w:p>
        </w:tc>
        <w:tc>
          <w:tcPr>
            <w:tcW w:w="563" w:type="pct"/>
            <w:vMerge/>
            <w:vAlign w:val="center"/>
          </w:tcPr>
          <w:p w14:paraId="39493F66"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5" w:type="pct"/>
            <w:vAlign w:val="center"/>
          </w:tcPr>
          <w:p w14:paraId="4A11FF4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Rofecoxib</w:t>
            </w:r>
          </w:p>
        </w:tc>
        <w:tc>
          <w:tcPr>
            <w:tcW w:w="302" w:type="pct"/>
            <w:vAlign w:val="center"/>
          </w:tcPr>
          <w:p w14:paraId="2F7BFF3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857" w:type="pct"/>
            <w:vAlign w:val="center"/>
          </w:tcPr>
          <w:p w14:paraId="42FBD84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4.58 (1.01, 20.7</w:t>
            </w:r>
            <w:r w:rsidR="00C83279" w:rsidRPr="00682DE0">
              <w:rPr>
                <w:rFonts w:ascii="Book Antiqua" w:hAnsi="Book Antiqua"/>
                <w:bCs/>
                <w:color w:val="000000" w:themeColor="text1"/>
              </w:rPr>
              <w:t>0</w:t>
            </w:r>
            <w:r w:rsidRPr="00682DE0">
              <w:rPr>
                <w:rFonts w:ascii="Book Antiqua" w:hAnsi="Book Antiqua"/>
                <w:bCs/>
                <w:color w:val="000000" w:themeColor="text1"/>
              </w:rPr>
              <w:t>)</w:t>
            </w:r>
          </w:p>
        </w:tc>
        <w:tc>
          <w:tcPr>
            <w:tcW w:w="557" w:type="pct"/>
            <w:vMerge/>
            <w:vAlign w:val="center"/>
          </w:tcPr>
          <w:p w14:paraId="52A5AF3B"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448DC4A6" w14:textId="77777777" w:rsidTr="00BE72FB">
        <w:tc>
          <w:tcPr>
            <w:tcW w:w="872" w:type="pct"/>
            <w:vAlign w:val="center"/>
          </w:tcPr>
          <w:p w14:paraId="6FDE963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356" w:type="pct"/>
            <w:vAlign w:val="center"/>
          </w:tcPr>
          <w:p w14:paraId="49369E0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587" w:type="pct"/>
            <w:vAlign w:val="center"/>
          </w:tcPr>
          <w:p w14:paraId="4F58E30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1.00 (0.15, 6.72)</w:t>
            </w:r>
          </w:p>
        </w:tc>
        <w:tc>
          <w:tcPr>
            <w:tcW w:w="563" w:type="pct"/>
            <w:vMerge/>
            <w:vAlign w:val="center"/>
          </w:tcPr>
          <w:p w14:paraId="200A931C"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5" w:type="pct"/>
            <w:vAlign w:val="center"/>
          </w:tcPr>
          <w:p w14:paraId="50BA4D8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302" w:type="pct"/>
            <w:vAlign w:val="center"/>
          </w:tcPr>
          <w:p w14:paraId="163DCC6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857" w:type="pct"/>
            <w:vAlign w:val="center"/>
          </w:tcPr>
          <w:p w14:paraId="5BD83FE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3.00 (0.13, 71.3</w:t>
            </w:r>
            <w:r w:rsidR="00C83279" w:rsidRPr="00682DE0">
              <w:rPr>
                <w:rFonts w:ascii="Book Antiqua" w:hAnsi="Book Antiqua"/>
                <w:bCs/>
                <w:color w:val="000000" w:themeColor="text1"/>
              </w:rPr>
              <w:t>0</w:t>
            </w:r>
            <w:r w:rsidRPr="00682DE0">
              <w:rPr>
                <w:rFonts w:ascii="Book Antiqua" w:hAnsi="Book Antiqua"/>
                <w:bCs/>
                <w:color w:val="000000" w:themeColor="text1"/>
              </w:rPr>
              <w:t>)</w:t>
            </w:r>
          </w:p>
        </w:tc>
        <w:tc>
          <w:tcPr>
            <w:tcW w:w="557" w:type="pct"/>
            <w:vMerge/>
            <w:vAlign w:val="center"/>
          </w:tcPr>
          <w:p w14:paraId="12182D47"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649BCC19" w14:textId="77777777" w:rsidTr="00BE72FB">
        <w:tc>
          <w:tcPr>
            <w:tcW w:w="2378" w:type="pct"/>
            <w:gridSpan w:val="4"/>
            <w:vAlign w:val="center"/>
          </w:tcPr>
          <w:p w14:paraId="0DBDF59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c>
          <w:tcPr>
            <w:tcW w:w="2622" w:type="pct"/>
            <w:gridSpan w:val="4"/>
            <w:vAlign w:val="center"/>
          </w:tcPr>
          <w:p w14:paraId="4B82664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r>
      <w:tr w:rsidR="00A45C44" w:rsidRPr="00175753" w14:paraId="7321E01B" w14:textId="77777777" w:rsidTr="00BE72FB">
        <w:tc>
          <w:tcPr>
            <w:tcW w:w="872" w:type="pct"/>
            <w:vAlign w:val="center"/>
          </w:tcPr>
          <w:p w14:paraId="47F1CE6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356" w:type="pct"/>
            <w:vAlign w:val="center"/>
          </w:tcPr>
          <w:p w14:paraId="2287E77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6</w:t>
            </w:r>
          </w:p>
        </w:tc>
        <w:tc>
          <w:tcPr>
            <w:tcW w:w="587" w:type="pct"/>
            <w:vAlign w:val="center"/>
          </w:tcPr>
          <w:p w14:paraId="52C678F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0.84 (0.52, 1.37)</w:t>
            </w:r>
          </w:p>
        </w:tc>
        <w:tc>
          <w:tcPr>
            <w:tcW w:w="563" w:type="pct"/>
            <w:vMerge w:val="restart"/>
            <w:vAlign w:val="center"/>
          </w:tcPr>
          <w:p w14:paraId="231CA92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0.86</w:t>
            </w:r>
            <w:r w:rsidR="00C83279" w:rsidRPr="00682DE0">
              <w:rPr>
                <w:rFonts w:ascii="Book Antiqua" w:hAnsi="Book Antiqua"/>
                <w:bCs/>
                <w:color w:val="000000" w:themeColor="text1"/>
              </w:rPr>
              <w:t>0</w:t>
            </w:r>
          </w:p>
        </w:tc>
        <w:tc>
          <w:tcPr>
            <w:tcW w:w="905" w:type="pct"/>
            <w:vAlign w:val="center"/>
          </w:tcPr>
          <w:p w14:paraId="1D9200D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302" w:type="pct"/>
            <w:vAlign w:val="center"/>
          </w:tcPr>
          <w:p w14:paraId="05369FA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857" w:type="pct"/>
            <w:vAlign w:val="center"/>
          </w:tcPr>
          <w:p w14:paraId="1B98A7C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2.35 (1.01, 5.49)</w:t>
            </w:r>
          </w:p>
        </w:tc>
        <w:tc>
          <w:tcPr>
            <w:tcW w:w="557" w:type="pct"/>
            <w:vMerge w:val="restart"/>
            <w:vAlign w:val="center"/>
          </w:tcPr>
          <w:p w14:paraId="4A6A829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0.88</w:t>
            </w:r>
            <w:r w:rsidR="00C83279" w:rsidRPr="00682DE0">
              <w:rPr>
                <w:rFonts w:ascii="Book Antiqua" w:hAnsi="Book Antiqua"/>
                <w:bCs/>
                <w:color w:val="000000" w:themeColor="text1"/>
              </w:rPr>
              <w:t>0</w:t>
            </w:r>
          </w:p>
        </w:tc>
      </w:tr>
      <w:tr w:rsidR="00A45C44" w:rsidRPr="00175753" w14:paraId="500C583D" w14:textId="77777777" w:rsidTr="00BE72FB">
        <w:tc>
          <w:tcPr>
            <w:tcW w:w="872" w:type="pct"/>
            <w:tcBorders>
              <w:bottom w:val="nil"/>
            </w:tcBorders>
            <w:vAlign w:val="center"/>
          </w:tcPr>
          <w:p w14:paraId="759F5D8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356" w:type="pct"/>
            <w:tcBorders>
              <w:bottom w:val="nil"/>
            </w:tcBorders>
            <w:vAlign w:val="center"/>
          </w:tcPr>
          <w:p w14:paraId="7DD4B9D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587" w:type="pct"/>
            <w:tcBorders>
              <w:bottom w:val="nil"/>
            </w:tcBorders>
            <w:vAlign w:val="center"/>
          </w:tcPr>
          <w:p w14:paraId="64EB7D2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1.00 (0.15, 6.72)</w:t>
            </w:r>
          </w:p>
        </w:tc>
        <w:tc>
          <w:tcPr>
            <w:tcW w:w="563" w:type="pct"/>
            <w:vMerge/>
            <w:tcBorders>
              <w:bottom w:val="nil"/>
            </w:tcBorders>
            <w:vAlign w:val="center"/>
          </w:tcPr>
          <w:p w14:paraId="392CEC41"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5" w:type="pct"/>
            <w:tcBorders>
              <w:bottom w:val="nil"/>
            </w:tcBorders>
            <w:vAlign w:val="center"/>
          </w:tcPr>
          <w:p w14:paraId="0B703E1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302" w:type="pct"/>
            <w:tcBorders>
              <w:bottom w:val="nil"/>
            </w:tcBorders>
            <w:vAlign w:val="center"/>
          </w:tcPr>
          <w:p w14:paraId="6C0B1FA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857" w:type="pct"/>
            <w:tcBorders>
              <w:bottom w:val="nil"/>
            </w:tcBorders>
            <w:vAlign w:val="center"/>
          </w:tcPr>
          <w:p w14:paraId="01CAD41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3.00 (0.13, 71.3</w:t>
            </w:r>
            <w:r w:rsidR="00C83279" w:rsidRPr="00682DE0">
              <w:rPr>
                <w:rFonts w:ascii="Book Antiqua" w:hAnsi="Book Antiqua"/>
                <w:bCs/>
                <w:color w:val="000000" w:themeColor="text1"/>
              </w:rPr>
              <w:t>0</w:t>
            </w:r>
            <w:r w:rsidRPr="00682DE0">
              <w:rPr>
                <w:rFonts w:ascii="Book Antiqua" w:hAnsi="Book Antiqua"/>
                <w:bCs/>
                <w:color w:val="000000" w:themeColor="text1"/>
              </w:rPr>
              <w:t>)</w:t>
            </w:r>
          </w:p>
        </w:tc>
        <w:tc>
          <w:tcPr>
            <w:tcW w:w="557" w:type="pct"/>
            <w:vMerge/>
            <w:tcBorders>
              <w:bottom w:val="nil"/>
            </w:tcBorders>
            <w:vAlign w:val="center"/>
          </w:tcPr>
          <w:p w14:paraId="5D383313"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6FE54B45" w14:textId="77777777" w:rsidTr="00BE72FB">
        <w:tc>
          <w:tcPr>
            <w:tcW w:w="2378" w:type="pct"/>
            <w:gridSpan w:val="4"/>
            <w:tcBorders>
              <w:top w:val="nil"/>
              <w:bottom w:val="nil"/>
            </w:tcBorders>
            <w:vAlign w:val="center"/>
          </w:tcPr>
          <w:p w14:paraId="04A2021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c>
          <w:tcPr>
            <w:tcW w:w="2622" w:type="pct"/>
            <w:gridSpan w:val="4"/>
            <w:tcBorders>
              <w:top w:val="nil"/>
              <w:bottom w:val="nil"/>
            </w:tcBorders>
            <w:vAlign w:val="center"/>
          </w:tcPr>
          <w:p w14:paraId="5635FAD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r>
      <w:tr w:rsidR="00A45C44" w:rsidRPr="00175753" w14:paraId="3D73DC3F" w14:textId="77777777" w:rsidTr="00BE72FB">
        <w:tc>
          <w:tcPr>
            <w:tcW w:w="872" w:type="pct"/>
            <w:tcBorders>
              <w:top w:val="nil"/>
              <w:bottom w:val="nil"/>
            </w:tcBorders>
            <w:vAlign w:val="center"/>
          </w:tcPr>
          <w:p w14:paraId="4A857A3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w:t>
            </w:r>
          </w:p>
        </w:tc>
        <w:tc>
          <w:tcPr>
            <w:tcW w:w="356" w:type="pct"/>
            <w:tcBorders>
              <w:top w:val="nil"/>
              <w:bottom w:val="nil"/>
            </w:tcBorders>
            <w:vAlign w:val="center"/>
          </w:tcPr>
          <w:p w14:paraId="7DAF972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587" w:type="pct"/>
            <w:tcBorders>
              <w:top w:val="nil"/>
              <w:bottom w:val="nil"/>
            </w:tcBorders>
            <w:vAlign w:val="center"/>
          </w:tcPr>
          <w:p w14:paraId="5447A6D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1.44 (0.58, 3.59)</w:t>
            </w:r>
          </w:p>
        </w:tc>
        <w:tc>
          <w:tcPr>
            <w:tcW w:w="563" w:type="pct"/>
            <w:vMerge w:val="restart"/>
            <w:tcBorders>
              <w:top w:val="nil"/>
            </w:tcBorders>
            <w:vAlign w:val="center"/>
          </w:tcPr>
          <w:p w14:paraId="5BD7510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0.40</w:t>
            </w:r>
            <w:r w:rsidR="00C83279" w:rsidRPr="00682DE0">
              <w:rPr>
                <w:rFonts w:ascii="Book Antiqua" w:hAnsi="Book Antiqua"/>
                <w:bCs/>
                <w:color w:val="000000" w:themeColor="text1"/>
              </w:rPr>
              <w:t>0</w:t>
            </w:r>
          </w:p>
        </w:tc>
        <w:tc>
          <w:tcPr>
            <w:tcW w:w="905" w:type="pct"/>
            <w:tcBorders>
              <w:top w:val="nil"/>
              <w:bottom w:val="nil"/>
            </w:tcBorders>
            <w:vAlign w:val="center"/>
          </w:tcPr>
          <w:p w14:paraId="6E4B6C3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w:t>
            </w:r>
          </w:p>
        </w:tc>
        <w:tc>
          <w:tcPr>
            <w:tcW w:w="302" w:type="pct"/>
            <w:tcBorders>
              <w:top w:val="nil"/>
              <w:bottom w:val="nil"/>
            </w:tcBorders>
            <w:vAlign w:val="center"/>
          </w:tcPr>
          <w:p w14:paraId="5E83D73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857" w:type="pct"/>
            <w:tcBorders>
              <w:top w:val="nil"/>
              <w:bottom w:val="nil"/>
            </w:tcBorders>
            <w:vAlign w:val="center"/>
          </w:tcPr>
          <w:p w14:paraId="02E54E3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3.00 (0.13, 71.3</w:t>
            </w:r>
            <w:r w:rsidR="00C83279" w:rsidRPr="00682DE0">
              <w:rPr>
                <w:rFonts w:ascii="Book Antiqua" w:hAnsi="Book Antiqua"/>
                <w:bCs/>
                <w:color w:val="000000" w:themeColor="text1"/>
              </w:rPr>
              <w:t>0</w:t>
            </w:r>
            <w:r w:rsidRPr="00682DE0">
              <w:rPr>
                <w:rFonts w:ascii="Book Antiqua" w:hAnsi="Book Antiqua"/>
                <w:bCs/>
                <w:color w:val="000000" w:themeColor="text1"/>
              </w:rPr>
              <w:t>)</w:t>
            </w:r>
          </w:p>
        </w:tc>
        <w:tc>
          <w:tcPr>
            <w:tcW w:w="557" w:type="pct"/>
            <w:vMerge w:val="restart"/>
            <w:tcBorders>
              <w:top w:val="nil"/>
            </w:tcBorders>
            <w:vAlign w:val="center"/>
          </w:tcPr>
          <w:p w14:paraId="31F5CAD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0.88</w:t>
            </w:r>
            <w:r w:rsidR="00C83279" w:rsidRPr="00682DE0">
              <w:rPr>
                <w:rFonts w:ascii="Book Antiqua" w:hAnsi="Book Antiqua"/>
                <w:bCs/>
                <w:color w:val="000000" w:themeColor="text1"/>
              </w:rPr>
              <w:t>0</w:t>
            </w:r>
          </w:p>
        </w:tc>
      </w:tr>
      <w:tr w:rsidR="00A45C44" w:rsidRPr="00175753" w14:paraId="41CB0BB2" w14:textId="77777777" w:rsidTr="00BE72FB">
        <w:tc>
          <w:tcPr>
            <w:tcW w:w="872" w:type="pct"/>
            <w:tcBorders>
              <w:top w:val="nil"/>
              <w:bottom w:val="nil"/>
            </w:tcBorders>
            <w:vAlign w:val="center"/>
          </w:tcPr>
          <w:p w14:paraId="20D53F9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356" w:type="pct"/>
            <w:tcBorders>
              <w:top w:val="nil"/>
              <w:bottom w:val="nil"/>
            </w:tcBorders>
            <w:vAlign w:val="center"/>
          </w:tcPr>
          <w:p w14:paraId="2FF47FF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587" w:type="pct"/>
            <w:tcBorders>
              <w:top w:val="nil"/>
              <w:bottom w:val="nil"/>
            </w:tcBorders>
            <w:vAlign w:val="center"/>
          </w:tcPr>
          <w:p w14:paraId="51DEA60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0.67 (0.36, 1.25)</w:t>
            </w:r>
          </w:p>
        </w:tc>
        <w:tc>
          <w:tcPr>
            <w:tcW w:w="563" w:type="pct"/>
            <w:vMerge/>
            <w:tcBorders>
              <w:bottom w:val="nil"/>
            </w:tcBorders>
            <w:vAlign w:val="center"/>
          </w:tcPr>
          <w:p w14:paraId="65939528"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905" w:type="pct"/>
            <w:tcBorders>
              <w:top w:val="nil"/>
              <w:bottom w:val="nil"/>
            </w:tcBorders>
            <w:vAlign w:val="center"/>
          </w:tcPr>
          <w:p w14:paraId="69CE181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302" w:type="pct"/>
            <w:tcBorders>
              <w:top w:val="nil"/>
              <w:bottom w:val="nil"/>
            </w:tcBorders>
            <w:vAlign w:val="center"/>
          </w:tcPr>
          <w:p w14:paraId="227F0E29"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857" w:type="pct"/>
            <w:tcBorders>
              <w:top w:val="nil"/>
              <w:bottom w:val="nil"/>
            </w:tcBorders>
            <w:vAlign w:val="center"/>
          </w:tcPr>
          <w:p w14:paraId="7F4F12A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2.35 (1.01, 5.49)</w:t>
            </w:r>
          </w:p>
        </w:tc>
        <w:tc>
          <w:tcPr>
            <w:tcW w:w="557" w:type="pct"/>
            <w:vMerge/>
            <w:tcBorders>
              <w:bottom w:val="nil"/>
            </w:tcBorders>
            <w:vAlign w:val="center"/>
          </w:tcPr>
          <w:p w14:paraId="178AC598"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7DA1CCA0" w14:textId="77777777" w:rsidTr="00BE72FB">
        <w:tc>
          <w:tcPr>
            <w:tcW w:w="872" w:type="pct"/>
            <w:tcBorders>
              <w:top w:val="nil"/>
              <w:bottom w:val="nil"/>
            </w:tcBorders>
            <w:vAlign w:val="center"/>
          </w:tcPr>
          <w:p w14:paraId="258C7D5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Neurotoxicity</w:t>
            </w:r>
          </w:p>
        </w:tc>
        <w:tc>
          <w:tcPr>
            <w:tcW w:w="356" w:type="pct"/>
            <w:tcBorders>
              <w:top w:val="nil"/>
              <w:bottom w:val="nil"/>
            </w:tcBorders>
            <w:vAlign w:val="center"/>
          </w:tcPr>
          <w:p w14:paraId="19B125A2"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587" w:type="pct"/>
            <w:tcBorders>
              <w:top w:val="nil"/>
              <w:bottom w:val="nil"/>
            </w:tcBorders>
            <w:vAlign w:val="center"/>
          </w:tcPr>
          <w:p w14:paraId="3BFD8614"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1.02 (0.23, 4.45)</w:t>
            </w:r>
          </w:p>
        </w:tc>
        <w:tc>
          <w:tcPr>
            <w:tcW w:w="563" w:type="pct"/>
            <w:tcBorders>
              <w:top w:val="nil"/>
              <w:bottom w:val="nil"/>
            </w:tcBorders>
            <w:vAlign w:val="center"/>
          </w:tcPr>
          <w:p w14:paraId="080D790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0.977</w:t>
            </w:r>
          </w:p>
        </w:tc>
        <w:tc>
          <w:tcPr>
            <w:tcW w:w="2622" w:type="pct"/>
            <w:gridSpan w:val="4"/>
            <w:vMerge w:val="restart"/>
            <w:tcBorders>
              <w:top w:val="nil"/>
              <w:bottom w:val="nil"/>
            </w:tcBorders>
            <w:vAlign w:val="center"/>
          </w:tcPr>
          <w:p w14:paraId="07E880CC"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455ABA97" w14:textId="77777777" w:rsidTr="00BE72FB">
        <w:tc>
          <w:tcPr>
            <w:tcW w:w="2378" w:type="pct"/>
            <w:gridSpan w:val="4"/>
            <w:tcBorders>
              <w:top w:val="nil"/>
            </w:tcBorders>
            <w:vAlign w:val="center"/>
          </w:tcPr>
          <w:p w14:paraId="43341102" w14:textId="77777777" w:rsidR="0025796C" w:rsidRPr="00682DE0" w:rsidRDefault="00AE5134"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COX-2</w:t>
            </w:r>
            <w:r w:rsidR="0025796C" w:rsidRPr="00682DE0">
              <w:rPr>
                <w:rFonts w:ascii="Book Antiqua" w:hAnsi="Book Antiqua"/>
                <w:bCs/>
                <w:color w:val="000000" w:themeColor="text1"/>
              </w:rPr>
              <w:t xml:space="preserve"> inhibitor type</w:t>
            </w:r>
          </w:p>
        </w:tc>
        <w:tc>
          <w:tcPr>
            <w:tcW w:w="2622" w:type="pct"/>
            <w:gridSpan w:val="4"/>
            <w:vMerge/>
            <w:tcBorders>
              <w:top w:val="nil"/>
            </w:tcBorders>
            <w:vAlign w:val="center"/>
          </w:tcPr>
          <w:p w14:paraId="3F7D4F5F"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405A5DA6" w14:textId="77777777" w:rsidTr="00BE72FB">
        <w:tc>
          <w:tcPr>
            <w:tcW w:w="872" w:type="pct"/>
            <w:vAlign w:val="center"/>
          </w:tcPr>
          <w:p w14:paraId="44B50CD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Celecoxib</w:t>
            </w:r>
          </w:p>
        </w:tc>
        <w:tc>
          <w:tcPr>
            <w:tcW w:w="356" w:type="pct"/>
            <w:vAlign w:val="center"/>
          </w:tcPr>
          <w:p w14:paraId="70BA9A1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w:t>
            </w:r>
          </w:p>
        </w:tc>
        <w:tc>
          <w:tcPr>
            <w:tcW w:w="587" w:type="pct"/>
            <w:vAlign w:val="center"/>
          </w:tcPr>
          <w:p w14:paraId="41B5C26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1.02 (0.18, 5.83)</w:t>
            </w:r>
          </w:p>
        </w:tc>
        <w:tc>
          <w:tcPr>
            <w:tcW w:w="563" w:type="pct"/>
            <w:vMerge w:val="restart"/>
            <w:vAlign w:val="center"/>
          </w:tcPr>
          <w:p w14:paraId="74F02B8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0.10</w:t>
            </w:r>
            <w:r w:rsidR="00C83279" w:rsidRPr="00682DE0">
              <w:rPr>
                <w:rFonts w:ascii="Book Antiqua" w:hAnsi="Book Antiqua"/>
                <w:bCs/>
                <w:color w:val="000000" w:themeColor="text1"/>
              </w:rPr>
              <w:t>0</w:t>
            </w:r>
          </w:p>
        </w:tc>
        <w:tc>
          <w:tcPr>
            <w:tcW w:w="2622" w:type="pct"/>
            <w:gridSpan w:val="4"/>
            <w:vMerge/>
            <w:vAlign w:val="center"/>
          </w:tcPr>
          <w:p w14:paraId="3CC3D8A1"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14D147D2" w14:textId="77777777" w:rsidTr="00BE72FB">
        <w:tc>
          <w:tcPr>
            <w:tcW w:w="872" w:type="pct"/>
            <w:vAlign w:val="center"/>
          </w:tcPr>
          <w:p w14:paraId="65C775E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Rofecoxib</w:t>
            </w:r>
          </w:p>
        </w:tc>
        <w:tc>
          <w:tcPr>
            <w:tcW w:w="356" w:type="pct"/>
            <w:vAlign w:val="center"/>
          </w:tcPr>
          <w:p w14:paraId="30022B01"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w:t>
            </w:r>
          </w:p>
        </w:tc>
        <w:tc>
          <w:tcPr>
            <w:tcW w:w="587" w:type="pct"/>
            <w:vAlign w:val="center"/>
          </w:tcPr>
          <w:p w14:paraId="5E389F4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1.02 (0.06, 16.07)</w:t>
            </w:r>
          </w:p>
        </w:tc>
        <w:tc>
          <w:tcPr>
            <w:tcW w:w="563" w:type="pct"/>
            <w:vMerge/>
            <w:vAlign w:val="center"/>
          </w:tcPr>
          <w:p w14:paraId="3D433F6F"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2622" w:type="pct"/>
            <w:gridSpan w:val="4"/>
            <w:vMerge/>
            <w:vAlign w:val="center"/>
          </w:tcPr>
          <w:p w14:paraId="57E55A97"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4462D48B" w14:textId="77777777" w:rsidTr="00BE72FB">
        <w:tc>
          <w:tcPr>
            <w:tcW w:w="872" w:type="pct"/>
            <w:vAlign w:val="center"/>
          </w:tcPr>
          <w:p w14:paraId="3BBD0B8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Apricoxib</w:t>
            </w:r>
          </w:p>
        </w:tc>
        <w:tc>
          <w:tcPr>
            <w:tcW w:w="356" w:type="pct"/>
            <w:vAlign w:val="center"/>
          </w:tcPr>
          <w:p w14:paraId="5E6FCB0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587" w:type="pct"/>
            <w:vAlign w:val="center"/>
          </w:tcPr>
          <w:p w14:paraId="01CD947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563" w:type="pct"/>
            <w:vMerge/>
            <w:vAlign w:val="center"/>
          </w:tcPr>
          <w:p w14:paraId="46C5F598"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2622" w:type="pct"/>
            <w:gridSpan w:val="4"/>
            <w:vMerge/>
            <w:vAlign w:val="center"/>
          </w:tcPr>
          <w:p w14:paraId="336BA9EE"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474429F0" w14:textId="77777777" w:rsidTr="00BE72FB">
        <w:tc>
          <w:tcPr>
            <w:tcW w:w="2378" w:type="pct"/>
            <w:gridSpan w:val="4"/>
            <w:vAlign w:val="center"/>
          </w:tcPr>
          <w:p w14:paraId="1E80C478"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Treatment line</w:t>
            </w:r>
          </w:p>
        </w:tc>
        <w:tc>
          <w:tcPr>
            <w:tcW w:w="2622" w:type="pct"/>
            <w:gridSpan w:val="4"/>
            <w:vMerge/>
            <w:vAlign w:val="center"/>
          </w:tcPr>
          <w:p w14:paraId="4CFDFF9E"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252AB796" w14:textId="77777777" w:rsidTr="00BE72FB">
        <w:tc>
          <w:tcPr>
            <w:tcW w:w="872" w:type="pct"/>
            <w:vAlign w:val="center"/>
          </w:tcPr>
          <w:p w14:paraId="1D09B85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First-line</w:t>
            </w:r>
          </w:p>
        </w:tc>
        <w:tc>
          <w:tcPr>
            <w:tcW w:w="356" w:type="pct"/>
            <w:vAlign w:val="center"/>
          </w:tcPr>
          <w:p w14:paraId="18F21835"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4</w:t>
            </w:r>
          </w:p>
        </w:tc>
        <w:tc>
          <w:tcPr>
            <w:tcW w:w="587" w:type="pct"/>
            <w:vAlign w:val="center"/>
          </w:tcPr>
          <w:p w14:paraId="1A9775FC"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1.02 (0.23, 4.45)</w:t>
            </w:r>
          </w:p>
        </w:tc>
        <w:tc>
          <w:tcPr>
            <w:tcW w:w="563" w:type="pct"/>
            <w:vMerge w:val="restart"/>
            <w:vAlign w:val="center"/>
          </w:tcPr>
          <w:p w14:paraId="3F95F80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1.00</w:t>
            </w:r>
            <w:r w:rsidR="00C83279" w:rsidRPr="00682DE0">
              <w:rPr>
                <w:rFonts w:ascii="Book Antiqua" w:hAnsi="Book Antiqua"/>
                <w:bCs/>
                <w:color w:val="000000" w:themeColor="text1"/>
              </w:rPr>
              <w:t>0</w:t>
            </w:r>
          </w:p>
        </w:tc>
        <w:tc>
          <w:tcPr>
            <w:tcW w:w="2622" w:type="pct"/>
            <w:gridSpan w:val="4"/>
            <w:vMerge/>
            <w:vAlign w:val="center"/>
          </w:tcPr>
          <w:p w14:paraId="7758CFD9"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1F637CFF" w14:textId="77777777" w:rsidTr="00BE72FB">
        <w:tc>
          <w:tcPr>
            <w:tcW w:w="872" w:type="pct"/>
            <w:vAlign w:val="center"/>
          </w:tcPr>
          <w:p w14:paraId="72D1C3CA"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Second-line</w:t>
            </w:r>
          </w:p>
        </w:tc>
        <w:tc>
          <w:tcPr>
            <w:tcW w:w="356" w:type="pct"/>
            <w:vAlign w:val="center"/>
          </w:tcPr>
          <w:p w14:paraId="74511577"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587" w:type="pct"/>
            <w:vAlign w:val="center"/>
          </w:tcPr>
          <w:p w14:paraId="65B1647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NA</w:t>
            </w:r>
          </w:p>
        </w:tc>
        <w:tc>
          <w:tcPr>
            <w:tcW w:w="563" w:type="pct"/>
            <w:vMerge/>
            <w:vAlign w:val="center"/>
          </w:tcPr>
          <w:p w14:paraId="6167711C"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2622" w:type="pct"/>
            <w:gridSpan w:val="4"/>
            <w:vMerge/>
            <w:vAlign w:val="center"/>
          </w:tcPr>
          <w:p w14:paraId="586B1723"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2AFEE6EC" w14:textId="77777777" w:rsidTr="00BE72FB">
        <w:tc>
          <w:tcPr>
            <w:tcW w:w="2378" w:type="pct"/>
            <w:gridSpan w:val="4"/>
            <w:vAlign w:val="center"/>
          </w:tcPr>
          <w:p w14:paraId="46BF0FF6"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Phase</w:t>
            </w:r>
          </w:p>
        </w:tc>
        <w:tc>
          <w:tcPr>
            <w:tcW w:w="2622" w:type="pct"/>
            <w:gridSpan w:val="4"/>
            <w:vAlign w:val="center"/>
          </w:tcPr>
          <w:p w14:paraId="2AD43B97"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7412B4E9" w14:textId="77777777" w:rsidTr="00BE72FB">
        <w:tc>
          <w:tcPr>
            <w:tcW w:w="872" w:type="pct"/>
            <w:vAlign w:val="center"/>
          </w:tcPr>
          <w:p w14:paraId="0FEDC820"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w:t>
            </w:r>
          </w:p>
        </w:tc>
        <w:tc>
          <w:tcPr>
            <w:tcW w:w="356" w:type="pct"/>
            <w:vAlign w:val="center"/>
          </w:tcPr>
          <w:p w14:paraId="302325A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587" w:type="pct"/>
            <w:vAlign w:val="center"/>
          </w:tcPr>
          <w:p w14:paraId="4F694493"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3.09 (0.13, 73.2</w:t>
            </w:r>
            <w:r w:rsidR="00C83279" w:rsidRPr="00682DE0">
              <w:rPr>
                <w:rFonts w:ascii="Book Antiqua" w:hAnsi="Book Antiqua"/>
                <w:bCs/>
                <w:color w:val="000000" w:themeColor="text1"/>
              </w:rPr>
              <w:t>0</w:t>
            </w:r>
            <w:r w:rsidRPr="00682DE0">
              <w:rPr>
                <w:rFonts w:ascii="Book Antiqua" w:hAnsi="Book Antiqua"/>
                <w:bCs/>
                <w:color w:val="000000" w:themeColor="text1"/>
              </w:rPr>
              <w:t>)</w:t>
            </w:r>
          </w:p>
        </w:tc>
        <w:tc>
          <w:tcPr>
            <w:tcW w:w="563" w:type="pct"/>
            <w:vMerge w:val="restart"/>
            <w:vAlign w:val="center"/>
          </w:tcPr>
          <w:p w14:paraId="1478965E"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0.42</w:t>
            </w:r>
            <w:r w:rsidR="00C83279" w:rsidRPr="00682DE0">
              <w:rPr>
                <w:rFonts w:ascii="Book Antiqua" w:hAnsi="Book Antiqua"/>
                <w:bCs/>
                <w:color w:val="000000" w:themeColor="text1"/>
              </w:rPr>
              <w:t>0</w:t>
            </w:r>
          </w:p>
        </w:tc>
        <w:tc>
          <w:tcPr>
            <w:tcW w:w="2622" w:type="pct"/>
            <w:gridSpan w:val="4"/>
            <w:vAlign w:val="center"/>
          </w:tcPr>
          <w:p w14:paraId="712D5B41" w14:textId="77777777" w:rsidR="0025796C" w:rsidRPr="00682DE0" w:rsidRDefault="0025796C" w:rsidP="00682DE0">
            <w:pPr>
              <w:spacing w:line="360" w:lineRule="auto"/>
              <w:jc w:val="both"/>
              <w:rPr>
                <w:rFonts w:ascii="Book Antiqua" w:hAnsi="Book Antiqua" w:cs="Times New Roman"/>
                <w:bCs/>
                <w:color w:val="000000" w:themeColor="text1"/>
              </w:rPr>
            </w:pPr>
          </w:p>
        </w:tc>
      </w:tr>
      <w:tr w:rsidR="00A45C44" w:rsidRPr="00175753" w14:paraId="646D3EC0" w14:textId="77777777" w:rsidTr="00BE72FB">
        <w:tc>
          <w:tcPr>
            <w:tcW w:w="872" w:type="pct"/>
            <w:vAlign w:val="center"/>
          </w:tcPr>
          <w:p w14:paraId="0CB348DB"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III</w:t>
            </w:r>
          </w:p>
        </w:tc>
        <w:tc>
          <w:tcPr>
            <w:tcW w:w="356" w:type="pct"/>
            <w:vAlign w:val="center"/>
          </w:tcPr>
          <w:p w14:paraId="54FEB6ED"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2</w:t>
            </w:r>
          </w:p>
        </w:tc>
        <w:tc>
          <w:tcPr>
            <w:tcW w:w="587" w:type="pct"/>
            <w:vAlign w:val="center"/>
          </w:tcPr>
          <w:p w14:paraId="4ABC72DF" w14:textId="77777777" w:rsidR="0025796C" w:rsidRPr="00682DE0" w:rsidRDefault="0025796C" w:rsidP="00682DE0">
            <w:pPr>
              <w:spacing w:line="360" w:lineRule="auto"/>
              <w:jc w:val="both"/>
              <w:rPr>
                <w:rFonts w:ascii="Book Antiqua" w:hAnsi="Book Antiqua" w:cs="Times New Roman"/>
                <w:bCs/>
                <w:color w:val="000000" w:themeColor="text1"/>
              </w:rPr>
            </w:pPr>
            <w:r w:rsidRPr="00682DE0">
              <w:rPr>
                <w:rFonts w:ascii="Book Antiqua" w:hAnsi="Book Antiqua"/>
                <w:bCs/>
                <w:color w:val="000000" w:themeColor="text1"/>
              </w:rPr>
              <w:t>0.68 (0.11, 4.04)</w:t>
            </w:r>
          </w:p>
        </w:tc>
        <w:tc>
          <w:tcPr>
            <w:tcW w:w="563" w:type="pct"/>
            <w:vMerge/>
            <w:vAlign w:val="center"/>
          </w:tcPr>
          <w:p w14:paraId="3A8FA782" w14:textId="77777777" w:rsidR="0025796C" w:rsidRPr="00682DE0" w:rsidRDefault="0025796C" w:rsidP="00682DE0">
            <w:pPr>
              <w:spacing w:line="360" w:lineRule="auto"/>
              <w:jc w:val="both"/>
              <w:rPr>
                <w:rFonts w:ascii="Book Antiqua" w:hAnsi="Book Antiqua" w:cs="Times New Roman"/>
                <w:bCs/>
                <w:color w:val="000000" w:themeColor="text1"/>
              </w:rPr>
            </w:pPr>
          </w:p>
        </w:tc>
        <w:tc>
          <w:tcPr>
            <w:tcW w:w="2622" w:type="pct"/>
            <w:gridSpan w:val="4"/>
            <w:vAlign w:val="center"/>
          </w:tcPr>
          <w:p w14:paraId="3419FF8B" w14:textId="77777777" w:rsidR="0025796C" w:rsidRPr="00682DE0" w:rsidRDefault="0025796C" w:rsidP="00682DE0">
            <w:pPr>
              <w:spacing w:line="360" w:lineRule="auto"/>
              <w:jc w:val="both"/>
              <w:rPr>
                <w:rFonts w:ascii="Book Antiqua" w:hAnsi="Book Antiqua" w:cs="Times New Roman"/>
                <w:bCs/>
                <w:color w:val="000000" w:themeColor="text1"/>
              </w:rPr>
            </w:pPr>
          </w:p>
        </w:tc>
      </w:tr>
    </w:tbl>
    <w:p w14:paraId="4E0D41FC" w14:textId="62721DD1" w:rsidR="00D03EF7" w:rsidRDefault="00F04D36" w:rsidP="00A45C44">
      <w:pPr>
        <w:spacing w:line="360" w:lineRule="auto"/>
        <w:jc w:val="both"/>
        <w:rPr>
          <w:rFonts w:ascii="Book Antiqua" w:hAnsi="Book Antiqua"/>
          <w:color w:val="000000" w:themeColor="text1"/>
        </w:rPr>
      </w:pPr>
      <w:r w:rsidRPr="00682DE0">
        <w:rPr>
          <w:rFonts w:ascii="Book Antiqua" w:hAnsi="Book Antiqua"/>
          <w:color w:val="000000" w:themeColor="text1"/>
        </w:rPr>
        <w:t>RCT: Randomized controlled trial; RR: Relative risk; CI: Confidence interval; NA: Not applicable.</w:t>
      </w:r>
    </w:p>
    <w:p w14:paraId="4EEED548" w14:textId="77777777" w:rsidR="00D03EF7" w:rsidRDefault="00D03EF7">
      <w:pPr>
        <w:rPr>
          <w:rFonts w:ascii="Book Antiqua" w:hAnsi="Book Antiqua"/>
          <w:color w:val="000000" w:themeColor="text1"/>
        </w:rPr>
      </w:pPr>
      <w:r>
        <w:rPr>
          <w:rFonts w:ascii="Book Antiqua" w:hAnsi="Book Antiqua"/>
          <w:color w:val="000000" w:themeColor="text1"/>
        </w:rPr>
        <w:br w:type="page"/>
      </w:r>
    </w:p>
    <w:p w14:paraId="47703743" w14:textId="77777777" w:rsidR="00D03EF7" w:rsidRDefault="00D03EF7" w:rsidP="00D03EF7">
      <w:pPr>
        <w:jc w:val="center"/>
        <w:rPr>
          <w:rFonts w:ascii="Book Antiqua" w:hAnsi="Book Antiqua"/>
        </w:rPr>
      </w:pPr>
    </w:p>
    <w:p w14:paraId="3704E45A" w14:textId="77777777" w:rsidR="00D03EF7" w:rsidRDefault="00D03EF7" w:rsidP="00D03EF7">
      <w:pPr>
        <w:jc w:val="center"/>
        <w:rPr>
          <w:rFonts w:ascii="Book Antiqua" w:hAnsi="Book Antiqua"/>
        </w:rPr>
      </w:pPr>
    </w:p>
    <w:p w14:paraId="51B91075" w14:textId="77777777" w:rsidR="00D03EF7" w:rsidRDefault="00D03EF7" w:rsidP="00D03EF7">
      <w:pPr>
        <w:jc w:val="center"/>
        <w:rPr>
          <w:rFonts w:ascii="Book Antiqua" w:hAnsi="Book Antiqua"/>
        </w:rPr>
      </w:pPr>
    </w:p>
    <w:p w14:paraId="43B94872" w14:textId="77777777" w:rsidR="00D03EF7" w:rsidRDefault="00D03EF7" w:rsidP="00D03EF7">
      <w:pPr>
        <w:jc w:val="center"/>
        <w:rPr>
          <w:rFonts w:ascii="Book Antiqua" w:hAnsi="Book Antiqua"/>
        </w:rPr>
      </w:pPr>
    </w:p>
    <w:p w14:paraId="361D257E" w14:textId="77777777" w:rsidR="00D03EF7" w:rsidRDefault="00D03EF7" w:rsidP="00D03EF7">
      <w:pPr>
        <w:jc w:val="center"/>
        <w:rPr>
          <w:rFonts w:ascii="Book Antiqua" w:hAnsi="Book Antiqua"/>
        </w:rPr>
      </w:pPr>
    </w:p>
    <w:p w14:paraId="173411B7" w14:textId="77777777" w:rsidR="00D03EF7" w:rsidRDefault="00D03EF7" w:rsidP="00D03EF7">
      <w:pPr>
        <w:jc w:val="center"/>
        <w:rPr>
          <w:rFonts w:ascii="Book Antiqua" w:hAnsi="Book Antiqua"/>
        </w:rPr>
      </w:pPr>
      <w:r>
        <w:rPr>
          <w:rFonts w:ascii="Book Antiqua" w:hAnsi="Book Antiqua"/>
          <w:noProof/>
        </w:rPr>
        <w:drawing>
          <wp:inline distT="0" distB="0" distL="0" distR="0" wp14:anchorId="7469FD32" wp14:editId="212363D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3986323" w14:textId="77777777" w:rsidR="00D03EF7" w:rsidRDefault="00D03EF7" w:rsidP="00D03EF7">
      <w:pPr>
        <w:jc w:val="center"/>
        <w:rPr>
          <w:rFonts w:ascii="Book Antiqua" w:hAnsi="Book Antiqua"/>
        </w:rPr>
      </w:pPr>
    </w:p>
    <w:p w14:paraId="481FFE65" w14:textId="77777777" w:rsidR="00D03EF7" w:rsidRPr="00763D22" w:rsidRDefault="00D03EF7" w:rsidP="00D03EF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E6F49E0" w14:textId="77777777" w:rsidR="00D03EF7" w:rsidRPr="00763D22" w:rsidRDefault="00D03EF7" w:rsidP="00D03EF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E71E067" w14:textId="77777777" w:rsidR="00D03EF7" w:rsidRPr="00763D22" w:rsidRDefault="00D03EF7" w:rsidP="00D03EF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1BABAF0" w14:textId="77777777" w:rsidR="00D03EF7" w:rsidRPr="00763D22" w:rsidRDefault="00D03EF7" w:rsidP="00D03EF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3A27C22" w14:textId="77777777" w:rsidR="00D03EF7" w:rsidRPr="00763D22" w:rsidRDefault="00D03EF7" w:rsidP="00D03EF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B80C9E5" w14:textId="77777777" w:rsidR="00D03EF7" w:rsidRPr="00763D22" w:rsidRDefault="00D03EF7" w:rsidP="00D03EF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6CE09BD" w14:textId="77777777" w:rsidR="00D03EF7" w:rsidRDefault="00D03EF7" w:rsidP="00D03EF7">
      <w:pPr>
        <w:jc w:val="center"/>
        <w:rPr>
          <w:rFonts w:ascii="Book Antiqua" w:hAnsi="Book Antiqua"/>
        </w:rPr>
      </w:pPr>
    </w:p>
    <w:p w14:paraId="095896AB" w14:textId="77777777" w:rsidR="00D03EF7" w:rsidRDefault="00D03EF7" w:rsidP="00D03EF7">
      <w:pPr>
        <w:jc w:val="center"/>
        <w:rPr>
          <w:rFonts w:ascii="Book Antiqua" w:hAnsi="Book Antiqua"/>
        </w:rPr>
      </w:pPr>
    </w:p>
    <w:p w14:paraId="2698CD07" w14:textId="77777777" w:rsidR="00D03EF7" w:rsidRDefault="00D03EF7" w:rsidP="00D03EF7">
      <w:pPr>
        <w:jc w:val="center"/>
        <w:rPr>
          <w:rFonts w:ascii="Book Antiqua" w:hAnsi="Book Antiqua"/>
        </w:rPr>
      </w:pPr>
    </w:p>
    <w:p w14:paraId="4EFE5424" w14:textId="77777777" w:rsidR="00D03EF7" w:rsidRDefault="00D03EF7" w:rsidP="00D03EF7">
      <w:pPr>
        <w:jc w:val="center"/>
        <w:rPr>
          <w:rFonts w:ascii="Book Antiqua" w:hAnsi="Book Antiqua"/>
        </w:rPr>
      </w:pPr>
      <w:r>
        <w:rPr>
          <w:rFonts w:ascii="Book Antiqua" w:hAnsi="Book Antiqua"/>
          <w:noProof/>
        </w:rPr>
        <w:drawing>
          <wp:inline distT="0" distB="0" distL="0" distR="0" wp14:anchorId="65BA38E6" wp14:editId="3425AAD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DEED7AD" w14:textId="77777777" w:rsidR="00D03EF7" w:rsidRDefault="00D03EF7" w:rsidP="00D03EF7">
      <w:pPr>
        <w:jc w:val="center"/>
        <w:rPr>
          <w:rFonts w:ascii="Book Antiqua" w:hAnsi="Book Antiqua"/>
        </w:rPr>
      </w:pPr>
    </w:p>
    <w:p w14:paraId="1ED4BF39" w14:textId="77777777" w:rsidR="00D03EF7" w:rsidRDefault="00D03EF7" w:rsidP="00D03EF7">
      <w:pPr>
        <w:jc w:val="center"/>
        <w:rPr>
          <w:rFonts w:ascii="Book Antiqua" w:hAnsi="Book Antiqua"/>
        </w:rPr>
      </w:pPr>
    </w:p>
    <w:p w14:paraId="62B8AA19" w14:textId="77777777" w:rsidR="00D03EF7" w:rsidRDefault="00D03EF7" w:rsidP="00D03EF7">
      <w:pPr>
        <w:jc w:val="center"/>
        <w:rPr>
          <w:rFonts w:ascii="Book Antiqua" w:hAnsi="Book Antiqua"/>
        </w:rPr>
      </w:pPr>
    </w:p>
    <w:p w14:paraId="61626A5B" w14:textId="77777777" w:rsidR="00D03EF7" w:rsidRDefault="00D03EF7" w:rsidP="00D03EF7">
      <w:pPr>
        <w:jc w:val="center"/>
        <w:rPr>
          <w:rFonts w:ascii="Book Antiqua" w:hAnsi="Book Antiqua"/>
        </w:rPr>
      </w:pPr>
    </w:p>
    <w:p w14:paraId="179706C5" w14:textId="77777777" w:rsidR="00D03EF7" w:rsidRDefault="00D03EF7" w:rsidP="00D03EF7">
      <w:pPr>
        <w:jc w:val="center"/>
        <w:rPr>
          <w:rFonts w:ascii="Book Antiqua" w:hAnsi="Book Antiqua"/>
        </w:rPr>
      </w:pPr>
    </w:p>
    <w:p w14:paraId="17EB61A6" w14:textId="77777777" w:rsidR="00D03EF7" w:rsidRDefault="00D03EF7" w:rsidP="00D03EF7">
      <w:pPr>
        <w:jc w:val="center"/>
        <w:rPr>
          <w:rFonts w:ascii="Book Antiqua" w:hAnsi="Book Antiqua"/>
        </w:rPr>
      </w:pPr>
    </w:p>
    <w:p w14:paraId="3C0DEBFB" w14:textId="77777777" w:rsidR="00D03EF7" w:rsidRDefault="00D03EF7" w:rsidP="00D03EF7">
      <w:pPr>
        <w:jc w:val="center"/>
        <w:rPr>
          <w:rFonts w:ascii="Book Antiqua" w:hAnsi="Book Antiqua"/>
        </w:rPr>
      </w:pPr>
    </w:p>
    <w:p w14:paraId="7D22CB61" w14:textId="77777777" w:rsidR="00D03EF7" w:rsidRDefault="00D03EF7" w:rsidP="00D03EF7">
      <w:pPr>
        <w:jc w:val="center"/>
        <w:rPr>
          <w:rFonts w:ascii="Book Antiqua" w:hAnsi="Book Antiqua"/>
        </w:rPr>
      </w:pPr>
    </w:p>
    <w:p w14:paraId="3AE14837" w14:textId="77777777" w:rsidR="00D03EF7" w:rsidRDefault="00D03EF7" w:rsidP="00D03EF7">
      <w:pPr>
        <w:jc w:val="center"/>
        <w:rPr>
          <w:rFonts w:ascii="Book Antiqua" w:hAnsi="Book Antiqua"/>
        </w:rPr>
      </w:pPr>
    </w:p>
    <w:p w14:paraId="6F9C491C" w14:textId="77777777" w:rsidR="00D03EF7" w:rsidRPr="00763D22" w:rsidRDefault="00D03EF7" w:rsidP="00D03EF7">
      <w:pPr>
        <w:jc w:val="right"/>
        <w:rPr>
          <w:rFonts w:ascii="Book Antiqua" w:hAnsi="Book Antiqua"/>
          <w:color w:val="000000" w:themeColor="text1"/>
        </w:rPr>
      </w:pPr>
    </w:p>
    <w:p w14:paraId="59AD9CEC" w14:textId="77777777" w:rsidR="00D03EF7" w:rsidRPr="00763D22" w:rsidRDefault="00D03EF7" w:rsidP="00D03EF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F1EFA37" w14:textId="77777777" w:rsidR="00F04D36" w:rsidRPr="00682DE0" w:rsidRDefault="00F04D36" w:rsidP="00A45C44">
      <w:pPr>
        <w:spacing w:line="360" w:lineRule="auto"/>
        <w:jc w:val="both"/>
        <w:rPr>
          <w:rFonts w:ascii="Book Antiqua" w:hAnsi="Book Antiqua"/>
          <w:color w:val="000000" w:themeColor="text1"/>
        </w:rPr>
      </w:pPr>
      <w:bookmarkStart w:id="3" w:name="_GoBack"/>
      <w:bookmarkEnd w:id="3"/>
    </w:p>
    <w:sectPr w:rsidR="00F04D36" w:rsidRPr="00682DE0" w:rsidSect="004A6995">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09741" w14:textId="77777777" w:rsidR="00DC7D24" w:rsidRDefault="00DC7D24" w:rsidP="005D0FBA">
      <w:r>
        <w:separator/>
      </w:r>
    </w:p>
  </w:endnote>
  <w:endnote w:type="continuationSeparator" w:id="0">
    <w:p w14:paraId="54E1FA10" w14:textId="77777777" w:rsidR="00DC7D24" w:rsidRDefault="00DC7D24" w:rsidP="005D0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677946"/>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1342A0D1" w14:textId="77777777" w:rsidR="00535923" w:rsidRPr="00682DE0" w:rsidRDefault="00535923" w:rsidP="005D0FBA">
            <w:pPr>
              <w:pStyle w:val="a4"/>
              <w:jc w:val="right"/>
              <w:rPr>
                <w:sz w:val="24"/>
                <w:szCs w:val="24"/>
              </w:rPr>
            </w:pPr>
            <w:r w:rsidRPr="005D0FBA">
              <w:rPr>
                <w:rFonts w:ascii="Book Antiqua" w:hAnsi="Book Antiqua"/>
                <w:b/>
                <w:bCs/>
                <w:sz w:val="21"/>
                <w:szCs w:val="21"/>
                <w:lang w:val="zh-CN" w:eastAsia="zh-CN"/>
              </w:rPr>
              <w:t xml:space="preserve"> </w:t>
            </w:r>
            <w:r w:rsidRPr="00682DE0">
              <w:rPr>
                <w:rFonts w:ascii="Book Antiqua" w:hAnsi="Book Antiqua"/>
                <w:sz w:val="24"/>
                <w:szCs w:val="24"/>
              </w:rPr>
              <w:fldChar w:fldCharType="begin"/>
            </w:r>
            <w:r w:rsidRPr="00682DE0">
              <w:rPr>
                <w:rFonts w:ascii="Book Antiqua" w:hAnsi="Book Antiqua"/>
                <w:sz w:val="24"/>
                <w:szCs w:val="24"/>
              </w:rPr>
              <w:instrText>PAGE</w:instrText>
            </w:r>
            <w:r w:rsidRPr="00682DE0">
              <w:rPr>
                <w:rFonts w:ascii="Book Antiqua" w:hAnsi="Book Antiqua"/>
                <w:sz w:val="24"/>
                <w:szCs w:val="24"/>
              </w:rPr>
              <w:fldChar w:fldCharType="separate"/>
            </w:r>
            <w:r w:rsidR="00DC7D24">
              <w:rPr>
                <w:rFonts w:ascii="Book Antiqua" w:hAnsi="Book Antiqua"/>
                <w:noProof/>
                <w:sz w:val="24"/>
                <w:szCs w:val="24"/>
              </w:rPr>
              <w:t>1</w:t>
            </w:r>
            <w:r w:rsidRPr="00682DE0">
              <w:rPr>
                <w:rFonts w:ascii="Book Antiqua" w:hAnsi="Book Antiqua"/>
                <w:sz w:val="24"/>
                <w:szCs w:val="24"/>
              </w:rPr>
              <w:fldChar w:fldCharType="end"/>
            </w:r>
            <w:r w:rsidRPr="00682DE0">
              <w:rPr>
                <w:rFonts w:ascii="Book Antiqua" w:hAnsi="Book Antiqua"/>
                <w:sz w:val="24"/>
                <w:szCs w:val="24"/>
                <w:lang w:val="zh-CN" w:eastAsia="zh-CN"/>
              </w:rPr>
              <w:t xml:space="preserve"> / </w:t>
            </w:r>
            <w:r w:rsidRPr="00682DE0">
              <w:rPr>
                <w:rFonts w:ascii="Book Antiqua" w:hAnsi="Book Antiqua"/>
                <w:sz w:val="24"/>
                <w:szCs w:val="24"/>
              </w:rPr>
              <w:fldChar w:fldCharType="begin"/>
            </w:r>
            <w:r w:rsidRPr="00682DE0">
              <w:rPr>
                <w:rFonts w:ascii="Book Antiqua" w:hAnsi="Book Antiqua"/>
                <w:sz w:val="24"/>
                <w:szCs w:val="24"/>
              </w:rPr>
              <w:instrText>NUMPAGES</w:instrText>
            </w:r>
            <w:r w:rsidRPr="00682DE0">
              <w:rPr>
                <w:rFonts w:ascii="Book Antiqua" w:hAnsi="Book Antiqua"/>
                <w:sz w:val="24"/>
                <w:szCs w:val="24"/>
              </w:rPr>
              <w:fldChar w:fldCharType="separate"/>
            </w:r>
            <w:r w:rsidR="00DC7D24">
              <w:rPr>
                <w:rFonts w:ascii="Book Antiqua" w:hAnsi="Book Antiqua"/>
                <w:noProof/>
                <w:sz w:val="24"/>
                <w:szCs w:val="24"/>
              </w:rPr>
              <w:t>1</w:t>
            </w:r>
            <w:r w:rsidRPr="00682DE0">
              <w:rPr>
                <w:rFonts w:ascii="Book Antiqua" w:hAnsi="Book Antiqua"/>
                <w:sz w:val="24"/>
                <w:szCs w:val="24"/>
              </w:rPr>
              <w:fldChar w:fldCharType="end"/>
            </w:r>
          </w:p>
        </w:sdtContent>
      </w:sdt>
    </w:sdtContent>
  </w:sdt>
  <w:p w14:paraId="7E204086" w14:textId="77777777" w:rsidR="00535923" w:rsidRDefault="0053592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F7133B" w14:textId="77777777" w:rsidR="00DC7D24" w:rsidRDefault="00DC7D24" w:rsidP="005D0FBA">
      <w:r>
        <w:separator/>
      </w:r>
    </w:p>
  </w:footnote>
  <w:footnote w:type="continuationSeparator" w:id="0">
    <w:p w14:paraId="7A800FE4" w14:textId="77777777" w:rsidR="00DC7D24" w:rsidRDefault="00DC7D24" w:rsidP="005D0F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77B3E"/>
    <w:rsid w:val="00003BE1"/>
    <w:rsid w:val="0000424C"/>
    <w:rsid w:val="000048A1"/>
    <w:rsid w:val="0000676D"/>
    <w:rsid w:val="00012566"/>
    <w:rsid w:val="000140D6"/>
    <w:rsid w:val="00016F9D"/>
    <w:rsid w:val="000251FD"/>
    <w:rsid w:val="000255B4"/>
    <w:rsid w:val="00025783"/>
    <w:rsid w:val="000276BC"/>
    <w:rsid w:val="00030E88"/>
    <w:rsid w:val="000405F2"/>
    <w:rsid w:val="00046B75"/>
    <w:rsid w:val="00047402"/>
    <w:rsid w:val="00052E59"/>
    <w:rsid w:val="0005477C"/>
    <w:rsid w:val="00054D93"/>
    <w:rsid w:val="00055534"/>
    <w:rsid w:val="000555B5"/>
    <w:rsid w:val="00075598"/>
    <w:rsid w:val="00085119"/>
    <w:rsid w:val="000A52F5"/>
    <w:rsid w:val="000B00F2"/>
    <w:rsid w:val="000C5C88"/>
    <w:rsid w:val="000D3F02"/>
    <w:rsid w:val="000E7B34"/>
    <w:rsid w:val="000F4A8B"/>
    <w:rsid w:val="000F51F1"/>
    <w:rsid w:val="001075F9"/>
    <w:rsid w:val="00113683"/>
    <w:rsid w:val="00143B1D"/>
    <w:rsid w:val="00175753"/>
    <w:rsid w:val="0019005D"/>
    <w:rsid w:val="00190B40"/>
    <w:rsid w:val="001B3A62"/>
    <w:rsid w:val="001C764F"/>
    <w:rsid w:val="00202ACB"/>
    <w:rsid w:val="00205A41"/>
    <w:rsid w:val="002209B4"/>
    <w:rsid w:val="0022786C"/>
    <w:rsid w:val="00231A58"/>
    <w:rsid w:val="0023317F"/>
    <w:rsid w:val="002356EE"/>
    <w:rsid w:val="00245DD8"/>
    <w:rsid w:val="0025796C"/>
    <w:rsid w:val="00261C23"/>
    <w:rsid w:val="00287CE4"/>
    <w:rsid w:val="00293DF0"/>
    <w:rsid w:val="002A3CA4"/>
    <w:rsid w:val="002B267E"/>
    <w:rsid w:val="002B5A3E"/>
    <w:rsid w:val="002D6160"/>
    <w:rsid w:val="00302862"/>
    <w:rsid w:val="00327A30"/>
    <w:rsid w:val="00344C3D"/>
    <w:rsid w:val="003575B7"/>
    <w:rsid w:val="0035794A"/>
    <w:rsid w:val="003631F4"/>
    <w:rsid w:val="0038597C"/>
    <w:rsid w:val="003C2DB3"/>
    <w:rsid w:val="003D17AF"/>
    <w:rsid w:val="003D2687"/>
    <w:rsid w:val="003D3DB4"/>
    <w:rsid w:val="003D627A"/>
    <w:rsid w:val="003F5062"/>
    <w:rsid w:val="004077D4"/>
    <w:rsid w:val="0041484A"/>
    <w:rsid w:val="0042385A"/>
    <w:rsid w:val="00431058"/>
    <w:rsid w:val="0044359B"/>
    <w:rsid w:val="00444B62"/>
    <w:rsid w:val="00472929"/>
    <w:rsid w:val="00480154"/>
    <w:rsid w:val="004A6995"/>
    <w:rsid w:val="004B3C3A"/>
    <w:rsid w:val="004C1C60"/>
    <w:rsid w:val="004C2549"/>
    <w:rsid w:val="004C4C4B"/>
    <w:rsid w:val="004D7461"/>
    <w:rsid w:val="004E6342"/>
    <w:rsid w:val="004F625E"/>
    <w:rsid w:val="00505AEF"/>
    <w:rsid w:val="00535923"/>
    <w:rsid w:val="005406D1"/>
    <w:rsid w:val="005440F7"/>
    <w:rsid w:val="0055068B"/>
    <w:rsid w:val="00567FAD"/>
    <w:rsid w:val="00580E54"/>
    <w:rsid w:val="005D0FBA"/>
    <w:rsid w:val="00617E07"/>
    <w:rsid w:val="00623F60"/>
    <w:rsid w:val="00631950"/>
    <w:rsid w:val="00652326"/>
    <w:rsid w:val="00655B33"/>
    <w:rsid w:val="006635FE"/>
    <w:rsid w:val="006667D9"/>
    <w:rsid w:val="00676910"/>
    <w:rsid w:val="00677B6A"/>
    <w:rsid w:val="00682DE0"/>
    <w:rsid w:val="006C63BE"/>
    <w:rsid w:val="006F3B4F"/>
    <w:rsid w:val="007020C6"/>
    <w:rsid w:val="00727B85"/>
    <w:rsid w:val="00733BD7"/>
    <w:rsid w:val="0075406C"/>
    <w:rsid w:val="00796C9B"/>
    <w:rsid w:val="007B24CF"/>
    <w:rsid w:val="007B6353"/>
    <w:rsid w:val="007C16E0"/>
    <w:rsid w:val="007E2D34"/>
    <w:rsid w:val="007F4054"/>
    <w:rsid w:val="007F643C"/>
    <w:rsid w:val="008001DB"/>
    <w:rsid w:val="0080208D"/>
    <w:rsid w:val="008023DE"/>
    <w:rsid w:val="00820ADE"/>
    <w:rsid w:val="00824AFB"/>
    <w:rsid w:val="00825759"/>
    <w:rsid w:val="00825F25"/>
    <w:rsid w:val="008503AE"/>
    <w:rsid w:val="00852281"/>
    <w:rsid w:val="00856A80"/>
    <w:rsid w:val="0088708C"/>
    <w:rsid w:val="008925F4"/>
    <w:rsid w:val="0089582C"/>
    <w:rsid w:val="008A257E"/>
    <w:rsid w:val="008B36E9"/>
    <w:rsid w:val="008D1CA9"/>
    <w:rsid w:val="008D7589"/>
    <w:rsid w:val="008E0E43"/>
    <w:rsid w:val="00907F5E"/>
    <w:rsid w:val="00923545"/>
    <w:rsid w:val="009248E3"/>
    <w:rsid w:val="009411AA"/>
    <w:rsid w:val="00953879"/>
    <w:rsid w:val="00963D73"/>
    <w:rsid w:val="00970921"/>
    <w:rsid w:val="00972520"/>
    <w:rsid w:val="00991587"/>
    <w:rsid w:val="009C6A39"/>
    <w:rsid w:val="009D2F9B"/>
    <w:rsid w:val="00A01793"/>
    <w:rsid w:val="00A02F6A"/>
    <w:rsid w:val="00A056ED"/>
    <w:rsid w:val="00A062B8"/>
    <w:rsid w:val="00A138D7"/>
    <w:rsid w:val="00A17C30"/>
    <w:rsid w:val="00A23000"/>
    <w:rsid w:val="00A45C44"/>
    <w:rsid w:val="00A55EAB"/>
    <w:rsid w:val="00A7721D"/>
    <w:rsid w:val="00A77B3E"/>
    <w:rsid w:val="00A8207A"/>
    <w:rsid w:val="00A83A6F"/>
    <w:rsid w:val="00A845FD"/>
    <w:rsid w:val="00A939BA"/>
    <w:rsid w:val="00A967F7"/>
    <w:rsid w:val="00AA0353"/>
    <w:rsid w:val="00AA6CAF"/>
    <w:rsid w:val="00AB2503"/>
    <w:rsid w:val="00AB4DB4"/>
    <w:rsid w:val="00AE5134"/>
    <w:rsid w:val="00AF0F37"/>
    <w:rsid w:val="00B16639"/>
    <w:rsid w:val="00B16EDC"/>
    <w:rsid w:val="00B26189"/>
    <w:rsid w:val="00B36BB3"/>
    <w:rsid w:val="00B40343"/>
    <w:rsid w:val="00B43B0F"/>
    <w:rsid w:val="00B53511"/>
    <w:rsid w:val="00B53A41"/>
    <w:rsid w:val="00B72C4B"/>
    <w:rsid w:val="00B80B2C"/>
    <w:rsid w:val="00B81E4B"/>
    <w:rsid w:val="00B90253"/>
    <w:rsid w:val="00B902B2"/>
    <w:rsid w:val="00BA5E3F"/>
    <w:rsid w:val="00BB31F1"/>
    <w:rsid w:val="00BC0543"/>
    <w:rsid w:val="00BC73F0"/>
    <w:rsid w:val="00BD4E05"/>
    <w:rsid w:val="00BE11F7"/>
    <w:rsid w:val="00BE64C7"/>
    <w:rsid w:val="00BE72FB"/>
    <w:rsid w:val="00C15DE7"/>
    <w:rsid w:val="00C21312"/>
    <w:rsid w:val="00C34B52"/>
    <w:rsid w:val="00C37A73"/>
    <w:rsid w:val="00C65D6E"/>
    <w:rsid w:val="00C7415D"/>
    <w:rsid w:val="00C74A7E"/>
    <w:rsid w:val="00C83279"/>
    <w:rsid w:val="00C958EC"/>
    <w:rsid w:val="00CA2A55"/>
    <w:rsid w:val="00CA7354"/>
    <w:rsid w:val="00CD52FC"/>
    <w:rsid w:val="00CE5355"/>
    <w:rsid w:val="00D03EF7"/>
    <w:rsid w:val="00D24967"/>
    <w:rsid w:val="00D4238A"/>
    <w:rsid w:val="00D4507A"/>
    <w:rsid w:val="00D462B4"/>
    <w:rsid w:val="00D74FEB"/>
    <w:rsid w:val="00DB6929"/>
    <w:rsid w:val="00DB7388"/>
    <w:rsid w:val="00DB757B"/>
    <w:rsid w:val="00DC7D24"/>
    <w:rsid w:val="00DE61C4"/>
    <w:rsid w:val="00DE630A"/>
    <w:rsid w:val="00E3010C"/>
    <w:rsid w:val="00E36A4C"/>
    <w:rsid w:val="00E651DA"/>
    <w:rsid w:val="00E74B16"/>
    <w:rsid w:val="00E75541"/>
    <w:rsid w:val="00E76147"/>
    <w:rsid w:val="00E911F8"/>
    <w:rsid w:val="00EA16C3"/>
    <w:rsid w:val="00EA31F4"/>
    <w:rsid w:val="00ED6F23"/>
    <w:rsid w:val="00EE3F0D"/>
    <w:rsid w:val="00EE514E"/>
    <w:rsid w:val="00F04D36"/>
    <w:rsid w:val="00F10A2E"/>
    <w:rsid w:val="00F245D8"/>
    <w:rsid w:val="00F3241F"/>
    <w:rsid w:val="00F372D7"/>
    <w:rsid w:val="00F62EF5"/>
    <w:rsid w:val="00F67081"/>
    <w:rsid w:val="00F74CE2"/>
    <w:rsid w:val="00F7609A"/>
    <w:rsid w:val="00F87952"/>
    <w:rsid w:val="00FB3A77"/>
    <w:rsid w:val="00FD2CC3"/>
    <w:rsid w:val="00FE21EC"/>
    <w:rsid w:val="00FE3204"/>
    <w:rsid w:val="00FF72E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6FD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5F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D0FB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D0FBA"/>
    <w:rPr>
      <w:sz w:val="18"/>
      <w:szCs w:val="18"/>
    </w:rPr>
  </w:style>
  <w:style w:type="paragraph" w:styleId="a4">
    <w:name w:val="footer"/>
    <w:basedOn w:val="a"/>
    <w:link w:val="Char0"/>
    <w:uiPriority w:val="99"/>
    <w:unhideWhenUsed/>
    <w:rsid w:val="005D0FBA"/>
    <w:pPr>
      <w:tabs>
        <w:tab w:val="center" w:pos="4153"/>
        <w:tab w:val="right" w:pos="8306"/>
      </w:tabs>
      <w:snapToGrid w:val="0"/>
    </w:pPr>
    <w:rPr>
      <w:sz w:val="18"/>
      <w:szCs w:val="18"/>
    </w:rPr>
  </w:style>
  <w:style w:type="character" w:customStyle="1" w:styleId="Char0">
    <w:name w:val="页脚 Char"/>
    <w:basedOn w:val="a0"/>
    <w:link w:val="a4"/>
    <w:uiPriority w:val="99"/>
    <w:rsid w:val="005D0FBA"/>
    <w:rPr>
      <w:sz w:val="18"/>
      <w:szCs w:val="18"/>
    </w:rPr>
  </w:style>
  <w:style w:type="table" w:styleId="a5">
    <w:name w:val="Table Grid"/>
    <w:basedOn w:val="a1"/>
    <w:uiPriority w:val="59"/>
    <w:rsid w:val="00FE3204"/>
    <w:rPr>
      <w:rFonts w:asciiTheme="minorHAnsi"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Hyperlink"/>
    <w:basedOn w:val="a0"/>
    <w:unhideWhenUsed/>
    <w:rsid w:val="00F67081"/>
    <w:rPr>
      <w:color w:val="0000FF" w:themeColor="hyperlink"/>
      <w:u w:val="single"/>
    </w:rPr>
  </w:style>
  <w:style w:type="character" w:customStyle="1" w:styleId="1">
    <w:name w:val="未处理的提及1"/>
    <w:basedOn w:val="a0"/>
    <w:uiPriority w:val="99"/>
    <w:semiHidden/>
    <w:unhideWhenUsed/>
    <w:rsid w:val="00F67081"/>
    <w:rPr>
      <w:color w:val="605E5C"/>
      <w:shd w:val="clear" w:color="auto" w:fill="E1DFDD"/>
    </w:rPr>
  </w:style>
  <w:style w:type="paragraph" w:styleId="a7">
    <w:name w:val="Balloon Text"/>
    <w:basedOn w:val="a"/>
    <w:link w:val="Char1"/>
    <w:semiHidden/>
    <w:unhideWhenUsed/>
    <w:rsid w:val="004A6995"/>
    <w:rPr>
      <w:sz w:val="18"/>
      <w:szCs w:val="18"/>
    </w:rPr>
  </w:style>
  <w:style w:type="character" w:customStyle="1" w:styleId="Char1">
    <w:name w:val="批注框文本 Char"/>
    <w:basedOn w:val="a0"/>
    <w:link w:val="a7"/>
    <w:semiHidden/>
    <w:rsid w:val="004A6995"/>
    <w:rPr>
      <w:sz w:val="18"/>
      <w:szCs w:val="18"/>
    </w:rPr>
  </w:style>
  <w:style w:type="character" w:styleId="a8">
    <w:name w:val="annotation reference"/>
    <w:basedOn w:val="a0"/>
    <w:semiHidden/>
    <w:unhideWhenUsed/>
    <w:rsid w:val="00205A41"/>
    <w:rPr>
      <w:sz w:val="16"/>
      <w:szCs w:val="16"/>
    </w:rPr>
  </w:style>
  <w:style w:type="paragraph" w:styleId="a9">
    <w:name w:val="annotation text"/>
    <w:basedOn w:val="a"/>
    <w:link w:val="Char2"/>
    <w:semiHidden/>
    <w:unhideWhenUsed/>
    <w:rsid w:val="00205A41"/>
    <w:rPr>
      <w:sz w:val="20"/>
      <w:szCs w:val="20"/>
    </w:rPr>
  </w:style>
  <w:style w:type="character" w:customStyle="1" w:styleId="Char2">
    <w:name w:val="批注文字 Char"/>
    <w:basedOn w:val="a0"/>
    <w:link w:val="a9"/>
    <w:semiHidden/>
    <w:rsid w:val="00205A41"/>
  </w:style>
  <w:style w:type="paragraph" w:styleId="aa">
    <w:name w:val="annotation subject"/>
    <w:basedOn w:val="a9"/>
    <w:next w:val="a9"/>
    <w:link w:val="Char3"/>
    <w:semiHidden/>
    <w:unhideWhenUsed/>
    <w:rsid w:val="00205A41"/>
    <w:rPr>
      <w:b/>
      <w:bCs/>
    </w:rPr>
  </w:style>
  <w:style w:type="character" w:customStyle="1" w:styleId="Char3">
    <w:name w:val="批注主题 Char"/>
    <w:basedOn w:val="Char2"/>
    <w:link w:val="aa"/>
    <w:semiHidden/>
    <w:rsid w:val="00205A41"/>
    <w:rPr>
      <w:b/>
      <w:bCs/>
    </w:rPr>
  </w:style>
  <w:style w:type="paragraph" w:styleId="ab">
    <w:name w:val="Revision"/>
    <w:hidden/>
    <w:uiPriority w:val="99"/>
    <w:semiHidden/>
    <w:rsid w:val="00175753"/>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480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tiff"/><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7442</Words>
  <Characters>42421</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2020-11-08T18:32:00Z</dcterms:created>
  <dcterms:modified xsi:type="dcterms:W3CDTF">2021-01-15T06:36:00Z</dcterms:modified>
</cp:coreProperties>
</file>