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6D6B3" w14:textId="79EA6404" w:rsidR="00161EB0" w:rsidRPr="00F26395" w:rsidRDefault="00161EB0" w:rsidP="00F26395">
      <w:pPr>
        <w:spacing w:line="360" w:lineRule="auto"/>
        <w:jc w:val="both"/>
        <w:rPr>
          <w:rFonts w:ascii="Book Antiqua" w:hAnsi="Book Antiqua"/>
          <w:i/>
        </w:rPr>
      </w:pPr>
      <w:r w:rsidRPr="00F26395">
        <w:rPr>
          <w:rFonts w:ascii="Book Antiqua" w:hAnsi="Book Antiqua"/>
          <w:b/>
        </w:rPr>
        <w:t xml:space="preserve">Name of Journal: </w:t>
      </w:r>
      <w:bookmarkStart w:id="0" w:name="OLE_LINK2229"/>
      <w:bookmarkStart w:id="1" w:name="OLE_LINK2230"/>
      <w:r w:rsidR="00262BC6" w:rsidRPr="00262BC6">
        <w:rPr>
          <w:rFonts w:ascii="Book Antiqua" w:hAnsi="Book Antiqua"/>
          <w:i/>
        </w:rPr>
        <w:t>World Journal of Gastrointestinal Endoscopy</w:t>
      </w:r>
      <w:bookmarkEnd w:id="0"/>
      <w:bookmarkEnd w:id="1"/>
    </w:p>
    <w:p w14:paraId="102766F9" w14:textId="72C99291" w:rsidR="00161EB0" w:rsidRPr="00F26395" w:rsidRDefault="00161EB0" w:rsidP="00F26395">
      <w:pPr>
        <w:spacing w:line="360" w:lineRule="auto"/>
        <w:jc w:val="both"/>
        <w:rPr>
          <w:rFonts w:ascii="Book Antiqua" w:hAnsi="Book Antiqua"/>
        </w:rPr>
      </w:pPr>
      <w:r w:rsidRPr="00F26395">
        <w:rPr>
          <w:rFonts w:ascii="Book Antiqua" w:hAnsi="Book Antiqua"/>
          <w:b/>
        </w:rPr>
        <w:t xml:space="preserve">Manuscript NO: </w:t>
      </w:r>
      <w:r w:rsidR="00BA0488" w:rsidRPr="00F26395">
        <w:rPr>
          <w:rFonts w:ascii="Book Antiqua" w:hAnsi="Book Antiqua"/>
        </w:rPr>
        <w:t>58430</w:t>
      </w:r>
    </w:p>
    <w:p w14:paraId="52A61F0B" w14:textId="77777777" w:rsidR="00161EB0" w:rsidRPr="00F26395" w:rsidRDefault="00161EB0" w:rsidP="00F26395">
      <w:pPr>
        <w:spacing w:line="360" w:lineRule="auto"/>
        <w:jc w:val="both"/>
        <w:rPr>
          <w:rFonts w:ascii="Book Antiqua" w:hAnsi="Book Antiqua"/>
        </w:rPr>
      </w:pPr>
      <w:r w:rsidRPr="00F26395">
        <w:rPr>
          <w:rFonts w:ascii="Book Antiqua" w:hAnsi="Book Antiqua"/>
          <w:b/>
        </w:rPr>
        <w:t xml:space="preserve">Manuscript Type: </w:t>
      </w:r>
      <w:r w:rsidRPr="00F26395">
        <w:rPr>
          <w:rFonts w:ascii="Book Antiqua" w:hAnsi="Book Antiqua"/>
        </w:rPr>
        <w:t>ORIGINAL ARTICLE</w:t>
      </w:r>
    </w:p>
    <w:p w14:paraId="4A01D8DD" w14:textId="77777777" w:rsidR="00161EB0" w:rsidRPr="00F26395" w:rsidRDefault="00161EB0" w:rsidP="00F26395">
      <w:pPr>
        <w:spacing w:line="360" w:lineRule="auto"/>
        <w:jc w:val="both"/>
        <w:rPr>
          <w:rFonts w:ascii="Book Antiqua" w:hAnsi="Book Antiqua"/>
        </w:rPr>
      </w:pPr>
    </w:p>
    <w:p w14:paraId="43E97764" w14:textId="77777777" w:rsidR="00161EB0" w:rsidRPr="00F26395" w:rsidRDefault="00161EB0" w:rsidP="00F26395">
      <w:pPr>
        <w:spacing w:line="360" w:lineRule="auto"/>
        <w:jc w:val="both"/>
        <w:rPr>
          <w:rFonts w:ascii="Book Antiqua" w:hAnsi="Book Antiqua"/>
          <w:b/>
          <w:bCs/>
          <w:i/>
        </w:rPr>
      </w:pPr>
      <w:r w:rsidRPr="00F26395">
        <w:rPr>
          <w:rFonts w:ascii="Book Antiqua" w:hAnsi="Book Antiqua"/>
          <w:b/>
          <w:bCs/>
          <w:i/>
        </w:rPr>
        <w:t>Retrospective Cohort Study</w:t>
      </w:r>
    </w:p>
    <w:p w14:paraId="6E9620C0" w14:textId="79A19F04" w:rsidR="00161EB0" w:rsidRPr="00F26395" w:rsidRDefault="00161EB0" w:rsidP="00F26395">
      <w:pPr>
        <w:spacing w:line="360" w:lineRule="auto"/>
        <w:jc w:val="both"/>
        <w:rPr>
          <w:rFonts w:ascii="Book Antiqua" w:hAnsi="Book Antiqua"/>
          <w:b/>
        </w:rPr>
      </w:pPr>
      <w:bookmarkStart w:id="2" w:name="OLE_LINK2141"/>
      <w:bookmarkStart w:id="3" w:name="OLE_LINK2142"/>
      <w:r w:rsidRPr="00F26395">
        <w:rPr>
          <w:rFonts w:ascii="Book Antiqua" w:hAnsi="Book Antiqua"/>
          <w:b/>
        </w:rPr>
        <w:t xml:space="preserve">Assessing the yield and safety of endoscopy in acute </w:t>
      </w:r>
      <w:r w:rsidR="00BA0488" w:rsidRPr="00F26395">
        <w:rPr>
          <w:rFonts w:ascii="Book Antiqua" w:hAnsi="Book Antiqua"/>
          <w:b/>
        </w:rPr>
        <w:t>graft-</w:t>
      </w:r>
      <w:r w:rsidR="00BA0488" w:rsidRPr="00F26395">
        <w:rPr>
          <w:rFonts w:ascii="Book Antiqua" w:hAnsi="Book Antiqua"/>
          <w:b/>
          <w:i/>
          <w:iCs/>
        </w:rPr>
        <w:t>vs</w:t>
      </w:r>
      <w:r w:rsidR="00BA0488" w:rsidRPr="00F26395">
        <w:rPr>
          <w:rFonts w:ascii="Book Antiqua" w:hAnsi="Book Antiqua"/>
          <w:b/>
        </w:rPr>
        <w:t xml:space="preserve">-host disease </w:t>
      </w:r>
      <w:r w:rsidRPr="00F26395">
        <w:rPr>
          <w:rFonts w:ascii="Book Antiqua" w:hAnsi="Book Antiqua"/>
          <w:b/>
        </w:rPr>
        <w:t xml:space="preserve">after </w:t>
      </w:r>
      <w:r w:rsidR="00BA0488" w:rsidRPr="00F26395">
        <w:rPr>
          <w:rFonts w:ascii="Book Antiqua" w:hAnsi="Book Antiqua"/>
          <w:b/>
        </w:rPr>
        <w:t>hematopoietic stem cell transplant</w:t>
      </w:r>
    </w:p>
    <w:bookmarkEnd w:id="2"/>
    <w:bookmarkEnd w:id="3"/>
    <w:p w14:paraId="5C4BF535" w14:textId="72036F48" w:rsidR="00BA0488" w:rsidRDefault="00BA0488" w:rsidP="00F26395">
      <w:pPr>
        <w:spacing w:line="360" w:lineRule="auto"/>
        <w:jc w:val="both"/>
        <w:rPr>
          <w:rFonts w:ascii="Book Antiqua" w:hAnsi="Book Antiqua"/>
          <w:b/>
        </w:rPr>
      </w:pPr>
    </w:p>
    <w:p w14:paraId="08D12215" w14:textId="487F4281" w:rsidR="008B2299" w:rsidRDefault="008B2299" w:rsidP="00F26395">
      <w:pPr>
        <w:spacing w:line="360" w:lineRule="auto"/>
        <w:jc w:val="both"/>
        <w:rPr>
          <w:rFonts w:ascii="Book Antiqua" w:hAnsi="Book Antiqua"/>
          <w:b/>
        </w:rPr>
      </w:pPr>
      <w:r w:rsidRPr="00F26395">
        <w:rPr>
          <w:rFonts w:ascii="Book Antiqua" w:hAnsi="Book Antiqua"/>
        </w:rPr>
        <w:t>Rajan</w:t>
      </w:r>
      <w:r>
        <w:rPr>
          <w:rFonts w:ascii="Book Antiqua" w:hAnsi="Book Antiqua"/>
        </w:rPr>
        <w:t xml:space="preserve"> AV </w:t>
      </w:r>
      <w:r w:rsidRPr="008B2299">
        <w:rPr>
          <w:rFonts w:ascii="Book Antiqua" w:hAnsi="Book Antiqua"/>
          <w:i/>
          <w:iCs/>
        </w:rPr>
        <w:t>et al</w:t>
      </w:r>
      <w:r>
        <w:rPr>
          <w:rFonts w:ascii="Book Antiqua" w:hAnsi="Book Antiqua"/>
        </w:rPr>
        <w:t xml:space="preserve">. </w:t>
      </w:r>
      <w:r w:rsidRPr="008B2299">
        <w:rPr>
          <w:rFonts w:ascii="Book Antiqua" w:hAnsi="Book Antiqua"/>
        </w:rPr>
        <w:t>Endoscopy in acute GVHD after HSCT</w:t>
      </w:r>
    </w:p>
    <w:p w14:paraId="7BAF54F5" w14:textId="77777777" w:rsidR="008B2299" w:rsidRPr="00F26395" w:rsidRDefault="008B2299" w:rsidP="00F26395">
      <w:pPr>
        <w:spacing w:line="360" w:lineRule="auto"/>
        <w:jc w:val="both"/>
        <w:rPr>
          <w:rFonts w:ascii="Book Antiqua" w:hAnsi="Book Antiqua"/>
          <w:b/>
        </w:rPr>
      </w:pPr>
    </w:p>
    <w:p w14:paraId="10735565" w14:textId="226569A6" w:rsidR="00161EB0" w:rsidRPr="00F26395" w:rsidRDefault="00161EB0" w:rsidP="00F26395">
      <w:pPr>
        <w:spacing w:line="360" w:lineRule="auto"/>
        <w:jc w:val="both"/>
        <w:rPr>
          <w:rFonts w:ascii="Book Antiqua" w:hAnsi="Book Antiqua"/>
        </w:rPr>
      </w:pPr>
      <w:r w:rsidRPr="00F26395">
        <w:rPr>
          <w:rFonts w:ascii="Book Antiqua" w:hAnsi="Book Antiqua"/>
        </w:rPr>
        <w:t xml:space="preserve">Anand V </w:t>
      </w:r>
      <w:proofErr w:type="spellStart"/>
      <w:r w:rsidRPr="00F26395">
        <w:rPr>
          <w:rFonts w:ascii="Book Antiqua" w:hAnsi="Book Antiqua"/>
        </w:rPr>
        <w:t>Rajan</w:t>
      </w:r>
      <w:proofErr w:type="spellEnd"/>
      <w:r w:rsidRPr="00F26395">
        <w:rPr>
          <w:rFonts w:ascii="Book Antiqua" w:hAnsi="Book Antiqua"/>
        </w:rPr>
        <w:t xml:space="preserve">, Harry Trieu, </w:t>
      </w:r>
      <w:proofErr w:type="spellStart"/>
      <w:r w:rsidRPr="00F26395">
        <w:rPr>
          <w:rFonts w:ascii="Book Antiqua" w:hAnsi="Book Antiqua"/>
        </w:rPr>
        <w:t>Peiguo</w:t>
      </w:r>
      <w:proofErr w:type="spellEnd"/>
      <w:r w:rsidRPr="00F26395">
        <w:rPr>
          <w:rFonts w:ascii="Book Antiqua" w:hAnsi="Book Antiqua"/>
        </w:rPr>
        <w:t xml:space="preserve"> Chu, James Lin, </w:t>
      </w:r>
      <w:proofErr w:type="spellStart"/>
      <w:r w:rsidRPr="00F26395">
        <w:rPr>
          <w:rFonts w:ascii="Book Antiqua" w:hAnsi="Book Antiqua"/>
        </w:rPr>
        <w:t>Trilokesh</w:t>
      </w:r>
      <w:proofErr w:type="spellEnd"/>
      <w:r w:rsidRPr="00F26395">
        <w:rPr>
          <w:rFonts w:ascii="Book Antiqua" w:hAnsi="Book Antiqua"/>
        </w:rPr>
        <w:t xml:space="preserve"> </w:t>
      </w:r>
      <w:bookmarkStart w:id="4" w:name="OLE_LINK2122"/>
      <w:bookmarkStart w:id="5" w:name="OLE_LINK2123"/>
      <w:proofErr w:type="spellStart"/>
      <w:r w:rsidR="00BA0488" w:rsidRPr="00F26395">
        <w:rPr>
          <w:rFonts w:ascii="Book Antiqua" w:hAnsi="Book Antiqua"/>
        </w:rPr>
        <w:t>D</w:t>
      </w:r>
      <w:r w:rsidR="00BA0488" w:rsidRPr="00F26395">
        <w:rPr>
          <w:rFonts w:ascii="Book Antiqua" w:hAnsi="Book Antiqua"/>
          <w:lang w:eastAsia="zh-CN"/>
        </w:rPr>
        <w:t>ey</w:t>
      </w:r>
      <w:bookmarkEnd w:id="4"/>
      <w:bookmarkEnd w:id="5"/>
      <w:proofErr w:type="spellEnd"/>
      <w:r w:rsidR="00BA0488" w:rsidRPr="00F26395">
        <w:rPr>
          <w:rFonts w:ascii="Book Antiqua" w:hAnsi="Book Antiqua"/>
          <w:lang w:eastAsia="zh-CN"/>
        </w:rPr>
        <w:t xml:space="preserve"> </w:t>
      </w:r>
      <w:proofErr w:type="spellStart"/>
      <w:r w:rsidRPr="00F26395">
        <w:rPr>
          <w:rFonts w:ascii="Book Antiqua" w:hAnsi="Book Antiqua"/>
        </w:rPr>
        <w:t>Kidambi</w:t>
      </w:r>
      <w:proofErr w:type="spellEnd"/>
    </w:p>
    <w:p w14:paraId="14FD135C" w14:textId="77777777" w:rsidR="00161EB0" w:rsidRPr="00F26395" w:rsidRDefault="00161EB0" w:rsidP="00F26395">
      <w:pPr>
        <w:spacing w:line="360" w:lineRule="auto"/>
        <w:jc w:val="both"/>
        <w:rPr>
          <w:rFonts w:ascii="Book Antiqua" w:hAnsi="Book Antiqua"/>
          <w:i/>
          <w:iCs/>
          <w:vertAlign w:val="superscript"/>
        </w:rPr>
      </w:pPr>
    </w:p>
    <w:p w14:paraId="4BDC7056" w14:textId="1F3E6FBD" w:rsidR="00161EB0" w:rsidRPr="00F26395" w:rsidRDefault="00161EB0" w:rsidP="00F26395">
      <w:pPr>
        <w:spacing w:line="360" w:lineRule="auto"/>
        <w:jc w:val="both"/>
        <w:rPr>
          <w:rFonts w:ascii="Book Antiqua" w:hAnsi="Book Antiqua"/>
        </w:rPr>
      </w:pPr>
      <w:r w:rsidRPr="00F26395">
        <w:rPr>
          <w:rFonts w:ascii="Book Antiqua" w:hAnsi="Book Antiqua"/>
          <w:b/>
        </w:rPr>
        <w:t xml:space="preserve">Anand V </w:t>
      </w:r>
      <w:proofErr w:type="spellStart"/>
      <w:r w:rsidRPr="00F26395">
        <w:rPr>
          <w:rFonts w:ascii="Book Antiqua" w:hAnsi="Book Antiqua"/>
          <w:b/>
        </w:rPr>
        <w:t>Rajan</w:t>
      </w:r>
      <w:proofErr w:type="spellEnd"/>
      <w:r w:rsidRPr="00F26395">
        <w:rPr>
          <w:rFonts w:ascii="Book Antiqua" w:hAnsi="Book Antiqua"/>
          <w:b/>
        </w:rPr>
        <w:t xml:space="preserve">, Harry Trieu, </w:t>
      </w:r>
      <w:proofErr w:type="spellStart"/>
      <w:r w:rsidRPr="00F26395">
        <w:rPr>
          <w:rFonts w:ascii="Book Antiqua" w:hAnsi="Book Antiqua"/>
          <w:b/>
        </w:rPr>
        <w:t>Peiguo</w:t>
      </w:r>
      <w:proofErr w:type="spellEnd"/>
      <w:r w:rsidRPr="00F26395">
        <w:rPr>
          <w:rFonts w:ascii="Book Antiqua" w:hAnsi="Book Antiqua"/>
          <w:b/>
        </w:rPr>
        <w:t xml:space="preserve"> Chu, James Lin, </w:t>
      </w:r>
      <w:proofErr w:type="spellStart"/>
      <w:r w:rsidRPr="00F26395">
        <w:rPr>
          <w:rFonts w:ascii="Book Antiqua" w:hAnsi="Book Antiqua"/>
          <w:b/>
        </w:rPr>
        <w:t>Trilokesh</w:t>
      </w:r>
      <w:proofErr w:type="spellEnd"/>
      <w:r w:rsidRPr="00F26395">
        <w:rPr>
          <w:rFonts w:ascii="Book Antiqua" w:hAnsi="Book Antiqua"/>
          <w:b/>
        </w:rPr>
        <w:t xml:space="preserve"> </w:t>
      </w:r>
      <w:proofErr w:type="spellStart"/>
      <w:r w:rsidR="00BA0488" w:rsidRPr="00F26395">
        <w:rPr>
          <w:rFonts w:ascii="Book Antiqua" w:hAnsi="Book Antiqua"/>
          <w:b/>
          <w:bCs/>
        </w:rPr>
        <w:t>D</w:t>
      </w:r>
      <w:r w:rsidR="00BA0488" w:rsidRPr="00F26395">
        <w:rPr>
          <w:rFonts w:ascii="Book Antiqua" w:hAnsi="Book Antiqua"/>
          <w:b/>
          <w:bCs/>
          <w:lang w:eastAsia="zh-CN"/>
        </w:rPr>
        <w:t>ey</w:t>
      </w:r>
      <w:proofErr w:type="spellEnd"/>
      <w:r w:rsidR="00BA0488" w:rsidRPr="00F26395">
        <w:rPr>
          <w:rFonts w:ascii="Book Antiqua" w:hAnsi="Book Antiqua"/>
          <w:b/>
        </w:rPr>
        <w:t xml:space="preserve"> </w:t>
      </w:r>
      <w:proofErr w:type="spellStart"/>
      <w:r w:rsidRPr="00F26395">
        <w:rPr>
          <w:rFonts w:ascii="Book Antiqua" w:hAnsi="Book Antiqua"/>
          <w:b/>
        </w:rPr>
        <w:t>Kidambi</w:t>
      </w:r>
      <w:proofErr w:type="spellEnd"/>
      <w:r w:rsidRPr="00F26395">
        <w:rPr>
          <w:rFonts w:ascii="Book Antiqua" w:hAnsi="Book Antiqua"/>
          <w:b/>
        </w:rPr>
        <w:t xml:space="preserve">, </w:t>
      </w:r>
      <w:bookmarkStart w:id="6" w:name="OLE_LINK2128"/>
      <w:bookmarkStart w:id="7" w:name="OLE_LINK2129"/>
      <w:r w:rsidR="00BA0488" w:rsidRPr="00F26395">
        <w:rPr>
          <w:rFonts w:ascii="Book Antiqua" w:eastAsia="Book Antiqua" w:hAnsi="Book Antiqua" w:cs="Book Antiqua"/>
          <w:color w:val="000000"/>
        </w:rPr>
        <w:t>Department of Medicine, City of Hope Medical Center, Duarte, CA 91010, United States</w:t>
      </w:r>
      <w:bookmarkEnd w:id="6"/>
      <w:bookmarkEnd w:id="7"/>
    </w:p>
    <w:p w14:paraId="62CE6AC2" w14:textId="77777777" w:rsidR="00161EB0" w:rsidRPr="00F26395" w:rsidRDefault="00161EB0" w:rsidP="00F26395">
      <w:pPr>
        <w:spacing w:line="360" w:lineRule="auto"/>
        <w:jc w:val="both"/>
        <w:rPr>
          <w:rFonts w:ascii="Book Antiqua" w:hAnsi="Book Antiqua"/>
        </w:rPr>
      </w:pPr>
    </w:p>
    <w:p w14:paraId="2CDF2E53" w14:textId="77777777" w:rsidR="00BA0488" w:rsidRPr="00F26395" w:rsidRDefault="00161EB0" w:rsidP="00F26395">
      <w:pPr>
        <w:spacing w:line="360" w:lineRule="auto"/>
        <w:jc w:val="both"/>
        <w:rPr>
          <w:rFonts w:ascii="Book Antiqua" w:hAnsi="Book Antiqua"/>
        </w:rPr>
      </w:pPr>
      <w:r w:rsidRPr="00F26395">
        <w:rPr>
          <w:rFonts w:ascii="Book Antiqua" w:hAnsi="Book Antiqua"/>
          <w:b/>
        </w:rPr>
        <w:t xml:space="preserve">Anand V </w:t>
      </w:r>
      <w:proofErr w:type="spellStart"/>
      <w:r w:rsidRPr="00F26395">
        <w:rPr>
          <w:rFonts w:ascii="Book Antiqua" w:hAnsi="Book Antiqua"/>
          <w:b/>
        </w:rPr>
        <w:t>Rajan</w:t>
      </w:r>
      <w:proofErr w:type="spellEnd"/>
      <w:r w:rsidRPr="00F26395">
        <w:rPr>
          <w:rFonts w:ascii="Book Antiqua" w:hAnsi="Book Antiqua"/>
          <w:b/>
        </w:rPr>
        <w:t xml:space="preserve">, </w:t>
      </w:r>
      <w:r w:rsidRPr="00F26395">
        <w:rPr>
          <w:rFonts w:ascii="Book Antiqua" w:hAnsi="Book Antiqua"/>
        </w:rPr>
        <w:t xml:space="preserve">Department of Medicine, </w:t>
      </w:r>
      <w:r w:rsidR="00BA0488" w:rsidRPr="00F26395">
        <w:rPr>
          <w:rFonts w:ascii="Book Antiqua" w:eastAsia="Book Antiqua" w:hAnsi="Book Antiqua" w:cs="Book Antiqua"/>
          <w:color w:val="000000"/>
        </w:rPr>
        <w:t>UCLA-Olive View Medical Center, Sylmar, CA 91342, United States</w:t>
      </w:r>
    </w:p>
    <w:p w14:paraId="4194E0C0" w14:textId="77777777" w:rsidR="00161EB0" w:rsidRPr="00F26395" w:rsidRDefault="00161EB0" w:rsidP="00F26395">
      <w:pPr>
        <w:spacing w:line="360" w:lineRule="auto"/>
        <w:jc w:val="both"/>
        <w:rPr>
          <w:rFonts w:ascii="Book Antiqua" w:hAnsi="Book Antiqua"/>
          <w:b/>
        </w:rPr>
      </w:pPr>
    </w:p>
    <w:p w14:paraId="79570E41" w14:textId="70FE5147" w:rsidR="00BA0488" w:rsidRPr="00F26395" w:rsidRDefault="00161EB0" w:rsidP="00F26395">
      <w:pPr>
        <w:spacing w:line="360" w:lineRule="auto"/>
        <w:jc w:val="both"/>
        <w:rPr>
          <w:rFonts w:ascii="Book Antiqua" w:hAnsi="Book Antiqua"/>
        </w:rPr>
      </w:pPr>
      <w:r w:rsidRPr="00F26395">
        <w:rPr>
          <w:rFonts w:ascii="Book Antiqua" w:hAnsi="Book Antiqua"/>
          <w:b/>
        </w:rPr>
        <w:t xml:space="preserve">Harry Trieu, </w:t>
      </w:r>
      <w:r w:rsidRPr="00F26395">
        <w:rPr>
          <w:rFonts w:ascii="Book Antiqua" w:hAnsi="Book Antiqua"/>
        </w:rPr>
        <w:t>Keck School of Medicine, University of Southern California</w:t>
      </w:r>
      <w:r w:rsidR="00BA0488" w:rsidRPr="00F26395">
        <w:rPr>
          <w:rFonts w:ascii="Book Antiqua" w:hAnsi="Book Antiqua"/>
        </w:rPr>
        <w:t xml:space="preserve">, </w:t>
      </w:r>
      <w:r w:rsidR="00BA0488" w:rsidRPr="00F26395">
        <w:rPr>
          <w:rFonts w:ascii="Book Antiqua" w:eastAsia="Book Antiqua" w:hAnsi="Book Antiqua" w:cs="Book Antiqua"/>
          <w:color w:val="000000"/>
        </w:rPr>
        <w:t>Los Angeles, CA 90089, United States</w:t>
      </w:r>
    </w:p>
    <w:p w14:paraId="3064BB68" w14:textId="77777777" w:rsidR="00161EB0" w:rsidRPr="00F26395" w:rsidRDefault="00161EB0" w:rsidP="00F26395">
      <w:pPr>
        <w:spacing w:line="360" w:lineRule="auto"/>
        <w:jc w:val="both"/>
        <w:rPr>
          <w:rFonts w:ascii="Book Antiqua" w:hAnsi="Book Antiqua"/>
          <w:b/>
        </w:rPr>
      </w:pPr>
    </w:p>
    <w:p w14:paraId="1EACAA4C" w14:textId="7D6C8146" w:rsidR="00BA0488" w:rsidRPr="00F26395" w:rsidRDefault="00BA0488" w:rsidP="00F26395">
      <w:pPr>
        <w:spacing w:line="360" w:lineRule="auto"/>
        <w:jc w:val="both"/>
        <w:rPr>
          <w:rFonts w:ascii="Book Antiqua" w:hAnsi="Book Antiqua"/>
        </w:rPr>
      </w:pPr>
      <w:proofErr w:type="spellStart"/>
      <w:r w:rsidRPr="00F26395">
        <w:rPr>
          <w:rFonts w:ascii="Book Antiqua" w:eastAsia="Book Antiqua" w:hAnsi="Book Antiqua" w:cs="Book Antiqua"/>
          <w:b/>
          <w:bCs/>
          <w:color w:val="000000"/>
        </w:rPr>
        <w:t>Trilokesh</w:t>
      </w:r>
      <w:proofErr w:type="spellEnd"/>
      <w:r w:rsidRPr="00F26395">
        <w:rPr>
          <w:rFonts w:ascii="Book Antiqua" w:eastAsia="Book Antiqua" w:hAnsi="Book Antiqua" w:cs="Book Antiqua"/>
          <w:b/>
          <w:bCs/>
          <w:color w:val="000000"/>
        </w:rPr>
        <w:t xml:space="preserve"> </w:t>
      </w:r>
      <w:proofErr w:type="spellStart"/>
      <w:r w:rsidRPr="00F26395">
        <w:rPr>
          <w:rFonts w:ascii="Book Antiqua" w:eastAsia="Book Antiqua" w:hAnsi="Book Antiqua" w:cs="Book Antiqua"/>
          <w:b/>
          <w:bCs/>
          <w:color w:val="000000"/>
        </w:rPr>
        <w:t>Dey</w:t>
      </w:r>
      <w:proofErr w:type="spellEnd"/>
      <w:r w:rsidRPr="00F26395">
        <w:rPr>
          <w:rFonts w:ascii="Book Antiqua" w:eastAsia="Book Antiqua" w:hAnsi="Book Antiqua" w:cs="Book Antiqua"/>
          <w:b/>
          <w:bCs/>
          <w:color w:val="000000"/>
        </w:rPr>
        <w:t xml:space="preserve"> </w:t>
      </w:r>
      <w:proofErr w:type="spellStart"/>
      <w:r w:rsidRPr="00F26395">
        <w:rPr>
          <w:rFonts w:ascii="Book Antiqua" w:eastAsia="Book Antiqua" w:hAnsi="Book Antiqua" w:cs="Book Antiqua"/>
          <w:b/>
          <w:bCs/>
          <w:color w:val="000000"/>
        </w:rPr>
        <w:t>Kidambi</w:t>
      </w:r>
      <w:proofErr w:type="spellEnd"/>
      <w:r w:rsidRPr="00F26395">
        <w:rPr>
          <w:rFonts w:ascii="Book Antiqua" w:eastAsia="Book Antiqua" w:hAnsi="Book Antiqua" w:cs="Book Antiqua"/>
          <w:b/>
          <w:bCs/>
          <w:color w:val="000000"/>
        </w:rPr>
        <w:t xml:space="preserve">, </w:t>
      </w:r>
      <w:r w:rsidRPr="00F26395">
        <w:rPr>
          <w:rFonts w:ascii="Book Antiqua" w:hAnsi="Book Antiqua"/>
        </w:rPr>
        <w:t>Department of</w:t>
      </w:r>
      <w:r w:rsidRPr="00F26395">
        <w:rPr>
          <w:rFonts w:ascii="Book Antiqua" w:eastAsia="Book Antiqua" w:hAnsi="Book Antiqua" w:cs="Book Antiqua"/>
          <w:color w:val="000000"/>
        </w:rPr>
        <w:t xml:space="preserve"> Gastroenterology, City of Hope, Duarte, CA 91010, United States</w:t>
      </w:r>
    </w:p>
    <w:p w14:paraId="7922AA82" w14:textId="580A601B" w:rsidR="00161EB0" w:rsidRPr="00F26395" w:rsidRDefault="00161EB0" w:rsidP="00F26395">
      <w:pPr>
        <w:spacing w:line="360" w:lineRule="auto"/>
        <w:jc w:val="both"/>
        <w:rPr>
          <w:rFonts w:ascii="Book Antiqua" w:hAnsi="Book Antiqua"/>
        </w:rPr>
      </w:pPr>
    </w:p>
    <w:p w14:paraId="55F540E8" w14:textId="10A224D0" w:rsidR="00BA0488" w:rsidRPr="00F26395" w:rsidRDefault="00BA0488" w:rsidP="00F26395">
      <w:pPr>
        <w:spacing w:line="360" w:lineRule="auto"/>
        <w:jc w:val="both"/>
        <w:rPr>
          <w:rFonts w:ascii="Book Antiqua" w:hAnsi="Book Antiqua"/>
        </w:rPr>
      </w:pPr>
      <w:r w:rsidRPr="00F26395">
        <w:rPr>
          <w:rFonts w:ascii="Book Antiqua" w:eastAsia="Book Antiqua" w:hAnsi="Book Antiqua" w:cs="Book Antiqua"/>
          <w:b/>
          <w:bCs/>
          <w:color w:val="000000"/>
        </w:rPr>
        <w:t xml:space="preserve">Author contributions: </w:t>
      </w:r>
      <w:r w:rsidRPr="00F26395">
        <w:rPr>
          <w:rFonts w:ascii="Book Antiqua" w:eastAsia="Book Antiqua" w:hAnsi="Book Antiqua" w:cs="Book Antiqua"/>
          <w:color w:val="000000"/>
          <w:shd w:val="clear" w:color="auto" w:fill="FFFFFF"/>
        </w:rPr>
        <w:t xml:space="preserve">Trieu H and </w:t>
      </w:r>
      <w:proofErr w:type="spellStart"/>
      <w:r w:rsidRPr="00F26395">
        <w:rPr>
          <w:rFonts w:ascii="Book Antiqua" w:eastAsia="Book Antiqua" w:hAnsi="Book Antiqua" w:cs="Book Antiqua"/>
          <w:color w:val="000000"/>
          <w:shd w:val="clear" w:color="auto" w:fill="FFFFFF"/>
        </w:rPr>
        <w:t>Rajan</w:t>
      </w:r>
      <w:proofErr w:type="spellEnd"/>
      <w:r w:rsidRPr="00F26395">
        <w:rPr>
          <w:rFonts w:ascii="Book Antiqua" w:eastAsia="Book Antiqua" w:hAnsi="Book Antiqua" w:cs="Book Antiqua"/>
          <w:color w:val="000000"/>
          <w:shd w:val="clear" w:color="auto" w:fill="FFFFFF"/>
        </w:rPr>
        <w:t xml:space="preserve"> AV contributed equally to this work; Trieu H, </w:t>
      </w:r>
      <w:proofErr w:type="spellStart"/>
      <w:r w:rsidRPr="00F26395">
        <w:rPr>
          <w:rFonts w:ascii="Book Antiqua" w:eastAsia="Book Antiqua" w:hAnsi="Book Antiqua" w:cs="Book Antiqua"/>
          <w:color w:val="000000"/>
          <w:shd w:val="clear" w:color="auto" w:fill="FFFFFF"/>
        </w:rPr>
        <w:t>Rajan</w:t>
      </w:r>
      <w:proofErr w:type="spellEnd"/>
      <w:r w:rsidRPr="00F26395">
        <w:rPr>
          <w:rFonts w:ascii="Book Antiqua" w:eastAsia="Book Antiqua" w:hAnsi="Book Antiqua" w:cs="Book Antiqua"/>
          <w:color w:val="000000"/>
          <w:shd w:val="clear" w:color="auto" w:fill="FFFFFF"/>
        </w:rPr>
        <w:t xml:space="preserve"> AV, and </w:t>
      </w:r>
      <w:proofErr w:type="spellStart"/>
      <w:r w:rsidRPr="00F26395">
        <w:rPr>
          <w:rFonts w:ascii="Book Antiqua" w:eastAsia="Book Antiqua" w:hAnsi="Book Antiqua" w:cs="Book Antiqua"/>
          <w:color w:val="000000"/>
          <w:shd w:val="clear" w:color="auto" w:fill="FFFFFF"/>
        </w:rPr>
        <w:t>Kidambi</w:t>
      </w:r>
      <w:proofErr w:type="spellEnd"/>
      <w:r w:rsidRPr="00F26395">
        <w:rPr>
          <w:rFonts w:ascii="Book Antiqua" w:eastAsia="Book Antiqua" w:hAnsi="Book Antiqua" w:cs="Book Antiqua"/>
          <w:color w:val="000000"/>
          <w:shd w:val="clear" w:color="auto" w:fill="FFFFFF"/>
        </w:rPr>
        <w:t xml:space="preserve"> TD designed the research study with input from Lin J; Chu P performed the pathological analysis; Trieu H and </w:t>
      </w:r>
      <w:proofErr w:type="spellStart"/>
      <w:r w:rsidRPr="00F26395">
        <w:rPr>
          <w:rFonts w:ascii="Book Antiqua" w:eastAsia="Book Antiqua" w:hAnsi="Book Antiqua" w:cs="Book Antiqua"/>
          <w:color w:val="000000"/>
          <w:shd w:val="clear" w:color="auto" w:fill="FFFFFF"/>
        </w:rPr>
        <w:t>Rajan</w:t>
      </w:r>
      <w:proofErr w:type="spellEnd"/>
      <w:r w:rsidRPr="00F26395">
        <w:rPr>
          <w:rFonts w:ascii="Book Antiqua" w:eastAsia="Book Antiqua" w:hAnsi="Book Antiqua" w:cs="Book Antiqua"/>
          <w:color w:val="000000"/>
          <w:shd w:val="clear" w:color="auto" w:fill="FFFFFF"/>
        </w:rPr>
        <w:t xml:space="preserve"> AV performed the research, analyzed the data, and wrote the manuscript; all authors have read and approve the final manuscript.</w:t>
      </w:r>
    </w:p>
    <w:p w14:paraId="2A5D3D8D" w14:textId="77777777" w:rsidR="00161EB0" w:rsidRPr="00F26395" w:rsidRDefault="00161EB0" w:rsidP="00F26395">
      <w:pPr>
        <w:spacing w:line="360" w:lineRule="auto"/>
        <w:jc w:val="both"/>
        <w:rPr>
          <w:rFonts w:ascii="Book Antiqua" w:hAnsi="Book Antiqua"/>
        </w:rPr>
      </w:pPr>
    </w:p>
    <w:p w14:paraId="560F2170" w14:textId="5E66CEDC" w:rsidR="00161EB0" w:rsidRPr="00F26395" w:rsidRDefault="00161EB0" w:rsidP="00F26395">
      <w:pPr>
        <w:spacing w:line="360" w:lineRule="auto"/>
        <w:jc w:val="both"/>
        <w:rPr>
          <w:rStyle w:val="Hyperlink"/>
          <w:rFonts w:ascii="Book Antiqua" w:hAnsi="Book Antiqua"/>
          <w:color w:val="auto"/>
          <w:u w:val="none"/>
        </w:rPr>
      </w:pPr>
      <w:r w:rsidRPr="00F26395">
        <w:rPr>
          <w:rFonts w:ascii="Book Antiqua" w:hAnsi="Book Antiqua"/>
          <w:b/>
        </w:rPr>
        <w:lastRenderedPageBreak/>
        <w:t xml:space="preserve">Corresponding author: </w:t>
      </w:r>
      <w:proofErr w:type="spellStart"/>
      <w:r w:rsidRPr="00F26395">
        <w:rPr>
          <w:rFonts w:ascii="Book Antiqua" w:hAnsi="Book Antiqua"/>
          <w:b/>
        </w:rPr>
        <w:t>Trilokesh</w:t>
      </w:r>
      <w:proofErr w:type="spellEnd"/>
      <w:r w:rsidRPr="00F26395">
        <w:rPr>
          <w:rFonts w:ascii="Book Antiqua" w:hAnsi="Book Antiqua"/>
          <w:b/>
        </w:rPr>
        <w:t xml:space="preserve"> </w:t>
      </w:r>
      <w:proofErr w:type="spellStart"/>
      <w:r w:rsidR="00BA0488" w:rsidRPr="00F26395">
        <w:rPr>
          <w:rFonts w:ascii="Book Antiqua" w:eastAsia="Book Antiqua" w:hAnsi="Book Antiqua" w:cs="Book Antiqua"/>
          <w:b/>
          <w:color w:val="000000"/>
        </w:rPr>
        <w:t>Dey</w:t>
      </w:r>
      <w:proofErr w:type="spellEnd"/>
      <w:r w:rsidR="00BA0488" w:rsidRPr="00F26395">
        <w:rPr>
          <w:rFonts w:ascii="Book Antiqua" w:hAnsi="Book Antiqua"/>
          <w:b/>
        </w:rPr>
        <w:t xml:space="preserve"> </w:t>
      </w:r>
      <w:proofErr w:type="spellStart"/>
      <w:r w:rsidRPr="00F26395">
        <w:rPr>
          <w:rFonts w:ascii="Book Antiqua" w:hAnsi="Book Antiqua"/>
          <w:b/>
        </w:rPr>
        <w:t>Kidambi</w:t>
      </w:r>
      <w:proofErr w:type="spellEnd"/>
      <w:r w:rsidRPr="00F26395">
        <w:rPr>
          <w:rFonts w:ascii="Book Antiqua" w:hAnsi="Book Antiqua"/>
          <w:b/>
        </w:rPr>
        <w:t xml:space="preserve">, MD, </w:t>
      </w:r>
      <w:r w:rsidR="00BA0488" w:rsidRPr="00F26395">
        <w:rPr>
          <w:rFonts w:ascii="Book Antiqua" w:eastAsia="Book Antiqua" w:hAnsi="Book Antiqua" w:cs="Book Antiqua"/>
          <w:b/>
          <w:color w:val="000000"/>
        </w:rPr>
        <w:t xml:space="preserve">Assistant Professor, </w:t>
      </w:r>
      <w:r w:rsidR="00BA0488" w:rsidRPr="00F26395">
        <w:rPr>
          <w:rFonts w:ascii="Book Antiqua" w:eastAsia="Book Antiqua" w:hAnsi="Book Antiqua" w:cs="Book Antiqua"/>
          <w:color w:val="000000"/>
        </w:rPr>
        <w:t>Department of Medicine, City of Hope Medical Center, 1500 E Duarte Road, Duarte, CA 91010, United States.</w:t>
      </w:r>
      <w:r w:rsidR="00BA0488" w:rsidRPr="00F26395">
        <w:rPr>
          <w:rFonts w:ascii="Book Antiqua" w:hAnsi="Book Antiqua"/>
        </w:rPr>
        <w:t xml:space="preserve"> </w:t>
      </w:r>
      <w:hyperlink r:id="rId8" w:history="1">
        <w:r w:rsidRPr="00F26395">
          <w:rPr>
            <w:rStyle w:val="Hyperlink"/>
            <w:rFonts w:ascii="Book Antiqua" w:hAnsi="Book Antiqua"/>
          </w:rPr>
          <w:t>tkgastromd@gmail.com</w:t>
        </w:r>
      </w:hyperlink>
    </w:p>
    <w:p w14:paraId="57754291" w14:textId="291AB58D" w:rsidR="00750D6A" w:rsidRPr="00F26395" w:rsidRDefault="00750D6A" w:rsidP="00F26395">
      <w:pPr>
        <w:spacing w:line="360" w:lineRule="auto"/>
        <w:jc w:val="both"/>
        <w:rPr>
          <w:rFonts w:ascii="Book Antiqua" w:hAnsi="Book Antiqua"/>
        </w:rPr>
      </w:pPr>
    </w:p>
    <w:p w14:paraId="772CBA74" w14:textId="77777777" w:rsidR="00BA0488" w:rsidRPr="00F26395" w:rsidRDefault="00BA0488" w:rsidP="00F26395">
      <w:pPr>
        <w:spacing w:line="360" w:lineRule="auto"/>
        <w:jc w:val="both"/>
        <w:rPr>
          <w:rFonts w:ascii="Book Antiqua" w:hAnsi="Book Antiqua"/>
        </w:rPr>
      </w:pPr>
      <w:r w:rsidRPr="00F26395">
        <w:rPr>
          <w:rFonts w:ascii="Book Antiqua" w:eastAsia="Book Antiqua" w:hAnsi="Book Antiqua" w:cs="Book Antiqua"/>
          <w:b/>
          <w:bCs/>
          <w:color w:val="000000"/>
        </w:rPr>
        <w:t xml:space="preserve">Received: </w:t>
      </w:r>
      <w:r w:rsidRPr="00F26395">
        <w:rPr>
          <w:rFonts w:ascii="Book Antiqua" w:eastAsia="Book Antiqua" w:hAnsi="Book Antiqua" w:cs="Book Antiqua"/>
          <w:color w:val="000000"/>
        </w:rPr>
        <w:t>July 22, 2020</w:t>
      </w:r>
    </w:p>
    <w:p w14:paraId="09F9E7C2" w14:textId="5497BC82" w:rsidR="00BA0488" w:rsidRPr="00F26395" w:rsidRDefault="00BA0488" w:rsidP="00F26395">
      <w:pPr>
        <w:spacing w:line="360" w:lineRule="auto"/>
        <w:jc w:val="both"/>
        <w:rPr>
          <w:rFonts w:ascii="Book Antiqua" w:hAnsi="Book Antiqua"/>
          <w:lang w:eastAsia="zh-CN"/>
        </w:rPr>
      </w:pPr>
      <w:r w:rsidRPr="00F26395">
        <w:rPr>
          <w:rFonts w:ascii="Book Antiqua" w:eastAsia="Book Antiqua" w:hAnsi="Book Antiqua" w:cs="Book Antiqua"/>
          <w:b/>
          <w:bCs/>
          <w:color w:val="000000"/>
        </w:rPr>
        <w:t xml:space="preserve">Revised: </w:t>
      </w:r>
      <w:r w:rsidRPr="00F26395">
        <w:rPr>
          <w:rFonts w:ascii="Book Antiqua" w:eastAsia="Book Antiqua" w:hAnsi="Book Antiqua" w:cs="Book Antiqua"/>
          <w:color w:val="000000"/>
        </w:rPr>
        <w:t>August</w:t>
      </w:r>
      <w:r w:rsidRPr="00F26395">
        <w:rPr>
          <w:rFonts w:ascii="Book Antiqua" w:eastAsia="SimSun" w:hAnsi="Book Antiqua" w:cs="SimSun"/>
          <w:color w:val="000000"/>
          <w:lang w:eastAsia="zh-CN"/>
        </w:rPr>
        <w:t xml:space="preserve"> 28, 2020</w:t>
      </w:r>
    </w:p>
    <w:p w14:paraId="168D0544" w14:textId="6BB29DA2" w:rsidR="005104B3" w:rsidRPr="005104B3" w:rsidRDefault="00BA0488" w:rsidP="00F26395">
      <w:pPr>
        <w:spacing w:line="360" w:lineRule="auto"/>
        <w:jc w:val="both"/>
        <w:rPr>
          <w:rFonts w:ascii="Book Antiqua" w:eastAsia="Book Antiqua" w:hAnsi="Book Antiqua" w:cs="Book Antiqua"/>
          <w:b/>
          <w:bCs/>
          <w:color w:val="000000"/>
        </w:rPr>
      </w:pPr>
      <w:r w:rsidRPr="00F26395">
        <w:rPr>
          <w:rFonts w:ascii="Book Antiqua" w:eastAsia="Book Antiqua" w:hAnsi="Book Antiqua" w:cs="Book Antiqua"/>
          <w:b/>
          <w:bCs/>
          <w:color w:val="000000"/>
        </w:rPr>
        <w:t xml:space="preserve">Accepted: </w:t>
      </w:r>
      <w:r w:rsidR="005104B3" w:rsidRPr="005104B3">
        <w:rPr>
          <w:rFonts w:ascii="Book Antiqua" w:eastAsia="Book Antiqua" w:hAnsi="Book Antiqua" w:cs="Book Antiqua"/>
          <w:bCs/>
          <w:color w:val="000000"/>
        </w:rPr>
        <w:t>September 8, 2020</w:t>
      </w:r>
    </w:p>
    <w:p w14:paraId="5BEFC035" w14:textId="77777777" w:rsidR="00BA0488" w:rsidRPr="00F26395" w:rsidRDefault="00BA0488" w:rsidP="00F26395">
      <w:pPr>
        <w:spacing w:line="360" w:lineRule="auto"/>
        <w:jc w:val="both"/>
        <w:rPr>
          <w:rFonts w:ascii="Book Antiqua" w:hAnsi="Book Antiqua"/>
        </w:rPr>
      </w:pPr>
      <w:r w:rsidRPr="00F26395">
        <w:rPr>
          <w:rFonts w:ascii="Book Antiqua" w:eastAsia="Book Antiqua" w:hAnsi="Book Antiqua" w:cs="Book Antiqua"/>
          <w:b/>
          <w:bCs/>
          <w:color w:val="000000"/>
        </w:rPr>
        <w:t xml:space="preserve">Published online: </w:t>
      </w:r>
    </w:p>
    <w:p w14:paraId="091779B7" w14:textId="77777777" w:rsidR="00BA0488" w:rsidRPr="00F26395" w:rsidRDefault="00BA0488" w:rsidP="00F26395">
      <w:pPr>
        <w:spacing w:line="360" w:lineRule="auto"/>
        <w:jc w:val="both"/>
        <w:rPr>
          <w:rFonts w:ascii="Book Antiqua" w:hAnsi="Book Antiqua"/>
        </w:rPr>
        <w:sectPr w:rsidR="00BA0488" w:rsidRPr="00F26395" w:rsidSect="00AE4C98">
          <w:footerReference w:type="even" r:id="rId9"/>
          <w:footerReference w:type="default" r:id="rId10"/>
          <w:pgSz w:w="12240" w:h="15840"/>
          <w:pgMar w:top="1440" w:right="1440" w:bottom="1440" w:left="1440" w:header="720" w:footer="720" w:gutter="0"/>
          <w:cols w:space="720"/>
          <w:docGrid w:linePitch="360"/>
        </w:sectPr>
      </w:pPr>
    </w:p>
    <w:p w14:paraId="19153754" w14:textId="77777777" w:rsidR="00161EB0" w:rsidRPr="00F26395" w:rsidRDefault="00161EB0" w:rsidP="00F26395">
      <w:pPr>
        <w:spacing w:line="360" w:lineRule="auto"/>
        <w:jc w:val="both"/>
        <w:rPr>
          <w:rFonts w:ascii="Book Antiqua" w:hAnsi="Book Antiqua"/>
          <w:b/>
        </w:rPr>
      </w:pPr>
      <w:r w:rsidRPr="00F26395">
        <w:rPr>
          <w:rFonts w:ascii="Book Antiqua" w:hAnsi="Book Antiqua"/>
          <w:b/>
        </w:rPr>
        <w:lastRenderedPageBreak/>
        <w:t>Abstract</w:t>
      </w:r>
    </w:p>
    <w:p w14:paraId="5DF85FF7" w14:textId="77777777" w:rsidR="00161EB0" w:rsidRPr="00F26395" w:rsidRDefault="00161EB0" w:rsidP="00F26395">
      <w:pPr>
        <w:spacing w:line="360" w:lineRule="auto"/>
        <w:jc w:val="both"/>
        <w:rPr>
          <w:rFonts w:ascii="Book Antiqua" w:hAnsi="Book Antiqua"/>
        </w:rPr>
      </w:pPr>
      <w:r w:rsidRPr="00F26395">
        <w:rPr>
          <w:rFonts w:ascii="Book Antiqua" w:hAnsi="Book Antiqua"/>
        </w:rPr>
        <w:t xml:space="preserve">BACKGROUND </w:t>
      </w:r>
    </w:p>
    <w:p w14:paraId="1C866764" w14:textId="36792ADF" w:rsidR="00161EB0" w:rsidRPr="00F26395" w:rsidRDefault="00161EB0" w:rsidP="00F26395">
      <w:pPr>
        <w:spacing w:line="360" w:lineRule="auto"/>
        <w:jc w:val="both"/>
        <w:rPr>
          <w:rStyle w:val="apple-tab-span"/>
          <w:rFonts w:ascii="Book Antiqua" w:hAnsi="Book Antiqua"/>
        </w:rPr>
      </w:pPr>
      <w:bookmarkStart w:id="8" w:name="OLE_LINK2143"/>
      <w:bookmarkStart w:id="9" w:name="OLE_LINK2144"/>
      <w:r w:rsidRPr="00F26395">
        <w:rPr>
          <w:rFonts w:ascii="Book Antiqua" w:hAnsi="Book Antiqua"/>
        </w:rPr>
        <w:t xml:space="preserve">Acute </w:t>
      </w:r>
      <w:bookmarkStart w:id="10" w:name="OLE_LINK2134"/>
      <w:bookmarkStart w:id="11" w:name="OLE_LINK2135"/>
      <w:r w:rsidRPr="00F26395">
        <w:rPr>
          <w:rFonts w:ascii="Book Antiqua" w:hAnsi="Book Antiqua"/>
        </w:rPr>
        <w:t>gastrointestinal</w:t>
      </w:r>
      <w:bookmarkEnd w:id="10"/>
      <w:bookmarkEnd w:id="11"/>
      <w:r w:rsidRPr="00F26395">
        <w:rPr>
          <w:rFonts w:ascii="Book Antiqua" w:hAnsi="Book Antiqua"/>
        </w:rPr>
        <w:t xml:space="preserve"> </w:t>
      </w:r>
      <w:r w:rsidR="007B4C4B" w:rsidRPr="00F26395">
        <w:rPr>
          <w:rFonts w:ascii="Book Antiqua" w:hAnsi="Book Antiqua"/>
        </w:rPr>
        <w:t xml:space="preserve">(GI) </w:t>
      </w:r>
      <w:bookmarkStart w:id="12" w:name="OLE_LINK2136"/>
      <w:bookmarkStart w:id="13" w:name="OLE_LINK2137"/>
      <w:r w:rsidRPr="00F26395">
        <w:rPr>
          <w:rFonts w:ascii="Book Antiqua" w:hAnsi="Book Antiqua"/>
        </w:rPr>
        <w:t>graft-</w:t>
      </w:r>
      <w:r w:rsidRPr="00F26395">
        <w:rPr>
          <w:rFonts w:ascii="Book Antiqua" w:hAnsi="Book Antiqua"/>
          <w:i/>
          <w:iCs/>
        </w:rPr>
        <w:t>vs</w:t>
      </w:r>
      <w:r w:rsidRPr="00F26395">
        <w:rPr>
          <w:rFonts w:ascii="Book Antiqua" w:hAnsi="Book Antiqua"/>
        </w:rPr>
        <w:t>-host disease</w:t>
      </w:r>
      <w:bookmarkEnd w:id="8"/>
      <w:bookmarkEnd w:id="9"/>
      <w:bookmarkEnd w:id="12"/>
      <w:bookmarkEnd w:id="13"/>
      <w:r w:rsidRPr="00F26395">
        <w:rPr>
          <w:rFonts w:ascii="Book Antiqua" w:hAnsi="Book Antiqua"/>
        </w:rPr>
        <w:t xml:space="preserve"> (</w:t>
      </w:r>
      <w:proofErr w:type="spellStart"/>
      <w:r w:rsidRPr="00F26395">
        <w:rPr>
          <w:rFonts w:ascii="Book Antiqua" w:hAnsi="Book Antiqua"/>
        </w:rPr>
        <w:t>aGVHD</w:t>
      </w:r>
      <w:proofErr w:type="spellEnd"/>
      <w:r w:rsidRPr="00F26395">
        <w:rPr>
          <w:rFonts w:ascii="Book Antiqua" w:hAnsi="Book Antiqua"/>
        </w:rPr>
        <w:t xml:space="preserve">) is the most complication of </w:t>
      </w:r>
      <w:bookmarkStart w:id="14" w:name="OLE_LINK2120"/>
      <w:bookmarkStart w:id="15" w:name="OLE_LINK2121"/>
      <w:bookmarkStart w:id="16" w:name="OLE_LINK2138"/>
      <w:r w:rsidRPr="00F26395">
        <w:rPr>
          <w:rFonts w:ascii="Book Antiqua" w:hAnsi="Book Antiqua"/>
        </w:rPr>
        <w:t>hematopoietic stem cell transplant</w:t>
      </w:r>
      <w:bookmarkEnd w:id="14"/>
      <w:bookmarkEnd w:id="15"/>
      <w:bookmarkEnd w:id="16"/>
      <w:r w:rsidRPr="00F26395">
        <w:rPr>
          <w:rFonts w:ascii="Book Antiqua" w:hAnsi="Book Antiqua"/>
        </w:rPr>
        <w:t xml:space="preserve"> (HSCT) in patients with hematologic malignancy. </w:t>
      </w:r>
      <w:r w:rsidR="005903EA" w:rsidRPr="00F26395">
        <w:rPr>
          <w:rFonts w:ascii="Book Antiqua" w:hAnsi="Book Antiqua"/>
        </w:rPr>
        <w:t>L</w:t>
      </w:r>
      <w:r w:rsidRPr="00F26395">
        <w:rPr>
          <w:rFonts w:ascii="Book Antiqua" w:hAnsi="Book Antiqua"/>
        </w:rPr>
        <w:t xml:space="preserve">imited data exists </w:t>
      </w:r>
      <w:r w:rsidR="001F247D" w:rsidRPr="00F26395">
        <w:rPr>
          <w:rFonts w:ascii="Book Antiqua" w:hAnsi="Book Antiqua"/>
        </w:rPr>
        <w:t xml:space="preserve">on </w:t>
      </w:r>
      <w:r w:rsidRPr="00F26395">
        <w:rPr>
          <w:rFonts w:ascii="Book Antiqua" w:hAnsi="Book Antiqua"/>
        </w:rPr>
        <w:t xml:space="preserve">endoscopic evaluation of GVHD in post-HSCT patients with </w:t>
      </w:r>
      <w:r w:rsidR="005903EA" w:rsidRPr="00F26395">
        <w:rPr>
          <w:rFonts w:ascii="Book Antiqua" w:hAnsi="Book Antiqua"/>
        </w:rPr>
        <w:t>differing</w:t>
      </w:r>
      <w:r w:rsidRPr="00F26395">
        <w:rPr>
          <w:rFonts w:ascii="Book Antiqua" w:hAnsi="Book Antiqua"/>
        </w:rPr>
        <w:t xml:space="preserve"> GI symptoms. </w:t>
      </w:r>
      <w:r w:rsidRPr="00F26395">
        <w:rPr>
          <w:rStyle w:val="apple-tab-span"/>
          <w:rFonts w:ascii="Book Antiqua" w:hAnsi="Book Antiqua"/>
          <w:color w:val="000000"/>
        </w:rPr>
        <w:t>Further, the diagnostic value of gross endoscopic findings as well as the safety of endoscopy in this commonly thrombocytopenic and neutropenic patient population remain</w:t>
      </w:r>
      <w:r w:rsidR="000532DD" w:rsidRPr="00F26395">
        <w:rPr>
          <w:rStyle w:val="apple-tab-span"/>
          <w:rFonts w:ascii="Book Antiqua" w:hAnsi="Book Antiqua"/>
          <w:color w:val="000000"/>
        </w:rPr>
        <w:t>s</w:t>
      </w:r>
      <w:r w:rsidRPr="00F26395">
        <w:rPr>
          <w:rStyle w:val="apple-tab-span"/>
          <w:rFonts w:ascii="Book Antiqua" w:hAnsi="Book Antiqua"/>
          <w:color w:val="000000"/>
        </w:rPr>
        <w:t xml:space="preserve"> unclear.</w:t>
      </w:r>
    </w:p>
    <w:p w14:paraId="6B3926F1" w14:textId="77777777" w:rsidR="00161EB0" w:rsidRPr="00F26395" w:rsidRDefault="00161EB0" w:rsidP="00F26395">
      <w:pPr>
        <w:spacing w:line="360" w:lineRule="auto"/>
        <w:jc w:val="both"/>
        <w:rPr>
          <w:rFonts w:ascii="Book Antiqua" w:hAnsi="Book Antiqua"/>
        </w:rPr>
      </w:pPr>
    </w:p>
    <w:p w14:paraId="073EA323" w14:textId="66F29C7D" w:rsidR="001D55C9" w:rsidRPr="00F26395" w:rsidRDefault="001D55C9" w:rsidP="00F26395">
      <w:pPr>
        <w:spacing w:line="360" w:lineRule="auto"/>
        <w:jc w:val="both"/>
        <w:rPr>
          <w:rFonts w:ascii="Book Antiqua" w:hAnsi="Book Antiqua"/>
        </w:rPr>
      </w:pPr>
      <w:r w:rsidRPr="00F26395">
        <w:rPr>
          <w:rFonts w:ascii="Book Antiqua" w:hAnsi="Book Antiqua"/>
        </w:rPr>
        <w:t>AIM</w:t>
      </w:r>
    </w:p>
    <w:p w14:paraId="09052021" w14:textId="77777777" w:rsidR="001D55C9" w:rsidRPr="00F26395" w:rsidRDefault="001D55C9" w:rsidP="00F26395">
      <w:pPr>
        <w:spacing w:line="360" w:lineRule="auto"/>
        <w:jc w:val="both"/>
        <w:rPr>
          <w:rFonts w:ascii="Book Antiqua" w:hAnsi="Book Antiqua"/>
        </w:rPr>
      </w:pPr>
      <w:r w:rsidRPr="00F26395">
        <w:rPr>
          <w:rFonts w:ascii="Book Antiqua" w:hAnsi="Book Antiqua"/>
        </w:rPr>
        <w:t xml:space="preserve">To understand the diagnostic value of symptoms and gross endoscopic findings as well as safety of endoscopy in </w:t>
      </w:r>
      <w:proofErr w:type="spellStart"/>
      <w:r w:rsidRPr="00F26395">
        <w:rPr>
          <w:rFonts w:ascii="Book Antiqua" w:hAnsi="Book Antiqua"/>
        </w:rPr>
        <w:t>aGVHD</w:t>
      </w:r>
      <w:proofErr w:type="spellEnd"/>
      <w:r w:rsidRPr="00F26395">
        <w:rPr>
          <w:rFonts w:ascii="Book Antiqua" w:hAnsi="Book Antiqua"/>
        </w:rPr>
        <w:t xml:space="preserve"> patients.</w:t>
      </w:r>
    </w:p>
    <w:p w14:paraId="24AE3E1F" w14:textId="77777777" w:rsidR="001D55C9" w:rsidRPr="00F26395" w:rsidRDefault="001D55C9" w:rsidP="00F26395">
      <w:pPr>
        <w:spacing w:line="360" w:lineRule="auto"/>
        <w:jc w:val="both"/>
        <w:rPr>
          <w:rFonts w:ascii="Book Antiqua" w:hAnsi="Book Antiqua"/>
        </w:rPr>
      </w:pPr>
    </w:p>
    <w:p w14:paraId="4B920493" w14:textId="77777777" w:rsidR="001D55C9" w:rsidRPr="00F26395" w:rsidRDefault="001D55C9" w:rsidP="00F26395">
      <w:pPr>
        <w:spacing w:line="360" w:lineRule="auto"/>
        <w:jc w:val="both"/>
        <w:rPr>
          <w:rFonts w:ascii="Book Antiqua" w:hAnsi="Book Antiqua"/>
        </w:rPr>
      </w:pPr>
      <w:r w:rsidRPr="00F26395">
        <w:rPr>
          <w:rFonts w:ascii="Book Antiqua" w:hAnsi="Book Antiqua"/>
        </w:rPr>
        <w:t xml:space="preserve">METHODS </w:t>
      </w:r>
    </w:p>
    <w:p w14:paraId="3BC66906" w14:textId="371AB63C" w:rsidR="001D55C9" w:rsidRPr="00F26395" w:rsidRDefault="001D55C9" w:rsidP="00F26395">
      <w:pPr>
        <w:spacing w:line="360" w:lineRule="auto"/>
        <w:jc w:val="both"/>
        <w:rPr>
          <w:rFonts w:ascii="Book Antiqua" w:hAnsi="Book Antiqua"/>
        </w:rPr>
      </w:pPr>
      <w:r w:rsidRPr="00F26395">
        <w:rPr>
          <w:rFonts w:ascii="Book Antiqua" w:hAnsi="Book Antiqua"/>
        </w:rPr>
        <w:t xml:space="preserve">We analyzed 195 endoscopies performed at City of Hope in patients who underwent allogeneic HSCT less than 100 d prior for hematologic malignancy and were subsequently evaluated for </w:t>
      </w:r>
      <w:proofErr w:type="spellStart"/>
      <w:r w:rsidRPr="00F26395">
        <w:rPr>
          <w:rFonts w:ascii="Book Antiqua" w:hAnsi="Book Antiqua"/>
        </w:rPr>
        <w:t>aGVHD</w:t>
      </w:r>
      <w:proofErr w:type="spellEnd"/>
      <w:r w:rsidRPr="00F26395">
        <w:rPr>
          <w:rFonts w:ascii="Book Antiqua" w:hAnsi="Book Antiqua"/>
        </w:rPr>
        <w:t xml:space="preserve"> </w:t>
      </w:r>
      <w:r w:rsidRPr="00F26395">
        <w:rPr>
          <w:rFonts w:ascii="Book Antiqua" w:hAnsi="Book Antiqua"/>
          <w:i/>
          <w:iCs/>
        </w:rPr>
        <w:t>via</w:t>
      </w:r>
      <w:r w:rsidRPr="00F26395">
        <w:rPr>
          <w:rFonts w:ascii="Book Antiqua" w:hAnsi="Book Antiqua"/>
        </w:rPr>
        <w:t xml:space="preserve"> endoscopy.</w:t>
      </w:r>
      <w:r w:rsidR="007140D9" w:rsidRPr="00F26395">
        <w:rPr>
          <w:rFonts w:ascii="Book Antiqua" w:eastAsiaTheme="minorEastAsia" w:hAnsi="Book Antiqua" w:cs="Helvetica"/>
        </w:rPr>
        <w:t xml:space="preserve"> </w:t>
      </w:r>
      <w:r w:rsidR="007140D9" w:rsidRPr="00F26395">
        <w:rPr>
          <w:rFonts w:ascii="Book Antiqua" w:hAnsi="Book Antiqua"/>
        </w:rPr>
        <w:t xml:space="preserve">The yield, sensitivity, and specificity of diagnosing </w:t>
      </w:r>
      <w:proofErr w:type="spellStart"/>
      <w:r w:rsidR="007140D9" w:rsidRPr="00F26395">
        <w:rPr>
          <w:rFonts w:ascii="Book Antiqua" w:hAnsi="Book Antiqua"/>
        </w:rPr>
        <w:t>aGVHD</w:t>
      </w:r>
      <w:proofErr w:type="spellEnd"/>
      <w:r w:rsidR="007140D9" w:rsidRPr="00F26395">
        <w:rPr>
          <w:rFonts w:ascii="Book Antiqua" w:hAnsi="Book Antiqua"/>
        </w:rPr>
        <w:t xml:space="preserve"> were calculated for upper and lower endoscopy, various GI tract locations, and presenting symptoms.</w:t>
      </w:r>
    </w:p>
    <w:p w14:paraId="45B7DB0E" w14:textId="53928BF7" w:rsidR="001D55C9" w:rsidRPr="00F26395" w:rsidRDefault="001D55C9" w:rsidP="00F26395">
      <w:pPr>
        <w:spacing w:line="360" w:lineRule="auto"/>
        <w:jc w:val="both"/>
        <w:rPr>
          <w:rFonts w:ascii="Book Antiqua" w:hAnsi="Book Antiqua"/>
        </w:rPr>
      </w:pPr>
    </w:p>
    <w:p w14:paraId="395B73B0" w14:textId="77777777" w:rsidR="001D55C9" w:rsidRPr="00F26395" w:rsidRDefault="001D55C9" w:rsidP="00F26395">
      <w:pPr>
        <w:spacing w:line="360" w:lineRule="auto"/>
        <w:jc w:val="both"/>
        <w:rPr>
          <w:rFonts w:ascii="Book Antiqua" w:hAnsi="Book Antiqua"/>
        </w:rPr>
      </w:pPr>
      <w:r w:rsidRPr="00F26395">
        <w:rPr>
          <w:rFonts w:ascii="Book Antiqua" w:hAnsi="Book Antiqua"/>
        </w:rPr>
        <w:t xml:space="preserve">RESULTS </w:t>
      </w:r>
    </w:p>
    <w:p w14:paraId="04720B58" w14:textId="788ADB22" w:rsidR="001D55C9" w:rsidRPr="00F26395" w:rsidRDefault="001D55C9" w:rsidP="00F26395">
      <w:pPr>
        <w:spacing w:line="360" w:lineRule="auto"/>
        <w:jc w:val="both"/>
        <w:rPr>
          <w:rFonts w:ascii="Book Antiqua" w:hAnsi="Book Antiqua"/>
        </w:rPr>
      </w:pPr>
      <w:r w:rsidRPr="00F26395">
        <w:rPr>
          <w:rFonts w:ascii="Book Antiqua" w:hAnsi="Book Antiqua"/>
        </w:rPr>
        <w:t xml:space="preserve">Combined </w:t>
      </w:r>
      <w:bookmarkStart w:id="17" w:name="OLE_LINK2132"/>
      <w:bookmarkStart w:id="18" w:name="OLE_LINK2133"/>
      <w:r w:rsidR="007B4C4B" w:rsidRPr="00F26395">
        <w:rPr>
          <w:rFonts w:ascii="Book Antiqua" w:hAnsi="Book Antiqua"/>
        </w:rPr>
        <w:t>esophagogastroduodenoscopy (</w:t>
      </w:r>
      <w:r w:rsidRPr="00F26395">
        <w:rPr>
          <w:rFonts w:ascii="Book Antiqua" w:hAnsi="Book Antiqua"/>
        </w:rPr>
        <w:t>EGD</w:t>
      </w:r>
      <w:bookmarkEnd w:id="17"/>
      <w:bookmarkEnd w:id="18"/>
      <w:r w:rsidR="007B4C4B" w:rsidRPr="00F26395">
        <w:rPr>
          <w:rFonts w:ascii="Book Antiqua" w:hAnsi="Book Antiqua"/>
        </w:rPr>
        <w:t>)</w:t>
      </w:r>
      <w:r w:rsidRPr="00F26395">
        <w:rPr>
          <w:rFonts w:ascii="Book Antiqua" w:hAnsi="Book Antiqua"/>
        </w:rPr>
        <w:t xml:space="preserve"> and </w:t>
      </w:r>
      <w:r w:rsidR="007B4C4B" w:rsidRPr="00F26395">
        <w:rPr>
          <w:rFonts w:ascii="Book Antiqua" w:hAnsi="Book Antiqua"/>
        </w:rPr>
        <w:t>flexible sigmoidoscopy (</w:t>
      </w:r>
      <w:r w:rsidRPr="00F26395">
        <w:rPr>
          <w:rFonts w:ascii="Book Antiqua" w:hAnsi="Book Antiqua"/>
        </w:rPr>
        <w:t>FS</w:t>
      </w:r>
      <w:r w:rsidR="007B4C4B" w:rsidRPr="00F26395">
        <w:rPr>
          <w:rFonts w:ascii="Book Antiqua" w:hAnsi="Book Antiqua"/>
        </w:rPr>
        <w:t>)</w:t>
      </w:r>
      <w:r w:rsidRPr="00F26395">
        <w:rPr>
          <w:rFonts w:ascii="Book Antiqua" w:hAnsi="Book Antiqua"/>
        </w:rPr>
        <w:t xml:space="preserve"> demonstrated a greater diagnostic yield for </w:t>
      </w:r>
      <w:proofErr w:type="spellStart"/>
      <w:r w:rsidRPr="00F26395">
        <w:rPr>
          <w:rFonts w:ascii="Book Antiqua" w:hAnsi="Book Antiqua"/>
        </w:rPr>
        <w:t>aGVHD</w:t>
      </w:r>
      <w:proofErr w:type="spellEnd"/>
      <w:r w:rsidRPr="00F26395">
        <w:rPr>
          <w:rFonts w:ascii="Book Antiqua" w:hAnsi="Book Antiqua"/>
        </w:rPr>
        <w:t xml:space="preserve"> (83.1%) compared to EGD (66.7%) or FS (77.2%) alone with any presenting symptom. The upper and lower GI tract demonstrated similar yields regardless of whether patients presented with diarrhea (95.7% </w:t>
      </w:r>
      <w:r w:rsidRPr="00F26395">
        <w:rPr>
          <w:rFonts w:ascii="Book Antiqua" w:hAnsi="Book Antiqua"/>
          <w:i/>
          <w:iCs/>
        </w:rPr>
        <w:t>vs</w:t>
      </w:r>
      <w:r w:rsidRPr="00F26395">
        <w:rPr>
          <w:rFonts w:ascii="Book Antiqua" w:hAnsi="Book Antiqua"/>
        </w:rPr>
        <w:t xml:space="preserve"> 99.1%) or nausea/vomiting (97.5% </w:t>
      </w:r>
      <w:r w:rsidRPr="00F26395">
        <w:rPr>
          <w:rFonts w:ascii="Book Antiqua" w:hAnsi="Book Antiqua"/>
          <w:i/>
          <w:iCs/>
        </w:rPr>
        <w:t>vs</w:t>
      </w:r>
      <w:r w:rsidRPr="00F26395">
        <w:rPr>
          <w:rFonts w:ascii="Book Antiqua" w:hAnsi="Book Antiqua"/>
        </w:rPr>
        <w:t xml:space="preserve"> 96.8%). Normal-appearing mucosa was generally as specific (91.3%) as abnormal mucosa (58.7</w:t>
      </w:r>
      <w:r w:rsidR="00977199" w:rsidRPr="00F26395">
        <w:rPr>
          <w:rFonts w:ascii="Book Antiqua" w:hAnsi="Book Antiqua"/>
        </w:rPr>
        <w:t>%-</w:t>
      </w:r>
      <w:r w:rsidRPr="00F26395">
        <w:rPr>
          <w:rFonts w:ascii="Book Antiqua" w:hAnsi="Book Antiqua"/>
        </w:rPr>
        <w:t xml:space="preserve">97.8%) for the presence of </w:t>
      </w:r>
      <w:proofErr w:type="spellStart"/>
      <w:r w:rsidRPr="00F26395">
        <w:rPr>
          <w:rFonts w:ascii="Book Antiqua" w:hAnsi="Book Antiqua"/>
        </w:rPr>
        <w:t>aGVHD</w:t>
      </w:r>
      <w:proofErr w:type="spellEnd"/>
      <w:r w:rsidRPr="00F26395">
        <w:rPr>
          <w:rFonts w:ascii="Book Antiqua" w:hAnsi="Book Antiqua"/>
        </w:rPr>
        <w:t>. Adverse events such as bleeding (1.0%), infection (1.0%), and perforation (0.5%) only occurred in a small proportion of patients</w:t>
      </w:r>
      <w:r w:rsidR="009733C1" w:rsidRPr="00F26395">
        <w:rPr>
          <w:rFonts w:ascii="Book Antiqua" w:hAnsi="Book Antiqua"/>
        </w:rPr>
        <w:t>, with</w:t>
      </w:r>
      <w:r w:rsidRPr="00F26395">
        <w:rPr>
          <w:rFonts w:ascii="Book Antiqua" w:hAnsi="Book Antiqua"/>
        </w:rPr>
        <w:t xml:space="preserve"> no significant differences in</w:t>
      </w:r>
      <w:r w:rsidR="009733C1" w:rsidRPr="00F26395">
        <w:rPr>
          <w:rFonts w:ascii="Book Antiqua" w:hAnsi="Book Antiqua"/>
        </w:rPr>
        <w:t xml:space="preserve"> those with underlying</w:t>
      </w:r>
      <w:r w:rsidRPr="00F26395">
        <w:rPr>
          <w:rFonts w:ascii="Book Antiqua" w:hAnsi="Book Antiqua"/>
        </w:rPr>
        <w:t xml:space="preserve"> thrombocytopen</w:t>
      </w:r>
      <w:r w:rsidR="009733C1" w:rsidRPr="00F26395">
        <w:rPr>
          <w:rFonts w:ascii="Book Antiqua" w:hAnsi="Book Antiqua"/>
        </w:rPr>
        <w:t>ia</w:t>
      </w:r>
      <w:r w:rsidRPr="00F26395">
        <w:rPr>
          <w:rFonts w:ascii="Book Antiqua" w:hAnsi="Book Antiqua"/>
        </w:rPr>
        <w:t xml:space="preserve"> (</w:t>
      </w:r>
      <w:r w:rsidRPr="00F26395">
        <w:rPr>
          <w:rFonts w:ascii="Book Antiqua" w:hAnsi="Book Antiqua"/>
          <w:i/>
          <w:iCs/>
        </w:rPr>
        <w:t>P</w:t>
      </w:r>
      <w:r w:rsidRPr="00F26395">
        <w:rPr>
          <w:rFonts w:ascii="Book Antiqua" w:hAnsi="Book Antiqua"/>
        </w:rPr>
        <w:t xml:space="preserve"> = 1.000) and neutropen</w:t>
      </w:r>
      <w:r w:rsidR="009733C1" w:rsidRPr="00F26395">
        <w:rPr>
          <w:rFonts w:ascii="Book Antiqua" w:hAnsi="Book Antiqua"/>
        </w:rPr>
        <w:t>ia</w:t>
      </w:r>
      <w:r w:rsidRPr="00F26395">
        <w:rPr>
          <w:rFonts w:ascii="Book Antiqua" w:hAnsi="Book Antiqua"/>
        </w:rPr>
        <w:t xml:space="preserve"> (</w:t>
      </w:r>
      <w:r w:rsidRPr="00F26395">
        <w:rPr>
          <w:rFonts w:ascii="Book Antiqua" w:hAnsi="Book Antiqua"/>
          <w:i/>
          <w:iCs/>
        </w:rPr>
        <w:t>P</w:t>
      </w:r>
      <w:r w:rsidRPr="00F26395">
        <w:rPr>
          <w:rFonts w:ascii="Book Antiqua" w:hAnsi="Book Antiqua"/>
        </w:rPr>
        <w:t xml:space="preserve"> = 0.425).</w:t>
      </w:r>
    </w:p>
    <w:p w14:paraId="2629F1BB" w14:textId="77777777" w:rsidR="001D55C9" w:rsidRPr="00F26395" w:rsidRDefault="001D55C9" w:rsidP="00F26395">
      <w:pPr>
        <w:spacing w:line="360" w:lineRule="auto"/>
        <w:jc w:val="both"/>
        <w:rPr>
          <w:rFonts w:ascii="Book Antiqua" w:hAnsi="Book Antiqua"/>
          <w:lang w:eastAsia="zh-CN"/>
        </w:rPr>
      </w:pPr>
    </w:p>
    <w:p w14:paraId="322B66B4" w14:textId="77777777" w:rsidR="001D55C9" w:rsidRPr="00F26395" w:rsidRDefault="001D55C9" w:rsidP="00F26395">
      <w:pPr>
        <w:spacing w:line="360" w:lineRule="auto"/>
        <w:jc w:val="both"/>
        <w:rPr>
          <w:rFonts w:ascii="Book Antiqua" w:hAnsi="Book Antiqua"/>
        </w:rPr>
      </w:pPr>
      <w:r w:rsidRPr="00F26395">
        <w:rPr>
          <w:rFonts w:ascii="Book Antiqua" w:hAnsi="Book Antiqua"/>
        </w:rPr>
        <w:t>CONCLUSION</w:t>
      </w:r>
    </w:p>
    <w:p w14:paraId="215331FC" w14:textId="6F407F97" w:rsidR="00161EB0" w:rsidRPr="00F26395" w:rsidRDefault="001D55C9" w:rsidP="00F26395">
      <w:pPr>
        <w:spacing w:line="360" w:lineRule="auto"/>
        <w:jc w:val="both"/>
        <w:rPr>
          <w:rFonts w:ascii="Book Antiqua" w:hAnsi="Book Antiqua"/>
        </w:rPr>
      </w:pPr>
      <w:r w:rsidRPr="00F26395">
        <w:rPr>
          <w:rFonts w:ascii="Book Antiqua" w:hAnsi="Book Antiqua"/>
        </w:rPr>
        <w:t>Combined EGD and FS with biopsies of normal and inflamed mucosa demonstrated the greatest diagnostic yield regardless of presenting symptom and appears to be safe in this population of patients.</w:t>
      </w:r>
    </w:p>
    <w:p w14:paraId="186BC3FC" w14:textId="77777777" w:rsidR="001D55C9" w:rsidRPr="00F26395" w:rsidRDefault="001D55C9" w:rsidP="00F26395">
      <w:pPr>
        <w:spacing w:line="360" w:lineRule="auto"/>
        <w:jc w:val="both"/>
        <w:rPr>
          <w:rFonts w:ascii="Book Antiqua" w:hAnsi="Book Antiqua"/>
          <w:color w:val="000000"/>
        </w:rPr>
      </w:pPr>
    </w:p>
    <w:p w14:paraId="0FB1503D" w14:textId="3EAEEFB4" w:rsidR="00161EB0" w:rsidRPr="00F26395" w:rsidRDefault="00161EB0" w:rsidP="00F26395">
      <w:pPr>
        <w:spacing w:line="360" w:lineRule="auto"/>
        <w:jc w:val="both"/>
        <w:rPr>
          <w:rFonts w:ascii="Book Antiqua" w:hAnsi="Book Antiqua"/>
        </w:rPr>
      </w:pPr>
      <w:r w:rsidRPr="00F26395">
        <w:rPr>
          <w:rFonts w:ascii="Book Antiqua" w:hAnsi="Book Antiqua"/>
          <w:b/>
        </w:rPr>
        <w:t>Key</w:t>
      </w:r>
      <w:r w:rsidR="00E844A0">
        <w:rPr>
          <w:rFonts w:ascii="Book Antiqua" w:hAnsi="Book Antiqua"/>
          <w:b/>
        </w:rPr>
        <w:t xml:space="preserve"> </w:t>
      </w:r>
      <w:r w:rsidRPr="00E844A0">
        <w:rPr>
          <w:rFonts w:ascii="Book Antiqua" w:hAnsi="Book Antiqua"/>
          <w:b/>
          <w:caps/>
        </w:rPr>
        <w:t>w</w:t>
      </w:r>
      <w:r w:rsidRPr="00F26395">
        <w:rPr>
          <w:rFonts w:ascii="Book Antiqua" w:hAnsi="Book Antiqua"/>
          <w:b/>
        </w:rPr>
        <w:t xml:space="preserve">ords: </w:t>
      </w:r>
      <w:r w:rsidR="00977199" w:rsidRPr="00F26395">
        <w:rPr>
          <w:rFonts w:ascii="Book Antiqua" w:hAnsi="Book Antiqua"/>
        </w:rPr>
        <w:t>Graft-</w:t>
      </w:r>
      <w:r w:rsidR="00977199" w:rsidRPr="00F26395">
        <w:rPr>
          <w:rFonts w:ascii="Book Antiqua" w:hAnsi="Book Antiqua"/>
          <w:i/>
          <w:iCs/>
        </w:rPr>
        <w:t>vs</w:t>
      </w:r>
      <w:r w:rsidR="00977199" w:rsidRPr="00F26395">
        <w:rPr>
          <w:rFonts w:ascii="Book Antiqua" w:hAnsi="Book Antiqua"/>
        </w:rPr>
        <w:t>-host disease</w:t>
      </w:r>
      <w:r w:rsidRPr="00F26395">
        <w:rPr>
          <w:rFonts w:ascii="Book Antiqua" w:hAnsi="Book Antiqua"/>
        </w:rPr>
        <w:t xml:space="preserve">; Esophagogastroduodenoscopy; Colonoscopy; Endoscopy; Flexible sigmoidoscopy; Stem cell transplant; </w:t>
      </w:r>
      <w:r w:rsidR="00977199" w:rsidRPr="00F26395">
        <w:rPr>
          <w:rFonts w:ascii="Book Antiqua" w:hAnsi="Book Antiqua"/>
        </w:rPr>
        <w:t>Hematopoietic stem cell transplant</w:t>
      </w:r>
      <w:r w:rsidRPr="00F26395">
        <w:rPr>
          <w:rFonts w:ascii="Book Antiqua" w:hAnsi="Book Antiqua"/>
        </w:rPr>
        <w:t>; Thrombocytopenia; Neutropenia; Malignancy</w:t>
      </w:r>
    </w:p>
    <w:p w14:paraId="7D617826" w14:textId="77777777" w:rsidR="00977199" w:rsidRPr="00F26395" w:rsidRDefault="00977199" w:rsidP="00F26395">
      <w:pPr>
        <w:spacing w:line="360" w:lineRule="auto"/>
        <w:jc w:val="both"/>
        <w:rPr>
          <w:rFonts w:ascii="Book Antiqua" w:hAnsi="Book Antiqua"/>
          <w:b/>
        </w:rPr>
      </w:pPr>
    </w:p>
    <w:p w14:paraId="42D0E945" w14:textId="3948B4ED" w:rsidR="00977199" w:rsidRPr="00F26395" w:rsidRDefault="00977199" w:rsidP="00F26395">
      <w:pPr>
        <w:spacing w:line="360" w:lineRule="auto"/>
        <w:jc w:val="both"/>
        <w:rPr>
          <w:rFonts w:ascii="Book Antiqua" w:hAnsi="Book Antiqua"/>
          <w:b/>
        </w:rPr>
      </w:pPr>
      <w:proofErr w:type="spellStart"/>
      <w:r w:rsidRPr="00F26395">
        <w:rPr>
          <w:rFonts w:ascii="Book Antiqua" w:eastAsia="Book Antiqua" w:hAnsi="Book Antiqua" w:cs="Book Antiqua"/>
          <w:color w:val="000000"/>
        </w:rPr>
        <w:t>Rajan</w:t>
      </w:r>
      <w:proofErr w:type="spellEnd"/>
      <w:r w:rsidRPr="00F26395">
        <w:rPr>
          <w:rFonts w:ascii="Book Antiqua" w:eastAsia="Book Antiqua" w:hAnsi="Book Antiqua" w:cs="Book Antiqua"/>
          <w:color w:val="000000"/>
        </w:rPr>
        <w:t xml:space="preserve"> AV, Trieu H, Chu P, Lin J, </w:t>
      </w:r>
      <w:proofErr w:type="spellStart"/>
      <w:r w:rsidRPr="00F26395">
        <w:rPr>
          <w:rFonts w:ascii="Book Antiqua" w:eastAsia="Book Antiqua" w:hAnsi="Book Antiqua" w:cs="Book Antiqua"/>
          <w:color w:val="000000"/>
        </w:rPr>
        <w:t>Kidambi</w:t>
      </w:r>
      <w:proofErr w:type="spellEnd"/>
      <w:r w:rsidRPr="00F26395">
        <w:rPr>
          <w:rFonts w:ascii="Book Antiqua" w:eastAsia="Book Antiqua" w:hAnsi="Book Antiqua" w:cs="Book Antiqua"/>
          <w:color w:val="000000"/>
        </w:rPr>
        <w:t xml:space="preserve"> TD. </w:t>
      </w:r>
      <w:r w:rsidRPr="00F26395">
        <w:rPr>
          <w:rFonts w:ascii="Book Antiqua" w:hAnsi="Book Antiqua"/>
          <w:bCs/>
        </w:rPr>
        <w:t>Assessing the yield and safety of endoscopy in acute graft-</w:t>
      </w:r>
      <w:r w:rsidRPr="00F26395">
        <w:rPr>
          <w:rFonts w:ascii="Book Antiqua" w:hAnsi="Book Antiqua"/>
          <w:bCs/>
          <w:i/>
          <w:iCs/>
        </w:rPr>
        <w:t>vs</w:t>
      </w:r>
      <w:r w:rsidRPr="00F26395">
        <w:rPr>
          <w:rFonts w:ascii="Book Antiqua" w:hAnsi="Book Antiqua"/>
          <w:bCs/>
        </w:rPr>
        <w:t>-host disease after hematopoietic stem cell transplant</w:t>
      </w:r>
      <w:r w:rsidRPr="00F26395">
        <w:rPr>
          <w:rFonts w:ascii="Book Antiqua" w:eastAsia="Book Antiqua" w:hAnsi="Book Antiqua" w:cs="Book Antiqua"/>
          <w:color w:val="000000"/>
        </w:rPr>
        <w:t xml:space="preserve">. </w:t>
      </w:r>
      <w:r w:rsidRPr="00F26395">
        <w:rPr>
          <w:rFonts w:ascii="Book Antiqua" w:eastAsia="Book Antiqua" w:hAnsi="Book Antiqua" w:cs="Book Antiqua"/>
          <w:i/>
          <w:iCs/>
          <w:color w:val="000000"/>
        </w:rPr>
        <w:t xml:space="preserve">World J </w:t>
      </w:r>
      <w:proofErr w:type="spellStart"/>
      <w:r w:rsidRPr="00F26395">
        <w:rPr>
          <w:rFonts w:ascii="Book Antiqua" w:eastAsia="Book Antiqua" w:hAnsi="Book Antiqua" w:cs="Book Antiqua"/>
          <w:i/>
          <w:iCs/>
          <w:color w:val="000000"/>
        </w:rPr>
        <w:t>Gastrointest</w:t>
      </w:r>
      <w:proofErr w:type="spellEnd"/>
      <w:r w:rsidRPr="00F26395">
        <w:rPr>
          <w:rFonts w:ascii="Book Antiqua" w:eastAsia="Book Antiqua" w:hAnsi="Book Antiqua" w:cs="Book Antiqua"/>
          <w:i/>
          <w:iCs/>
          <w:color w:val="000000"/>
        </w:rPr>
        <w:t xml:space="preserve"> </w:t>
      </w:r>
      <w:proofErr w:type="spellStart"/>
      <w:r w:rsidRPr="00F26395">
        <w:rPr>
          <w:rFonts w:ascii="Book Antiqua" w:eastAsia="Book Antiqua" w:hAnsi="Book Antiqua" w:cs="Book Antiqua"/>
          <w:i/>
          <w:iCs/>
          <w:color w:val="000000"/>
        </w:rPr>
        <w:t>Endosc</w:t>
      </w:r>
      <w:proofErr w:type="spellEnd"/>
      <w:r w:rsidRPr="00F26395">
        <w:rPr>
          <w:rFonts w:ascii="Book Antiqua" w:eastAsia="Book Antiqua" w:hAnsi="Book Antiqua" w:cs="Book Antiqua"/>
          <w:color w:val="000000"/>
        </w:rPr>
        <w:t xml:space="preserve"> 2020; In press</w:t>
      </w:r>
    </w:p>
    <w:p w14:paraId="6391C2DF" w14:textId="77777777" w:rsidR="00977199" w:rsidRPr="00F26395" w:rsidRDefault="00977199" w:rsidP="00F26395">
      <w:pPr>
        <w:spacing w:line="360" w:lineRule="auto"/>
        <w:jc w:val="both"/>
        <w:rPr>
          <w:rFonts w:ascii="Book Antiqua" w:hAnsi="Book Antiqua"/>
        </w:rPr>
      </w:pPr>
    </w:p>
    <w:p w14:paraId="69EDD7CD" w14:textId="59AE7F18" w:rsidR="00977199" w:rsidRPr="00F26395" w:rsidRDefault="00977199" w:rsidP="00F26395">
      <w:pPr>
        <w:spacing w:line="360" w:lineRule="auto"/>
        <w:jc w:val="both"/>
        <w:rPr>
          <w:rFonts w:ascii="Book Antiqua" w:hAnsi="Book Antiqua"/>
        </w:rPr>
      </w:pPr>
      <w:r w:rsidRPr="00F26395">
        <w:rPr>
          <w:rFonts w:ascii="Book Antiqua" w:eastAsia="Book Antiqua" w:hAnsi="Book Antiqua" w:cs="Book Antiqua"/>
          <w:b/>
          <w:bCs/>
          <w:color w:val="000000"/>
        </w:rPr>
        <w:t xml:space="preserve">Core </w:t>
      </w:r>
      <w:r w:rsidRPr="00E844A0">
        <w:rPr>
          <w:rFonts w:ascii="Book Antiqua" w:eastAsia="Book Antiqua" w:hAnsi="Book Antiqua" w:cs="Book Antiqua"/>
          <w:b/>
          <w:bCs/>
          <w:caps/>
          <w:color w:val="000000"/>
        </w:rPr>
        <w:t>t</w:t>
      </w:r>
      <w:r w:rsidRPr="00F26395">
        <w:rPr>
          <w:rFonts w:ascii="Book Antiqua" w:eastAsia="Book Antiqua" w:hAnsi="Book Antiqua" w:cs="Book Antiqua"/>
          <w:b/>
          <w:bCs/>
          <w:color w:val="000000"/>
        </w:rPr>
        <w:t xml:space="preserve">ip: </w:t>
      </w:r>
      <w:bookmarkStart w:id="19" w:name="OLE_LINK2378"/>
      <w:bookmarkStart w:id="20" w:name="OLE_LINK2379"/>
      <w:r w:rsidRPr="00F26395">
        <w:rPr>
          <w:rFonts w:ascii="Book Antiqua" w:eastAsia="Book Antiqua" w:hAnsi="Book Antiqua" w:cs="Book Antiqua"/>
          <w:color w:val="000000"/>
        </w:rPr>
        <w:t xml:space="preserve">We analyzed a retrospective cohort of 195 endoscopies performed in cancer patients who had a hematopoietic stem cell transplant less than 100 d prior to endoscopy and evaluated the diagnostic value of various endoscopic procedures, gross endoscopic findings, and presenting symptoms. Our findings show that combined </w:t>
      </w:r>
      <w:r w:rsidRPr="00F26395">
        <w:rPr>
          <w:rFonts w:ascii="Book Antiqua" w:hAnsi="Book Antiqua"/>
        </w:rPr>
        <w:t>esophagogastroduodenoscopy</w:t>
      </w:r>
      <w:r w:rsidRPr="00F26395">
        <w:rPr>
          <w:rFonts w:ascii="Book Antiqua" w:eastAsia="Book Antiqua" w:hAnsi="Book Antiqua" w:cs="Book Antiqua"/>
          <w:color w:val="000000"/>
        </w:rPr>
        <w:t xml:space="preserve"> and </w:t>
      </w:r>
      <w:r w:rsidRPr="00F26395">
        <w:rPr>
          <w:rFonts w:ascii="Book Antiqua" w:hAnsi="Book Antiqua"/>
        </w:rPr>
        <w:t>flexible sigmoidoscopy</w:t>
      </w:r>
      <w:r w:rsidRPr="00F26395">
        <w:rPr>
          <w:rFonts w:ascii="Book Antiqua" w:eastAsia="Book Antiqua" w:hAnsi="Book Antiqua" w:cs="Book Antiqua"/>
          <w:color w:val="000000"/>
        </w:rPr>
        <w:t xml:space="preserve"> with biopsies of normal and abnormal-appearing mucosa results in the greatest yield for diagnosing </w:t>
      </w:r>
      <w:r w:rsidRPr="00F26395">
        <w:rPr>
          <w:rFonts w:ascii="Book Antiqua" w:hAnsi="Book Antiqua"/>
          <w:lang w:eastAsia="zh-CN"/>
        </w:rPr>
        <w:t>a</w:t>
      </w:r>
      <w:r w:rsidRPr="00F26395">
        <w:rPr>
          <w:rFonts w:ascii="Book Antiqua" w:hAnsi="Book Antiqua"/>
        </w:rPr>
        <w:t>cute gastrointestinal graft-</w:t>
      </w:r>
      <w:r w:rsidRPr="00F26395">
        <w:rPr>
          <w:rFonts w:ascii="Book Antiqua" w:hAnsi="Book Antiqua"/>
          <w:i/>
          <w:iCs/>
        </w:rPr>
        <w:t>vs</w:t>
      </w:r>
      <w:r w:rsidRPr="00F26395">
        <w:rPr>
          <w:rFonts w:ascii="Book Antiqua" w:hAnsi="Book Antiqua"/>
        </w:rPr>
        <w:t>-host disease</w:t>
      </w:r>
      <w:r w:rsidRPr="00F26395">
        <w:rPr>
          <w:rFonts w:ascii="Book Antiqua" w:eastAsia="Book Antiqua" w:hAnsi="Book Antiqua" w:cs="Book Antiqua"/>
          <w:color w:val="000000"/>
        </w:rPr>
        <w:t xml:space="preserve"> independent of symptoms. Additionally, we found no significant difference in adverse events in patients with and without thrombocytopenia and neutropenia.</w:t>
      </w:r>
      <w:bookmarkEnd w:id="19"/>
      <w:bookmarkEnd w:id="20"/>
    </w:p>
    <w:p w14:paraId="60423B51" w14:textId="77777777" w:rsidR="00977199" w:rsidRPr="00F26395" w:rsidRDefault="00977199" w:rsidP="00F26395">
      <w:pPr>
        <w:spacing w:line="360" w:lineRule="auto"/>
        <w:jc w:val="both"/>
        <w:rPr>
          <w:rFonts w:ascii="Book Antiqua" w:hAnsi="Book Antiqua"/>
        </w:rPr>
        <w:sectPr w:rsidR="00977199" w:rsidRPr="00F26395" w:rsidSect="00AE4C98">
          <w:pgSz w:w="12240" w:h="15840"/>
          <w:pgMar w:top="1440" w:right="1440" w:bottom="1440" w:left="1440" w:header="720" w:footer="720" w:gutter="0"/>
          <w:cols w:space="720"/>
          <w:docGrid w:linePitch="360"/>
        </w:sectPr>
      </w:pPr>
    </w:p>
    <w:p w14:paraId="1C8ACFC4" w14:textId="2AA3B7B5" w:rsidR="00161EB0" w:rsidRPr="00F26395" w:rsidRDefault="00977199" w:rsidP="00F26395">
      <w:pPr>
        <w:spacing w:line="360" w:lineRule="auto"/>
        <w:jc w:val="both"/>
        <w:rPr>
          <w:rFonts w:ascii="Book Antiqua" w:hAnsi="Book Antiqua"/>
          <w:b/>
          <w:u w:val="single"/>
        </w:rPr>
      </w:pPr>
      <w:r w:rsidRPr="00F26395">
        <w:rPr>
          <w:rFonts w:ascii="Book Antiqua" w:hAnsi="Book Antiqua"/>
          <w:b/>
          <w:u w:val="single"/>
        </w:rPr>
        <w:lastRenderedPageBreak/>
        <w:t>INTRODUCTION</w:t>
      </w:r>
    </w:p>
    <w:p w14:paraId="145150C5" w14:textId="26D96FFB" w:rsidR="00161EB0" w:rsidRPr="00F26395" w:rsidRDefault="00161EB0" w:rsidP="00F26395">
      <w:pPr>
        <w:spacing w:line="360" w:lineRule="auto"/>
        <w:jc w:val="both"/>
        <w:rPr>
          <w:rFonts w:ascii="Book Antiqua" w:hAnsi="Book Antiqua"/>
          <w:color w:val="FF0000"/>
        </w:rPr>
      </w:pPr>
      <w:r w:rsidRPr="00F26395">
        <w:rPr>
          <w:rFonts w:ascii="Book Antiqua" w:hAnsi="Book Antiqua"/>
        </w:rPr>
        <w:t>Graft-</w:t>
      </w:r>
      <w:r w:rsidRPr="00F26395">
        <w:rPr>
          <w:rFonts w:ascii="Book Antiqua" w:hAnsi="Book Antiqua"/>
          <w:i/>
          <w:iCs/>
        </w:rPr>
        <w:t>vs</w:t>
      </w:r>
      <w:r w:rsidRPr="00F26395">
        <w:rPr>
          <w:rFonts w:ascii="Book Antiqua" w:hAnsi="Book Antiqua"/>
        </w:rPr>
        <w:t>-</w:t>
      </w:r>
      <w:bookmarkStart w:id="21" w:name="OLE_LINK2145"/>
      <w:bookmarkStart w:id="22" w:name="OLE_LINK2146"/>
      <w:r w:rsidRPr="00F26395">
        <w:rPr>
          <w:rFonts w:ascii="Book Antiqua" w:hAnsi="Book Antiqua"/>
        </w:rPr>
        <w:t>host disease</w:t>
      </w:r>
      <w:bookmarkEnd w:id="21"/>
      <w:bookmarkEnd w:id="22"/>
      <w:r w:rsidRPr="00F26395">
        <w:rPr>
          <w:rFonts w:ascii="Book Antiqua" w:hAnsi="Book Antiqua"/>
        </w:rPr>
        <w:t xml:space="preserve"> (GVHD) is the most common life-threatening complication of allogeneic </w:t>
      </w:r>
      <w:bookmarkStart w:id="23" w:name="OLE_LINK2147"/>
      <w:bookmarkStart w:id="24" w:name="OLE_LINK2148"/>
      <w:r w:rsidRPr="00F26395">
        <w:rPr>
          <w:rFonts w:ascii="Book Antiqua" w:hAnsi="Book Antiqua"/>
        </w:rPr>
        <w:t>hematopoietic stem cell transplant</w:t>
      </w:r>
      <w:bookmarkEnd w:id="23"/>
      <w:bookmarkEnd w:id="24"/>
      <w:r w:rsidRPr="00F26395">
        <w:rPr>
          <w:rFonts w:ascii="Book Antiqua" w:hAnsi="Book Antiqua"/>
        </w:rPr>
        <w:t xml:space="preserve"> (HSCT) with the </w:t>
      </w:r>
      <w:bookmarkStart w:id="25" w:name="OLE_LINK2149"/>
      <w:bookmarkStart w:id="26" w:name="OLE_LINK2150"/>
      <w:r w:rsidRPr="00F26395">
        <w:rPr>
          <w:rFonts w:ascii="Book Antiqua" w:hAnsi="Book Antiqua"/>
        </w:rPr>
        <w:t>gastrointestinal</w:t>
      </w:r>
      <w:bookmarkEnd w:id="25"/>
      <w:bookmarkEnd w:id="26"/>
      <w:r w:rsidRPr="00F26395">
        <w:rPr>
          <w:rFonts w:ascii="Book Antiqua" w:hAnsi="Book Antiqua"/>
        </w:rPr>
        <w:t xml:space="preserve"> (GI) tract commonly involved</w:t>
      </w:r>
      <w:r w:rsidRPr="00F26395">
        <w:rPr>
          <w:rFonts w:ascii="Book Antiqua" w:hAnsi="Book Antiqua"/>
        </w:rPr>
        <w:fldChar w:fldCharType="begin" w:fldLock="1"/>
      </w:r>
      <w:r w:rsidR="007B75F6" w:rsidRPr="00F26395">
        <w:rPr>
          <w:rFonts w:ascii="Book Antiqua" w:hAnsi="Book Antiqua"/>
        </w:rPr>
        <w:instrText>ADDIN CSL_CITATION {"citationItems":[{"id":"ITEM-1","itemData":{"DOI":"10.1038/nrgastro.2017.126","ISSN":"17595053","PMID":"28951581","abstract":"Haematopoietic stem cell transplantation (HSCT) is central to the management of many haematological disorders. A frequent complication of HSCT is acute graft-versus-host disease (GVHD), a condition in which immune cells from the donor attack healthy recipient tissues. The gastrointestinal system is among the most common sites affected by acute GVHD, and severe manifestations of acute GVHD of the gut portends a poor prognosis in patients after HSCT. Acute GVHD of the gastrointestinal tract presents both diagnostic and therapeutic challenges. Although the clinical manifestations are nonspecific and overlap with those of infection and drug toxicity, diagnosis is ultimately based on clinical criteria. As reliable serum biomarkers have not yet been validated outside of clinical trials, endoscopic and histopathological evaluation continue to be utilized in diagnosis. Once a diagnosis of gastrointestinal acute GVHD is established, therapy with systemic corticosteroids is typically initiated, and non-responders can be treated with a wide range of second-line therapies. In addition to treating the underlying disease, the management of complications including profuse diarrhoea, severe malnutrition and gastrointestinal bleeding is paramount. In this Review, we discuss strategies for the diagnosis and management of acute GVHD of the gastrointestinal tract as they pertain to the practising gastroenterologist.","author":[{"dropping-particle":"","family":"Naymagon","given":"Steven","non-dropping-particle":"","parse-names":false,"suffix":""},{"dropping-particle":"","family":"Naymagon","given":"Leonard","non-dropping-particle":"","parse-names":false,"suffix":""},{"dropping-particle":"","family":"Wong","given":"Serre Yu","non-dropping-particle":"","parse-names":false,"suffix":""},{"dropping-particle":"","family":"Ko","given":"Huaibin Mabel","non-dropping-particle":"","parse-names":false,"suffix":""},{"dropping-particle":"","family":"Renteria","given":"Anne","non-dropping-particle":"","parse-names":false,"suffix":""},{"dropping-particle":"","family":"Levine","given":"John","non-dropping-particle":"","parse-names":false,"suffix":""},{"dropping-particle":"","family":"Colombel","given":"Jean Frederic","non-dropping-particle":"","parse-names":false,"suffix":""},{"dropping-particle":"","family":"Ferrara","given":"James","non-dropping-particle":"","parse-names":false,"suffix":""}],"container-title":"Nature Reviews Gastroenterology and Hepatology","id":"ITEM-1","issue":"12","issued":{"date-parts":[["2017","12","1"]]},"page":"711-726","publisher":"Nature Publishing Group","title":"Acute graft-versus-host disease of the gut: Considerations for the gastroenterologist","type":"article","volume":"14"},"uris":["http://www.mendeley.com/documents/?uuid=31caf99e-138d-33c0-b5bf-e5bb97503f61"]},{"id":"ITEM-2","itemData":{"DOI":"10.1056/NEJMra1609337","ISSN":"15334406","PMID":"29171820","abstract":"The allogeneic transplantation of hematopoietic cells is a well-established treatment for hematologic diseases that cannot be cured with conventional treatments.1 More than 1 million hematopoietic-cell transplantations have been performed, of which 40% were allogeneic.2 The most common life-threatening complication is graft-versus-host disease (GVHD), which occurs when immunocompetent T cells in the donated tissue (the graft) recognize the recipient (the host) as foreign. The resulting immune response activates donor T cells to gain cytolytic capacity and to then attack the recipient to eliminate foreign antigen-bearing cells. The two main clinical presentations are acute GVHD and chronic GVHD. This review focuses on acute GVHD.","author":[{"dropping-particle":"","family":"Zeiser","given":"Robert","non-dropping-particle":"","parse-names":false,"suffix":""},{"dropping-particle":"","family":"Blazar","given":"Bruce R.","non-dropping-particle":"","parse-names":false,"suffix":""}],"container-title":"New England Journal of Medicine","editor":[{"dropping-particle":"","family":"Longo","given":"Dan L.","non-dropping-particle":"","parse-names":false,"suffix":""}],"id":"ITEM-2","issue":"22","issued":{"date-parts":[["2017","11","30"]]},"page":"2167-2179","publisher":"Massachussetts Medical Society","title":"Acute graft-versus-host disease - Biologic process, prevention, and therapy","type":"article-magazine","volume":"377"},"uris":["http://www.mendeley.com/documents/?uuid=85f728d0-e355-3304-b82c-225bc6076c33"]},{"id":"ITEM-3","itemData":{"DOI":"10.3748/wjg.14.2262","ISSN":"10079327","PMID":"18407606","abstract":"Aim: To evaluate the diagnostic value of endoscopy in patients with gastrointestinal graft-versus-host disease (GI GVHD). Methods: We identified 8 patients with GI GVHD following allogeneic hematopoietic stem cell transplantation (HSCT). GVHD was defined histologically as the presence of gland apoptosis, not explained by other inflammatory or infectious etiologies. Results: The symptoms of GI GVHD included anorexia, nausea, vomiting, watery diarrhea, abdominal pain, GI bleeding, etc. Upper endoscopic appearance varied from subtle mucosal edema, hyperemia, erythema to obvious erosion. Colonoscopic examination showed diffuse edema, hyperemia, patchy erosion, scattered ulcer, sloughing and active bleeding. Histological changes in GI GVHD included apoptosis of crypt epithelial cells, dropout of crypts, and lymphocytic infiltration in epithelium and lamina propria. The involvement of stomach and rectocolon varied from diffuse to focal. Conclusion: Endoscopy may play a significant role in early diagnosis of GI GVHD patients following allogeneic HSCT, and histologic examination of gastrointestinal biopsies is needed to confirm the final diagnosis. © 2008 WJG. All rights reserved.","author":[{"dropping-particle":"","family":"Xu","given":"Chun Fang","non-dropping-particle":"","parse-names":false,"suffix":""},{"dropping-particle":"","family":"Zhu","given":"Lan Xiang","non-dropping-particle":"","parse-names":false,"suffix":""},{"dropping-particle":"","family":"Xu","given":"Xiao Ming","non-dropping-particle":"","parse-names":false,"suffix":""},{"dropping-particle":"","family":"Chen","given":"Wei Chang","non-dropping-particle":"","parse-names":false,"suffix":""},{"dropping-particle":"","family":"Wu","given":"De Pei","non-dropping-particle":"","parse-names":false,"suffix":""}],"container-title":"World Journal of Gastroenterology","id":"ITEM-3","issue":"14","issued":{"date-parts":[["2008","4","14"]]},"page":"2262-2267","publisher":"Baishideng Publishing Group Inc","title":"Endoscopic diagnosis of gastrointestinal graft-versus-host disease","type":"article-journal","volume":"14"},"uris":["http://www.mendeley.com/documents/?uuid=42eb169d-eeab-38f8-80cd-7af330f14998"]},{"id":"ITEM-4","itemData":{"DOI":"10.1097/MEG.0000000000000833","ISSN":"14735687","PMID":"28067684","abstract":"Diarrhea constitutes a frequent and often debilitating complication of allogeneic hematopoietic cell transplantation (alloHCT). Especially when accompanied by jaundice, skin rash, and symptoms of the upper gastrointestinal tract, diarrhea strongly suggests emergence of acute graft-versus-host disease (GvHD), which is a serious immune complication of the procedure, with possible fatal consequences. However, especially when diarrhea occurs as an isolated symptom, the other causes must be excluded before initiation of GvHD treatment with immune-suppressive drugs. In this article, a broad overview of the literature of different causes of diarrhea in the setting of alloHCT is provided, revealing causes and presentations different from those observed in the general population. We discuss gastrointestinal GvHD with a special focus on biomarkers, but also uncover underlying infectious: viral, bacterial, and parasitic as well as toxic causes of diarrhea. Finally, we suggest a practical algorithm of approach to patients with diarrhea after alloHCT, which may help to establish a proper diagnosis and initiate a causative treatment.","author":[{"dropping-particle":"","family":"Robak","given":"Katarzyna","non-dropping-particle":"","parse-names":false,"suffix":""},{"dropping-particle":"","family":"Zambonelli","given":"Joanna","non-dropping-particle":"","parse-names":false,"suffix":""},{"dropping-particle":"","family":"Bilinski","given":"Jaroslaw","non-dropping-particle":"","parse-names":false,"suffix":""},{"dropping-particle":"","family":"Basak","given":"Grzegorz W.","non-dropping-particle":"","parse-names":false,"suffix":""}],"container-title":"European Journal of Gastroenterology and Hepatology","id":"ITEM-4","issue":"5","issued":{"date-parts":[["2017"]]},"page":"495-502","publisher":"Lippincott Williams and Wilkins","title":"Diarrhea after allogeneic stem cell transplantation: Beyond graft-versus-host disease","type":"article","volume":"29"},"uris":["http://www.mendeley.com/documents/?uuid=c1ace9d2-3dd7-3bcf-9399-8178b1e482dd"]}],"mendeley":{"formattedCitation":"&lt;sup&gt;[1–4]&lt;/sup&gt;","plainTextFormattedCitation":"[1–4]","previouslyFormattedCitation":"&lt;sup&gt;[1–4]&lt;/sup&gt;"},"properties":{"noteIndex":0},"schema":"https://github.com/citation-style-language/schema/raw/master/csl-citation.json"}</w:instrText>
      </w:r>
      <w:r w:rsidRPr="00F26395">
        <w:rPr>
          <w:rFonts w:ascii="Book Antiqua" w:hAnsi="Book Antiqua"/>
        </w:rPr>
        <w:fldChar w:fldCharType="separate"/>
      </w:r>
      <w:r w:rsidRPr="00F26395">
        <w:rPr>
          <w:rFonts w:ascii="Book Antiqua" w:hAnsi="Book Antiqua"/>
          <w:noProof/>
          <w:vertAlign w:val="superscript"/>
        </w:rPr>
        <w:t>[1</w:t>
      </w:r>
      <w:r w:rsidR="00977199" w:rsidRPr="00F26395">
        <w:rPr>
          <w:rFonts w:ascii="Book Antiqua" w:hAnsi="Book Antiqua"/>
          <w:noProof/>
          <w:vertAlign w:val="superscript"/>
        </w:rPr>
        <w:t>-</w:t>
      </w:r>
      <w:r w:rsidRPr="00F26395">
        <w:rPr>
          <w:rFonts w:ascii="Book Antiqua" w:hAnsi="Book Antiqua"/>
          <w:noProof/>
          <w:vertAlign w:val="superscript"/>
        </w:rPr>
        <w:t>4]</w:t>
      </w:r>
      <w:r w:rsidRPr="00F26395">
        <w:rPr>
          <w:rFonts w:ascii="Book Antiqua" w:hAnsi="Book Antiqua"/>
        </w:rPr>
        <w:fldChar w:fldCharType="end"/>
      </w:r>
      <w:r w:rsidRPr="00F26395">
        <w:rPr>
          <w:rFonts w:ascii="Book Antiqua" w:hAnsi="Book Antiqua"/>
        </w:rPr>
        <w:t>. Classically, acute GVHD (</w:t>
      </w:r>
      <w:proofErr w:type="spellStart"/>
      <w:r w:rsidRPr="00F26395">
        <w:rPr>
          <w:rFonts w:ascii="Book Antiqua" w:hAnsi="Book Antiqua"/>
        </w:rPr>
        <w:t>aGVHD</w:t>
      </w:r>
      <w:proofErr w:type="spellEnd"/>
      <w:r w:rsidRPr="00F26395">
        <w:rPr>
          <w:rFonts w:ascii="Book Antiqua" w:hAnsi="Book Antiqua"/>
        </w:rPr>
        <w:t>) occurs less than 100 d post-HSCT, while chronic GVHD (</w:t>
      </w:r>
      <w:proofErr w:type="spellStart"/>
      <w:r w:rsidRPr="00F26395">
        <w:rPr>
          <w:rFonts w:ascii="Book Antiqua" w:hAnsi="Book Antiqua"/>
        </w:rPr>
        <w:t>cGVHD</w:t>
      </w:r>
      <w:proofErr w:type="spellEnd"/>
      <w:r w:rsidRPr="00F26395">
        <w:rPr>
          <w:rFonts w:ascii="Book Antiqua" w:hAnsi="Book Antiqua"/>
        </w:rPr>
        <w:t>) occurs after day 100</w:t>
      </w:r>
      <w:r w:rsidRPr="00F26395">
        <w:rPr>
          <w:rFonts w:ascii="Book Antiqua" w:hAnsi="Book Antiqua"/>
        </w:rPr>
        <w:fldChar w:fldCharType="begin" w:fldLock="1"/>
      </w:r>
      <w:r w:rsidRPr="00F26395">
        <w:rPr>
          <w:rFonts w:ascii="Book Antiqua" w:hAnsi="Book Antiqua"/>
        </w:rPr>
        <w:instrText>ADDIN CSL_CITATION {"citationItems":[{"id":"ITEM-1","itemData":{"DOI":"10.1182/blood-2016-07-686642","ISSN":"15280020","PMID":"27821503","abstract":"Chronic graft versus host disease (GVHD) is a major cause of morbidity and mortality after allogeneic hematopoietic cell transplantation. Clinically, chronic GVHD is a pleiotropic, multiorgan syndrome involving tissue inflammation and fibrosis that often results in permanent organ dysfunction. Chronic GVHD is fundamentally caused by replacement of the host's immune system with donor cells, although the heterogeneity of clinical manifestations suggests that patient, donor, and transplant factors modulate the phenotype. The diagnosis of chronic GVHD and determination of treatment response largely rely on clinical examination and patient interview. The 2005 and 2014 National Institutes of Health Consensus Development Projects on Criteria for Clinical Trials in Chronic GVHD standardized the terminology around chronic GVHD classification systems to ensure that a common language and procedures are being used in clinical research. This review provides a summary of these recommendations and illustrates how they are being used in clinical research and the potential for their use in clinical care.","author":[{"dropping-particle":"","family":"Lee","given":"Stephanie J.","non-dropping-particle":"","parse-names":false,"suffix":""}],"container-title":"Blood","id":"ITEM-1","issue":"1","issued":{"date-parts":[["2017","1","5"]]},"page":"30-37","publisher":"American Society of Hematology","title":"Classification systems for chronic graft-versus-host disease","type":"article-journal","volume":"129"},"uris":["http://www.mendeley.com/documents/?uuid=90e99c5f-bf10-3dc9-ac86-93296ea43d25"]}],"mendeley":{"formattedCitation":"&lt;sup&gt;[5]&lt;/sup&gt;","plainTextFormattedCitation":"[5]","previouslyFormattedCitation":"&lt;sup&gt;[5]&lt;/sup&gt;"},"properties":{"noteIndex":0},"schema":"https://github.com/citation-style-language/schema/raw/master/csl-citation.json"}</w:instrText>
      </w:r>
      <w:r w:rsidRPr="00F26395">
        <w:rPr>
          <w:rFonts w:ascii="Book Antiqua" w:hAnsi="Book Antiqua"/>
        </w:rPr>
        <w:fldChar w:fldCharType="separate"/>
      </w:r>
      <w:r w:rsidRPr="00F26395">
        <w:rPr>
          <w:rFonts w:ascii="Book Antiqua" w:hAnsi="Book Antiqua"/>
          <w:noProof/>
          <w:vertAlign w:val="superscript"/>
        </w:rPr>
        <w:t>[5]</w:t>
      </w:r>
      <w:r w:rsidRPr="00F26395">
        <w:rPr>
          <w:rFonts w:ascii="Book Antiqua" w:hAnsi="Book Antiqua"/>
        </w:rPr>
        <w:fldChar w:fldCharType="end"/>
      </w:r>
      <w:r w:rsidRPr="00F26395">
        <w:rPr>
          <w:rFonts w:ascii="Book Antiqua" w:hAnsi="Book Antiqua"/>
        </w:rPr>
        <w:t xml:space="preserve">. Diagnosing </w:t>
      </w:r>
      <w:proofErr w:type="spellStart"/>
      <w:r w:rsidRPr="00F26395">
        <w:rPr>
          <w:rFonts w:ascii="Book Antiqua" w:hAnsi="Book Antiqua"/>
        </w:rPr>
        <w:t>aGVHD</w:t>
      </w:r>
      <w:proofErr w:type="spellEnd"/>
      <w:r w:rsidRPr="00F26395">
        <w:rPr>
          <w:rFonts w:ascii="Book Antiqua" w:hAnsi="Book Antiqua"/>
        </w:rPr>
        <w:t xml:space="preserve"> relies upon clinical findings and is confirmed with tissue biopsy. Endoscopy with esophagogastroduodenoscopy (EGD), colonoscopy, flexible sigmoidoscopy (FS), or combinations of these procedures are often performed to obtain </w:t>
      </w:r>
      <w:r w:rsidR="00977199" w:rsidRPr="00F26395">
        <w:rPr>
          <w:rFonts w:ascii="Book Antiqua" w:hAnsi="Book Antiqua"/>
        </w:rPr>
        <w:t>GI</w:t>
      </w:r>
      <w:r w:rsidRPr="00F26395">
        <w:rPr>
          <w:rFonts w:ascii="Book Antiqua" w:hAnsi="Book Antiqua"/>
        </w:rPr>
        <w:t xml:space="preserve"> tissue to confirm the diagnosis and assess the severity of GVHD </w:t>
      </w:r>
      <w:proofErr w:type="spellStart"/>
      <w:r w:rsidRPr="00F26395">
        <w:rPr>
          <w:rFonts w:ascii="Book Antiqua" w:hAnsi="Book Antiqua"/>
        </w:rPr>
        <w:t>histopathologically</w:t>
      </w:r>
      <w:proofErr w:type="spellEnd"/>
      <w:r w:rsidRPr="00F26395">
        <w:rPr>
          <w:rFonts w:ascii="Book Antiqua" w:hAnsi="Book Antiqua"/>
        </w:rPr>
        <w:fldChar w:fldCharType="begin" w:fldLock="1"/>
      </w:r>
      <w:r w:rsidR="007B75F6" w:rsidRPr="00F26395">
        <w:rPr>
          <w:rFonts w:ascii="Book Antiqua" w:hAnsi="Book Antiqua"/>
        </w:rPr>
        <w:instrText>ADDIN CSL_CITATION {"citationItems":[{"id":"ITEM-1","itemData":{"DOI":"10.1055/s-2007-1005576","ISSN":"0013726X","PMID":"8934085","abstract":"Background and Study Aims: Previous reports have suggested that endoscopic evaluation, with histological and microbiological examination of biopsied tissue, is required to diagnose gastrointestinal disease accurately in patients after allogeneic bone-marrow transplantation. We sought to further define the usefulness, yield, and sensitivity of endoscopic tissue biopsy in this patient population. Patients and Methods: A retrospective review of the clinical, endoscopic, histological, and microbiological data was obtained during the evaluation and treatment of 61 distinct episodes of unexplained gastrointestinal complaints in 37 adult allogeneic bone-marrow transplant recipients over six years at our institution. Results: Acute gastrointestinal graft-versus-host disease was found in 12 of the 61 episodes (20%). Gastrointestinal infections were found in 14 of the 61 episodes (23%); there were Herpesvirus infections (n = 8) and fungal infections (n = 9). Patients with and without graft-versus-host disease were similar in terms of their age, sex, underlying illness, clinical symptoms and signs, physical examination, laboratory values, and endoscopic findings. Small-bowel biopsy had a sensitivity of 90% for detecting the pathological changes of acute intestinal graft-versus-host disease in this series. Conclusion: A high percentage of patients with gastrointestinal complaints after allogeneic bone-marrow transplantation have acute gastrointestinal graft-versus-host disease, or an opportunistic infection. Gastrointestinal graft-versus-host disease cannot be accurately diagnosed from its clinical presentation. Endoscopic small-bowel biopsy is an essential tool in evaluating this patient population.","author":[{"dropping-particle":"","family":"Terdiman","given":"J. P.","non-dropping-particle":"","parse-names":false,"suffix":""},{"dropping-particle":"","family":"Linker","given":"C. A.","non-dropping-particle":"","parse-names":false,"suffix":""},{"dropping-particle":"","family":"Ries","given":"C. A.","non-dropping-particle":"","parse-names":false,"suffix":""},{"dropping-particle":"","family":"Damon","given":"L. E.","non-dropping-particle":"","parse-names":false,"suffix":""},{"dropping-particle":"","family":"Rugo","given":"H. S.","non-dropping-particle":"","parse-names":false,"suffix":""},{"dropping-particle":"","family":"Ostroff","given":"J. W.","non-dropping-particle":"","parse-names":false,"suffix":""}],"container-title":"Endoscopy","id":"ITEM-1","issue":"8","issued":{"date-parts":[["1996"]]},"page":"680-685","publisher":"Georg Thieme Verlag","title":"The role of endoscopic evaluation in patients with suspected intestinal graft-versus-host disease after allogeneic bone-marrow transplantation","type":"article-journal","volume":"28"},"uris":["http://www.mendeley.com/documents/?uuid=d1332c0b-e24d-354b-b9ad-b32a04c3bb7a"]}],"mendeley":{"formattedCitation":"&lt;sup&gt;[6]&lt;/sup&gt;","plainTextFormattedCitation":"[6]","previouslyFormattedCitation":"&lt;sup&gt;[6]&lt;/sup&gt;"},"properties":{"noteIndex":0},"schema":"https://github.com/citation-style-language/schema/raw/master/csl-citation.json"}</w:instrText>
      </w:r>
      <w:r w:rsidRPr="00F26395">
        <w:rPr>
          <w:rFonts w:ascii="Book Antiqua" w:hAnsi="Book Antiqua"/>
        </w:rPr>
        <w:fldChar w:fldCharType="separate"/>
      </w:r>
      <w:r w:rsidRPr="00F26395">
        <w:rPr>
          <w:rFonts w:ascii="Book Antiqua" w:hAnsi="Book Antiqua"/>
          <w:noProof/>
          <w:vertAlign w:val="superscript"/>
        </w:rPr>
        <w:t>[6]</w:t>
      </w:r>
      <w:r w:rsidRPr="00F26395">
        <w:rPr>
          <w:rFonts w:ascii="Book Antiqua" w:hAnsi="Book Antiqua"/>
        </w:rPr>
        <w:fldChar w:fldCharType="end"/>
      </w:r>
      <w:r w:rsidRPr="00F26395">
        <w:rPr>
          <w:rFonts w:ascii="Book Antiqua" w:hAnsi="Book Antiqua"/>
        </w:rPr>
        <w:t>. Histopathological evidence of GVHD is defined by the presence of apoptotic bodies in tissue specimens per updated 2014 NIH consensus guidelines</w:t>
      </w:r>
      <w:r w:rsidRPr="00F26395">
        <w:rPr>
          <w:rFonts w:ascii="Book Antiqua" w:hAnsi="Book Antiqua"/>
        </w:rPr>
        <w:fldChar w:fldCharType="begin" w:fldLock="1"/>
      </w:r>
      <w:r w:rsidRPr="00F26395">
        <w:rPr>
          <w:rFonts w:ascii="Book Antiqua" w:hAnsi="Book Antiqua"/>
        </w:rPr>
        <w:instrText>ADDIN CSL_CITATION {"citationItems":[{"id":"ITEM-1","itemData":{"DOI":"10.1046/j.1365-2141.1997.1112925.x","ISSN":"00071048","PMID":"9217189","abstract":"Acute graft-versus-host disease (GVHD) severity is graded by pattern of organ involvement and clinical performance status using a system introduced by Glucksberg and colleagues 21 years ago. We examined how cell Glucksberg grade predicted transplant outcome and constructed a Severity Index not requiring subjective assessment of performance in 2881 adults receiving an HLA-identical sibling T-cell-depleted (n = 752) nor non-T-cell-depleted (n = 2129) bone marrow transplant for leukaemia between 1986 and 1992. Relative risks (RR) of relapse, treatment-related mortality (TRM) and treatment failure (TF) (relapse or death) were calculated for patients with Glucksberg Grade I, II or III/IV acute GVHD versus those without acute GVHD and for patients with distinct patterns of organ involvement regardless of Glucksberg grade. Using data for non-T-cell-depleted transplants, a Severity Index was developed grouping patients with patterns of organ involvement associated with similar risks of TRM and TF. Higher Glucksberg grade predicted poorer outcome; however, patients with the same grade but different patterns of skin, liver or gut involvement often had significantly different outcomes. The revised Severity Index groups patients in four categories, A-D. Compared to patients without acute GVHD, RRs (95% confidence interval) of TF were 0.85 (0.69, 1.05) for patients with Index A, 1.21 (1.02, 1.43) with B, 2.19 (1.78, 2.71) with C, and 5.69 (4.57, 7.08) with D. Prognostic utility of the Index was tested in patients receiving T- cell-depleted transplants; similar RRs of TF were observed. An acute GVHD Severity Index is proposed to enhance design and interpretation of clinical trials in the current era of allogeneic blood and the bone marrow transplantation.","author":[{"dropping-particle":"","family":"Rowlings","given":"Philip A.","non-dropping-particle":"","parse-names":false,"suffix":""},{"dropping-particle":"","family":"Przepiorka","given":"Donna","non-dropping-particle":"","parse-names":false,"suffix":""},{"dropping-particle":"","family":"Klein","given":"John P.","non-dropping-particle":"","parse-names":false,"suffix":""},{"dropping-particle":"","family":"Gale","given":"Robert Peter","non-dropping-particle":"","parse-names":false,"suffix":""},{"dropping-particle":"","family":"Passweg","given":"Jakob R.","non-dropping-particle":"","parse-names":false,"suffix":""},{"dropping-particle":"","family":"Henslee-Downey","given":"P. Jean","non-dropping-particle":"","parse-names":false,"suffix":""},{"dropping-particle":"","family":"Cahn","given":"Jean Yves","non-dropping-particle":"","parse-names":false,"suffix":""},{"dropping-particle":"","family":"Calderwood","given":"Stan","non-dropping-particle":"","parse-names":false,"suffix":""},{"dropping-particle":"","family":"Gratwohl","given":"Alois","non-dropping-particle":"","parse-names":false,"suffix":""},{"dropping-particle":"","family":"Socié","given":"Gérard","non-dropping-particle":"","parse-names":false,"suffix":""},{"dropping-particle":"","family":"Abecasis","given":"M. M.","non-dropping-particle":"","parse-names":false,"suffix":""},{"dropping-particle":"","family":"Sobocinski","given":"Kathleen A.","non-dropping-particle":"","parse-names":false,"suffix":""},{"dropping-particle":"","family":"Zhang","given":"Mei Jie","non-dropping-particle":"","parse-names":false,"suffix":""},{"dropping-particle":"","family":"Horowitz","given":"Mary M.","non-dropping-particle":"","parse-names":false,"suffix":""}],"container-title":"British Journal of Haematology","id":"ITEM-1","issue":"4","issued":{"date-parts":[["1997"]]},"page":"855-864","publisher":"Blackwell Publishing Ltd","title":"IBMTR Severity Index for grading acute graft-versus-host disease: Retrospective comparison with Glucksberg grade","type":"article-journal","volume":"97"},"uris":["http://www.mendeley.com/documents/?uuid=b8af49ec-c2d8-38be-9096-2d251a6d0cbe"]},{"id":"ITEM-2","itemData":{"DOI":"10.1016/j.bbmt.2014.12.031","ISSN":"15236536","PMID":"25639770","abstract":"The 2005 National Institute of Health (NIH) Consensus Conference outlined histopathological diagnostic criteria for the major organ systems affected by both acute and chronic graft-versus-host disease (GVHD). The 2014 Consensus Conference led to this updated document with new information from histopathological studies of GVHD in the gut, liver, skin, and oral mucosa and an expanded discussion of GVHD in the lungs and kidneys. The recommendations for final histological diagnostic categories have been simplified from 4 categories to 3: no GVHD, possible GVHD, and likely GVHD, based on better reproducibility achieved by combining the previous categories of \"consistent with GVHD\" and \"definite GVHD\" into the single category of \"likely GVHD.\" Issues remain in the histopathological characterization of GVHD, particularly with respect to the threshold of histological changes required for diagnostic certainty. Guidance is provided for the incorporation of biopsy information into prospective clinical studies of GVHD, particularly with respect to biomarker validation.","author":[{"dropping-particle":"","family":"Shulman","given":"Howard M.","non-dropping-particle":"","parse-names":false,"suffix":""},{"dropping-particle":"","family":"Cardona","given":"Diana M.","non-dropping-particle":"","parse-names":false,"suffix":""},{"dropping-particle":"","family":"Greenson","given":"Joel K.","non-dropping-particle":"","parse-names":false,"suffix":""},{"dropping-particle":"","family":"Hingorani","given":"Sangeeta","non-dropping-particle":"","parse-names":false,"suffix":""},{"dropping-particle":"","family":"Horn","given":"Thomas","non-dropping-particle":"","parse-names":false,"suffix":""},{"dropping-particle":"","family":"Huber","given":"Elisabeth","non-dropping-particle":"","parse-names":false,"suffix":""},{"dropping-particle":"","family":"Kreft","given":"Andreas","non-dropping-particle":"","parse-names":false,"suffix":""},{"dropping-particle":"","family":"Longerich","given":"Thomas","non-dropping-particle":"","parse-names":false,"suffix":""},{"dropping-particle":"","family":"Morton","given":"Thomas","non-dropping-particle":"","parse-names":false,"suffix":""},{"dropping-particle":"","family":"Myerson","given":"David","non-dropping-particle":"","parse-names":false,"suffix":""},{"dropping-particle":"","family":"Prieto","given":"Victor G.","non-dropping-particle":"","parse-names":false,"suffix":""},{"dropping-particle":"","family":"Rosenberg","given":"Avi","non-dropping-particle":"","parse-names":false,"suffix":""},{"dropping-particle":"","family":"Treister","given":"Nathaniel","non-dropping-particle":"","parse-names":false,"suffix":""},{"dropping-particle":"","family":"Washington","given":"Kay","non-dropping-particle":"","parse-names":false,"suffix":""},{"dropping-particle":"","family":"Ziemer","given":"Mirjana","non-dropping-particle":"","parse-names":false,"suffix":""},{"dropping-particle":"","family":"Pavletic","given":"Steven Z.","non-dropping-particle":"","parse-names":false,"suffix":""},{"dropping-particle":"","family":"Lee","given":"Stephanie J.","non-dropping-particle":"","parse-names":false,"suffix":""},{"dropping-particle":"","family":"Flowers","given":"Mary E.D.","non-dropping-particle":"","parse-names":false,"suffix":""},{"dropping-particle":"","family":"Schultz","given":"Kirk R.","non-dropping-particle":"","parse-names":false,"suffix":""},{"dropping-particle":"","family":"Jagasia","given":"Madan","non-dropping-particle":"","parse-names":false,"suffix":""},{"dropping-particle":"","family":"Martin","given":"Paul J.","non-dropping-particle":"","parse-names":false,"suffix":""},{"dropping-particle":"","family":"Vogelsang","given":"Georgia B.","non-dropping-particle":"","parse-names":false,"suffix":""},{"dropping-particle":"","family":"Kleiner","given":"David E.","non-dropping-particle":"","parse-names":false,"suffix":""}],"container-title":"Biology of Blood and Marrow Transplantation","id":"ITEM-2","issue":"4","issued":{"date-parts":[["2015","4","1"]]},"page":"589-603","publisher":"Elsevier Inc.","title":"NIH Consensus Development Project on Criteria for Clinical Trials in Chronic Graft-versus-Host Disease: II. The 2014 Pathology Working Group Report","type":"article-journal","volume":"21"},"uris":["http://www.mendeley.com/documents/?uuid=98d27ea3-56c5-36cc-900a-bc012d54968e"]}],"mendeley":{"formattedCitation":"&lt;sup&gt;[7,8]&lt;/sup&gt;","plainTextFormattedCitation":"[7,8]","previouslyFormattedCitation":"&lt;sup&gt;[7,8]&lt;/sup&gt;"},"properties":{"noteIndex":0},"schema":"https://github.com/citation-style-language/schema/raw/master/csl-citation.json"}</w:instrText>
      </w:r>
      <w:r w:rsidRPr="00F26395">
        <w:rPr>
          <w:rFonts w:ascii="Book Antiqua" w:hAnsi="Book Antiqua"/>
        </w:rPr>
        <w:fldChar w:fldCharType="separate"/>
      </w:r>
      <w:r w:rsidRPr="00F26395">
        <w:rPr>
          <w:rFonts w:ascii="Book Antiqua" w:hAnsi="Book Antiqua"/>
          <w:noProof/>
          <w:vertAlign w:val="superscript"/>
        </w:rPr>
        <w:t>[7,8]</w:t>
      </w:r>
      <w:r w:rsidRPr="00F26395">
        <w:rPr>
          <w:rFonts w:ascii="Book Antiqua" w:hAnsi="Book Antiqua"/>
        </w:rPr>
        <w:fldChar w:fldCharType="end"/>
      </w:r>
      <w:r w:rsidRPr="00F26395">
        <w:rPr>
          <w:rFonts w:ascii="Book Antiqua" w:hAnsi="Book Antiqua"/>
        </w:rPr>
        <w:t>.</w:t>
      </w:r>
    </w:p>
    <w:p w14:paraId="0E9462BF" w14:textId="029752D8" w:rsidR="00161EB0" w:rsidRPr="00F26395" w:rsidRDefault="00161EB0" w:rsidP="00F26395">
      <w:pPr>
        <w:spacing w:line="360" w:lineRule="auto"/>
        <w:ind w:firstLineChars="100" w:firstLine="240"/>
        <w:jc w:val="both"/>
        <w:rPr>
          <w:rStyle w:val="apple-tab-span"/>
          <w:rFonts w:ascii="Book Antiqua" w:hAnsi="Book Antiqua"/>
          <w:color w:val="000000"/>
        </w:rPr>
      </w:pPr>
      <w:r w:rsidRPr="00F26395">
        <w:rPr>
          <w:rStyle w:val="apple-tab-span"/>
          <w:rFonts w:ascii="Book Antiqua" w:hAnsi="Book Antiqua"/>
          <w:color w:val="000000"/>
        </w:rPr>
        <w:t xml:space="preserve">Currently, there are limited primary data to guide endoscopic evaluation of </w:t>
      </w:r>
      <w:proofErr w:type="spellStart"/>
      <w:r w:rsidRPr="00F26395">
        <w:rPr>
          <w:rStyle w:val="apple-tab-span"/>
          <w:rFonts w:ascii="Book Antiqua" w:hAnsi="Book Antiqua"/>
          <w:color w:val="000000"/>
        </w:rPr>
        <w:t>aGVHD</w:t>
      </w:r>
      <w:proofErr w:type="spellEnd"/>
      <w:r w:rsidRPr="00F26395">
        <w:rPr>
          <w:rStyle w:val="apple-tab-span"/>
          <w:rFonts w:ascii="Book Antiqua" w:hAnsi="Book Antiqua"/>
          <w:color w:val="000000"/>
        </w:rPr>
        <w:t xml:space="preserve"> in the post-HSCT population. Previous studies examining clinical characteristics and endoscopic findings in </w:t>
      </w:r>
      <w:proofErr w:type="spellStart"/>
      <w:r w:rsidRPr="00F26395">
        <w:rPr>
          <w:rStyle w:val="apple-tab-span"/>
          <w:rFonts w:ascii="Book Antiqua" w:hAnsi="Book Antiqua"/>
          <w:color w:val="000000"/>
        </w:rPr>
        <w:t>aGVHD</w:t>
      </w:r>
      <w:proofErr w:type="spellEnd"/>
      <w:r w:rsidRPr="00F26395">
        <w:rPr>
          <w:rStyle w:val="apple-tab-span"/>
          <w:rFonts w:ascii="Book Antiqua" w:hAnsi="Book Antiqua"/>
          <w:color w:val="000000"/>
        </w:rPr>
        <w:t xml:space="preserve"> patients were limited to small case series in diverse patient populations (children and adults for a variety of indications)</w:t>
      </w:r>
      <w:r w:rsidRPr="00F26395">
        <w:rPr>
          <w:rStyle w:val="apple-tab-span"/>
          <w:rFonts w:ascii="Book Antiqua" w:hAnsi="Book Antiqua"/>
          <w:color w:val="000000"/>
        </w:rPr>
        <w:fldChar w:fldCharType="begin" w:fldLock="1"/>
      </w:r>
      <w:r w:rsidR="007B75F6" w:rsidRPr="00F26395">
        <w:rPr>
          <w:rStyle w:val="apple-tab-span"/>
          <w:rFonts w:ascii="Book Antiqua" w:hAnsi="Book Antiqua"/>
          <w:color w:val="000000"/>
        </w:rPr>
        <w:instrText>ADDIN CSL_CITATION {"citationItems":[{"id":"ITEM-1","itemData":{"DOI":"10.1155/2017/2145986","ISSN":"1687630X","PMID":"29230240","abstract":"Background and Aims. We retrospectively investigated the incidence of acute graft-versus-host disease (GVHD) in the lower gastrointestinal (GI) tract and the diagnostic accuracy of endoscopy. Methods. Of 1231 patients who underwent allogeneic hematopoietic stem cell transplantation between January 2005 and December 2014, 186 of whom underwent colonoscopy and biopsy and had no cytomegalovirus infection. The endoscopic findings and histologic diagnosis from these 186 patients were retrospectively analyzed. Results. Based on the histopathological findings, 171 patients were diagnosed with GVHD, accounting for 13.9% of all transplant recipients. Useful endoscopic findings for the diagnosis of GVHD were atrophy of the ileocecal valve and villous atrophy in the terminal ileum and tortoise shell-like mucosae, edema, and low vascular permeability in the colon. Even when no mucosal abnormality was observed, the incidence of GVHD was 78.9% in the terminal ileum and 75.0% in the colon. Furthermore, patients with mucosal exfoliation, although infrequent, were all diagnosed with grade 3/4 GVHD. Conclusions. It is important to perform endoscopy proactively for the early diagnosis of GVHD, and biopsy should be performed even when no abnormality is observed. In addition, because patients with mucosal exfoliation are extremely likely to have grade 3/4 GVHD, early treatment should be initiated.","author":[{"dropping-particle":"","family":"Nomura","given":"Kosuke","non-dropping-particle":"","parse-names":false,"suffix":""},{"dropping-particle":"","family":"Iizuka","given":"Toshiro","non-dropping-particle":"","parse-names":false,"suffix":""},{"dropping-particle":"","family":"Kaji","given":"Daisuke","non-dropping-particle":"","parse-names":false,"suffix":""},{"dropping-particle":"","family":"Yamamoto","given":"Hisashi","non-dropping-particle":"","parse-names":false,"suffix":""},{"dropping-particle":"","family":"Kuribayashi","given":"Yasutaka","non-dropping-particle":"","parse-names":false,"suffix":""},{"dropping-particle":"","family":"Tanaka","given":"Masami","non-dropping-particle":"","parse-names":false,"suffix":""},{"dropping-particle":"","family":"Furuhata","given":"Tsukasa","non-dropping-particle":"","parse-names":false,"suffix":""},{"dropping-particle":"","family":"Yamashita","given":"Satoshi","non-dropping-particle":"","parse-names":false,"suffix":""},{"dropping-particle":"","family":"Kikuchi","given":"Daisuke","non-dropping-particle":"","parse-names":false,"suffix":""},{"dropping-particle":"","family":"Matsui","given":"Akira","non-dropping-particle":"","parse-names":false,"suffix":""},{"dropping-particle":"","family":"Mitani","given":"Toshifumi","non-dropping-particle":"","parse-names":false,"suffix":""},{"dropping-particle":"","family":"Ota","given":"Yasunori","non-dropping-particle":"","parse-names":false,"suffix":""},{"dropping-particle":"","family":"Taniguchi","given":"Shuichi","non-dropping-particle":"","parse-names":false,"suffix":""},{"dropping-particle":"","family":"Hoteya","given":"Shu","non-dropping-particle":"","parse-names":false,"suffix":""}],"container-title":"Gastroenterology Research and Practice","id":"ITEM-1","issued":{"date-parts":[["2017"]]},"title":"Utility of Endoscopic examination in the diagnosis of acute graft-versus-host disease in the lower gastrointestinal tract","type":"article-journal","volume":"2017"},"uris":["http://www.mendeley.com/documents/?uuid=af6eb532-79e2-3443-81a1-67aad1021872"]},{"id":"ITEM-2","itemData":{"DOI":"10.1038/bmt.2011.137","ISSN":"02683369","PMID":"21706064","abstract":"Diagnosis of acute intestinal GVHD (aGVHD) following allogeneic hematopoietic cell transplantation is based on clinical symptoms and histological lesions. This retrospective analysis aimed to validate the 'Freiburg Criteria' for the endoscopic grading of intestinal aGVHD. Grade 1: no clear-cut criteria; grade 2: spotted erythema; grade 3: aphthous lesions; and grade 4: confluent defects, ulcers, denudation of the mucosa. Having excluded patients with infectious diarrhea, we evaluated 175 consecutive patients between January 2001 and June 2009. Setting a cutoff between grade 1 (no change in therapy) and grade 2 (intensification of immunosuppression), macroscopy had a sensitivity of 89.2% (95% confidence interval (CI): 80.4-94.9%), a specificity of 79.4% (95% CI: 69.6-87.1%), a positive-predictive value of 79.6% (95% CI: 70.0-87.2%) and a negative-predictive value of 89.0% (95% CI: 80.2-94.9%). In all, 20% of patients with aGVHD in the lower gastrointestinal tract (GIT) had lesions only in the terminal ileum. In all patients with aGVHD ≥2 of the upper GIT, typical lesions were also found in the lower GIT. Ileo-colonoscopy showed the highest diagnostic yield for aGVHD. In conclusion, the 'Freiburg Criteria' for macroscopic diagnosis of intestinal aGVHD provide high accuracy for identifying aGVHD ≥2. © 2012 Macmillan Publishers Limited All rights reserved.","author":[{"dropping-particle":"","family":"Kreisel","given":"W.","non-dropping-particle":"","parse-names":false,"suffix":""},{"dropping-particle":"","family":"Dahlberg","given":"M.","non-dropping-particle":"","parse-names":false,"suffix":""},{"dropping-particle":"","family":"Bertz","given":"H.","non-dropping-particle":"","parse-names":false,"suffix":""},{"dropping-particle":"","family":"Harder","given":"J.","non-dropping-particle":"","parse-names":false,"suffix":""},{"dropping-particle":"","family":"Potthoff","given":"K.","non-dropping-particle":"","parse-names":false,"suffix":""},{"dropping-particle":"","family":"Deibert","given":"P.","non-dropping-particle":"","parse-names":false,"suffix":""},{"dropping-particle":"","family":"Schmitt-Graeff","given":"A.","non-dropping-particle":"","parse-names":false,"suffix":""},{"dropping-particle":"","family":"Finke","given":"J.","non-dropping-particle":"","parse-names":false,"suffix":""}],"container-title":"Bone Marrow Transplantation","id":"ITEM-2","issue":"3","issued":{"date-parts":[["2012"]]},"page":"430-438","title":"Endoscopic diagnosis of acute intestinal GVHD following allogeneic hematopoietic SCT: A retrospective analysis in 175 patients","type":"article-journal","volume":"47"},"uris":["http://www.mendeley.com/documents/?uuid=31a69969-1886-4444-9813-83edca363218"]},{"id":"ITEM-3","itemData":{"DOI":"10.1016/j.bbmt.2017.12.772","ISSN":"15236536","PMID":"29246821","abstract":"Gastrointestinal (GI) complications including graft-versus-host disease (GVHD) are a major cause of morbidity and mortality in allogenic stem transplant recipients. Although several studies have previously looked into the acute GI complications, fewer smaller studies have reported late complications. In this large study we focus on the late (100 days post-transplant) GI complications in allogenic stem transplant recipients. In this single-center, retrospective study of all adult allogenic stem cell transplant recipients who had their transplant at Duke University over a 6-year period, 479 patients underwent allogenic stem cell transplant, of whom 392 recipients survived for at least 100 days post-transplant. Late GI symptoms were noted in 71 patients, prompting endoscopic evaluation. The primary endpoint of our study was the diagnosis of GI-GVHD based on endoscopic findings, whereas overall survival and nonrelapse mortality were the secondary endpoints. Of the 71 patients who underwent endoscopy, 45 (63%) had GI-GVHD. Of these 45 patients, 39 (87%) had late acute GVHD, 1 (2%) had chronic GVHD, and 5 patients (11%) had overlap disease. Of the patients who did not have GVHD, the symptoms were mostly related to infectious and inflammatory causes. Less common causes included drug toxicity, food intolerance, disease relapse, and motility issues. In a multivariate analysis the factors most indicative of GI-GVHD were histologic findings of apoptosis on the tissue specimen (odds ratio, 2.35; 95% confidence interval, 1.18 to 4.70; P =.015) and clinical findings of diarrhea (odds ratio, 5.43; 95% confidence interval, 1.25 to 23.54; P =.024). The median survival time from the first endoscopy was 8.5 months. The incidence of nonrelapse mortality at 6 months was 31% in patients with GI-GVHD and 19% in patients without GI-GVHD (P =.42). All patients with GI-GVHD were on steroid therapy, and 31% of them received total parenteral nutrition. In our population close to one-fifth of allogenic transplant recipients experienced late GI complications, warranting endoscopic evaluation. Most of these patients were found to have GI-GVHD that had a high incidence of nonrelapse mortality at 6 months and close to one-third of these patients needed total parenteral nutrition.","author":[{"dropping-particle":"","family":"Sung","given":"Anthony D.","non-dropping-particle":"","parse-names":false,"suffix":""},{"dropping-particle":"","family":"Hassan","given":"Syed","non-dropping-particle":"","parse-names":false,"suffix":""},{"dropping-particle":"","family":"Cardona","given":"Diana M.","non-dropping-particle":"","parse-names":false,"suffix":""},{"dropping-particle":"","family":"Wild","given":"Daniel","non-dropping-particle":"","parse-names":false,"suffix":""},{"dropping-particle":"","family":"Nichols","given":"Krista Rowe","non-dropping-particle":"","parse-names":false,"suffix":""},{"dropping-particle":"","family":"Mehdikhani","given":"Hossein","non-dropping-particle":"","parse-names":false,"suffix":""},{"dropping-particle":"","family":"Balmadrid","given":"Bryan","non-dropping-particle":"","parse-names":false,"suffix":""},{"dropping-particle":"","family":"Detweiler","given":"Claire J.","non-dropping-particle":"","parse-names":false,"suffix":""},{"dropping-particle":"","family":"Shealy","given":"Michael","non-dropping-particle":"","parse-names":false,"suffix":""},{"dropping-particle":"","family":"Cirrincione","given":"Constance","non-dropping-particle":"","parse-names":false,"suffix":""},{"dropping-particle":"","family":"Li","given":"Zhiguo","non-dropping-particle":"","parse-names":false,"suffix":""},{"dropping-particle":"","family":"Poleski","given":"Martin","non-dropping-particle":"","parse-names":false,"suffix":""},{"dropping-particle":"","family":"Dalton","given":"Tara E.","non-dropping-particle":"","parse-names":false,"suffix":""},{"dropping-particle":"","family":"Siamakpour-Reihani","given":"Sharareh","non-dropping-particle":"","parse-names":false,"suffix":""},{"dropping-particle":"","family":"Chao","given":"Nelson J.","non-dropping-particle":"","parse-names":false,"suffix":""},{"dropping-particle":"","family":"Sullivan","given":"Keith M.","non-dropping-particle":"","parse-names":false,"suffix":""}],"container-title":"Biology of Blood and Marrow Transplantation","id":"ITEM-3","issue":"4","issued":{"date-parts":[["2018","4","1"]]},"page":"734-740","publisher":"Elsevier Inc.","title":"Late Gastrointestinal Complications of Allogeneic Hematopoietic Stem Cell Transplantation in Adults","type":"article-journal","volume":"24"},"uris":["http://www.mendeley.com/documents/?uuid=ed88f1ed-a16e-32d4-ade4-92b1eaf95154"]},{"id":"ITEM-4","itemData":{"DOI":"10.1038/sj.bmt.1705453","ISSN":"02683369","PMID":"16915225","abstract":"The best endoscopic diagnostic strategy for gastrointestinal (GI) graft-versus-host disease (GVHD) is unknown. Over a 48-month period, all patients with unexplained diarrhea at risk for acute gastrointestinal GVHD were prospectively identified. Acute GVHD was defined as symptoms and histologic evidence of GVHD occurring within 100 days of transplant or donor lymphocyte infusion (DLI). Colonoscopy was performed with multiple biopsies of the ileum, right colon and rectosigmoid colon. Next, upper endoscopy with duodenal and random gastric biopsies of both antrum and body were performed. All biopsies were evaluated for GVHD by an experienced GI pathologist. Over the study period, 24 patients (mean age 37 years; 62.5% male) were evaluated. The median time from transplantation or DLI was 30.5 days. The biopsy site with the highest yield was the distal colon (82%). A combination of upper endoscopy with sigmoidoscopy and colonoscopy with ileal biopsies were equivalent (</w:instrText>
      </w:r>
      <w:r w:rsidR="007B75F6" w:rsidRPr="00F26395">
        <w:rPr>
          <w:rStyle w:val="apple-tab-span"/>
          <w:rFonts w:ascii="Cambria Math" w:hAnsi="Cambria Math" w:cs="Cambria Math"/>
          <w:color w:val="000000"/>
        </w:rPr>
        <w:instrText>∼</w:instrText>
      </w:r>
      <w:r w:rsidR="007B75F6" w:rsidRPr="00F26395">
        <w:rPr>
          <w:rStyle w:val="apple-tab-span"/>
          <w:rFonts w:ascii="Book Antiqua" w:hAnsi="Book Antiqua"/>
          <w:color w:val="000000"/>
        </w:rPr>
        <w:instrText>94%). In patients with diarrhea at risk for GVHD, biopsies of the distal colon had the highest diagnostic yield suggesting the importance of sigmoidoscopy and biopsy. Colonoscopy and ileoscopy or flexible sigmoidoscopy plus upper endoscopy had the highest diagnostic yields. © 2006 Nature Publishing Group.","author":[{"dropping-particle":"","family":"Thompson","given":"B.","non-dropping-particle":"","parse-names":false,"suffix":""},{"dropping-particle":"","family":"Salzman","given":"D.","non-dropping-particle":"","parse-names":false,"suffix":""},{"dropping-particle":"","family":"Steinhauer","given":"J.","non-dropping-particle":"","parse-names":false,"suffix":""},{"dropping-particle":"","family":"Lazenby","given":"A. J.","non-dropping-particle":"","parse-names":false,"suffix":""},{"dropping-particle":"","family":"Wilcox","given":"C. M.","non-dropping-particle":"","parse-names":false,"suffix":""}],"container-title":"Bone Marrow Transplantation","id":"ITEM-4","issue":"5","issued":{"date-parts":[["2006"]]},"page":"371-376","title":"Prospective endoscopic evaluation for gastrointestinal graft-versus-host disease: Determination of the best diagnostic approach","type":"article-journal","volume":"38"},"uris":["http://www.mendeley.com/documents/?uuid=7d717307-252d-4d01-8312-1cd28a0dcab5"]},{"id":"ITEM-5","itemData":{"DOI":"10.1016/j.retram.2018.08.001","ISSN":"24523186","PMID":"30206046","abstract":"Background: Gastrointestinal (GI) graft versus host disease (GVHD) occurs in up to 40% of patients undergoing allogenic hematopoietic stem cell transplantation (HSCT). However, the optimal endoscopic approach is still unclear and the area of the GI tract with the highest diagnostic yield is still a topic of debate. Objective: We compared the diagnostic yield of different anatomic site biopsies in the diagnosis of GI GVHD and assessed the correlation of endoscopic findings with histopathology. Methods: All cases of biopsy proven GI GVHD were obtained from pathology database AUBMC between 1/1/2005 and 31/8/2017. We retrospectively analyzed the demographical, clinical and endoscopic data. Results: Nineteen patients were diagnosed with GI GVHD over 17.6 years. The most common presenting symptom was severe diarrhea (18 patients, 94.7%). Combining upper endoscopy and sigmoidoscopy with biopsies had the highest diagnostic yield of 90% in diagnosing GI GVHD compared to 63.6%, 78.6% and 77.8% for upper endoscopy, sigmoidoscopy and colonoscopy respectively. In macroscopically normal mucosa, the recto-sigmoid and duodenal biopsies had the highest diagnostic yield (75%). As for the macroscopically abnormal mucosa, the highest yield was for the recto-sigmoid biopsies (100%) in lower endoscopy and duodenal biopsies in the upper endoscopy (60%). Conclusion: In a patient suspected to have GI GVHD, the best endoscopic approach is the combination of upper endoscopy and flexible sigmoidoscopy with biopsies of normal as well as abnormal mucosa. It should be emphasized that normal mucosa be biopsied especially in the duodenum and recto-sigmoid for a better diagnostic yield.","author":[{"dropping-particle":"","family":"Daniel","given":"Fady","non-dropping-particle":"","parse-names":false,"suffix":""},{"dropping-particle":"","family":"Hassoun","given":"Lara","non-dropping-particle":"","parse-names":false,"suffix":""},{"dropping-particle":"","family":"Husni","given":"Mohammad","non-dropping-particle":"","parse-names":false,"suffix":""},{"dropping-particle":"","family":"Sharara","given":"Alaa","non-dropping-particle":"","parse-names":false,"suffix":""},{"dropping-particle":"","family":"Soweid","given":"Assad","non-dropping-particle":"","parse-names":false,"suffix":""},{"dropping-particle":"","family":"Barada","given":"Kassem","non-dropping-particle":"","parse-names":false,"suffix":""},{"dropping-particle":"","family":"Haffar","given":"Basel","non-dropping-particle":"","parse-names":false,"suffix":""},{"dropping-particle":"","family":"Massoud","given":"Radwan","non-dropping-particle":"","parse-names":false,"suffix":""},{"dropping-particle":"","family":"Shaib","given":"Yasser","non-dropping-particle":"","parse-names":false,"suffix":""},{"dropping-particle":"","family":"Al-Hashash","given":"Jana","non-dropping-particle":"","parse-names":false,"suffix":""},{"dropping-particle":"","family":"Bazarbachi","given":"Ali","non-dropping-particle":"","parse-names":false,"suffix":""},{"dropping-particle":"","family":"Cheikh","given":"Jean","non-dropping-particle":"El","parse-names":false,"suffix":""}],"container-title":"Current Research in Translational Medicine","id":"ITEM-5","issue":"1","issued":{"date-parts":[["2019"]]},"page":"16-19","title":"Site specific diagnostic yield of endoscopic biopsies in Gastrointestinal Graft-versus-Host Disease: A tertiary care Center experience","type":"article-journal","volume":"67"},"uris":["http://www.mendeley.com/documents/?uuid=e30a5508-0b70-4d53-8603-2c50902e20a3"]},{"id":"ITEM-6","itemData":{"DOI":"10.1111/apt.12468","ISSN":"02692813","PMID":"24003975","abstract":"Background: There is lack of consensus regarding whether both upper and lower endoscopic examinations are required for diagnosis of gastrointestinal acute graft versus host disease (GI-AGVHD). Aim: To evaluate the impact of endoscopic procedures on the diagnosis of GI-AGVHD. Methods: We performed a retrospective case-control study of recipients of allogeneic haematopoetic cell transplant (HCT) from 2000 to 2011, who presented with GI symptoms between 20 and 125 days post-HCT. GI-AGVHD status was based on the National Institutes of Health (NIH) clinical grading system. Results: One hundred and twenty-nine clinical GI-AGVHD cases and 184 controls underwent endoscopic examinations. Diarrhoea was present in 73% of cases and 38% of controls (P &lt; 0.0001); 99% of patients with nausea ± vomiting and diarrhoea underwent bidirectional endoscopy. Histology had a sensitivity of 92% and specificity of 91% compared to the clinical criteria. The sensitivity for GI-AGVHD was 80% or greater when upper endoscopy (EGD) was performed with either sigmoidoscopy or colonoscopy, or if lower endoscopic examinations were performed alone. The sensitivity of EGD alone was only 48% (P = 0.003). Sensitivity was highest with biopsy of the terminal ileum (79%), followed by the ascending (74%), transverse/descending (73%) and sigmoid colons (69%). Diagnostic yield for cytomegalovirus (CMV) infection was equivalent for biopsies from both upper and lower GI tracts. Patients found to have concurrent GI-AGVHD and CMV infection (N = 18) had a poorer overall prognosis. Conclusion: In patients post-HCT with GI symptoms, sigmoidoscopy alone had equivalent diagnostic yield for GI-AGVHD and CMV infection, compared with the addition of EGD or performance of full colonoscopy. © 2013 John Wiley &amp; Sons Ltd.","author":[{"dropping-particle":"","family":"Liu","given":"A.","non-dropping-particle":"","parse-names":false,"suffix":""},{"dropping-particle":"","family":"Meyer","given":"E.","non-dropping-particle":"","parse-names":false,"suffix":""},{"dropping-particle":"","family":"Johnston","given":"L.","non-dropping-particle":"","parse-names":false,"suffix":""},{"dropping-particle":"","family":"Brown","given":"J.","non-dropping-particle":"","parse-names":false,"suffix":""},{"dropping-particle":"","family":"Gerson","given":"L. B.","non-dropping-particle":"","parse-names":false,"suffix":""}],"container-title":"Alimentary Pharmacology and Therapeutics","id":"ITEM-6","issue":"8","issued":{"date-parts":[["2013"]]},"page":"955-966","title":"Prevalence of graft versus host disease and cytomegalovirus infection in patients post-haematopoietic cell transplantation presenting with gastrointestinal symptoms","type":"article-journal","volume":"38"},"uris":["http://www.mendeley.com/documents/?uuid=b47b8e04-252e-4b38-b5df-200211771576"]},{"id":"ITEM-7","itemData":{"DOI":"10.1097/MCG.0000000000000609","ISSN":"15392031","PMID":"27428729","abstract":"Background and Aim: The optimal endoscopic approach to patients with suspected gut graft-versus-host disease (GVHD) after hematopoietic stem cell transplantation (HSCT) is uncertain. We aimed to assess the diagnostic yield of upper and lower endoscopies performed in patients post-HSCT. Methods: We identified a cohort post-HSCT with acute and chronic GVHD who underwent gastrointestinal endoscopies for GVHD diagnosis. Hospital charts were reviewed and results were stratified according to patients' symptoms. Results: From 1990 to 2013 433 HSCTs were performed. Fifty-six patients underwent 141 endoscopies, of which 117 were done to evaluate for GVHD or an alternative diagnosis. A total of 28/43 (65%) of the lower endoscopies and 41/74 (55%) of the upper endoscopies diagnosed GVHD or an alternative disease process on pathology. A total of 15/43 (35%) of lower endoscopies were flexible sigmoidoscopies, and 11/15 (73%) of these diagnosed GVHD or an alternative diagnosis. Upper endoscopy performed in patients with diarrhea as their only symptom diagnosed GVHD in 44% and an alternative diagnosis in 11%. In comparison, lower endoscopy in patients with only diarrhea diagnosed GVHD in 50%, and 18% offered an alternative diagnosis. Upper endoscopy provided a diagnosis of opportunistic viral and fungal infections of the upper gastrointestinal tract in 7 patients, while lower endoscopy diagnosed pseudomembranous colitis in 2. Conclusions: Upper and lower endoscopy had a similar diagnostic yield in patients with known or suspected GVHD involving the gut, even for patients presenting only with diarrhea. Because of its ease and safety upper endoscopy is the preferred initial endoscopic approach in patients with suspected gut GVHD, however flexible sigmoidoscopy is a reasonable other option.","author":[{"dropping-particle":"","family":"Cloutier","given":"Justin","non-dropping-particle":"","parse-names":false,"suffix":""},{"dropping-particle":"","family":"Wall","given":"Donna A.","non-dropping-particle":"","parse-names":false,"suffix":""},{"dropping-particle":"","family":"Paulsen","given":"Kristjen","non-dropping-particle":"","parse-names":false,"suffix":""},{"dropping-particle":"","family":"Bernstein","given":"Charles N.","non-dropping-particle":"","parse-names":false,"suffix":""}],"container-title":"Journal of Clinical Gastroenterology","id":"ITEM-7","issue":"8","issued":{"date-parts":[["2017"]]},"page":"701-706","title":"Upper versus lower endoscopy in the diagnosis of graft-versus-host disease","type":"article-journal","volume":"51"},"uris":["http://www.mendeley.com/documents/?uuid=82baa4fd-e115-4507-baf6-c0779bbd63e2"]},{"id":"ITEM-8","itemData":{"DOI":"10.1007/s10620-008-0262-6","ISSN":"01632116","PMID":"18401714","abstract":"The gastrointestinal (GI) tract is the major target site of the graft-versus-host disease (GVHD). Whether endoscopic findings can predict the histological diagnosis and degree of severity in GVHD remains controversial. We investigated the degree of correlation between endoscopic and histological findings, and evaluated the impact of endoscopic examination on clinical decision in GVHD management. This study was conducted as a retrospective single-center study. One hundred and one patients undergoing allogeneic hematopoietic stem cell transplantation (HSCT) and at the risk of GI GVHD were referred for endoscopic evaluation. Endoscopic images and histology were reviewed to diagnose and grade in a blind fashion, and the histological findings were used as the \"gold standard\" for diagnosis. Endoscopic findings revealed a significantly positive association with histological abnormalities of GVHD (odds ratio [OR] = 33.6, 95% CI 4.3-261.1), and the sensitivity and specificity were 98 and 44%, respectively. The kappa coefficient for agreement between the endoscopic and histological grading was 0.423 (p-value &lt; 0.001). Ten (18%) patients out of 57 histology-negative cases were managed successfully as GVHD on the endoscopic finding. Though the overall reliability of endoscopic diagnosis in GVHD is still insufficient in terms of sensitivity and specificity, high-grade cases such as grades 3 or 4 showed specific endoscopic findings to draw a significant agreement with histological findings. Endoscopic examination can give critical information and impose a pivotal impact on clinical decision when the histology is discordant with clinical presentation. © 2008 Springer Science+Business Media, LLC.","author":[{"dropping-particle":"","family":"Cheung","given":"Dae Young","non-dropping-particle":"","parse-names":false,"suffix":""},{"dropping-particle":"Il","family":"Kim","given":"Jin","non-dropping-particle":"","parse-names":false,"suffix":""},{"dropping-particle":"","family":"Kim","given":"Soon Sub","non-dropping-particle":"","parse-names":false,"suffix":""},{"dropping-particle":"","family":"Sung","given":"Hye Young","non-dropping-particle":"","parse-names":false,"suffix":""},{"dropping-particle":"","family":"Cho","given":"Se Hyun","non-dropping-particle":"","parse-names":false,"suffix":""},{"dropping-particle":"","family":"Park","given":"Soo Heon","non-dropping-particle":"","parse-names":false,"suffix":""},{"dropping-particle":"","family":"Han","given":"Joon Yeol","non-dropping-particle":"","parse-names":false,"suffix":""},{"dropping-particle":"","family":"Kim","given":"Jae Kwang","non-dropping-particle":"","parse-names":false,"suffix":""},{"dropping-particle":"","family":"Lee","given":"Jong Wook","non-dropping-particle":"","parse-names":false,"suffix":""},{"dropping-particle":"","family":"Min","given":"Woo Sung","non-dropping-particle":"","parse-names":false,"suffix":""},{"dropping-particle":"","family":"Park","given":"Gyeong Sin","non-dropping-particle":"","parse-names":false,"suffix":""},{"dropping-particle":"","family":"Kang","given":"Chang Suk","non-dropping-particle":"","parse-names":false,"suffix":""}],"container-title":"Digestive Diseases and Sciences","id":"ITEM-8","issue":"11","issued":{"date-parts":[["2008"]]},"page":"2947-2954","title":"Endoscopic evaluation in gastrointestinal graft-versus-host disease: Comparisons with histological findings","type":"article-journal","volume":"53"},"uris":["http://www.mendeley.com/documents/?uuid=c01fe40f-e6c0-4555-98f7-6c85ff75d1b2"]},{"id":"ITEM-9","itemData":{"DOI":"10.5152/tjg.2016.15353","ISSN":"21485607","PMID":"27458845","abstract":"Background/Aims: Acute graft-versus-host disease (GVHD) is a common complication of haematopoietic cell transplantation (HCT), with the gastrointestinal tract (GIT) as one of the main target organs. There is a lack of consensus regarding the site in GIT with the highest sensitivity for biopsy. The present study aimed to determine the endoscopic and histological findings in acute GVHD. Materials and Methods: The data of 111 patients who had received allogeneic HCT were retrospectively reviewed. Results: Allogeneic HCT was performed in 111 patients, of whom 27 (24.3%) had developed acute GVHD. Nineteen of the 111 patients with intestinal symptoms were evaluated for intestinal involvement, and 17 were diagnosed with acute intestinal GVHD. Upper endoscopic findings had a sensitivity of 64.7%, a specificity of 50%, a positive predictive value of 91.6% and a negative predictive value of 14.2%. The diagnostic accuracy of upper endoscopy was 63.1%. Lower endoscopic findings had a sensitivity of 40% and a specificity of 0%. The diagnostic accuracy of upper endoscopy with duodenal biopsy and sigmoidoscopy was 94.1%. Conclusion: Endoscopic findings are nonspecific in acute intestinal GVHD. There is little agreement between endoscopic findings and histopathology; thus, biopsies are essential. In patients with intestinal symptoms after HCT, upper endoscopy with duodenal biopsy and sigmoidoscopy has an acceptable diagnostic yield for intestinal involvement.","author":[{"dropping-particle":"","family":"Altun","given":"Reskan","non-dropping-particle":"","parse-names":false,"suffix":""},{"dropping-particle":"","family":"Gökmen","given":"Ayla","non-dropping-particle":"","parse-names":false,"suffix":""},{"dropping-particle":"","family":"Tek","given":"Ibrahim","non-dropping-particle":"","parse-names":false,"suffix":""},{"dropping-particle":"","family":"Soydan","given":"Ender","non-dropping-particle":"","parse-names":false,"suffix":""},{"dropping-particle":"","family":"Yüksel","given":"Meltem Kurt","non-dropping-particle":"","parse-names":false,"suffix":""}],"container-title":"Turkish Journal of Gastroenterology","id":"ITEM-9","issue":"4","issued":{"date-parts":[["2016"]]},"page":"312-316","publisher":"AVES İbrahim KARA","title":"Endoscopic evaluation of acute intestinal graft-versus-host disease after allogeneic hematopoietic cell transplantation","type":"article-journal","volume":"27"},"uris":["http://www.mendeley.com/documents/?uuid=6910f379-ade0-387b-bd73-8cd917324cbd"]},{"id":"ITEM-10","itemData":{"DOI":"10.1016/j.bbmt.2018.01.034","ISSN":"15236536","PMID":"29410342","abstract":"Acute gastrointestinal graft-versus-host disease (GI-GVHD) after hematopoietic progenitor cell transplantation (HPCT) is a common and life-threatening complication. Endoscopic biopsy of the GI tract (GIT) is required for diagnosis. However, clear evidence to optimize this diagnostic approach is lacking, leading to variation in diagnostic sensitivity between institutions. We aimed to assess the clinical, endoscopic, and histologic findings of endoscopies performed for suspected acute GI-GVHD at our institution to better define the optimal use of this strategy. We performed a retrospective cohort study of adults who had undergone endoscopy for suspected acute GI-GVHD within 180 days after allogeneic HPCT for hematologic malignancy between 2011 and 2016. Details included symptoms at time of referral for endoscopy, type of procedure performed, macroscopic findings on endoscopy, and histologic findings after gut biopsy. Correlation was made with clinical GVHD severity scores. Sensitivity, specificity, positive predictive value, and negative predictive value were calculated and compared for each procedure. Predictors of histologic GVHD and overall survival were also compared. Of the 123 patients included, acute GI-GVHD occurred in 59 (48%). Lower endoscopy demonstrated greater sensitivity than upper endoscopy (50% versus 39%). Single upper endoscopy for upper symptoms alone had the lowest yield of GI-GVHD (14%). Combination upper and lower endoscopy demonstrated strong histologic concordance between upper and lower procedures. The addition of upper endoscopy to lower endoscopy only identified an extra 2 (4%) cases of GVHD. Advanced age and the presence of lower GIT symptoms were the only pre-endoscopy predictors of histologic GVHD on multivariate analysis. Patients with isolated upper histologic GVHD showed similar survival to patients with negative biopsies. Endoscopy and biopsy only identified 74% of those ultimately requiring treatment for acute GI-GVHD. Acute GI-GVHD remains a clinical diagnosis supported by available histologic evidence. Isolated upper GI-GVHD is rare, and in the absence of lower GIT symptoms, routine upper endoscopy does not significantly improve diagnostic yield for histologic GVHD. Overall, endoscopy and biopsy underdiagnoses 26% of clinical GI-GVHD, highlighting a need for research into novel diagnostic strategies.","author":[{"dropping-particle":"","family":"Scott","given":"Ashleigh P.","non-dropping-particle":"","parse-names":false,"suffix":""},{"dropping-particle":"","family":"Tey","given":"Siok Keen","non-dropping-particle":"","parse-names":false,"suffix":""},{"dropping-particle":"","family":"Butler","given":"Jason","non-dropping-particle":"","parse-names":false,"suffix":""},{"dropping-particle":"","family":"Kennedy","given":"Glen A.","non-dropping-particle":"","parse-names":false,"suffix":""}],"container-title":"Biology of Blood and Marrow Transplantation","id":"ITEM-10","issue":"6","issued":{"date-parts":[["2018"]]},"page":"1294-1298","title":"Diagnostic Utility of Endoscopy and Biopsy in Suspected Acute Gastrointestinal Graft-versus-Host Disease after Hematopoietic Progenitor Cell Transplantation","type":"article-journal","volume":"24"},"uris":["http://www.mendeley.com/documents/?uuid=2c95b231-58c5-4680-bbc5-fa6dc370f32f"]},{"id":"ITEM-11","itemData":{"DOI":"10.1055/s-2005-861049","ISSN":"0013726X","PMID":"15824945","abstract":"Background and study aims: Patients with intestinal graft-versus-host disease (GVHD) are generally in poor clinical condition. In this study we aimed to establish the clinical significance of endoscopic diagnosis of this condition, observing only the distal section of the large intestine. Patients and methods: Endoscopic and pathological findings at colonoscopy were evaluated retrospectively in 12 patients who were diagnosed with intestinal GVHD after undergoing hematopoietic stem cell transplantation. Results: The main mucosal changes observed at endoscopy were granular change, edema, \"spotty redness\", and sloughing. These were clearly displayed after enhancement with Indigo carmine staining, and with insertion of the colonoscope only as far as the distal section of the large intestine. A histological diagnosis of intestinal GVHD was made in 50% of the patients, whose intestinal epithelium specimens showed numerous apoptotic bodies. It was possible to perform total colonoscopy in two patients who were in relatively good condition clinically, but there were no remarkable differences in the endoscopic findings throughout the large intestine, from the terminal ileum to the rectum. In terms of clinical outcomes of the 12 patients, their prognosis was poor in that they all either went on to suffer from chronic GVHD or died. Conclusions: Endoscopic and histological findings on distal colonoscopy are clinically significant in the diagnosis of intestinal GVHD, and limiting this examination to the distal section of the large intestine avoids causing further clinical deterioration in patients who are already in very poor general condition and the possibility of causing endoscopy-related complications. © Georg Thieme Verlag KG Stuttgart.","author":[{"dropping-particle":"","family":"Oomori","given":"S.","non-dropping-particle":"","parse-names":false,"suffix":""},{"dropping-particle":"","family":"Takagi","given":"S.","non-dropping-particle":"","parse-names":false,"suffix":""},{"dropping-particle":"","family":"Kikuchi","given":"T.","non-dropping-particle":"","parse-names":false,"suffix":""},{"dropping-particle":"","family":"Utsunomiya","given":"K.","non-dropping-particle":"","parse-names":false,"suffix":""},{"dropping-particle":"","family":"Yokoyama","given":"H.","non-dropping-particle":"","parse-names":false,"suffix":""},{"dropping-particle":"","family":"Negoro","given":"K.","non-dropping-particle":"","parse-names":false,"suffix":""},{"dropping-particle":"","family":"Tohmiya","given":"Y.","non-dropping-particle":"","parse-names":false,"suffix":""},{"dropping-particle":"","family":"Aihara","given":"H.","non-dropping-particle":"","parse-names":false,"suffix":""},{"dropping-particle":"","family":"Yamada","given":"M.","non-dropping-particle":"","parse-names":false,"suffix":""},{"dropping-particle":"","family":"Takahashi","given":"S.","non-dropping-particle":"","parse-names":false,"suffix":""},{"dropping-particle":"","family":"Kameoka","given":"J.","non-dropping-particle":"","parse-names":false,"suffix":""},{"dropping-particle":"","family":"Kinouchi","given":"Y.","non-dropping-particle":"","parse-names":false,"suffix":""},{"dropping-particle":"","family":"Shimosegawa","given":"T.","non-dropping-particle":"","parse-names":false,"suffix":""}],"container-title":"Endoscopy","id":"ITEM-11","issue":"4","issued":{"date-parts":[["2005","4"]]},"page":"346-350","publisher":"Endoscopy","title":"Significance of colonoscopy in patients with intestinal graft-versus-host disease after hematopoietic stem cell transplantation","type":"article-journal","volume":"37"},"uris":["http://www.mendeley.com/documents/?uuid=6a7d1190-bf1e-3c1e-a861-d73d7c762aca"]},{"id":"ITEM-12","itemData":{"DOI":"10.1055/s-2002-34257","ISSN":"0013726X","PMID":"12244503","abstract":"Background and study aims: Graft-versus-host disease (GvHD) of the gastrointestinal tract is a major cause of morbidity and mortality after allogeneic bone marrow transplantation (BMT). Whether endoscopic findings predict the histologic diagnosis of GvHD in the gastrointestinal tract remains controversial. We performed a study to determine the diagnostic accuracy of macroscopic endoscopy findings in the diagnosis of acute and chronic histologically proven gastrointestinal GvHD (GI-GvHD). Patients and methods: Endoscopic images from the intestinal mucosa of post-BMT patients were blindly graded as positive or negative for GI-GvHD and compared with corresponding histological findings, which were used as the gold standard. Results: 44 BMT patients were referred for 96 endoscopic evaluations. Using 162 endoscopy-biopsy pairs, a positive association between endoscopic grading and histologic grading of GI-GvHD (odds ratio [OR]=11.97, 95% CI 3.86, 37.16) was observed. Endoscopic diagnosis correctly predicted histologic diagnosis in both acute and chronic GI-GvHD (OR = 9.3 vs. 23.1, P = 0.31). Conclusions: The diagnostic accuracy of endoscopy was high in both acute and chronic histologically proven GI-GvHD. Accurate diagnosis of GI-GvHD might be obtained with mucosal biopsies from either the upper or lower gastrointestinal tract. Endoscopy may play a significant role in establishing early diagnosis and treatment for GI-GvHD in patients following BMT, but histologic evaluation of the gastrointestinal mucosa is needed to confirm the final diagnosis.","author":[{"dropping-particle":"","family":"Cruz-Correa","given":"M.","non-dropping-particle":"","parse-names":false,"suffix":""},{"dropping-particle":"","family":"Poonawala","given":"A.","non-dropping-particle":"","parse-names":false,"suffix":""},{"dropping-particle":"","family":"Abraham","given":"S. C.","non-dropping-particle":"","parse-names":false,"suffix":""},{"dropping-particle":"","family":"Wu","given":"T. T.","non-dropping-particle":"","parse-names":false,"suffix":""},{"dropping-particle":"","family":"Zahurak","given":"M.","non-dropping-particle":"","parse-names":false,"suffix":""},{"dropping-particle":"","family":"Vogelsang","given":"G.","non-dropping-particle":"","parse-names":false,"suffix":""},{"dropping-particle":"","family":"Kalloo","given":"A. N.","non-dropping-particle":"","parse-names":false,"suffix":""},{"dropping-particle":"","family":"Lee","given":"L. A.","non-dropping-particle":"","parse-names":false,"suffix":""}],"container-title":"Endoscopy","id":"ITEM-12","issue":"10","issued":{"date-parts":[["2002"]]},"page":"808-813","title":"Endoscopic findings predict the histologic diagnosis in gastrointestinal graft-versus-host disease","type":"article-journal","volume":"34"},"uris":["http://www.mendeley.com/documents/?uuid=6d312c83-c896-4119-ac8e-cba9814864e8"]},{"id":"ITEM-13","itemData":{"DOI":"10.14309/00000434-200910003-01367","ISSN":"0002-9270","author":[{"dropping-particle":"","family":"Mendelsohn","given":"Robin","non-dropping-particle":"","parse-names":false,"suffix":""},{"dropping-particle":"","family":"Tang","given":"Laura","non-dropping-particle":"","parse-names":false,"suffix":""},{"dropping-particle":"","family":"Ludwig","given":"Emmy","non-dropping-particle":"","parse-names":false,"suffix":""}],"container-title":"American Journal of Gastroenterology","id":"ITEM-13","issued":{"date-parts":[["2009"]]},"page":"S511","title":"Does Endoscopic Impression Correlate with Histologic Findings when Making the Diagnosis of Gastrointestinal Graft versus Host Disease?","type":"article-journal","volume":"104"},"uris":["http://www.mendeley.com/documents/?uuid=af815506-4d11-48bf-b4e8-b7d1f73244c8"]},{"id":"ITEM-14","itemData":{"DOI":"10.1111/j.1572-0241.2007.01639.x","ISSN":"00029270","PMID":"18028511","abstract":"OBJECTIVES: The diagnosis of gastrointestinal (GI) graft-versus-host disease (GVHD) is based upon histologic findings in endoscopic mucosal biopsy specimens. The portion of the GI tract with the highest diagnostic yield is a topic of debate. Our aim was to evaluate the sensitivity of simultaneous biopsy of the stomach, duodenum, and rectosigmoid in establishing the diagnosis of GI GVHD. METHODS: We identified 112 patients who had simultaneous endoscopic biopsies of the stomach, duodenum, and rectosigmoid within the first 100 days following allogeneic hematopoietic stem cell transplantation (HSCT). GVHD was defined histologically as the presence of gland apoptosis, not explained by other inflammatory or infectious etiologies. The patient was diagnosed with GI GVHD if at least one biopsy site was positive. RESULTS: Overall, 81% of the patients had GI GVHD. Of these, 66% had involvement at all three biopsy sites. Rectosigmoid biopsies had the highest sensitivity, specificity, positive predictive value, and negative predictive value for diagnosing GI GVHD, at 95.6%, 100%, 100%, and 84%, respectively. The sensitivities of gastric and duodenal biopsies were 72.5% (P &lt; 0.0001 vs rectosigmoid) and 79.2% (P = 0.0018), respectively. The negative predictive values of gastric and duodenal biopsies were 45.6% (P = 0.0039 vs rectosigmoid) and 52.5% (P = 0.0205), respectively. Rectosigmoid biopsies had a higher sensitivity and negative predictive value than biopsies at other sites whether the patient presented with diarrhea or nausea/vomiting. No association between the degree of mucosal injury and the presence of GVHD was found at any site. CONCLUSIONS: Biopsy of the rectosigmoid is the single best test for diagnosing GI GVHD. © 2008 by Am. Coll. of Gastroenterology.","author":[{"dropping-particle":"","family":"Ross","given":"William A.","non-dropping-particle":"","parse-names":false,"suffix":""},{"dropping-particle":"","family":"Ghosh","given":"Shubhra","non-dropping-particle":"","parse-names":false,"suffix":""},{"dropping-particle":"","family":"Dekovich","given":"Alexander A.","non-dropping-particle":"","parse-names":false,"suffix":""},{"dropping-particle":"","family":"Liu","given":"Suyu","non-dropping-particle":"","parse-names":false,"suffix":""},{"dropping-particle":"","family":"Ayers","given":"Gregory D.","non-dropping-particle":"","parse-names":false,"suffix":""},{"dropping-particle":"","family":"Cleary","given":"Karen R.","non-dropping-particle":"","parse-names":false,"suffix":""},{"dropping-particle":"","family":"Lee","given":"Jeffrey H.","non-dropping-particle":"","parse-names":false,"suffix":""},{"dropping-particle":"","family":"Couriel","given":"Daniel","non-dropping-particle":"","parse-names":false,"suffix":""}],"container-title":"American Journal of Gastroenterology","id":"ITEM-14","issue":"4","issued":{"date-parts":[["2008","4"]]},"page":"982-989","publisher":"Am J Gastroenterol","title":"Endoscopic biopsy diagnosis of acute gastrointestinal graft-versus-host disease: Rectosigmoid biopsies are more sensitive than upper gastrointestinal biopsies","type":"article-journal","volume":"103"},"uris":["http://www.mendeley.com/documents/?uuid=e0f16c53-98be-3b30-b823-b508ac7057b5"]}],"mendeley":{"formattedCitation":"&lt;sup&gt;[9–22]&lt;/sup&gt;","plainTextFormattedCitation":"[9–22]","previouslyFormattedCitation":"&lt;sup&gt;[9,10,19–22,11–18]&lt;/sup&gt;"},"properties":{"noteIndex":0},"schema":"https://github.com/citation-style-language/schema/raw/master/csl-citation.json"}</w:instrText>
      </w:r>
      <w:r w:rsidRPr="00F26395">
        <w:rPr>
          <w:rStyle w:val="apple-tab-span"/>
          <w:rFonts w:ascii="Book Antiqua" w:hAnsi="Book Antiqua"/>
          <w:color w:val="000000"/>
        </w:rPr>
        <w:fldChar w:fldCharType="separate"/>
      </w:r>
      <w:r w:rsidR="007B75F6" w:rsidRPr="00F26395">
        <w:rPr>
          <w:rStyle w:val="apple-tab-span"/>
          <w:rFonts w:ascii="Book Antiqua" w:hAnsi="Book Antiqua"/>
          <w:noProof/>
          <w:color w:val="000000"/>
          <w:vertAlign w:val="superscript"/>
        </w:rPr>
        <w:t>[9</w:t>
      </w:r>
      <w:r w:rsidR="00977199" w:rsidRPr="00F26395">
        <w:rPr>
          <w:rStyle w:val="apple-tab-span"/>
          <w:rFonts w:ascii="Book Antiqua" w:hAnsi="Book Antiqua"/>
          <w:noProof/>
          <w:color w:val="000000"/>
          <w:vertAlign w:val="superscript"/>
        </w:rPr>
        <w:t>-</w:t>
      </w:r>
      <w:r w:rsidR="007B75F6" w:rsidRPr="00F26395">
        <w:rPr>
          <w:rStyle w:val="apple-tab-span"/>
          <w:rFonts w:ascii="Book Antiqua" w:hAnsi="Book Antiqua"/>
          <w:noProof/>
          <w:color w:val="000000"/>
          <w:vertAlign w:val="superscript"/>
        </w:rPr>
        <w:t>22]</w:t>
      </w:r>
      <w:r w:rsidRPr="00F26395">
        <w:rPr>
          <w:rStyle w:val="apple-tab-span"/>
          <w:rFonts w:ascii="Book Antiqua" w:hAnsi="Book Antiqua"/>
          <w:color w:val="000000"/>
        </w:rPr>
        <w:fldChar w:fldCharType="end"/>
      </w:r>
      <w:r w:rsidRPr="00F26395">
        <w:rPr>
          <w:rStyle w:val="apple-tab-span"/>
          <w:rFonts w:ascii="Book Antiqua" w:hAnsi="Book Antiqua"/>
          <w:color w:val="000000"/>
        </w:rPr>
        <w:t xml:space="preserve">. The largest studies focusing specifically on the population at risk for </w:t>
      </w:r>
      <w:proofErr w:type="spellStart"/>
      <w:r w:rsidRPr="00F26395">
        <w:rPr>
          <w:rStyle w:val="apple-tab-span"/>
          <w:rFonts w:ascii="Book Antiqua" w:hAnsi="Book Antiqua"/>
          <w:color w:val="000000"/>
        </w:rPr>
        <w:t>aGVHD</w:t>
      </w:r>
      <w:proofErr w:type="spellEnd"/>
      <w:r w:rsidRPr="00F26395">
        <w:rPr>
          <w:rStyle w:val="apple-tab-span"/>
          <w:rFonts w:ascii="Book Antiqua" w:hAnsi="Book Antiqua"/>
          <w:color w:val="000000"/>
        </w:rPr>
        <w:t xml:space="preserve"> included fewer than 175 endoscopic evaluations</w:t>
      </w:r>
      <w:r w:rsidRPr="00F26395">
        <w:rPr>
          <w:rStyle w:val="apple-tab-span"/>
          <w:rFonts w:ascii="Book Antiqua" w:hAnsi="Book Antiqua"/>
          <w:color w:val="000000"/>
        </w:rPr>
        <w:fldChar w:fldCharType="begin" w:fldLock="1"/>
      </w:r>
      <w:r w:rsidR="007B75F6" w:rsidRPr="00F26395">
        <w:rPr>
          <w:rStyle w:val="apple-tab-span"/>
          <w:rFonts w:ascii="Book Antiqua" w:hAnsi="Book Antiqua"/>
          <w:color w:val="000000"/>
        </w:rPr>
        <w:instrText>ADDIN CSL_CITATION {"citationItems":[{"id":"ITEM-1","itemData":{"DOI":"10.1155/2017/2145986","ISSN":"1687630X","PMID":"29230240","abstract":"Background and Aims. We retrospectively investigated the incidence of acute graft-versus-host disease (GVHD) in the lower gastrointestinal (GI) tract and the diagnostic accuracy of endoscopy. Methods. Of 1231 patients who underwent allogeneic hematopoietic stem cell transplantation between January 2005 and December 2014, 186 of whom underwent colonoscopy and biopsy and had no cytomegalovirus infection. The endoscopic findings and histologic diagnosis from these 186 patients were retrospectively analyzed. Results. Based on the histopathological findings, 171 patients were diagnosed with GVHD, accounting for 13.9% of all transplant recipients. Useful endoscopic findings for the diagnosis of GVHD were atrophy of the ileocecal valve and villous atrophy in the terminal ileum and tortoise shell-like mucosae, edema, and low vascular permeability in the colon. Even when no mucosal abnormality was observed, the incidence of GVHD was 78.9% in the terminal ileum and 75.0% in the colon. Furthermore, patients with mucosal exfoliation, although infrequent, were all diagnosed with grade 3/4 GVHD. Conclusions. It is important to perform endoscopy proactively for the early diagnosis of GVHD, and biopsy should be performed even when no abnormality is observed. In addition, because patients with mucosal exfoliation are extremely likely to have grade 3/4 GVHD, early treatment should be initiated.","author":[{"dropping-particle":"","family":"Nomura","given":"Kosuke","non-dropping-particle":"","parse-names":false,"suffix":""},{"dropping-particle":"","family":"Iizuka","given":"Toshiro","non-dropping-particle":"","parse-names":false,"suffix":""},{"dropping-particle":"","family":"Kaji","given":"Daisuke","non-dropping-particle":"","parse-names":false,"suffix":""},{"dropping-particle":"","family":"Yamamoto","given":"Hisashi","non-dropping-particle":"","parse-names":false,"suffix":""},{"dropping-particle":"","family":"Kuribayashi","given":"Yasutaka","non-dropping-particle":"","parse-names":false,"suffix":""},{"dropping-particle":"","family":"Tanaka","given":"Masami","non-dropping-particle":"","parse-names":false,"suffix":""},{"dropping-particle":"","family":"Furuhata","given":"Tsukasa","non-dropping-particle":"","parse-names":false,"suffix":""},{"dropping-particle":"","family":"Yamashita","given":"Satoshi","non-dropping-particle":"","parse-names":false,"suffix":""},{"dropping-particle":"","family":"Kikuchi","given":"Daisuke","non-dropping-particle":"","parse-names":false,"suffix":""},{"dropping-particle":"","family":"Matsui","given":"Akira","non-dropping-particle":"","parse-names":false,"suffix":""},{"dropping-particle":"","family":"Mitani","given":"Toshifumi","non-dropping-particle":"","parse-names":false,"suffix":""},{"dropping-particle":"","family":"Ota","given":"Yasunori","non-dropping-particle":"","parse-names":false,"suffix":""},{"dropping-particle":"","family":"Taniguchi","given":"Shuichi","non-dropping-particle":"","parse-names":false,"suffix":""},{"dropping-particle":"","family":"Hoteya","given":"Shu","non-dropping-particle":"","parse-names":false,"suffix":""}],"container-title":"Gastroenterology Research and Practice","id":"ITEM-1","issued":{"date-parts":[["2017"]]},"title":"Utility of Endoscopic examination in the diagnosis of acute graft-versus-host disease in the lower gastrointestinal tract","type":"article-journal","volume":"2017"},"uris":["http://www.mendeley.com/documents/?uuid=af6eb532-79e2-3443-81a1-67aad1021872"]},{"id":"ITEM-2","itemData":{"DOI":"10.1038/bmt.2011.137","ISSN":"02683369","PMID":"21706064","abstract":"Diagnosis of acute intestinal GVHD (aGVHD) following allogeneic hematopoietic cell transplantation is based on clinical symptoms and histological lesions. This retrospective analysis aimed to validate the 'Freiburg Criteria' for the endoscopic grading of intestinal aGVHD. Grade 1: no clear-cut criteria; grade 2: spotted erythema; grade 3: aphthous lesions; and grade 4: confluent defects, ulcers, denudation of the mucosa. Having excluded patients with infectious diarrhea, we evaluated 175 consecutive patients between January 2001 and June 2009. Setting a cutoff between grade 1 (no change in therapy) and grade 2 (intensification of immunosuppression), macroscopy had a sensitivity of 89.2% (95% confidence interval (CI): 80.4-94.9%), a specificity of 79.4% (95% CI: 69.6-87.1%), a positive-predictive value of 79.6% (95% CI: 70.0-87.2%) and a negative-predictive value of 89.0% (95% CI: 80.2-94.9%). In all, 20% of patients with aGVHD in the lower gastrointestinal tract (GIT) had lesions only in the terminal ileum. In all patients with aGVHD ≥2 of the upper GIT, typical lesions were also found in the lower GIT. Ileo-colonoscopy showed the highest diagnostic yield for aGVHD. In conclusion, the 'Freiburg Criteria' for macroscopic diagnosis of intestinal aGVHD provide high accuracy for identifying aGVHD ≥2. © 2012 Macmillan Publishers Limited All rights reserved.","author":[{"dropping-particle":"","family":"Kreisel","given":"W.","non-dropping-particle":"","parse-names":false,"suffix":""},{"dropping-particle":"","family":"Dahlberg","given":"M.","non-dropping-particle":"","parse-names":false,"suffix":""},{"dropping-particle":"","family":"Bertz","given":"H.","non-dropping-particle":"","parse-names":false,"suffix":""},{"dropping-particle":"","family":"Harder","given":"J.","non-dropping-particle":"","parse-names":false,"suffix":""},{"dropping-particle":"","family":"Potthoff","given":"K.","non-dropping-particle":"","parse-names":false,"suffix":""},{"dropping-particle":"","family":"Deibert","given":"P.","non-dropping-particle":"","parse-names":false,"suffix":""},{"dropping-particle":"","family":"Schmitt-Graeff","given":"A.","non-dropping-particle":"","parse-names":false,"suffix":""},{"dropping-particle":"","family":"Finke","given":"J.","non-dropping-particle":"","parse-names":false,"suffix":""}],"container-title":"Bone Marrow Transplantation","id":"ITEM-2","issue":"3","issued":{"date-parts":[["2012"]]},"page":"430-438","title":"Endoscopic diagnosis of acute intestinal GVHD following allogeneic hematopoietic SCT: A retrospective analysis in 175 patients","type":"article-journal","volume":"47"},"uris":["http://www.mendeley.com/documents/?uuid=31a69969-1886-4444-9813-83edca363218"]},{"id":"ITEM-3","itemData":{"DOI":"10.1111/j.1572-0241.2007.01639.x","ISSN":"00029270","PMID":"18028511","abstract":"OBJECTIVES: The diagnosis of gastrointestinal (GI) graft-versus-host disease (GVHD) is based upon histologic findings in endoscopic mucosal biopsy specimens. The portion of the GI tract with the highest diagnostic yield is a topic of debate. Our aim was to evaluate the sensitivity of simultaneous biopsy of the stomach, duodenum, and rectosigmoid in establishing the diagnosis of GI GVHD. METHODS: We identified 112 patients who had simultaneous endoscopic biopsies of the stomach, duodenum, and rectosigmoid within the first 100 days following allogeneic hematopoietic stem cell transplantation (HSCT). GVHD was defined histologically as the presence of gland apoptosis, not explained by other inflammatory or infectious etiologies. The patient was diagnosed with GI GVHD if at least one biopsy site was positive. RESULTS: Overall, 81% of the patients had GI GVHD. Of these, 66% had involvement at all three biopsy sites. Rectosigmoid biopsies had the highest sensitivity, specificity, positive predictive value, and negative predictive value for diagnosing GI GVHD, at 95.6%, 100%, 100%, and 84%, respectively. The sensitivities of gastric and duodenal biopsies were 72.5% (P &lt; 0.0001 vs rectosigmoid) and 79.2% (P = 0.0018), respectively. The negative predictive values of gastric and duodenal biopsies were 45.6% (P = 0.0039 vs rectosigmoid) and 52.5% (P = 0.0205), respectively. Rectosigmoid biopsies had a higher sensitivity and negative predictive value than biopsies at other sites whether the patient presented with diarrhea or nausea/vomiting. No association between the degree of mucosal injury and the presence of GVHD was found at any site. CONCLUSIONS: Biopsy of the rectosigmoid is the single best test for diagnosing GI GVHD. © 2008 by Am. Coll. of Gastroenterology.","author":[{"dropping-particle":"","family":"Ross","given":"William A.","non-dropping-particle":"","parse-names":false,"suffix":""},{"dropping-particle":"","family":"Ghosh","given":"Shubhra","non-dropping-particle":"","parse-names":false,"suffix":""},{"dropping-particle":"","family":"Dekovich","given":"Alexander A.","non-dropping-particle":"","parse-names":false,"suffix":""},{"dropping-particle":"","family":"Liu","given":"Suyu","non-dropping-particle":"","parse-names":false,"suffix":""},{"dropping-particle":"","family":"Ayers","given":"Gregory D.","non-dropping-particle":"","parse-names":false,"suffix":""},{"dropping-particle":"","family":"Cleary","given":"Karen R.","non-dropping-particle":"","parse-names":false,"suffix":""},{"dropping-particle":"","family":"Lee","given":"Jeffrey H.","non-dropping-particle":"","parse-names":false,"suffix":""},{"dropping-particle":"","family":"Couriel","given":"Daniel","non-dropping-particle":"","parse-names":false,"suffix":""}],"container-title":"American Journal of Gastroenterology","id":"ITEM-3","issue":"4","issued":{"date-parts":[["2008","4"]]},"page":"982-989","publisher":"Am J Gastroenterol","title":"Endoscopic biopsy diagnosis of acute gastrointestinal graft-versus-host disease: Rectosigmoid biopsies are more sensitive than upper gastrointestinal biopsies","type":"article-journal","volume":"103"},"uris":["http://www.mendeley.com/documents/?uuid=e0f16c53-98be-3b30-b823-b508ac7057b5"]}],"mendeley":{"formattedCitation":"&lt;sup&gt;[9,10,14]&lt;/sup&gt;","plainTextFormattedCitation":"[9,10,14]","previouslyFormattedCitation":"&lt;sup&gt;[9,10,22]&lt;/sup&gt;"},"properties":{"noteIndex":0},"schema":"https://github.com/citation-style-language/schema/raw/master/csl-citation.json"}</w:instrText>
      </w:r>
      <w:r w:rsidRPr="00F26395">
        <w:rPr>
          <w:rStyle w:val="apple-tab-span"/>
          <w:rFonts w:ascii="Book Antiqua" w:hAnsi="Book Antiqua"/>
          <w:color w:val="000000"/>
        </w:rPr>
        <w:fldChar w:fldCharType="separate"/>
      </w:r>
      <w:r w:rsidR="007B75F6" w:rsidRPr="00F26395">
        <w:rPr>
          <w:rStyle w:val="apple-tab-span"/>
          <w:rFonts w:ascii="Book Antiqua" w:hAnsi="Book Antiqua"/>
          <w:noProof/>
          <w:color w:val="000000"/>
          <w:vertAlign w:val="superscript"/>
        </w:rPr>
        <w:t>[9,10,14]</w:t>
      </w:r>
      <w:r w:rsidRPr="00F26395">
        <w:rPr>
          <w:rStyle w:val="apple-tab-span"/>
          <w:rFonts w:ascii="Book Antiqua" w:hAnsi="Book Antiqua"/>
          <w:color w:val="000000"/>
        </w:rPr>
        <w:fldChar w:fldCharType="end"/>
      </w:r>
      <w:r w:rsidRPr="00F26395">
        <w:rPr>
          <w:rStyle w:val="apple-tab-span"/>
          <w:rFonts w:ascii="Book Antiqua" w:hAnsi="Book Antiqua"/>
          <w:color w:val="000000"/>
        </w:rPr>
        <w:t xml:space="preserve">. Based upon previous studies, FS with biopsy of the rectosigmoid colon is considered the standard evaluation for patients with symptoms localizing to the lower gut. The evidence supporting the use of EGD in the evaluation of GVHD in patients with upper GI symptoms is scarce. Further, the diagnostic value of gross endoscopic findings and presenting symptoms and their relationship to histopathological evidence of </w:t>
      </w:r>
      <w:proofErr w:type="spellStart"/>
      <w:r w:rsidRPr="00F26395">
        <w:rPr>
          <w:rStyle w:val="apple-tab-span"/>
          <w:rFonts w:ascii="Book Antiqua" w:hAnsi="Book Antiqua"/>
          <w:color w:val="000000"/>
        </w:rPr>
        <w:t>aGVHD</w:t>
      </w:r>
      <w:proofErr w:type="spellEnd"/>
      <w:r w:rsidRPr="00F26395">
        <w:rPr>
          <w:rStyle w:val="apple-tab-span"/>
          <w:rFonts w:ascii="Book Antiqua" w:hAnsi="Book Antiqua"/>
          <w:color w:val="000000"/>
        </w:rPr>
        <w:t xml:space="preserve"> remains unclear. To this end, the primary aim of our study was to characterize clinical symptoms and endoscopic findings in a large set of patients post-HSCT undergoing evaluation of </w:t>
      </w:r>
      <w:proofErr w:type="spellStart"/>
      <w:r w:rsidRPr="00F26395">
        <w:rPr>
          <w:rStyle w:val="apple-tab-span"/>
          <w:rFonts w:ascii="Book Antiqua" w:hAnsi="Book Antiqua"/>
          <w:color w:val="000000"/>
        </w:rPr>
        <w:t>aGVHD</w:t>
      </w:r>
      <w:proofErr w:type="spellEnd"/>
      <w:r w:rsidRPr="00F26395">
        <w:rPr>
          <w:rStyle w:val="apple-tab-span"/>
          <w:rFonts w:ascii="Book Antiqua" w:hAnsi="Book Antiqua"/>
          <w:color w:val="000000"/>
        </w:rPr>
        <w:t xml:space="preserve">. A secondary aim was to understand which anatomical locations in the GI tract were most commonly involved by </w:t>
      </w:r>
      <w:proofErr w:type="spellStart"/>
      <w:r w:rsidRPr="00F26395">
        <w:rPr>
          <w:rStyle w:val="apple-tab-span"/>
          <w:rFonts w:ascii="Book Antiqua" w:hAnsi="Book Antiqua"/>
          <w:color w:val="000000"/>
        </w:rPr>
        <w:t>aGVHD</w:t>
      </w:r>
      <w:proofErr w:type="spellEnd"/>
      <w:r w:rsidRPr="00F26395">
        <w:rPr>
          <w:rStyle w:val="apple-tab-span"/>
          <w:rFonts w:ascii="Book Antiqua" w:hAnsi="Book Antiqua"/>
          <w:color w:val="000000"/>
        </w:rPr>
        <w:t xml:space="preserve"> and to assess whether presenting symptoms localized to specific portions of the GI tract </w:t>
      </w:r>
      <w:proofErr w:type="spellStart"/>
      <w:r w:rsidRPr="00F26395">
        <w:rPr>
          <w:rStyle w:val="apple-tab-span"/>
          <w:rFonts w:ascii="Book Antiqua" w:hAnsi="Book Antiqua"/>
          <w:color w:val="000000"/>
        </w:rPr>
        <w:t>histopathologically</w:t>
      </w:r>
      <w:proofErr w:type="spellEnd"/>
      <w:r w:rsidRPr="00F26395">
        <w:rPr>
          <w:rStyle w:val="apple-tab-span"/>
          <w:rFonts w:ascii="Book Antiqua" w:hAnsi="Book Antiqua"/>
          <w:color w:val="000000"/>
        </w:rPr>
        <w:t xml:space="preserve">. </w:t>
      </w:r>
    </w:p>
    <w:p w14:paraId="6D9CF04F" w14:textId="37A50382" w:rsidR="00161EB0" w:rsidRPr="00F26395" w:rsidRDefault="00161EB0" w:rsidP="00F26395">
      <w:pPr>
        <w:spacing w:line="360" w:lineRule="auto"/>
        <w:ind w:firstLineChars="100" w:firstLine="240"/>
        <w:jc w:val="both"/>
        <w:rPr>
          <w:rStyle w:val="apple-tab-span"/>
          <w:rFonts w:ascii="Book Antiqua" w:hAnsi="Book Antiqua"/>
          <w:color w:val="000000"/>
        </w:rPr>
      </w:pPr>
      <w:r w:rsidRPr="00F26395">
        <w:rPr>
          <w:rStyle w:val="apple-tab-span"/>
          <w:rFonts w:ascii="Book Antiqua" w:hAnsi="Book Antiqua"/>
          <w:color w:val="000000"/>
        </w:rPr>
        <w:t xml:space="preserve">Additionally, there is inconsistent data on the safety of endoscopic evaluation in patients with </w:t>
      </w:r>
      <w:r w:rsidRPr="00F26395">
        <w:rPr>
          <w:rFonts w:ascii="Book Antiqua" w:hAnsi="Book Antiqua"/>
        </w:rPr>
        <w:t>thrombocytopenia and neutropenia</w:t>
      </w:r>
      <w:r w:rsidRPr="00F26395">
        <w:rPr>
          <w:rFonts w:ascii="Book Antiqua" w:hAnsi="Book Antiqua"/>
        </w:rPr>
        <w:fldChar w:fldCharType="begin" w:fldLock="1"/>
      </w:r>
      <w:r w:rsidR="007B75F6" w:rsidRPr="00F26395">
        <w:rPr>
          <w:rFonts w:ascii="Book Antiqua" w:hAnsi="Book Antiqua"/>
        </w:rPr>
        <w:instrText>ADDIN CSL_CITATION {"citationItems":[{"id":"ITEM-1","itemData":{"DOI":"10.1016/j.gie.2012.03.252","ISSN":"00165107","PMID":"22985638","author":[{"dropping-particle":"","family":"Ben-Menachem","given":"Tamir","non-dropping-particle":"","parse-names":false,"suffix":""},{"dropping-particle":"","family":"Decker","given":"G. Anton","non-dropping-particle":"","parse-names":false,"suffix":""},{"dropping-particle":"","family":"Early","given":"Dayna S.","non-dropping-particle":"","parse-names":false,"suffix":""},{"dropping-particle":"","family":"Evans","given":"Jerry","non-dropping-particle":"","parse-names":false,"suffix":""},{"dropping-particle":"","family":"Fanelli","given":"Robert D.","non-dropping-particle":"","parse-names":false,"suffix":""},{"dropping-particle":"","family":"Fisher","given":"Deborah A.","non-dropping-particle":"","parse-names":false,"suffix":""},{"dropping-particle":"","family":"Fisher","given":"Laurel","non-dropping-particle":"","parse-names":false,"suffix":""},{"dropping-particle":"","family":"Fukami","given":"Norio","non-dropping-particle":"","parse-names":false,"suffix":""},{"dropping-particle":"","family":"Hwang","given":"Joo Ha","non-dropping-particle":"","parse-names":false,"suffix":""},{"dropping-particle":"","family":"Ikenberry","given":"Steven O.","non-dropping-particle":"","parse-names":false,"suffix":""},{"dropping-particle":"","family":"Jain","given":"Rajeev","non-dropping-particle":"","parse-names":false,"suffix":""},{"dropping-particle":"","family":"Jue","given":"Terry L.","non-dropping-particle":"","parse-names":false,"suffix":""},{"dropping-particle":"","family":"Khan","given":"Khalid M.","non-dropping-particle":"","parse-names":false,"suffix":""},{"dropping-particle":"","family":"Krinsky","given":"Mary L.","non-dropping-particle":"","parse-names":false,"suffix":""},{"dropping-particle":"","family":"Malpas","given":"Phyllis M.","non-dropping-particle":"","parse-names":false,"suffix":""},{"dropping-particle":"","family":"Maple","given":"John T.","non-dropping-particle":"","parse-names":false,"suffix":""},{"dropping-particle":"","family":"Sharaf","given":"Ravi N.","non-dropping-particle":"","parse-names":false,"suffix":""},{"dropping-particle":"","family":"Dominitz","given":"Jason A.","non-dropping-particle":"","parse-names":false,"suffix":""},{"dropping-particle":"","family":"Cash","given":"Brooks D.","non-dropping-particle":"","parse-names":false,"suffix":""}],"container-title":"Gastrointestinal Endoscopy","id":"ITEM-1","issue":"4","issued":{"date-parts":[["2012"]]},"page":"707-718","title":"Adverse events of upper GI endoscopy","type":"article-journal","volume":"76"},"uris":["http://www.mendeley.com/documents/?uuid=ecf0c591-bbda-4e2d-a90a-c872367e5357"]},{"id":"ITEM-2","itemData":{"DOI":"10.1016/S0016-5107(99)70079-9","ISSN":"00165107","PMID":"10502177","author":[{"dropping-particle":"","family":"Os","given":"E. C.","non-dropping-particle":"Van","parse-names":false,"suffix":""},{"dropping-particle":"","family":"Kamath","given":"P. S.","non-dropping-particle":"","parse-names":false,"suffix":""},{"dropping-particle":"","family":"Gostout","given":"C. J.","non-dropping-particle":"","parse-names":false,"suffix":""},{"dropping-particle":"","family":"Heit","given":"J. A.","non-dropping-particle":"","parse-names":false,"suffix":""}],"container-title":"Gastrointestinal Endoscopy","id":"ITEM-2","issue":"4","issued":{"date-parts":[["1999"]]},"page":"536-543","publisher":"Mosby Inc.","title":"Gastroenterological procedures among patients with disorders of hemostasis: Evaluation and management recommendations","type":"article-journal","volume":"50"},"uris":["http://www.mendeley.com/documents/?uuid=a443257e-dac9-4be3-8057-4726fa334073"]},{"id":"ITEM-3","itemData":{"ISSN":"1554-7914","PMID":"27099580","author":[{"dropping-particle":"","family":"Ross","given":"William A","non-dropping-particle":"","parse-names":false,"suffix":""}],"container-title":"Gastroenterology &amp; hepatology","id":"ITEM-3","issue":"2","issued":{"date-parts":[["2015","2"]]},"page":"115-7","publisher":"Millenium Medical Publishing","title":"Endoscopic Interventions in Patients with Thrombocytopenia.","type":"article-journal","volume":"11"},"uris":["http://www.mendeley.com/documents/?uuid=85b925f9-6b43-3e5c-8b56-551dfce896b7"]},{"id":"ITEM-4","itemData":{"DOI":"10.3748/wjg.v21.i46.13166","ISSN":"22192840","PMID":"26674926","abstract":"AIM: To evaluate the safety of endoscopic procedures in neutropenic and/or thrombocytopenic cancer patients. METHODS: We performed a literature search for English language studies in which patients with neutropenia and/or thrombocytopenia underwent endoscopy. Studies were included if endoscopic procedures were used as part of the evaluation of neutropenic and/or thrombocytopenic patients, yielding 13 studies. Two studies in which endoscopy was not a primary evaluation tool were excluded. Eleven relevant studies were identified by two independent reviewers on Pubmed, Scopus, and Ovid databases. RESULTS: Most of the studies had high diagnostic yield with relatively low complication rates. Therapeutic endoscopic interventions were performed in more than half the studies, including high-risk procedures, such as sclerotherapy. Platelet transfusion was given if counts were less than 50000/mm3 in four studies and less than 10000/mm3 in one study. Other thrombocytopenic precautions included withholding of biopsy if platelet count was less than 30000/mm3 in one study and less than 20000/mm3 in another study. Two of the ten studies which examined thrombocytopenic patient populations reported bleeding complications related to endoscopy, none of which caused major morbidity or mortality. All febrile neutropenic patients received prophylactic broad-spectrum antibiotics in the studies reviewed. Regarding afebrile neutropenic patients, prophylactic antibiotics were given if absolute neutrophil count was less than 1000/mm3 in one study, if the patient was undergoing colonoscopy and had a high inflammatory condition without clear definition of significance in another study, and if the patient was in an aplastic phase in a third study. Endoscopy was also withheld in one study for severe pancytopenia. CONCLUSION: Endoscopy can be safely performed in patients with thrombocytopenia/neutropenia. Prophylactic platelet transfusion and/or antibiotic administration prior to endoscopy may be considered in some cases and should be individualized.","author":[{"dropping-particle":"","family":"Tong","given":"Michelle C.","non-dropping-particle":"","parse-names":false,"suffix":""},{"dropping-particle":"","family":"Tadros","given":"Micheal","non-dropping-particle":"","parse-names":false,"suffix":""},{"dropping-particle":"","family":"Vaziri","given":"Haleh","non-dropping-particle":"","parse-names":false,"suffix":""}],"container-title":"World Journal of Gastroenterology","id":"ITEM-4","issue":"46","issued":{"date-parts":[["2015","12","14"]]},"page":"13166-13176","publisher":"WJG Press","title":"Endoscopy in neutropenic and/or thrombocytopenic patients","type":"article","volume":"21"},"uris":["http://www.mendeley.com/documents/?uuid=4729c0eb-c374-3804-9e8f-1852b1cdaea1"]},{"id":"ITEM-5","itemData":{"DOI":"10.1007/s10620-016-4427-4","ISSN":"15732568","PMID":"28035550","abstract":"Background: Procedure-induced bleeding is a major complication after endoscopic intervention. Aims: The aim of this study was to investigate the risk of endoscopy-related bleeding in patients with chronic hematologic thrombocytopenia. Methods: We investigated endoscopy-related bleeding in 175 procedures performed on 108 patients with immune thrombocytopenic purpura or aplastic anemia. The outcomes were compared with those of 350 procedures on age-, sex-, and procedure-matched control subjects. Endoscopic interventions included low-risk procedures such as endoscopic biopsy and high-risk procedures including polypectomy, endoscopic resection, and endoscopic retrograde cholangiopancreatogram with sphincterotomy. Results: Bleeding occurred in 17 (9.7%) procedures among the patients with thrombocytopenia. This rate was significantly higher than that in procedures on controls (3.1%, P = 0.003). About 60% of all bleeding events were observed within 24 h after the endoscopic procedure. Bleeding after endoscopic biopsy developed more frequently in the patient group than in the control group (7.1 vs. 0.7%; P &lt; 0.001). Bleeding occurred after 20% of all high-risk procedures. The incidence of bleeding was significantly elevated in patients with a platelet count less than 50 × 103/μl. Multivariate analysis revealed that high-risk procedures and low platelet count (less than 50 × 103/μl) were significantly related to procedure-related bleeding. All bleeding events stopped spontaneously or were controlled with endoscopic hemostasis. Conclusions: Endoscopic procedure-related bleeding develops frequently in patients with chronic hematologic thrombocytopenia. Post-procedural bleeding should be observed carefully in these patients, especially when the platelet count is less than 50 × 103/μl or high-risk endoscopic procedures are planned.","author":[{"dropping-particle":"","family":"Oh","given":"Hyun Jin","non-dropping-particle":"","parse-names":false,"suffix":""},{"dropping-particle":"","family":"Park","given":"Jae Myung","non-dropping-particle":"","parse-names":false,"suffix":""},{"dropping-particle":"","family":"Yoon","given":"Seung Bae","non-dropping-particle":"","parse-names":false,"suffix":""},{"dropping-particle":"","family":"Lee","given":"Han Hee","non-dropping-particle":"","parse-names":false,"suffix":""},{"dropping-particle":"","family":"Lim","given":"Chul Hyun","non-dropping-particle":"","parse-names":false,"suffix":""},{"dropping-particle":"","family":"Kim","given":"Jin Su","non-dropping-particle":"","parse-names":false,"suffix":""},{"dropping-particle":"","family":"Cho","given":"Yu Kyung","non-dropping-particle":"","parse-names":false,"suffix":""},{"dropping-particle":"","family":"Lee","given":"Bo In","non-dropping-particle":"","parse-names":false,"suffix":""},{"dropping-particle":"","family":"Cho","given":"Young Seok","non-dropping-particle":"","parse-names":false,"suffix":""},{"dropping-particle":"","family":"Choi","given":"Myung Gyu","non-dropping-particle":"","parse-names":false,"suffix":""}],"container-title":"Digestive Diseases and Sciences","id":"ITEM-5","issue":"3","issued":{"date-parts":[["2017","3","1"]]},"page":"746-754","publisher":"Springer New York LLC","title":"Bleeding After Endoscopic Procedures in Patients With Chronic Hematologic Thrombocytopenia","type":"article-journal","volume":"62"},"uris":["http://www.mendeley.com/documents/?uuid=4ca35101-2e11-3f7b-aeb6-d52c33c4120f"]},{"id":"ITEM-6","itemData":{"DOI":"10.1016/j.gie.2018.12.004","ISSN":"10976779","PMID":"30550744","abstract":"Background and Aims: Cancer patients are prone to thrombocytopenia and neutropenia, which increase the risk of bleeding and infection. We assessed the safety of endoscopic procedures in cancer patients with thrombocytopenia and/or neutropenia. Methods: We studied consecutive cancer patients with thrombocytopenia and/or neutropenia who underwent endoscopic procedures from 2010 through 2015. Neutropenia was defined as an absolute neutrophil count (ANC) &lt;1000 cells/μL, and thrombocytopenia as a platelet count &lt;100 × 10 3 /μL. Univariate and multivariate generalized estimating equation models were used to assess factors associated with risk of adverse events (AEs) or death. Results: We identified 588 patients who underwent 783 procedures; 608 procedures were performed in the setting of thrombocytopenia and 675 procedures in the setting of neutropenia. Concurrent neutropenia and thrombocytopenia were recorded in 500 endoscopies. Twenty-four patients (4.1%) experienced infectious AEs, whereas 29 (4.9%) experienced bleeding AEs within 1 week of the procedure. On multivariate analysis, platelet count ≤50 × 10 3 /μL was associated with risk of bleeding AEs. In contrast, poor performance status was associated with increased risk of infection AEs (P &lt;.01). No association was observed between low ANC and infectious AEs. Poor performance status (P &lt;.01) and platelet count ≤100 × 10 3 /μL (P &lt;.05) were associated with increased risk of 30-day mortality. A persistent platelet count &lt;20 × 10 3 /μL after the procedure, with a baseline platelet count of ≤20 × 10 3 /μL before the procedure, was associated with significant risk of bleeding AEs compared with a platelet count &gt;20 × 10 3 /μL after the procedure (P &lt;.01); furthermore, if the platelet count increased to &gt;50 × 10 3 /μL after the procedure, the bleeding risk after the procedure was greatly reduced (P &lt;.01). Conclusions: Endoscopic procedures are relatively safe in cancer patients with platelet count &gt;50 × 10 3 /μL. Nevertheless, a platelet count of ≥20 × 10 3 /μL could be an appropriate threshold for platelet transfusion if 50 × 10 3 /μL is difficult to achieve. The functional status of the patient, in the absence of the need for urgent or necessary endoscopic interventions, should be considered when deciding whether to perform endoscopy. The risk of procedure and the ANC did not seem to affect the outcomes.","author":[{"dropping-particle":"","family":"Abu-Sbeih","given":"Hamzah","non-dropping-particle":"","parse-names":false,"suffix":""},{"dropping-particle":"","family":"Ali","given":"Faisal Shaukat","non-dropping-particle":"","parse-names":false,"suffix":""},{"dropping-particle":"","family":"Coronel","given":"Emmanuel","non-dropping-particle":"","parse-names":false,"suffix":""},{"dropping-particle":"","family":"Chen","given":"Hsiang Chun","non-dropping-particle":"","parse-names":false,"suffix":""},{"dropping-particle":"","family":"Wang","given":"Xuemei","non-dropping-particle":"","parse-names":false,"suffix":""},{"dropping-particle":"","family":"Lum","given":"Phillip","non-dropping-particle":"","parse-names":false,"suffix":""},{"dropping-particle":"","family":"Shuttlesworth","given":"Gladis","non-dropping-particle":"","parse-names":false,"suffix":""},{"dropping-particle":"","family":"Bhutani","given":"Manoop S.","non-dropping-particle":"","parse-names":false,"suffix":""},{"dropping-particle":"","family":"Raju","given":"Gottumukkala S.","non-dropping-particle":"","parse-names":false,"suffix":""},{"dropping-particle":"","family":"Lee","given":"Jeffrey H.","non-dropping-particle":"","parse-names":false,"suffix":""},{"dropping-particle":"","family":"Stroehlein","given":"John R.","non-dropping-particle":"","parse-names":false,"suffix":""},{"dropping-particle":"","family":"Ross","given":"William A.","non-dropping-particle":"","parse-names":false,"suffix":""},{"dropping-particle":"","family":"Wang","given":"Yinghong","non-dropping-particle":"","parse-names":false,"suffix":""}],"container-title":"Gastrointestinal Endoscopy","id":"ITEM-6","issue":"5","issued":{"date-parts":[["2019"]]},"page":"937-949.e2","title":"Safety of endoscopy in cancer patients with thrombocytopenia and neutropenia","type":"article-journal","volume":"89"},"uris":["http://www.mendeley.com/documents/?uuid=3bf8fbfd-63a9-45a4-aba9-f985b13b6ea3"]},{"id":"ITEM-7","itemData":{"DOI":"10.1016/j.gie.2014.02.023","ISSN":"10976779","PMID":"24721520","abstract":"Background The risk of endoscopic interventions in thrombocytopenia has received little attention in the medical literature. Objective The aim of this study was to assess the safety of endoscopic interventions including evaluation of GI bleeding (GIB) in patients with thrombocytopenia. Design and Setting Retrospective study, tertiary oncology center. Patients and Intervention Review of consecutive endoscopies with preprocedure platelet counts (PCs) of 75 × 103/μL or lower. Main Outcome Measurements Risk of bleeding with routine endoscopic interventions and transfusion requirement after evaluation of GIB. Results A total of 617 (351 upper, 266 lower [90 colonoscopies]) endoscopies were performed in 395 patients. Forceps-biopsy specimens were obtained in 398 endoscopies (mean ± standard deviation [SD] PC: 38.21 ± 11.7 × 103/μL) and 45 polypectomies were performed in 17 endoscopies (mean ± SD PC: 39.65 ± 8.53 × 10 3/μL). The risk of bleeding was 1.5% (6 of 398 endoscopies) at the biopsy site and 4% (2 of 45 polypectomies) at the polypectomy site. Active GIB (mean ± SD PC: 32.85 ± 4.0 × 103/μL) was observed in 68 (11% of 617) endoscopies and intervention (mean ± SD PC: 33.68 ± 4.6 × 103/μL) was performed in 41 procedures. Together, angiodysplasias and ulcers were the most common etiology (51.2% of 41). Hemostasis was achieved in 39 (95.1% of 41) procedures. Comparison of blood transfusions ± 3 days of successful therapy showed a 52% reduction (P &lt;.001). By multivariate analysis, a higher aggregate blood transfusion 3 days preceding endoscopy (odds ratio 1.32; 95% confidence interval, 1.16-1.50; P &lt;.001) predicted endoscopic findings of active GIB. Limitations Retrospective design, single center. Conclusions In the largest endoscopic experience reported in thrombocytopenic patients (Common Terminology Criteria for Adverse Events grade 3 or lower), bleeding caused by standard forceps biopsy and polypectomy (≤10 mm) was minor and easily controlled. Endoscopic therapy for GIB is safe and significantly reduces the packed red blood cell requirement and should be considered in patients with thrombocytopenia in the setting of an appropriate transfusion strategy. © 2014 by the American Society for Gastrointestinal Endoscopy.","author":[{"dropping-particle":"","family":"Krishna","given":"Somashekar G.","non-dropping-particle":"","parse-names":false,"suffix":""},{"dropping-particle":"","family":"Rao","given":"Bhavana B.","non-dropping-particle":"","parse-names":false,"suffix":""},{"dropping-particle":"","family":"Thirumurthi","given":"Selvi","non-dropping-particle":"","parse-names":false,"suffix":""},{"dropping-particle":"","family":"Lee","given":"Jeffrey H.","non-dropping-particle":"","parse-names":false,"suffix":""},{"dropping-particle":"","family":"Ramireddy","given":"Srinivas","non-dropping-particle":"","parse-names":false,"suffix":""},{"dropping-particle":"","family":"Guindani","given":"Michele","non-dropping-particle":"","parse-names":false,"suffix":""},{"dropping-particle":"","family":"Ross","given":"William A.","non-dropping-particle":"","parse-names":false,"suffix":""}],"container-title":"Gastrointestinal Endoscopy","id":"ITEM-7","issue":"3","issued":{"date-parts":[["2014"]]},"page":"425-434","title":"Safety of endoscopic interventions in patients with thrombocytopenia","type":"article-journal","volume":"80"},"uris":["http://www.mendeley.com/documents/?uuid=21b671cd-eac5-484a-817f-2b0810d3820e"]}],"mendeley":{"formattedCitation":"&lt;sup&gt;[23–29]&lt;/sup&gt;","plainTextFormattedCitation":"[23–29]","previouslyFormattedCitation":"&lt;sup&gt;[23–29]&lt;/sup&gt;"},"properties":{"noteIndex":0},"schema":"https://github.com/citation-style-language/schema/raw/master/csl-citation.json"}</w:instrText>
      </w:r>
      <w:r w:rsidRPr="00F26395">
        <w:rPr>
          <w:rFonts w:ascii="Book Antiqua" w:hAnsi="Book Antiqua"/>
        </w:rPr>
        <w:fldChar w:fldCharType="separate"/>
      </w:r>
      <w:r w:rsidRPr="00F26395">
        <w:rPr>
          <w:rFonts w:ascii="Book Antiqua" w:hAnsi="Book Antiqua"/>
          <w:noProof/>
          <w:vertAlign w:val="superscript"/>
        </w:rPr>
        <w:t>[23</w:t>
      </w:r>
      <w:r w:rsidR="00977199" w:rsidRPr="00F26395">
        <w:rPr>
          <w:rFonts w:ascii="Book Antiqua" w:hAnsi="Book Antiqua"/>
          <w:noProof/>
          <w:vertAlign w:val="superscript"/>
        </w:rPr>
        <w:t>-</w:t>
      </w:r>
      <w:r w:rsidRPr="00F26395">
        <w:rPr>
          <w:rFonts w:ascii="Book Antiqua" w:hAnsi="Book Antiqua"/>
          <w:noProof/>
          <w:vertAlign w:val="superscript"/>
        </w:rPr>
        <w:t>29]</w:t>
      </w:r>
      <w:r w:rsidRPr="00F26395">
        <w:rPr>
          <w:rFonts w:ascii="Book Antiqua" w:hAnsi="Book Antiqua"/>
        </w:rPr>
        <w:fldChar w:fldCharType="end"/>
      </w:r>
      <w:r w:rsidRPr="00F26395">
        <w:rPr>
          <w:rStyle w:val="apple-tab-span"/>
          <w:rFonts w:ascii="Book Antiqua" w:hAnsi="Book Antiqua"/>
          <w:color w:val="000000"/>
        </w:rPr>
        <w:t>, especially in those</w:t>
      </w:r>
      <w:r w:rsidRPr="00F26395">
        <w:rPr>
          <w:rFonts w:ascii="Book Antiqua" w:hAnsi="Book Antiqua"/>
        </w:rPr>
        <w:t xml:space="preserve"> who have undergone HSCT. Intra and post-procedural bleeding are viewed as difficult to manage </w:t>
      </w:r>
      <w:r w:rsidRPr="00F26395">
        <w:rPr>
          <w:rFonts w:ascii="Book Antiqua" w:hAnsi="Book Antiqua"/>
        </w:rPr>
        <w:lastRenderedPageBreak/>
        <w:t>in thrombocytopenic patients given the perceived notion that it occurs diffusely rather than focally. I</w:t>
      </w:r>
      <w:r w:rsidRPr="00F26395">
        <w:rPr>
          <w:rStyle w:val="apple-tab-span"/>
          <w:rFonts w:ascii="Book Antiqua" w:hAnsi="Book Antiqua"/>
          <w:color w:val="000000"/>
        </w:rPr>
        <w:t xml:space="preserve">n light of the higher perceived infectious and bleeding risks of performing endoscopy in this patient population, our final aim was to assess endoscopic safety. </w:t>
      </w:r>
    </w:p>
    <w:p w14:paraId="38BBE602" w14:textId="77777777" w:rsidR="00161EB0" w:rsidRPr="00F26395" w:rsidRDefault="00161EB0" w:rsidP="00F26395">
      <w:pPr>
        <w:spacing w:line="360" w:lineRule="auto"/>
        <w:jc w:val="both"/>
        <w:rPr>
          <w:rFonts w:ascii="Book Antiqua" w:hAnsi="Book Antiqua"/>
        </w:rPr>
      </w:pPr>
    </w:p>
    <w:p w14:paraId="1B73B65E" w14:textId="410D1451" w:rsidR="00161EB0" w:rsidRPr="00F26395" w:rsidRDefault="00977199" w:rsidP="00F26395">
      <w:pPr>
        <w:pStyle w:val="NormalWeb"/>
        <w:spacing w:before="0" w:beforeAutospacing="0" w:after="0" w:afterAutospacing="0" w:line="360" w:lineRule="auto"/>
        <w:jc w:val="both"/>
        <w:rPr>
          <w:rFonts w:ascii="Book Antiqua" w:hAnsi="Book Antiqua"/>
          <w:b/>
          <w:bCs/>
          <w:color w:val="000000"/>
        </w:rPr>
      </w:pPr>
      <w:r w:rsidRPr="00F26395">
        <w:rPr>
          <w:rFonts w:ascii="Book Antiqua" w:hAnsi="Book Antiqua"/>
          <w:b/>
          <w:bCs/>
          <w:color w:val="000000"/>
          <w:u w:val="single"/>
        </w:rPr>
        <w:t>MATERIALS AND METHODS</w:t>
      </w:r>
    </w:p>
    <w:p w14:paraId="0DE49234" w14:textId="77777777" w:rsidR="00977199" w:rsidRPr="00F26395" w:rsidRDefault="00161EB0" w:rsidP="00F26395">
      <w:pPr>
        <w:pStyle w:val="NormalWeb"/>
        <w:spacing w:before="0" w:beforeAutospacing="0" w:after="0" w:afterAutospacing="0" w:line="360" w:lineRule="auto"/>
        <w:jc w:val="both"/>
        <w:rPr>
          <w:rFonts w:ascii="Book Antiqua" w:hAnsi="Book Antiqua"/>
          <w:b/>
          <w:bCs/>
          <w:i/>
          <w:iCs/>
          <w:color w:val="000000"/>
        </w:rPr>
      </w:pPr>
      <w:r w:rsidRPr="00F26395">
        <w:rPr>
          <w:rFonts w:ascii="Book Antiqua" w:hAnsi="Book Antiqua"/>
          <w:b/>
          <w:bCs/>
          <w:i/>
          <w:iCs/>
          <w:color w:val="000000"/>
        </w:rPr>
        <w:t>Study population and oversight</w:t>
      </w:r>
    </w:p>
    <w:p w14:paraId="33C54D19" w14:textId="2457F008" w:rsidR="00161EB0" w:rsidRPr="00F26395" w:rsidRDefault="00161EB0" w:rsidP="00F26395">
      <w:pPr>
        <w:pStyle w:val="NormalWeb"/>
        <w:spacing w:before="0" w:beforeAutospacing="0" w:after="0" w:afterAutospacing="0" w:line="360" w:lineRule="auto"/>
        <w:jc w:val="both"/>
        <w:rPr>
          <w:rFonts w:ascii="Book Antiqua" w:hAnsi="Book Antiqua"/>
          <w:color w:val="000000"/>
        </w:rPr>
      </w:pPr>
      <w:r w:rsidRPr="00F26395">
        <w:rPr>
          <w:rFonts w:ascii="Book Antiqua" w:hAnsi="Book Antiqua"/>
          <w:color w:val="000000"/>
        </w:rPr>
        <w:t xml:space="preserve">A retrospective review was conducted of all endoscopic procedures performed at City of Hope (COH), an academic, tertiary care cancer center, between December 2017 and July 2019 to identify patients who had undergone allogenic HSCT with clinical suspicion for </w:t>
      </w:r>
      <w:proofErr w:type="spellStart"/>
      <w:r w:rsidRPr="00F26395">
        <w:rPr>
          <w:rFonts w:ascii="Book Antiqua" w:hAnsi="Book Antiqua"/>
          <w:color w:val="000000"/>
        </w:rPr>
        <w:t>aGVHD</w:t>
      </w:r>
      <w:proofErr w:type="spellEnd"/>
      <w:r w:rsidRPr="00F26395">
        <w:rPr>
          <w:rFonts w:ascii="Book Antiqua" w:hAnsi="Book Antiqua"/>
          <w:color w:val="000000"/>
        </w:rPr>
        <w:t xml:space="preserve">. The institutional review board at COH approved this study. The endoscopic database included data from December 2017 onwards as part of a new electronic health record implemented at COH; endoscopic data prior to this did not interface with the new electronic health record and was not accessible for review. </w:t>
      </w:r>
    </w:p>
    <w:p w14:paraId="5CA03267" w14:textId="77777777" w:rsidR="00977199" w:rsidRPr="00F26395" w:rsidRDefault="00977199" w:rsidP="00F26395">
      <w:pPr>
        <w:pStyle w:val="NormalWeb"/>
        <w:spacing w:before="0" w:beforeAutospacing="0" w:after="0" w:afterAutospacing="0" w:line="360" w:lineRule="auto"/>
        <w:jc w:val="both"/>
        <w:rPr>
          <w:rFonts w:ascii="Book Antiqua" w:hAnsi="Book Antiqua"/>
          <w:i/>
          <w:iCs/>
          <w:color w:val="000000"/>
        </w:rPr>
      </w:pPr>
    </w:p>
    <w:p w14:paraId="332B8F4D" w14:textId="77777777" w:rsidR="00161EB0" w:rsidRPr="00F26395" w:rsidRDefault="00161EB0" w:rsidP="00F26395">
      <w:pPr>
        <w:pStyle w:val="NormalWeb"/>
        <w:spacing w:before="0" w:beforeAutospacing="0" w:after="0" w:afterAutospacing="0" w:line="360" w:lineRule="auto"/>
        <w:jc w:val="both"/>
        <w:rPr>
          <w:rFonts w:ascii="Book Antiqua" w:hAnsi="Book Antiqua"/>
          <w:b/>
          <w:bCs/>
          <w:i/>
          <w:iCs/>
          <w:color w:val="000000"/>
        </w:rPr>
      </w:pPr>
      <w:r w:rsidRPr="00F26395">
        <w:rPr>
          <w:rFonts w:ascii="Book Antiqua" w:hAnsi="Book Antiqua"/>
          <w:b/>
          <w:bCs/>
          <w:i/>
          <w:iCs/>
          <w:color w:val="000000"/>
        </w:rPr>
        <w:t>Study eligibility criteria</w:t>
      </w:r>
    </w:p>
    <w:p w14:paraId="292540EF" w14:textId="0C08247C" w:rsidR="00161EB0" w:rsidRPr="00F26395" w:rsidRDefault="00161EB0" w:rsidP="00F26395">
      <w:pPr>
        <w:pStyle w:val="NormalWeb"/>
        <w:spacing w:before="0" w:beforeAutospacing="0" w:after="0" w:afterAutospacing="0" w:line="360" w:lineRule="auto"/>
        <w:jc w:val="both"/>
        <w:rPr>
          <w:rFonts w:ascii="Book Antiqua" w:hAnsi="Book Antiqua"/>
          <w:color w:val="000000"/>
        </w:rPr>
      </w:pPr>
      <w:r w:rsidRPr="00F26395">
        <w:rPr>
          <w:rFonts w:ascii="Book Antiqua" w:hAnsi="Book Antiqua"/>
          <w:color w:val="000000"/>
        </w:rPr>
        <w:t>Patients from the endoscopic database were included in the study if they</w:t>
      </w:r>
      <w:r w:rsidR="00977199" w:rsidRPr="00F26395">
        <w:rPr>
          <w:rFonts w:ascii="Book Antiqua" w:hAnsi="Book Antiqua"/>
          <w:color w:val="000000"/>
        </w:rPr>
        <w:t>:</w:t>
      </w:r>
      <w:r w:rsidRPr="00F26395">
        <w:rPr>
          <w:rFonts w:ascii="Book Antiqua" w:hAnsi="Book Antiqua"/>
          <w:color w:val="000000"/>
        </w:rPr>
        <w:t xml:space="preserve"> (1) had a hematologic malignancy such as leukemia, lymphoma, or myelodysplastic or myeloproliferative syndromes; (2) underwent allogeneic HSCT at COH; and (3) developed symptoms prompting clinical suspicion for </w:t>
      </w:r>
      <w:proofErr w:type="spellStart"/>
      <w:r w:rsidRPr="00F26395">
        <w:rPr>
          <w:rFonts w:ascii="Book Antiqua" w:hAnsi="Book Antiqua"/>
          <w:color w:val="000000"/>
        </w:rPr>
        <w:t>aGVHD</w:t>
      </w:r>
      <w:proofErr w:type="spellEnd"/>
      <w:r w:rsidRPr="00F26395">
        <w:rPr>
          <w:rFonts w:ascii="Book Antiqua" w:hAnsi="Book Antiqua"/>
          <w:color w:val="000000"/>
        </w:rPr>
        <w:t xml:space="preserve"> leading to referral for endoscopic evaluation. Patients who underwent HSCT for immunodeficiencies, congenital metabolic defects, or hemoglobinopathies were excluded. Further, patients who did not have tissue biopsied during endoscopy or underwent HSCT greater than 100 d prior to endoscopy were excluded. If a single patient underwent multiple endoscopies at different times, each endoscopic evaluation was counted as a separate procedure. </w:t>
      </w:r>
    </w:p>
    <w:p w14:paraId="7B32B237" w14:textId="77777777" w:rsidR="00977199" w:rsidRPr="00F26395" w:rsidRDefault="00977199" w:rsidP="00F26395">
      <w:pPr>
        <w:pStyle w:val="NormalWeb"/>
        <w:spacing w:before="0" w:beforeAutospacing="0" w:after="0" w:afterAutospacing="0" w:line="360" w:lineRule="auto"/>
        <w:jc w:val="both"/>
        <w:rPr>
          <w:rFonts w:ascii="Book Antiqua" w:hAnsi="Book Antiqua"/>
          <w:color w:val="000000"/>
        </w:rPr>
      </w:pPr>
    </w:p>
    <w:p w14:paraId="421C7E1D" w14:textId="77777777" w:rsidR="00161EB0" w:rsidRPr="00F26395" w:rsidRDefault="00161EB0" w:rsidP="00F26395">
      <w:pPr>
        <w:pStyle w:val="NormalWeb"/>
        <w:spacing w:before="0" w:beforeAutospacing="0" w:after="0" w:afterAutospacing="0" w:line="360" w:lineRule="auto"/>
        <w:jc w:val="both"/>
        <w:rPr>
          <w:rFonts w:ascii="Book Antiqua" w:hAnsi="Book Antiqua"/>
          <w:b/>
          <w:bCs/>
          <w:color w:val="000000"/>
        </w:rPr>
      </w:pPr>
      <w:r w:rsidRPr="00F26395">
        <w:rPr>
          <w:rFonts w:ascii="Book Antiqua" w:hAnsi="Book Antiqua"/>
          <w:b/>
          <w:bCs/>
          <w:i/>
          <w:iCs/>
          <w:color w:val="000000"/>
        </w:rPr>
        <w:t>Data sources and variables</w:t>
      </w:r>
    </w:p>
    <w:p w14:paraId="5A1EF274" w14:textId="26BBCD8C" w:rsidR="00161EB0" w:rsidRPr="00F26395" w:rsidRDefault="00161EB0" w:rsidP="00F26395">
      <w:pPr>
        <w:pStyle w:val="NormalWeb"/>
        <w:spacing w:before="0" w:beforeAutospacing="0" w:after="0" w:afterAutospacing="0" w:line="360" w:lineRule="auto"/>
        <w:jc w:val="both"/>
        <w:rPr>
          <w:rFonts w:ascii="Book Antiqua" w:hAnsi="Book Antiqua"/>
        </w:rPr>
      </w:pPr>
      <w:r w:rsidRPr="00F26395">
        <w:rPr>
          <w:rFonts w:ascii="Book Antiqua" w:hAnsi="Book Antiqua"/>
          <w:color w:val="000000"/>
        </w:rPr>
        <w:t>Two investigators (</w:t>
      </w:r>
      <w:proofErr w:type="spellStart"/>
      <w:r w:rsidR="00977199" w:rsidRPr="00F26395">
        <w:rPr>
          <w:rFonts w:ascii="Book Antiqua" w:hAnsi="Book Antiqua"/>
        </w:rPr>
        <w:t>Rajan</w:t>
      </w:r>
      <w:proofErr w:type="spellEnd"/>
      <w:r w:rsidR="00977199" w:rsidRPr="00F26395">
        <w:rPr>
          <w:rFonts w:ascii="Book Antiqua" w:hAnsi="Book Antiqua"/>
          <w:color w:val="000000"/>
        </w:rPr>
        <w:t xml:space="preserve"> </w:t>
      </w:r>
      <w:r w:rsidRPr="00F26395">
        <w:rPr>
          <w:rFonts w:ascii="Book Antiqua" w:hAnsi="Book Antiqua"/>
          <w:color w:val="000000"/>
        </w:rPr>
        <w:t>A</w:t>
      </w:r>
      <w:r w:rsidR="00977199" w:rsidRPr="00F26395">
        <w:rPr>
          <w:rFonts w:ascii="Book Antiqua" w:hAnsi="Book Antiqua"/>
          <w:color w:val="000000"/>
        </w:rPr>
        <w:t>V</w:t>
      </w:r>
      <w:r w:rsidRPr="00F26395">
        <w:rPr>
          <w:rFonts w:ascii="Book Antiqua" w:hAnsi="Book Antiqua"/>
          <w:color w:val="000000"/>
        </w:rPr>
        <w:t xml:space="preserve">, </w:t>
      </w:r>
      <w:r w:rsidR="00977199" w:rsidRPr="00F26395">
        <w:rPr>
          <w:rFonts w:ascii="Book Antiqua" w:hAnsi="Book Antiqua"/>
        </w:rPr>
        <w:t>Trieu</w:t>
      </w:r>
      <w:r w:rsidR="00977199" w:rsidRPr="00F26395">
        <w:rPr>
          <w:rFonts w:ascii="Book Antiqua" w:hAnsi="Book Antiqua"/>
          <w:color w:val="000000"/>
        </w:rPr>
        <w:t xml:space="preserve"> </w:t>
      </w:r>
      <w:r w:rsidRPr="00F26395">
        <w:rPr>
          <w:rFonts w:ascii="Book Antiqua" w:hAnsi="Book Antiqua"/>
          <w:color w:val="000000"/>
        </w:rPr>
        <w:t xml:space="preserve">H) reviewed all endoscopy and corresponding pathology reports, collected data on endoscopic findings as well as interventions performed, and reviewed the medical records. Pathology reports were also reviewed and pathological findings as well as their anatomical location were collected. All biopsy </w:t>
      </w:r>
      <w:r w:rsidRPr="00F26395">
        <w:rPr>
          <w:rFonts w:ascii="Book Antiqua" w:hAnsi="Book Antiqua"/>
          <w:color w:val="000000"/>
        </w:rPr>
        <w:lastRenderedPageBreak/>
        <w:t xml:space="preserve">samples </w:t>
      </w:r>
      <w:r w:rsidRPr="00F26395">
        <w:rPr>
          <w:rFonts w:ascii="Book Antiqua" w:hAnsi="Book Antiqua"/>
        </w:rPr>
        <w:t xml:space="preserve">were sent for pathologic examination as part of routine clinical care and histology was evaluated by expert </w:t>
      </w:r>
      <w:r w:rsidR="00977199" w:rsidRPr="00F26395">
        <w:rPr>
          <w:rFonts w:ascii="Book Antiqua" w:hAnsi="Book Antiqua"/>
        </w:rPr>
        <w:t>GI</w:t>
      </w:r>
      <w:r w:rsidRPr="00F26395">
        <w:rPr>
          <w:rFonts w:ascii="Book Antiqua" w:hAnsi="Book Antiqua"/>
        </w:rPr>
        <w:t xml:space="preserve"> pathologists at COH. Histological grading of the severity of </w:t>
      </w:r>
      <w:proofErr w:type="spellStart"/>
      <w:r w:rsidRPr="00F26395">
        <w:rPr>
          <w:rFonts w:ascii="Book Antiqua" w:hAnsi="Book Antiqua"/>
        </w:rPr>
        <w:t>aGVHD</w:t>
      </w:r>
      <w:proofErr w:type="spellEnd"/>
      <w:r w:rsidRPr="00F26395">
        <w:rPr>
          <w:rFonts w:ascii="Book Antiqua" w:hAnsi="Book Antiqua"/>
        </w:rPr>
        <w:t xml:space="preserve"> was done on a scale ranging from mild, moderate, to severe as per standard of care at City of Hope Medical Center and in concordance with 2014 NIH Consensus Criteria</w:t>
      </w:r>
      <w:r w:rsidRPr="00F26395">
        <w:rPr>
          <w:rFonts w:ascii="Book Antiqua" w:hAnsi="Book Antiqua"/>
        </w:rPr>
        <w:fldChar w:fldCharType="begin" w:fldLock="1"/>
      </w:r>
      <w:r w:rsidRPr="00F26395">
        <w:rPr>
          <w:rFonts w:ascii="Book Antiqua" w:hAnsi="Book Antiqua"/>
        </w:rPr>
        <w:instrText>ADDIN CSL_CITATION {"citationItems":[{"id":"ITEM-1","itemData":{"DOI":"10.1016/j.bbmt.2014.12.031","ISSN":"15236536","PMID":"25639770","abstract":"The 2005 National Institute of Health (NIH) Consensus Conference outlined histopathological diagnostic criteria for the major organ systems affected by both acute and chronic graft-versus-host disease (GVHD). The 2014 Consensus Conference led to this updated document with new information from histopathological studies of GVHD in the gut, liver, skin, and oral mucosa and an expanded discussion of GVHD in the lungs and kidneys. The recommendations for final histological diagnostic categories have been simplified from 4 categories to 3: no GVHD, possible GVHD, and likely GVHD, based on better reproducibility achieved by combining the previous categories of \"consistent with GVHD\" and \"definite GVHD\" into the single category of \"likely GVHD.\" Issues remain in the histopathological characterization of GVHD, particularly with respect to the threshold of histological changes required for diagnostic certainty. Guidance is provided for the incorporation of biopsy information into prospective clinical studies of GVHD, particularly with respect to biomarker validation.","author":[{"dropping-particle":"","family":"Shulman","given":"Howard M.","non-dropping-particle":"","parse-names":false,"suffix":""},{"dropping-particle":"","family":"Cardona","given":"Diana M.","non-dropping-particle":"","parse-names":false,"suffix":""},{"dropping-particle":"","family":"Greenson","given":"Joel K.","non-dropping-particle":"","parse-names":false,"suffix":""},{"dropping-particle":"","family":"Hingorani","given":"Sangeeta","non-dropping-particle":"","parse-names":false,"suffix":""},{"dropping-particle":"","family":"Horn","given":"Thomas","non-dropping-particle":"","parse-names":false,"suffix":""},{"dropping-particle":"","family":"Huber","given":"Elisabeth","non-dropping-particle":"","parse-names":false,"suffix":""},{"dropping-particle":"","family":"Kreft","given":"Andreas","non-dropping-particle":"","parse-names":false,"suffix":""},{"dropping-particle":"","family":"Longerich","given":"Thomas","non-dropping-particle":"","parse-names":false,"suffix":""},{"dropping-particle":"","family":"Morton","given":"Thomas","non-dropping-particle":"","parse-names":false,"suffix":""},{"dropping-particle":"","family":"Myerson","given":"David","non-dropping-particle":"","parse-names":false,"suffix":""},{"dropping-particle":"","family":"Prieto","given":"Victor G.","non-dropping-particle":"","parse-names":false,"suffix":""},{"dropping-particle":"","family":"Rosenberg","given":"Avi","non-dropping-particle":"","parse-names":false,"suffix":""},{"dropping-particle":"","family":"Treister","given":"Nathaniel","non-dropping-particle":"","parse-names":false,"suffix":""},{"dropping-particle":"","family":"Washington","given":"Kay","non-dropping-particle":"","parse-names":false,"suffix":""},{"dropping-particle":"","family":"Ziemer","given":"Mirjana","non-dropping-particle":"","parse-names":false,"suffix":""},{"dropping-particle":"","family":"Pavletic","given":"Steven Z.","non-dropping-particle":"","parse-names":false,"suffix":""},{"dropping-particle":"","family":"Lee","given":"Stephanie J.","non-dropping-particle":"","parse-names":false,"suffix":""},{"dropping-particle":"","family":"Flowers","given":"Mary E.D.","non-dropping-particle":"","parse-names":false,"suffix":""},{"dropping-particle":"","family":"Schultz","given":"Kirk R.","non-dropping-particle":"","parse-names":false,"suffix":""},{"dropping-particle":"","family":"Jagasia","given":"Madan","non-dropping-particle":"","parse-names":false,"suffix":""},{"dropping-particle":"","family":"Martin","given":"Paul J.","non-dropping-particle":"","parse-names":false,"suffix":""},{"dropping-particle":"","family":"Vogelsang","given":"Georgia B.","non-dropping-particle":"","parse-names":false,"suffix":""},{"dropping-particle":"","family":"Kleiner","given":"David E.","non-dropping-particle":"","parse-names":false,"suffix":""}],"container-title":"Biology of Blood and Marrow Transplantation","id":"ITEM-1","issue":"4","issued":{"date-parts":[["2015","4","1"]]},"page":"589-603","publisher":"Elsevier Inc.","title":"NIH Consensus Development Project on Criteria for Clinical Trials in Chronic Graft-versus-Host Disease: II. The 2014 Pathology Working Group Report","type":"article-journal","volume":"21"},"uris":["http://www.mendeley.com/documents/?uuid=98d27ea3-56c5-36cc-900a-bc012d54968e"]}],"mendeley":{"formattedCitation":"&lt;sup&gt;[8]&lt;/sup&gt;","plainTextFormattedCitation":"[8]","previouslyFormattedCitation":"&lt;sup&gt;[8]&lt;/sup&gt;"},"properties":{"noteIndex":0},"schema":"https://github.com/citation-style-language/schema/raw/master/csl-citation.json"}</w:instrText>
      </w:r>
      <w:r w:rsidRPr="00F26395">
        <w:rPr>
          <w:rFonts w:ascii="Book Antiqua" w:hAnsi="Book Antiqua"/>
        </w:rPr>
        <w:fldChar w:fldCharType="separate"/>
      </w:r>
      <w:r w:rsidRPr="00F26395">
        <w:rPr>
          <w:rFonts w:ascii="Book Antiqua" w:hAnsi="Book Antiqua"/>
          <w:noProof/>
          <w:vertAlign w:val="superscript"/>
        </w:rPr>
        <w:t>[8]</w:t>
      </w:r>
      <w:r w:rsidRPr="00F26395">
        <w:rPr>
          <w:rFonts w:ascii="Book Antiqua" w:hAnsi="Book Antiqua"/>
        </w:rPr>
        <w:fldChar w:fldCharType="end"/>
      </w:r>
      <w:r w:rsidRPr="00F26395">
        <w:rPr>
          <w:rFonts w:ascii="Book Antiqua" w:hAnsi="Book Antiqua"/>
        </w:rPr>
        <w:t xml:space="preserve">. Mild </w:t>
      </w:r>
      <w:proofErr w:type="spellStart"/>
      <w:r w:rsidRPr="00F26395">
        <w:rPr>
          <w:rFonts w:ascii="Book Antiqua" w:hAnsi="Book Antiqua"/>
        </w:rPr>
        <w:t>aGVHD</w:t>
      </w:r>
      <w:proofErr w:type="spellEnd"/>
      <w:r w:rsidRPr="00F26395">
        <w:rPr>
          <w:rFonts w:ascii="Book Antiqua" w:hAnsi="Book Antiqua"/>
        </w:rPr>
        <w:t xml:space="preserve"> was defined as rare or few apoptotic cells of individual crypts; moderate </w:t>
      </w:r>
      <w:proofErr w:type="spellStart"/>
      <w:r w:rsidRPr="00F26395">
        <w:rPr>
          <w:rFonts w:ascii="Book Antiqua" w:hAnsi="Book Antiqua"/>
        </w:rPr>
        <w:t>aGVHD</w:t>
      </w:r>
      <w:proofErr w:type="spellEnd"/>
      <w:r w:rsidRPr="00F26395">
        <w:rPr>
          <w:rFonts w:ascii="Book Antiqua" w:hAnsi="Book Antiqua"/>
        </w:rPr>
        <w:t xml:space="preserve"> was defined as apoptosis with crypt </w:t>
      </w:r>
      <w:bookmarkStart w:id="27" w:name="_GoBack"/>
      <w:proofErr w:type="spellStart"/>
      <w:r w:rsidRPr="00F26395">
        <w:rPr>
          <w:rFonts w:ascii="Book Antiqua" w:hAnsi="Book Antiqua"/>
        </w:rPr>
        <w:t>microabscesses</w:t>
      </w:r>
      <w:proofErr w:type="spellEnd"/>
      <w:r w:rsidRPr="00F26395">
        <w:rPr>
          <w:rFonts w:ascii="Book Antiqua" w:hAnsi="Book Antiqua"/>
        </w:rPr>
        <w:t xml:space="preserve"> </w:t>
      </w:r>
      <w:bookmarkEnd w:id="27"/>
      <w:r w:rsidRPr="00F26395">
        <w:rPr>
          <w:rFonts w:ascii="Book Antiqua" w:hAnsi="Book Antiqua"/>
        </w:rPr>
        <w:t xml:space="preserve">and crypt cell flattening; and, severe </w:t>
      </w:r>
      <w:proofErr w:type="spellStart"/>
      <w:r w:rsidRPr="00F26395">
        <w:rPr>
          <w:rFonts w:ascii="Book Antiqua" w:hAnsi="Book Antiqua"/>
        </w:rPr>
        <w:t>aGVHD</w:t>
      </w:r>
      <w:proofErr w:type="spellEnd"/>
      <w:r w:rsidRPr="00F26395">
        <w:rPr>
          <w:rFonts w:ascii="Book Antiqua" w:hAnsi="Book Antiqua"/>
        </w:rPr>
        <w:t xml:space="preserve"> was defined as dropout of many crypts or flat mucosa with total denudation. In some instances, a single tissue sample was classified as a range of severities such as both mild and moderate. Illustrative histological images can be seen in Figure </w:t>
      </w:r>
      <w:r w:rsidR="001B5149">
        <w:rPr>
          <w:rFonts w:ascii="Book Antiqua" w:hAnsi="Book Antiqua"/>
        </w:rPr>
        <w:t>1</w:t>
      </w:r>
      <w:r w:rsidRPr="00F26395">
        <w:rPr>
          <w:rFonts w:ascii="Book Antiqua" w:hAnsi="Book Antiqua"/>
        </w:rPr>
        <w:t xml:space="preserve">. </w:t>
      </w:r>
    </w:p>
    <w:p w14:paraId="704836C3" w14:textId="329C1E9D" w:rsidR="00161EB0" w:rsidRPr="00F26395" w:rsidRDefault="00161EB0" w:rsidP="00F26395">
      <w:pPr>
        <w:pStyle w:val="NormalWeb"/>
        <w:spacing w:before="0" w:beforeAutospacing="0" w:after="0" w:afterAutospacing="0" w:line="360" w:lineRule="auto"/>
        <w:ind w:firstLineChars="100" w:firstLine="240"/>
        <w:jc w:val="both"/>
        <w:rPr>
          <w:rStyle w:val="apple-tab-span"/>
          <w:rFonts w:ascii="Book Antiqua" w:hAnsi="Book Antiqua"/>
          <w:color w:val="000000"/>
        </w:rPr>
      </w:pPr>
      <w:r w:rsidRPr="00F26395">
        <w:rPr>
          <w:rFonts w:ascii="Book Antiqua" w:hAnsi="Book Antiqua"/>
          <w:color w:val="000000"/>
        </w:rPr>
        <w:t xml:space="preserve">Demographic, clinical, and laboratory data from the electronic health records were collected. Hemoglobin count, platelet count, and </w:t>
      </w:r>
      <w:bookmarkStart w:id="28" w:name="OLE_LINK2192"/>
      <w:bookmarkStart w:id="29" w:name="OLE_LINK2193"/>
      <w:r w:rsidRPr="00F26395">
        <w:rPr>
          <w:rFonts w:ascii="Book Antiqua" w:hAnsi="Book Antiqua"/>
          <w:color w:val="000000"/>
        </w:rPr>
        <w:t>absolute neutrophil count</w:t>
      </w:r>
      <w:bookmarkEnd w:id="28"/>
      <w:bookmarkEnd w:id="29"/>
      <w:r w:rsidRPr="00F26395">
        <w:rPr>
          <w:rFonts w:ascii="Book Antiqua" w:hAnsi="Book Antiqua"/>
          <w:color w:val="000000"/>
        </w:rPr>
        <w:t xml:space="preserve"> (ANC) were obtained from the last complete blood count (CBC) drawn prior to endoscopy and first CBC drawn post-endoscopy. Pre-procedure blood urea nitrogen and creatinine as well as pre and post-procedure </w:t>
      </w:r>
      <w:bookmarkStart w:id="30" w:name="OLE_LINK2194"/>
      <w:bookmarkStart w:id="31" w:name="OLE_LINK2195"/>
      <w:r w:rsidRPr="00F26395">
        <w:rPr>
          <w:rFonts w:ascii="Book Antiqua" w:hAnsi="Book Antiqua"/>
          <w:color w:val="000000"/>
        </w:rPr>
        <w:t>international normalized ratio</w:t>
      </w:r>
      <w:bookmarkEnd w:id="30"/>
      <w:bookmarkEnd w:id="31"/>
      <w:r w:rsidRPr="00F26395">
        <w:rPr>
          <w:rFonts w:ascii="Book Antiqua" w:hAnsi="Book Antiqua"/>
          <w:color w:val="000000"/>
        </w:rPr>
        <w:t xml:space="preserve"> were obtained in a similar manner. Additionally, transfusion data was collected such as number of units of platelets, </w:t>
      </w:r>
      <w:bookmarkStart w:id="32" w:name="OLE_LINK2188"/>
      <w:bookmarkStart w:id="33" w:name="OLE_LINK2189"/>
      <w:r w:rsidRPr="00F26395">
        <w:rPr>
          <w:rFonts w:ascii="Book Antiqua" w:hAnsi="Book Antiqua"/>
          <w:color w:val="000000"/>
        </w:rPr>
        <w:t>packed red blood cells</w:t>
      </w:r>
      <w:bookmarkEnd w:id="32"/>
      <w:bookmarkEnd w:id="33"/>
      <w:r w:rsidRPr="00F26395">
        <w:rPr>
          <w:rFonts w:ascii="Book Antiqua" w:hAnsi="Book Antiqua"/>
          <w:color w:val="000000"/>
        </w:rPr>
        <w:t xml:space="preserve"> (</w:t>
      </w:r>
      <w:proofErr w:type="spellStart"/>
      <w:r w:rsidRPr="00F26395">
        <w:rPr>
          <w:rFonts w:ascii="Book Antiqua" w:hAnsi="Book Antiqua"/>
          <w:color w:val="000000"/>
        </w:rPr>
        <w:t>pRBC</w:t>
      </w:r>
      <w:proofErr w:type="spellEnd"/>
      <w:r w:rsidRPr="00F26395">
        <w:rPr>
          <w:rFonts w:ascii="Book Antiqua" w:hAnsi="Book Antiqua"/>
          <w:color w:val="000000"/>
        </w:rPr>
        <w:t xml:space="preserve">), and </w:t>
      </w:r>
      <w:bookmarkStart w:id="34" w:name="OLE_LINK2186"/>
      <w:bookmarkStart w:id="35" w:name="OLE_LINK2187"/>
      <w:r w:rsidRPr="00F26395">
        <w:rPr>
          <w:rFonts w:ascii="Book Antiqua" w:hAnsi="Book Antiqua"/>
          <w:color w:val="000000"/>
        </w:rPr>
        <w:t>fresh frozen plasma/cryoprecipitate</w:t>
      </w:r>
      <w:bookmarkEnd w:id="34"/>
      <w:bookmarkEnd w:id="35"/>
      <w:r w:rsidRPr="00F26395">
        <w:rPr>
          <w:rFonts w:ascii="Book Antiqua" w:hAnsi="Book Antiqua"/>
          <w:color w:val="000000"/>
        </w:rPr>
        <w:t xml:space="preserve"> (</w:t>
      </w:r>
      <w:bookmarkStart w:id="36" w:name="OLE_LINK2151"/>
      <w:bookmarkStart w:id="37" w:name="OLE_LINK2152"/>
      <w:r w:rsidRPr="00F26395">
        <w:rPr>
          <w:rFonts w:ascii="Book Antiqua" w:hAnsi="Book Antiqua"/>
          <w:color w:val="000000"/>
        </w:rPr>
        <w:t>FFP</w:t>
      </w:r>
      <w:bookmarkEnd w:id="36"/>
      <w:bookmarkEnd w:id="37"/>
      <w:r w:rsidRPr="00F26395">
        <w:rPr>
          <w:rFonts w:ascii="Book Antiqua" w:hAnsi="Book Antiqua"/>
          <w:color w:val="000000"/>
        </w:rPr>
        <w:t>) transfused within 72 h prior to endoscopy and 72 h after.</w:t>
      </w:r>
      <w:r w:rsidRPr="00F26395">
        <w:rPr>
          <w:rStyle w:val="apple-tab-span"/>
          <w:rFonts w:ascii="Book Antiqua" w:hAnsi="Book Antiqua"/>
          <w:color w:val="000000"/>
        </w:rPr>
        <w:t xml:space="preserve"> Thrombocytopenia was defined as a pre-procedure platelet count less than or equal to 50000 per microliter with no platelet transfusions or less than or equal to 75000 per microliter with one or more platelet transfusions. Neutropenia was defined as a pre-procedure </w:t>
      </w:r>
      <w:r w:rsidR="00977199" w:rsidRPr="00F26395">
        <w:rPr>
          <w:rStyle w:val="apple-tab-span"/>
          <w:rFonts w:ascii="Book Antiqua" w:hAnsi="Book Antiqua"/>
          <w:color w:val="000000"/>
        </w:rPr>
        <w:t>ANC</w:t>
      </w:r>
      <w:r w:rsidRPr="00F26395">
        <w:rPr>
          <w:rStyle w:val="apple-tab-span"/>
          <w:rFonts w:ascii="Book Antiqua" w:hAnsi="Book Antiqua"/>
          <w:color w:val="000000"/>
        </w:rPr>
        <w:t xml:space="preserve"> of less than 1000 cells per microliter. </w:t>
      </w:r>
    </w:p>
    <w:p w14:paraId="1D69C2E4" w14:textId="213AB351" w:rsidR="00161EB0" w:rsidRPr="00F26395" w:rsidRDefault="00161EB0" w:rsidP="00F26395">
      <w:pPr>
        <w:pStyle w:val="NormalWeb"/>
        <w:spacing w:before="0" w:beforeAutospacing="0" w:after="0" w:afterAutospacing="0" w:line="360" w:lineRule="auto"/>
        <w:ind w:firstLineChars="100" w:firstLine="240"/>
        <w:jc w:val="both"/>
        <w:rPr>
          <w:rStyle w:val="apple-tab-span"/>
          <w:rFonts w:ascii="Book Antiqua" w:hAnsi="Book Antiqua"/>
          <w:color w:val="000000"/>
        </w:rPr>
      </w:pPr>
      <w:r w:rsidRPr="00F26395">
        <w:rPr>
          <w:rStyle w:val="apple-tab-span"/>
          <w:rFonts w:ascii="Book Antiqua" w:hAnsi="Book Antiqua"/>
          <w:color w:val="000000"/>
        </w:rPr>
        <w:t xml:space="preserve">Adverse events after endoscopy were defined as overt clinical </w:t>
      </w:r>
      <w:r w:rsidR="00977199" w:rsidRPr="00F26395">
        <w:rPr>
          <w:rStyle w:val="apple-tab-span"/>
          <w:rFonts w:ascii="Book Antiqua" w:hAnsi="Book Antiqua"/>
          <w:color w:val="000000"/>
        </w:rPr>
        <w:t>GI</w:t>
      </w:r>
      <w:r w:rsidRPr="00F26395">
        <w:rPr>
          <w:rStyle w:val="apple-tab-span"/>
          <w:rFonts w:ascii="Book Antiqua" w:hAnsi="Book Antiqua"/>
          <w:color w:val="000000"/>
        </w:rPr>
        <w:t xml:space="preserve"> bleeding, infection, luminal perforation, and/or death due to any cause within 1 wk. When an adverse event occurred, the medical record was reviewed for details related to endoscopic approaches for hemostasis and other interventions required to manage the adverse events.</w:t>
      </w:r>
    </w:p>
    <w:p w14:paraId="63FDEBC3" w14:textId="77777777" w:rsidR="00977199" w:rsidRPr="00F26395" w:rsidRDefault="00977199" w:rsidP="00F26395">
      <w:pPr>
        <w:pStyle w:val="NormalWeb"/>
        <w:spacing w:before="0" w:beforeAutospacing="0" w:after="0" w:afterAutospacing="0" w:line="360" w:lineRule="auto"/>
        <w:jc w:val="both"/>
        <w:rPr>
          <w:rStyle w:val="apple-tab-span"/>
          <w:rFonts w:ascii="Book Antiqua" w:hAnsi="Book Antiqua"/>
          <w:color w:val="000000"/>
        </w:rPr>
      </w:pPr>
    </w:p>
    <w:p w14:paraId="7D66559A" w14:textId="1BF29ADE" w:rsidR="00161EB0" w:rsidRPr="00F26395" w:rsidRDefault="00161EB0" w:rsidP="00F26395">
      <w:pPr>
        <w:pStyle w:val="NormalWeb"/>
        <w:spacing w:before="0" w:beforeAutospacing="0" w:after="0" w:afterAutospacing="0" w:line="360" w:lineRule="auto"/>
        <w:jc w:val="both"/>
        <w:rPr>
          <w:rStyle w:val="apple-tab-span"/>
          <w:rFonts w:ascii="Book Antiqua" w:hAnsi="Book Antiqua"/>
          <w:b/>
          <w:bCs/>
          <w:i/>
          <w:iCs/>
          <w:color w:val="000000"/>
          <w:lang w:eastAsia="zh-CN"/>
        </w:rPr>
      </w:pPr>
      <w:r w:rsidRPr="00F26395">
        <w:rPr>
          <w:rStyle w:val="apple-tab-span"/>
          <w:rFonts w:ascii="Book Antiqua" w:hAnsi="Book Antiqua"/>
          <w:b/>
          <w:bCs/>
          <w:i/>
          <w:iCs/>
          <w:color w:val="000000"/>
        </w:rPr>
        <w:t>Statistical analys</w:t>
      </w:r>
      <w:r w:rsidR="00977199" w:rsidRPr="00F26395">
        <w:rPr>
          <w:rStyle w:val="apple-tab-span"/>
          <w:rFonts w:ascii="Book Antiqua" w:hAnsi="Book Antiqua"/>
          <w:b/>
          <w:bCs/>
          <w:i/>
          <w:iCs/>
          <w:color w:val="000000"/>
          <w:lang w:eastAsia="zh-CN"/>
        </w:rPr>
        <w:t>is</w:t>
      </w:r>
    </w:p>
    <w:p w14:paraId="59EEFEAA" w14:textId="3033052F" w:rsidR="00161EB0" w:rsidRPr="00F26395" w:rsidRDefault="00161EB0" w:rsidP="00F26395">
      <w:pPr>
        <w:pStyle w:val="NormalWeb"/>
        <w:spacing w:before="0" w:beforeAutospacing="0" w:after="0" w:afterAutospacing="0" w:line="360" w:lineRule="auto"/>
        <w:jc w:val="both"/>
        <w:rPr>
          <w:rStyle w:val="apple-tab-span"/>
          <w:rFonts w:ascii="Book Antiqua" w:hAnsi="Book Antiqua"/>
          <w:color w:val="000000"/>
        </w:rPr>
      </w:pPr>
      <w:r w:rsidRPr="00F26395">
        <w:rPr>
          <w:rStyle w:val="apple-tab-span"/>
          <w:rFonts w:ascii="Book Antiqua" w:hAnsi="Book Antiqua"/>
          <w:color w:val="000000"/>
        </w:rPr>
        <w:t>Data were stored using the Research Electronic Data Capture (</w:t>
      </w:r>
      <w:proofErr w:type="spellStart"/>
      <w:r w:rsidRPr="00F26395">
        <w:rPr>
          <w:rStyle w:val="apple-tab-span"/>
          <w:rFonts w:ascii="Book Antiqua" w:hAnsi="Book Antiqua"/>
          <w:color w:val="000000"/>
        </w:rPr>
        <w:t>REDCap</w:t>
      </w:r>
      <w:proofErr w:type="spellEnd"/>
      <w:r w:rsidRPr="00F26395">
        <w:rPr>
          <w:rStyle w:val="apple-tab-span"/>
          <w:rFonts w:ascii="Book Antiqua" w:hAnsi="Book Antiqua"/>
          <w:color w:val="000000"/>
        </w:rPr>
        <w:t xml:space="preserve">) 8.10.2 data management platform (Vanderbilt University, Nashville, Tennessee). Descriptive </w:t>
      </w:r>
      <w:r w:rsidRPr="00F26395">
        <w:rPr>
          <w:rStyle w:val="apple-tab-span"/>
          <w:rFonts w:ascii="Book Antiqua" w:hAnsi="Book Antiqua"/>
          <w:color w:val="000000"/>
        </w:rPr>
        <w:lastRenderedPageBreak/>
        <w:t xml:space="preserve">statistics were computed for demographic, clinical, endoscopic, and pathologic variables. Contingency tables were created to calculate the yield, sensitivity, and specificity of biopsies based on certain endoscopic findings and presenting symptoms for diagnosing </w:t>
      </w:r>
      <w:proofErr w:type="spellStart"/>
      <w:r w:rsidRPr="00F26395">
        <w:rPr>
          <w:rStyle w:val="apple-tab-span"/>
          <w:rFonts w:ascii="Book Antiqua" w:hAnsi="Book Antiqua"/>
          <w:color w:val="000000"/>
        </w:rPr>
        <w:t>aGVHD</w:t>
      </w:r>
      <w:proofErr w:type="spellEnd"/>
      <w:r w:rsidRPr="00F26395">
        <w:rPr>
          <w:rStyle w:val="apple-tab-span"/>
          <w:rFonts w:ascii="Book Antiqua" w:hAnsi="Book Antiqua"/>
          <w:color w:val="000000"/>
        </w:rPr>
        <w:t>. Fisher’s exact test was performed to compare the incidence of post-endoscopic complications in the thrombocytopenic and neutropenic patients. All statistical analyses were performed using Stata/IC 15.1 (</w:t>
      </w:r>
      <w:proofErr w:type="spellStart"/>
      <w:r w:rsidRPr="00F26395">
        <w:rPr>
          <w:rStyle w:val="apple-tab-span"/>
          <w:rFonts w:ascii="Book Antiqua" w:hAnsi="Book Antiqua"/>
          <w:color w:val="000000"/>
        </w:rPr>
        <w:t>StataCorp</w:t>
      </w:r>
      <w:proofErr w:type="spellEnd"/>
      <w:r w:rsidRPr="00F26395">
        <w:rPr>
          <w:rStyle w:val="apple-tab-span"/>
          <w:rFonts w:ascii="Book Antiqua" w:hAnsi="Book Antiqua"/>
          <w:color w:val="000000"/>
        </w:rPr>
        <w:t xml:space="preserve">, College Station, </w:t>
      </w:r>
      <w:r w:rsidR="001C55AD" w:rsidRPr="00F26395">
        <w:rPr>
          <w:rStyle w:val="apple-tab-span"/>
          <w:rFonts w:ascii="Book Antiqua" w:hAnsi="Book Antiqua"/>
          <w:color w:val="000000"/>
        </w:rPr>
        <w:t>TX, Un</w:t>
      </w:r>
      <w:r w:rsidR="001C55AD" w:rsidRPr="00F26395">
        <w:rPr>
          <w:rStyle w:val="apple-tab-span"/>
          <w:rFonts w:ascii="Book Antiqua" w:hAnsi="Book Antiqua"/>
          <w:color w:val="000000"/>
          <w:lang w:eastAsia="zh-CN"/>
        </w:rPr>
        <w:t>ited States</w:t>
      </w:r>
      <w:r w:rsidRPr="00F26395">
        <w:rPr>
          <w:rStyle w:val="apple-tab-span"/>
          <w:rFonts w:ascii="Book Antiqua" w:hAnsi="Book Antiqua"/>
          <w:color w:val="000000"/>
        </w:rPr>
        <w:t xml:space="preserve">). The statistical methods of this study were reviewed by Trieu </w:t>
      </w:r>
      <w:r w:rsidR="001C55AD" w:rsidRPr="00F26395">
        <w:rPr>
          <w:rStyle w:val="apple-tab-span"/>
          <w:rFonts w:ascii="Book Antiqua" w:hAnsi="Book Antiqua"/>
          <w:color w:val="000000"/>
        </w:rPr>
        <w:t xml:space="preserve">H </w:t>
      </w:r>
      <w:r w:rsidRPr="00F26395">
        <w:rPr>
          <w:rStyle w:val="apple-tab-span"/>
          <w:rFonts w:ascii="Book Antiqua" w:hAnsi="Book Antiqua"/>
          <w:color w:val="000000"/>
        </w:rPr>
        <w:t xml:space="preserve">from the University of Southern California. </w:t>
      </w:r>
    </w:p>
    <w:p w14:paraId="4436F777" w14:textId="5F799DC9" w:rsidR="00977199" w:rsidRPr="00903D2B" w:rsidRDefault="00977199" w:rsidP="00F26395">
      <w:pPr>
        <w:pStyle w:val="NormalWeb"/>
        <w:spacing w:before="0" w:beforeAutospacing="0" w:after="0" w:afterAutospacing="0" w:line="360" w:lineRule="auto"/>
        <w:jc w:val="both"/>
        <w:rPr>
          <w:rFonts w:ascii="Book Antiqua" w:eastAsia="DengXian" w:hAnsi="Book Antiqua"/>
          <w:color w:val="000000"/>
          <w:lang w:eastAsia="zh-CN"/>
        </w:rPr>
      </w:pPr>
    </w:p>
    <w:p w14:paraId="40AC9434" w14:textId="01891050" w:rsidR="00161EB0" w:rsidRPr="00F26395" w:rsidRDefault="001C55AD" w:rsidP="00F26395">
      <w:pPr>
        <w:pStyle w:val="NormalWeb"/>
        <w:spacing w:before="0" w:beforeAutospacing="0" w:after="0" w:afterAutospacing="0" w:line="360" w:lineRule="auto"/>
        <w:jc w:val="both"/>
        <w:rPr>
          <w:rFonts w:ascii="Book Antiqua" w:hAnsi="Book Antiqua"/>
          <w:b/>
          <w:bCs/>
          <w:color w:val="000000"/>
          <w:u w:val="single"/>
        </w:rPr>
      </w:pPr>
      <w:r w:rsidRPr="00F26395">
        <w:rPr>
          <w:rFonts w:ascii="Book Antiqua" w:hAnsi="Book Antiqua"/>
          <w:b/>
          <w:bCs/>
          <w:color w:val="000000"/>
          <w:u w:val="single"/>
        </w:rPr>
        <w:t>RESULTS</w:t>
      </w:r>
    </w:p>
    <w:p w14:paraId="37BE5D91" w14:textId="77777777" w:rsidR="00161EB0" w:rsidRPr="00F26395" w:rsidRDefault="00161EB0" w:rsidP="00F26395">
      <w:pPr>
        <w:pStyle w:val="NormalWeb"/>
        <w:spacing w:before="0" w:beforeAutospacing="0" w:after="0" w:afterAutospacing="0" w:line="360" w:lineRule="auto"/>
        <w:jc w:val="both"/>
        <w:rPr>
          <w:rFonts w:ascii="Book Antiqua" w:hAnsi="Book Antiqua"/>
          <w:b/>
          <w:bCs/>
          <w:i/>
          <w:iCs/>
          <w:color w:val="000000"/>
        </w:rPr>
      </w:pPr>
      <w:r w:rsidRPr="00F26395">
        <w:rPr>
          <w:rFonts w:ascii="Book Antiqua" w:hAnsi="Book Antiqua"/>
          <w:b/>
          <w:bCs/>
          <w:i/>
          <w:iCs/>
          <w:color w:val="000000"/>
        </w:rPr>
        <w:t>Identification of study cohort and clinical characteristics</w:t>
      </w:r>
    </w:p>
    <w:p w14:paraId="1D1852E1" w14:textId="0D931E6F" w:rsidR="00161EB0" w:rsidRPr="00F26395" w:rsidRDefault="00161EB0" w:rsidP="00F26395">
      <w:pPr>
        <w:pStyle w:val="NormalWeb"/>
        <w:spacing w:before="0" w:beforeAutospacing="0" w:after="0" w:afterAutospacing="0" w:line="360" w:lineRule="auto"/>
        <w:jc w:val="both"/>
        <w:rPr>
          <w:rFonts w:ascii="Book Antiqua" w:hAnsi="Book Antiqua"/>
          <w:color w:val="000000"/>
        </w:rPr>
      </w:pPr>
      <w:r w:rsidRPr="00F26395">
        <w:rPr>
          <w:rFonts w:ascii="Book Antiqua" w:hAnsi="Book Antiqua"/>
          <w:color w:val="000000"/>
        </w:rPr>
        <w:t xml:space="preserve">A total of 4023 endoscopies were performed at COH during the examined study period. As shown in Figure </w:t>
      </w:r>
      <w:r w:rsidR="001B5149">
        <w:rPr>
          <w:rFonts w:ascii="Book Antiqua" w:hAnsi="Book Antiqua"/>
          <w:color w:val="000000"/>
        </w:rPr>
        <w:t>2</w:t>
      </w:r>
      <w:r w:rsidRPr="00F26395">
        <w:rPr>
          <w:rFonts w:ascii="Book Antiqua" w:hAnsi="Book Antiqua"/>
          <w:color w:val="000000"/>
        </w:rPr>
        <w:t xml:space="preserve">, 195 endoscopies met inclusion criteria and were included in the analysis. Females accounted for 51.8% of the patients, with a median age of 56 years (range 17-78) as shown in Table 1. Endoscopic evaluation for </w:t>
      </w:r>
      <w:proofErr w:type="spellStart"/>
      <w:r w:rsidRPr="00F26395">
        <w:rPr>
          <w:rFonts w:ascii="Book Antiqua" w:hAnsi="Book Antiqua"/>
          <w:color w:val="000000"/>
        </w:rPr>
        <w:t>aGVHD</w:t>
      </w:r>
      <w:proofErr w:type="spellEnd"/>
      <w:r w:rsidRPr="00F26395">
        <w:rPr>
          <w:rFonts w:ascii="Book Antiqua" w:hAnsi="Book Antiqua"/>
          <w:color w:val="000000"/>
        </w:rPr>
        <w:t xml:space="preserve"> occurred at a median of 27 d (range 9-98 days) following HSCT. The most common primary hematologic malignancy diagnoses were acute myelogenous leukemia in 41.0% and B-cell </w:t>
      </w:r>
      <w:bookmarkStart w:id="38" w:name="OLE_LINK2153"/>
      <w:bookmarkStart w:id="39" w:name="OLE_LINK2154"/>
      <w:r w:rsidRPr="00F26395">
        <w:rPr>
          <w:rFonts w:ascii="Book Antiqua" w:hAnsi="Book Antiqua"/>
          <w:color w:val="000000"/>
        </w:rPr>
        <w:t>acute lymphoblastic leukemia</w:t>
      </w:r>
      <w:bookmarkEnd w:id="38"/>
      <w:bookmarkEnd w:id="39"/>
      <w:r w:rsidRPr="00F26395">
        <w:rPr>
          <w:rFonts w:ascii="Book Antiqua" w:hAnsi="Book Antiqua"/>
          <w:color w:val="000000"/>
        </w:rPr>
        <w:t xml:space="preserve"> in 17.4%. Acute GVHD was confirmed histologically in 76.4% of patients.</w:t>
      </w:r>
    </w:p>
    <w:p w14:paraId="493034FD" w14:textId="5735369B" w:rsidR="00161EB0" w:rsidRPr="00F26395" w:rsidRDefault="00161EB0" w:rsidP="00F26395">
      <w:pPr>
        <w:pStyle w:val="NormalWeb"/>
        <w:spacing w:before="0" w:beforeAutospacing="0" w:after="0" w:afterAutospacing="0" w:line="360" w:lineRule="auto"/>
        <w:ind w:firstLineChars="100" w:firstLine="240"/>
        <w:jc w:val="both"/>
        <w:rPr>
          <w:rFonts w:ascii="Book Antiqua" w:hAnsi="Book Antiqua"/>
          <w:color w:val="000000"/>
        </w:rPr>
      </w:pPr>
      <w:r w:rsidRPr="00F26395">
        <w:rPr>
          <w:rFonts w:ascii="Book Antiqua" w:hAnsi="Book Antiqua"/>
          <w:color w:val="000000"/>
        </w:rPr>
        <w:t xml:space="preserve">Median pre-procedure hemoglobin count was 9.0 g/dL, platelet count 80 </w:t>
      </w:r>
      <w:bookmarkStart w:id="40" w:name="OLE_LINK1514"/>
      <w:bookmarkStart w:id="41" w:name="OLE_LINK1525"/>
      <w:bookmarkStart w:id="42" w:name="OLE_LINK1587"/>
      <w:bookmarkStart w:id="43" w:name="OLE_LINK1664"/>
      <w:bookmarkStart w:id="44" w:name="OLE_LINK1903"/>
      <w:bookmarkStart w:id="45" w:name="OLE_LINK1529"/>
      <w:bookmarkStart w:id="46" w:name="OLE_LINK1934"/>
      <w:bookmarkStart w:id="47" w:name="OLE_LINK1935"/>
      <w:bookmarkStart w:id="48" w:name="OLE_LINK1941"/>
      <w:bookmarkStart w:id="49" w:name="OLE_LINK1703"/>
      <w:bookmarkStart w:id="50" w:name="OLE_LINK1827"/>
      <w:bookmarkStart w:id="51" w:name="OLE_LINK1830"/>
      <w:bookmarkStart w:id="52" w:name="OLE_LINK1837"/>
      <w:bookmarkStart w:id="53" w:name="OLE_LINK1838"/>
      <w:bookmarkStart w:id="54" w:name="OLE_LINK1828"/>
      <w:bookmarkStart w:id="55" w:name="OLE_LINK1887"/>
      <w:bookmarkStart w:id="56" w:name="OLE_LINK1914"/>
      <w:bookmarkStart w:id="57" w:name="OLE_LINK1844"/>
      <w:bookmarkStart w:id="58" w:name="OLE_LINK1840"/>
      <w:bookmarkStart w:id="59" w:name="OLE_LINK2016"/>
      <w:r w:rsidR="00DB1C8C" w:rsidRPr="00F26395">
        <w:rPr>
          <w:rFonts w:ascii="Book Antiqua" w:eastAsia="SimSun" w:hAnsi="Book Antiqua" w:cs="SimSun"/>
        </w:rPr>
        <w:t>×</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F26395">
        <w:rPr>
          <w:rFonts w:ascii="Book Antiqua" w:hAnsi="Book Antiqua"/>
          <w:color w:val="000000"/>
        </w:rPr>
        <w:t xml:space="preserve"> 10</w:t>
      </w:r>
      <w:r w:rsidRPr="00F26395">
        <w:rPr>
          <w:rFonts w:ascii="Book Antiqua" w:hAnsi="Book Antiqua"/>
          <w:color w:val="000000"/>
          <w:vertAlign w:val="superscript"/>
        </w:rPr>
        <w:t>3</w:t>
      </w:r>
      <w:r w:rsidRPr="00F26395">
        <w:rPr>
          <w:rFonts w:ascii="Book Antiqua" w:hAnsi="Book Antiqua"/>
          <w:color w:val="000000"/>
        </w:rPr>
        <w:t xml:space="preserve">/µL, and ANC 2.6 </w:t>
      </w:r>
      <w:r w:rsidR="00DB1C8C" w:rsidRPr="00F26395">
        <w:rPr>
          <w:rFonts w:ascii="Book Antiqua" w:eastAsia="SimSun" w:hAnsi="Book Antiqua" w:cs="SimSun"/>
        </w:rPr>
        <w:t>×</w:t>
      </w:r>
      <w:r w:rsidRPr="00F26395">
        <w:rPr>
          <w:rFonts w:ascii="Book Antiqua" w:hAnsi="Book Antiqua"/>
          <w:color w:val="000000"/>
        </w:rPr>
        <w:t xml:space="preserve"> 10</w:t>
      </w:r>
      <w:r w:rsidRPr="00F26395">
        <w:rPr>
          <w:rFonts w:ascii="Book Antiqua" w:hAnsi="Book Antiqua"/>
          <w:color w:val="000000"/>
          <w:vertAlign w:val="superscript"/>
        </w:rPr>
        <w:t>3</w:t>
      </w:r>
      <w:r w:rsidRPr="00F26395">
        <w:rPr>
          <w:rFonts w:ascii="Book Antiqua" w:hAnsi="Book Antiqua"/>
          <w:color w:val="000000"/>
        </w:rPr>
        <w:t xml:space="preserve">/µL as shown in Table 2. The majority (greater than 90%) of pre-procedure hemoglobin and platelet counts were obtained after the last unit of product was transfused. Forty percent of patients required transfusions of 1 or more units of platelets, while 28.2% required 1 or more units of </w:t>
      </w:r>
      <w:proofErr w:type="spellStart"/>
      <w:r w:rsidRPr="00F26395">
        <w:rPr>
          <w:rFonts w:ascii="Book Antiqua" w:hAnsi="Book Antiqua"/>
          <w:color w:val="000000"/>
        </w:rPr>
        <w:t>pRBCs</w:t>
      </w:r>
      <w:proofErr w:type="spellEnd"/>
      <w:r w:rsidRPr="00F26395">
        <w:rPr>
          <w:rFonts w:ascii="Book Antiqua" w:hAnsi="Book Antiqua"/>
          <w:color w:val="000000"/>
        </w:rPr>
        <w:t xml:space="preserve">, and only 1.5% required 1 or more units of FFP within 72 h prior to endoscopy. </w:t>
      </w:r>
    </w:p>
    <w:p w14:paraId="596DB10A" w14:textId="77777777" w:rsidR="00161EB0" w:rsidRPr="00F26395" w:rsidRDefault="00161EB0" w:rsidP="00F26395">
      <w:pPr>
        <w:pStyle w:val="NormalWeb"/>
        <w:spacing w:before="0" w:beforeAutospacing="0" w:after="0" w:afterAutospacing="0" w:line="360" w:lineRule="auto"/>
        <w:jc w:val="both"/>
        <w:rPr>
          <w:rFonts w:ascii="Book Antiqua" w:hAnsi="Book Antiqua"/>
          <w:color w:val="000000"/>
        </w:rPr>
      </w:pPr>
    </w:p>
    <w:p w14:paraId="602DB262" w14:textId="77777777" w:rsidR="00161EB0" w:rsidRPr="00F26395" w:rsidRDefault="00161EB0" w:rsidP="00F26395">
      <w:pPr>
        <w:pStyle w:val="NormalWeb"/>
        <w:spacing w:before="0" w:beforeAutospacing="0" w:after="0" w:afterAutospacing="0" w:line="360" w:lineRule="auto"/>
        <w:jc w:val="both"/>
        <w:rPr>
          <w:rFonts w:ascii="Book Antiqua" w:hAnsi="Book Antiqua"/>
          <w:b/>
          <w:bCs/>
          <w:i/>
          <w:iCs/>
          <w:color w:val="000000"/>
        </w:rPr>
      </w:pPr>
      <w:r w:rsidRPr="00F26395">
        <w:rPr>
          <w:rFonts w:ascii="Book Antiqua" w:hAnsi="Book Antiqua"/>
          <w:b/>
          <w:bCs/>
          <w:i/>
          <w:iCs/>
          <w:color w:val="000000"/>
        </w:rPr>
        <w:t xml:space="preserve">Endoscopic procedures for evaluating </w:t>
      </w:r>
      <w:proofErr w:type="spellStart"/>
      <w:r w:rsidRPr="00F26395">
        <w:rPr>
          <w:rFonts w:ascii="Book Antiqua" w:hAnsi="Book Antiqua"/>
          <w:b/>
          <w:bCs/>
          <w:i/>
          <w:iCs/>
          <w:color w:val="000000"/>
        </w:rPr>
        <w:t>aGVHD</w:t>
      </w:r>
      <w:proofErr w:type="spellEnd"/>
    </w:p>
    <w:p w14:paraId="54214D11" w14:textId="77777777" w:rsidR="00161EB0" w:rsidRPr="00F26395" w:rsidRDefault="00161EB0" w:rsidP="00F26395">
      <w:pPr>
        <w:pStyle w:val="NormalWeb"/>
        <w:spacing w:before="0" w:beforeAutospacing="0" w:after="0" w:afterAutospacing="0" w:line="360" w:lineRule="auto"/>
        <w:jc w:val="both"/>
        <w:rPr>
          <w:rFonts w:ascii="Book Antiqua" w:hAnsi="Book Antiqua"/>
          <w:color w:val="000000"/>
        </w:rPr>
      </w:pPr>
      <w:r w:rsidRPr="00F26395">
        <w:rPr>
          <w:rFonts w:ascii="Book Antiqua" w:hAnsi="Book Antiqua"/>
          <w:color w:val="000000"/>
        </w:rPr>
        <w:t xml:space="preserve">Combined EGD and FS (43.0%) was the most common method of evaluation for </w:t>
      </w:r>
      <w:proofErr w:type="spellStart"/>
      <w:r w:rsidRPr="00F26395">
        <w:rPr>
          <w:rFonts w:ascii="Book Antiqua" w:hAnsi="Book Antiqua"/>
          <w:color w:val="000000"/>
        </w:rPr>
        <w:t>aGVHD</w:t>
      </w:r>
      <w:proofErr w:type="spellEnd"/>
      <w:r w:rsidRPr="00F26395">
        <w:rPr>
          <w:rFonts w:ascii="Book Antiqua" w:hAnsi="Book Antiqua"/>
          <w:color w:val="000000"/>
        </w:rPr>
        <w:t xml:space="preserve"> with fewer patients undergoing EGD (23.1%) or FS (29.2%) alone as shown in Table 2. Acute GVHD was confirmed histologically in 83.1% of patients who underwent </w:t>
      </w:r>
      <w:r w:rsidRPr="00F26395">
        <w:rPr>
          <w:rFonts w:ascii="Book Antiqua" w:hAnsi="Book Antiqua"/>
          <w:color w:val="000000"/>
        </w:rPr>
        <w:lastRenderedPageBreak/>
        <w:t xml:space="preserve">combined EGD and FS and 77.2% of patients who underwent FS alone. When evaluating the diagnostic yield of endoscopic evaluation by presence of symptoms as shown in Table 2, combined EGD and FS provided the highest yield for diagnosing </w:t>
      </w:r>
      <w:proofErr w:type="spellStart"/>
      <w:r w:rsidRPr="00F26395">
        <w:rPr>
          <w:rFonts w:ascii="Book Antiqua" w:hAnsi="Book Antiqua"/>
          <w:color w:val="000000"/>
        </w:rPr>
        <w:t>aGVHD</w:t>
      </w:r>
      <w:proofErr w:type="spellEnd"/>
      <w:r w:rsidRPr="00F26395">
        <w:rPr>
          <w:rFonts w:ascii="Book Antiqua" w:hAnsi="Book Antiqua"/>
          <w:color w:val="000000"/>
        </w:rPr>
        <w:t xml:space="preserve"> in patients presenting with abdominal pain (90.5%). EGD alone and combined EGD and FS demonstrated comparably high yields in patients with diarrhea (85.7% and 84.9% respectively). Three of the six patients who had confirmed GVHD and had underwent EGD alone presented with both diarrhea and nausea/vomiting. FS alone and EGD with FS demonstrated similarly high yields in patients presenting with nausea/vomiting (87.5% and 85.9% respectively). Seven of the seven patients who had confirmed GVHD and had underwent FS alone presented with both nausea/vomiting and diarrhea.</w:t>
      </w:r>
    </w:p>
    <w:p w14:paraId="1C965B7F" w14:textId="77777777" w:rsidR="00161EB0" w:rsidRPr="00F26395" w:rsidRDefault="00161EB0" w:rsidP="00F26395">
      <w:pPr>
        <w:pStyle w:val="NormalWeb"/>
        <w:spacing w:before="0" w:beforeAutospacing="0" w:after="0" w:afterAutospacing="0" w:line="360" w:lineRule="auto"/>
        <w:jc w:val="both"/>
        <w:rPr>
          <w:rFonts w:ascii="Book Antiqua" w:hAnsi="Book Antiqua"/>
          <w:color w:val="000000"/>
        </w:rPr>
      </w:pPr>
    </w:p>
    <w:p w14:paraId="4F40D434" w14:textId="77777777" w:rsidR="00161EB0" w:rsidRPr="00F26395" w:rsidRDefault="00161EB0" w:rsidP="00F26395">
      <w:pPr>
        <w:pStyle w:val="NormalWeb"/>
        <w:spacing w:before="0" w:beforeAutospacing="0" w:after="0" w:afterAutospacing="0" w:line="360" w:lineRule="auto"/>
        <w:jc w:val="both"/>
        <w:rPr>
          <w:rFonts w:ascii="Book Antiqua" w:hAnsi="Book Antiqua"/>
          <w:b/>
          <w:bCs/>
          <w:i/>
          <w:iCs/>
          <w:color w:val="000000"/>
        </w:rPr>
      </w:pPr>
      <w:r w:rsidRPr="00F26395">
        <w:rPr>
          <w:rFonts w:ascii="Book Antiqua" w:hAnsi="Book Antiqua"/>
          <w:b/>
          <w:bCs/>
          <w:i/>
          <w:iCs/>
          <w:color w:val="000000"/>
        </w:rPr>
        <w:t>Endoscopic and histologic findings</w:t>
      </w:r>
    </w:p>
    <w:p w14:paraId="0519AA28" w14:textId="1CE83683" w:rsidR="00161EB0" w:rsidRPr="00F26395" w:rsidRDefault="00161EB0" w:rsidP="00F26395">
      <w:pPr>
        <w:pStyle w:val="NormalWeb"/>
        <w:spacing w:before="0" w:beforeAutospacing="0" w:after="0" w:afterAutospacing="0" w:line="360" w:lineRule="auto"/>
        <w:jc w:val="both"/>
        <w:rPr>
          <w:rFonts w:ascii="Book Antiqua" w:hAnsi="Book Antiqua"/>
          <w:color w:val="000000"/>
        </w:rPr>
      </w:pPr>
      <w:r w:rsidRPr="00F26395">
        <w:rPr>
          <w:rFonts w:ascii="Book Antiqua" w:hAnsi="Book Antiqua"/>
          <w:color w:val="000000"/>
        </w:rPr>
        <w:t xml:space="preserve">The most common endoscopic findings were edema/erythema, gastritis, ulcerations/erosions, and colitis as shown in Table 1 and illustrated in Figure </w:t>
      </w:r>
      <w:r w:rsidR="001B5149">
        <w:rPr>
          <w:rFonts w:ascii="Book Antiqua" w:hAnsi="Book Antiqua"/>
          <w:color w:val="000000"/>
        </w:rPr>
        <w:t>1</w:t>
      </w:r>
      <w:r w:rsidRPr="00F26395">
        <w:rPr>
          <w:rFonts w:ascii="Book Antiqua" w:hAnsi="Book Antiqua"/>
          <w:color w:val="000000"/>
        </w:rPr>
        <w:t xml:space="preserve">. Histopathologic examination revealed mild </w:t>
      </w:r>
      <w:proofErr w:type="spellStart"/>
      <w:r w:rsidRPr="00F26395">
        <w:rPr>
          <w:rFonts w:ascii="Book Antiqua" w:hAnsi="Book Antiqua"/>
          <w:color w:val="000000"/>
        </w:rPr>
        <w:t>aGVHD</w:t>
      </w:r>
      <w:proofErr w:type="spellEnd"/>
      <w:r w:rsidRPr="00F26395">
        <w:rPr>
          <w:rFonts w:ascii="Book Antiqua" w:hAnsi="Book Antiqua"/>
          <w:color w:val="000000"/>
        </w:rPr>
        <w:t xml:space="preserve"> in 68.2% of tissue specimens, chronic inflammation without histological evidence of </w:t>
      </w:r>
      <w:proofErr w:type="spellStart"/>
      <w:r w:rsidRPr="00F26395">
        <w:rPr>
          <w:rFonts w:ascii="Book Antiqua" w:hAnsi="Book Antiqua"/>
          <w:color w:val="000000"/>
        </w:rPr>
        <w:t>aGVHD</w:t>
      </w:r>
      <w:proofErr w:type="spellEnd"/>
      <w:r w:rsidRPr="00F26395">
        <w:rPr>
          <w:rFonts w:ascii="Book Antiqua" w:hAnsi="Book Antiqua"/>
          <w:color w:val="000000"/>
        </w:rPr>
        <w:t xml:space="preserve"> in 21.0%, moderate </w:t>
      </w:r>
      <w:proofErr w:type="spellStart"/>
      <w:r w:rsidRPr="00F26395">
        <w:rPr>
          <w:rFonts w:ascii="Book Antiqua" w:hAnsi="Book Antiqua"/>
          <w:color w:val="000000"/>
        </w:rPr>
        <w:t>aGVHD</w:t>
      </w:r>
      <w:proofErr w:type="spellEnd"/>
      <w:r w:rsidRPr="00F26395">
        <w:rPr>
          <w:rFonts w:ascii="Book Antiqua" w:hAnsi="Book Antiqua"/>
          <w:color w:val="000000"/>
        </w:rPr>
        <w:t xml:space="preserve"> in 18.5%, ulceration/erosion in 12.8%, and severe </w:t>
      </w:r>
      <w:proofErr w:type="spellStart"/>
      <w:r w:rsidRPr="00F26395">
        <w:rPr>
          <w:rFonts w:ascii="Book Antiqua" w:hAnsi="Book Antiqua"/>
          <w:color w:val="000000"/>
        </w:rPr>
        <w:t>aGVHD</w:t>
      </w:r>
      <w:proofErr w:type="spellEnd"/>
      <w:r w:rsidRPr="00F26395">
        <w:rPr>
          <w:rFonts w:ascii="Book Antiqua" w:hAnsi="Book Antiqua"/>
          <w:color w:val="000000"/>
        </w:rPr>
        <w:t xml:space="preserve"> in 8.2%.</w:t>
      </w:r>
    </w:p>
    <w:p w14:paraId="44A17D26" w14:textId="5F07491A" w:rsidR="00161EB0" w:rsidRPr="00F26395" w:rsidRDefault="00161EB0" w:rsidP="00F26395">
      <w:pPr>
        <w:pStyle w:val="NormalWeb"/>
        <w:spacing w:before="0" w:beforeAutospacing="0" w:after="0" w:afterAutospacing="0" w:line="360" w:lineRule="auto"/>
        <w:ind w:firstLineChars="100" w:firstLine="240"/>
        <w:jc w:val="both"/>
        <w:rPr>
          <w:rFonts w:ascii="Book Antiqua" w:hAnsi="Book Antiqua"/>
          <w:color w:val="000000"/>
        </w:rPr>
      </w:pPr>
      <w:r w:rsidRPr="00F26395">
        <w:rPr>
          <w:rFonts w:ascii="Book Antiqua" w:hAnsi="Book Antiqua"/>
          <w:color w:val="000000"/>
        </w:rPr>
        <w:t xml:space="preserve">We assessed the frequency with which endoscopic findings demonstrated histological evidence of </w:t>
      </w:r>
      <w:proofErr w:type="spellStart"/>
      <w:r w:rsidRPr="00F26395">
        <w:rPr>
          <w:rFonts w:ascii="Book Antiqua" w:hAnsi="Book Antiqua"/>
          <w:color w:val="000000"/>
        </w:rPr>
        <w:t>aGVHD</w:t>
      </w:r>
      <w:proofErr w:type="spellEnd"/>
      <w:r w:rsidRPr="00F26395">
        <w:rPr>
          <w:rFonts w:ascii="Book Antiqua" w:hAnsi="Book Antiqua"/>
          <w:color w:val="000000"/>
        </w:rPr>
        <w:t xml:space="preserve"> as well as the utility of endoscopic findings as markers for </w:t>
      </w:r>
      <w:proofErr w:type="spellStart"/>
      <w:r w:rsidRPr="00F26395">
        <w:rPr>
          <w:rFonts w:ascii="Book Antiqua" w:hAnsi="Book Antiqua"/>
          <w:color w:val="000000"/>
        </w:rPr>
        <w:t>aGVHD</w:t>
      </w:r>
      <w:proofErr w:type="spellEnd"/>
      <w:r w:rsidRPr="00F26395">
        <w:rPr>
          <w:rFonts w:ascii="Book Antiqua" w:hAnsi="Book Antiqua"/>
          <w:color w:val="000000"/>
        </w:rPr>
        <w:t xml:space="preserve"> anywhere in the GI tract, which is summarized in Table 3. Eighty-four percent of patients with biopsies of normal endoscopically appearing mucosa demonstrated histological features consistent with </w:t>
      </w:r>
      <w:proofErr w:type="spellStart"/>
      <w:r w:rsidRPr="00F26395">
        <w:rPr>
          <w:rFonts w:ascii="Book Antiqua" w:hAnsi="Book Antiqua"/>
          <w:color w:val="000000"/>
        </w:rPr>
        <w:t>aGVHD</w:t>
      </w:r>
      <w:proofErr w:type="spellEnd"/>
      <w:r w:rsidRPr="00F26395">
        <w:rPr>
          <w:rFonts w:ascii="Book Antiqua" w:hAnsi="Book Antiqua"/>
          <w:color w:val="000000"/>
        </w:rPr>
        <w:t xml:space="preserve">, with all of these patients demonstrating mild </w:t>
      </w:r>
      <w:proofErr w:type="spellStart"/>
      <w:r w:rsidRPr="00F26395">
        <w:rPr>
          <w:rFonts w:ascii="Book Antiqua" w:hAnsi="Book Antiqua"/>
          <w:color w:val="000000"/>
        </w:rPr>
        <w:t>aGVHD</w:t>
      </w:r>
      <w:proofErr w:type="spellEnd"/>
      <w:r w:rsidRPr="00F26395">
        <w:rPr>
          <w:rFonts w:ascii="Book Antiqua" w:hAnsi="Book Antiqua"/>
          <w:color w:val="000000"/>
        </w:rPr>
        <w:t xml:space="preserve"> on pathology, less than 5% showing concurrent moderate </w:t>
      </w:r>
      <w:proofErr w:type="spellStart"/>
      <w:r w:rsidRPr="00F26395">
        <w:rPr>
          <w:rFonts w:ascii="Book Antiqua" w:hAnsi="Book Antiqua"/>
          <w:color w:val="000000"/>
        </w:rPr>
        <w:t>aGVHD</w:t>
      </w:r>
      <w:proofErr w:type="spellEnd"/>
      <w:r w:rsidRPr="00F26395">
        <w:rPr>
          <w:rFonts w:ascii="Book Antiqua" w:hAnsi="Book Antiqua"/>
          <w:color w:val="000000"/>
        </w:rPr>
        <w:t xml:space="preserve"> and none with severe </w:t>
      </w:r>
      <w:proofErr w:type="spellStart"/>
      <w:r w:rsidRPr="00F26395">
        <w:rPr>
          <w:rFonts w:ascii="Book Antiqua" w:hAnsi="Book Antiqua"/>
          <w:color w:val="000000"/>
        </w:rPr>
        <w:t>aGVHD</w:t>
      </w:r>
      <w:proofErr w:type="spellEnd"/>
      <w:r w:rsidRPr="00F26395">
        <w:rPr>
          <w:rFonts w:ascii="Book Antiqua" w:hAnsi="Book Antiqua"/>
          <w:color w:val="000000"/>
        </w:rPr>
        <w:t xml:space="preserve">. The sensitivity of a normal endoscopic appearance for </w:t>
      </w:r>
      <w:proofErr w:type="spellStart"/>
      <w:r w:rsidRPr="00F26395">
        <w:rPr>
          <w:rFonts w:ascii="Book Antiqua" w:hAnsi="Book Antiqua"/>
          <w:color w:val="000000"/>
        </w:rPr>
        <w:t>aGVHD</w:t>
      </w:r>
      <w:proofErr w:type="spellEnd"/>
      <w:r w:rsidRPr="00F26395">
        <w:rPr>
          <w:rFonts w:ascii="Book Antiqua" w:hAnsi="Book Antiqua"/>
          <w:color w:val="000000"/>
        </w:rPr>
        <w:t xml:space="preserve"> anywhere in the GI tract was thus 14.1%. As shown in Table 3, the presence of general endoscopic abnormalities (</w:t>
      </w:r>
      <w:r w:rsidRPr="00F26395">
        <w:rPr>
          <w:rFonts w:ascii="Book Antiqua" w:hAnsi="Book Antiqua"/>
          <w:i/>
          <w:iCs/>
          <w:color w:val="000000"/>
        </w:rPr>
        <w:t>i.e</w:t>
      </w:r>
      <w:r w:rsidRPr="00F26395">
        <w:rPr>
          <w:rFonts w:ascii="Book Antiqua" w:hAnsi="Book Antiqua"/>
          <w:color w:val="000000"/>
        </w:rPr>
        <w:t>.</w:t>
      </w:r>
      <w:r w:rsidR="00DB1C8C" w:rsidRPr="00F26395">
        <w:rPr>
          <w:rFonts w:ascii="Book Antiqua" w:hAnsi="Book Antiqua"/>
          <w:color w:val="000000"/>
        </w:rPr>
        <w:t>,</w:t>
      </w:r>
      <w:r w:rsidRPr="00F26395">
        <w:rPr>
          <w:rFonts w:ascii="Book Antiqua" w:hAnsi="Book Antiqua"/>
          <w:color w:val="000000"/>
        </w:rPr>
        <w:t xml:space="preserve"> ulceration, friability, blood clots) were more specific (58.7</w:t>
      </w:r>
      <w:r w:rsidR="00DB1C8C" w:rsidRPr="00F26395">
        <w:rPr>
          <w:rFonts w:ascii="Book Antiqua" w:hAnsi="Book Antiqua"/>
          <w:color w:val="000000"/>
        </w:rPr>
        <w:t>%</w:t>
      </w:r>
      <w:r w:rsidRPr="00F26395">
        <w:rPr>
          <w:rFonts w:ascii="Book Antiqua" w:hAnsi="Book Antiqua"/>
          <w:color w:val="000000"/>
        </w:rPr>
        <w:t>-97.8%) than sensitive (2.7</w:t>
      </w:r>
      <w:r w:rsidR="00DB1C8C" w:rsidRPr="00F26395">
        <w:rPr>
          <w:rFonts w:ascii="Book Antiqua" w:hAnsi="Book Antiqua"/>
          <w:color w:val="000000"/>
        </w:rPr>
        <w:t>%</w:t>
      </w:r>
      <w:r w:rsidRPr="00F26395">
        <w:rPr>
          <w:rFonts w:ascii="Book Antiqua" w:hAnsi="Book Antiqua"/>
          <w:color w:val="000000"/>
        </w:rPr>
        <w:t xml:space="preserve">-59.7%) for the presence of </w:t>
      </w:r>
      <w:proofErr w:type="spellStart"/>
      <w:r w:rsidRPr="00F26395">
        <w:rPr>
          <w:rFonts w:ascii="Book Antiqua" w:hAnsi="Book Antiqua"/>
          <w:color w:val="000000"/>
        </w:rPr>
        <w:t>aGVHD</w:t>
      </w:r>
      <w:proofErr w:type="spellEnd"/>
      <w:r w:rsidRPr="00F26395">
        <w:rPr>
          <w:rFonts w:ascii="Book Antiqua" w:hAnsi="Book Antiqua"/>
          <w:color w:val="000000"/>
        </w:rPr>
        <w:t xml:space="preserve"> anywhere along the GI tract on biopsy. Furthermore, the presence of esophagitis, colitis, gastritis, and duodenitis were particularly specific for </w:t>
      </w:r>
      <w:proofErr w:type="spellStart"/>
      <w:r w:rsidRPr="00F26395">
        <w:rPr>
          <w:rFonts w:ascii="Book Antiqua" w:hAnsi="Book Antiqua"/>
          <w:color w:val="000000"/>
        </w:rPr>
        <w:t>aGVHD</w:t>
      </w:r>
      <w:proofErr w:type="spellEnd"/>
      <w:r w:rsidRPr="00F26395">
        <w:rPr>
          <w:rFonts w:ascii="Book Antiqua" w:hAnsi="Book Antiqua"/>
          <w:color w:val="000000"/>
        </w:rPr>
        <w:t xml:space="preserve"> (94.3%, 93.0%, 88.9%, 78.6%, respectively) in biopsies obtained from the respective portions of the GI tract. </w:t>
      </w:r>
    </w:p>
    <w:p w14:paraId="024AF2A0" w14:textId="77777777" w:rsidR="00161EB0" w:rsidRPr="00F26395" w:rsidRDefault="00161EB0" w:rsidP="00F26395">
      <w:pPr>
        <w:pStyle w:val="NormalWeb"/>
        <w:spacing w:before="0" w:beforeAutospacing="0" w:after="0" w:afterAutospacing="0" w:line="360" w:lineRule="auto"/>
        <w:jc w:val="both"/>
        <w:rPr>
          <w:rFonts w:ascii="Book Antiqua" w:hAnsi="Book Antiqua"/>
          <w:color w:val="000000"/>
        </w:rPr>
      </w:pPr>
    </w:p>
    <w:p w14:paraId="104A931C" w14:textId="77777777" w:rsidR="00161EB0" w:rsidRPr="00F26395" w:rsidRDefault="00161EB0" w:rsidP="00F26395">
      <w:pPr>
        <w:pStyle w:val="NormalWeb"/>
        <w:spacing w:before="0" w:beforeAutospacing="0" w:after="0" w:afterAutospacing="0" w:line="360" w:lineRule="auto"/>
        <w:jc w:val="both"/>
        <w:rPr>
          <w:rFonts w:ascii="Book Antiqua" w:hAnsi="Book Antiqua"/>
          <w:b/>
          <w:bCs/>
          <w:i/>
          <w:iCs/>
          <w:color w:val="000000"/>
        </w:rPr>
      </w:pPr>
      <w:r w:rsidRPr="00F26395">
        <w:rPr>
          <w:rFonts w:ascii="Book Antiqua" w:hAnsi="Book Antiqua"/>
          <w:b/>
          <w:bCs/>
          <w:i/>
          <w:iCs/>
          <w:color w:val="000000"/>
        </w:rPr>
        <w:t xml:space="preserve">Patient symptoms and presence of </w:t>
      </w:r>
      <w:proofErr w:type="spellStart"/>
      <w:r w:rsidRPr="00F26395">
        <w:rPr>
          <w:rFonts w:ascii="Book Antiqua" w:hAnsi="Book Antiqua"/>
          <w:b/>
          <w:bCs/>
          <w:i/>
          <w:iCs/>
          <w:color w:val="000000"/>
        </w:rPr>
        <w:t>aGVHD</w:t>
      </w:r>
      <w:proofErr w:type="spellEnd"/>
    </w:p>
    <w:p w14:paraId="17FA4862" w14:textId="77777777" w:rsidR="00161EB0" w:rsidRPr="00F26395" w:rsidRDefault="00161EB0" w:rsidP="00F26395">
      <w:pPr>
        <w:pStyle w:val="NormalWeb"/>
        <w:spacing w:before="0" w:beforeAutospacing="0" w:after="0" w:afterAutospacing="0" w:line="360" w:lineRule="auto"/>
        <w:jc w:val="both"/>
        <w:rPr>
          <w:rFonts w:ascii="Book Antiqua" w:hAnsi="Book Antiqua"/>
          <w:color w:val="000000"/>
          <w:highlight w:val="yellow"/>
        </w:rPr>
      </w:pPr>
      <w:r w:rsidRPr="00F26395">
        <w:rPr>
          <w:rFonts w:ascii="Book Antiqua" w:hAnsi="Book Antiqua"/>
          <w:color w:val="000000"/>
        </w:rPr>
        <w:t xml:space="preserve">In this cohort, the most frequent indications for endoscopic evaluation were diarrhea (141/195, 72.3%), nausea/vomiting (94/195, 48.2%), and abdominal pain (42/195, 21.5%) as seen in Table 1. Further, 87.0% (60/69) of patients presenting with both diarrhea and nausea/vomiting had confirmed </w:t>
      </w:r>
      <w:proofErr w:type="spellStart"/>
      <w:r w:rsidRPr="00F26395">
        <w:rPr>
          <w:rFonts w:ascii="Book Antiqua" w:hAnsi="Book Antiqua"/>
          <w:color w:val="000000"/>
        </w:rPr>
        <w:t>aGVHD</w:t>
      </w:r>
      <w:proofErr w:type="spellEnd"/>
      <w:r w:rsidRPr="00F26395">
        <w:rPr>
          <w:rFonts w:ascii="Book Antiqua" w:hAnsi="Book Antiqua"/>
          <w:color w:val="000000"/>
        </w:rPr>
        <w:t xml:space="preserve"> on histopathology. We attempted to identify portions of the GI tract in which a biopsy would provide the greatest yield for diagnosing </w:t>
      </w:r>
      <w:proofErr w:type="spellStart"/>
      <w:r w:rsidRPr="00F26395">
        <w:rPr>
          <w:rFonts w:ascii="Book Antiqua" w:hAnsi="Book Antiqua"/>
          <w:color w:val="000000"/>
        </w:rPr>
        <w:t>aGVHD</w:t>
      </w:r>
      <w:proofErr w:type="spellEnd"/>
      <w:r w:rsidRPr="00F26395">
        <w:rPr>
          <w:rFonts w:ascii="Book Antiqua" w:hAnsi="Book Antiqua"/>
          <w:color w:val="000000"/>
        </w:rPr>
        <w:t xml:space="preserve"> in patients with each of the above presenting symptoms. To this end, we calculated the proportion of patients presenting with one of the above symptoms, a biopsy taken from a specific location, and histological evidence of </w:t>
      </w:r>
      <w:proofErr w:type="spellStart"/>
      <w:r w:rsidRPr="00F26395">
        <w:rPr>
          <w:rFonts w:ascii="Book Antiqua" w:hAnsi="Book Antiqua"/>
          <w:color w:val="000000"/>
        </w:rPr>
        <w:t>aGVHD</w:t>
      </w:r>
      <w:proofErr w:type="spellEnd"/>
      <w:r w:rsidRPr="00F26395">
        <w:rPr>
          <w:rFonts w:ascii="Book Antiqua" w:hAnsi="Book Antiqua"/>
          <w:color w:val="000000"/>
        </w:rPr>
        <w:t xml:space="preserve"> out of all patients presenting with one of the above symptoms, a biopsy taken from a specific location, and histological evidence of </w:t>
      </w:r>
      <w:proofErr w:type="spellStart"/>
      <w:r w:rsidRPr="00F26395">
        <w:rPr>
          <w:rFonts w:ascii="Book Antiqua" w:hAnsi="Book Antiqua"/>
          <w:color w:val="000000"/>
        </w:rPr>
        <w:t>aGVHD</w:t>
      </w:r>
      <w:proofErr w:type="spellEnd"/>
      <w:r w:rsidRPr="00F26395">
        <w:rPr>
          <w:rFonts w:ascii="Book Antiqua" w:hAnsi="Book Antiqua"/>
          <w:color w:val="000000"/>
        </w:rPr>
        <w:t xml:space="preserve"> in tissue taken from any location (Table 4).</w:t>
      </w:r>
    </w:p>
    <w:p w14:paraId="77B78C59" w14:textId="469439F6" w:rsidR="00161EB0" w:rsidRPr="00F26395" w:rsidRDefault="00161EB0" w:rsidP="00F26395">
      <w:pPr>
        <w:pStyle w:val="NormalWeb"/>
        <w:spacing w:before="0" w:beforeAutospacing="0" w:after="0" w:afterAutospacing="0" w:line="360" w:lineRule="auto"/>
        <w:ind w:firstLineChars="100" w:firstLine="240"/>
        <w:jc w:val="both"/>
        <w:rPr>
          <w:rFonts w:ascii="Book Antiqua" w:hAnsi="Book Antiqua"/>
          <w:color w:val="000000"/>
        </w:rPr>
      </w:pPr>
      <w:r w:rsidRPr="00F26395">
        <w:rPr>
          <w:rFonts w:ascii="Book Antiqua" w:hAnsi="Book Antiqua"/>
          <w:color w:val="000000"/>
        </w:rPr>
        <w:t xml:space="preserve">In patients presenting with diarrhea, </w:t>
      </w:r>
      <w:proofErr w:type="spellStart"/>
      <w:r w:rsidRPr="00F26395">
        <w:rPr>
          <w:rFonts w:ascii="Book Antiqua" w:hAnsi="Book Antiqua"/>
          <w:color w:val="000000"/>
        </w:rPr>
        <w:t>biopsying</w:t>
      </w:r>
      <w:proofErr w:type="spellEnd"/>
      <w:r w:rsidRPr="00F26395">
        <w:rPr>
          <w:rFonts w:ascii="Book Antiqua" w:hAnsi="Book Antiqua"/>
          <w:color w:val="000000"/>
        </w:rPr>
        <w:t xml:space="preserve"> the lower GI tract demonstrated a slightly greater diagnostic yield compared to </w:t>
      </w:r>
      <w:proofErr w:type="spellStart"/>
      <w:r w:rsidRPr="00F26395">
        <w:rPr>
          <w:rFonts w:ascii="Book Antiqua" w:hAnsi="Book Antiqua"/>
          <w:color w:val="000000"/>
        </w:rPr>
        <w:t>biopsying</w:t>
      </w:r>
      <w:proofErr w:type="spellEnd"/>
      <w:r w:rsidRPr="00F26395">
        <w:rPr>
          <w:rFonts w:ascii="Book Antiqua" w:hAnsi="Book Antiqua"/>
          <w:color w:val="000000"/>
        </w:rPr>
        <w:t xml:space="preserve"> the upper tract (99.1% </w:t>
      </w:r>
      <w:r w:rsidRPr="00F26395">
        <w:rPr>
          <w:rFonts w:ascii="Book Antiqua" w:hAnsi="Book Antiqua"/>
          <w:i/>
          <w:iCs/>
          <w:color w:val="000000"/>
        </w:rPr>
        <w:t>vs</w:t>
      </w:r>
      <w:r w:rsidRPr="00F26395">
        <w:rPr>
          <w:rFonts w:ascii="Book Antiqua" w:hAnsi="Book Antiqua"/>
          <w:color w:val="000000"/>
        </w:rPr>
        <w:t xml:space="preserve"> 95.7%). When considering specific locations within each tract, the ileum, cecum, and ascending colon all demonstrated 100% yield, however the number of patients who had tissue obtained from these locations were extremely low. Excluding these locations, the rectum and sigmoid colon demonstrated the greatest diagnostic yield. In patients presenting with nausea/vomiting, biopsy from either the upper or lower tract demonstrated similar yields (97.5% and 96.8%). </w:t>
      </w:r>
      <w:proofErr w:type="spellStart"/>
      <w:r w:rsidRPr="00F26395">
        <w:rPr>
          <w:rFonts w:ascii="Book Antiqua" w:hAnsi="Book Antiqua"/>
          <w:color w:val="000000"/>
        </w:rPr>
        <w:t>Biopsying</w:t>
      </w:r>
      <w:proofErr w:type="spellEnd"/>
      <w:r w:rsidRPr="00F26395">
        <w:rPr>
          <w:rFonts w:ascii="Book Antiqua" w:hAnsi="Book Antiqua"/>
          <w:color w:val="000000"/>
        </w:rPr>
        <w:t xml:space="preserve"> the descending colon resulted in 100% yield, however only 6 patients with nausea/vomiting had a biopsy obtained here. Excluding the descending colon, the sigmoid colon and rectum again demonstrated the greatest diagnostic yield. Biopsies from the lower GI tract demonstrated greater yield than biopsies of the upper tract (96.8% </w:t>
      </w:r>
      <w:r w:rsidRPr="00F26395">
        <w:rPr>
          <w:rFonts w:ascii="Book Antiqua" w:hAnsi="Book Antiqua"/>
          <w:i/>
          <w:iCs/>
          <w:color w:val="000000"/>
        </w:rPr>
        <w:t>vs</w:t>
      </w:r>
      <w:r w:rsidRPr="00F26395">
        <w:rPr>
          <w:rFonts w:ascii="Book Antiqua" w:hAnsi="Book Antiqua"/>
          <w:color w:val="000000"/>
        </w:rPr>
        <w:t xml:space="preserve"> 89.3%) in patients with abdominal pain. Although biopsies taken from the ileum down to the descending colon demonstrated 100% yield, only 4 patients at most had biopsies taken from these locations. Excluding these areas, biopsies from the stomach and sigmoid colon demonstrated the diagnostic greatest yields (89.3% and 87.1%).</w:t>
      </w:r>
    </w:p>
    <w:p w14:paraId="57902DBD" w14:textId="77777777" w:rsidR="00161EB0" w:rsidRPr="00F26395" w:rsidRDefault="00161EB0" w:rsidP="00F26395">
      <w:pPr>
        <w:pStyle w:val="NormalWeb"/>
        <w:spacing w:before="0" w:beforeAutospacing="0" w:after="0" w:afterAutospacing="0" w:line="360" w:lineRule="auto"/>
        <w:jc w:val="both"/>
        <w:rPr>
          <w:rFonts w:ascii="Book Antiqua" w:hAnsi="Book Antiqua"/>
          <w:color w:val="000000"/>
        </w:rPr>
      </w:pPr>
    </w:p>
    <w:p w14:paraId="51378BCB" w14:textId="77777777" w:rsidR="00161EB0" w:rsidRPr="00F26395" w:rsidRDefault="00161EB0" w:rsidP="00F26395">
      <w:pPr>
        <w:pStyle w:val="NormalWeb"/>
        <w:spacing w:before="0" w:beforeAutospacing="0" w:after="0" w:afterAutospacing="0" w:line="360" w:lineRule="auto"/>
        <w:jc w:val="both"/>
        <w:rPr>
          <w:rFonts w:ascii="Book Antiqua" w:hAnsi="Book Antiqua"/>
          <w:b/>
          <w:bCs/>
          <w:i/>
          <w:iCs/>
          <w:color w:val="000000"/>
        </w:rPr>
      </w:pPr>
      <w:r w:rsidRPr="00F26395">
        <w:rPr>
          <w:rFonts w:ascii="Book Antiqua" w:hAnsi="Book Antiqua"/>
          <w:b/>
          <w:bCs/>
          <w:i/>
          <w:iCs/>
          <w:color w:val="000000"/>
        </w:rPr>
        <w:t>Adverse events after endoscopy</w:t>
      </w:r>
    </w:p>
    <w:p w14:paraId="5AFAC64F" w14:textId="7301E460" w:rsidR="00161EB0" w:rsidRPr="00F26395" w:rsidRDefault="00161EB0" w:rsidP="00F26395">
      <w:pPr>
        <w:pStyle w:val="NormalWeb"/>
        <w:spacing w:before="0" w:beforeAutospacing="0" w:after="0" w:afterAutospacing="0" w:line="360" w:lineRule="auto"/>
        <w:jc w:val="both"/>
        <w:rPr>
          <w:rFonts w:ascii="Book Antiqua" w:hAnsi="Book Antiqua"/>
          <w:color w:val="000000"/>
        </w:rPr>
      </w:pPr>
      <w:r w:rsidRPr="00F26395">
        <w:rPr>
          <w:rFonts w:ascii="Book Antiqua" w:hAnsi="Book Antiqua"/>
          <w:color w:val="000000"/>
        </w:rPr>
        <w:lastRenderedPageBreak/>
        <w:t xml:space="preserve">Death due to any cause within 1 </w:t>
      </w:r>
      <w:proofErr w:type="spellStart"/>
      <w:r w:rsidRPr="00F26395">
        <w:rPr>
          <w:rFonts w:ascii="Book Antiqua" w:hAnsi="Book Antiqua"/>
          <w:color w:val="000000"/>
        </w:rPr>
        <w:t>wk</w:t>
      </w:r>
      <w:proofErr w:type="spellEnd"/>
      <w:r w:rsidRPr="00F26395">
        <w:rPr>
          <w:rFonts w:ascii="Book Antiqua" w:hAnsi="Book Antiqua"/>
          <w:color w:val="000000"/>
        </w:rPr>
        <w:t xml:space="preserve"> of endoscopy occurred in 0% (0/195) of patients. Bleeding occurred in 1.0% (2/195), infection in 1.0% (2/195), and perforation in 0.5% (1/195). Both of the patients with bleeding required second look endoscopies to manage bleeding not resolved with supportive management and were successfully managed endoscopically.</w:t>
      </w:r>
    </w:p>
    <w:p w14:paraId="61969D30" w14:textId="7B893D83" w:rsidR="00161EB0" w:rsidRPr="00F26395" w:rsidRDefault="00161EB0" w:rsidP="00F26395">
      <w:pPr>
        <w:pStyle w:val="NormalWeb"/>
        <w:spacing w:before="0" w:beforeAutospacing="0" w:after="0" w:afterAutospacing="0" w:line="360" w:lineRule="auto"/>
        <w:ind w:firstLineChars="100" w:firstLine="240"/>
        <w:jc w:val="both"/>
        <w:rPr>
          <w:rFonts w:ascii="Book Antiqua" w:hAnsi="Book Antiqua"/>
          <w:color w:val="000000"/>
        </w:rPr>
      </w:pPr>
      <w:r w:rsidRPr="00F26395">
        <w:rPr>
          <w:rFonts w:ascii="Book Antiqua" w:hAnsi="Book Antiqua"/>
          <w:color w:val="000000"/>
        </w:rPr>
        <w:t>Thrombocytopenia was identified in 67 patients. Adverse outcomes including death occurred in 1.5% (1/67) of patients in the thrombocytopenic group and 2.3% (3/128) of patients in the non-thrombocytopenic group with the bleeding occurring in 1.5% and 0.8% of patients, respectively. There was no significant difference in these adverse outcomes between the two groups (</w:t>
      </w:r>
      <w:r w:rsidRPr="00F26395">
        <w:rPr>
          <w:rFonts w:ascii="Book Antiqua" w:hAnsi="Book Antiqua"/>
          <w:i/>
          <w:iCs/>
          <w:color w:val="000000"/>
        </w:rPr>
        <w:t xml:space="preserve">P </w:t>
      </w:r>
      <w:r w:rsidRPr="00F26395">
        <w:rPr>
          <w:rFonts w:ascii="Book Antiqua" w:hAnsi="Book Antiqua"/>
          <w:color w:val="000000"/>
        </w:rPr>
        <w:t>= 1.000)</w:t>
      </w:r>
      <w:r w:rsidR="004D07E8">
        <w:rPr>
          <w:rFonts w:ascii="Book Antiqua" w:hAnsi="Book Antiqua"/>
          <w:color w:val="000000"/>
        </w:rPr>
        <w:t xml:space="preserve"> (T</w:t>
      </w:r>
      <w:r w:rsidR="004D07E8">
        <w:rPr>
          <w:rFonts w:ascii="Book Antiqua" w:hAnsi="Book Antiqua" w:hint="eastAsia"/>
          <w:color w:val="000000"/>
          <w:lang w:eastAsia="zh-CN"/>
        </w:rPr>
        <w:t>a</w:t>
      </w:r>
      <w:r w:rsidR="004D07E8">
        <w:rPr>
          <w:rFonts w:ascii="Book Antiqua" w:hAnsi="Book Antiqua"/>
          <w:color w:val="000000"/>
          <w:lang w:eastAsia="zh-CN"/>
        </w:rPr>
        <w:t>ble 5</w:t>
      </w:r>
      <w:r w:rsidR="004D07E8">
        <w:rPr>
          <w:rFonts w:ascii="Book Antiqua" w:hAnsi="Book Antiqua"/>
          <w:color w:val="000000"/>
        </w:rPr>
        <w:t>)</w:t>
      </w:r>
      <w:r w:rsidRPr="00F26395">
        <w:rPr>
          <w:rFonts w:ascii="Book Antiqua" w:hAnsi="Book Antiqua"/>
          <w:color w:val="000000"/>
        </w:rPr>
        <w:t>.</w:t>
      </w:r>
    </w:p>
    <w:p w14:paraId="6A192821" w14:textId="77777777" w:rsidR="00161EB0" w:rsidRPr="00F26395" w:rsidRDefault="00161EB0" w:rsidP="00F26395">
      <w:pPr>
        <w:pStyle w:val="NormalWeb"/>
        <w:spacing w:before="0" w:beforeAutospacing="0" w:after="0" w:afterAutospacing="0" w:line="360" w:lineRule="auto"/>
        <w:ind w:firstLineChars="100" w:firstLine="240"/>
        <w:jc w:val="both"/>
        <w:rPr>
          <w:rFonts w:ascii="Book Antiqua" w:hAnsi="Book Antiqua"/>
          <w:color w:val="000000"/>
        </w:rPr>
      </w:pPr>
      <w:r w:rsidRPr="00F26395">
        <w:rPr>
          <w:rFonts w:ascii="Book Antiqua" w:hAnsi="Book Antiqua"/>
          <w:color w:val="000000"/>
        </w:rPr>
        <w:t>Neutropenia was identified in 25 patients, all of whom were on broad spectrum antibiotics prior to endoscopy. Adverse outcomes including death occurred in 4.0% (1/25) of neutropenic patients and 1.8% (3/170) of non-neutropenic patients, with bleeding occurring in 4.0% and 0.6% of patients, respectively. No cases of infection occurred in the neutropenic patients. No significant difference in adverse outcomes was observed when comparing neutropenic to non-neutropenic patients (</w:t>
      </w:r>
      <w:r w:rsidRPr="00F26395">
        <w:rPr>
          <w:rFonts w:ascii="Book Antiqua" w:hAnsi="Book Antiqua"/>
          <w:i/>
          <w:iCs/>
          <w:color w:val="000000"/>
        </w:rPr>
        <w:t>P</w:t>
      </w:r>
      <w:r w:rsidRPr="00F26395">
        <w:rPr>
          <w:rFonts w:ascii="Book Antiqua" w:hAnsi="Book Antiqua"/>
          <w:color w:val="000000"/>
        </w:rPr>
        <w:t xml:space="preserve"> = 0.425).</w:t>
      </w:r>
    </w:p>
    <w:p w14:paraId="62257731" w14:textId="77777777" w:rsidR="00161EB0" w:rsidRPr="00F26395" w:rsidRDefault="00161EB0" w:rsidP="00F26395">
      <w:pPr>
        <w:spacing w:line="360" w:lineRule="auto"/>
        <w:ind w:firstLineChars="100" w:firstLine="240"/>
        <w:jc w:val="both"/>
        <w:rPr>
          <w:rFonts w:ascii="Book Antiqua" w:hAnsi="Book Antiqua"/>
          <w:color w:val="000000"/>
        </w:rPr>
      </w:pPr>
      <w:r w:rsidRPr="00F26395">
        <w:rPr>
          <w:rFonts w:ascii="Book Antiqua" w:hAnsi="Book Antiqua"/>
          <w:color w:val="000000"/>
        </w:rPr>
        <w:t xml:space="preserve">Intraprocedural bleeding occurred in 10 of 195 (5.1%) non-duplicate endoscopies which required hemostatic interventions such as </w:t>
      </w:r>
      <w:proofErr w:type="spellStart"/>
      <w:r w:rsidRPr="00F26395">
        <w:rPr>
          <w:rFonts w:ascii="Book Antiqua" w:hAnsi="Book Antiqua"/>
          <w:color w:val="000000"/>
        </w:rPr>
        <w:t>hemoclips</w:t>
      </w:r>
      <w:proofErr w:type="spellEnd"/>
      <w:r w:rsidRPr="00F26395">
        <w:rPr>
          <w:rFonts w:ascii="Book Antiqua" w:hAnsi="Book Antiqua"/>
          <w:color w:val="000000"/>
        </w:rPr>
        <w:t xml:space="preserve"> (9/195 or 4.6%), epinephrine injections (1/195 or 0.5%), or argon plasma coagulation (2/195 or 1.0%) during the index procedure. Two of these patients experienced recurrent post-procedure bleeding that was controlled during second look endoscopy. No patient with intraprocedural bleeding experienced other adverse outcomes (infection, perforation, or death) within one week of endoscopy.</w:t>
      </w:r>
    </w:p>
    <w:p w14:paraId="525A80A5" w14:textId="77777777" w:rsidR="00161EB0" w:rsidRPr="00F26395" w:rsidRDefault="00161EB0" w:rsidP="00F26395">
      <w:pPr>
        <w:spacing w:line="360" w:lineRule="auto"/>
        <w:jc w:val="both"/>
        <w:rPr>
          <w:rFonts w:ascii="Book Antiqua" w:hAnsi="Book Antiqua"/>
          <w:color w:val="000000"/>
        </w:rPr>
      </w:pPr>
    </w:p>
    <w:p w14:paraId="75061EB8" w14:textId="7941D758" w:rsidR="00161EB0" w:rsidRPr="00F26395" w:rsidRDefault="009272B8" w:rsidP="00F26395">
      <w:pPr>
        <w:spacing w:line="360" w:lineRule="auto"/>
        <w:jc w:val="both"/>
        <w:rPr>
          <w:rFonts w:ascii="Book Antiqua" w:hAnsi="Book Antiqua"/>
          <w:b/>
          <w:u w:val="single"/>
        </w:rPr>
      </w:pPr>
      <w:r w:rsidRPr="00F26395">
        <w:rPr>
          <w:rFonts w:ascii="Book Antiqua" w:hAnsi="Book Antiqua"/>
          <w:b/>
          <w:u w:val="single"/>
        </w:rPr>
        <w:t>DISCUSSION</w:t>
      </w:r>
    </w:p>
    <w:p w14:paraId="414405AD" w14:textId="111DBD8F" w:rsidR="00A83A3E" w:rsidRPr="00F26395" w:rsidRDefault="00161EB0" w:rsidP="00F26395">
      <w:pPr>
        <w:spacing w:line="360" w:lineRule="auto"/>
        <w:jc w:val="both"/>
        <w:rPr>
          <w:rFonts w:ascii="Book Antiqua" w:hAnsi="Book Antiqua"/>
        </w:rPr>
      </w:pPr>
      <w:r w:rsidRPr="00F26395">
        <w:rPr>
          <w:rFonts w:ascii="Book Antiqua" w:hAnsi="Book Antiqua"/>
        </w:rPr>
        <w:t xml:space="preserve">We report the largest cross-sectional study to date on the management and safety of endoscopic evaluation of </w:t>
      </w:r>
      <w:proofErr w:type="spellStart"/>
      <w:r w:rsidRPr="00F26395">
        <w:rPr>
          <w:rFonts w:ascii="Book Antiqua" w:hAnsi="Book Antiqua"/>
        </w:rPr>
        <w:t>aGVHD</w:t>
      </w:r>
      <w:proofErr w:type="spellEnd"/>
      <w:r w:rsidRPr="00F26395">
        <w:rPr>
          <w:rFonts w:ascii="Book Antiqua" w:hAnsi="Book Antiqua"/>
        </w:rPr>
        <w:t xml:space="preserve"> in patients who have undergone HSCT. A number of prior studies have found that symptoms such as diarrhea often occur in the presence of </w:t>
      </w:r>
      <w:proofErr w:type="spellStart"/>
      <w:r w:rsidRPr="00F26395">
        <w:rPr>
          <w:rFonts w:ascii="Book Antiqua" w:hAnsi="Book Antiqua"/>
        </w:rPr>
        <w:t>aGVHD</w:t>
      </w:r>
      <w:proofErr w:type="spellEnd"/>
      <w:r w:rsidRPr="00F26395">
        <w:rPr>
          <w:rFonts w:ascii="Book Antiqua" w:hAnsi="Book Antiqua"/>
        </w:rPr>
        <w:t xml:space="preserve"> in the lower GI tract, warranting evaluation with FS, while upper GI symptoms such as nausea and vomiting warrant evaluation with EGD </w:t>
      </w:r>
      <w:r w:rsidRPr="00F26395">
        <w:rPr>
          <w:rFonts w:ascii="Book Antiqua" w:hAnsi="Book Antiqua"/>
        </w:rPr>
        <w:fldChar w:fldCharType="begin" w:fldLock="1"/>
      </w:r>
      <w:r w:rsidR="007B75F6" w:rsidRPr="00F26395">
        <w:rPr>
          <w:rFonts w:ascii="Book Antiqua" w:hAnsi="Book Antiqua"/>
        </w:rPr>
        <w:instrText>ADDIN CSL_CITATION {"citationItems":[{"id":"ITEM-1","itemData":{"DOI":"10.1055/s-2007-1005576","ISSN":"0013726X","PMID":"8934085","abstract":"Background and Study Aims: Previous reports have suggested that endoscopic evaluation, with histological and microbiological examination of biopsied tissue, is required to diagnose gastrointestinal disease accurately in patients after allogeneic bone-marrow transplantation. We sought to further define the usefulness, yield, and sensitivity of endoscopic tissue biopsy in this patient population. Patients and Methods: A retrospective review of the clinical, endoscopic, histological, and microbiological data was obtained during the evaluation and treatment of 61 distinct episodes of unexplained gastrointestinal complaints in 37 adult allogeneic bone-marrow transplant recipients over six years at our institution. Results: Acute gastrointestinal graft-versus-host disease was found in 12 of the 61 episodes (20%). Gastrointestinal infections were found in 14 of the 61 episodes (23%); there were Herpesvirus infections (n = 8) and fungal infections (n = 9). Patients with and without graft-versus-host disease were similar in terms of their age, sex, underlying illness, clinical symptoms and signs, physical examination, laboratory values, and endoscopic findings. Small-bowel biopsy had a sensitivity of 90% for detecting the pathological changes of acute intestinal graft-versus-host disease in this series. Conclusion: A high percentage of patients with gastrointestinal complaints after allogeneic bone-marrow transplantation have acute gastrointestinal graft-versus-host disease, or an opportunistic infection. Gastrointestinal graft-versus-host disease cannot be accurately diagnosed from its clinical presentation. Endoscopic small-bowel biopsy is an essential tool in evaluating this patient population.","author":[{"dropping-particle":"","family":"Terdiman","given":"J. P.","non-dropping-particle":"","parse-names":false,"suffix":""},{"dropping-particle":"","family":"Linker","given":"C. A.","non-dropping-particle":"","parse-names":false,"suffix":""},{"dropping-particle":"","family":"Ries","given":"C. A.","non-dropping-particle":"","parse-names":false,"suffix":""},{"dropping-particle":"","family":"Damon","given":"L. E.","non-dropping-particle":"","parse-names":false,"suffix":""},{"dropping-particle":"","family":"Rugo","given":"H. S.","non-dropping-particle":"","parse-names":false,"suffix":""},{"dropping-particle":"","family":"Ostroff","given":"J. W.","non-dropping-particle":"","parse-names":false,"suffix":""}],"container-title":"Endoscopy","id":"ITEM-1","issue":"8","issued":{"date-parts":[["1996"]]},"page":"680-685","publisher":"Georg Thieme Verlag","title":"The role of endoscopic evaluation in patients with suspected intestinal graft-versus-host disease after allogeneic bone-marrow transplantation","type":"article-journal","volume":"28"},"uris":["http://www.mendeley.com/documents/?uuid=d1332c0b-e24d-354b-b9ad-b32a04c3bb7a"]},{"id":"ITEM-2","itemData":{"DOI":"10.1038/sj.bmt.1705453","ISSN":"02683369","PMID":"16915225","abstract":"The best endoscopic diagnostic strategy for gastrointestinal (GI) graft-versus-host disease (GVHD) is unknown. Over a 48-month period, all patients with unexplained diarrhea at risk for acute gastrointestinal GVHD were prospectively identified. Acute GVHD was defined as symptoms and histologic evidence of GVHD occurring within 100 days of transplant or donor lymphocyte infusion (DLI). Colonoscopy was performed with multiple biopsies of the ileum, right colon and rectosigmoid colon. Next, upper endoscopy with duodenal and random gastric biopsies of both antrum and body were performed. All biopsies were evaluated for GVHD by an experienced GI pathologist. Over the study period, 24 patients (mean age 37 years; 62.5% male) were evaluated. The median time from transplantation or DLI was 30.5 days. The biopsy site with the highest yield was the distal colon (82%). A combination of upper endoscopy with sigmoidoscopy and colonoscopy with ileal biopsies were equivalent (</w:instrText>
      </w:r>
      <w:r w:rsidR="007B75F6" w:rsidRPr="00F26395">
        <w:rPr>
          <w:rFonts w:ascii="Cambria Math" w:hAnsi="Cambria Math" w:cs="Cambria Math"/>
        </w:rPr>
        <w:instrText>∼</w:instrText>
      </w:r>
      <w:r w:rsidR="007B75F6" w:rsidRPr="00F26395">
        <w:rPr>
          <w:rFonts w:ascii="Book Antiqua" w:hAnsi="Book Antiqua"/>
        </w:rPr>
        <w:instrText>94%). In patients with diarrhea at risk for GVHD, biopsies of the distal colon had the highest diagnostic yield suggesting the importance of sigmoidoscopy and biopsy. Colonoscopy and ileoscopy or flexible sigmoidoscopy plus upper endoscopy had the highest diagnostic yields. © 2006 Nature Publishing Group.","author":[{"dropping-particle":"","family":"Thompson","given":"B.","non-dropping-particle":"","parse-names":false,"suffix":""},{"dropping-particle":"","family":"Salzman","given":"D.","non-dropping-particle":"","parse-names":false,"suffix":""},{"dropping-particle":"","family":"Steinhauer","given":"J.","non-dropping-particle":"","parse-names":false,"suffix":""},{"dropping-particle":"","family":"Lazenby","given":"A. J.","non-dropping-particle":"","parse-names":false,"suffix":""},{"dropping-particle":"","family":"Wilcox","given":"C. M.","non-dropping-particle":"","parse-names":false,"suffix":""}],"container-title":"Bone Marrow Transplantation","id":"ITEM-2","issue":"5","issued":{"date-parts":[["2006"]]},"page":"371-376","title":"Prospective endoscopic evaluation for gastrointestinal graft-versus-host disease: Determination of the best diagnostic approach","type":"article-journal","volume":"38"},"uris":["http://www.mendeley.com/documents/?uuid=7d717307-252d-4d01-8312-1cd28a0dcab5"]},{"id":"ITEM-3","itemData":{"DOI":"10.1111/apt.12468","ISSN":"02692813","PMID":"24003975","abstract":"Background: There is lack of consensus regarding whether both upper and lower endoscopic examinations are required for diagnosis of gastrointestinal acute graft versus host disease (GI-AGVHD). Aim: To evaluate the impact of endoscopic procedures on the diagnosis of GI-AGVHD. Methods: We performed a retrospective case-control study of recipients of allogeneic haematopoetic cell transplant (HCT) from 2000 to 2011, who presented with GI symptoms between 20 and 125 days post-HCT. GI-AGVHD status was based on the National Institutes of Health (NIH) clinical grading system. Results: One hundred and twenty-nine clinical GI-AGVHD cases and 184 controls underwent endoscopic examinations. Diarrhoea was present in 73% of cases and 38% of controls (P &lt; 0.0001); 99% of patients with nausea ± vomiting and diarrhoea underwent bidirectional endoscopy. Histology had a sensitivity of 92% and specificity of 91% compared to the clinical criteria. The sensitivity for GI-AGVHD was 80% or greater when upper endoscopy (EGD) was performed with either sigmoidoscopy or colonoscopy, or if lower endoscopic examinations were performed alone. The sensitivity of EGD alone was only 48% (P = 0.003). Sensitivity was highest with biopsy of the terminal ileum (79%), followed by the ascending (74%), transverse/descending (73%) and sigmoid colons (69%). Diagnostic yield for cytomegalovirus (CMV) infection was equivalent for biopsies from both upper and lower GI tracts. Patients found to have concurrent GI-AGVHD and CMV infection (N = 18) had a poorer overall prognosis. Conclusion: In patients post-HCT with GI symptoms, sigmoidoscopy alone had equivalent diagnostic yield for GI-AGVHD and CMV infection, compared with the addition of EGD or performance of full colonoscopy. © 2013 John Wiley &amp; Sons Ltd.","author":[{"dropping-particle":"","family":"Liu","given":"A.","non-dropping-particle":"","parse-names":false,"suffix":""},{"dropping-particle":"","family":"Meyer","given":"E.","non-dropping-particle":"","parse-names":false,"suffix":""},{"dropping-particle":"","family":"Johnston","given":"L.","non-dropping-particle":"","parse-names":false,"suffix":""},{"dropping-particle":"","family":"Brown","given":"J.","non-dropping-particle":"","parse-names":false,"suffix":""},{"dropping-particle":"","family":"Gerson","given":"L. B.","non-dropping-particle":"","parse-names":false,"suffix":""}],"container-title":"Alimentary Pharmacology and Therapeutics","id":"ITEM-3","issue":"8","issued":{"date-parts":[["2013"]]},"page":"955-966","title":"Prevalence of graft versus host disease and cytomegalovirus infection in patients post-haematopoietic cell transplantation presenting with gastrointestinal symptoms","type":"article-journal","volume":"38"},"uris":["http://www.mendeley.com/documents/?uuid=b47b8e04-252e-4b38-b5df-200211771576"]},{"id":"ITEM-4","itemData":{"DOI":"10.1097/MCG.0000000000000609","ISSN":"15392031","PMID":"27428729","abstract":"Background and Aim: The optimal endoscopic approach to patients with suspected gut graft-versus-host disease (GVHD) after hematopoietic stem cell transplantation (HSCT) is uncertain. We aimed to assess the diagnostic yield of upper and lower endoscopies performed in patients post-HSCT. Methods: We identified a cohort post-HSCT with acute and chronic GVHD who underwent gastrointestinal endoscopies for GVHD diagnosis. Hospital charts were reviewed and results were stratified according to patients' symptoms. Results: From 1990 to 2013 433 HSCTs were performed. Fifty-six patients underwent 141 endoscopies, of which 117 were done to evaluate for GVHD or an alternative diagnosis. A total of 28/43 (65%) of the lower endoscopies and 41/74 (55%) of the upper endoscopies diagnosed GVHD or an alternative disease process on pathology. A total of 15/43 (35%) of lower endoscopies were flexible sigmoidoscopies, and 11/15 (73%) of these diagnosed GVHD or an alternative diagnosis. Upper endoscopy performed in patients with diarrhea as their only symptom diagnosed GVHD in 44% and an alternative diagnosis in 11%. In comparison, lower endoscopy in patients with only diarrhea diagnosed GVHD in 50%, and 18% offered an alternative diagnosis. Upper endoscopy provided a diagnosis of opportunistic viral and fungal infections of the upper gastrointestinal tract in 7 patients, while lower endoscopy diagnosed pseudomembranous colitis in 2. Conclusions: Upper and lower endoscopy had a similar diagnostic yield in patients with known or suspected GVHD involving the gut, even for patients presenting only with diarrhea. Because of its ease and safety upper endoscopy is the preferred initial endoscopic approach in patients with suspected gut GVHD, however flexible sigmoidoscopy is a reasonable other option.","author":[{"dropping-particle":"","family":"Cloutier","given":"Justin","non-dropping-particle":"","parse-names":false,"suffix":""},{"dropping-particle":"","family":"Wall","given":"Donna A.","non-dropping-particle":"","parse-names":false,"suffix":""},{"dropping-particle":"","family":"Paulsen","given":"Kristjen","non-dropping-particle":"","parse-names":false,"suffix":""},{"dropping-particle":"","family":"Bernstein","given":"Charles N.","non-dropping-particle":"","parse-names":false,"suffix":""}],"container-title":"Journal of Clinical Gastroenterology","id":"ITEM-4","issue":"8","issued":{"date-parts":[["2017"]]},"page":"701-706","title":"Upper versus lower endoscopy in the diagnosis of graft-versus-host disease","type":"article-journal","volume":"51"},"uris":["http://www.mendeley.com/documents/?uuid=82baa4fd-e115-4507-baf6-c0779bbd63e2"]},{"id":"ITEM-5","itemData":{"DOI":"10.1016/j.bbmt.2018.01.034","ISSN":"15236536","PMID":"29410342","abstract":"Acute gastrointestinal graft-versus-host disease (GI-GVHD) after hematopoietic progenitor cell transplantation (HPCT) is a common and life-threatening complication. Endoscopic biopsy of the GI tract (GIT) is required for diagnosis. However, clear evidence to optimize this diagnostic approach is lacking, leading to variation in diagnostic sensitivity between institutions. We aimed to assess the clinical, endoscopic, and histologic findings of endoscopies performed for suspected acute GI-GVHD at our institution to better define the optimal use of this strategy. We performed a retrospective cohort study of adults who had undergone endoscopy for suspected acute GI-GVHD within 180 days after allogeneic HPCT for hematologic malignancy between 2011 and 2016. Details included symptoms at time of referral for endoscopy, type of procedure performed, macroscopic findings on endoscopy, and histologic findings after gut biopsy. Correlation was made with clinical GVHD severity scores. Sensitivity, specificity, positive predictive value, and negative predictive value were calculated and compared for each procedure. Predictors of histologic GVHD and overall survival were also compared. Of the 123 patients included, acute GI-GVHD occurred in 59 (48%). Lower endoscopy demonstrated greater sensitivity than upper endoscopy (50% versus 39%). Single upper endoscopy for upper symptoms alone had the lowest yield of GI-GVHD (14%). Combination upper and lower endoscopy demonstrated strong histologic concordance between upper and lower procedures. The addition of upper endoscopy to lower endoscopy only identified an extra 2 (4%) cases of GVHD. Advanced age and the presence of lower GIT symptoms were the only pre-endoscopy predictors of histologic GVHD on multivariate analysis. Patients with isolated upper histologic GVHD showed similar survival to patients with negative biopsies. Endoscopy and biopsy only identified 74% of those ultimately requiring treatment for acute GI-GVHD. Acute GI-GVHD remains a clinical diagnosis supported by available histologic evidence. Isolated upper GI-GVHD is rare, and in the absence of lower GIT symptoms, routine upper endoscopy does not significantly improve diagnostic yield for histologic GVHD. Overall, endoscopy and biopsy underdiagnoses 26% of clinical GI-GVHD, highlighting a need for research into novel diagnostic strategies.","author":[{"dropping-particle":"","family":"Scott","given":"Ashleigh P.","non-dropping-particle":"","parse-names":false,"suffix":""},{"dropping-particle":"","family":"Tey","given":"Siok Keen","non-dropping-particle":"","parse-names":false,"suffix":""},{"dropping-particle":"","family":"Butler","given":"Jason","non-dropping-particle":"","parse-names":false,"suffix":""},{"dropping-particle":"","family":"Kennedy","given":"Glen A.","non-dropping-particle":"","parse-names":false,"suffix":""}],"container-title":"Biology of Blood and Marrow Transplantation","id":"ITEM-5","issue":"6","issued":{"date-parts":[["2018"]]},"page":"1294-1298","title":"Diagnostic Utility of Endoscopy and Biopsy in Suspected Acute Gastrointestinal Graft-versus-Host Disease after Hematopoietic Progenitor Cell Transplantation","type":"article-journal","volume":"24"},"uris":["http://www.mendeley.com/documents/?uuid=2c95b231-58c5-4680-bbc5-fa6dc370f32f"]},{"id":"ITEM-6","itemData":{"DOI":"10.1111/j.1572-0241.2007.01639.x","ISSN":"00029270","PMID":"18028511","abstract":"OBJECTIVES: The diagnosis of gastrointestinal (GI) graft-versus-host disease (GVHD) is based upon histologic findings in endoscopic mucosal biopsy specimens. The portion of the GI tract with the highest diagnostic yield is a topic of debate. Our aim was to evaluate the sensitivity of simultaneous biopsy of the stomach, duodenum, and rectosigmoid in establishing the diagnosis of GI GVHD. METHODS: We identified 112 patients who had simultaneous endoscopic biopsies of the stomach, duodenum, and rectosigmoid within the first 100 days following allogeneic hematopoietic stem cell transplantation (HSCT). GVHD was defined histologically as the presence of gland apoptosis, not explained by other inflammatory or infectious etiologies. The patient was diagnosed with GI GVHD if at least one biopsy site was positive. RESULTS: Overall, 81% of the patients had GI GVHD. Of these, 66% had involvement at all three biopsy sites. Rectosigmoid biopsies had the highest sensitivity, specificity, positive predictive value, and negative predictive value for diagnosing GI GVHD, at 95.6%, 100%, 100%, and 84%, respectively. The sensitivities of gastric and duodenal biopsies were 72.5% (P &lt; 0.0001 vs rectosigmoid) and 79.2% (P = 0.0018), respectively. The negative predictive values of gastric and duodenal biopsies were 45.6% (P = 0.0039 vs rectosigmoid) and 52.5% (P = 0.0205), respectively. Rectosigmoid biopsies had a higher sensitivity and negative predictive value than biopsies at other sites whether the patient presented with diarrhea or nausea/vomiting. No association between the degree of mucosal injury and the presence of GVHD was found at any site. CONCLUSIONS: Biopsy of the rectosigmoid is the single best test for diagnosing GI GVHD. © 2008 by Am. Coll. of Gastroenterology.","author":[{"dropping-particle":"","family":"Ross","given":"William A.","non-dropping-particle":"","parse-names":false,"suffix":""},{"dropping-particle":"","family":"Ghosh","given":"Shubhra","non-dropping-particle":"","parse-names":false,"suffix":""},{"dropping-particle":"","family":"Dekovich","given":"Alexander A.","non-dropping-particle":"","parse-names":false,"suffix":""},{"dropping-particle":"","family":"Liu","given":"Suyu","non-dropping-particle":"","parse-names":false,"suffix":""},{"dropping-particle":"","family":"Ayers","given":"Gregory D.","non-dropping-particle":"","parse-names":false,"suffix":""},{"dropping-particle":"","family":"Cleary","given":"Karen R.","non-dropping-particle":"","parse-names":false,"suffix":""},{"dropping-particle":"","family":"Lee","given":"Jeffrey H.","non-dropping-particle":"","parse-names":false,"suffix":""},{"dropping-particle":"","family":"Couriel","given":"Daniel","non-dropping-particle":"","parse-names":false,"suffix":""}],"container-title":"American Journal of Gastroenterology","id":"ITEM-6","issue":"4","issued":{"date-parts":[["2008","4"]]},"page":"982-989","publisher":"Am J Gastroenterol","title":"Endoscopic biopsy diagnosis of acute gastrointestinal graft-versus-host disease: Rectosigmoid biopsies are more sensitive than upper gastrointestinal biopsies","type":"article-journal","volume":"103"},"uris":["http://www.mendeley.com/documents/?uuid=e0f16c53-98be-3b30-b823-b508ac7057b5"]}],"mendeley":{"formattedCitation":"&lt;sup&gt;[6,14,16,18,19,22]&lt;/sup&gt;","plainTextFormattedCitation":"[6,14,16,18,19,22]","previouslyFormattedCitation":"&lt;sup&gt;[6,12,14,15,18,22]&lt;/sup&gt;"},"properties":{"noteIndex":0},"schema":"https://github.com/citation-style-language/schema/raw/master/csl-citation.json"}</w:instrText>
      </w:r>
      <w:r w:rsidRPr="00F26395">
        <w:rPr>
          <w:rFonts w:ascii="Book Antiqua" w:hAnsi="Book Antiqua"/>
        </w:rPr>
        <w:fldChar w:fldCharType="separate"/>
      </w:r>
      <w:r w:rsidR="007B75F6" w:rsidRPr="00F26395">
        <w:rPr>
          <w:rFonts w:ascii="Book Antiqua" w:hAnsi="Book Antiqua"/>
          <w:noProof/>
          <w:vertAlign w:val="superscript"/>
        </w:rPr>
        <w:t>[6,14,16,18,19,22]</w:t>
      </w:r>
      <w:r w:rsidRPr="00F26395">
        <w:rPr>
          <w:rFonts w:ascii="Book Antiqua" w:hAnsi="Book Antiqua"/>
        </w:rPr>
        <w:fldChar w:fldCharType="end"/>
      </w:r>
      <w:r w:rsidRPr="00F26395">
        <w:rPr>
          <w:rFonts w:ascii="Book Antiqua" w:hAnsi="Book Antiqua"/>
        </w:rPr>
        <w:t xml:space="preserve">. On the contrary, </w:t>
      </w:r>
      <w:r w:rsidRPr="00F26395">
        <w:rPr>
          <w:rFonts w:ascii="Book Antiqua" w:hAnsi="Book Antiqua"/>
        </w:rPr>
        <w:lastRenderedPageBreak/>
        <w:t xml:space="preserve">we found that combined EGD and FS with biopsies resulted in at least an 80% diagnostic yield in patients with any presenting symptom. </w:t>
      </w:r>
    </w:p>
    <w:p w14:paraId="6BB4215B" w14:textId="3CFDCABA" w:rsidR="00A83A3E" w:rsidRPr="00F26395" w:rsidRDefault="00161EB0" w:rsidP="00F26395">
      <w:pPr>
        <w:spacing w:line="360" w:lineRule="auto"/>
        <w:ind w:firstLineChars="100" w:firstLine="240"/>
        <w:jc w:val="both"/>
        <w:rPr>
          <w:rFonts w:ascii="Book Antiqua" w:hAnsi="Book Antiqua"/>
        </w:rPr>
      </w:pPr>
      <w:r w:rsidRPr="00F26395">
        <w:rPr>
          <w:rFonts w:ascii="Book Antiqua" w:hAnsi="Book Antiqua"/>
        </w:rPr>
        <w:t xml:space="preserve">Interestingly, EGD alone in patients presenting with diarrhea and FS alone in patients presenting with nausea/vomiting demonstrated greater yields than combined EGD and FS. This finding could be due to the small number of patients presenting with diarrhea or nausea/vomiting who also underwent these modalities of endoscopic evaluation. Further, three of six patients with confirmed </w:t>
      </w:r>
      <w:proofErr w:type="spellStart"/>
      <w:r w:rsidRPr="00F26395">
        <w:rPr>
          <w:rFonts w:ascii="Book Antiqua" w:hAnsi="Book Antiqua"/>
        </w:rPr>
        <w:t>aGVHD</w:t>
      </w:r>
      <w:proofErr w:type="spellEnd"/>
      <w:r w:rsidRPr="00F26395">
        <w:rPr>
          <w:rFonts w:ascii="Book Antiqua" w:hAnsi="Book Antiqua"/>
        </w:rPr>
        <w:t xml:space="preserve"> who underwent EGD alone and all seven patients with confirmed GVHD who underwent FS alone presented with concurrent nausea/vomiting and diarrhea. Taken together, combined EGD and FS may be the most effective endoscopic approach to GVHD evaluation regardless of presenting symptoms.</w:t>
      </w:r>
    </w:p>
    <w:p w14:paraId="11B2F3AE" w14:textId="5E9EAA1B" w:rsidR="00A83A3E" w:rsidRPr="00F26395" w:rsidRDefault="00161EB0" w:rsidP="00F26395">
      <w:pPr>
        <w:spacing w:line="360" w:lineRule="auto"/>
        <w:ind w:firstLineChars="100" w:firstLine="240"/>
        <w:jc w:val="both"/>
        <w:rPr>
          <w:rFonts w:ascii="Book Antiqua" w:hAnsi="Book Antiqua"/>
        </w:rPr>
      </w:pPr>
      <w:r w:rsidRPr="00F26395">
        <w:rPr>
          <w:rFonts w:ascii="Book Antiqua" w:hAnsi="Book Antiqua"/>
        </w:rPr>
        <w:t xml:space="preserve">To explore this concept further, we analyzed anatomical patterns of </w:t>
      </w:r>
      <w:proofErr w:type="spellStart"/>
      <w:r w:rsidRPr="00F26395">
        <w:rPr>
          <w:rFonts w:ascii="Book Antiqua" w:hAnsi="Book Antiqua"/>
        </w:rPr>
        <w:t>aGVHD</w:t>
      </w:r>
      <w:proofErr w:type="spellEnd"/>
      <w:r w:rsidRPr="00F26395">
        <w:rPr>
          <w:rFonts w:ascii="Book Antiqua" w:hAnsi="Book Antiqua"/>
        </w:rPr>
        <w:t xml:space="preserve"> localization for different presenting symptoms. Biopsies taken from either the upper or lower GI tracts demonstrated greater than 90% yield for histological evidence of </w:t>
      </w:r>
      <w:proofErr w:type="spellStart"/>
      <w:r w:rsidRPr="00F26395">
        <w:rPr>
          <w:rFonts w:ascii="Book Antiqua" w:hAnsi="Book Antiqua"/>
        </w:rPr>
        <w:t>aGVHD</w:t>
      </w:r>
      <w:proofErr w:type="spellEnd"/>
      <w:r w:rsidRPr="00F26395">
        <w:rPr>
          <w:rFonts w:ascii="Book Antiqua" w:hAnsi="Book Antiqua"/>
        </w:rPr>
        <w:t xml:space="preserve">, with the lower GI tract demonstrating slightly greater yields across most presenting symptoms. When considering specific locations within the upper and lower tracts, the rectosigmoid colon demonstrated the greatest diagnostic yield across all symptoms except abdominal pain when excluding locations where fewer than seven patients had biopsies. Our findings are consistent with those of prior studies which recommend biopsies of the rectosigmoid colon for evaluation of lower GI </w:t>
      </w:r>
      <w:proofErr w:type="spellStart"/>
      <w:r w:rsidRPr="00F26395">
        <w:rPr>
          <w:rFonts w:ascii="Book Antiqua" w:hAnsi="Book Antiqua"/>
        </w:rPr>
        <w:t>aGVHD</w:t>
      </w:r>
      <w:proofErr w:type="spellEnd"/>
      <w:r w:rsidRPr="00F26395">
        <w:rPr>
          <w:rFonts w:ascii="Book Antiqua" w:hAnsi="Book Antiqua"/>
        </w:rPr>
        <w:fldChar w:fldCharType="begin" w:fldLock="1"/>
      </w:r>
      <w:r w:rsidR="007B75F6" w:rsidRPr="00F26395">
        <w:rPr>
          <w:rFonts w:ascii="Book Antiqua" w:hAnsi="Book Antiqua"/>
        </w:rPr>
        <w:instrText>ADDIN CSL_CITATION {"citationItems":[{"id":"ITEM-1","itemData":{"DOI":"10.1111/j.1572-0241.2007.01639.x","ISSN":"00029270","PMID":"18028511","abstract":"OBJECTIVES: The diagnosis of gastrointestinal (GI) graft-versus-host disease (GVHD) is based upon histologic findings in endoscopic mucosal biopsy specimens. The portion of the GI tract with the highest diagnostic yield is a topic of debate. Our aim was to evaluate the sensitivity of simultaneous biopsy of the stomach, duodenum, and rectosigmoid in establishing the diagnosis of GI GVHD. METHODS: We identified 112 patients who had simultaneous endoscopic biopsies of the stomach, duodenum, and rectosigmoid within the first 100 days following allogeneic hematopoietic stem cell transplantation (HSCT). GVHD was defined histologically as the presence of gland apoptosis, not explained by other inflammatory or infectious etiologies. The patient was diagnosed with GI GVHD if at least one biopsy site was positive. RESULTS: Overall, 81% of the patients had GI GVHD. Of these, 66% had involvement at all three biopsy sites. Rectosigmoid biopsies had the highest sensitivity, specificity, positive predictive value, and negative predictive value for diagnosing GI GVHD, at 95.6%, 100%, 100%, and 84%, respectively. The sensitivities of gastric and duodenal biopsies were 72.5% (P &lt; 0.0001 vs rectosigmoid) and 79.2% (P = 0.0018), respectively. The negative predictive values of gastric and duodenal biopsies were 45.6% (P = 0.0039 vs rectosigmoid) and 52.5% (P = 0.0205), respectively. Rectosigmoid biopsies had a higher sensitivity and negative predictive value than biopsies at other sites whether the patient presented with diarrhea or nausea/vomiting. No association between the degree of mucosal injury and the presence of GVHD was found at any site. CONCLUSIONS: Biopsy of the rectosigmoid is the single best test for diagnosing GI GVHD. © 2008 by Am. Coll. of Gastroenterology.","author":[{"dropping-particle":"","family":"Ross","given":"William A.","non-dropping-particle":"","parse-names":false,"suffix":""},{"dropping-particle":"","family":"Ghosh","given":"Shubhra","non-dropping-particle":"","parse-names":false,"suffix":""},{"dropping-particle":"","family":"Dekovich","given":"Alexander A.","non-dropping-particle":"","parse-names":false,"suffix":""},{"dropping-particle":"","family":"Liu","given":"Suyu","non-dropping-particle":"","parse-names":false,"suffix":""},{"dropping-particle":"","family":"Ayers","given":"Gregory D.","non-dropping-particle":"","parse-names":false,"suffix":""},{"dropping-particle":"","family":"Cleary","given":"Karen R.","non-dropping-particle":"","parse-names":false,"suffix":""},{"dropping-particle":"","family":"Lee","given":"Jeffrey H.","non-dropping-particle":"","parse-names":false,"suffix":""},{"dropping-particle":"","family":"Couriel","given":"Daniel","non-dropping-particle":"","parse-names":false,"suffix":""}],"container-title":"American Journal of Gastroenterology","id":"ITEM-1","issue":"4","issued":{"date-parts":[["2008","4"]]},"page":"982-989","publisher":"Am J Gastroenterol","title":"Endoscopic biopsy diagnosis of acute gastrointestinal graft-versus-host disease: Rectosigmoid biopsies are more sensitive than upper gastrointestinal biopsies","type":"article-journal","volume":"103"},"uris":["http://www.mendeley.com/documents/?uuid=e0f16c53-98be-3b30-b823-b508ac7057b5"]},{"id":"ITEM-2","itemData":{"DOI":"10.1111/apt.12468","ISSN":"02692813","PMID":"24003975","abstract":"Background: There is lack of consensus regarding whether both upper and lower endoscopic examinations are required for diagnosis of gastrointestinal acute graft versus host disease (GI-AGVHD). Aim: To evaluate the impact of endoscopic procedures on the diagnosis of GI-AGVHD. Methods: We performed a retrospective case-control study of recipients of allogeneic haematopoetic cell transplant (HCT) from 2000 to 2011, who presented with GI symptoms between 20 and 125 days post-HCT. GI-AGVHD status was based on the National Institutes of Health (NIH) clinical grading system. Results: One hundred and twenty-nine clinical GI-AGVHD cases and 184 controls underwent endoscopic examinations. Diarrhoea was present in 73% of cases and 38% of controls (P &lt; 0.0001); 99% of patients with nausea ± vomiting and diarrhoea underwent bidirectional endoscopy. Histology had a sensitivity of 92% and specificity of 91% compared to the clinical criteria. The sensitivity for GI-AGVHD was 80% or greater when upper endoscopy (EGD) was performed with either sigmoidoscopy or colonoscopy, or if lower endoscopic examinations were performed alone. The sensitivity of EGD alone was only 48% (P = 0.003). Sensitivity was highest with biopsy of the terminal ileum (79%), followed by the ascending (74%), transverse/descending (73%) and sigmoid colons (69%). Diagnostic yield for cytomegalovirus (CMV) infection was equivalent for biopsies from both upper and lower GI tracts. Patients found to have concurrent GI-AGVHD and CMV infection (N = 18) had a poorer overall prognosis. Conclusion: In patients post-HCT with GI symptoms, sigmoidoscopy alone had equivalent diagnostic yield for GI-AGVHD and CMV infection, compared with the addition of EGD or performance of full colonoscopy. © 2013 John Wiley &amp; Sons Ltd.","author":[{"dropping-particle":"","family":"Liu","given":"A.","non-dropping-particle":"","parse-names":false,"suffix":""},{"dropping-particle":"","family":"Meyer","given":"E.","non-dropping-particle":"","parse-names":false,"suffix":""},{"dropping-particle":"","family":"Johnston","given":"L.","non-dropping-particle":"","parse-names":false,"suffix":""},{"dropping-particle":"","family":"Brown","given":"J.","non-dropping-particle":"","parse-names":false,"suffix":""},{"dropping-particle":"","family":"Gerson","given":"L. B.","non-dropping-particle":"","parse-names":false,"suffix":""}],"container-title":"Alimentary Pharmacology and Therapeutics","id":"ITEM-2","issue":"8","issued":{"date-parts":[["2013"]]},"page":"955-966","title":"Prevalence of graft versus host disease and cytomegalovirus infection in patients post-haematopoietic cell transplantation presenting with gastrointestinal symptoms","type":"article-journal","volume":"38"},"uris":["http://www.mendeley.com/documents/?uuid=b47b8e04-252e-4b38-b5df-200211771576"]},{"id":"ITEM-3","itemData":{"DOI":"10.1016/j.retram.2018.08.001","ISSN":"24523186","PMID":"30206046","abstract":"Background: Gastrointestinal (GI) graft versus host disease (GVHD) occurs in up to 40% of patients undergoing allogenic hematopoietic stem cell transplantation (HSCT). However, the optimal endoscopic approach is still unclear and the area of the GI tract with the highest diagnostic yield is still a topic of debate. Objective: We compared the diagnostic yield of different anatomic site biopsies in the diagnosis of GI GVHD and assessed the correlation of endoscopic findings with histopathology. Methods: All cases of biopsy proven GI GVHD were obtained from pathology database AUBMC between 1/1/2005 and 31/8/2017. We retrospectively analyzed the demographical, clinical and endoscopic data. Results: Nineteen patients were diagnosed with GI GVHD over 17.6 years. The most common presenting symptom was severe diarrhea (18 patients, 94.7%). Combining upper endoscopy and sigmoidoscopy with biopsies had the highest diagnostic yield of 90% in diagnosing GI GVHD compared to 63.6%, 78.6% and 77.8% for upper endoscopy, sigmoidoscopy and colonoscopy respectively. In macroscopically normal mucosa, the recto-sigmoid and duodenal biopsies had the highest diagnostic yield (75%). As for the macroscopically abnormal mucosa, the highest yield was for the recto-sigmoid biopsies (100%) in lower endoscopy and duodenal biopsies in the upper endoscopy (60%). Conclusion: In a patient suspected to have GI GVHD, the best endoscopic approach is the combination of upper endoscopy and flexible sigmoidoscopy with biopsies of normal as well as abnormal mucosa. It should be emphasized that normal mucosa be biopsied especially in the duodenum and recto-sigmoid for a better diagnostic yield.","author":[{"dropping-particle":"","family":"Daniel","given":"Fady","non-dropping-particle":"","parse-names":false,"suffix":""},{"dropping-particle":"","family":"Hassoun","given":"Lara","non-dropping-particle":"","parse-names":false,"suffix":""},{"dropping-particle":"","family":"Husni","given":"Mohammad","non-dropping-particle":"","parse-names":false,"suffix":""},{"dropping-particle":"","family":"Sharara","given":"Alaa","non-dropping-particle":"","parse-names":false,"suffix":""},{"dropping-particle":"","family":"Soweid","given":"Assad","non-dropping-particle":"","parse-names":false,"suffix":""},{"dropping-particle":"","family":"Barada","given":"Kassem","non-dropping-particle":"","parse-names":false,"suffix":""},{"dropping-particle":"","family":"Haffar","given":"Basel","non-dropping-particle":"","parse-names":false,"suffix":""},{"dropping-particle":"","family":"Massoud","given":"Radwan","non-dropping-particle":"","parse-names":false,"suffix":""},{"dropping-particle":"","family":"Shaib","given":"Yasser","non-dropping-particle":"","parse-names":false,"suffix":""},{"dropping-particle":"","family":"Al-Hashash","given":"Jana","non-dropping-particle":"","parse-names":false,"suffix":""},{"dropping-particle":"","family":"Bazarbachi","given":"Ali","non-dropping-particle":"","parse-names":false,"suffix":""},{"dropping-particle":"","family":"Cheikh","given":"Jean","non-dropping-particle":"El","parse-names":false,"suffix":""}],"container-title":"Current Research in Translational Medicine","id":"ITEM-3","issue":"1","issued":{"date-parts":[["2019"]]},"page":"16-19","title":"Site specific diagnostic yield of endoscopic biopsies in Gastrointestinal Graft-versus-Host Disease: A tertiary care Center experience","type":"article-journal","volume":"67"},"uris":["http://www.mendeley.com/documents/?uuid=e30a5508-0b70-4d53-8603-2c50902e20a3"]},{"id":"ITEM-4","itemData":{"DOI":"10.1038/sj.bmt.1705453","ISSN":"02683369","PMID":"16915225","abstract":"The best endoscopic diagnostic strategy for gastrointestinal (GI) graft-versus-host disease (GVHD) is unknown. Over a 48-month period, all patients with unexplained diarrhea at risk for acute gastrointestinal GVHD were prospectively identified. Acute GVHD was defined as symptoms and histologic evidence of GVHD occurring within 100 days of transplant or donor lymphocyte infusion (DLI). Colonoscopy was performed with multiple biopsies of the ileum, right colon and rectosigmoid colon. Next, upper endoscopy with duodenal and random gastric biopsies of both antrum and body were performed. All biopsies were evaluated for GVHD by an experienced GI pathologist. Over the study period, 24 patients (mean age 37 years; 62.5% male) were evaluated. The median time from transplantation or DLI was 30.5 days. The biopsy site with the highest yield was the distal colon (82%). A combination of upper endoscopy with sigmoidoscopy and colonoscopy with ileal biopsies were equivalent (</w:instrText>
      </w:r>
      <w:r w:rsidR="007B75F6" w:rsidRPr="00F26395">
        <w:rPr>
          <w:rFonts w:ascii="Cambria Math" w:hAnsi="Cambria Math" w:cs="Cambria Math"/>
        </w:rPr>
        <w:instrText>∼</w:instrText>
      </w:r>
      <w:r w:rsidR="007B75F6" w:rsidRPr="00F26395">
        <w:rPr>
          <w:rFonts w:ascii="Book Antiqua" w:hAnsi="Book Antiqua"/>
        </w:rPr>
        <w:instrText>94%). In patients with diarrhea at risk for GVHD, biopsies of the distal colon had the highest diagnostic yield suggesting the importance of sigmoidoscopy and biopsy. Colonoscopy and ileoscopy or flexible sigmoidoscopy plus upper endoscopy had the highest diagnostic yields. © 2006 Nature Publishing Group.","author":[{"dropping-particle":"","family":"Thompson","given":"B.","non-dropping-particle":"","parse-names":false,"suffix":""},{"dropping-particle":"","family":"Salzman","given":"D.","non-dropping-particle":"","parse-names":false,"suffix":""},{"dropping-particle":"","family":"Steinhauer","given":"J.","non-dropping-particle":"","parse-names":false,"suffix":""},{"dropping-particle":"","family":"Lazenby","given":"A. J.","non-dropping-particle":"","parse-names":false,"suffix":""},{"dropping-particle":"","family":"Wilcox","given":"C. M.","non-dropping-particle":"","parse-names":false,"suffix":""}],"container-title":"Bone Marrow Transplantation","id":"ITEM-4","issue":"5","issued":{"date-parts":[["2006"]]},"page":"371-376","title":"Prospective endoscopic evaluation for gastrointestinal graft-versus-host disease: Determination of the best diagnostic approach","type":"article-journal","volume":"38"},"uris":["http://www.mendeley.com/documents/?uuid=7d717307-252d-4d01-8312-1cd28a0dcab5"]}],"mendeley":{"formattedCitation":"&lt;sup&gt;[14,16–18]&lt;/sup&gt;","plainTextFormattedCitation":"[14,16–18]","previouslyFormattedCitation":"&lt;sup&gt;[12–14,22]&lt;/sup&gt;"},"properties":{"noteIndex":0},"schema":"https://github.com/citation-style-language/schema/raw/master/csl-citation.json"}</w:instrText>
      </w:r>
      <w:r w:rsidRPr="00F26395">
        <w:rPr>
          <w:rFonts w:ascii="Book Antiqua" w:hAnsi="Book Antiqua"/>
        </w:rPr>
        <w:fldChar w:fldCharType="separate"/>
      </w:r>
      <w:r w:rsidR="007B75F6" w:rsidRPr="00F26395">
        <w:rPr>
          <w:rFonts w:ascii="Book Antiqua" w:hAnsi="Book Antiqua"/>
          <w:noProof/>
          <w:vertAlign w:val="superscript"/>
        </w:rPr>
        <w:t>[14,16</w:t>
      </w:r>
      <w:r w:rsidR="009272B8" w:rsidRPr="00F26395">
        <w:rPr>
          <w:rFonts w:ascii="Book Antiqua" w:hAnsi="Book Antiqua"/>
          <w:noProof/>
          <w:vertAlign w:val="superscript"/>
        </w:rPr>
        <w:t>-</w:t>
      </w:r>
      <w:r w:rsidR="007B75F6" w:rsidRPr="00F26395">
        <w:rPr>
          <w:rFonts w:ascii="Book Antiqua" w:hAnsi="Book Antiqua"/>
          <w:noProof/>
          <w:vertAlign w:val="superscript"/>
        </w:rPr>
        <w:t>18]</w:t>
      </w:r>
      <w:r w:rsidRPr="00F26395">
        <w:rPr>
          <w:rFonts w:ascii="Book Antiqua" w:hAnsi="Book Antiqua"/>
        </w:rPr>
        <w:fldChar w:fldCharType="end"/>
      </w:r>
      <w:r w:rsidRPr="00F26395">
        <w:rPr>
          <w:rFonts w:ascii="Book Antiqua" w:hAnsi="Book Antiqua"/>
        </w:rPr>
        <w:t>. Thus, a biopsy approach targeted to the rectosigmoid colon may be ideal for patients who are not candidates for combined EGD with FS.</w:t>
      </w:r>
    </w:p>
    <w:p w14:paraId="0D433FAD" w14:textId="6A1C5ECC" w:rsidR="00A83A3E" w:rsidRPr="00F26395" w:rsidRDefault="00161EB0" w:rsidP="00F26395">
      <w:pPr>
        <w:spacing w:line="360" w:lineRule="auto"/>
        <w:ind w:firstLineChars="100" w:firstLine="240"/>
        <w:jc w:val="both"/>
        <w:rPr>
          <w:rFonts w:ascii="Book Antiqua" w:hAnsi="Book Antiqua"/>
        </w:rPr>
      </w:pPr>
      <w:r w:rsidRPr="00F26395">
        <w:rPr>
          <w:rFonts w:ascii="Book Antiqua" w:hAnsi="Book Antiqua"/>
        </w:rPr>
        <w:t xml:space="preserve">In addition, we hypothesized that macroscopic features observed on endoscopy may be suggestive of the presence and severity of </w:t>
      </w:r>
      <w:proofErr w:type="spellStart"/>
      <w:r w:rsidRPr="00F26395">
        <w:rPr>
          <w:rFonts w:ascii="Book Antiqua" w:hAnsi="Book Antiqua"/>
        </w:rPr>
        <w:t>aGVHD</w:t>
      </w:r>
      <w:proofErr w:type="spellEnd"/>
      <w:r w:rsidRPr="00F26395">
        <w:rPr>
          <w:rFonts w:ascii="Book Antiqua" w:hAnsi="Book Antiqua"/>
        </w:rPr>
        <w:t>, acknowledging inconsistent findings in the literature</w:t>
      </w:r>
      <w:r w:rsidR="009272B8" w:rsidRPr="00F26395">
        <w:rPr>
          <w:rFonts w:ascii="Book Antiqua" w:hAnsi="Book Antiqua"/>
        </w:rPr>
        <w:fldChar w:fldCharType="begin" w:fldLock="1"/>
      </w:r>
      <w:r w:rsidR="009272B8" w:rsidRPr="00F26395">
        <w:rPr>
          <w:rFonts w:ascii="Book Antiqua" w:hAnsi="Book Antiqua"/>
        </w:rPr>
        <w:instrText>ADDIN CSL_CITATION {"citationItems":[{"id":"ITEM-1","itemData":{"DOI":"10.3748/wjg.14.2262","ISSN":"10079327","PMID":"18407606","abstract":"Aim: To evaluate the diagnostic value of endoscopy in patients with gastrointestinal graft-versus-host disease (GI GVHD). Methods: We identified 8 patients with GI GVHD following allogeneic hematopoietic stem cell transplantation (HSCT). GVHD was defined histologically as the presence of gland apoptosis, not explained by other inflammatory or infectious etiologies. Results: The symptoms of GI GVHD included anorexia, nausea, vomiting, watery diarrhea, abdominal pain, GI bleeding, etc. Upper endoscopic appearance varied from subtle mucosal edema, hyperemia, erythema to obvious erosion. Colonoscopic examination showed diffuse edema, hyperemia, patchy erosion, scattered ulcer, sloughing and active bleeding. Histological changes in GI GVHD included apoptosis of crypt epithelial cells, dropout of crypts, and lymphocytic infiltration in epithelium and lamina propria. The involvement of stomach and rectocolon varied from diffuse to focal. Conclusion: Endoscopy may play a significant role in early diagnosis of GI GVHD patients following allogeneic HSCT, and histologic examination of gastrointestinal biopsies is needed to confirm the final diagnosis. © 2008 WJG. All rights reserved.","author":[{"dropping-particle":"","family":"Xu","given":"Chun Fang","non-dropping-particle":"","parse-names":false,"suffix":""},{"dropping-particle":"","family":"Zhu","given":"Lan Xiang","non-dropping-particle":"","parse-names":false,"suffix":""},{"dropping-particle":"","family":"Xu","given":"Xiao Ming","non-dropping-particle":"","parse-names":false,"suffix":""},{"dropping-particle":"","family":"Chen","given":"Wei Chang","non-dropping-particle":"","parse-names":false,"suffix":""},{"dropping-particle":"","family":"Wu","given":"De Pei","non-dropping-particle":"","parse-names":false,"suffix":""}],"container-title":"World Journal of Gastroenterology","id":"ITEM-1","issue":"14","issued":{"date-parts":[["2008","4","14"]]},"page":"2262-2267","publisher":"Baishideng Publishing Group Inc","title":"Endoscopic diagnosis of gastrointestinal graft-versus-host disease","type":"article-journal","volume":"14"},"uris":["http://www.mendeley.com/documents/?uuid=42eb169d-eeab-38f8-80cd-7af330f14998"]},{"id":"ITEM-2","itemData":{"DOI":"10.1155/2017/2145986","ISSN":"1687630X","PMID":"29230240","abstract":"Background and Aims. We retrospectively investigated the incidence of acute graft-versus-host disease (GVHD) in the lower gastrointestinal (GI) tract and the diagnostic accuracy of endoscopy. Methods. Of 1231 patients who underwent allogeneic hematopoietic stem cell transplantation between January 2005 and December 2014, 186 of whom underwent colonoscopy and biopsy and had no cytomegalovirus infection. The endoscopic findings and histologic diagnosis from these 186 patients were retrospectively analyzed. Results. Based on the histopathological findings, 171 patients were diagnosed with GVHD, accounting for 13.9% of all transplant recipients. Useful endoscopic findings for the diagnosis of GVHD were atrophy of the ileocecal valve and villous atrophy in the terminal ileum and tortoise shell-like mucosae, edema, and low vascular permeability in the colon. Even when no mucosal abnormality was observed, the incidence of GVHD was 78.9% in the terminal ileum and 75.0% in the colon. Furthermore, patients with mucosal exfoliation, although infrequent, were all diagnosed with grade 3/4 GVHD. Conclusions. It is important to perform endoscopy proactively for the early diagnosis of GVHD, and biopsy should be performed even when no abnormality is observed. In addition, because patients with mucosal exfoliation are extremely likely to have grade 3/4 GVHD, early treatment should be initiated.","author":[{"dropping-particle":"","family":"Nomura","given":"Kosuke","non-dropping-particle":"","parse-names":false,"suffix":""},{"dropping-particle":"","family":"Iizuka","given":"Toshiro","non-dropping-particle":"","parse-names":false,"suffix":""},{"dropping-particle":"","family":"Kaji","given":"Daisuke","non-dropping-particle":"","parse-names":false,"suffix":""},{"dropping-particle":"","family":"Yamamoto","given":"Hisashi","non-dropping-particle":"","parse-names":false,"suffix":""},{"dropping-particle":"","family":"Kuribayashi","given":"Yasutaka","non-dropping-particle":"","parse-names":false,"suffix":""},{"dropping-particle":"","family":"Tanaka","given":"Masami","non-dropping-particle":"","parse-names":false,"suffix":""},{"dropping-particle":"","family":"Furuhata","given":"Tsukasa","non-dropping-particle":"","parse-names":false,"suffix":""},{"dropping-particle":"","family":"Yamashita","given":"Satoshi","non-dropping-particle":"","parse-names":false,"suffix":""},{"dropping-particle":"","family":"Kikuchi","given":"Daisuke","non-dropping-particle":"","parse-names":false,"suffix":""},{"dropping-particle":"","family":"Matsui","given":"Akira","non-dropping-particle":"","parse-names":false,"suffix":""},{"dropping-particle":"","family":"Mitani","given":"Toshifumi","non-dropping-particle":"","parse-names":false,"suffix":""},{"dropping-particle":"","family":"Ota","given":"Yasunori","non-dropping-particle":"","parse-names":false,"suffix":""},{"dropping-particle":"","family":"Taniguchi","given":"Shuichi","non-dropping-particle":"","parse-names":false,"suffix":""},{"dropping-particle":"","family":"Hoteya","given":"Shu","non-dropping-particle":"","parse-names":false,"suffix":""}],"container-title":"Gastroenterology Research and Practice","id":"ITEM-2","issued":{"date-parts":[["2017"]]},"title":"Utility of Endoscopic examination in the diagnosis of acute graft-versus-host disease in the lower gastrointestinal tract","type":"article-journal","volume":"2017"},"uris":["http://www.mendeley.com/documents/?uuid=af6eb532-79e2-3443-81a1-67aad1021872"]},{"id":"ITEM-3","itemData":{"DOI":"10.1055/s-2002-34257","ISSN":"0013726X","PMID":"12244503","abstract":"Background and study aims: Graft-versus-host disease (GvHD) of the gastrointestinal tract is a major cause of morbidity and mortality after allogeneic bone marrow transplantation (BMT). Whether endoscopic findings predict the histologic diagnosis of GvHD in the gastrointestinal tract remains controversial. We performed a study to determine the diagnostic accuracy of macroscopic endoscopy findings in the diagnosis of acute and chronic histologically proven gastrointestinal GvHD (GI-GvHD). Patients and methods: Endoscopic images from the intestinal mucosa of post-BMT patients were blindly graded as positive or negative for GI-GvHD and compared with corresponding histological findings, which were used as the gold standard. Results: 44 BMT patients were referred for 96 endoscopic evaluations. Using 162 endoscopy-biopsy pairs, a positive association between endoscopic grading and histologic grading of GI-GvHD (odds ratio [OR]=11.97, 95% CI 3.86, 37.16) was observed. Endoscopic diagnosis correctly predicted histologic diagnosis in both acute and chronic GI-GvHD (OR = 9.3 vs. 23.1, P = 0.31). Conclusions: The diagnostic accuracy of endoscopy was high in both acute and chronic histologically proven GI-GvHD. Accurate diagnosis of GI-GvHD might be obtained with mucosal biopsies from either the upper or lower gastrointestinal tract. Endoscopy may play a significant role in establishing early diagnosis and treatment for GI-GvHD in patients following BMT, but histologic evaluation of the gastrointestinal mucosa is needed to confirm the final diagnosis.","author":[{"dropping-particle":"","family":"Cruz-Correa","given":"M.","non-dropping-particle":"","parse-names":false,"suffix":""},{"dropping-particle":"","family":"Poonawala","given":"A.","non-dropping-particle":"","parse-names":false,"suffix":""},{"dropping-particle":"","family":"Abraham","given":"S. C.","non-dropping-particle":"","parse-names":false,"suffix":""},{"dropping-particle":"","family":"Wu","given":"T. T.","non-dropping-particle":"","parse-names":false,"suffix":""},{"dropping-particle":"","family":"Zahurak","given":"M.","non-dropping-particle":"","parse-names":false,"suffix":""},{"dropping-particle":"","family":"Vogelsang","given":"G.","non-dropping-particle":"","parse-names":false,"suffix":""},{"dropping-particle":"","family":"Kalloo","given":"A. N.","non-dropping-particle":"","parse-names":false,"suffix":""},{"dropping-particle":"","family":"Lee","given":"L. A.","non-dropping-particle":"","parse-names":false,"suffix":""}],"container-title":"Endoscopy","id":"ITEM-3","issue":"10","issued":{"date-parts":[["2002"]]},"page":"808-813","title":"Endoscopic findings predict the histologic diagnosis in gastrointestinal graft-versus-host disease","type":"article-journal","volume":"34"},"uris":["http://www.mendeley.com/documents/?uuid=6d312c83-c896-4119-ac8e-cba9814864e8"]},{"id":"ITEM-4","itemData":{"DOI":"10.14309/00000434-200910003-01367","ISSN":"0002-9270","author":[{"dropping-particle":"","family":"Mendelsohn","given":"Robin","non-dropping-particle":"","parse-names":false,"suffix":""},{"dropping-particle":"","family":"Tang","given":"Laura","non-dropping-particle":"","parse-names":false,"suffix":""},{"dropping-particle":"","family":"Ludwig","given":"Emmy","non-dropping-particle":"","parse-names":false,"suffix":""}],"container-title":"American Journal of Gastroenterology","id":"ITEM-4","issued":{"date-parts":[["2009"]]},"page":"S511","title":"Does Endoscopic Impression Correlate with Histologic Findings when Making the Diagnosis of Gastrointestinal Graft versus Host Disease?","type":"article-journal","volume":"104"},"uris":["http://www.mendeley.com/documents/?uuid=af815506-4d11-48bf-b4e8-b7d1f73244c8"]},{"id":"ITEM-5","itemData":{"DOI":"10.1007/s10620-008-0262-6","ISSN":"01632116","PMID":"18401714","abstract":"The gastrointestinal (GI) tract is the major target site of the graft-versus-host disease (GVHD). Whether endoscopic findings can predict the histological diagnosis and degree of severity in GVHD remains controversial. We investigated the degree of correlation between endoscopic and histological findings, and evaluated the impact of endoscopic examination on clinical decision in GVHD management. This study was conducted as a retrospective single-center study. One hundred and one patients undergoing allogeneic hematopoietic stem cell transplantation (HSCT) and at the risk of GI GVHD were referred for endoscopic evaluation. Endoscopic images and histology were reviewed to diagnose and grade in a blind fashion, and the histological findings were used as the \"gold standard\" for diagnosis. Endoscopic findings revealed a significantly positive association with histological abnormalities of GVHD (odds ratio [OR] = 33.6, 95% CI 4.3-261.1), and the sensitivity and specificity were 98 and 44%, respectively. The kappa coefficient for agreement between the endoscopic and histological grading was 0.423 (p-value &lt; 0.001). Ten (18%) patients out of 57 histology-negative cases were managed successfully as GVHD on the endoscopic finding. Though the overall reliability of endoscopic diagnosis in GVHD is still insufficient in terms of sensitivity and specificity, high-grade cases such as grades 3 or 4 showed specific endoscopic findings to draw a significant agreement with histological findings. Endoscopic examination can give critical information and impose a pivotal impact on clinical decision when the histology is discordant with clinical presentation. © 2008 Springer Science+Business Media, LLC.","author":[{"dropping-particle":"","family":"Cheung","given":"Dae Young","non-dropping-particle":"","parse-names":false,"suffix":""},{"dropping-particle":"Il","family":"Kim","given":"Jin","non-dropping-particle":"","parse-names":false,"suffix":""},{"dropping-particle":"","family":"Kim","given":"Soon Sub","non-dropping-particle":"","parse-names":false,"suffix":""},{"dropping-particle":"","family":"Sung","given":"Hye Young","non-dropping-particle":"","parse-names":false,"suffix":""},{"dropping-particle":"","family":"Cho","given":"Se Hyun","non-dropping-particle":"","parse-names":false,"suffix":""},{"dropping-particle":"","family":"Park","given":"Soo Heon","non-dropping-particle":"","parse-names":false,"suffix":""},{"dropping-particle":"","family":"Han","given":"Joon Yeol","non-dropping-particle":"","parse-names":false,"suffix":""},{"dropping-particle":"","family":"Kim","given":"Jae Kwang","non-dropping-particle":"","parse-names":false,"suffix":""},{"dropping-particle":"","family":"Lee","given":"Jong Wook","non-dropping-particle":"","parse-names":false,"suffix":""},{"dropping-particle":"","family":"Min","given":"Woo Sung","non-dropping-particle":"","parse-names":false,"suffix":""},{"dropping-particle":"","family":"Park","given":"Gyeong Sin","non-dropping-particle":"","parse-names":false,"suffix":""},{"dropping-particle":"","family":"Kang","given":"Chang Suk","non-dropping-particle":"","parse-names":false,"suffix":""}],"container-title":"Digestive Diseases and Sciences","id":"ITEM-5","issue":"11","issued":{"date-parts":[["2008"]]},"page":"2947-2954","title":"Endoscopic evaluation in gastrointestinal graft-versus-host disease: Comparisons with histological findings","type":"article-journal","volume":"53"},"uris":["http://www.mendeley.com/documents/?uuid=c01fe40f-e6c0-4555-98f7-6c85ff75d1b2"]}],"mendeley":{"formattedCitation":"&lt;sup&gt;[3,9,12,13,20]&lt;/sup&gt;","plainTextFormattedCitation":"[3,9,12,13,20]","previouslyFormattedCitation":"&lt;sup&gt;[3,9,16,20,21]&lt;/sup&gt;"},"properties":{"noteIndex":0},"schema":"https://github.com/citation-style-language/schema/raw/master/csl-citation.json"}</w:instrText>
      </w:r>
      <w:r w:rsidR="009272B8" w:rsidRPr="00F26395">
        <w:rPr>
          <w:rFonts w:ascii="Book Antiqua" w:hAnsi="Book Antiqua"/>
        </w:rPr>
        <w:fldChar w:fldCharType="separate"/>
      </w:r>
      <w:r w:rsidR="009272B8" w:rsidRPr="00F26395">
        <w:rPr>
          <w:rFonts w:ascii="Book Antiqua" w:hAnsi="Book Antiqua"/>
          <w:noProof/>
          <w:vertAlign w:val="superscript"/>
        </w:rPr>
        <w:t>[3,9,12,13,20]</w:t>
      </w:r>
      <w:r w:rsidR="009272B8" w:rsidRPr="00F26395">
        <w:rPr>
          <w:rFonts w:ascii="Book Antiqua" w:hAnsi="Book Antiqua"/>
        </w:rPr>
        <w:fldChar w:fldCharType="end"/>
      </w:r>
      <w:r w:rsidR="00C6306C" w:rsidRPr="00F26395">
        <w:rPr>
          <w:rFonts w:ascii="Book Antiqua" w:hAnsi="Book Antiqua"/>
        </w:rPr>
        <w:t xml:space="preserve">. </w:t>
      </w:r>
      <w:r w:rsidRPr="00F26395">
        <w:rPr>
          <w:rFonts w:ascii="Book Antiqua" w:hAnsi="Book Antiqua"/>
        </w:rPr>
        <w:t xml:space="preserve">We found that endoscopic evidence of inflammation was generally as specific as normal mucosa for the presence of </w:t>
      </w:r>
      <w:proofErr w:type="spellStart"/>
      <w:r w:rsidRPr="00F26395">
        <w:rPr>
          <w:rFonts w:ascii="Book Antiqua" w:hAnsi="Book Antiqua"/>
        </w:rPr>
        <w:t>aGVHD</w:t>
      </w:r>
      <w:proofErr w:type="spellEnd"/>
      <w:r w:rsidRPr="00F26395">
        <w:rPr>
          <w:rFonts w:ascii="Book Antiqua" w:hAnsi="Book Antiqua"/>
        </w:rPr>
        <w:t xml:space="preserve">, however histological examination of inflamed mucosa more frequently revealed moderate to severe </w:t>
      </w:r>
      <w:proofErr w:type="spellStart"/>
      <w:r w:rsidRPr="00F26395">
        <w:rPr>
          <w:rFonts w:ascii="Book Antiqua" w:hAnsi="Book Antiqua"/>
        </w:rPr>
        <w:t>aGVHD</w:t>
      </w:r>
      <w:proofErr w:type="spellEnd"/>
      <w:r w:rsidRPr="00F26395">
        <w:rPr>
          <w:rFonts w:ascii="Book Antiqua" w:hAnsi="Book Antiqua"/>
        </w:rPr>
        <w:t xml:space="preserve">. Normal appearing mucosa with </w:t>
      </w:r>
      <w:proofErr w:type="spellStart"/>
      <w:r w:rsidRPr="00F26395">
        <w:rPr>
          <w:rFonts w:ascii="Book Antiqua" w:hAnsi="Book Antiqua"/>
        </w:rPr>
        <w:t>aGVHD</w:t>
      </w:r>
      <w:proofErr w:type="spellEnd"/>
      <w:r w:rsidRPr="00F26395">
        <w:rPr>
          <w:rFonts w:ascii="Book Antiqua" w:hAnsi="Book Antiqua"/>
        </w:rPr>
        <w:t xml:space="preserve"> was typically mild with only one case of moderate grade findings. Our results thus confirm the clinical practice of performing biopsies of normal appearing mucosa (covering multiple segments of the GI </w:t>
      </w:r>
      <w:r w:rsidRPr="00F26395">
        <w:rPr>
          <w:rFonts w:ascii="Book Antiqua" w:hAnsi="Book Antiqua"/>
        </w:rPr>
        <w:lastRenderedPageBreak/>
        <w:t xml:space="preserve">tract) to evaluate for histological evidence of </w:t>
      </w:r>
      <w:proofErr w:type="spellStart"/>
      <w:r w:rsidRPr="00F26395">
        <w:rPr>
          <w:rFonts w:ascii="Book Antiqua" w:hAnsi="Book Antiqua"/>
        </w:rPr>
        <w:t>aGVHD</w:t>
      </w:r>
      <w:proofErr w:type="spellEnd"/>
      <w:r w:rsidRPr="00F26395">
        <w:rPr>
          <w:rFonts w:ascii="Book Antiqua" w:hAnsi="Book Antiqua"/>
        </w:rPr>
        <w:t xml:space="preserve">. Abnormal mucosa should be biopsied to evaluate for actual histological grade of </w:t>
      </w:r>
      <w:proofErr w:type="spellStart"/>
      <w:r w:rsidRPr="00F26395">
        <w:rPr>
          <w:rFonts w:ascii="Book Antiqua" w:hAnsi="Book Antiqua"/>
        </w:rPr>
        <w:t>aGVHD</w:t>
      </w:r>
      <w:proofErr w:type="spellEnd"/>
      <w:r w:rsidRPr="00F26395">
        <w:rPr>
          <w:rFonts w:ascii="Book Antiqua" w:hAnsi="Book Antiqua"/>
        </w:rPr>
        <w:t>.</w:t>
      </w:r>
    </w:p>
    <w:p w14:paraId="460E035B" w14:textId="483EB0F3" w:rsidR="00A83A3E" w:rsidRPr="00F26395" w:rsidRDefault="00161EB0" w:rsidP="00F26395">
      <w:pPr>
        <w:spacing w:line="360" w:lineRule="auto"/>
        <w:ind w:firstLineChars="100" w:firstLine="240"/>
        <w:jc w:val="both"/>
        <w:rPr>
          <w:rFonts w:ascii="Book Antiqua" w:hAnsi="Book Antiqua"/>
        </w:rPr>
      </w:pPr>
      <w:r w:rsidRPr="00F26395">
        <w:rPr>
          <w:rFonts w:ascii="Book Antiqua" w:hAnsi="Book Antiqua"/>
        </w:rPr>
        <w:t xml:space="preserve">The safety of endoscopic evaluation for </w:t>
      </w:r>
      <w:proofErr w:type="spellStart"/>
      <w:r w:rsidRPr="00F26395">
        <w:rPr>
          <w:rFonts w:ascii="Book Antiqua" w:hAnsi="Book Antiqua"/>
        </w:rPr>
        <w:t>aGVHD</w:t>
      </w:r>
      <w:proofErr w:type="spellEnd"/>
      <w:r w:rsidRPr="00F26395">
        <w:rPr>
          <w:rFonts w:ascii="Book Antiqua" w:hAnsi="Book Antiqua"/>
        </w:rPr>
        <w:t xml:space="preserve"> in HSCT patients continues to be an ongoing concern, given this population may be at increased risk for bleeding and infection. In our study, adverse events were relatively rare, complicating only 2.1% of all endoscopies. Further, none of the endoscopies that required hemostasis for intra-endoscopic bleeding had subsequent uncontrolled bleeding. Similarly low complication rates have been reported in the literature, including two studies of adult cancer patients with thrombocytopenia and neutropenia which found post-endoscopic complication rates of less than 5%</w:t>
      </w:r>
      <w:r w:rsidR="009272B8" w:rsidRPr="00F26395">
        <w:rPr>
          <w:rFonts w:ascii="Book Antiqua" w:hAnsi="Book Antiqua"/>
        </w:rPr>
        <w:fldChar w:fldCharType="begin" w:fldLock="1"/>
      </w:r>
      <w:r w:rsidR="009272B8" w:rsidRPr="00F26395">
        <w:rPr>
          <w:rFonts w:ascii="Book Antiqua" w:hAnsi="Book Antiqua"/>
        </w:rPr>
        <w:instrText>ADDIN CSL_CITATION {"citationItems":[{"id":"ITEM-1","itemData":{"DOI":"10.1016/j.gie.2018.12.004","ISSN":"10976779","PMID":"30550744","abstract":"Background and Aims: Cancer patients are prone to thrombocytopenia and neutropenia, which increase the risk of bleeding and infection. We assessed the safety of endoscopic procedures in cancer patients with thrombocytopenia and/or neutropenia. Methods: We studied consecutive cancer patients with thrombocytopenia and/or neutropenia who underwent endoscopic procedures from 2010 through 2015. Neutropenia was defined as an absolute neutrophil count (ANC) &lt;1000 cells/μL, and thrombocytopenia as a platelet count &lt;100 × 10 3 /μL. Univariate and multivariate generalized estimating equation models were used to assess factors associated with risk of adverse events (AEs) or death. Results: We identified 588 patients who underwent 783 procedures; 608 procedures were performed in the setting of thrombocytopenia and 675 procedures in the setting of neutropenia. Concurrent neutropenia and thrombocytopenia were recorded in 500 endoscopies. Twenty-four patients (4.1%) experienced infectious AEs, whereas 29 (4.9%) experienced bleeding AEs within 1 week of the procedure. On multivariate analysis, platelet count ≤50 × 10 3 /μL was associated with risk of bleeding AEs. In contrast, poor performance status was associated with increased risk of infection AEs (P &lt;.01). No association was observed between low ANC and infectious AEs. Poor performance status (P &lt;.01) and platelet count ≤100 × 10 3 /μL (P &lt;.05) were associated with increased risk of 30-day mortality. A persistent platelet count &lt;20 × 10 3 /μL after the procedure, with a baseline platelet count of ≤20 × 10 3 /μL before the procedure, was associated with significant risk of bleeding AEs compared with a platelet count &gt;20 × 10 3 /μL after the procedure (P &lt;.01); furthermore, if the platelet count increased to &gt;50 × 10 3 /μL after the procedure, the bleeding risk after the procedure was greatly reduced (P &lt;.01). Conclusions: Endoscopic procedures are relatively safe in cancer patients with platelet count &gt;50 × 10 3 /μL. Nevertheless, a platelet count of ≥20 × 10 3 /μL could be an appropriate threshold for platelet transfusion if 50 × 10 3 /μL is difficult to achieve. The functional status of the patient, in the absence of the need for urgent or necessary endoscopic interventions, should be considered when deciding whether to perform endoscopy. The risk of procedure and the ANC did not seem to affect the outcomes.","author":[{"dropping-particle":"","family":"Abu-Sbeih","given":"Hamzah","non-dropping-particle":"","parse-names":false,"suffix":""},{"dropping-particle":"","family":"Ali","given":"Faisal Shaukat","non-dropping-particle":"","parse-names":false,"suffix":""},{"dropping-particle":"","family":"Coronel","given":"Emmanuel","non-dropping-particle":"","parse-names":false,"suffix":""},{"dropping-particle":"","family":"Chen","given":"Hsiang Chun","non-dropping-particle":"","parse-names":false,"suffix":""},{"dropping-particle":"","family":"Wang","given":"Xuemei","non-dropping-particle":"","parse-names":false,"suffix":""},{"dropping-particle":"","family":"Lum","given":"Phillip","non-dropping-particle":"","parse-names":false,"suffix":""},{"dropping-particle":"","family":"Shuttlesworth","given":"Gladis","non-dropping-particle":"","parse-names":false,"suffix":""},{"dropping-particle":"","family":"Bhutani","given":"Manoop S.","non-dropping-particle":"","parse-names":false,"suffix":""},{"dropping-particle":"","family":"Raju","given":"Gottumukkala S.","non-dropping-particle":"","parse-names":false,"suffix":""},{"dropping-particle":"","family":"Lee","given":"Jeffrey H.","non-dropping-particle":"","parse-names":false,"suffix":""},{"dropping-particle":"","family":"Stroehlein","given":"John R.","non-dropping-particle":"","parse-names":false,"suffix":""},{"dropping-particle":"","family":"Ross","given":"William A.","non-dropping-particle":"","parse-names":false,"suffix":""},{"dropping-particle":"","family":"Wang","given":"Yinghong","non-dropping-particle":"","parse-names":false,"suffix":""}],"container-title":"Gastrointestinal Endoscopy","id":"ITEM-1","issue":"5","issued":{"date-parts":[["2019"]]},"page":"937-949.e2","title":"Safety of endoscopy in cancer patients with thrombocytopenia and neutropenia","type":"article-journal","volume":"89"},"uris":["http://www.mendeley.com/documents/?uuid=3bf8fbfd-63a9-45a4-aba9-f985b13b6ea3"]},{"id":"ITEM-2","itemData":{"DOI":"10.1016/j.gie.2014.02.023","ISSN":"10976779","PMID":"24721520","abstract":"Background The risk of endoscopic interventions in thrombocytopenia has received little attention in the medical literature. Objective The aim of this study was to assess the safety of endoscopic interventions including evaluation of GI bleeding (GIB) in patients with thrombocytopenia. Design and Setting Retrospective study, tertiary oncology center. Patients and Intervention Review of consecutive endoscopies with preprocedure platelet counts (PCs) of 75 × 103/μL or lower. Main Outcome Measurements Risk of bleeding with routine endoscopic interventions and transfusion requirement after evaluation of GIB. Results A total of 617 (351 upper, 266 lower [90 colonoscopies]) endoscopies were performed in 395 patients. Forceps-biopsy specimens were obtained in 398 endoscopies (mean ± standard deviation [SD] PC: 38.21 ± 11.7 × 103/μL) and 45 polypectomies were performed in 17 endoscopies (mean ± SD PC: 39.65 ± 8.53 × 10 3/μL). The risk of bleeding was 1.5% (6 of 398 endoscopies) at the biopsy site and 4% (2 of 45 polypectomies) at the polypectomy site. Active GIB (mean ± SD PC: 32.85 ± 4.0 × 103/μL) was observed in 68 (11% of 617) endoscopies and intervention (mean ± SD PC: 33.68 ± 4.6 × 103/μL) was performed in 41 procedures. Together, angiodysplasias and ulcers were the most common etiology (51.2% of 41). Hemostasis was achieved in 39 (95.1% of 41) procedures. Comparison of blood transfusions ± 3 days of successful therapy showed a 52% reduction (P &lt;.001). By multivariate analysis, a higher aggregate blood transfusion 3 days preceding endoscopy (odds ratio 1.32; 95% confidence interval, 1.16-1.50; P &lt;.001) predicted endoscopic findings of active GIB. Limitations Retrospective design, single center. Conclusions In the largest endoscopic experience reported in thrombocytopenic patients (Common Terminology Criteria for Adverse Events grade 3 or lower), bleeding caused by standard forceps biopsy and polypectomy (≤10 mm) was minor and easily controlled. Endoscopic therapy for GIB is safe and significantly reduces the packed red blood cell requirement and should be considered in patients with thrombocytopenia in the setting of an appropriate transfusion strategy. © 2014 by the American Society for Gastrointestinal Endoscopy.","author":[{"dropping-particle":"","family":"Krishna","given":"Somashekar G.","non-dropping-particle":"","parse-names":false,"suffix":""},{"dropping-particle":"","family":"Rao","given":"Bhavana B.","non-dropping-particle":"","parse-names":false,"suffix":""},{"dropping-particle":"","family":"Thirumurthi","given":"Selvi","non-dropping-particle":"","parse-names":false,"suffix":""},{"dropping-particle":"","family":"Lee","given":"Jeffrey H.","non-dropping-particle":"","parse-names":false,"suffix":""},{"dropping-particle":"","family":"Ramireddy","given":"Srinivas","non-dropping-particle":"","parse-names":false,"suffix":""},{"dropping-particle":"","family":"Guindani","given":"Michele","non-dropping-particle":"","parse-names":false,"suffix":""},{"dropping-particle":"","family":"Ross","given":"William A.","non-dropping-particle":"","parse-names":false,"suffix":""}],"container-title":"Gastrointestinal Endoscopy","id":"ITEM-2","issue":"3","issued":{"date-parts":[["2014"]]},"page":"425-434","title":"Safety of endoscopic interventions in patients with thrombocytopenia","type":"article-journal","volume":"80"},"uris":["http://www.mendeley.com/documents/?uuid=21b671cd-eac5-484a-817f-2b0810d3820e"]}],"mendeley":{"formattedCitation":"&lt;sup&gt;[28,29]&lt;/sup&gt;","plainTextFormattedCitation":"[28,29]","previouslyFormattedCitation":"&lt;sup&gt;[28,29]&lt;/sup&gt;"},"properties":{"noteIndex":0},"schema":"https://github.com/citation-style-language/schema/raw/master/csl-citation.json"}</w:instrText>
      </w:r>
      <w:r w:rsidR="009272B8" w:rsidRPr="00F26395">
        <w:rPr>
          <w:rFonts w:ascii="Book Antiqua" w:hAnsi="Book Antiqua"/>
        </w:rPr>
        <w:fldChar w:fldCharType="separate"/>
      </w:r>
      <w:r w:rsidR="009272B8" w:rsidRPr="00F26395">
        <w:rPr>
          <w:rFonts w:ascii="Book Antiqua" w:hAnsi="Book Antiqua"/>
          <w:noProof/>
          <w:vertAlign w:val="superscript"/>
        </w:rPr>
        <w:t>[28,29]</w:t>
      </w:r>
      <w:r w:rsidR="009272B8" w:rsidRPr="00F26395">
        <w:rPr>
          <w:rFonts w:ascii="Book Antiqua" w:hAnsi="Book Antiqua"/>
        </w:rPr>
        <w:fldChar w:fldCharType="end"/>
      </w:r>
      <w:r w:rsidR="00584C96" w:rsidRPr="00F26395">
        <w:rPr>
          <w:rFonts w:ascii="Book Antiqua" w:hAnsi="Book Antiqua"/>
        </w:rPr>
        <w:t>.</w:t>
      </w:r>
      <w:r w:rsidRPr="00F26395">
        <w:rPr>
          <w:rFonts w:ascii="Book Antiqua" w:hAnsi="Book Antiqua"/>
        </w:rPr>
        <w:t xml:space="preserve"> Additionally, we found no significant differences in adverse events when comparing the thrombocytopenic and non-thrombocytopenic groups and the neutropenic and non-neutropenic groups. These findings suggest that endoscopic evaluation for </w:t>
      </w:r>
      <w:proofErr w:type="spellStart"/>
      <w:r w:rsidRPr="00F26395">
        <w:rPr>
          <w:rFonts w:ascii="Book Antiqua" w:hAnsi="Book Antiqua"/>
        </w:rPr>
        <w:t>aGVHD</w:t>
      </w:r>
      <w:proofErr w:type="spellEnd"/>
      <w:r w:rsidRPr="00F26395">
        <w:rPr>
          <w:rFonts w:ascii="Book Antiqua" w:hAnsi="Book Antiqua"/>
        </w:rPr>
        <w:t xml:space="preserve"> in this vulnerable population may be safe regardless of pre-procedure platelet and neutrophil count, challenging the need for thresholds set in place by endoscopy societies. Taken together with the findings of recent papers</w:t>
      </w:r>
      <w:r w:rsidRPr="00F26395">
        <w:rPr>
          <w:rFonts w:ascii="Book Antiqua" w:hAnsi="Book Antiqua"/>
        </w:rPr>
        <w:fldChar w:fldCharType="begin" w:fldLock="1"/>
      </w:r>
      <w:r w:rsidR="007B75F6" w:rsidRPr="00F26395">
        <w:rPr>
          <w:rFonts w:ascii="Book Antiqua" w:hAnsi="Book Antiqua"/>
        </w:rPr>
        <w:instrText>ADDIN CSL_CITATION {"citationItems":[{"id":"ITEM-1","itemData":{"DOI":"10.1016/j.gie.2014.02.023","ISSN":"10976779","PMID":"24721520","abstract":"Background The risk of endoscopic interventions in thrombocytopenia has received little attention in the medical literature. Objective The aim of this study was to assess the safety of endoscopic interventions including evaluation of GI bleeding (GIB) in patients with thrombocytopenia. Design and Setting Retrospective study, tertiary oncology center. Patients and Intervention Review of consecutive endoscopies with preprocedure platelet counts (PCs) of 75 × 103/μL or lower. Main Outcome Measurements Risk of bleeding with routine endoscopic interventions and transfusion requirement after evaluation of GIB. Results A total of 617 (351 upper, 266 lower [90 colonoscopies]) endoscopies were performed in 395 patients. Forceps-biopsy specimens were obtained in 398 endoscopies (mean ± standard deviation [SD] PC: 38.21 ± 11.7 × 103/μL) and 45 polypectomies were performed in 17 endoscopies (mean ± SD PC: 39.65 ± 8.53 × 10 3/μL). The risk of bleeding was 1.5% (6 of 398 endoscopies) at the biopsy site and 4% (2 of 45 polypectomies) at the polypectomy site. Active GIB (mean ± SD PC: 32.85 ± 4.0 × 103/μL) was observed in 68 (11% of 617) endoscopies and intervention (mean ± SD PC: 33.68 ± 4.6 × 103/μL) was performed in 41 procedures. Together, angiodysplasias and ulcers were the most common etiology (51.2% of 41). Hemostasis was achieved in 39 (95.1% of 41) procedures. Comparison of blood transfusions ± 3 days of successful therapy showed a 52% reduction (P &lt;.001). By multivariate analysis, a higher aggregate blood transfusion 3 days preceding endoscopy (odds ratio 1.32; 95% confidence interval, 1.16-1.50; P &lt;.001) predicted endoscopic findings of active GIB. Limitations Retrospective design, single center. Conclusions In the largest endoscopic experience reported in thrombocytopenic patients (Common Terminology Criteria for Adverse Events grade 3 or lower), bleeding caused by standard forceps biopsy and polypectomy (≤10 mm) was minor and easily controlled. Endoscopic therapy for GIB is safe and significantly reduces the packed red blood cell requirement and should be considered in patients with thrombocytopenia in the setting of an appropriate transfusion strategy. © 2014 by the American Society for Gastrointestinal Endoscopy.","author":[{"dropping-particle":"","family":"Krishna","given":"Somashekar G.","non-dropping-particle":"","parse-names":false,"suffix":""},{"dropping-particle":"","family":"Rao","given":"Bhavana B.","non-dropping-particle":"","parse-names":false,"suffix":""},{"dropping-particle":"","family":"Thirumurthi","given":"Selvi","non-dropping-particle":"","parse-names":false,"suffix":""},{"dropping-particle":"","family":"Lee","given":"Jeffrey H.","non-dropping-particle":"","parse-names":false,"suffix":""},{"dropping-particle":"","family":"Ramireddy","given":"Srinivas","non-dropping-particle":"","parse-names":false,"suffix":""},{"dropping-particle":"","family":"Guindani","given":"Michele","non-dropping-particle":"","parse-names":false,"suffix":""},{"dropping-particle":"","family":"Ross","given":"William A.","non-dropping-particle":"","parse-names":false,"suffix":""}],"container-title":"Gastrointestinal Endoscopy","id":"ITEM-1","issue":"3","issued":{"date-parts":[["2014"]]},"page":"425-434","title":"Safety of endoscopic interventions in patients with thrombocytopenia","type":"article-journal","volume":"80"},"uris":["http://www.mendeley.com/documents/?uuid=21b671cd-eac5-484a-817f-2b0810d3820e"]},{"id":"ITEM-2","itemData":{"DOI":"10.1016/j.gie.2018.12.004","ISSN":"10976779","PMID":"30550744","abstract":"Background and Aims: Cancer patients are prone to thrombocytopenia and neutropenia, which increase the risk of bleeding and infection. We assessed the safety of endoscopic procedures in cancer patients with thrombocytopenia and/or neutropenia. Methods: We studied consecutive cancer patients with thrombocytopenia and/or neutropenia who underwent endoscopic procedures from 2010 through 2015. Neutropenia was defined as an absolute neutrophil count (ANC) &lt;1000 cells/μL, and thrombocytopenia as a platelet count &lt;100 × 10 3 /μL. Univariate and multivariate generalized estimating equation models were used to assess factors associated with risk of adverse events (AEs) or death. Results: We identified 588 patients who underwent 783 procedures; 608 procedures were performed in the setting of thrombocytopenia and 675 procedures in the setting of neutropenia. Concurrent neutropenia and thrombocytopenia were recorded in 500 endoscopies. Twenty-four patients (4.1%) experienced infectious AEs, whereas 29 (4.9%) experienced bleeding AEs within 1 week of the procedure. On multivariate analysis, platelet count ≤50 × 10 3 /μL was associated with risk of bleeding AEs. In contrast, poor performance status was associated with increased risk of infection AEs (P &lt;.01). No association was observed between low ANC and infectious AEs. Poor performance status (P &lt;.01) and platelet count ≤100 × 10 3 /μL (P &lt;.05) were associated with increased risk of 30-day mortality. A persistent platelet count &lt;20 × 10 3 /μL after the procedure, with a baseline platelet count of ≤20 × 10 3 /μL before the procedure, was associated with significant risk of bleeding AEs compared with a platelet count &gt;20 × 10 3 /μL after the procedure (P &lt;.01); furthermore, if the platelet count increased to &gt;50 × 10 3 /μL after the procedure, the bleeding risk after the procedure was greatly reduced (P &lt;.01). Conclusions: Endoscopic procedures are relatively safe in cancer patients with platelet count &gt;50 × 10 3 /μL. Nevertheless, a platelet count of ≥20 × 10 3 /μL could be an appropriate threshold for platelet transfusion if 50 × 10 3 /μL is difficult to achieve. The functional status of the patient, in the absence of the need for urgent or necessary endoscopic interventions, should be considered when deciding whether to perform endoscopy. The risk of procedure and the ANC did not seem to affect the outcomes.","author":[{"dropping-particle":"","family":"Abu-Sbeih","given":"Hamzah","non-dropping-particle":"","parse-names":false,"suffix":""},{"dropping-particle":"","family":"Ali","given":"Faisal Shaukat","non-dropping-particle":"","parse-names":false,"suffix":""},{"dropping-particle":"","family":"Coronel","given":"Emmanuel","non-dropping-particle":"","parse-names":false,"suffix":""},{"dropping-particle":"","family":"Chen","given":"Hsiang Chun","non-dropping-particle":"","parse-names":false,"suffix":""},{"dropping-particle":"","family":"Wang","given":"Xuemei","non-dropping-particle":"","parse-names":false,"suffix":""},{"dropping-particle":"","family":"Lum","given":"Phillip","non-dropping-particle":"","parse-names":false,"suffix":""},{"dropping-particle":"","family":"Shuttlesworth","given":"Gladis","non-dropping-particle":"","parse-names":false,"suffix":""},{"dropping-particle":"","family":"Bhutani","given":"Manoop S.","non-dropping-particle":"","parse-names":false,"suffix":""},{"dropping-particle":"","family":"Raju","given":"Gottumukkala S.","non-dropping-particle":"","parse-names":false,"suffix":""},{"dropping-particle":"","family":"Lee","given":"Jeffrey H.","non-dropping-particle":"","parse-names":false,"suffix":""},{"dropping-particle":"","family":"Stroehlein","given":"John R.","non-dropping-particle":"","parse-names":false,"suffix":""},{"dropping-particle":"","family":"Ross","given":"William A.","non-dropping-particle":"","parse-names":false,"suffix":""},{"dropping-particle":"","family":"Wang","given":"Yinghong","non-dropping-particle":"","parse-names":false,"suffix":""}],"container-title":"Gastrointestinal Endoscopy","id":"ITEM-2","issue":"5","issued":{"date-parts":[["2019"]]},"page":"937-949.e2","title":"Safety of endoscopy in cancer patients with thrombocytopenia and neutropenia","type":"article-journal","volume":"89"},"uris":["http://www.mendeley.com/documents/?uuid=3bf8fbfd-63a9-45a4-aba9-f985b13b6ea3"]}],"mendeley":{"formattedCitation":"&lt;sup&gt;[28,29]&lt;/sup&gt;","plainTextFormattedCitation":"[28,29]","previouslyFormattedCitation":"&lt;sup&gt;[28,29]&lt;/sup&gt;"},"properties":{"noteIndex":0},"schema":"https://github.com/citation-style-language/schema/raw/master/csl-citation.json"}</w:instrText>
      </w:r>
      <w:r w:rsidRPr="00F26395">
        <w:rPr>
          <w:rFonts w:ascii="Book Antiqua" w:hAnsi="Book Antiqua"/>
        </w:rPr>
        <w:fldChar w:fldCharType="separate"/>
      </w:r>
      <w:r w:rsidRPr="00F26395">
        <w:rPr>
          <w:rFonts w:ascii="Book Antiqua" w:hAnsi="Book Antiqua"/>
          <w:noProof/>
          <w:vertAlign w:val="superscript"/>
        </w:rPr>
        <w:t>[28,29]</w:t>
      </w:r>
      <w:r w:rsidRPr="00F26395">
        <w:rPr>
          <w:rFonts w:ascii="Book Antiqua" w:hAnsi="Book Antiqua"/>
        </w:rPr>
        <w:fldChar w:fldCharType="end"/>
      </w:r>
      <w:r w:rsidRPr="00F26395">
        <w:rPr>
          <w:rFonts w:ascii="Book Antiqua" w:hAnsi="Book Antiqua"/>
        </w:rPr>
        <w:t>, a prospective, controlled study evaluating platelet and neutrophil thresholds for endoscopy should be conducted to potentially limit transfusions and aid in antibiotic and neutrophil-stimulation pharmacological stewardship efforts.</w:t>
      </w:r>
    </w:p>
    <w:p w14:paraId="623DED33" w14:textId="67EE8FC2" w:rsidR="00161EB0" w:rsidRPr="00F26395" w:rsidRDefault="00161EB0" w:rsidP="00F26395">
      <w:pPr>
        <w:spacing w:line="360" w:lineRule="auto"/>
        <w:ind w:firstLineChars="100" w:firstLine="240"/>
        <w:jc w:val="both"/>
        <w:rPr>
          <w:rFonts w:ascii="Book Antiqua" w:hAnsi="Book Antiqua"/>
        </w:rPr>
      </w:pPr>
      <w:r w:rsidRPr="00F26395">
        <w:rPr>
          <w:rFonts w:ascii="Book Antiqua" w:hAnsi="Book Antiqua"/>
        </w:rPr>
        <w:t xml:space="preserve">Our study had several limitations. Given the retrospective nature, there may have been confounding by indication accounting for the findings of high yield of FS alone or EGD alone across different symptoms. However, by review of the entire medical record to capture all symptoms, we limited the potential for this bias. Selection bias is also possible since all patients underwent endoscopic evaluation with biopsy, though this was the intent of our study. Our study lacked power for statistical comparisons given the low rate of adverse events – while this impaired our ability to perform multiple logistic regression and limited us to use of Fisher’s exact </w:t>
      </w:r>
      <w:r w:rsidRPr="00F26395">
        <w:rPr>
          <w:rStyle w:val="apple-tab-span"/>
          <w:rFonts w:ascii="Book Antiqua" w:hAnsi="Book Antiqua"/>
          <w:color w:val="000000"/>
        </w:rPr>
        <w:t>test</w:t>
      </w:r>
      <w:r w:rsidRPr="00F26395">
        <w:rPr>
          <w:rFonts w:ascii="Book Antiqua" w:hAnsi="Book Antiqua"/>
        </w:rPr>
        <w:t>, we believe the absolute incidence of these events have meaning and can be interpreted clinically and used as part of the risk/benefit calculations in post-HSCT patients referred for endoscopy. We believe that by reporting the largest endoscopic data in this patient population, our results add to the literature on the topic.</w:t>
      </w:r>
    </w:p>
    <w:p w14:paraId="2A3F0EE9" w14:textId="77777777" w:rsidR="009272B8" w:rsidRPr="00F26395" w:rsidRDefault="009272B8" w:rsidP="00F26395">
      <w:pPr>
        <w:spacing w:line="360" w:lineRule="auto"/>
        <w:jc w:val="both"/>
        <w:rPr>
          <w:rFonts w:ascii="Book Antiqua" w:hAnsi="Book Antiqua"/>
        </w:rPr>
      </w:pPr>
    </w:p>
    <w:p w14:paraId="40B8DFE5" w14:textId="77777777" w:rsidR="009272B8" w:rsidRPr="00F26395" w:rsidRDefault="009272B8" w:rsidP="00F26395">
      <w:pPr>
        <w:spacing w:line="360" w:lineRule="auto"/>
        <w:jc w:val="both"/>
        <w:rPr>
          <w:rFonts w:ascii="Book Antiqua" w:hAnsi="Book Antiqua"/>
        </w:rPr>
      </w:pPr>
      <w:r w:rsidRPr="00F26395">
        <w:rPr>
          <w:rFonts w:ascii="Book Antiqua" w:eastAsia="Book Antiqua" w:hAnsi="Book Antiqua" w:cs="Book Antiqua"/>
          <w:b/>
          <w:caps/>
          <w:color w:val="000000"/>
          <w:u w:val="single"/>
        </w:rPr>
        <w:t>CONCLUSION</w:t>
      </w:r>
    </w:p>
    <w:p w14:paraId="0F722C9C" w14:textId="77777777" w:rsidR="009272B8" w:rsidRPr="00F26395" w:rsidRDefault="009272B8" w:rsidP="00F26395">
      <w:pPr>
        <w:spacing w:line="360" w:lineRule="auto"/>
        <w:jc w:val="both"/>
        <w:rPr>
          <w:rFonts w:ascii="Book Antiqua" w:hAnsi="Book Antiqua"/>
        </w:rPr>
      </w:pPr>
      <w:r w:rsidRPr="00F26395">
        <w:rPr>
          <w:rFonts w:ascii="Book Antiqua" w:eastAsia="Book Antiqua" w:hAnsi="Book Antiqua" w:cs="Book Antiqua"/>
          <w:color w:val="000000"/>
        </w:rPr>
        <w:t xml:space="preserve">Determining the optimal endoscopic strategy for acute GVHD evaluation in patients with HSCT is challenging due to the inherent vulnerability of this population. Our findings suggest that combined EGD and FS with biopsy of the stomach and rectosigmoid colon results in the greatest diagnostic yield for most patients referred for evaluation of </w:t>
      </w:r>
      <w:proofErr w:type="spellStart"/>
      <w:r w:rsidRPr="00F26395">
        <w:rPr>
          <w:rFonts w:ascii="Book Antiqua" w:eastAsia="Book Antiqua" w:hAnsi="Book Antiqua" w:cs="Book Antiqua"/>
          <w:color w:val="000000"/>
        </w:rPr>
        <w:t>aGVHD</w:t>
      </w:r>
      <w:proofErr w:type="spellEnd"/>
      <w:r w:rsidRPr="00F26395">
        <w:rPr>
          <w:rFonts w:ascii="Book Antiqua" w:eastAsia="Book Antiqua" w:hAnsi="Book Antiqua" w:cs="Book Antiqua"/>
          <w:color w:val="000000"/>
        </w:rPr>
        <w:t xml:space="preserve">, independent of symptoms. We confirm that biopsy of normal appearing mucosa is warranted and found that endoscopic evidence of severe inflammation is specific for more histologically severe GVHD. In resource limited settings, or in patients with high risk for sedation related complications, FS with rectosigmoid biopsies may be an appropriate approach given reasonable yield for detection of </w:t>
      </w:r>
      <w:proofErr w:type="spellStart"/>
      <w:r w:rsidRPr="00F26395">
        <w:rPr>
          <w:rFonts w:ascii="Book Antiqua" w:eastAsia="Book Antiqua" w:hAnsi="Book Antiqua" w:cs="Book Antiqua"/>
          <w:color w:val="000000"/>
        </w:rPr>
        <w:t>aGVHD</w:t>
      </w:r>
      <w:proofErr w:type="spellEnd"/>
      <w:r w:rsidRPr="00F26395">
        <w:rPr>
          <w:rFonts w:ascii="Book Antiqua" w:eastAsia="Book Antiqua" w:hAnsi="Book Antiqua" w:cs="Book Antiqua"/>
          <w:color w:val="000000"/>
        </w:rPr>
        <w:t>. Our study also found no significant difference in adverse events between thrombocytopenic and neutropenic patients, confirming the safety of endoscopy in this patient population. Future, larger, controlled studies are needed to control for confounders and more accurately model the risk associated with endoscopy in the thrombocytopenic and neutropenic groups.</w:t>
      </w:r>
    </w:p>
    <w:p w14:paraId="2A261D09" w14:textId="77777777" w:rsidR="009272B8" w:rsidRPr="00F26395" w:rsidRDefault="009272B8" w:rsidP="00F26395">
      <w:pPr>
        <w:spacing w:line="360" w:lineRule="auto"/>
        <w:jc w:val="both"/>
        <w:rPr>
          <w:rFonts w:ascii="Book Antiqua" w:hAnsi="Book Antiqua"/>
        </w:rPr>
      </w:pPr>
    </w:p>
    <w:p w14:paraId="1334BD3C" w14:textId="77777777" w:rsidR="009272B8" w:rsidRPr="00F26395" w:rsidRDefault="009272B8" w:rsidP="00F26395">
      <w:pPr>
        <w:spacing w:line="360" w:lineRule="auto"/>
        <w:jc w:val="both"/>
        <w:rPr>
          <w:rFonts w:ascii="Book Antiqua" w:hAnsi="Book Antiqua"/>
        </w:rPr>
      </w:pPr>
      <w:r w:rsidRPr="00F26395">
        <w:rPr>
          <w:rFonts w:ascii="Book Antiqua" w:eastAsia="Book Antiqua" w:hAnsi="Book Antiqua" w:cs="Book Antiqua"/>
          <w:b/>
          <w:caps/>
          <w:color w:val="000000"/>
          <w:u w:val="single"/>
        </w:rPr>
        <w:t>ARTICLE HIGHLIGHTS</w:t>
      </w:r>
    </w:p>
    <w:p w14:paraId="694C6DE7" w14:textId="77777777" w:rsidR="009272B8" w:rsidRPr="00F26395" w:rsidRDefault="009272B8" w:rsidP="00F26395">
      <w:pPr>
        <w:spacing w:line="360" w:lineRule="auto"/>
        <w:jc w:val="both"/>
        <w:rPr>
          <w:rFonts w:ascii="Book Antiqua" w:hAnsi="Book Antiqua"/>
        </w:rPr>
      </w:pPr>
      <w:r w:rsidRPr="00F26395">
        <w:rPr>
          <w:rFonts w:ascii="Book Antiqua" w:eastAsia="Book Antiqua" w:hAnsi="Book Antiqua" w:cs="Book Antiqua"/>
          <w:b/>
          <w:i/>
          <w:color w:val="000000"/>
        </w:rPr>
        <w:t>Research background</w:t>
      </w:r>
    </w:p>
    <w:p w14:paraId="34211F38" w14:textId="06969AA9" w:rsidR="009272B8" w:rsidRPr="00F26395" w:rsidRDefault="009272B8" w:rsidP="00F26395">
      <w:pPr>
        <w:spacing w:line="360" w:lineRule="auto"/>
        <w:jc w:val="both"/>
        <w:rPr>
          <w:rFonts w:ascii="Book Antiqua" w:hAnsi="Book Antiqua"/>
        </w:rPr>
      </w:pPr>
      <w:bookmarkStart w:id="60" w:name="OLE_LINK2218"/>
      <w:bookmarkStart w:id="61" w:name="OLE_LINK2219"/>
      <w:bookmarkStart w:id="62" w:name="OLE_LINK2161"/>
      <w:bookmarkStart w:id="63" w:name="OLE_LINK2162"/>
      <w:bookmarkStart w:id="64" w:name="OLE_LINK2163"/>
      <w:r w:rsidRPr="00F26395">
        <w:rPr>
          <w:rFonts w:ascii="Book Antiqua" w:eastAsia="Book Antiqua" w:hAnsi="Book Antiqua" w:cs="Book Antiqua"/>
          <w:color w:val="000000"/>
        </w:rPr>
        <w:t>Gastrointestinal</w:t>
      </w:r>
      <w:bookmarkEnd w:id="60"/>
      <w:bookmarkEnd w:id="61"/>
      <w:r w:rsidRPr="00F26395">
        <w:rPr>
          <w:rFonts w:ascii="Book Antiqua" w:eastAsia="Book Antiqua" w:hAnsi="Book Antiqua" w:cs="Book Antiqua"/>
          <w:color w:val="000000"/>
        </w:rPr>
        <w:t xml:space="preserve"> </w:t>
      </w:r>
      <w:bookmarkEnd w:id="62"/>
      <w:bookmarkEnd w:id="63"/>
      <w:bookmarkEnd w:id="64"/>
      <w:r w:rsidRPr="00F26395">
        <w:rPr>
          <w:rFonts w:ascii="Book Antiqua" w:eastAsia="Book Antiqua" w:hAnsi="Book Antiqua" w:cs="Book Antiqua"/>
          <w:color w:val="000000"/>
        </w:rPr>
        <w:t xml:space="preserve">(GI) </w:t>
      </w:r>
      <w:bookmarkStart w:id="65" w:name="OLE_LINK2174"/>
      <w:bookmarkStart w:id="66" w:name="OLE_LINK2175"/>
      <w:r w:rsidRPr="00F26395">
        <w:rPr>
          <w:rFonts w:ascii="Book Antiqua" w:eastAsia="Book Antiqua" w:hAnsi="Book Antiqua" w:cs="Book Antiqua"/>
          <w:color w:val="000000"/>
        </w:rPr>
        <w:t>graft-</w:t>
      </w:r>
      <w:r w:rsidRPr="00F26395">
        <w:rPr>
          <w:rFonts w:ascii="Book Antiqua" w:eastAsia="Book Antiqua" w:hAnsi="Book Antiqua" w:cs="Book Antiqua"/>
          <w:i/>
          <w:iCs/>
          <w:color w:val="000000"/>
        </w:rPr>
        <w:t>vs</w:t>
      </w:r>
      <w:r w:rsidRPr="00F26395">
        <w:rPr>
          <w:rFonts w:ascii="Book Antiqua" w:eastAsia="Book Antiqua" w:hAnsi="Book Antiqua" w:cs="Book Antiqua"/>
          <w:color w:val="000000"/>
        </w:rPr>
        <w:t>-host disease</w:t>
      </w:r>
      <w:bookmarkEnd w:id="65"/>
      <w:bookmarkEnd w:id="66"/>
      <w:r w:rsidRPr="00F26395">
        <w:rPr>
          <w:rFonts w:ascii="Book Antiqua" w:eastAsia="Book Antiqua" w:hAnsi="Book Antiqua" w:cs="Book Antiqua"/>
          <w:color w:val="000000"/>
        </w:rPr>
        <w:t xml:space="preserve"> (GVHD) is the most common complication of </w:t>
      </w:r>
      <w:bookmarkStart w:id="67" w:name="OLE_LINK2181"/>
      <w:bookmarkStart w:id="68" w:name="OLE_LINK2182"/>
      <w:r w:rsidRPr="00F26395">
        <w:rPr>
          <w:rFonts w:ascii="Book Antiqua" w:eastAsia="Book Antiqua" w:hAnsi="Book Antiqua" w:cs="Book Antiqua"/>
          <w:color w:val="000000"/>
        </w:rPr>
        <w:t>hematopoietic stem cell transplant</w:t>
      </w:r>
      <w:bookmarkEnd w:id="67"/>
      <w:bookmarkEnd w:id="68"/>
      <w:r w:rsidRPr="00F26395">
        <w:rPr>
          <w:rFonts w:ascii="Book Antiqua" w:eastAsia="Book Antiqua" w:hAnsi="Book Antiqua" w:cs="Book Antiqua"/>
          <w:color w:val="000000"/>
        </w:rPr>
        <w:t xml:space="preserve"> (HSCT) and is often diagnosed via endoscopy with biopsy.</w:t>
      </w:r>
    </w:p>
    <w:p w14:paraId="75B77B30" w14:textId="77777777" w:rsidR="009272B8" w:rsidRPr="00F26395" w:rsidRDefault="009272B8" w:rsidP="00F26395">
      <w:pPr>
        <w:spacing w:line="360" w:lineRule="auto"/>
        <w:jc w:val="both"/>
        <w:rPr>
          <w:rFonts w:ascii="Book Antiqua" w:hAnsi="Book Antiqua"/>
        </w:rPr>
      </w:pPr>
    </w:p>
    <w:p w14:paraId="1AFDC418" w14:textId="77777777" w:rsidR="009272B8" w:rsidRPr="00F26395" w:rsidRDefault="009272B8" w:rsidP="00F26395">
      <w:pPr>
        <w:spacing w:line="360" w:lineRule="auto"/>
        <w:jc w:val="both"/>
        <w:rPr>
          <w:rFonts w:ascii="Book Antiqua" w:hAnsi="Book Antiqua"/>
        </w:rPr>
      </w:pPr>
      <w:r w:rsidRPr="00F26395">
        <w:rPr>
          <w:rFonts w:ascii="Book Antiqua" w:eastAsia="Book Antiqua" w:hAnsi="Book Antiqua" w:cs="Book Antiqua"/>
          <w:b/>
          <w:i/>
          <w:color w:val="000000"/>
        </w:rPr>
        <w:t>Research motivation</w:t>
      </w:r>
    </w:p>
    <w:p w14:paraId="145896AD" w14:textId="77777777" w:rsidR="009272B8" w:rsidRPr="00F26395" w:rsidRDefault="009272B8" w:rsidP="00F26395">
      <w:pPr>
        <w:spacing w:line="360" w:lineRule="auto"/>
        <w:jc w:val="both"/>
        <w:rPr>
          <w:rFonts w:ascii="Book Antiqua" w:hAnsi="Book Antiqua"/>
        </w:rPr>
      </w:pPr>
      <w:r w:rsidRPr="00F26395">
        <w:rPr>
          <w:rFonts w:ascii="Book Antiqua" w:eastAsia="Book Antiqua" w:hAnsi="Book Antiqua" w:cs="Book Antiqua"/>
          <w:color w:val="000000"/>
        </w:rPr>
        <w:t>Limited data exists on optimal endoscopic strategy and safety for GVHD evaluation in cancer patients who have had HSCT.</w:t>
      </w:r>
    </w:p>
    <w:p w14:paraId="2599290A" w14:textId="77777777" w:rsidR="009272B8" w:rsidRPr="00F26395" w:rsidRDefault="009272B8" w:rsidP="00F26395">
      <w:pPr>
        <w:spacing w:line="360" w:lineRule="auto"/>
        <w:jc w:val="both"/>
        <w:rPr>
          <w:rFonts w:ascii="Book Antiqua" w:hAnsi="Book Antiqua"/>
        </w:rPr>
      </w:pPr>
    </w:p>
    <w:p w14:paraId="7FC83554" w14:textId="77777777" w:rsidR="009272B8" w:rsidRPr="00F26395" w:rsidRDefault="009272B8" w:rsidP="00F26395">
      <w:pPr>
        <w:spacing w:line="360" w:lineRule="auto"/>
        <w:jc w:val="both"/>
        <w:rPr>
          <w:rFonts w:ascii="Book Antiqua" w:hAnsi="Book Antiqua"/>
        </w:rPr>
      </w:pPr>
      <w:r w:rsidRPr="00F26395">
        <w:rPr>
          <w:rFonts w:ascii="Book Antiqua" w:eastAsia="Book Antiqua" w:hAnsi="Book Antiqua" w:cs="Book Antiqua"/>
          <w:b/>
          <w:i/>
          <w:color w:val="000000"/>
        </w:rPr>
        <w:t>Research objectives</w:t>
      </w:r>
    </w:p>
    <w:p w14:paraId="3EB2C968" w14:textId="5F63141B" w:rsidR="009272B8" w:rsidRPr="00F26395" w:rsidRDefault="009272B8" w:rsidP="00F26395">
      <w:pPr>
        <w:spacing w:line="360" w:lineRule="auto"/>
        <w:jc w:val="both"/>
        <w:rPr>
          <w:rFonts w:ascii="Book Antiqua" w:hAnsi="Book Antiqua"/>
        </w:rPr>
      </w:pPr>
      <w:r w:rsidRPr="00F26395">
        <w:rPr>
          <w:rStyle w:val="apple-tab-span"/>
          <w:rFonts w:ascii="Book Antiqua" w:eastAsia="Book Antiqua" w:hAnsi="Book Antiqua" w:cs="Book Antiqua"/>
          <w:color w:val="000000"/>
        </w:rPr>
        <w:lastRenderedPageBreak/>
        <w:t xml:space="preserve">To create a strategy of endoscopic approach based on symptoms, gross endoscopic findings, and biopsy location as well as understand the safety of endoscopy in </w:t>
      </w:r>
      <w:r w:rsidRPr="00F26395">
        <w:rPr>
          <w:rFonts w:ascii="Book Antiqua" w:eastAsia="Book Antiqua" w:hAnsi="Book Antiqua" w:cs="Book Antiqua"/>
          <w:color w:val="000000"/>
        </w:rPr>
        <w:t>acute GVHD</w:t>
      </w:r>
      <w:r w:rsidRPr="00F26395">
        <w:rPr>
          <w:rStyle w:val="apple-tab-span"/>
          <w:rFonts w:ascii="Book Antiqua" w:eastAsia="Book Antiqua" w:hAnsi="Book Antiqua" w:cs="Book Antiqua"/>
          <w:color w:val="000000"/>
        </w:rPr>
        <w:t xml:space="preserve"> (</w:t>
      </w:r>
      <w:proofErr w:type="spellStart"/>
      <w:r w:rsidRPr="00F26395">
        <w:rPr>
          <w:rStyle w:val="apple-tab-span"/>
          <w:rFonts w:ascii="Book Antiqua" w:eastAsia="Book Antiqua" w:hAnsi="Book Antiqua" w:cs="Book Antiqua"/>
          <w:color w:val="000000"/>
        </w:rPr>
        <w:t>aGVHD</w:t>
      </w:r>
      <w:proofErr w:type="spellEnd"/>
      <w:r w:rsidRPr="00F26395">
        <w:rPr>
          <w:rStyle w:val="apple-tab-span"/>
          <w:rFonts w:ascii="Book Antiqua" w:eastAsia="Book Antiqua" w:hAnsi="Book Antiqua" w:cs="Book Antiqua"/>
          <w:color w:val="000000"/>
        </w:rPr>
        <w:t>) patients.</w:t>
      </w:r>
    </w:p>
    <w:p w14:paraId="6BE57837" w14:textId="77777777" w:rsidR="009272B8" w:rsidRPr="00F26395" w:rsidRDefault="009272B8" w:rsidP="00F26395">
      <w:pPr>
        <w:spacing w:line="360" w:lineRule="auto"/>
        <w:jc w:val="both"/>
        <w:rPr>
          <w:rFonts w:ascii="Book Antiqua" w:hAnsi="Book Antiqua"/>
        </w:rPr>
      </w:pPr>
    </w:p>
    <w:p w14:paraId="5D41C339" w14:textId="77777777" w:rsidR="009272B8" w:rsidRPr="00F26395" w:rsidRDefault="009272B8" w:rsidP="00F26395">
      <w:pPr>
        <w:spacing w:line="360" w:lineRule="auto"/>
        <w:jc w:val="both"/>
        <w:rPr>
          <w:rFonts w:ascii="Book Antiqua" w:hAnsi="Book Antiqua"/>
        </w:rPr>
      </w:pPr>
      <w:r w:rsidRPr="00F26395">
        <w:rPr>
          <w:rFonts w:ascii="Book Antiqua" w:eastAsia="Book Antiqua" w:hAnsi="Book Antiqua" w:cs="Book Antiqua"/>
          <w:b/>
          <w:i/>
          <w:color w:val="000000"/>
        </w:rPr>
        <w:t>Research methods</w:t>
      </w:r>
    </w:p>
    <w:p w14:paraId="3EEB5B9E" w14:textId="06AE34FA" w:rsidR="009272B8" w:rsidRPr="00F26395" w:rsidRDefault="009272B8" w:rsidP="00F26395">
      <w:pPr>
        <w:spacing w:line="360" w:lineRule="auto"/>
        <w:jc w:val="both"/>
        <w:rPr>
          <w:rFonts w:ascii="Book Antiqua" w:hAnsi="Book Antiqua"/>
        </w:rPr>
      </w:pPr>
      <w:r w:rsidRPr="00F26395">
        <w:rPr>
          <w:rFonts w:ascii="Book Antiqua" w:eastAsia="Book Antiqua" w:hAnsi="Book Antiqua" w:cs="Book Antiqua"/>
          <w:color w:val="000000"/>
        </w:rPr>
        <w:t xml:space="preserve">We analyzed 195 endoscopies performed at City of Hope in patients who underwent HSCT for hematological malignancy and were evaluated for </w:t>
      </w:r>
      <w:proofErr w:type="spellStart"/>
      <w:r w:rsidRPr="00F26395">
        <w:rPr>
          <w:rFonts w:ascii="Book Antiqua" w:eastAsia="Book Antiqua" w:hAnsi="Book Antiqua" w:cs="Book Antiqua"/>
          <w:color w:val="000000"/>
        </w:rPr>
        <w:t>aGVHD</w:t>
      </w:r>
      <w:proofErr w:type="spellEnd"/>
      <w:r w:rsidRPr="00F26395">
        <w:rPr>
          <w:rFonts w:ascii="Book Antiqua" w:eastAsia="Book Antiqua" w:hAnsi="Book Antiqua" w:cs="Book Antiqua"/>
          <w:color w:val="000000"/>
        </w:rPr>
        <w:t>.</w:t>
      </w:r>
    </w:p>
    <w:p w14:paraId="6626842E" w14:textId="77777777" w:rsidR="009272B8" w:rsidRPr="00F26395" w:rsidRDefault="009272B8" w:rsidP="00F26395">
      <w:pPr>
        <w:spacing w:line="360" w:lineRule="auto"/>
        <w:jc w:val="both"/>
        <w:rPr>
          <w:rFonts w:ascii="Book Antiqua" w:hAnsi="Book Antiqua"/>
        </w:rPr>
      </w:pPr>
    </w:p>
    <w:p w14:paraId="6EA9B2FF" w14:textId="77777777" w:rsidR="009272B8" w:rsidRPr="00F26395" w:rsidRDefault="009272B8" w:rsidP="00F26395">
      <w:pPr>
        <w:spacing w:line="360" w:lineRule="auto"/>
        <w:jc w:val="both"/>
        <w:rPr>
          <w:rFonts w:ascii="Book Antiqua" w:hAnsi="Book Antiqua"/>
        </w:rPr>
      </w:pPr>
      <w:r w:rsidRPr="00F26395">
        <w:rPr>
          <w:rFonts w:ascii="Book Antiqua" w:eastAsia="Book Antiqua" w:hAnsi="Book Antiqua" w:cs="Book Antiqua"/>
          <w:b/>
          <w:i/>
          <w:color w:val="000000"/>
        </w:rPr>
        <w:t>Research results</w:t>
      </w:r>
    </w:p>
    <w:p w14:paraId="7F44DC1D" w14:textId="026869A2" w:rsidR="009272B8" w:rsidRPr="00F26395" w:rsidRDefault="009272B8" w:rsidP="00F26395">
      <w:pPr>
        <w:spacing w:line="360" w:lineRule="auto"/>
        <w:jc w:val="both"/>
        <w:rPr>
          <w:rFonts w:ascii="Book Antiqua" w:hAnsi="Book Antiqua"/>
        </w:rPr>
      </w:pPr>
      <w:r w:rsidRPr="00F26395">
        <w:rPr>
          <w:rFonts w:ascii="Book Antiqua" w:eastAsia="Book Antiqua" w:hAnsi="Book Antiqua" w:cs="Book Antiqua"/>
          <w:color w:val="000000"/>
        </w:rPr>
        <w:t xml:space="preserve">Evaluation using combined </w:t>
      </w:r>
      <w:r w:rsidRPr="00F26395">
        <w:rPr>
          <w:rFonts w:ascii="Book Antiqua" w:eastAsia="Book Antiqua" w:hAnsi="Book Antiqua" w:cs="Book Antiqua"/>
          <w:color w:val="000000"/>
          <w:lang w:eastAsia="zh-CN"/>
        </w:rPr>
        <w:t>e</w:t>
      </w:r>
      <w:r w:rsidRPr="00F26395">
        <w:rPr>
          <w:rFonts w:ascii="Book Antiqua" w:eastAsia="Book Antiqua" w:hAnsi="Book Antiqua" w:cs="Book Antiqua"/>
          <w:color w:val="000000"/>
        </w:rPr>
        <w:t xml:space="preserve">sophagogastroduodenoscopy (EGD) and flexible sigmoidoscopy (FS) demonstrated a greater diagnostic yield for </w:t>
      </w:r>
      <w:proofErr w:type="spellStart"/>
      <w:r w:rsidRPr="00F26395">
        <w:rPr>
          <w:rFonts w:ascii="Book Antiqua" w:eastAsia="Book Antiqua" w:hAnsi="Book Antiqua" w:cs="Book Antiqua"/>
          <w:color w:val="000000"/>
        </w:rPr>
        <w:t>aGVHD</w:t>
      </w:r>
      <w:proofErr w:type="spellEnd"/>
      <w:r w:rsidRPr="00F26395">
        <w:rPr>
          <w:rFonts w:ascii="Book Antiqua" w:eastAsia="Book Antiqua" w:hAnsi="Book Antiqua" w:cs="Book Antiqua"/>
          <w:color w:val="000000"/>
        </w:rPr>
        <w:t xml:space="preserve"> (83.1%) compared to EGD (66.7%) or FS (77.2%) alone in patients with any presenting symptom. Biopsies obtained from either the upper or lower GI tract, specifically the rectosigmoid colon, demonstrated comparably high yields in patients with diarrhea (95.7% </w:t>
      </w:r>
      <w:r w:rsidRPr="00F26395">
        <w:rPr>
          <w:rFonts w:ascii="Book Antiqua" w:eastAsia="Book Antiqua" w:hAnsi="Book Antiqua" w:cs="Book Antiqua"/>
          <w:i/>
          <w:iCs/>
          <w:color w:val="000000"/>
        </w:rPr>
        <w:t>vs</w:t>
      </w:r>
      <w:r w:rsidRPr="00F26395">
        <w:rPr>
          <w:rFonts w:ascii="Book Antiqua" w:eastAsia="Book Antiqua" w:hAnsi="Book Antiqua" w:cs="Book Antiqua"/>
          <w:color w:val="000000"/>
        </w:rPr>
        <w:t xml:space="preserve"> 99.1%) or nausea/vomiting (97.5% </w:t>
      </w:r>
      <w:r w:rsidRPr="00F26395">
        <w:rPr>
          <w:rFonts w:ascii="Book Antiqua" w:eastAsia="Book Antiqua" w:hAnsi="Book Antiqua" w:cs="Book Antiqua"/>
          <w:i/>
          <w:iCs/>
          <w:color w:val="000000"/>
        </w:rPr>
        <w:t>vs</w:t>
      </w:r>
      <w:r w:rsidRPr="00F26395">
        <w:rPr>
          <w:rFonts w:ascii="Book Antiqua" w:eastAsia="Book Antiqua" w:hAnsi="Book Antiqua" w:cs="Book Antiqua"/>
          <w:color w:val="000000"/>
        </w:rPr>
        <w:t xml:space="preserve"> 96.8%). Normal-appearing mucosa was generally as specific (91.3%) for the presence of </w:t>
      </w:r>
      <w:proofErr w:type="spellStart"/>
      <w:r w:rsidRPr="00F26395">
        <w:rPr>
          <w:rFonts w:ascii="Book Antiqua" w:eastAsia="Book Antiqua" w:hAnsi="Book Antiqua" w:cs="Book Antiqua"/>
          <w:color w:val="000000"/>
        </w:rPr>
        <w:t>aGVHD</w:t>
      </w:r>
      <w:proofErr w:type="spellEnd"/>
      <w:r w:rsidRPr="00F26395">
        <w:rPr>
          <w:rFonts w:ascii="Book Antiqua" w:eastAsia="Book Antiqua" w:hAnsi="Book Antiqua" w:cs="Book Antiqua"/>
          <w:color w:val="000000"/>
        </w:rPr>
        <w:t xml:space="preserve"> on biopsy as the presence of endoscopic abnormalities (58.7%-97.8%), however sensitivity was low. Adverse events occurred in a small proportion of patients, including bleeding (1.0%), infection (1.0%), and perforation (0.5%). There was no significant difference in occurrence of adverse events in thrombocytopenic compared to non-thrombocytopenic patients (</w:t>
      </w:r>
      <w:r w:rsidRPr="00F26395">
        <w:rPr>
          <w:rFonts w:ascii="Book Antiqua" w:eastAsia="Book Antiqua" w:hAnsi="Book Antiqua" w:cs="Book Antiqua"/>
          <w:i/>
          <w:iCs/>
          <w:color w:val="000000"/>
        </w:rPr>
        <w:t>P</w:t>
      </w:r>
      <w:r w:rsidRPr="00F26395">
        <w:rPr>
          <w:rFonts w:ascii="Book Antiqua" w:eastAsia="Book Antiqua" w:hAnsi="Book Antiqua" w:cs="Book Antiqua"/>
          <w:color w:val="000000"/>
        </w:rPr>
        <w:t xml:space="preserve"> = 1.000) and neutropenic compared to non-neutropenic patients (</w:t>
      </w:r>
      <w:r w:rsidRPr="00F26395">
        <w:rPr>
          <w:rFonts w:ascii="Book Antiqua" w:eastAsia="Book Antiqua" w:hAnsi="Book Antiqua" w:cs="Book Antiqua"/>
          <w:i/>
          <w:iCs/>
          <w:color w:val="000000"/>
        </w:rPr>
        <w:t>P</w:t>
      </w:r>
      <w:r w:rsidRPr="00F26395">
        <w:rPr>
          <w:rFonts w:ascii="Book Antiqua" w:eastAsia="Book Antiqua" w:hAnsi="Book Antiqua" w:cs="Book Antiqua"/>
          <w:color w:val="000000"/>
        </w:rPr>
        <w:t xml:space="preserve"> = 0.425).</w:t>
      </w:r>
    </w:p>
    <w:p w14:paraId="0FBD51EE" w14:textId="77777777" w:rsidR="009272B8" w:rsidRPr="00F26395" w:rsidRDefault="009272B8" w:rsidP="00F26395">
      <w:pPr>
        <w:spacing w:line="360" w:lineRule="auto"/>
        <w:jc w:val="both"/>
        <w:rPr>
          <w:rFonts w:ascii="Book Antiqua" w:hAnsi="Book Antiqua"/>
        </w:rPr>
      </w:pPr>
    </w:p>
    <w:p w14:paraId="6CFCC1A5" w14:textId="77777777" w:rsidR="009272B8" w:rsidRPr="00F26395" w:rsidRDefault="009272B8" w:rsidP="00F26395">
      <w:pPr>
        <w:spacing w:line="360" w:lineRule="auto"/>
        <w:jc w:val="both"/>
        <w:rPr>
          <w:rFonts w:ascii="Book Antiqua" w:hAnsi="Book Antiqua"/>
        </w:rPr>
      </w:pPr>
      <w:r w:rsidRPr="00F26395">
        <w:rPr>
          <w:rFonts w:ascii="Book Antiqua" w:eastAsia="Book Antiqua" w:hAnsi="Book Antiqua" w:cs="Book Antiqua"/>
          <w:b/>
          <w:i/>
          <w:color w:val="000000"/>
        </w:rPr>
        <w:t>Research conclusions</w:t>
      </w:r>
    </w:p>
    <w:p w14:paraId="379DBAE6" w14:textId="7AA919A1" w:rsidR="009272B8" w:rsidRPr="00F26395" w:rsidRDefault="009272B8" w:rsidP="00F26395">
      <w:pPr>
        <w:spacing w:line="360" w:lineRule="auto"/>
        <w:jc w:val="both"/>
        <w:rPr>
          <w:rFonts w:ascii="Book Antiqua" w:hAnsi="Book Antiqua"/>
        </w:rPr>
      </w:pPr>
      <w:r w:rsidRPr="00F26395">
        <w:rPr>
          <w:rFonts w:ascii="Book Antiqua" w:eastAsia="Book Antiqua" w:hAnsi="Book Antiqua" w:cs="Book Antiqua"/>
          <w:color w:val="000000"/>
        </w:rPr>
        <w:t xml:space="preserve">Combined EGD and FS with biopsy of the stomach and rectosigmoid colon results in the greatest diagnostic yield for most patients referred for evaluation of </w:t>
      </w:r>
      <w:proofErr w:type="spellStart"/>
      <w:r w:rsidRPr="00F26395">
        <w:rPr>
          <w:rFonts w:ascii="Book Antiqua" w:eastAsia="Book Antiqua" w:hAnsi="Book Antiqua" w:cs="Book Antiqua"/>
          <w:color w:val="000000"/>
        </w:rPr>
        <w:t>aGVHD</w:t>
      </w:r>
      <w:proofErr w:type="spellEnd"/>
      <w:r w:rsidRPr="00F26395">
        <w:rPr>
          <w:rFonts w:ascii="Book Antiqua" w:eastAsia="Book Antiqua" w:hAnsi="Book Antiqua" w:cs="Book Antiqua"/>
          <w:color w:val="000000"/>
        </w:rPr>
        <w:t xml:space="preserve">, independent of symptoms. Biopsy of normal appearing mucosa is warranted, and endoscopic evidence of severe inflammation is specific for more histologically severe GVHD. In resource limited settings, or in patients with high risk for sedation related complications, FS with rectosigmoid biopsies may be an appropriate approach given reasonable yield for detection of </w:t>
      </w:r>
      <w:proofErr w:type="spellStart"/>
      <w:r w:rsidRPr="00F26395">
        <w:rPr>
          <w:rFonts w:ascii="Book Antiqua" w:eastAsia="Book Antiqua" w:hAnsi="Book Antiqua" w:cs="Book Antiqua"/>
          <w:color w:val="000000"/>
        </w:rPr>
        <w:t>aGVHD</w:t>
      </w:r>
      <w:proofErr w:type="spellEnd"/>
      <w:r w:rsidRPr="00F26395">
        <w:rPr>
          <w:rFonts w:ascii="Book Antiqua" w:eastAsia="Book Antiqua" w:hAnsi="Book Antiqua" w:cs="Book Antiqua"/>
          <w:color w:val="000000"/>
        </w:rPr>
        <w:t xml:space="preserve">. Our study also found no significant difference </w:t>
      </w:r>
      <w:r w:rsidRPr="00F26395">
        <w:rPr>
          <w:rFonts w:ascii="Book Antiqua" w:eastAsia="Book Antiqua" w:hAnsi="Book Antiqua" w:cs="Book Antiqua"/>
          <w:color w:val="000000"/>
        </w:rPr>
        <w:lastRenderedPageBreak/>
        <w:t>in adverse events between thrombocytopenic and neutropenic patients, confirming the safety of endoscopy in this patient population.</w:t>
      </w:r>
    </w:p>
    <w:p w14:paraId="3917C905" w14:textId="77777777" w:rsidR="009272B8" w:rsidRPr="00F26395" w:rsidRDefault="009272B8" w:rsidP="00F26395">
      <w:pPr>
        <w:spacing w:line="360" w:lineRule="auto"/>
        <w:jc w:val="both"/>
        <w:rPr>
          <w:rFonts w:ascii="Book Antiqua" w:hAnsi="Book Antiqua"/>
        </w:rPr>
      </w:pPr>
    </w:p>
    <w:p w14:paraId="608798E2" w14:textId="77777777" w:rsidR="009272B8" w:rsidRPr="00F26395" w:rsidRDefault="009272B8" w:rsidP="00F26395">
      <w:pPr>
        <w:spacing w:line="360" w:lineRule="auto"/>
        <w:jc w:val="both"/>
        <w:rPr>
          <w:rFonts w:ascii="Book Antiqua" w:hAnsi="Book Antiqua"/>
        </w:rPr>
      </w:pPr>
      <w:r w:rsidRPr="00F26395">
        <w:rPr>
          <w:rFonts w:ascii="Book Antiqua" w:eastAsia="Book Antiqua" w:hAnsi="Book Antiqua" w:cs="Book Antiqua"/>
          <w:b/>
          <w:i/>
          <w:color w:val="000000"/>
        </w:rPr>
        <w:t>Research perspectives</w:t>
      </w:r>
    </w:p>
    <w:p w14:paraId="4D010EA9" w14:textId="77777777" w:rsidR="009272B8" w:rsidRPr="00F26395" w:rsidRDefault="009272B8" w:rsidP="00F26395">
      <w:pPr>
        <w:spacing w:line="360" w:lineRule="auto"/>
        <w:jc w:val="both"/>
        <w:rPr>
          <w:rFonts w:ascii="Book Antiqua" w:hAnsi="Book Antiqua"/>
        </w:rPr>
      </w:pPr>
      <w:r w:rsidRPr="00F26395">
        <w:rPr>
          <w:rFonts w:ascii="Book Antiqua" w:eastAsia="Book Antiqua" w:hAnsi="Book Antiqua" w:cs="Book Antiqua"/>
          <w:color w:val="000000"/>
        </w:rPr>
        <w:t>Future, larger, controlled studies are needed to control for confounders and more accurately model the risk associated with endoscopy in the thrombocytopenic and neutropenic groups.</w:t>
      </w:r>
    </w:p>
    <w:p w14:paraId="394303E2" w14:textId="77777777" w:rsidR="00161EB0" w:rsidRPr="00F26395" w:rsidRDefault="00161EB0" w:rsidP="00F26395">
      <w:pPr>
        <w:spacing w:line="360" w:lineRule="auto"/>
        <w:jc w:val="both"/>
        <w:rPr>
          <w:rFonts w:ascii="Book Antiqua" w:hAnsi="Book Antiqua"/>
        </w:rPr>
      </w:pPr>
    </w:p>
    <w:p w14:paraId="5AF8CF9D" w14:textId="4783D137" w:rsidR="00161EB0" w:rsidRPr="00F26395" w:rsidRDefault="009272B8" w:rsidP="00F26395">
      <w:pPr>
        <w:spacing w:line="360" w:lineRule="auto"/>
        <w:jc w:val="both"/>
        <w:rPr>
          <w:rFonts w:ascii="Book Antiqua" w:hAnsi="Book Antiqua"/>
          <w:b/>
          <w:u w:val="single"/>
        </w:rPr>
      </w:pPr>
      <w:r w:rsidRPr="00F26395">
        <w:rPr>
          <w:rFonts w:ascii="Book Antiqua" w:hAnsi="Book Antiqua"/>
          <w:b/>
          <w:u w:val="single"/>
        </w:rPr>
        <w:t>REFERENCES</w:t>
      </w:r>
    </w:p>
    <w:p w14:paraId="16E5AE7C"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1 </w:t>
      </w:r>
      <w:proofErr w:type="spellStart"/>
      <w:r w:rsidRPr="007531A0">
        <w:rPr>
          <w:rFonts w:ascii="Book Antiqua" w:eastAsia="DengXian" w:hAnsi="Book Antiqua"/>
          <w:b/>
          <w:kern w:val="2"/>
          <w:lang w:eastAsia="zh-CN"/>
        </w:rPr>
        <w:t>Naymagon</w:t>
      </w:r>
      <w:proofErr w:type="spellEnd"/>
      <w:r w:rsidRPr="007531A0">
        <w:rPr>
          <w:rFonts w:ascii="Book Antiqua" w:eastAsia="DengXian" w:hAnsi="Book Antiqua"/>
          <w:b/>
          <w:kern w:val="2"/>
          <w:lang w:eastAsia="zh-CN"/>
        </w:rPr>
        <w:t xml:space="preserve"> S</w:t>
      </w:r>
      <w:r w:rsidRPr="007531A0">
        <w:rPr>
          <w:rFonts w:ascii="Book Antiqua" w:eastAsia="DengXian" w:hAnsi="Book Antiqua"/>
          <w:kern w:val="2"/>
          <w:lang w:eastAsia="zh-CN"/>
        </w:rPr>
        <w:t xml:space="preserve">, </w:t>
      </w:r>
      <w:proofErr w:type="spellStart"/>
      <w:r w:rsidRPr="007531A0">
        <w:rPr>
          <w:rFonts w:ascii="Book Antiqua" w:eastAsia="DengXian" w:hAnsi="Book Antiqua"/>
          <w:kern w:val="2"/>
          <w:lang w:eastAsia="zh-CN"/>
        </w:rPr>
        <w:t>Naymagon</w:t>
      </w:r>
      <w:proofErr w:type="spellEnd"/>
      <w:r w:rsidRPr="007531A0">
        <w:rPr>
          <w:rFonts w:ascii="Book Antiqua" w:eastAsia="DengXian" w:hAnsi="Book Antiqua"/>
          <w:kern w:val="2"/>
          <w:lang w:eastAsia="zh-CN"/>
        </w:rPr>
        <w:t xml:space="preserve"> L, Wong SY, Ko HM, Renteria A, Levine J, </w:t>
      </w:r>
      <w:proofErr w:type="spellStart"/>
      <w:r w:rsidRPr="007531A0">
        <w:rPr>
          <w:rFonts w:ascii="Book Antiqua" w:eastAsia="DengXian" w:hAnsi="Book Antiqua"/>
          <w:kern w:val="2"/>
          <w:lang w:eastAsia="zh-CN"/>
        </w:rPr>
        <w:t>Colombel</w:t>
      </w:r>
      <w:proofErr w:type="spellEnd"/>
      <w:r w:rsidRPr="007531A0">
        <w:rPr>
          <w:rFonts w:ascii="Book Antiqua" w:eastAsia="DengXian" w:hAnsi="Book Antiqua"/>
          <w:kern w:val="2"/>
          <w:lang w:eastAsia="zh-CN"/>
        </w:rPr>
        <w:t xml:space="preserve"> JF, Ferrara J. Acute graft-versus-host disease of the gut: considerations for the gastroenterologist. </w:t>
      </w:r>
      <w:r w:rsidRPr="007531A0">
        <w:rPr>
          <w:rFonts w:ascii="Book Antiqua" w:eastAsia="DengXian" w:hAnsi="Book Antiqua"/>
          <w:i/>
          <w:kern w:val="2"/>
          <w:lang w:eastAsia="zh-CN"/>
        </w:rPr>
        <w:t>Nat Rev Gastroenterol Hepatol</w:t>
      </w:r>
      <w:r w:rsidRPr="007531A0">
        <w:rPr>
          <w:rFonts w:ascii="Book Antiqua" w:eastAsia="DengXian" w:hAnsi="Book Antiqua"/>
          <w:kern w:val="2"/>
          <w:lang w:eastAsia="zh-CN"/>
        </w:rPr>
        <w:t xml:space="preserve"> 2017; </w:t>
      </w:r>
      <w:r w:rsidRPr="007531A0">
        <w:rPr>
          <w:rFonts w:ascii="Book Antiqua" w:eastAsia="DengXian" w:hAnsi="Book Antiqua"/>
          <w:b/>
          <w:kern w:val="2"/>
          <w:lang w:eastAsia="zh-CN"/>
        </w:rPr>
        <w:t>14</w:t>
      </w:r>
      <w:r w:rsidRPr="007531A0">
        <w:rPr>
          <w:rFonts w:ascii="Book Antiqua" w:eastAsia="DengXian" w:hAnsi="Book Antiqua"/>
          <w:kern w:val="2"/>
          <w:lang w:eastAsia="zh-CN"/>
        </w:rPr>
        <w:t>: 711-726 [PMID: 28951581 DOI: 10.1038/nrgastro.2017.126]</w:t>
      </w:r>
    </w:p>
    <w:p w14:paraId="04638F29"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2 </w:t>
      </w:r>
      <w:proofErr w:type="spellStart"/>
      <w:r w:rsidRPr="007531A0">
        <w:rPr>
          <w:rFonts w:ascii="Book Antiqua" w:eastAsia="DengXian" w:hAnsi="Book Antiqua"/>
          <w:b/>
          <w:kern w:val="2"/>
          <w:lang w:eastAsia="zh-CN"/>
        </w:rPr>
        <w:t>Zeiser</w:t>
      </w:r>
      <w:proofErr w:type="spellEnd"/>
      <w:r w:rsidRPr="007531A0">
        <w:rPr>
          <w:rFonts w:ascii="Book Antiqua" w:eastAsia="DengXian" w:hAnsi="Book Antiqua"/>
          <w:b/>
          <w:kern w:val="2"/>
          <w:lang w:eastAsia="zh-CN"/>
        </w:rPr>
        <w:t xml:space="preserve"> R</w:t>
      </w:r>
      <w:r w:rsidRPr="007531A0">
        <w:rPr>
          <w:rFonts w:ascii="Book Antiqua" w:eastAsia="DengXian" w:hAnsi="Book Antiqua"/>
          <w:kern w:val="2"/>
          <w:lang w:eastAsia="zh-CN"/>
        </w:rPr>
        <w:t xml:space="preserve">, Blazar BR. Acute Graft-versus-Host Disease - Biologic Process, Prevention, and Therapy. </w:t>
      </w:r>
      <w:r w:rsidRPr="007531A0">
        <w:rPr>
          <w:rFonts w:ascii="Book Antiqua" w:eastAsia="DengXian" w:hAnsi="Book Antiqua"/>
          <w:i/>
          <w:kern w:val="2"/>
          <w:lang w:eastAsia="zh-CN"/>
        </w:rPr>
        <w:t xml:space="preserve">N </w:t>
      </w:r>
      <w:proofErr w:type="spellStart"/>
      <w:r w:rsidRPr="007531A0">
        <w:rPr>
          <w:rFonts w:ascii="Book Antiqua" w:eastAsia="DengXian" w:hAnsi="Book Antiqua"/>
          <w:i/>
          <w:kern w:val="2"/>
          <w:lang w:eastAsia="zh-CN"/>
        </w:rPr>
        <w:t>Engl</w:t>
      </w:r>
      <w:proofErr w:type="spellEnd"/>
      <w:r w:rsidRPr="007531A0">
        <w:rPr>
          <w:rFonts w:ascii="Book Antiqua" w:eastAsia="DengXian" w:hAnsi="Book Antiqua"/>
          <w:i/>
          <w:kern w:val="2"/>
          <w:lang w:eastAsia="zh-CN"/>
        </w:rPr>
        <w:t xml:space="preserve"> J Med</w:t>
      </w:r>
      <w:r w:rsidRPr="007531A0">
        <w:rPr>
          <w:rFonts w:ascii="Book Antiqua" w:eastAsia="DengXian" w:hAnsi="Book Antiqua"/>
          <w:kern w:val="2"/>
          <w:lang w:eastAsia="zh-CN"/>
        </w:rPr>
        <w:t xml:space="preserve"> 2017; </w:t>
      </w:r>
      <w:r w:rsidRPr="007531A0">
        <w:rPr>
          <w:rFonts w:ascii="Book Antiqua" w:eastAsia="DengXian" w:hAnsi="Book Antiqua"/>
          <w:b/>
          <w:kern w:val="2"/>
          <w:lang w:eastAsia="zh-CN"/>
        </w:rPr>
        <w:t>377</w:t>
      </w:r>
      <w:r w:rsidRPr="007531A0">
        <w:rPr>
          <w:rFonts w:ascii="Book Antiqua" w:eastAsia="DengXian" w:hAnsi="Book Antiqua"/>
          <w:kern w:val="2"/>
          <w:lang w:eastAsia="zh-CN"/>
        </w:rPr>
        <w:t>: 2167-2179 [PMID: 29171820 DOI: 10.1056/NEJMra1609337]</w:t>
      </w:r>
    </w:p>
    <w:p w14:paraId="7A77CFA3"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3 </w:t>
      </w:r>
      <w:r w:rsidRPr="007531A0">
        <w:rPr>
          <w:rFonts w:ascii="Book Antiqua" w:eastAsia="DengXian" w:hAnsi="Book Antiqua"/>
          <w:b/>
          <w:kern w:val="2"/>
          <w:lang w:eastAsia="zh-CN"/>
        </w:rPr>
        <w:t>Xu CF</w:t>
      </w:r>
      <w:r w:rsidRPr="007531A0">
        <w:rPr>
          <w:rFonts w:ascii="Book Antiqua" w:eastAsia="DengXian" w:hAnsi="Book Antiqua"/>
          <w:kern w:val="2"/>
          <w:lang w:eastAsia="zh-CN"/>
        </w:rPr>
        <w:t xml:space="preserve">, Zhu LX, Xu XM, Chen WC, Wu DP. Endoscopic diagnosis of gastrointestinal graft-versus-host disease. </w:t>
      </w:r>
      <w:r w:rsidRPr="007531A0">
        <w:rPr>
          <w:rFonts w:ascii="Book Antiqua" w:eastAsia="DengXian" w:hAnsi="Book Antiqua"/>
          <w:i/>
          <w:kern w:val="2"/>
          <w:lang w:eastAsia="zh-CN"/>
        </w:rPr>
        <w:t>World J Gastroenterol</w:t>
      </w:r>
      <w:r w:rsidRPr="007531A0">
        <w:rPr>
          <w:rFonts w:ascii="Book Antiqua" w:eastAsia="DengXian" w:hAnsi="Book Antiqua"/>
          <w:kern w:val="2"/>
          <w:lang w:eastAsia="zh-CN"/>
        </w:rPr>
        <w:t xml:space="preserve"> 2008; </w:t>
      </w:r>
      <w:r w:rsidRPr="007531A0">
        <w:rPr>
          <w:rFonts w:ascii="Book Antiqua" w:eastAsia="DengXian" w:hAnsi="Book Antiqua"/>
          <w:b/>
          <w:kern w:val="2"/>
          <w:lang w:eastAsia="zh-CN"/>
        </w:rPr>
        <w:t>14</w:t>
      </w:r>
      <w:r w:rsidRPr="007531A0">
        <w:rPr>
          <w:rFonts w:ascii="Book Antiqua" w:eastAsia="DengXian" w:hAnsi="Book Antiqua"/>
          <w:kern w:val="2"/>
          <w:lang w:eastAsia="zh-CN"/>
        </w:rPr>
        <w:t>: 2262-2267 [PMID: 18407606 DOI: 10.3748/wjg.14.2262]</w:t>
      </w:r>
    </w:p>
    <w:p w14:paraId="6165A5CF"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4 </w:t>
      </w:r>
      <w:proofErr w:type="spellStart"/>
      <w:r w:rsidRPr="007531A0">
        <w:rPr>
          <w:rFonts w:ascii="Book Antiqua" w:eastAsia="DengXian" w:hAnsi="Book Antiqua"/>
          <w:b/>
          <w:kern w:val="2"/>
          <w:lang w:eastAsia="zh-CN"/>
        </w:rPr>
        <w:t>Robak</w:t>
      </w:r>
      <w:proofErr w:type="spellEnd"/>
      <w:r w:rsidRPr="007531A0">
        <w:rPr>
          <w:rFonts w:ascii="Book Antiqua" w:eastAsia="DengXian" w:hAnsi="Book Antiqua"/>
          <w:b/>
          <w:kern w:val="2"/>
          <w:lang w:eastAsia="zh-CN"/>
        </w:rPr>
        <w:t xml:space="preserve"> K</w:t>
      </w:r>
      <w:r w:rsidRPr="007531A0">
        <w:rPr>
          <w:rFonts w:ascii="Book Antiqua" w:eastAsia="DengXian" w:hAnsi="Book Antiqua"/>
          <w:kern w:val="2"/>
          <w:lang w:eastAsia="zh-CN"/>
        </w:rPr>
        <w:t xml:space="preserve">, </w:t>
      </w:r>
      <w:proofErr w:type="spellStart"/>
      <w:r w:rsidRPr="007531A0">
        <w:rPr>
          <w:rFonts w:ascii="Book Antiqua" w:eastAsia="DengXian" w:hAnsi="Book Antiqua"/>
          <w:kern w:val="2"/>
          <w:lang w:eastAsia="zh-CN"/>
        </w:rPr>
        <w:t>Zambonelli</w:t>
      </w:r>
      <w:proofErr w:type="spellEnd"/>
      <w:r w:rsidRPr="007531A0">
        <w:rPr>
          <w:rFonts w:ascii="Book Antiqua" w:eastAsia="DengXian" w:hAnsi="Book Antiqua"/>
          <w:kern w:val="2"/>
          <w:lang w:eastAsia="zh-CN"/>
        </w:rPr>
        <w:t xml:space="preserve"> J, </w:t>
      </w:r>
      <w:proofErr w:type="spellStart"/>
      <w:r w:rsidRPr="007531A0">
        <w:rPr>
          <w:rFonts w:ascii="Book Antiqua" w:eastAsia="DengXian" w:hAnsi="Book Antiqua"/>
          <w:kern w:val="2"/>
          <w:lang w:eastAsia="zh-CN"/>
        </w:rPr>
        <w:t>Bilinski</w:t>
      </w:r>
      <w:proofErr w:type="spellEnd"/>
      <w:r w:rsidRPr="007531A0">
        <w:rPr>
          <w:rFonts w:ascii="Book Antiqua" w:eastAsia="DengXian" w:hAnsi="Book Antiqua"/>
          <w:kern w:val="2"/>
          <w:lang w:eastAsia="zh-CN"/>
        </w:rPr>
        <w:t xml:space="preserve"> J, </w:t>
      </w:r>
      <w:proofErr w:type="spellStart"/>
      <w:r w:rsidRPr="007531A0">
        <w:rPr>
          <w:rFonts w:ascii="Book Antiqua" w:eastAsia="DengXian" w:hAnsi="Book Antiqua"/>
          <w:kern w:val="2"/>
          <w:lang w:eastAsia="zh-CN"/>
        </w:rPr>
        <w:t>Basak</w:t>
      </w:r>
      <w:proofErr w:type="spellEnd"/>
      <w:r w:rsidRPr="007531A0">
        <w:rPr>
          <w:rFonts w:ascii="Book Antiqua" w:eastAsia="DengXian" w:hAnsi="Book Antiqua"/>
          <w:kern w:val="2"/>
          <w:lang w:eastAsia="zh-CN"/>
        </w:rPr>
        <w:t xml:space="preserve"> GW. Diarrhea after allogeneic stem cell transplantation: beyond graft-versus-host disease. </w:t>
      </w:r>
      <w:r w:rsidRPr="007531A0">
        <w:rPr>
          <w:rFonts w:ascii="Book Antiqua" w:eastAsia="DengXian" w:hAnsi="Book Antiqua"/>
          <w:i/>
          <w:kern w:val="2"/>
          <w:lang w:eastAsia="zh-CN"/>
        </w:rPr>
        <w:t>Eur J Gastroenterol Hepatol</w:t>
      </w:r>
      <w:r w:rsidRPr="007531A0">
        <w:rPr>
          <w:rFonts w:ascii="Book Antiqua" w:eastAsia="DengXian" w:hAnsi="Book Antiqua"/>
          <w:kern w:val="2"/>
          <w:lang w:eastAsia="zh-CN"/>
        </w:rPr>
        <w:t xml:space="preserve"> 2017; </w:t>
      </w:r>
      <w:r w:rsidRPr="007531A0">
        <w:rPr>
          <w:rFonts w:ascii="Book Antiqua" w:eastAsia="DengXian" w:hAnsi="Book Antiqua"/>
          <w:b/>
          <w:kern w:val="2"/>
          <w:lang w:eastAsia="zh-CN"/>
        </w:rPr>
        <w:t>29</w:t>
      </w:r>
      <w:r w:rsidRPr="007531A0">
        <w:rPr>
          <w:rFonts w:ascii="Book Antiqua" w:eastAsia="DengXian" w:hAnsi="Book Antiqua"/>
          <w:kern w:val="2"/>
          <w:lang w:eastAsia="zh-CN"/>
        </w:rPr>
        <w:t>: 495-502 [PMID: 28067684 DOI: 10.1097/MEG.0000000000000833]</w:t>
      </w:r>
    </w:p>
    <w:p w14:paraId="1396F14F"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5 </w:t>
      </w:r>
      <w:r w:rsidRPr="007531A0">
        <w:rPr>
          <w:rFonts w:ascii="Book Antiqua" w:eastAsia="DengXian" w:hAnsi="Book Antiqua"/>
          <w:b/>
          <w:kern w:val="2"/>
          <w:lang w:eastAsia="zh-CN"/>
        </w:rPr>
        <w:t>Lee SJ</w:t>
      </w:r>
      <w:r w:rsidRPr="007531A0">
        <w:rPr>
          <w:rFonts w:ascii="Book Antiqua" w:eastAsia="DengXian" w:hAnsi="Book Antiqua"/>
          <w:kern w:val="2"/>
          <w:lang w:eastAsia="zh-CN"/>
        </w:rPr>
        <w:t xml:space="preserve">. Classification systems for chronic graft-versus-host disease. </w:t>
      </w:r>
      <w:r w:rsidRPr="007531A0">
        <w:rPr>
          <w:rFonts w:ascii="Book Antiqua" w:eastAsia="DengXian" w:hAnsi="Book Antiqua"/>
          <w:i/>
          <w:kern w:val="2"/>
          <w:lang w:eastAsia="zh-CN"/>
        </w:rPr>
        <w:t>Blood</w:t>
      </w:r>
      <w:r w:rsidRPr="007531A0">
        <w:rPr>
          <w:rFonts w:ascii="Book Antiqua" w:eastAsia="DengXian" w:hAnsi="Book Antiqua"/>
          <w:kern w:val="2"/>
          <w:lang w:eastAsia="zh-CN"/>
        </w:rPr>
        <w:t xml:space="preserve"> 2017; </w:t>
      </w:r>
      <w:r w:rsidRPr="007531A0">
        <w:rPr>
          <w:rFonts w:ascii="Book Antiqua" w:eastAsia="DengXian" w:hAnsi="Book Antiqua"/>
          <w:b/>
          <w:kern w:val="2"/>
          <w:lang w:eastAsia="zh-CN"/>
        </w:rPr>
        <w:t>129</w:t>
      </w:r>
      <w:r w:rsidRPr="007531A0">
        <w:rPr>
          <w:rFonts w:ascii="Book Antiqua" w:eastAsia="DengXian" w:hAnsi="Book Antiqua"/>
          <w:kern w:val="2"/>
          <w:lang w:eastAsia="zh-CN"/>
        </w:rPr>
        <w:t>: 30-37 [PMID: 27821503 DOI: 10.1182/blood-2016-07-686642]</w:t>
      </w:r>
    </w:p>
    <w:p w14:paraId="20B427E3"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6 </w:t>
      </w:r>
      <w:proofErr w:type="spellStart"/>
      <w:r w:rsidRPr="007531A0">
        <w:rPr>
          <w:rFonts w:ascii="Book Antiqua" w:eastAsia="DengXian" w:hAnsi="Book Antiqua"/>
          <w:b/>
          <w:kern w:val="2"/>
          <w:lang w:eastAsia="zh-CN"/>
        </w:rPr>
        <w:t>Terdiman</w:t>
      </w:r>
      <w:proofErr w:type="spellEnd"/>
      <w:r w:rsidRPr="007531A0">
        <w:rPr>
          <w:rFonts w:ascii="Book Antiqua" w:eastAsia="DengXian" w:hAnsi="Book Antiqua"/>
          <w:b/>
          <w:kern w:val="2"/>
          <w:lang w:eastAsia="zh-CN"/>
        </w:rPr>
        <w:t xml:space="preserve"> JP</w:t>
      </w:r>
      <w:r w:rsidRPr="007531A0">
        <w:rPr>
          <w:rFonts w:ascii="Book Antiqua" w:eastAsia="DengXian" w:hAnsi="Book Antiqua"/>
          <w:kern w:val="2"/>
          <w:lang w:eastAsia="zh-CN"/>
        </w:rPr>
        <w:t xml:space="preserve">, Linker CA, </w:t>
      </w:r>
      <w:proofErr w:type="spellStart"/>
      <w:r w:rsidRPr="007531A0">
        <w:rPr>
          <w:rFonts w:ascii="Book Antiqua" w:eastAsia="DengXian" w:hAnsi="Book Antiqua"/>
          <w:kern w:val="2"/>
          <w:lang w:eastAsia="zh-CN"/>
        </w:rPr>
        <w:t>Ries</w:t>
      </w:r>
      <w:proofErr w:type="spellEnd"/>
      <w:r w:rsidRPr="007531A0">
        <w:rPr>
          <w:rFonts w:ascii="Book Antiqua" w:eastAsia="DengXian" w:hAnsi="Book Antiqua"/>
          <w:kern w:val="2"/>
          <w:lang w:eastAsia="zh-CN"/>
        </w:rPr>
        <w:t xml:space="preserve"> CA, Damon LE, </w:t>
      </w:r>
      <w:proofErr w:type="spellStart"/>
      <w:r w:rsidRPr="007531A0">
        <w:rPr>
          <w:rFonts w:ascii="Book Antiqua" w:eastAsia="DengXian" w:hAnsi="Book Antiqua"/>
          <w:kern w:val="2"/>
          <w:lang w:eastAsia="zh-CN"/>
        </w:rPr>
        <w:t>Rugo</w:t>
      </w:r>
      <w:proofErr w:type="spellEnd"/>
      <w:r w:rsidRPr="007531A0">
        <w:rPr>
          <w:rFonts w:ascii="Book Antiqua" w:eastAsia="DengXian" w:hAnsi="Book Antiqua"/>
          <w:kern w:val="2"/>
          <w:lang w:eastAsia="zh-CN"/>
        </w:rPr>
        <w:t xml:space="preserve"> HS, </w:t>
      </w:r>
      <w:proofErr w:type="spellStart"/>
      <w:r w:rsidRPr="007531A0">
        <w:rPr>
          <w:rFonts w:ascii="Book Antiqua" w:eastAsia="DengXian" w:hAnsi="Book Antiqua"/>
          <w:kern w:val="2"/>
          <w:lang w:eastAsia="zh-CN"/>
        </w:rPr>
        <w:t>Ostroff</w:t>
      </w:r>
      <w:proofErr w:type="spellEnd"/>
      <w:r w:rsidRPr="007531A0">
        <w:rPr>
          <w:rFonts w:ascii="Book Antiqua" w:eastAsia="DengXian" w:hAnsi="Book Antiqua"/>
          <w:kern w:val="2"/>
          <w:lang w:eastAsia="zh-CN"/>
        </w:rPr>
        <w:t xml:space="preserve"> JW. The role of endoscopic evaluation in patients with suspected intestinal graft-versus-host disease after allogeneic bone-marrow transplantation. </w:t>
      </w:r>
      <w:r w:rsidRPr="007531A0">
        <w:rPr>
          <w:rFonts w:ascii="Book Antiqua" w:eastAsia="DengXian" w:hAnsi="Book Antiqua"/>
          <w:i/>
          <w:kern w:val="2"/>
          <w:lang w:eastAsia="zh-CN"/>
        </w:rPr>
        <w:t>Endoscopy</w:t>
      </w:r>
      <w:r w:rsidRPr="007531A0">
        <w:rPr>
          <w:rFonts w:ascii="Book Antiqua" w:eastAsia="DengXian" w:hAnsi="Book Antiqua"/>
          <w:kern w:val="2"/>
          <w:lang w:eastAsia="zh-CN"/>
        </w:rPr>
        <w:t xml:space="preserve"> 1996; </w:t>
      </w:r>
      <w:r w:rsidRPr="007531A0">
        <w:rPr>
          <w:rFonts w:ascii="Book Antiqua" w:eastAsia="DengXian" w:hAnsi="Book Antiqua"/>
          <w:b/>
          <w:kern w:val="2"/>
          <w:lang w:eastAsia="zh-CN"/>
        </w:rPr>
        <w:t>28</w:t>
      </w:r>
      <w:r w:rsidRPr="007531A0">
        <w:rPr>
          <w:rFonts w:ascii="Book Antiqua" w:eastAsia="DengXian" w:hAnsi="Book Antiqua"/>
          <w:kern w:val="2"/>
          <w:lang w:eastAsia="zh-CN"/>
        </w:rPr>
        <w:t>: 680-685 [PMID: 8934085 DOI: 10.1055/s-2007-1005576]</w:t>
      </w:r>
    </w:p>
    <w:p w14:paraId="3A6AEE2E"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7 </w:t>
      </w:r>
      <w:proofErr w:type="spellStart"/>
      <w:r w:rsidRPr="007531A0">
        <w:rPr>
          <w:rFonts w:ascii="Book Antiqua" w:eastAsia="DengXian" w:hAnsi="Book Antiqua"/>
          <w:b/>
          <w:kern w:val="2"/>
          <w:lang w:eastAsia="zh-CN"/>
        </w:rPr>
        <w:t>Rowlings</w:t>
      </w:r>
      <w:proofErr w:type="spellEnd"/>
      <w:r w:rsidRPr="007531A0">
        <w:rPr>
          <w:rFonts w:ascii="Book Antiqua" w:eastAsia="DengXian" w:hAnsi="Book Antiqua"/>
          <w:b/>
          <w:kern w:val="2"/>
          <w:lang w:eastAsia="zh-CN"/>
        </w:rPr>
        <w:t xml:space="preserve"> PA</w:t>
      </w:r>
      <w:r w:rsidRPr="007531A0">
        <w:rPr>
          <w:rFonts w:ascii="Book Antiqua" w:eastAsia="DengXian" w:hAnsi="Book Antiqua"/>
          <w:kern w:val="2"/>
          <w:lang w:eastAsia="zh-CN"/>
        </w:rPr>
        <w:t xml:space="preserve">, </w:t>
      </w:r>
      <w:proofErr w:type="spellStart"/>
      <w:r w:rsidRPr="007531A0">
        <w:rPr>
          <w:rFonts w:ascii="Book Antiqua" w:eastAsia="DengXian" w:hAnsi="Book Antiqua"/>
          <w:kern w:val="2"/>
          <w:lang w:eastAsia="zh-CN"/>
        </w:rPr>
        <w:t>Przepiorka</w:t>
      </w:r>
      <w:proofErr w:type="spellEnd"/>
      <w:r w:rsidRPr="007531A0">
        <w:rPr>
          <w:rFonts w:ascii="Book Antiqua" w:eastAsia="DengXian" w:hAnsi="Book Antiqua"/>
          <w:kern w:val="2"/>
          <w:lang w:eastAsia="zh-CN"/>
        </w:rPr>
        <w:t xml:space="preserve"> D, Klein JP, Gale RP, </w:t>
      </w:r>
      <w:proofErr w:type="spellStart"/>
      <w:r w:rsidRPr="007531A0">
        <w:rPr>
          <w:rFonts w:ascii="Book Antiqua" w:eastAsia="DengXian" w:hAnsi="Book Antiqua"/>
          <w:kern w:val="2"/>
          <w:lang w:eastAsia="zh-CN"/>
        </w:rPr>
        <w:t>Passweg</w:t>
      </w:r>
      <w:proofErr w:type="spellEnd"/>
      <w:r w:rsidRPr="007531A0">
        <w:rPr>
          <w:rFonts w:ascii="Book Antiqua" w:eastAsia="DengXian" w:hAnsi="Book Antiqua"/>
          <w:kern w:val="2"/>
          <w:lang w:eastAsia="zh-CN"/>
        </w:rPr>
        <w:t xml:space="preserve"> JR, </w:t>
      </w:r>
      <w:proofErr w:type="spellStart"/>
      <w:r w:rsidRPr="007531A0">
        <w:rPr>
          <w:rFonts w:ascii="Book Antiqua" w:eastAsia="DengXian" w:hAnsi="Book Antiqua"/>
          <w:kern w:val="2"/>
          <w:lang w:eastAsia="zh-CN"/>
        </w:rPr>
        <w:t>Henslee</w:t>
      </w:r>
      <w:proofErr w:type="spellEnd"/>
      <w:r w:rsidRPr="007531A0">
        <w:rPr>
          <w:rFonts w:ascii="Book Antiqua" w:eastAsia="DengXian" w:hAnsi="Book Antiqua"/>
          <w:kern w:val="2"/>
          <w:lang w:eastAsia="zh-CN"/>
        </w:rPr>
        <w:t xml:space="preserve">-Downey PJ, Cahn JY, Calderwood S, </w:t>
      </w:r>
      <w:proofErr w:type="spellStart"/>
      <w:r w:rsidRPr="007531A0">
        <w:rPr>
          <w:rFonts w:ascii="Book Antiqua" w:eastAsia="DengXian" w:hAnsi="Book Antiqua"/>
          <w:kern w:val="2"/>
          <w:lang w:eastAsia="zh-CN"/>
        </w:rPr>
        <w:t>Gratwohl</w:t>
      </w:r>
      <w:proofErr w:type="spellEnd"/>
      <w:r w:rsidRPr="007531A0">
        <w:rPr>
          <w:rFonts w:ascii="Book Antiqua" w:eastAsia="DengXian" w:hAnsi="Book Antiqua"/>
          <w:kern w:val="2"/>
          <w:lang w:eastAsia="zh-CN"/>
        </w:rPr>
        <w:t xml:space="preserve"> A, </w:t>
      </w:r>
      <w:proofErr w:type="spellStart"/>
      <w:r w:rsidRPr="007531A0">
        <w:rPr>
          <w:rFonts w:ascii="Book Antiqua" w:eastAsia="DengXian" w:hAnsi="Book Antiqua"/>
          <w:kern w:val="2"/>
          <w:lang w:eastAsia="zh-CN"/>
        </w:rPr>
        <w:t>Socié</w:t>
      </w:r>
      <w:proofErr w:type="spellEnd"/>
      <w:r w:rsidRPr="007531A0">
        <w:rPr>
          <w:rFonts w:ascii="Book Antiqua" w:eastAsia="DengXian" w:hAnsi="Book Antiqua"/>
          <w:kern w:val="2"/>
          <w:lang w:eastAsia="zh-CN"/>
        </w:rPr>
        <w:t xml:space="preserve"> G, </w:t>
      </w:r>
      <w:proofErr w:type="spellStart"/>
      <w:r w:rsidRPr="007531A0">
        <w:rPr>
          <w:rFonts w:ascii="Book Antiqua" w:eastAsia="DengXian" w:hAnsi="Book Antiqua"/>
          <w:kern w:val="2"/>
          <w:lang w:eastAsia="zh-CN"/>
        </w:rPr>
        <w:t>Abecasis</w:t>
      </w:r>
      <w:proofErr w:type="spellEnd"/>
      <w:r w:rsidRPr="007531A0">
        <w:rPr>
          <w:rFonts w:ascii="Book Antiqua" w:eastAsia="DengXian" w:hAnsi="Book Antiqua"/>
          <w:kern w:val="2"/>
          <w:lang w:eastAsia="zh-CN"/>
        </w:rPr>
        <w:t xml:space="preserve"> MM, </w:t>
      </w:r>
      <w:proofErr w:type="spellStart"/>
      <w:r w:rsidRPr="007531A0">
        <w:rPr>
          <w:rFonts w:ascii="Book Antiqua" w:eastAsia="DengXian" w:hAnsi="Book Antiqua"/>
          <w:kern w:val="2"/>
          <w:lang w:eastAsia="zh-CN"/>
        </w:rPr>
        <w:t>Sobocinski</w:t>
      </w:r>
      <w:proofErr w:type="spellEnd"/>
      <w:r w:rsidRPr="007531A0">
        <w:rPr>
          <w:rFonts w:ascii="Book Antiqua" w:eastAsia="DengXian" w:hAnsi="Book Antiqua"/>
          <w:kern w:val="2"/>
          <w:lang w:eastAsia="zh-CN"/>
        </w:rPr>
        <w:t xml:space="preserve"> KA, Zhang MJ, </w:t>
      </w:r>
      <w:r w:rsidRPr="007531A0">
        <w:rPr>
          <w:rFonts w:ascii="Book Antiqua" w:eastAsia="DengXian" w:hAnsi="Book Antiqua"/>
          <w:kern w:val="2"/>
          <w:lang w:eastAsia="zh-CN"/>
        </w:rPr>
        <w:lastRenderedPageBreak/>
        <w:t xml:space="preserve">Horowitz MM. IBMTR Severity Index for grading acute graft-versus-host disease: retrospective comparison with Glucksberg grade. </w:t>
      </w:r>
      <w:r w:rsidRPr="007531A0">
        <w:rPr>
          <w:rFonts w:ascii="Book Antiqua" w:eastAsia="DengXian" w:hAnsi="Book Antiqua"/>
          <w:i/>
          <w:kern w:val="2"/>
          <w:lang w:eastAsia="zh-CN"/>
        </w:rPr>
        <w:t xml:space="preserve">Br J </w:t>
      </w:r>
      <w:proofErr w:type="spellStart"/>
      <w:r w:rsidRPr="007531A0">
        <w:rPr>
          <w:rFonts w:ascii="Book Antiqua" w:eastAsia="DengXian" w:hAnsi="Book Antiqua"/>
          <w:i/>
          <w:kern w:val="2"/>
          <w:lang w:eastAsia="zh-CN"/>
        </w:rPr>
        <w:t>Haematol</w:t>
      </w:r>
      <w:proofErr w:type="spellEnd"/>
      <w:r w:rsidRPr="007531A0">
        <w:rPr>
          <w:rFonts w:ascii="Book Antiqua" w:eastAsia="DengXian" w:hAnsi="Book Antiqua"/>
          <w:kern w:val="2"/>
          <w:lang w:eastAsia="zh-CN"/>
        </w:rPr>
        <w:t xml:space="preserve"> 1997; </w:t>
      </w:r>
      <w:r w:rsidRPr="007531A0">
        <w:rPr>
          <w:rFonts w:ascii="Book Antiqua" w:eastAsia="DengXian" w:hAnsi="Book Antiqua"/>
          <w:b/>
          <w:kern w:val="2"/>
          <w:lang w:eastAsia="zh-CN"/>
        </w:rPr>
        <w:t>97</w:t>
      </w:r>
      <w:r w:rsidRPr="007531A0">
        <w:rPr>
          <w:rFonts w:ascii="Book Antiqua" w:eastAsia="DengXian" w:hAnsi="Book Antiqua"/>
          <w:kern w:val="2"/>
          <w:lang w:eastAsia="zh-CN"/>
        </w:rPr>
        <w:t>: 855-864 [PMID: 9217189 DOI: 10.1046/j.1365-2141.1997.1112925.x]</w:t>
      </w:r>
    </w:p>
    <w:p w14:paraId="334035D3"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8 </w:t>
      </w:r>
      <w:r w:rsidRPr="007531A0">
        <w:rPr>
          <w:rFonts w:ascii="Book Antiqua" w:eastAsia="DengXian" w:hAnsi="Book Antiqua"/>
          <w:b/>
          <w:kern w:val="2"/>
          <w:lang w:eastAsia="zh-CN"/>
        </w:rPr>
        <w:t>Shulman HM</w:t>
      </w:r>
      <w:r w:rsidRPr="007531A0">
        <w:rPr>
          <w:rFonts w:ascii="Book Antiqua" w:eastAsia="DengXian" w:hAnsi="Book Antiqua"/>
          <w:kern w:val="2"/>
          <w:lang w:eastAsia="zh-CN"/>
        </w:rPr>
        <w:t xml:space="preserve">, Cardona DM, </w:t>
      </w:r>
      <w:proofErr w:type="spellStart"/>
      <w:r w:rsidRPr="007531A0">
        <w:rPr>
          <w:rFonts w:ascii="Book Antiqua" w:eastAsia="DengXian" w:hAnsi="Book Antiqua"/>
          <w:kern w:val="2"/>
          <w:lang w:eastAsia="zh-CN"/>
        </w:rPr>
        <w:t>Greenson</w:t>
      </w:r>
      <w:proofErr w:type="spellEnd"/>
      <w:r w:rsidRPr="007531A0">
        <w:rPr>
          <w:rFonts w:ascii="Book Antiqua" w:eastAsia="DengXian" w:hAnsi="Book Antiqua"/>
          <w:kern w:val="2"/>
          <w:lang w:eastAsia="zh-CN"/>
        </w:rPr>
        <w:t xml:space="preserve"> JK, </w:t>
      </w:r>
      <w:proofErr w:type="spellStart"/>
      <w:r w:rsidRPr="007531A0">
        <w:rPr>
          <w:rFonts w:ascii="Book Antiqua" w:eastAsia="DengXian" w:hAnsi="Book Antiqua"/>
          <w:kern w:val="2"/>
          <w:lang w:eastAsia="zh-CN"/>
        </w:rPr>
        <w:t>Hingorani</w:t>
      </w:r>
      <w:proofErr w:type="spellEnd"/>
      <w:r w:rsidRPr="007531A0">
        <w:rPr>
          <w:rFonts w:ascii="Book Antiqua" w:eastAsia="DengXian" w:hAnsi="Book Antiqua"/>
          <w:kern w:val="2"/>
          <w:lang w:eastAsia="zh-CN"/>
        </w:rPr>
        <w:t xml:space="preserve"> S, Horn T, Huber E, </w:t>
      </w:r>
      <w:proofErr w:type="spellStart"/>
      <w:r w:rsidRPr="007531A0">
        <w:rPr>
          <w:rFonts w:ascii="Book Antiqua" w:eastAsia="DengXian" w:hAnsi="Book Antiqua"/>
          <w:kern w:val="2"/>
          <w:lang w:eastAsia="zh-CN"/>
        </w:rPr>
        <w:t>Kreft</w:t>
      </w:r>
      <w:proofErr w:type="spellEnd"/>
      <w:r w:rsidRPr="007531A0">
        <w:rPr>
          <w:rFonts w:ascii="Book Antiqua" w:eastAsia="DengXian" w:hAnsi="Book Antiqua"/>
          <w:kern w:val="2"/>
          <w:lang w:eastAsia="zh-CN"/>
        </w:rPr>
        <w:t xml:space="preserve"> A, </w:t>
      </w:r>
      <w:proofErr w:type="spellStart"/>
      <w:r w:rsidRPr="007531A0">
        <w:rPr>
          <w:rFonts w:ascii="Book Antiqua" w:eastAsia="DengXian" w:hAnsi="Book Antiqua"/>
          <w:kern w:val="2"/>
          <w:lang w:eastAsia="zh-CN"/>
        </w:rPr>
        <w:t>Longerich</w:t>
      </w:r>
      <w:proofErr w:type="spellEnd"/>
      <w:r w:rsidRPr="007531A0">
        <w:rPr>
          <w:rFonts w:ascii="Book Antiqua" w:eastAsia="DengXian" w:hAnsi="Book Antiqua"/>
          <w:kern w:val="2"/>
          <w:lang w:eastAsia="zh-CN"/>
        </w:rPr>
        <w:t xml:space="preserve"> T, Morton T, Myerson D, Prieto VG, Rosenberg A, </w:t>
      </w:r>
      <w:proofErr w:type="spellStart"/>
      <w:r w:rsidRPr="007531A0">
        <w:rPr>
          <w:rFonts w:ascii="Book Antiqua" w:eastAsia="DengXian" w:hAnsi="Book Antiqua"/>
          <w:kern w:val="2"/>
          <w:lang w:eastAsia="zh-CN"/>
        </w:rPr>
        <w:t>Treister</w:t>
      </w:r>
      <w:proofErr w:type="spellEnd"/>
      <w:r w:rsidRPr="007531A0">
        <w:rPr>
          <w:rFonts w:ascii="Book Antiqua" w:eastAsia="DengXian" w:hAnsi="Book Antiqua"/>
          <w:kern w:val="2"/>
          <w:lang w:eastAsia="zh-CN"/>
        </w:rPr>
        <w:t xml:space="preserve"> N, Washington K, </w:t>
      </w:r>
      <w:proofErr w:type="spellStart"/>
      <w:r w:rsidRPr="007531A0">
        <w:rPr>
          <w:rFonts w:ascii="Book Antiqua" w:eastAsia="DengXian" w:hAnsi="Book Antiqua"/>
          <w:kern w:val="2"/>
          <w:lang w:eastAsia="zh-CN"/>
        </w:rPr>
        <w:t>Ziemer</w:t>
      </w:r>
      <w:proofErr w:type="spellEnd"/>
      <w:r w:rsidRPr="007531A0">
        <w:rPr>
          <w:rFonts w:ascii="Book Antiqua" w:eastAsia="DengXian" w:hAnsi="Book Antiqua"/>
          <w:kern w:val="2"/>
          <w:lang w:eastAsia="zh-CN"/>
        </w:rPr>
        <w:t xml:space="preserve"> M, </w:t>
      </w:r>
      <w:proofErr w:type="spellStart"/>
      <w:r w:rsidRPr="007531A0">
        <w:rPr>
          <w:rFonts w:ascii="Book Antiqua" w:eastAsia="DengXian" w:hAnsi="Book Antiqua"/>
          <w:kern w:val="2"/>
          <w:lang w:eastAsia="zh-CN"/>
        </w:rPr>
        <w:t>Pavletic</w:t>
      </w:r>
      <w:proofErr w:type="spellEnd"/>
      <w:r w:rsidRPr="007531A0">
        <w:rPr>
          <w:rFonts w:ascii="Book Antiqua" w:eastAsia="DengXian" w:hAnsi="Book Antiqua"/>
          <w:kern w:val="2"/>
          <w:lang w:eastAsia="zh-CN"/>
        </w:rPr>
        <w:t xml:space="preserve"> SZ, Lee SJ, Flowers ME, Schultz KR, </w:t>
      </w:r>
      <w:proofErr w:type="spellStart"/>
      <w:r w:rsidRPr="007531A0">
        <w:rPr>
          <w:rFonts w:ascii="Book Antiqua" w:eastAsia="DengXian" w:hAnsi="Book Antiqua"/>
          <w:kern w:val="2"/>
          <w:lang w:eastAsia="zh-CN"/>
        </w:rPr>
        <w:t>Jagasia</w:t>
      </w:r>
      <w:proofErr w:type="spellEnd"/>
      <w:r w:rsidRPr="007531A0">
        <w:rPr>
          <w:rFonts w:ascii="Book Antiqua" w:eastAsia="DengXian" w:hAnsi="Book Antiqua"/>
          <w:kern w:val="2"/>
          <w:lang w:eastAsia="zh-CN"/>
        </w:rPr>
        <w:t xml:space="preserve"> M, Martin PJ, Vogelsang GB, Kleiner DE. NIH Consensus development project on criteria for clinical trials in chronic graft-versus-host disease: II. The 2014 Pathology Working Group Report. </w:t>
      </w:r>
      <w:r w:rsidRPr="007531A0">
        <w:rPr>
          <w:rFonts w:ascii="Book Antiqua" w:eastAsia="DengXian" w:hAnsi="Book Antiqua"/>
          <w:i/>
          <w:kern w:val="2"/>
          <w:lang w:eastAsia="zh-CN"/>
        </w:rPr>
        <w:t>Biol Blood Marrow Transplant</w:t>
      </w:r>
      <w:r w:rsidRPr="007531A0">
        <w:rPr>
          <w:rFonts w:ascii="Book Antiqua" w:eastAsia="DengXian" w:hAnsi="Book Antiqua"/>
          <w:kern w:val="2"/>
          <w:lang w:eastAsia="zh-CN"/>
        </w:rPr>
        <w:t xml:space="preserve"> 2015; </w:t>
      </w:r>
      <w:r w:rsidRPr="007531A0">
        <w:rPr>
          <w:rFonts w:ascii="Book Antiqua" w:eastAsia="DengXian" w:hAnsi="Book Antiqua"/>
          <w:b/>
          <w:kern w:val="2"/>
          <w:lang w:eastAsia="zh-CN"/>
        </w:rPr>
        <w:t>21</w:t>
      </w:r>
      <w:r w:rsidRPr="007531A0">
        <w:rPr>
          <w:rFonts w:ascii="Book Antiqua" w:eastAsia="DengXian" w:hAnsi="Book Antiqua"/>
          <w:kern w:val="2"/>
          <w:lang w:eastAsia="zh-CN"/>
        </w:rPr>
        <w:t>: 589-603 [PMID: 25639770 DOI: 10.1016/j.bbmt.2014.12.031]</w:t>
      </w:r>
    </w:p>
    <w:p w14:paraId="415DB4B2"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9 </w:t>
      </w:r>
      <w:r w:rsidRPr="007531A0">
        <w:rPr>
          <w:rFonts w:ascii="Book Antiqua" w:eastAsia="DengXian" w:hAnsi="Book Antiqua"/>
          <w:b/>
          <w:kern w:val="2"/>
          <w:lang w:eastAsia="zh-CN"/>
        </w:rPr>
        <w:t>Nomura K</w:t>
      </w:r>
      <w:r w:rsidRPr="007531A0">
        <w:rPr>
          <w:rFonts w:ascii="Book Antiqua" w:eastAsia="DengXian" w:hAnsi="Book Antiqua"/>
          <w:kern w:val="2"/>
          <w:lang w:eastAsia="zh-CN"/>
        </w:rPr>
        <w:t xml:space="preserve">, Iizuka T, </w:t>
      </w:r>
      <w:proofErr w:type="spellStart"/>
      <w:r w:rsidRPr="007531A0">
        <w:rPr>
          <w:rFonts w:ascii="Book Antiqua" w:eastAsia="DengXian" w:hAnsi="Book Antiqua"/>
          <w:kern w:val="2"/>
          <w:lang w:eastAsia="zh-CN"/>
        </w:rPr>
        <w:t>Kaji</w:t>
      </w:r>
      <w:proofErr w:type="spellEnd"/>
      <w:r w:rsidRPr="007531A0">
        <w:rPr>
          <w:rFonts w:ascii="Book Antiqua" w:eastAsia="DengXian" w:hAnsi="Book Antiqua"/>
          <w:kern w:val="2"/>
          <w:lang w:eastAsia="zh-CN"/>
        </w:rPr>
        <w:t xml:space="preserve"> D, Yamamoto H, Kuribayashi Y, Tanaka M, </w:t>
      </w:r>
      <w:proofErr w:type="spellStart"/>
      <w:r w:rsidRPr="007531A0">
        <w:rPr>
          <w:rFonts w:ascii="Book Antiqua" w:eastAsia="DengXian" w:hAnsi="Book Antiqua"/>
          <w:kern w:val="2"/>
          <w:lang w:eastAsia="zh-CN"/>
        </w:rPr>
        <w:t>Furuhata</w:t>
      </w:r>
      <w:proofErr w:type="spellEnd"/>
      <w:r w:rsidRPr="007531A0">
        <w:rPr>
          <w:rFonts w:ascii="Book Antiqua" w:eastAsia="DengXian" w:hAnsi="Book Antiqua"/>
          <w:kern w:val="2"/>
          <w:lang w:eastAsia="zh-CN"/>
        </w:rPr>
        <w:t xml:space="preserve"> T, Yamashita S, Kikuchi D, Matsui A, </w:t>
      </w:r>
      <w:proofErr w:type="spellStart"/>
      <w:r w:rsidRPr="007531A0">
        <w:rPr>
          <w:rFonts w:ascii="Book Antiqua" w:eastAsia="DengXian" w:hAnsi="Book Antiqua"/>
          <w:kern w:val="2"/>
          <w:lang w:eastAsia="zh-CN"/>
        </w:rPr>
        <w:t>Mitani</w:t>
      </w:r>
      <w:proofErr w:type="spellEnd"/>
      <w:r w:rsidRPr="007531A0">
        <w:rPr>
          <w:rFonts w:ascii="Book Antiqua" w:eastAsia="DengXian" w:hAnsi="Book Antiqua"/>
          <w:kern w:val="2"/>
          <w:lang w:eastAsia="zh-CN"/>
        </w:rPr>
        <w:t xml:space="preserve"> T, Ota Y, Taniguchi S, </w:t>
      </w:r>
      <w:proofErr w:type="spellStart"/>
      <w:r w:rsidRPr="007531A0">
        <w:rPr>
          <w:rFonts w:ascii="Book Antiqua" w:eastAsia="DengXian" w:hAnsi="Book Antiqua"/>
          <w:kern w:val="2"/>
          <w:lang w:eastAsia="zh-CN"/>
        </w:rPr>
        <w:t>Hoteya</w:t>
      </w:r>
      <w:proofErr w:type="spellEnd"/>
      <w:r w:rsidRPr="007531A0">
        <w:rPr>
          <w:rFonts w:ascii="Book Antiqua" w:eastAsia="DengXian" w:hAnsi="Book Antiqua"/>
          <w:kern w:val="2"/>
          <w:lang w:eastAsia="zh-CN"/>
        </w:rPr>
        <w:t xml:space="preserve"> S. Utility of Endoscopic Examination in the Diagnosis of Acute Graft-versus-Host Disease in the Lower Gastrointestinal Tract. </w:t>
      </w:r>
      <w:r w:rsidRPr="007531A0">
        <w:rPr>
          <w:rFonts w:ascii="Book Antiqua" w:eastAsia="DengXian" w:hAnsi="Book Antiqua"/>
          <w:i/>
          <w:kern w:val="2"/>
          <w:lang w:eastAsia="zh-CN"/>
        </w:rPr>
        <w:t xml:space="preserve">Gastroenterol Res </w:t>
      </w:r>
      <w:proofErr w:type="spellStart"/>
      <w:r w:rsidRPr="007531A0">
        <w:rPr>
          <w:rFonts w:ascii="Book Antiqua" w:eastAsia="DengXian" w:hAnsi="Book Antiqua"/>
          <w:i/>
          <w:kern w:val="2"/>
          <w:lang w:eastAsia="zh-CN"/>
        </w:rPr>
        <w:t>Pract</w:t>
      </w:r>
      <w:proofErr w:type="spellEnd"/>
      <w:r w:rsidRPr="007531A0">
        <w:rPr>
          <w:rFonts w:ascii="Book Antiqua" w:eastAsia="DengXian" w:hAnsi="Book Antiqua"/>
          <w:kern w:val="2"/>
          <w:lang w:eastAsia="zh-CN"/>
        </w:rPr>
        <w:t xml:space="preserve"> 2017; </w:t>
      </w:r>
      <w:r w:rsidRPr="007531A0">
        <w:rPr>
          <w:rFonts w:ascii="Book Antiqua" w:eastAsia="DengXian" w:hAnsi="Book Antiqua"/>
          <w:b/>
          <w:kern w:val="2"/>
          <w:lang w:eastAsia="zh-CN"/>
        </w:rPr>
        <w:t>2017</w:t>
      </w:r>
      <w:r w:rsidRPr="007531A0">
        <w:rPr>
          <w:rFonts w:ascii="Book Antiqua" w:eastAsia="DengXian" w:hAnsi="Book Antiqua"/>
          <w:kern w:val="2"/>
          <w:lang w:eastAsia="zh-CN"/>
        </w:rPr>
        <w:t>: 2145986 [PMID: 29230240 DOI: 10.1155/2017/2145986]</w:t>
      </w:r>
    </w:p>
    <w:p w14:paraId="42E9F0B9"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10 </w:t>
      </w:r>
      <w:proofErr w:type="spellStart"/>
      <w:r w:rsidRPr="007531A0">
        <w:rPr>
          <w:rFonts w:ascii="Book Antiqua" w:eastAsia="DengXian" w:hAnsi="Book Antiqua"/>
          <w:b/>
          <w:kern w:val="2"/>
          <w:lang w:eastAsia="zh-CN"/>
        </w:rPr>
        <w:t>Kreisel</w:t>
      </w:r>
      <w:proofErr w:type="spellEnd"/>
      <w:r w:rsidRPr="007531A0">
        <w:rPr>
          <w:rFonts w:ascii="Book Antiqua" w:eastAsia="DengXian" w:hAnsi="Book Antiqua"/>
          <w:b/>
          <w:kern w:val="2"/>
          <w:lang w:eastAsia="zh-CN"/>
        </w:rPr>
        <w:t xml:space="preserve"> W</w:t>
      </w:r>
      <w:r w:rsidRPr="007531A0">
        <w:rPr>
          <w:rFonts w:ascii="Book Antiqua" w:eastAsia="DengXian" w:hAnsi="Book Antiqua"/>
          <w:kern w:val="2"/>
          <w:lang w:eastAsia="zh-CN"/>
        </w:rPr>
        <w:t xml:space="preserve">, Dahlberg M, </w:t>
      </w:r>
      <w:proofErr w:type="spellStart"/>
      <w:r w:rsidRPr="007531A0">
        <w:rPr>
          <w:rFonts w:ascii="Book Antiqua" w:eastAsia="DengXian" w:hAnsi="Book Antiqua"/>
          <w:kern w:val="2"/>
          <w:lang w:eastAsia="zh-CN"/>
        </w:rPr>
        <w:t>Bertz</w:t>
      </w:r>
      <w:proofErr w:type="spellEnd"/>
      <w:r w:rsidRPr="007531A0">
        <w:rPr>
          <w:rFonts w:ascii="Book Antiqua" w:eastAsia="DengXian" w:hAnsi="Book Antiqua"/>
          <w:kern w:val="2"/>
          <w:lang w:eastAsia="zh-CN"/>
        </w:rPr>
        <w:t xml:space="preserve"> H, Harder J, </w:t>
      </w:r>
      <w:proofErr w:type="spellStart"/>
      <w:r w:rsidRPr="007531A0">
        <w:rPr>
          <w:rFonts w:ascii="Book Antiqua" w:eastAsia="DengXian" w:hAnsi="Book Antiqua"/>
          <w:kern w:val="2"/>
          <w:lang w:eastAsia="zh-CN"/>
        </w:rPr>
        <w:t>Potthoff</w:t>
      </w:r>
      <w:proofErr w:type="spellEnd"/>
      <w:r w:rsidRPr="007531A0">
        <w:rPr>
          <w:rFonts w:ascii="Book Antiqua" w:eastAsia="DengXian" w:hAnsi="Book Antiqua"/>
          <w:kern w:val="2"/>
          <w:lang w:eastAsia="zh-CN"/>
        </w:rPr>
        <w:t xml:space="preserve"> K, </w:t>
      </w:r>
      <w:proofErr w:type="spellStart"/>
      <w:r w:rsidRPr="007531A0">
        <w:rPr>
          <w:rFonts w:ascii="Book Antiqua" w:eastAsia="DengXian" w:hAnsi="Book Antiqua"/>
          <w:kern w:val="2"/>
          <w:lang w:eastAsia="zh-CN"/>
        </w:rPr>
        <w:t>Deibert</w:t>
      </w:r>
      <w:proofErr w:type="spellEnd"/>
      <w:r w:rsidRPr="007531A0">
        <w:rPr>
          <w:rFonts w:ascii="Book Antiqua" w:eastAsia="DengXian" w:hAnsi="Book Antiqua"/>
          <w:kern w:val="2"/>
          <w:lang w:eastAsia="zh-CN"/>
        </w:rPr>
        <w:t xml:space="preserve"> P, Schmitt-</w:t>
      </w:r>
      <w:proofErr w:type="spellStart"/>
      <w:r w:rsidRPr="007531A0">
        <w:rPr>
          <w:rFonts w:ascii="Book Antiqua" w:eastAsia="DengXian" w:hAnsi="Book Antiqua"/>
          <w:kern w:val="2"/>
          <w:lang w:eastAsia="zh-CN"/>
        </w:rPr>
        <w:t>Graeff</w:t>
      </w:r>
      <w:proofErr w:type="spellEnd"/>
      <w:r w:rsidRPr="007531A0">
        <w:rPr>
          <w:rFonts w:ascii="Book Antiqua" w:eastAsia="DengXian" w:hAnsi="Book Antiqua"/>
          <w:kern w:val="2"/>
          <w:lang w:eastAsia="zh-CN"/>
        </w:rPr>
        <w:t xml:space="preserve"> A, Finke J. Endoscopic diagnosis of acute intestinal GVHD following allogeneic hematopoietic SCT: a retrospective analysis in 175 patients. </w:t>
      </w:r>
      <w:r w:rsidRPr="007531A0">
        <w:rPr>
          <w:rFonts w:ascii="Book Antiqua" w:eastAsia="DengXian" w:hAnsi="Book Antiqua"/>
          <w:i/>
          <w:kern w:val="2"/>
          <w:lang w:eastAsia="zh-CN"/>
        </w:rPr>
        <w:t>Bone Marrow Transplant</w:t>
      </w:r>
      <w:r w:rsidRPr="007531A0">
        <w:rPr>
          <w:rFonts w:ascii="Book Antiqua" w:eastAsia="DengXian" w:hAnsi="Book Antiqua"/>
          <w:kern w:val="2"/>
          <w:lang w:eastAsia="zh-CN"/>
        </w:rPr>
        <w:t xml:space="preserve"> 2012; </w:t>
      </w:r>
      <w:r w:rsidRPr="007531A0">
        <w:rPr>
          <w:rFonts w:ascii="Book Antiqua" w:eastAsia="DengXian" w:hAnsi="Book Antiqua"/>
          <w:b/>
          <w:kern w:val="2"/>
          <w:lang w:eastAsia="zh-CN"/>
        </w:rPr>
        <w:t>47</w:t>
      </w:r>
      <w:r w:rsidRPr="007531A0">
        <w:rPr>
          <w:rFonts w:ascii="Book Antiqua" w:eastAsia="DengXian" w:hAnsi="Book Antiqua"/>
          <w:kern w:val="2"/>
          <w:lang w:eastAsia="zh-CN"/>
        </w:rPr>
        <w:t>: 430-438 [PMID: 21706064 DOI: 10.1038/bmt.2011.137]</w:t>
      </w:r>
    </w:p>
    <w:p w14:paraId="23C4BDCE"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11 </w:t>
      </w:r>
      <w:r w:rsidRPr="007531A0">
        <w:rPr>
          <w:rFonts w:ascii="Book Antiqua" w:eastAsia="DengXian" w:hAnsi="Book Antiqua"/>
          <w:b/>
          <w:kern w:val="2"/>
          <w:lang w:eastAsia="zh-CN"/>
        </w:rPr>
        <w:t>Oomori S</w:t>
      </w:r>
      <w:r w:rsidRPr="007531A0">
        <w:rPr>
          <w:rFonts w:ascii="Book Antiqua" w:eastAsia="DengXian" w:hAnsi="Book Antiqua"/>
          <w:kern w:val="2"/>
          <w:lang w:eastAsia="zh-CN"/>
        </w:rPr>
        <w:t xml:space="preserve">, Takagi S, Kikuchi T, Utsunomiya K, Yokoyama H, </w:t>
      </w:r>
      <w:proofErr w:type="spellStart"/>
      <w:r w:rsidRPr="007531A0">
        <w:rPr>
          <w:rFonts w:ascii="Book Antiqua" w:eastAsia="DengXian" w:hAnsi="Book Antiqua"/>
          <w:kern w:val="2"/>
          <w:lang w:eastAsia="zh-CN"/>
        </w:rPr>
        <w:t>Negoro</w:t>
      </w:r>
      <w:proofErr w:type="spellEnd"/>
      <w:r w:rsidRPr="007531A0">
        <w:rPr>
          <w:rFonts w:ascii="Book Antiqua" w:eastAsia="DengXian" w:hAnsi="Book Antiqua"/>
          <w:kern w:val="2"/>
          <w:lang w:eastAsia="zh-CN"/>
        </w:rPr>
        <w:t xml:space="preserve"> K, </w:t>
      </w:r>
      <w:proofErr w:type="spellStart"/>
      <w:r w:rsidRPr="007531A0">
        <w:rPr>
          <w:rFonts w:ascii="Book Antiqua" w:eastAsia="DengXian" w:hAnsi="Book Antiqua"/>
          <w:kern w:val="2"/>
          <w:lang w:eastAsia="zh-CN"/>
        </w:rPr>
        <w:t>Tohmiya</w:t>
      </w:r>
      <w:proofErr w:type="spellEnd"/>
      <w:r w:rsidRPr="007531A0">
        <w:rPr>
          <w:rFonts w:ascii="Book Antiqua" w:eastAsia="DengXian" w:hAnsi="Book Antiqua"/>
          <w:kern w:val="2"/>
          <w:lang w:eastAsia="zh-CN"/>
        </w:rPr>
        <w:t xml:space="preserve"> Y, </w:t>
      </w:r>
      <w:proofErr w:type="spellStart"/>
      <w:r w:rsidRPr="007531A0">
        <w:rPr>
          <w:rFonts w:ascii="Book Antiqua" w:eastAsia="DengXian" w:hAnsi="Book Antiqua"/>
          <w:kern w:val="2"/>
          <w:lang w:eastAsia="zh-CN"/>
        </w:rPr>
        <w:t>Aihara</w:t>
      </w:r>
      <w:proofErr w:type="spellEnd"/>
      <w:r w:rsidRPr="007531A0">
        <w:rPr>
          <w:rFonts w:ascii="Book Antiqua" w:eastAsia="DengXian" w:hAnsi="Book Antiqua"/>
          <w:kern w:val="2"/>
          <w:lang w:eastAsia="zh-CN"/>
        </w:rPr>
        <w:t xml:space="preserve"> H, Yamada M, Takahashi S, </w:t>
      </w:r>
      <w:proofErr w:type="spellStart"/>
      <w:r w:rsidRPr="007531A0">
        <w:rPr>
          <w:rFonts w:ascii="Book Antiqua" w:eastAsia="DengXian" w:hAnsi="Book Antiqua"/>
          <w:kern w:val="2"/>
          <w:lang w:eastAsia="zh-CN"/>
        </w:rPr>
        <w:t>Kameoka</w:t>
      </w:r>
      <w:proofErr w:type="spellEnd"/>
      <w:r w:rsidRPr="007531A0">
        <w:rPr>
          <w:rFonts w:ascii="Book Antiqua" w:eastAsia="DengXian" w:hAnsi="Book Antiqua"/>
          <w:kern w:val="2"/>
          <w:lang w:eastAsia="zh-CN"/>
        </w:rPr>
        <w:t xml:space="preserve"> J, </w:t>
      </w:r>
      <w:proofErr w:type="spellStart"/>
      <w:r w:rsidRPr="007531A0">
        <w:rPr>
          <w:rFonts w:ascii="Book Antiqua" w:eastAsia="DengXian" w:hAnsi="Book Antiqua"/>
          <w:kern w:val="2"/>
          <w:lang w:eastAsia="zh-CN"/>
        </w:rPr>
        <w:t>Kinouchi</w:t>
      </w:r>
      <w:proofErr w:type="spellEnd"/>
      <w:r w:rsidRPr="007531A0">
        <w:rPr>
          <w:rFonts w:ascii="Book Antiqua" w:eastAsia="DengXian" w:hAnsi="Book Antiqua"/>
          <w:kern w:val="2"/>
          <w:lang w:eastAsia="zh-CN"/>
        </w:rPr>
        <w:t xml:space="preserve"> Y, </w:t>
      </w:r>
      <w:proofErr w:type="spellStart"/>
      <w:r w:rsidRPr="007531A0">
        <w:rPr>
          <w:rFonts w:ascii="Book Antiqua" w:eastAsia="DengXian" w:hAnsi="Book Antiqua"/>
          <w:kern w:val="2"/>
          <w:lang w:eastAsia="zh-CN"/>
        </w:rPr>
        <w:t>Shimosegawa</w:t>
      </w:r>
      <w:proofErr w:type="spellEnd"/>
      <w:r w:rsidRPr="007531A0">
        <w:rPr>
          <w:rFonts w:ascii="Book Antiqua" w:eastAsia="DengXian" w:hAnsi="Book Antiqua"/>
          <w:kern w:val="2"/>
          <w:lang w:eastAsia="zh-CN"/>
        </w:rPr>
        <w:t xml:space="preserve"> T. Significance of colonoscopy in patients with intestinal graft-versus-host disease after hematopoietic stem cell transplantation. </w:t>
      </w:r>
      <w:r w:rsidRPr="007531A0">
        <w:rPr>
          <w:rFonts w:ascii="Book Antiqua" w:eastAsia="DengXian" w:hAnsi="Book Antiqua"/>
          <w:i/>
          <w:kern w:val="2"/>
          <w:lang w:eastAsia="zh-CN"/>
        </w:rPr>
        <w:t>Endoscopy</w:t>
      </w:r>
      <w:r w:rsidRPr="007531A0">
        <w:rPr>
          <w:rFonts w:ascii="Book Antiqua" w:eastAsia="DengXian" w:hAnsi="Book Antiqua"/>
          <w:kern w:val="2"/>
          <w:lang w:eastAsia="zh-CN"/>
        </w:rPr>
        <w:t xml:space="preserve"> 2005; </w:t>
      </w:r>
      <w:r w:rsidRPr="007531A0">
        <w:rPr>
          <w:rFonts w:ascii="Book Antiqua" w:eastAsia="DengXian" w:hAnsi="Book Antiqua"/>
          <w:b/>
          <w:kern w:val="2"/>
          <w:lang w:eastAsia="zh-CN"/>
        </w:rPr>
        <w:t>37</w:t>
      </w:r>
      <w:r w:rsidRPr="007531A0">
        <w:rPr>
          <w:rFonts w:ascii="Book Antiqua" w:eastAsia="DengXian" w:hAnsi="Book Antiqua"/>
          <w:kern w:val="2"/>
          <w:lang w:eastAsia="zh-CN"/>
        </w:rPr>
        <w:t>: 346-350 [PMID: 15824945 DOI: 10.1055/s-2005-861049]</w:t>
      </w:r>
    </w:p>
    <w:p w14:paraId="4DB23E15"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12 </w:t>
      </w:r>
      <w:r w:rsidRPr="007531A0">
        <w:rPr>
          <w:rFonts w:ascii="Book Antiqua" w:eastAsia="DengXian" w:hAnsi="Book Antiqua"/>
          <w:b/>
          <w:kern w:val="2"/>
          <w:lang w:eastAsia="zh-CN"/>
        </w:rPr>
        <w:t>Cruz-Correa M</w:t>
      </w:r>
      <w:r w:rsidRPr="007531A0">
        <w:rPr>
          <w:rFonts w:ascii="Book Antiqua" w:eastAsia="DengXian" w:hAnsi="Book Antiqua"/>
          <w:kern w:val="2"/>
          <w:lang w:eastAsia="zh-CN"/>
        </w:rPr>
        <w:t xml:space="preserve">, </w:t>
      </w:r>
      <w:proofErr w:type="spellStart"/>
      <w:r w:rsidRPr="007531A0">
        <w:rPr>
          <w:rFonts w:ascii="Book Antiqua" w:eastAsia="DengXian" w:hAnsi="Book Antiqua"/>
          <w:kern w:val="2"/>
          <w:lang w:eastAsia="zh-CN"/>
        </w:rPr>
        <w:t>Poonawala</w:t>
      </w:r>
      <w:proofErr w:type="spellEnd"/>
      <w:r w:rsidRPr="007531A0">
        <w:rPr>
          <w:rFonts w:ascii="Book Antiqua" w:eastAsia="DengXian" w:hAnsi="Book Antiqua"/>
          <w:kern w:val="2"/>
          <w:lang w:eastAsia="zh-CN"/>
        </w:rPr>
        <w:t xml:space="preserve"> A, Abraham SC, Wu TT, </w:t>
      </w:r>
      <w:proofErr w:type="spellStart"/>
      <w:r w:rsidRPr="007531A0">
        <w:rPr>
          <w:rFonts w:ascii="Book Antiqua" w:eastAsia="DengXian" w:hAnsi="Book Antiqua"/>
          <w:kern w:val="2"/>
          <w:lang w:eastAsia="zh-CN"/>
        </w:rPr>
        <w:t>Zahurak</w:t>
      </w:r>
      <w:proofErr w:type="spellEnd"/>
      <w:r w:rsidRPr="007531A0">
        <w:rPr>
          <w:rFonts w:ascii="Book Antiqua" w:eastAsia="DengXian" w:hAnsi="Book Antiqua"/>
          <w:kern w:val="2"/>
          <w:lang w:eastAsia="zh-CN"/>
        </w:rPr>
        <w:t xml:space="preserve"> M, Vogelsang G, </w:t>
      </w:r>
      <w:proofErr w:type="spellStart"/>
      <w:r w:rsidRPr="007531A0">
        <w:rPr>
          <w:rFonts w:ascii="Book Antiqua" w:eastAsia="DengXian" w:hAnsi="Book Antiqua"/>
          <w:kern w:val="2"/>
          <w:lang w:eastAsia="zh-CN"/>
        </w:rPr>
        <w:t>Kalloo</w:t>
      </w:r>
      <w:proofErr w:type="spellEnd"/>
      <w:r w:rsidRPr="007531A0">
        <w:rPr>
          <w:rFonts w:ascii="Book Antiqua" w:eastAsia="DengXian" w:hAnsi="Book Antiqua"/>
          <w:kern w:val="2"/>
          <w:lang w:eastAsia="zh-CN"/>
        </w:rPr>
        <w:t xml:space="preserve"> AN, Lee LA. Endoscopic findings predict the histologic diagnosis in gastrointestinal graft-versus-host disease. </w:t>
      </w:r>
      <w:r w:rsidRPr="007531A0">
        <w:rPr>
          <w:rFonts w:ascii="Book Antiqua" w:eastAsia="DengXian" w:hAnsi="Book Antiqua"/>
          <w:i/>
          <w:kern w:val="2"/>
          <w:lang w:eastAsia="zh-CN"/>
        </w:rPr>
        <w:t>Endoscopy</w:t>
      </w:r>
      <w:r w:rsidRPr="007531A0">
        <w:rPr>
          <w:rFonts w:ascii="Book Antiqua" w:eastAsia="DengXian" w:hAnsi="Book Antiqua"/>
          <w:kern w:val="2"/>
          <w:lang w:eastAsia="zh-CN"/>
        </w:rPr>
        <w:t xml:space="preserve"> 2002; </w:t>
      </w:r>
      <w:r w:rsidRPr="007531A0">
        <w:rPr>
          <w:rFonts w:ascii="Book Antiqua" w:eastAsia="DengXian" w:hAnsi="Book Antiqua"/>
          <w:b/>
          <w:kern w:val="2"/>
          <w:lang w:eastAsia="zh-CN"/>
        </w:rPr>
        <w:t>34</w:t>
      </w:r>
      <w:r w:rsidRPr="007531A0">
        <w:rPr>
          <w:rFonts w:ascii="Book Antiqua" w:eastAsia="DengXian" w:hAnsi="Book Antiqua"/>
          <w:kern w:val="2"/>
          <w:lang w:eastAsia="zh-CN"/>
        </w:rPr>
        <w:t>: 808-813 [PMID: 12244503 DOI: 10.1055/s-2002-34257]</w:t>
      </w:r>
    </w:p>
    <w:p w14:paraId="4A0498F3"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13 </w:t>
      </w:r>
      <w:r w:rsidRPr="007531A0">
        <w:rPr>
          <w:rFonts w:ascii="Book Antiqua" w:eastAsia="DengXian" w:hAnsi="Book Antiqua"/>
          <w:b/>
          <w:kern w:val="2"/>
          <w:lang w:eastAsia="zh-CN"/>
        </w:rPr>
        <w:t>Mendelsohn R</w:t>
      </w:r>
      <w:r w:rsidRPr="007531A0">
        <w:rPr>
          <w:rFonts w:ascii="Book Antiqua" w:eastAsia="DengXian" w:hAnsi="Book Antiqua"/>
          <w:bCs/>
          <w:kern w:val="2"/>
          <w:lang w:eastAsia="zh-CN"/>
        </w:rPr>
        <w:t>,</w:t>
      </w:r>
      <w:r w:rsidRPr="007531A0">
        <w:rPr>
          <w:rFonts w:ascii="Book Antiqua" w:eastAsia="DengXian" w:hAnsi="Book Antiqua"/>
          <w:kern w:val="2"/>
          <w:lang w:eastAsia="zh-CN"/>
        </w:rPr>
        <w:t xml:space="preserve"> Tang L, Ludwig E. Does Endoscopic Impression Correlate with Histologic Findings when Making the Diagnosis of Gastrointestinal Graft versus Host </w:t>
      </w:r>
      <w:r w:rsidRPr="007531A0">
        <w:rPr>
          <w:rFonts w:ascii="Book Antiqua" w:eastAsia="DengXian" w:hAnsi="Book Antiqua"/>
          <w:kern w:val="2"/>
          <w:lang w:eastAsia="zh-CN"/>
        </w:rPr>
        <w:lastRenderedPageBreak/>
        <w:t xml:space="preserve">Disease? </w:t>
      </w:r>
      <w:r w:rsidRPr="007531A0">
        <w:rPr>
          <w:rFonts w:ascii="Book Antiqua" w:eastAsia="DengXian" w:hAnsi="Book Antiqua"/>
          <w:i/>
          <w:iCs/>
          <w:kern w:val="2"/>
          <w:lang w:eastAsia="zh-CN"/>
        </w:rPr>
        <w:t>Am J Gastroenterol</w:t>
      </w:r>
      <w:r w:rsidRPr="007531A0">
        <w:rPr>
          <w:rFonts w:ascii="Book Antiqua" w:eastAsia="DengXian" w:hAnsi="Book Antiqua"/>
          <w:kern w:val="2"/>
          <w:lang w:eastAsia="zh-CN"/>
        </w:rPr>
        <w:t xml:space="preserve"> 2009; </w:t>
      </w:r>
      <w:r w:rsidRPr="007531A0">
        <w:rPr>
          <w:rFonts w:ascii="Book Antiqua" w:eastAsia="DengXian" w:hAnsi="Book Antiqua"/>
          <w:b/>
          <w:bCs/>
          <w:kern w:val="2"/>
          <w:lang w:eastAsia="zh-CN"/>
        </w:rPr>
        <w:t>104</w:t>
      </w:r>
      <w:r w:rsidRPr="007531A0">
        <w:rPr>
          <w:rFonts w:ascii="Book Antiqua" w:eastAsia="DengXian" w:hAnsi="Book Antiqua"/>
          <w:kern w:val="2"/>
          <w:lang w:eastAsia="zh-CN"/>
        </w:rPr>
        <w:t>: S511 [DOI: 10.14309/00000434-200910003-01367]</w:t>
      </w:r>
    </w:p>
    <w:p w14:paraId="2D6C7CA4"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14 </w:t>
      </w:r>
      <w:r w:rsidRPr="007531A0">
        <w:rPr>
          <w:rFonts w:ascii="Book Antiqua" w:eastAsia="DengXian" w:hAnsi="Book Antiqua"/>
          <w:b/>
          <w:kern w:val="2"/>
          <w:lang w:eastAsia="zh-CN"/>
        </w:rPr>
        <w:t>Ross WA</w:t>
      </w:r>
      <w:r w:rsidRPr="007531A0">
        <w:rPr>
          <w:rFonts w:ascii="Book Antiqua" w:eastAsia="DengXian" w:hAnsi="Book Antiqua"/>
          <w:kern w:val="2"/>
          <w:lang w:eastAsia="zh-CN"/>
        </w:rPr>
        <w:t xml:space="preserve">, Ghosh S, </w:t>
      </w:r>
      <w:proofErr w:type="spellStart"/>
      <w:r w:rsidRPr="007531A0">
        <w:rPr>
          <w:rFonts w:ascii="Book Antiqua" w:eastAsia="DengXian" w:hAnsi="Book Antiqua"/>
          <w:kern w:val="2"/>
          <w:lang w:eastAsia="zh-CN"/>
        </w:rPr>
        <w:t>Dekovich</w:t>
      </w:r>
      <w:proofErr w:type="spellEnd"/>
      <w:r w:rsidRPr="007531A0">
        <w:rPr>
          <w:rFonts w:ascii="Book Antiqua" w:eastAsia="DengXian" w:hAnsi="Book Antiqua"/>
          <w:kern w:val="2"/>
          <w:lang w:eastAsia="zh-CN"/>
        </w:rPr>
        <w:t xml:space="preserve"> AA, Liu S, Ayers GD, Cleary KR, Lee JH, </w:t>
      </w:r>
      <w:proofErr w:type="spellStart"/>
      <w:r w:rsidRPr="007531A0">
        <w:rPr>
          <w:rFonts w:ascii="Book Antiqua" w:eastAsia="DengXian" w:hAnsi="Book Antiqua"/>
          <w:kern w:val="2"/>
          <w:lang w:eastAsia="zh-CN"/>
        </w:rPr>
        <w:t>Couriel</w:t>
      </w:r>
      <w:proofErr w:type="spellEnd"/>
      <w:r w:rsidRPr="007531A0">
        <w:rPr>
          <w:rFonts w:ascii="Book Antiqua" w:eastAsia="DengXian" w:hAnsi="Book Antiqua"/>
          <w:kern w:val="2"/>
          <w:lang w:eastAsia="zh-CN"/>
        </w:rPr>
        <w:t xml:space="preserve"> D. Endoscopic biopsy diagnosis of acute gastrointestinal graft-versus-host disease: rectosigmoid biopsies are more sensitive than upper gastrointestinal biopsies. </w:t>
      </w:r>
      <w:r w:rsidRPr="007531A0">
        <w:rPr>
          <w:rFonts w:ascii="Book Antiqua" w:eastAsia="DengXian" w:hAnsi="Book Antiqua"/>
          <w:i/>
          <w:kern w:val="2"/>
          <w:lang w:eastAsia="zh-CN"/>
        </w:rPr>
        <w:t>Am J Gastroenterol</w:t>
      </w:r>
      <w:r w:rsidRPr="007531A0">
        <w:rPr>
          <w:rFonts w:ascii="Book Antiqua" w:eastAsia="DengXian" w:hAnsi="Book Antiqua"/>
          <w:kern w:val="2"/>
          <w:lang w:eastAsia="zh-CN"/>
        </w:rPr>
        <w:t xml:space="preserve"> 2008; </w:t>
      </w:r>
      <w:r w:rsidRPr="007531A0">
        <w:rPr>
          <w:rFonts w:ascii="Book Antiqua" w:eastAsia="DengXian" w:hAnsi="Book Antiqua"/>
          <w:b/>
          <w:kern w:val="2"/>
          <w:lang w:eastAsia="zh-CN"/>
        </w:rPr>
        <w:t>103</w:t>
      </w:r>
      <w:r w:rsidRPr="007531A0">
        <w:rPr>
          <w:rFonts w:ascii="Book Antiqua" w:eastAsia="DengXian" w:hAnsi="Book Antiqua"/>
          <w:kern w:val="2"/>
          <w:lang w:eastAsia="zh-CN"/>
        </w:rPr>
        <w:t>: 982-989 [PMID: 18028511 DOI: 10.1111/j.1572-0241.2007.01639.x]</w:t>
      </w:r>
    </w:p>
    <w:p w14:paraId="35F67BAA"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15 </w:t>
      </w:r>
      <w:r w:rsidRPr="007531A0">
        <w:rPr>
          <w:rFonts w:ascii="Book Antiqua" w:eastAsia="DengXian" w:hAnsi="Book Antiqua"/>
          <w:b/>
          <w:kern w:val="2"/>
          <w:lang w:eastAsia="zh-CN"/>
        </w:rPr>
        <w:t>Sung AD</w:t>
      </w:r>
      <w:r w:rsidRPr="007531A0">
        <w:rPr>
          <w:rFonts w:ascii="Book Antiqua" w:eastAsia="DengXian" w:hAnsi="Book Antiqua"/>
          <w:kern w:val="2"/>
          <w:lang w:eastAsia="zh-CN"/>
        </w:rPr>
        <w:t xml:space="preserve">, Hassan S, Cardona DM, Wild D, Nichols KR, </w:t>
      </w:r>
      <w:proofErr w:type="spellStart"/>
      <w:r w:rsidRPr="007531A0">
        <w:rPr>
          <w:rFonts w:ascii="Book Antiqua" w:eastAsia="DengXian" w:hAnsi="Book Antiqua"/>
          <w:kern w:val="2"/>
          <w:lang w:eastAsia="zh-CN"/>
        </w:rPr>
        <w:t>Mehdikhani</w:t>
      </w:r>
      <w:proofErr w:type="spellEnd"/>
      <w:r w:rsidRPr="007531A0">
        <w:rPr>
          <w:rFonts w:ascii="Book Antiqua" w:eastAsia="DengXian" w:hAnsi="Book Antiqua"/>
          <w:kern w:val="2"/>
          <w:lang w:eastAsia="zh-CN"/>
        </w:rPr>
        <w:t xml:space="preserve"> H, </w:t>
      </w:r>
      <w:proofErr w:type="spellStart"/>
      <w:r w:rsidRPr="007531A0">
        <w:rPr>
          <w:rFonts w:ascii="Book Antiqua" w:eastAsia="DengXian" w:hAnsi="Book Antiqua"/>
          <w:kern w:val="2"/>
          <w:lang w:eastAsia="zh-CN"/>
        </w:rPr>
        <w:t>Balmadrid</w:t>
      </w:r>
      <w:proofErr w:type="spellEnd"/>
      <w:r w:rsidRPr="007531A0">
        <w:rPr>
          <w:rFonts w:ascii="Book Antiqua" w:eastAsia="DengXian" w:hAnsi="Book Antiqua"/>
          <w:kern w:val="2"/>
          <w:lang w:eastAsia="zh-CN"/>
        </w:rPr>
        <w:t xml:space="preserve"> B, Detweiler CJ, Shealy M, </w:t>
      </w:r>
      <w:proofErr w:type="spellStart"/>
      <w:r w:rsidRPr="007531A0">
        <w:rPr>
          <w:rFonts w:ascii="Book Antiqua" w:eastAsia="DengXian" w:hAnsi="Book Antiqua"/>
          <w:kern w:val="2"/>
          <w:lang w:eastAsia="zh-CN"/>
        </w:rPr>
        <w:t>Cirrincione</w:t>
      </w:r>
      <w:proofErr w:type="spellEnd"/>
      <w:r w:rsidRPr="007531A0">
        <w:rPr>
          <w:rFonts w:ascii="Book Antiqua" w:eastAsia="DengXian" w:hAnsi="Book Antiqua"/>
          <w:kern w:val="2"/>
          <w:lang w:eastAsia="zh-CN"/>
        </w:rPr>
        <w:t xml:space="preserve"> C, Li Z, </w:t>
      </w:r>
      <w:proofErr w:type="spellStart"/>
      <w:r w:rsidRPr="007531A0">
        <w:rPr>
          <w:rFonts w:ascii="Book Antiqua" w:eastAsia="DengXian" w:hAnsi="Book Antiqua"/>
          <w:kern w:val="2"/>
          <w:lang w:eastAsia="zh-CN"/>
        </w:rPr>
        <w:t>Poleski</w:t>
      </w:r>
      <w:proofErr w:type="spellEnd"/>
      <w:r w:rsidRPr="007531A0">
        <w:rPr>
          <w:rFonts w:ascii="Book Antiqua" w:eastAsia="DengXian" w:hAnsi="Book Antiqua"/>
          <w:kern w:val="2"/>
          <w:lang w:eastAsia="zh-CN"/>
        </w:rPr>
        <w:t xml:space="preserve"> M, Dalton TE, </w:t>
      </w:r>
      <w:proofErr w:type="spellStart"/>
      <w:r w:rsidRPr="007531A0">
        <w:rPr>
          <w:rFonts w:ascii="Book Antiqua" w:eastAsia="DengXian" w:hAnsi="Book Antiqua"/>
          <w:kern w:val="2"/>
          <w:lang w:eastAsia="zh-CN"/>
        </w:rPr>
        <w:t>Siamakpour-Reihani</w:t>
      </w:r>
      <w:proofErr w:type="spellEnd"/>
      <w:r w:rsidRPr="007531A0">
        <w:rPr>
          <w:rFonts w:ascii="Book Antiqua" w:eastAsia="DengXian" w:hAnsi="Book Antiqua"/>
          <w:kern w:val="2"/>
          <w:lang w:eastAsia="zh-CN"/>
        </w:rPr>
        <w:t xml:space="preserve"> S, Chao NJ, Sullivan KM. Late Gastrointestinal Complications of Allogeneic Hematopoietic Stem Cell Transplantation in Adults. </w:t>
      </w:r>
      <w:r w:rsidRPr="007531A0">
        <w:rPr>
          <w:rFonts w:ascii="Book Antiqua" w:eastAsia="DengXian" w:hAnsi="Book Antiqua"/>
          <w:i/>
          <w:kern w:val="2"/>
          <w:lang w:eastAsia="zh-CN"/>
        </w:rPr>
        <w:t>Biol Blood Marrow Transplant</w:t>
      </w:r>
      <w:r w:rsidRPr="007531A0">
        <w:rPr>
          <w:rFonts w:ascii="Book Antiqua" w:eastAsia="DengXian" w:hAnsi="Book Antiqua"/>
          <w:kern w:val="2"/>
          <w:lang w:eastAsia="zh-CN"/>
        </w:rPr>
        <w:t xml:space="preserve"> 2018; </w:t>
      </w:r>
      <w:r w:rsidRPr="007531A0">
        <w:rPr>
          <w:rFonts w:ascii="Book Antiqua" w:eastAsia="DengXian" w:hAnsi="Book Antiqua"/>
          <w:b/>
          <w:kern w:val="2"/>
          <w:lang w:eastAsia="zh-CN"/>
        </w:rPr>
        <w:t>24</w:t>
      </w:r>
      <w:r w:rsidRPr="007531A0">
        <w:rPr>
          <w:rFonts w:ascii="Book Antiqua" w:eastAsia="DengXian" w:hAnsi="Book Antiqua"/>
          <w:kern w:val="2"/>
          <w:lang w:eastAsia="zh-CN"/>
        </w:rPr>
        <w:t>: 734-740 [PMID: 29246821 DOI: 10.1016/j.bbmt.2017.12.772]</w:t>
      </w:r>
    </w:p>
    <w:p w14:paraId="4BF30BAA"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16 </w:t>
      </w:r>
      <w:r w:rsidRPr="007531A0">
        <w:rPr>
          <w:rFonts w:ascii="Book Antiqua" w:eastAsia="DengXian" w:hAnsi="Book Antiqua"/>
          <w:b/>
          <w:kern w:val="2"/>
          <w:lang w:eastAsia="zh-CN"/>
        </w:rPr>
        <w:t>Thompson B</w:t>
      </w:r>
      <w:r w:rsidRPr="007531A0">
        <w:rPr>
          <w:rFonts w:ascii="Book Antiqua" w:eastAsia="DengXian" w:hAnsi="Book Antiqua"/>
          <w:kern w:val="2"/>
          <w:lang w:eastAsia="zh-CN"/>
        </w:rPr>
        <w:t xml:space="preserve">, Salzman D, </w:t>
      </w:r>
      <w:proofErr w:type="spellStart"/>
      <w:r w:rsidRPr="007531A0">
        <w:rPr>
          <w:rFonts w:ascii="Book Antiqua" w:eastAsia="DengXian" w:hAnsi="Book Antiqua"/>
          <w:kern w:val="2"/>
          <w:lang w:eastAsia="zh-CN"/>
        </w:rPr>
        <w:t>Steinhauer</w:t>
      </w:r>
      <w:proofErr w:type="spellEnd"/>
      <w:r w:rsidRPr="007531A0">
        <w:rPr>
          <w:rFonts w:ascii="Book Antiqua" w:eastAsia="DengXian" w:hAnsi="Book Antiqua"/>
          <w:kern w:val="2"/>
          <w:lang w:eastAsia="zh-CN"/>
        </w:rPr>
        <w:t xml:space="preserve"> J, </w:t>
      </w:r>
      <w:proofErr w:type="spellStart"/>
      <w:r w:rsidRPr="007531A0">
        <w:rPr>
          <w:rFonts w:ascii="Book Antiqua" w:eastAsia="DengXian" w:hAnsi="Book Antiqua"/>
          <w:kern w:val="2"/>
          <w:lang w:eastAsia="zh-CN"/>
        </w:rPr>
        <w:t>Lazenby</w:t>
      </w:r>
      <w:proofErr w:type="spellEnd"/>
      <w:r w:rsidRPr="007531A0">
        <w:rPr>
          <w:rFonts w:ascii="Book Antiqua" w:eastAsia="DengXian" w:hAnsi="Book Antiqua"/>
          <w:kern w:val="2"/>
          <w:lang w:eastAsia="zh-CN"/>
        </w:rPr>
        <w:t xml:space="preserve"> AJ, Wilcox CM. Prospective endoscopic evaluation for gastrointestinal graft-versus-host disease: determination of the best diagnostic approach. </w:t>
      </w:r>
      <w:r w:rsidRPr="007531A0">
        <w:rPr>
          <w:rFonts w:ascii="Book Antiqua" w:eastAsia="DengXian" w:hAnsi="Book Antiqua"/>
          <w:i/>
          <w:kern w:val="2"/>
          <w:lang w:eastAsia="zh-CN"/>
        </w:rPr>
        <w:t>Bone Marrow Transplant</w:t>
      </w:r>
      <w:r w:rsidRPr="007531A0">
        <w:rPr>
          <w:rFonts w:ascii="Book Antiqua" w:eastAsia="DengXian" w:hAnsi="Book Antiqua"/>
          <w:kern w:val="2"/>
          <w:lang w:eastAsia="zh-CN"/>
        </w:rPr>
        <w:t xml:space="preserve"> 2006; </w:t>
      </w:r>
      <w:r w:rsidRPr="007531A0">
        <w:rPr>
          <w:rFonts w:ascii="Book Antiqua" w:eastAsia="DengXian" w:hAnsi="Book Antiqua"/>
          <w:b/>
          <w:kern w:val="2"/>
          <w:lang w:eastAsia="zh-CN"/>
        </w:rPr>
        <w:t>38</w:t>
      </w:r>
      <w:r w:rsidRPr="007531A0">
        <w:rPr>
          <w:rFonts w:ascii="Book Antiqua" w:eastAsia="DengXian" w:hAnsi="Book Antiqua"/>
          <w:kern w:val="2"/>
          <w:lang w:eastAsia="zh-CN"/>
        </w:rPr>
        <w:t>: 371-376 [PMID: 16915225 DOI: 10.1038/sj.bmt.1705453]</w:t>
      </w:r>
    </w:p>
    <w:p w14:paraId="4613499B"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17 </w:t>
      </w:r>
      <w:r w:rsidRPr="007531A0">
        <w:rPr>
          <w:rFonts w:ascii="Book Antiqua" w:eastAsia="DengXian" w:hAnsi="Book Antiqua"/>
          <w:b/>
          <w:kern w:val="2"/>
          <w:lang w:eastAsia="zh-CN"/>
        </w:rPr>
        <w:t>Daniel F</w:t>
      </w:r>
      <w:r w:rsidRPr="007531A0">
        <w:rPr>
          <w:rFonts w:ascii="Book Antiqua" w:eastAsia="DengXian" w:hAnsi="Book Antiqua"/>
          <w:kern w:val="2"/>
          <w:lang w:eastAsia="zh-CN"/>
        </w:rPr>
        <w:t xml:space="preserve">, Hassoun L, </w:t>
      </w:r>
      <w:proofErr w:type="spellStart"/>
      <w:r w:rsidRPr="007531A0">
        <w:rPr>
          <w:rFonts w:ascii="Book Antiqua" w:eastAsia="DengXian" w:hAnsi="Book Antiqua"/>
          <w:kern w:val="2"/>
          <w:lang w:eastAsia="zh-CN"/>
        </w:rPr>
        <w:t>Husni</w:t>
      </w:r>
      <w:proofErr w:type="spellEnd"/>
      <w:r w:rsidRPr="007531A0">
        <w:rPr>
          <w:rFonts w:ascii="Book Antiqua" w:eastAsia="DengXian" w:hAnsi="Book Antiqua"/>
          <w:kern w:val="2"/>
          <w:lang w:eastAsia="zh-CN"/>
        </w:rPr>
        <w:t xml:space="preserve"> M, </w:t>
      </w:r>
      <w:proofErr w:type="spellStart"/>
      <w:r w:rsidRPr="007531A0">
        <w:rPr>
          <w:rFonts w:ascii="Book Antiqua" w:eastAsia="DengXian" w:hAnsi="Book Antiqua"/>
          <w:kern w:val="2"/>
          <w:lang w:eastAsia="zh-CN"/>
        </w:rPr>
        <w:t>Sharara</w:t>
      </w:r>
      <w:proofErr w:type="spellEnd"/>
      <w:r w:rsidRPr="007531A0">
        <w:rPr>
          <w:rFonts w:ascii="Book Antiqua" w:eastAsia="DengXian" w:hAnsi="Book Antiqua"/>
          <w:kern w:val="2"/>
          <w:lang w:eastAsia="zh-CN"/>
        </w:rPr>
        <w:t xml:space="preserve"> A, </w:t>
      </w:r>
      <w:proofErr w:type="spellStart"/>
      <w:r w:rsidRPr="007531A0">
        <w:rPr>
          <w:rFonts w:ascii="Book Antiqua" w:eastAsia="DengXian" w:hAnsi="Book Antiqua"/>
          <w:kern w:val="2"/>
          <w:lang w:eastAsia="zh-CN"/>
        </w:rPr>
        <w:t>Soweid</w:t>
      </w:r>
      <w:proofErr w:type="spellEnd"/>
      <w:r w:rsidRPr="007531A0">
        <w:rPr>
          <w:rFonts w:ascii="Book Antiqua" w:eastAsia="DengXian" w:hAnsi="Book Antiqua"/>
          <w:kern w:val="2"/>
          <w:lang w:eastAsia="zh-CN"/>
        </w:rPr>
        <w:t xml:space="preserve"> A, </w:t>
      </w:r>
      <w:proofErr w:type="spellStart"/>
      <w:r w:rsidRPr="007531A0">
        <w:rPr>
          <w:rFonts w:ascii="Book Antiqua" w:eastAsia="DengXian" w:hAnsi="Book Antiqua"/>
          <w:kern w:val="2"/>
          <w:lang w:eastAsia="zh-CN"/>
        </w:rPr>
        <w:t>Barada</w:t>
      </w:r>
      <w:proofErr w:type="spellEnd"/>
      <w:r w:rsidRPr="007531A0">
        <w:rPr>
          <w:rFonts w:ascii="Book Antiqua" w:eastAsia="DengXian" w:hAnsi="Book Antiqua"/>
          <w:kern w:val="2"/>
          <w:lang w:eastAsia="zh-CN"/>
        </w:rPr>
        <w:t xml:space="preserve"> K, </w:t>
      </w:r>
      <w:proofErr w:type="spellStart"/>
      <w:r w:rsidRPr="007531A0">
        <w:rPr>
          <w:rFonts w:ascii="Book Antiqua" w:eastAsia="DengXian" w:hAnsi="Book Antiqua"/>
          <w:kern w:val="2"/>
          <w:lang w:eastAsia="zh-CN"/>
        </w:rPr>
        <w:t>Haffar</w:t>
      </w:r>
      <w:proofErr w:type="spellEnd"/>
      <w:r w:rsidRPr="007531A0">
        <w:rPr>
          <w:rFonts w:ascii="Book Antiqua" w:eastAsia="DengXian" w:hAnsi="Book Antiqua"/>
          <w:kern w:val="2"/>
          <w:lang w:eastAsia="zh-CN"/>
        </w:rPr>
        <w:t xml:space="preserve"> B, </w:t>
      </w:r>
      <w:proofErr w:type="spellStart"/>
      <w:r w:rsidRPr="007531A0">
        <w:rPr>
          <w:rFonts w:ascii="Book Antiqua" w:eastAsia="DengXian" w:hAnsi="Book Antiqua"/>
          <w:kern w:val="2"/>
          <w:lang w:eastAsia="zh-CN"/>
        </w:rPr>
        <w:t>Massoud</w:t>
      </w:r>
      <w:proofErr w:type="spellEnd"/>
      <w:r w:rsidRPr="007531A0">
        <w:rPr>
          <w:rFonts w:ascii="Book Antiqua" w:eastAsia="DengXian" w:hAnsi="Book Antiqua"/>
          <w:kern w:val="2"/>
          <w:lang w:eastAsia="zh-CN"/>
        </w:rPr>
        <w:t xml:space="preserve"> R, </w:t>
      </w:r>
      <w:proofErr w:type="spellStart"/>
      <w:r w:rsidRPr="007531A0">
        <w:rPr>
          <w:rFonts w:ascii="Book Antiqua" w:eastAsia="DengXian" w:hAnsi="Book Antiqua"/>
          <w:kern w:val="2"/>
          <w:lang w:eastAsia="zh-CN"/>
        </w:rPr>
        <w:t>Shaib</w:t>
      </w:r>
      <w:proofErr w:type="spellEnd"/>
      <w:r w:rsidRPr="007531A0">
        <w:rPr>
          <w:rFonts w:ascii="Book Antiqua" w:eastAsia="DengXian" w:hAnsi="Book Antiqua"/>
          <w:kern w:val="2"/>
          <w:lang w:eastAsia="zh-CN"/>
        </w:rPr>
        <w:t xml:space="preserve"> Y, Al-</w:t>
      </w:r>
      <w:proofErr w:type="spellStart"/>
      <w:r w:rsidRPr="007531A0">
        <w:rPr>
          <w:rFonts w:ascii="Book Antiqua" w:eastAsia="DengXian" w:hAnsi="Book Antiqua"/>
          <w:kern w:val="2"/>
          <w:lang w:eastAsia="zh-CN"/>
        </w:rPr>
        <w:t>Hashash</w:t>
      </w:r>
      <w:proofErr w:type="spellEnd"/>
      <w:r w:rsidRPr="007531A0">
        <w:rPr>
          <w:rFonts w:ascii="Book Antiqua" w:eastAsia="DengXian" w:hAnsi="Book Antiqua"/>
          <w:kern w:val="2"/>
          <w:lang w:eastAsia="zh-CN"/>
        </w:rPr>
        <w:t xml:space="preserve"> J, </w:t>
      </w:r>
      <w:proofErr w:type="spellStart"/>
      <w:r w:rsidRPr="007531A0">
        <w:rPr>
          <w:rFonts w:ascii="Book Antiqua" w:eastAsia="DengXian" w:hAnsi="Book Antiqua"/>
          <w:kern w:val="2"/>
          <w:lang w:eastAsia="zh-CN"/>
        </w:rPr>
        <w:t>Bazarbachi</w:t>
      </w:r>
      <w:proofErr w:type="spellEnd"/>
      <w:r w:rsidRPr="007531A0">
        <w:rPr>
          <w:rFonts w:ascii="Book Antiqua" w:eastAsia="DengXian" w:hAnsi="Book Antiqua"/>
          <w:kern w:val="2"/>
          <w:lang w:eastAsia="zh-CN"/>
        </w:rPr>
        <w:t xml:space="preserve"> A, El </w:t>
      </w:r>
      <w:proofErr w:type="spellStart"/>
      <w:r w:rsidRPr="007531A0">
        <w:rPr>
          <w:rFonts w:ascii="Book Antiqua" w:eastAsia="DengXian" w:hAnsi="Book Antiqua"/>
          <w:kern w:val="2"/>
          <w:lang w:eastAsia="zh-CN"/>
        </w:rPr>
        <w:t>Cheikh</w:t>
      </w:r>
      <w:proofErr w:type="spellEnd"/>
      <w:r w:rsidRPr="007531A0">
        <w:rPr>
          <w:rFonts w:ascii="Book Antiqua" w:eastAsia="DengXian" w:hAnsi="Book Antiqua"/>
          <w:kern w:val="2"/>
          <w:lang w:eastAsia="zh-CN"/>
        </w:rPr>
        <w:t xml:space="preserve"> J. Site specific diagnostic yield of endoscopic biopsies in Gastrointestinal Graft-versus-Host Disease: A tertiary care Center experience. </w:t>
      </w:r>
      <w:proofErr w:type="spellStart"/>
      <w:r w:rsidRPr="007531A0">
        <w:rPr>
          <w:rFonts w:ascii="Book Antiqua" w:eastAsia="DengXian" w:hAnsi="Book Antiqua"/>
          <w:i/>
          <w:kern w:val="2"/>
          <w:lang w:eastAsia="zh-CN"/>
        </w:rPr>
        <w:t>Curr</w:t>
      </w:r>
      <w:proofErr w:type="spellEnd"/>
      <w:r w:rsidRPr="007531A0">
        <w:rPr>
          <w:rFonts w:ascii="Book Antiqua" w:eastAsia="DengXian" w:hAnsi="Book Antiqua"/>
          <w:i/>
          <w:kern w:val="2"/>
          <w:lang w:eastAsia="zh-CN"/>
        </w:rPr>
        <w:t xml:space="preserve"> Res </w:t>
      </w:r>
      <w:proofErr w:type="spellStart"/>
      <w:r w:rsidRPr="007531A0">
        <w:rPr>
          <w:rFonts w:ascii="Book Antiqua" w:eastAsia="DengXian" w:hAnsi="Book Antiqua"/>
          <w:i/>
          <w:kern w:val="2"/>
          <w:lang w:eastAsia="zh-CN"/>
        </w:rPr>
        <w:t>Transl</w:t>
      </w:r>
      <w:proofErr w:type="spellEnd"/>
      <w:r w:rsidRPr="007531A0">
        <w:rPr>
          <w:rFonts w:ascii="Book Antiqua" w:eastAsia="DengXian" w:hAnsi="Book Antiqua"/>
          <w:i/>
          <w:kern w:val="2"/>
          <w:lang w:eastAsia="zh-CN"/>
        </w:rPr>
        <w:t xml:space="preserve"> Med</w:t>
      </w:r>
      <w:r w:rsidRPr="007531A0">
        <w:rPr>
          <w:rFonts w:ascii="Book Antiqua" w:eastAsia="DengXian" w:hAnsi="Book Antiqua"/>
          <w:kern w:val="2"/>
          <w:lang w:eastAsia="zh-CN"/>
        </w:rPr>
        <w:t xml:space="preserve"> 2019; </w:t>
      </w:r>
      <w:r w:rsidRPr="007531A0">
        <w:rPr>
          <w:rFonts w:ascii="Book Antiqua" w:eastAsia="DengXian" w:hAnsi="Book Antiqua"/>
          <w:b/>
          <w:kern w:val="2"/>
          <w:lang w:eastAsia="zh-CN"/>
        </w:rPr>
        <w:t>67</w:t>
      </w:r>
      <w:r w:rsidRPr="007531A0">
        <w:rPr>
          <w:rFonts w:ascii="Book Antiqua" w:eastAsia="DengXian" w:hAnsi="Book Antiqua"/>
          <w:kern w:val="2"/>
          <w:lang w:eastAsia="zh-CN"/>
        </w:rPr>
        <w:t>: 16-19 [PMID: 30206046 DOI: 10.1016/j.retram.2018.08.001]</w:t>
      </w:r>
    </w:p>
    <w:p w14:paraId="6CFB98C5"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18 </w:t>
      </w:r>
      <w:r w:rsidRPr="007531A0">
        <w:rPr>
          <w:rFonts w:ascii="Book Antiqua" w:eastAsia="DengXian" w:hAnsi="Book Antiqua"/>
          <w:b/>
          <w:kern w:val="2"/>
          <w:lang w:eastAsia="zh-CN"/>
        </w:rPr>
        <w:t>Liu A</w:t>
      </w:r>
      <w:r w:rsidRPr="007531A0">
        <w:rPr>
          <w:rFonts w:ascii="Book Antiqua" w:eastAsia="DengXian" w:hAnsi="Book Antiqua"/>
          <w:kern w:val="2"/>
          <w:lang w:eastAsia="zh-CN"/>
        </w:rPr>
        <w:t>, Meyer E, Johnston L, Brown J, Gerson LB. Prevalence of graft versus host disease and cytomegalovirus infection in patients post-</w:t>
      </w:r>
      <w:proofErr w:type="spellStart"/>
      <w:r w:rsidRPr="007531A0">
        <w:rPr>
          <w:rFonts w:ascii="Book Antiqua" w:eastAsia="DengXian" w:hAnsi="Book Antiqua"/>
          <w:kern w:val="2"/>
          <w:lang w:eastAsia="zh-CN"/>
        </w:rPr>
        <w:t>haematopoietic</w:t>
      </w:r>
      <w:proofErr w:type="spellEnd"/>
      <w:r w:rsidRPr="007531A0">
        <w:rPr>
          <w:rFonts w:ascii="Book Antiqua" w:eastAsia="DengXian" w:hAnsi="Book Antiqua"/>
          <w:kern w:val="2"/>
          <w:lang w:eastAsia="zh-CN"/>
        </w:rPr>
        <w:t xml:space="preserve"> cell transplantation presenting with gastrointestinal symptoms. </w:t>
      </w:r>
      <w:r w:rsidRPr="007531A0">
        <w:rPr>
          <w:rFonts w:ascii="Book Antiqua" w:eastAsia="DengXian" w:hAnsi="Book Antiqua"/>
          <w:i/>
          <w:kern w:val="2"/>
          <w:lang w:eastAsia="zh-CN"/>
        </w:rPr>
        <w:t xml:space="preserve">Aliment </w:t>
      </w:r>
      <w:proofErr w:type="spellStart"/>
      <w:r w:rsidRPr="007531A0">
        <w:rPr>
          <w:rFonts w:ascii="Book Antiqua" w:eastAsia="DengXian" w:hAnsi="Book Antiqua"/>
          <w:i/>
          <w:kern w:val="2"/>
          <w:lang w:eastAsia="zh-CN"/>
        </w:rPr>
        <w:t>Pharmacol</w:t>
      </w:r>
      <w:proofErr w:type="spellEnd"/>
      <w:r w:rsidRPr="007531A0">
        <w:rPr>
          <w:rFonts w:ascii="Book Antiqua" w:eastAsia="DengXian" w:hAnsi="Book Antiqua"/>
          <w:i/>
          <w:kern w:val="2"/>
          <w:lang w:eastAsia="zh-CN"/>
        </w:rPr>
        <w:t xml:space="preserve"> </w:t>
      </w:r>
      <w:proofErr w:type="spellStart"/>
      <w:r w:rsidRPr="007531A0">
        <w:rPr>
          <w:rFonts w:ascii="Book Antiqua" w:eastAsia="DengXian" w:hAnsi="Book Antiqua"/>
          <w:i/>
          <w:kern w:val="2"/>
          <w:lang w:eastAsia="zh-CN"/>
        </w:rPr>
        <w:t>Ther</w:t>
      </w:r>
      <w:proofErr w:type="spellEnd"/>
      <w:r w:rsidRPr="007531A0">
        <w:rPr>
          <w:rFonts w:ascii="Book Antiqua" w:eastAsia="DengXian" w:hAnsi="Book Antiqua"/>
          <w:kern w:val="2"/>
          <w:lang w:eastAsia="zh-CN"/>
        </w:rPr>
        <w:t xml:space="preserve"> 2013; </w:t>
      </w:r>
      <w:r w:rsidRPr="007531A0">
        <w:rPr>
          <w:rFonts w:ascii="Book Antiqua" w:eastAsia="DengXian" w:hAnsi="Book Antiqua"/>
          <w:b/>
          <w:kern w:val="2"/>
          <w:lang w:eastAsia="zh-CN"/>
        </w:rPr>
        <w:t>38</w:t>
      </w:r>
      <w:r w:rsidRPr="007531A0">
        <w:rPr>
          <w:rFonts w:ascii="Book Antiqua" w:eastAsia="DengXian" w:hAnsi="Book Antiqua"/>
          <w:kern w:val="2"/>
          <w:lang w:eastAsia="zh-CN"/>
        </w:rPr>
        <w:t>: 955-966 [PMID: 24003975 DOI: 10.1111/apt.12468]</w:t>
      </w:r>
    </w:p>
    <w:p w14:paraId="0B20B920"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19 </w:t>
      </w:r>
      <w:r w:rsidRPr="007531A0">
        <w:rPr>
          <w:rFonts w:ascii="Book Antiqua" w:eastAsia="DengXian" w:hAnsi="Book Antiqua"/>
          <w:b/>
          <w:kern w:val="2"/>
          <w:lang w:eastAsia="zh-CN"/>
        </w:rPr>
        <w:t>Cloutier J</w:t>
      </w:r>
      <w:r w:rsidRPr="007531A0">
        <w:rPr>
          <w:rFonts w:ascii="Book Antiqua" w:eastAsia="DengXian" w:hAnsi="Book Antiqua"/>
          <w:kern w:val="2"/>
          <w:lang w:eastAsia="zh-CN"/>
        </w:rPr>
        <w:t xml:space="preserve">, Wall DA, Paulsen K, Bernstein CN. Upper Versus Lower Endoscopy in the Diagnosis of Graft-Versus-Host Disease. </w:t>
      </w:r>
      <w:r w:rsidRPr="007531A0">
        <w:rPr>
          <w:rFonts w:ascii="Book Antiqua" w:eastAsia="DengXian" w:hAnsi="Book Antiqua"/>
          <w:i/>
          <w:kern w:val="2"/>
          <w:lang w:eastAsia="zh-CN"/>
        </w:rPr>
        <w:t>J Clin Gastroenterol</w:t>
      </w:r>
      <w:r w:rsidRPr="007531A0">
        <w:rPr>
          <w:rFonts w:ascii="Book Antiqua" w:eastAsia="DengXian" w:hAnsi="Book Antiqua"/>
          <w:kern w:val="2"/>
          <w:lang w:eastAsia="zh-CN"/>
        </w:rPr>
        <w:t xml:space="preserve"> 2017; </w:t>
      </w:r>
      <w:r w:rsidRPr="007531A0">
        <w:rPr>
          <w:rFonts w:ascii="Book Antiqua" w:eastAsia="DengXian" w:hAnsi="Book Antiqua"/>
          <w:b/>
          <w:kern w:val="2"/>
          <w:lang w:eastAsia="zh-CN"/>
        </w:rPr>
        <w:t>51</w:t>
      </w:r>
      <w:r w:rsidRPr="007531A0">
        <w:rPr>
          <w:rFonts w:ascii="Book Antiqua" w:eastAsia="DengXian" w:hAnsi="Book Antiqua"/>
          <w:kern w:val="2"/>
          <w:lang w:eastAsia="zh-CN"/>
        </w:rPr>
        <w:t>: 701-706 [PMID: 27428729 DOI: 10.1097/MCG.0000000000000609]</w:t>
      </w:r>
    </w:p>
    <w:p w14:paraId="016AC856"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20 </w:t>
      </w:r>
      <w:r w:rsidRPr="007531A0">
        <w:rPr>
          <w:rFonts w:ascii="Book Antiqua" w:eastAsia="DengXian" w:hAnsi="Book Antiqua"/>
          <w:b/>
          <w:kern w:val="2"/>
          <w:lang w:eastAsia="zh-CN"/>
        </w:rPr>
        <w:t>Cheung DY</w:t>
      </w:r>
      <w:r w:rsidRPr="007531A0">
        <w:rPr>
          <w:rFonts w:ascii="Book Antiqua" w:eastAsia="DengXian" w:hAnsi="Book Antiqua"/>
          <w:kern w:val="2"/>
          <w:lang w:eastAsia="zh-CN"/>
        </w:rPr>
        <w:t xml:space="preserve">, Kim JI, Kim SS, Sung HY, Cho SH, Park SH, Han JY, Kim JK, Lee JW, Min WS, Park GS, Kang CS. Endoscopic evaluation in gastrointestinal graft-versus-host disease: comparisons with histological findings. </w:t>
      </w:r>
      <w:r w:rsidRPr="007531A0">
        <w:rPr>
          <w:rFonts w:ascii="Book Antiqua" w:eastAsia="DengXian" w:hAnsi="Book Antiqua"/>
          <w:i/>
          <w:kern w:val="2"/>
          <w:lang w:eastAsia="zh-CN"/>
        </w:rPr>
        <w:t>Dig Dis Sci</w:t>
      </w:r>
      <w:r w:rsidRPr="007531A0">
        <w:rPr>
          <w:rFonts w:ascii="Book Antiqua" w:eastAsia="DengXian" w:hAnsi="Book Antiqua"/>
          <w:kern w:val="2"/>
          <w:lang w:eastAsia="zh-CN"/>
        </w:rPr>
        <w:t xml:space="preserve"> 2008; </w:t>
      </w:r>
      <w:r w:rsidRPr="007531A0">
        <w:rPr>
          <w:rFonts w:ascii="Book Antiqua" w:eastAsia="DengXian" w:hAnsi="Book Antiqua"/>
          <w:b/>
          <w:kern w:val="2"/>
          <w:lang w:eastAsia="zh-CN"/>
        </w:rPr>
        <w:t>53</w:t>
      </w:r>
      <w:r w:rsidRPr="007531A0">
        <w:rPr>
          <w:rFonts w:ascii="Book Antiqua" w:eastAsia="DengXian" w:hAnsi="Book Antiqua"/>
          <w:kern w:val="2"/>
          <w:lang w:eastAsia="zh-CN"/>
        </w:rPr>
        <w:t>: 2947-2954 [PMID: 18401714 DOI: 10.1007/s10620-008-0262-6]</w:t>
      </w:r>
    </w:p>
    <w:p w14:paraId="78943832"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lastRenderedPageBreak/>
        <w:t xml:space="preserve">21 </w:t>
      </w:r>
      <w:proofErr w:type="spellStart"/>
      <w:r w:rsidRPr="007531A0">
        <w:rPr>
          <w:rFonts w:ascii="Book Antiqua" w:eastAsia="DengXian" w:hAnsi="Book Antiqua"/>
          <w:b/>
          <w:kern w:val="2"/>
          <w:lang w:eastAsia="zh-CN"/>
        </w:rPr>
        <w:t>Altun</w:t>
      </w:r>
      <w:proofErr w:type="spellEnd"/>
      <w:r w:rsidRPr="007531A0">
        <w:rPr>
          <w:rFonts w:ascii="Book Antiqua" w:eastAsia="DengXian" w:hAnsi="Book Antiqua"/>
          <w:b/>
          <w:kern w:val="2"/>
          <w:lang w:eastAsia="zh-CN"/>
        </w:rPr>
        <w:t xml:space="preserve"> R</w:t>
      </w:r>
      <w:r w:rsidRPr="007531A0">
        <w:rPr>
          <w:rFonts w:ascii="Book Antiqua" w:eastAsia="DengXian" w:hAnsi="Book Antiqua"/>
          <w:kern w:val="2"/>
          <w:lang w:eastAsia="zh-CN"/>
        </w:rPr>
        <w:t xml:space="preserve">, </w:t>
      </w:r>
      <w:proofErr w:type="spellStart"/>
      <w:r w:rsidRPr="007531A0">
        <w:rPr>
          <w:rFonts w:ascii="Book Antiqua" w:eastAsia="DengXian" w:hAnsi="Book Antiqua"/>
          <w:kern w:val="2"/>
          <w:lang w:eastAsia="zh-CN"/>
        </w:rPr>
        <w:t>Gökmen</w:t>
      </w:r>
      <w:proofErr w:type="spellEnd"/>
      <w:r w:rsidRPr="007531A0">
        <w:rPr>
          <w:rFonts w:ascii="Book Antiqua" w:eastAsia="DengXian" w:hAnsi="Book Antiqua"/>
          <w:kern w:val="2"/>
          <w:lang w:eastAsia="zh-CN"/>
        </w:rPr>
        <w:t xml:space="preserve"> A, </w:t>
      </w:r>
      <w:proofErr w:type="spellStart"/>
      <w:r w:rsidRPr="007531A0">
        <w:rPr>
          <w:rFonts w:ascii="Book Antiqua" w:eastAsia="DengXian" w:hAnsi="Book Antiqua"/>
          <w:kern w:val="2"/>
          <w:lang w:eastAsia="zh-CN"/>
        </w:rPr>
        <w:t>Tek</w:t>
      </w:r>
      <w:proofErr w:type="spellEnd"/>
      <w:r w:rsidRPr="007531A0">
        <w:rPr>
          <w:rFonts w:ascii="Book Antiqua" w:eastAsia="DengXian" w:hAnsi="Book Antiqua"/>
          <w:kern w:val="2"/>
          <w:lang w:eastAsia="zh-CN"/>
        </w:rPr>
        <w:t xml:space="preserve"> İ, </w:t>
      </w:r>
      <w:proofErr w:type="spellStart"/>
      <w:r w:rsidRPr="007531A0">
        <w:rPr>
          <w:rFonts w:ascii="Book Antiqua" w:eastAsia="DengXian" w:hAnsi="Book Antiqua"/>
          <w:kern w:val="2"/>
          <w:lang w:eastAsia="zh-CN"/>
        </w:rPr>
        <w:t>Soydan</w:t>
      </w:r>
      <w:proofErr w:type="spellEnd"/>
      <w:r w:rsidRPr="007531A0">
        <w:rPr>
          <w:rFonts w:ascii="Book Antiqua" w:eastAsia="DengXian" w:hAnsi="Book Antiqua"/>
          <w:kern w:val="2"/>
          <w:lang w:eastAsia="zh-CN"/>
        </w:rPr>
        <w:t xml:space="preserve"> E, Kurt </w:t>
      </w:r>
      <w:proofErr w:type="spellStart"/>
      <w:r w:rsidRPr="007531A0">
        <w:rPr>
          <w:rFonts w:ascii="Book Antiqua" w:eastAsia="DengXian" w:hAnsi="Book Antiqua"/>
          <w:kern w:val="2"/>
          <w:lang w:eastAsia="zh-CN"/>
        </w:rPr>
        <w:t>Yüksel</w:t>
      </w:r>
      <w:proofErr w:type="spellEnd"/>
      <w:r w:rsidRPr="007531A0">
        <w:rPr>
          <w:rFonts w:ascii="Book Antiqua" w:eastAsia="DengXian" w:hAnsi="Book Antiqua"/>
          <w:kern w:val="2"/>
          <w:lang w:eastAsia="zh-CN"/>
        </w:rPr>
        <w:t xml:space="preserve"> M. Endoscopic evaluation of acute intestinal graft-versus-host disease after allogeneic hematopoietic cell transplantation. </w:t>
      </w:r>
      <w:r w:rsidRPr="007531A0">
        <w:rPr>
          <w:rFonts w:ascii="Book Antiqua" w:eastAsia="DengXian" w:hAnsi="Book Antiqua"/>
          <w:i/>
          <w:kern w:val="2"/>
          <w:lang w:eastAsia="zh-CN"/>
        </w:rPr>
        <w:t>Turk J Gastroenterol</w:t>
      </w:r>
      <w:r w:rsidRPr="007531A0">
        <w:rPr>
          <w:rFonts w:ascii="Book Antiqua" w:eastAsia="DengXian" w:hAnsi="Book Antiqua"/>
          <w:kern w:val="2"/>
          <w:lang w:eastAsia="zh-CN"/>
        </w:rPr>
        <w:t xml:space="preserve"> 2016; </w:t>
      </w:r>
      <w:r w:rsidRPr="007531A0">
        <w:rPr>
          <w:rFonts w:ascii="Book Antiqua" w:eastAsia="DengXian" w:hAnsi="Book Antiqua"/>
          <w:b/>
          <w:kern w:val="2"/>
          <w:lang w:eastAsia="zh-CN"/>
        </w:rPr>
        <w:t>27</w:t>
      </w:r>
      <w:r w:rsidRPr="007531A0">
        <w:rPr>
          <w:rFonts w:ascii="Book Antiqua" w:eastAsia="DengXian" w:hAnsi="Book Antiqua"/>
          <w:kern w:val="2"/>
          <w:lang w:eastAsia="zh-CN"/>
        </w:rPr>
        <w:t>: 312-316 [PMID: 27458845 DOI: 10.5152/tjg.2016.15353]</w:t>
      </w:r>
    </w:p>
    <w:p w14:paraId="693CD5C4"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22 </w:t>
      </w:r>
      <w:r w:rsidRPr="007531A0">
        <w:rPr>
          <w:rFonts w:ascii="Book Antiqua" w:eastAsia="DengXian" w:hAnsi="Book Antiqua"/>
          <w:b/>
          <w:kern w:val="2"/>
          <w:lang w:eastAsia="zh-CN"/>
        </w:rPr>
        <w:t>Scott AP</w:t>
      </w:r>
      <w:r w:rsidRPr="007531A0">
        <w:rPr>
          <w:rFonts w:ascii="Book Antiqua" w:eastAsia="DengXian" w:hAnsi="Book Antiqua"/>
          <w:kern w:val="2"/>
          <w:lang w:eastAsia="zh-CN"/>
        </w:rPr>
        <w:t xml:space="preserve">, </w:t>
      </w:r>
      <w:proofErr w:type="spellStart"/>
      <w:r w:rsidRPr="007531A0">
        <w:rPr>
          <w:rFonts w:ascii="Book Antiqua" w:eastAsia="DengXian" w:hAnsi="Book Antiqua"/>
          <w:kern w:val="2"/>
          <w:lang w:eastAsia="zh-CN"/>
        </w:rPr>
        <w:t>Tey</w:t>
      </w:r>
      <w:proofErr w:type="spellEnd"/>
      <w:r w:rsidRPr="007531A0">
        <w:rPr>
          <w:rFonts w:ascii="Book Antiqua" w:eastAsia="DengXian" w:hAnsi="Book Antiqua"/>
          <w:kern w:val="2"/>
          <w:lang w:eastAsia="zh-CN"/>
        </w:rPr>
        <w:t xml:space="preserve"> SK, Butler J, Kennedy GA. Diagnostic Utility of Endoscopy and Biopsy in Suspected Acute Gastrointestinal Graft-versus-Host Disease after Hematopoietic Progenitor Cell Transplantation. </w:t>
      </w:r>
      <w:r w:rsidRPr="007531A0">
        <w:rPr>
          <w:rFonts w:ascii="Book Antiqua" w:eastAsia="DengXian" w:hAnsi="Book Antiqua"/>
          <w:i/>
          <w:kern w:val="2"/>
          <w:lang w:eastAsia="zh-CN"/>
        </w:rPr>
        <w:t>Biol Blood Marrow Transplant</w:t>
      </w:r>
      <w:r w:rsidRPr="007531A0">
        <w:rPr>
          <w:rFonts w:ascii="Book Antiqua" w:eastAsia="DengXian" w:hAnsi="Book Antiqua"/>
          <w:kern w:val="2"/>
          <w:lang w:eastAsia="zh-CN"/>
        </w:rPr>
        <w:t xml:space="preserve"> 2018; </w:t>
      </w:r>
      <w:r w:rsidRPr="007531A0">
        <w:rPr>
          <w:rFonts w:ascii="Book Antiqua" w:eastAsia="DengXian" w:hAnsi="Book Antiqua"/>
          <w:b/>
          <w:kern w:val="2"/>
          <w:lang w:eastAsia="zh-CN"/>
        </w:rPr>
        <w:t>24</w:t>
      </w:r>
      <w:r w:rsidRPr="007531A0">
        <w:rPr>
          <w:rFonts w:ascii="Book Antiqua" w:eastAsia="DengXian" w:hAnsi="Book Antiqua"/>
          <w:kern w:val="2"/>
          <w:lang w:eastAsia="zh-CN"/>
        </w:rPr>
        <w:t>: 1294-1298 [PMID: 29410342 DOI: 10.1016/j.bbmt.2018.01.034]</w:t>
      </w:r>
    </w:p>
    <w:p w14:paraId="5DE1B278" w14:textId="40B3BBEB"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23 </w:t>
      </w:r>
      <w:r w:rsidRPr="007531A0">
        <w:rPr>
          <w:rFonts w:ascii="Book Antiqua" w:eastAsia="DengXian" w:hAnsi="Book Antiqua"/>
          <w:b/>
          <w:kern w:val="2"/>
          <w:lang w:eastAsia="zh-CN"/>
        </w:rPr>
        <w:t xml:space="preserve">ASGE </w:t>
      </w:r>
      <w:r w:rsidR="00903D2B">
        <w:rPr>
          <w:rFonts w:ascii="Book Antiqua" w:eastAsia="DengXian" w:hAnsi="Book Antiqua"/>
          <w:b/>
          <w:kern w:val="2"/>
          <w:lang w:eastAsia="zh-CN"/>
        </w:rPr>
        <w:t>Standards of Practice Committee</w:t>
      </w:r>
      <w:r w:rsidRPr="007531A0">
        <w:rPr>
          <w:rFonts w:ascii="Book Antiqua" w:eastAsia="DengXian" w:hAnsi="Book Antiqua"/>
          <w:kern w:val="2"/>
          <w:lang w:eastAsia="zh-CN"/>
        </w:rPr>
        <w:t xml:space="preserve">, Ben-Menachem T, Decker GA, Early DS, Evans J, Fanelli RD, Fisher DA, Fisher L, </w:t>
      </w:r>
      <w:proofErr w:type="spellStart"/>
      <w:r w:rsidRPr="007531A0">
        <w:rPr>
          <w:rFonts w:ascii="Book Antiqua" w:eastAsia="DengXian" w:hAnsi="Book Antiqua"/>
          <w:kern w:val="2"/>
          <w:lang w:eastAsia="zh-CN"/>
        </w:rPr>
        <w:t>Fukami</w:t>
      </w:r>
      <w:proofErr w:type="spellEnd"/>
      <w:r w:rsidRPr="007531A0">
        <w:rPr>
          <w:rFonts w:ascii="Book Antiqua" w:eastAsia="DengXian" w:hAnsi="Book Antiqua"/>
          <w:kern w:val="2"/>
          <w:lang w:eastAsia="zh-CN"/>
        </w:rPr>
        <w:t xml:space="preserve"> N, Hwang JH, </w:t>
      </w:r>
      <w:proofErr w:type="spellStart"/>
      <w:r w:rsidRPr="007531A0">
        <w:rPr>
          <w:rFonts w:ascii="Book Antiqua" w:eastAsia="DengXian" w:hAnsi="Book Antiqua"/>
          <w:kern w:val="2"/>
          <w:lang w:eastAsia="zh-CN"/>
        </w:rPr>
        <w:t>Ikenberry</w:t>
      </w:r>
      <w:proofErr w:type="spellEnd"/>
      <w:r w:rsidRPr="007531A0">
        <w:rPr>
          <w:rFonts w:ascii="Book Antiqua" w:eastAsia="DengXian" w:hAnsi="Book Antiqua"/>
          <w:kern w:val="2"/>
          <w:lang w:eastAsia="zh-CN"/>
        </w:rPr>
        <w:t xml:space="preserve"> SO, Jain R, </w:t>
      </w:r>
      <w:proofErr w:type="spellStart"/>
      <w:r w:rsidRPr="007531A0">
        <w:rPr>
          <w:rFonts w:ascii="Book Antiqua" w:eastAsia="DengXian" w:hAnsi="Book Antiqua"/>
          <w:kern w:val="2"/>
          <w:lang w:eastAsia="zh-CN"/>
        </w:rPr>
        <w:t>Jue</w:t>
      </w:r>
      <w:proofErr w:type="spellEnd"/>
      <w:r w:rsidRPr="007531A0">
        <w:rPr>
          <w:rFonts w:ascii="Book Antiqua" w:eastAsia="DengXian" w:hAnsi="Book Antiqua"/>
          <w:kern w:val="2"/>
          <w:lang w:eastAsia="zh-CN"/>
        </w:rPr>
        <w:t xml:space="preserve"> TL, Khan KM, </w:t>
      </w:r>
      <w:proofErr w:type="spellStart"/>
      <w:r w:rsidRPr="007531A0">
        <w:rPr>
          <w:rFonts w:ascii="Book Antiqua" w:eastAsia="DengXian" w:hAnsi="Book Antiqua"/>
          <w:kern w:val="2"/>
          <w:lang w:eastAsia="zh-CN"/>
        </w:rPr>
        <w:t>Krinsky</w:t>
      </w:r>
      <w:proofErr w:type="spellEnd"/>
      <w:r w:rsidRPr="007531A0">
        <w:rPr>
          <w:rFonts w:ascii="Book Antiqua" w:eastAsia="DengXian" w:hAnsi="Book Antiqua"/>
          <w:kern w:val="2"/>
          <w:lang w:eastAsia="zh-CN"/>
        </w:rPr>
        <w:t xml:space="preserve"> ML, Malpas PM, Maple JT, Sharaf RN, </w:t>
      </w:r>
      <w:proofErr w:type="spellStart"/>
      <w:r w:rsidRPr="007531A0">
        <w:rPr>
          <w:rFonts w:ascii="Book Antiqua" w:eastAsia="DengXian" w:hAnsi="Book Antiqua"/>
          <w:kern w:val="2"/>
          <w:lang w:eastAsia="zh-CN"/>
        </w:rPr>
        <w:t>Dominitz</w:t>
      </w:r>
      <w:proofErr w:type="spellEnd"/>
      <w:r w:rsidRPr="007531A0">
        <w:rPr>
          <w:rFonts w:ascii="Book Antiqua" w:eastAsia="DengXian" w:hAnsi="Book Antiqua"/>
          <w:kern w:val="2"/>
          <w:lang w:eastAsia="zh-CN"/>
        </w:rPr>
        <w:t xml:space="preserve"> JA, Cash BD. Adverse events of upper GI endoscopy. </w:t>
      </w:r>
      <w:proofErr w:type="spellStart"/>
      <w:r w:rsidRPr="007531A0">
        <w:rPr>
          <w:rFonts w:ascii="Book Antiqua" w:eastAsia="DengXian" w:hAnsi="Book Antiqua"/>
          <w:i/>
          <w:kern w:val="2"/>
          <w:lang w:eastAsia="zh-CN"/>
        </w:rPr>
        <w:t>Gastrointest</w:t>
      </w:r>
      <w:proofErr w:type="spellEnd"/>
      <w:r w:rsidRPr="007531A0">
        <w:rPr>
          <w:rFonts w:ascii="Book Antiqua" w:eastAsia="DengXian" w:hAnsi="Book Antiqua"/>
          <w:i/>
          <w:kern w:val="2"/>
          <w:lang w:eastAsia="zh-CN"/>
        </w:rPr>
        <w:t xml:space="preserve"> </w:t>
      </w:r>
      <w:proofErr w:type="spellStart"/>
      <w:r w:rsidRPr="007531A0">
        <w:rPr>
          <w:rFonts w:ascii="Book Antiqua" w:eastAsia="DengXian" w:hAnsi="Book Antiqua"/>
          <w:i/>
          <w:kern w:val="2"/>
          <w:lang w:eastAsia="zh-CN"/>
        </w:rPr>
        <w:t>Endosc</w:t>
      </w:r>
      <w:proofErr w:type="spellEnd"/>
      <w:r w:rsidRPr="007531A0">
        <w:rPr>
          <w:rFonts w:ascii="Book Antiqua" w:eastAsia="DengXian" w:hAnsi="Book Antiqua"/>
          <w:kern w:val="2"/>
          <w:lang w:eastAsia="zh-CN"/>
        </w:rPr>
        <w:t xml:space="preserve"> 2012; </w:t>
      </w:r>
      <w:r w:rsidRPr="007531A0">
        <w:rPr>
          <w:rFonts w:ascii="Book Antiqua" w:eastAsia="DengXian" w:hAnsi="Book Antiqua"/>
          <w:b/>
          <w:kern w:val="2"/>
          <w:lang w:eastAsia="zh-CN"/>
        </w:rPr>
        <w:t>76</w:t>
      </w:r>
      <w:r w:rsidRPr="007531A0">
        <w:rPr>
          <w:rFonts w:ascii="Book Antiqua" w:eastAsia="DengXian" w:hAnsi="Book Antiqua"/>
          <w:kern w:val="2"/>
          <w:lang w:eastAsia="zh-CN"/>
        </w:rPr>
        <w:t>: 707-718 [PMID: 22985638 DOI: 10.1016/j.gie.2012.03.252]</w:t>
      </w:r>
    </w:p>
    <w:p w14:paraId="36887F82"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24 </w:t>
      </w:r>
      <w:r w:rsidRPr="007531A0">
        <w:rPr>
          <w:rFonts w:ascii="Book Antiqua" w:eastAsia="DengXian" w:hAnsi="Book Antiqua"/>
          <w:b/>
          <w:kern w:val="2"/>
          <w:lang w:eastAsia="zh-CN"/>
        </w:rPr>
        <w:t xml:space="preserve">Van </w:t>
      </w:r>
      <w:proofErr w:type="spellStart"/>
      <w:r w:rsidRPr="007531A0">
        <w:rPr>
          <w:rFonts w:ascii="Book Antiqua" w:eastAsia="DengXian" w:hAnsi="Book Antiqua"/>
          <w:b/>
          <w:kern w:val="2"/>
          <w:lang w:eastAsia="zh-CN"/>
        </w:rPr>
        <w:t>Os</w:t>
      </w:r>
      <w:proofErr w:type="spellEnd"/>
      <w:r w:rsidRPr="007531A0">
        <w:rPr>
          <w:rFonts w:ascii="Book Antiqua" w:eastAsia="DengXian" w:hAnsi="Book Antiqua"/>
          <w:b/>
          <w:kern w:val="2"/>
          <w:lang w:eastAsia="zh-CN"/>
        </w:rPr>
        <w:t xml:space="preserve"> EC</w:t>
      </w:r>
      <w:r w:rsidRPr="007531A0">
        <w:rPr>
          <w:rFonts w:ascii="Book Antiqua" w:eastAsia="DengXian" w:hAnsi="Book Antiqua"/>
          <w:kern w:val="2"/>
          <w:lang w:eastAsia="zh-CN"/>
        </w:rPr>
        <w:t xml:space="preserve">, Kamath PS, </w:t>
      </w:r>
      <w:proofErr w:type="spellStart"/>
      <w:r w:rsidRPr="007531A0">
        <w:rPr>
          <w:rFonts w:ascii="Book Antiqua" w:eastAsia="DengXian" w:hAnsi="Book Antiqua"/>
          <w:kern w:val="2"/>
          <w:lang w:eastAsia="zh-CN"/>
        </w:rPr>
        <w:t>Gostout</w:t>
      </w:r>
      <w:proofErr w:type="spellEnd"/>
      <w:r w:rsidRPr="007531A0">
        <w:rPr>
          <w:rFonts w:ascii="Book Antiqua" w:eastAsia="DengXian" w:hAnsi="Book Antiqua"/>
          <w:kern w:val="2"/>
          <w:lang w:eastAsia="zh-CN"/>
        </w:rPr>
        <w:t xml:space="preserve"> CJ, </w:t>
      </w:r>
      <w:proofErr w:type="spellStart"/>
      <w:r w:rsidRPr="007531A0">
        <w:rPr>
          <w:rFonts w:ascii="Book Antiqua" w:eastAsia="DengXian" w:hAnsi="Book Antiqua"/>
          <w:kern w:val="2"/>
          <w:lang w:eastAsia="zh-CN"/>
        </w:rPr>
        <w:t>Heit</w:t>
      </w:r>
      <w:proofErr w:type="spellEnd"/>
      <w:r w:rsidRPr="007531A0">
        <w:rPr>
          <w:rFonts w:ascii="Book Antiqua" w:eastAsia="DengXian" w:hAnsi="Book Antiqua"/>
          <w:kern w:val="2"/>
          <w:lang w:eastAsia="zh-CN"/>
        </w:rPr>
        <w:t xml:space="preserve"> JA. Gastroenterological procedures among patients with disorders of hemostasis: evaluation and management recommendations. </w:t>
      </w:r>
      <w:proofErr w:type="spellStart"/>
      <w:r w:rsidRPr="007531A0">
        <w:rPr>
          <w:rFonts w:ascii="Book Antiqua" w:eastAsia="DengXian" w:hAnsi="Book Antiqua"/>
          <w:i/>
          <w:kern w:val="2"/>
          <w:lang w:eastAsia="zh-CN"/>
        </w:rPr>
        <w:t>Gastrointest</w:t>
      </w:r>
      <w:proofErr w:type="spellEnd"/>
      <w:r w:rsidRPr="007531A0">
        <w:rPr>
          <w:rFonts w:ascii="Book Antiqua" w:eastAsia="DengXian" w:hAnsi="Book Antiqua"/>
          <w:i/>
          <w:kern w:val="2"/>
          <w:lang w:eastAsia="zh-CN"/>
        </w:rPr>
        <w:t xml:space="preserve"> </w:t>
      </w:r>
      <w:proofErr w:type="spellStart"/>
      <w:r w:rsidRPr="007531A0">
        <w:rPr>
          <w:rFonts w:ascii="Book Antiqua" w:eastAsia="DengXian" w:hAnsi="Book Antiqua"/>
          <w:i/>
          <w:kern w:val="2"/>
          <w:lang w:eastAsia="zh-CN"/>
        </w:rPr>
        <w:t>Endosc</w:t>
      </w:r>
      <w:proofErr w:type="spellEnd"/>
      <w:r w:rsidRPr="007531A0">
        <w:rPr>
          <w:rFonts w:ascii="Book Antiqua" w:eastAsia="DengXian" w:hAnsi="Book Antiqua"/>
          <w:kern w:val="2"/>
          <w:lang w:eastAsia="zh-CN"/>
        </w:rPr>
        <w:t xml:space="preserve"> 1999; </w:t>
      </w:r>
      <w:r w:rsidRPr="007531A0">
        <w:rPr>
          <w:rFonts w:ascii="Book Antiqua" w:eastAsia="DengXian" w:hAnsi="Book Antiqua"/>
          <w:b/>
          <w:kern w:val="2"/>
          <w:lang w:eastAsia="zh-CN"/>
        </w:rPr>
        <w:t>50</w:t>
      </w:r>
      <w:r w:rsidRPr="007531A0">
        <w:rPr>
          <w:rFonts w:ascii="Book Antiqua" w:eastAsia="DengXian" w:hAnsi="Book Antiqua"/>
          <w:kern w:val="2"/>
          <w:lang w:eastAsia="zh-CN"/>
        </w:rPr>
        <w:t>: 536-543 [PMID: 10502177 DOI: 10.1016/S0016-5107(99)70079-9]</w:t>
      </w:r>
    </w:p>
    <w:p w14:paraId="2D9076DE"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25 </w:t>
      </w:r>
      <w:r w:rsidRPr="007531A0">
        <w:rPr>
          <w:rFonts w:ascii="Book Antiqua" w:eastAsia="DengXian" w:hAnsi="Book Antiqua"/>
          <w:b/>
          <w:kern w:val="2"/>
          <w:lang w:eastAsia="zh-CN"/>
        </w:rPr>
        <w:t>Ross WA</w:t>
      </w:r>
      <w:r w:rsidRPr="007531A0">
        <w:rPr>
          <w:rFonts w:ascii="Book Antiqua" w:eastAsia="DengXian" w:hAnsi="Book Antiqua"/>
          <w:kern w:val="2"/>
          <w:lang w:eastAsia="zh-CN"/>
        </w:rPr>
        <w:t xml:space="preserve">. Endoscopic Interventions in Patients with Thrombocytopenia. </w:t>
      </w:r>
      <w:r w:rsidRPr="007531A0">
        <w:rPr>
          <w:rFonts w:ascii="Book Antiqua" w:eastAsia="DengXian" w:hAnsi="Book Antiqua"/>
          <w:i/>
          <w:kern w:val="2"/>
          <w:lang w:eastAsia="zh-CN"/>
        </w:rPr>
        <w:t>Gastroenterol Hepatol (N Y)</w:t>
      </w:r>
      <w:r w:rsidRPr="007531A0">
        <w:rPr>
          <w:rFonts w:ascii="Book Antiqua" w:eastAsia="DengXian" w:hAnsi="Book Antiqua"/>
          <w:kern w:val="2"/>
          <w:lang w:eastAsia="zh-CN"/>
        </w:rPr>
        <w:t xml:space="preserve"> 2015; </w:t>
      </w:r>
      <w:r w:rsidRPr="007531A0">
        <w:rPr>
          <w:rFonts w:ascii="Book Antiqua" w:eastAsia="DengXian" w:hAnsi="Book Antiqua"/>
          <w:b/>
          <w:kern w:val="2"/>
          <w:lang w:eastAsia="zh-CN"/>
        </w:rPr>
        <w:t>11</w:t>
      </w:r>
      <w:r w:rsidRPr="007531A0">
        <w:rPr>
          <w:rFonts w:ascii="Book Antiqua" w:eastAsia="DengXian" w:hAnsi="Book Antiqua"/>
          <w:kern w:val="2"/>
          <w:lang w:eastAsia="zh-CN"/>
        </w:rPr>
        <w:t>: 115-117 [PMID: 27099580]</w:t>
      </w:r>
    </w:p>
    <w:p w14:paraId="1A2CF7EB"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26 </w:t>
      </w:r>
      <w:r w:rsidRPr="007531A0">
        <w:rPr>
          <w:rFonts w:ascii="Book Antiqua" w:eastAsia="DengXian" w:hAnsi="Book Antiqua"/>
          <w:b/>
          <w:kern w:val="2"/>
          <w:lang w:eastAsia="zh-CN"/>
        </w:rPr>
        <w:t>Tong MC</w:t>
      </w:r>
      <w:r w:rsidRPr="007531A0">
        <w:rPr>
          <w:rFonts w:ascii="Book Antiqua" w:eastAsia="DengXian" w:hAnsi="Book Antiqua"/>
          <w:kern w:val="2"/>
          <w:lang w:eastAsia="zh-CN"/>
        </w:rPr>
        <w:t xml:space="preserve">, </w:t>
      </w:r>
      <w:proofErr w:type="spellStart"/>
      <w:r w:rsidRPr="007531A0">
        <w:rPr>
          <w:rFonts w:ascii="Book Antiqua" w:eastAsia="DengXian" w:hAnsi="Book Antiqua"/>
          <w:kern w:val="2"/>
          <w:lang w:eastAsia="zh-CN"/>
        </w:rPr>
        <w:t>Tadros</w:t>
      </w:r>
      <w:proofErr w:type="spellEnd"/>
      <w:r w:rsidRPr="007531A0">
        <w:rPr>
          <w:rFonts w:ascii="Book Antiqua" w:eastAsia="DengXian" w:hAnsi="Book Antiqua"/>
          <w:kern w:val="2"/>
          <w:lang w:eastAsia="zh-CN"/>
        </w:rPr>
        <w:t xml:space="preserve"> M, </w:t>
      </w:r>
      <w:proofErr w:type="spellStart"/>
      <w:r w:rsidRPr="007531A0">
        <w:rPr>
          <w:rFonts w:ascii="Book Antiqua" w:eastAsia="DengXian" w:hAnsi="Book Antiqua"/>
          <w:kern w:val="2"/>
          <w:lang w:eastAsia="zh-CN"/>
        </w:rPr>
        <w:t>Vaziri</w:t>
      </w:r>
      <w:proofErr w:type="spellEnd"/>
      <w:r w:rsidRPr="007531A0">
        <w:rPr>
          <w:rFonts w:ascii="Book Antiqua" w:eastAsia="DengXian" w:hAnsi="Book Antiqua"/>
          <w:kern w:val="2"/>
          <w:lang w:eastAsia="zh-CN"/>
        </w:rPr>
        <w:t xml:space="preserve"> H. Endoscopy in neutropenic and/or thrombocytopenic patients. </w:t>
      </w:r>
      <w:r w:rsidRPr="007531A0">
        <w:rPr>
          <w:rFonts w:ascii="Book Antiqua" w:eastAsia="DengXian" w:hAnsi="Book Antiqua"/>
          <w:i/>
          <w:kern w:val="2"/>
          <w:lang w:eastAsia="zh-CN"/>
        </w:rPr>
        <w:t>World J Gastroenterol</w:t>
      </w:r>
      <w:r w:rsidRPr="007531A0">
        <w:rPr>
          <w:rFonts w:ascii="Book Antiqua" w:eastAsia="DengXian" w:hAnsi="Book Antiqua"/>
          <w:kern w:val="2"/>
          <w:lang w:eastAsia="zh-CN"/>
        </w:rPr>
        <w:t xml:space="preserve"> 2015; </w:t>
      </w:r>
      <w:r w:rsidRPr="007531A0">
        <w:rPr>
          <w:rFonts w:ascii="Book Antiqua" w:eastAsia="DengXian" w:hAnsi="Book Antiqua"/>
          <w:b/>
          <w:kern w:val="2"/>
          <w:lang w:eastAsia="zh-CN"/>
        </w:rPr>
        <w:t>21</w:t>
      </w:r>
      <w:r w:rsidRPr="007531A0">
        <w:rPr>
          <w:rFonts w:ascii="Book Antiqua" w:eastAsia="DengXian" w:hAnsi="Book Antiqua"/>
          <w:kern w:val="2"/>
          <w:lang w:eastAsia="zh-CN"/>
        </w:rPr>
        <w:t>: 13166-13176 [PMID: 26674926 DOI: 10.3748/wjg.v21.i46.13166]</w:t>
      </w:r>
    </w:p>
    <w:p w14:paraId="4A2FC0F8"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27 </w:t>
      </w:r>
      <w:r w:rsidRPr="007531A0">
        <w:rPr>
          <w:rFonts w:ascii="Book Antiqua" w:eastAsia="DengXian" w:hAnsi="Book Antiqua"/>
          <w:b/>
          <w:kern w:val="2"/>
          <w:lang w:eastAsia="zh-CN"/>
        </w:rPr>
        <w:t>Oh HJ</w:t>
      </w:r>
      <w:r w:rsidRPr="007531A0">
        <w:rPr>
          <w:rFonts w:ascii="Book Antiqua" w:eastAsia="DengXian" w:hAnsi="Book Antiqua"/>
          <w:kern w:val="2"/>
          <w:lang w:eastAsia="zh-CN"/>
        </w:rPr>
        <w:t xml:space="preserve">, Park JM, Yoon SB, Lee HH, Lim CH, Kim JS, Cho YK, Lee BI, Cho YS, Choi MG. Bleeding After Endoscopic Procedures in Patients With Chronic Hematologic Thrombocytopenia. </w:t>
      </w:r>
      <w:r w:rsidRPr="007531A0">
        <w:rPr>
          <w:rFonts w:ascii="Book Antiqua" w:eastAsia="DengXian" w:hAnsi="Book Antiqua"/>
          <w:i/>
          <w:kern w:val="2"/>
          <w:lang w:eastAsia="zh-CN"/>
        </w:rPr>
        <w:t>Dig Dis Sci</w:t>
      </w:r>
      <w:r w:rsidRPr="007531A0">
        <w:rPr>
          <w:rFonts w:ascii="Book Antiqua" w:eastAsia="DengXian" w:hAnsi="Book Antiqua"/>
          <w:kern w:val="2"/>
          <w:lang w:eastAsia="zh-CN"/>
        </w:rPr>
        <w:t xml:space="preserve"> 2017; </w:t>
      </w:r>
      <w:r w:rsidRPr="007531A0">
        <w:rPr>
          <w:rFonts w:ascii="Book Antiqua" w:eastAsia="DengXian" w:hAnsi="Book Antiqua"/>
          <w:b/>
          <w:kern w:val="2"/>
          <w:lang w:eastAsia="zh-CN"/>
        </w:rPr>
        <w:t>62</w:t>
      </w:r>
      <w:r w:rsidRPr="007531A0">
        <w:rPr>
          <w:rFonts w:ascii="Book Antiqua" w:eastAsia="DengXian" w:hAnsi="Book Antiqua"/>
          <w:kern w:val="2"/>
          <w:lang w:eastAsia="zh-CN"/>
        </w:rPr>
        <w:t>: 746-754 [PMID: 28035550 DOI: 10.1007/s10620-016-4427-4]</w:t>
      </w:r>
    </w:p>
    <w:p w14:paraId="250AD8B1"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28 </w:t>
      </w:r>
      <w:r w:rsidRPr="007531A0">
        <w:rPr>
          <w:rFonts w:ascii="Book Antiqua" w:eastAsia="DengXian" w:hAnsi="Book Antiqua"/>
          <w:b/>
          <w:kern w:val="2"/>
          <w:lang w:eastAsia="zh-CN"/>
        </w:rPr>
        <w:t>Abu-</w:t>
      </w:r>
      <w:proofErr w:type="spellStart"/>
      <w:r w:rsidRPr="007531A0">
        <w:rPr>
          <w:rFonts w:ascii="Book Antiqua" w:eastAsia="DengXian" w:hAnsi="Book Antiqua"/>
          <w:b/>
          <w:kern w:val="2"/>
          <w:lang w:eastAsia="zh-CN"/>
        </w:rPr>
        <w:t>Sbeih</w:t>
      </w:r>
      <w:proofErr w:type="spellEnd"/>
      <w:r w:rsidRPr="007531A0">
        <w:rPr>
          <w:rFonts w:ascii="Book Antiqua" w:eastAsia="DengXian" w:hAnsi="Book Antiqua"/>
          <w:b/>
          <w:kern w:val="2"/>
          <w:lang w:eastAsia="zh-CN"/>
        </w:rPr>
        <w:t xml:space="preserve"> H</w:t>
      </w:r>
      <w:r w:rsidRPr="007531A0">
        <w:rPr>
          <w:rFonts w:ascii="Book Antiqua" w:eastAsia="DengXian" w:hAnsi="Book Antiqua"/>
          <w:kern w:val="2"/>
          <w:lang w:eastAsia="zh-CN"/>
        </w:rPr>
        <w:t xml:space="preserve">, Ali FS, Coronel E, Chen HC, Wang X, </w:t>
      </w:r>
      <w:proofErr w:type="spellStart"/>
      <w:r w:rsidRPr="007531A0">
        <w:rPr>
          <w:rFonts w:ascii="Book Antiqua" w:eastAsia="DengXian" w:hAnsi="Book Antiqua"/>
          <w:kern w:val="2"/>
          <w:lang w:eastAsia="zh-CN"/>
        </w:rPr>
        <w:t>Lum</w:t>
      </w:r>
      <w:proofErr w:type="spellEnd"/>
      <w:r w:rsidRPr="007531A0">
        <w:rPr>
          <w:rFonts w:ascii="Book Antiqua" w:eastAsia="DengXian" w:hAnsi="Book Antiqua"/>
          <w:kern w:val="2"/>
          <w:lang w:eastAsia="zh-CN"/>
        </w:rPr>
        <w:t xml:space="preserve"> P, Shuttlesworth G, </w:t>
      </w:r>
      <w:proofErr w:type="spellStart"/>
      <w:r w:rsidRPr="007531A0">
        <w:rPr>
          <w:rFonts w:ascii="Book Antiqua" w:eastAsia="DengXian" w:hAnsi="Book Antiqua"/>
          <w:kern w:val="2"/>
          <w:lang w:eastAsia="zh-CN"/>
        </w:rPr>
        <w:t>Bhutani</w:t>
      </w:r>
      <w:proofErr w:type="spellEnd"/>
      <w:r w:rsidRPr="007531A0">
        <w:rPr>
          <w:rFonts w:ascii="Book Antiqua" w:eastAsia="DengXian" w:hAnsi="Book Antiqua"/>
          <w:kern w:val="2"/>
          <w:lang w:eastAsia="zh-CN"/>
        </w:rPr>
        <w:t xml:space="preserve"> MS, Raju GS, Lee JH, </w:t>
      </w:r>
      <w:proofErr w:type="spellStart"/>
      <w:r w:rsidRPr="007531A0">
        <w:rPr>
          <w:rFonts w:ascii="Book Antiqua" w:eastAsia="DengXian" w:hAnsi="Book Antiqua"/>
          <w:kern w:val="2"/>
          <w:lang w:eastAsia="zh-CN"/>
        </w:rPr>
        <w:t>Stroehlein</w:t>
      </w:r>
      <w:proofErr w:type="spellEnd"/>
      <w:r w:rsidRPr="007531A0">
        <w:rPr>
          <w:rFonts w:ascii="Book Antiqua" w:eastAsia="DengXian" w:hAnsi="Book Antiqua"/>
          <w:kern w:val="2"/>
          <w:lang w:eastAsia="zh-CN"/>
        </w:rPr>
        <w:t xml:space="preserve"> JR, Ross WA, Wang Y. Safety of endoscopy in cancer patients with thrombocytopenia and neutropenia. </w:t>
      </w:r>
      <w:proofErr w:type="spellStart"/>
      <w:r w:rsidRPr="007531A0">
        <w:rPr>
          <w:rFonts w:ascii="Book Antiqua" w:eastAsia="DengXian" w:hAnsi="Book Antiqua"/>
          <w:i/>
          <w:kern w:val="2"/>
          <w:lang w:eastAsia="zh-CN"/>
        </w:rPr>
        <w:t>Gastrointest</w:t>
      </w:r>
      <w:proofErr w:type="spellEnd"/>
      <w:r w:rsidRPr="007531A0">
        <w:rPr>
          <w:rFonts w:ascii="Book Antiqua" w:eastAsia="DengXian" w:hAnsi="Book Antiqua"/>
          <w:i/>
          <w:kern w:val="2"/>
          <w:lang w:eastAsia="zh-CN"/>
        </w:rPr>
        <w:t xml:space="preserve"> </w:t>
      </w:r>
      <w:proofErr w:type="spellStart"/>
      <w:r w:rsidRPr="007531A0">
        <w:rPr>
          <w:rFonts w:ascii="Book Antiqua" w:eastAsia="DengXian" w:hAnsi="Book Antiqua"/>
          <w:i/>
          <w:kern w:val="2"/>
          <w:lang w:eastAsia="zh-CN"/>
        </w:rPr>
        <w:t>Endosc</w:t>
      </w:r>
      <w:proofErr w:type="spellEnd"/>
      <w:r w:rsidRPr="007531A0">
        <w:rPr>
          <w:rFonts w:ascii="Book Antiqua" w:eastAsia="DengXian" w:hAnsi="Book Antiqua"/>
          <w:kern w:val="2"/>
          <w:lang w:eastAsia="zh-CN"/>
        </w:rPr>
        <w:t xml:space="preserve"> 2019; </w:t>
      </w:r>
      <w:r w:rsidRPr="007531A0">
        <w:rPr>
          <w:rFonts w:ascii="Book Antiqua" w:eastAsia="DengXian" w:hAnsi="Book Antiqua"/>
          <w:b/>
          <w:kern w:val="2"/>
          <w:lang w:eastAsia="zh-CN"/>
        </w:rPr>
        <w:t>89</w:t>
      </w:r>
      <w:r w:rsidRPr="007531A0">
        <w:rPr>
          <w:rFonts w:ascii="Book Antiqua" w:eastAsia="DengXian" w:hAnsi="Book Antiqua"/>
          <w:kern w:val="2"/>
          <w:lang w:eastAsia="zh-CN"/>
        </w:rPr>
        <w:t>: 937-949.e2 [PMID: 30550744 DOI: 10.1016/j.gie.2018.12.004]</w:t>
      </w:r>
    </w:p>
    <w:p w14:paraId="2C27B5AD"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29 </w:t>
      </w:r>
      <w:r w:rsidRPr="007531A0">
        <w:rPr>
          <w:rFonts w:ascii="Book Antiqua" w:eastAsia="DengXian" w:hAnsi="Book Antiqua"/>
          <w:b/>
          <w:kern w:val="2"/>
          <w:lang w:eastAsia="zh-CN"/>
        </w:rPr>
        <w:t>Krishna SG</w:t>
      </w:r>
      <w:r w:rsidRPr="007531A0">
        <w:rPr>
          <w:rFonts w:ascii="Book Antiqua" w:eastAsia="DengXian" w:hAnsi="Book Antiqua"/>
          <w:kern w:val="2"/>
          <w:lang w:eastAsia="zh-CN"/>
        </w:rPr>
        <w:t xml:space="preserve">, Rao BB, </w:t>
      </w:r>
      <w:proofErr w:type="spellStart"/>
      <w:r w:rsidRPr="007531A0">
        <w:rPr>
          <w:rFonts w:ascii="Book Antiqua" w:eastAsia="DengXian" w:hAnsi="Book Antiqua"/>
          <w:kern w:val="2"/>
          <w:lang w:eastAsia="zh-CN"/>
        </w:rPr>
        <w:t>Thirumurthi</w:t>
      </w:r>
      <w:proofErr w:type="spellEnd"/>
      <w:r w:rsidRPr="007531A0">
        <w:rPr>
          <w:rFonts w:ascii="Book Antiqua" w:eastAsia="DengXian" w:hAnsi="Book Antiqua"/>
          <w:kern w:val="2"/>
          <w:lang w:eastAsia="zh-CN"/>
        </w:rPr>
        <w:t xml:space="preserve"> S, Lee JH, </w:t>
      </w:r>
      <w:proofErr w:type="spellStart"/>
      <w:r w:rsidRPr="007531A0">
        <w:rPr>
          <w:rFonts w:ascii="Book Antiqua" w:eastAsia="DengXian" w:hAnsi="Book Antiqua"/>
          <w:kern w:val="2"/>
          <w:lang w:eastAsia="zh-CN"/>
        </w:rPr>
        <w:t>Ramireddy</w:t>
      </w:r>
      <w:proofErr w:type="spellEnd"/>
      <w:r w:rsidRPr="007531A0">
        <w:rPr>
          <w:rFonts w:ascii="Book Antiqua" w:eastAsia="DengXian" w:hAnsi="Book Antiqua"/>
          <w:kern w:val="2"/>
          <w:lang w:eastAsia="zh-CN"/>
        </w:rPr>
        <w:t xml:space="preserve"> S, </w:t>
      </w:r>
      <w:proofErr w:type="spellStart"/>
      <w:r w:rsidRPr="007531A0">
        <w:rPr>
          <w:rFonts w:ascii="Book Antiqua" w:eastAsia="DengXian" w:hAnsi="Book Antiqua"/>
          <w:kern w:val="2"/>
          <w:lang w:eastAsia="zh-CN"/>
        </w:rPr>
        <w:t>Guindani</w:t>
      </w:r>
      <w:proofErr w:type="spellEnd"/>
      <w:r w:rsidRPr="007531A0">
        <w:rPr>
          <w:rFonts w:ascii="Book Antiqua" w:eastAsia="DengXian" w:hAnsi="Book Antiqua"/>
          <w:kern w:val="2"/>
          <w:lang w:eastAsia="zh-CN"/>
        </w:rPr>
        <w:t xml:space="preserve"> M, Ross WA. </w:t>
      </w:r>
      <w:r w:rsidRPr="007531A0">
        <w:rPr>
          <w:rFonts w:ascii="Book Antiqua" w:eastAsia="DengXian" w:hAnsi="Book Antiqua"/>
          <w:kern w:val="2"/>
          <w:lang w:eastAsia="zh-CN"/>
        </w:rPr>
        <w:lastRenderedPageBreak/>
        <w:t xml:space="preserve">Safety of endoscopic interventions in patients with thrombocytopenia. </w:t>
      </w:r>
      <w:proofErr w:type="spellStart"/>
      <w:r w:rsidRPr="007531A0">
        <w:rPr>
          <w:rFonts w:ascii="Book Antiqua" w:eastAsia="DengXian" w:hAnsi="Book Antiqua"/>
          <w:i/>
          <w:kern w:val="2"/>
          <w:lang w:eastAsia="zh-CN"/>
        </w:rPr>
        <w:t>Gastrointest</w:t>
      </w:r>
      <w:proofErr w:type="spellEnd"/>
      <w:r w:rsidRPr="007531A0">
        <w:rPr>
          <w:rFonts w:ascii="Book Antiqua" w:eastAsia="DengXian" w:hAnsi="Book Antiqua"/>
          <w:i/>
          <w:kern w:val="2"/>
          <w:lang w:eastAsia="zh-CN"/>
        </w:rPr>
        <w:t xml:space="preserve"> </w:t>
      </w:r>
      <w:proofErr w:type="spellStart"/>
      <w:r w:rsidRPr="007531A0">
        <w:rPr>
          <w:rFonts w:ascii="Book Antiqua" w:eastAsia="DengXian" w:hAnsi="Book Antiqua"/>
          <w:i/>
          <w:kern w:val="2"/>
          <w:lang w:eastAsia="zh-CN"/>
        </w:rPr>
        <w:t>Endosc</w:t>
      </w:r>
      <w:proofErr w:type="spellEnd"/>
      <w:r w:rsidRPr="007531A0">
        <w:rPr>
          <w:rFonts w:ascii="Book Antiqua" w:eastAsia="DengXian" w:hAnsi="Book Antiqua"/>
          <w:kern w:val="2"/>
          <w:lang w:eastAsia="zh-CN"/>
        </w:rPr>
        <w:t xml:space="preserve"> 2014; </w:t>
      </w:r>
      <w:r w:rsidRPr="007531A0">
        <w:rPr>
          <w:rFonts w:ascii="Book Antiqua" w:eastAsia="DengXian" w:hAnsi="Book Antiqua"/>
          <w:b/>
          <w:kern w:val="2"/>
          <w:lang w:eastAsia="zh-CN"/>
        </w:rPr>
        <w:t>80</w:t>
      </w:r>
      <w:r w:rsidRPr="007531A0">
        <w:rPr>
          <w:rFonts w:ascii="Book Antiqua" w:eastAsia="DengXian" w:hAnsi="Book Antiqua"/>
          <w:kern w:val="2"/>
          <w:lang w:eastAsia="zh-CN"/>
        </w:rPr>
        <w:t>: 425-434 [PMID: 24721520 DOI: 10.1016/j.gie.2014.02.023]</w:t>
      </w:r>
    </w:p>
    <w:p w14:paraId="2CBF1CB6" w14:textId="77777777" w:rsidR="007531A0" w:rsidRPr="00F26395" w:rsidRDefault="007531A0" w:rsidP="00F26395">
      <w:pPr>
        <w:widowControl w:val="0"/>
        <w:autoSpaceDE w:val="0"/>
        <w:autoSpaceDN w:val="0"/>
        <w:adjustRightInd w:val="0"/>
        <w:spacing w:line="360" w:lineRule="auto"/>
        <w:ind w:left="640" w:hanging="640"/>
        <w:jc w:val="both"/>
        <w:rPr>
          <w:rFonts w:ascii="Book Antiqua" w:hAnsi="Book Antiqua"/>
        </w:rPr>
        <w:sectPr w:rsidR="007531A0" w:rsidRPr="00F26395" w:rsidSect="00AE4C98">
          <w:pgSz w:w="12240" w:h="15840"/>
          <w:pgMar w:top="1440" w:right="1440" w:bottom="1440" w:left="1440" w:header="720" w:footer="720" w:gutter="0"/>
          <w:cols w:space="720"/>
          <w:docGrid w:linePitch="360"/>
        </w:sectPr>
      </w:pPr>
    </w:p>
    <w:p w14:paraId="3FBFA25F" w14:textId="3ABD4BCF" w:rsidR="00161EB0" w:rsidRPr="00F26395" w:rsidRDefault="00161EB0" w:rsidP="00F26395">
      <w:pPr>
        <w:spacing w:line="360" w:lineRule="auto"/>
        <w:jc w:val="both"/>
        <w:rPr>
          <w:rFonts w:ascii="Book Antiqua" w:hAnsi="Book Antiqua"/>
          <w:b/>
        </w:rPr>
      </w:pPr>
      <w:r w:rsidRPr="00F26395">
        <w:rPr>
          <w:rFonts w:ascii="Book Antiqua" w:hAnsi="Book Antiqua"/>
          <w:b/>
        </w:rPr>
        <w:lastRenderedPageBreak/>
        <w:t>Footnotes</w:t>
      </w:r>
    </w:p>
    <w:p w14:paraId="35C4EC88" w14:textId="77777777" w:rsidR="00161EB0" w:rsidRPr="00F26395" w:rsidRDefault="00161EB0" w:rsidP="00F26395">
      <w:pPr>
        <w:spacing w:line="360" w:lineRule="auto"/>
        <w:jc w:val="both"/>
        <w:rPr>
          <w:rFonts w:ascii="Book Antiqua" w:hAnsi="Book Antiqua"/>
        </w:rPr>
      </w:pPr>
      <w:r w:rsidRPr="00F26395">
        <w:rPr>
          <w:rFonts w:ascii="Book Antiqua" w:hAnsi="Book Antiqua"/>
          <w:b/>
          <w:bCs/>
        </w:rPr>
        <w:t>Institutional review board statement</w:t>
      </w:r>
      <w:r w:rsidRPr="00F26395">
        <w:rPr>
          <w:rFonts w:ascii="Book Antiqua" w:hAnsi="Book Antiqua"/>
          <w:bCs/>
        </w:rPr>
        <w:t xml:space="preserve">: </w:t>
      </w:r>
      <w:r w:rsidRPr="00F26395">
        <w:rPr>
          <w:rFonts w:ascii="Book Antiqua" w:hAnsi="Book Antiqua"/>
        </w:rPr>
        <w:t>The study was reviewed and approved for publication by our Institutional Reviewer. Please see separate IRB approval form.</w:t>
      </w:r>
    </w:p>
    <w:p w14:paraId="5EB2E4F6" w14:textId="77777777" w:rsidR="00161EB0" w:rsidRPr="00F26395" w:rsidRDefault="00161EB0" w:rsidP="00F26395">
      <w:pPr>
        <w:spacing w:line="360" w:lineRule="auto"/>
        <w:jc w:val="both"/>
        <w:rPr>
          <w:rFonts w:ascii="Book Antiqua" w:hAnsi="Book Antiqua"/>
        </w:rPr>
      </w:pPr>
    </w:p>
    <w:p w14:paraId="10069D1E" w14:textId="77777777" w:rsidR="00161EB0" w:rsidRPr="00F26395" w:rsidRDefault="00161EB0" w:rsidP="00F26395">
      <w:pPr>
        <w:spacing w:line="360" w:lineRule="auto"/>
        <w:jc w:val="both"/>
        <w:rPr>
          <w:rFonts w:ascii="Book Antiqua" w:hAnsi="Book Antiqua"/>
        </w:rPr>
      </w:pPr>
      <w:r w:rsidRPr="00F26395">
        <w:rPr>
          <w:rFonts w:ascii="Book Antiqua" w:hAnsi="Book Antiqua"/>
          <w:b/>
          <w:bCs/>
        </w:rPr>
        <w:t>Informed consent statement</w:t>
      </w:r>
      <w:r w:rsidRPr="00F26395">
        <w:rPr>
          <w:rFonts w:ascii="Book Antiqua" w:hAnsi="Book Antiqua"/>
          <w:bCs/>
        </w:rPr>
        <w:t xml:space="preserve">: </w:t>
      </w:r>
      <w:r w:rsidRPr="00F26395">
        <w:rPr>
          <w:rFonts w:ascii="Book Antiqua" w:hAnsi="Book Antiqua"/>
        </w:rPr>
        <w:t>All study participants identities were anonymized and details that might disclose their identities were omitted. For this type of study formal consent is not required.</w:t>
      </w:r>
    </w:p>
    <w:p w14:paraId="68C64304" w14:textId="77777777" w:rsidR="00161EB0" w:rsidRPr="00F26395" w:rsidRDefault="00161EB0" w:rsidP="00F26395">
      <w:pPr>
        <w:spacing w:line="360" w:lineRule="auto"/>
        <w:jc w:val="both"/>
        <w:rPr>
          <w:rFonts w:ascii="Book Antiqua" w:hAnsi="Book Antiqua"/>
        </w:rPr>
      </w:pPr>
    </w:p>
    <w:p w14:paraId="1905D65C" w14:textId="6F1866C9" w:rsidR="00161EB0" w:rsidRPr="00F26395" w:rsidRDefault="00161EB0" w:rsidP="00F26395">
      <w:pPr>
        <w:spacing w:line="360" w:lineRule="auto"/>
        <w:jc w:val="both"/>
        <w:rPr>
          <w:rFonts w:ascii="Book Antiqua" w:hAnsi="Book Antiqua"/>
        </w:rPr>
      </w:pPr>
      <w:r w:rsidRPr="00F26395">
        <w:rPr>
          <w:rFonts w:ascii="Book Antiqua" w:hAnsi="Book Antiqua"/>
          <w:b/>
          <w:bCs/>
        </w:rPr>
        <w:t>Conflict-of-interest statement</w:t>
      </w:r>
      <w:r w:rsidRPr="00F26395">
        <w:rPr>
          <w:rFonts w:ascii="Book Antiqua" w:hAnsi="Book Antiqua"/>
          <w:bCs/>
        </w:rPr>
        <w:t xml:space="preserve">: </w:t>
      </w:r>
      <w:r w:rsidRPr="00F26395">
        <w:rPr>
          <w:rFonts w:ascii="Book Antiqua" w:hAnsi="Book Antiqua"/>
        </w:rPr>
        <w:t xml:space="preserve">All the </w:t>
      </w:r>
      <w:r w:rsidR="00242880">
        <w:rPr>
          <w:rFonts w:ascii="Book Antiqua" w:hAnsi="Book Antiqua"/>
        </w:rPr>
        <w:t>a</w:t>
      </w:r>
      <w:r w:rsidRPr="00F26395">
        <w:rPr>
          <w:rFonts w:ascii="Book Antiqua" w:hAnsi="Book Antiqua"/>
        </w:rPr>
        <w:t xml:space="preserve">uthors have no conflict of interest related to the manuscript. </w:t>
      </w:r>
    </w:p>
    <w:p w14:paraId="0FFD3C1A" w14:textId="77777777" w:rsidR="00161EB0" w:rsidRPr="00F26395" w:rsidRDefault="00161EB0" w:rsidP="00F26395">
      <w:pPr>
        <w:spacing w:line="360" w:lineRule="auto"/>
        <w:jc w:val="both"/>
        <w:rPr>
          <w:rFonts w:ascii="Book Antiqua" w:hAnsi="Book Antiqua"/>
        </w:rPr>
      </w:pPr>
    </w:p>
    <w:p w14:paraId="00F75929" w14:textId="0F6E6506" w:rsidR="00161EB0" w:rsidRPr="00F26395" w:rsidRDefault="00161EB0" w:rsidP="00F26395">
      <w:pPr>
        <w:spacing w:line="360" w:lineRule="auto"/>
        <w:jc w:val="both"/>
        <w:rPr>
          <w:rFonts w:ascii="Book Antiqua" w:hAnsi="Book Antiqua"/>
        </w:rPr>
      </w:pPr>
      <w:r w:rsidRPr="00F26395">
        <w:rPr>
          <w:rFonts w:ascii="Book Antiqua" w:hAnsi="Book Antiqua"/>
          <w:b/>
          <w:bCs/>
        </w:rPr>
        <w:t>Data sharing statement</w:t>
      </w:r>
      <w:r w:rsidRPr="00F26395">
        <w:rPr>
          <w:rFonts w:ascii="Book Antiqua" w:hAnsi="Book Antiqua"/>
          <w:bCs/>
        </w:rPr>
        <w:t xml:space="preserve">: </w:t>
      </w:r>
      <w:r w:rsidRPr="00F26395">
        <w:rPr>
          <w:rFonts w:ascii="Book Antiqua" w:hAnsi="Book Antiqua"/>
        </w:rPr>
        <w:t>The original anonymous dataset is available on request from the corresponding author at</w:t>
      </w:r>
      <w:r w:rsidR="00AE4C98" w:rsidRPr="00F26395">
        <w:rPr>
          <w:rFonts w:ascii="Book Antiqua" w:hAnsi="Book Antiqua"/>
        </w:rPr>
        <w:t xml:space="preserve"> arajan@</w:t>
      </w:r>
      <w:r w:rsidR="00605FB9" w:rsidRPr="00F26395">
        <w:rPr>
          <w:rFonts w:ascii="Book Antiqua" w:hAnsi="Book Antiqua"/>
        </w:rPr>
        <w:t>dhs.lacounty.gov.</w:t>
      </w:r>
    </w:p>
    <w:p w14:paraId="2C2437B6" w14:textId="77777777" w:rsidR="00161EB0" w:rsidRPr="00F26395" w:rsidRDefault="00161EB0" w:rsidP="00F26395">
      <w:pPr>
        <w:spacing w:line="360" w:lineRule="auto"/>
        <w:jc w:val="both"/>
        <w:rPr>
          <w:rFonts w:ascii="Book Antiqua" w:hAnsi="Book Antiqua"/>
        </w:rPr>
      </w:pPr>
    </w:p>
    <w:p w14:paraId="047A1557" w14:textId="1A173385" w:rsidR="00161EB0" w:rsidRPr="00F26395" w:rsidRDefault="00161EB0" w:rsidP="00F26395">
      <w:pPr>
        <w:spacing w:line="360" w:lineRule="auto"/>
        <w:jc w:val="both"/>
        <w:rPr>
          <w:rFonts w:ascii="Book Antiqua" w:hAnsi="Book Antiqua"/>
        </w:rPr>
      </w:pPr>
      <w:r w:rsidRPr="00F26395">
        <w:rPr>
          <w:rFonts w:ascii="Book Antiqua" w:hAnsi="Book Antiqua"/>
          <w:b/>
          <w:bCs/>
        </w:rPr>
        <w:t>STROBE statement</w:t>
      </w:r>
      <w:r w:rsidR="007531A0" w:rsidRPr="00F26395">
        <w:rPr>
          <w:rFonts w:ascii="Book Antiqua" w:hAnsi="Book Antiqua"/>
          <w:b/>
          <w:bCs/>
        </w:rPr>
        <w:t xml:space="preserve">: </w:t>
      </w:r>
      <w:r w:rsidR="007531A0" w:rsidRPr="00F26395">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5A916FE0" w14:textId="77777777" w:rsidR="00161EB0" w:rsidRPr="00F26395" w:rsidRDefault="00161EB0" w:rsidP="00F26395">
      <w:pPr>
        <w:spacing w:line="360" w:lineRule="auto"/>
        <w:jc w:val="both"/>
        <w:rPr>
          <w:rFonts w:ascii="Book Antiqua" w:hAnsi="Book Antiqua"/>
        </w:rPr>
      </w:pPr>
    </w:p>
    <w:p w14:paraId="187DCE97" w14:textId="77777777" w:rsidR="00161EB0" w:rsidRPr="00F26395" w:rsidRDefault="00161EB0" w:rsidP="00F26395">
      <w:pPr>
        <w:spacing w:line="360" w:lineRule="auto"/>
        <w:jc w:val="both"/>
        <w:rPr>
          <w:rFonts w:ascii="Book Antiqua" w:hAnsi="Book Antiqua"/>
        </w:rPr>
      </w:pPr>
      <w:r w:rsidRPr="00F26395">
        <w:rPr>
          <w:rFonts w:ascii="Book Antiqua" w:hAnsi="Book Antiqua"/>
          <w:b/>
          <w:bCs/>
        </w:rPr>
        <w:t xml:space="preserve">Open-Access: </w:t>
      </w:r>
      <w:r w:rsidRPr="00F26395">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 </w:t>
      </w:r>
    </w:p>
    <w:p w14:paraId="2D6B295C" w14:textId="77777777" w:rsidR="00161EB0" w:rsidRPr="00F26395" w:rsidRDefault="00161EB0" w:rsidP="00F26395">
      <w:pPr>
        <w:spacing w:line="360" w:lineRule="auto"/>
        <w:jc w:val="both"/>
        <w:rPr>
          <w:rFonts w:ascii="Book Antiqua" w:hAnsi="Book Antiqua"/>
        </w:rPr>
      </w:pPr>
    </w:p>
    <w:p w14:paraId="031E723C" w14:textId="0F7000A4" w:rsidR="00161EB0" w:rsidRPr="00F26395" w:rsidRDefault="00161EB0" w:rsidP="00F26395">
      <w:pPr>
        <w:spacing w:line="360" w:lineRule="auto"/>
        <w:jc w:val="both"/>
        <w:rPr>
          <w:rFonts w:ascii="Book Antiqua" w:hAnsi="Book Antiqua"/>
        </w:rPr>
      </w:pPr>
      <w:r w:rsidRPr="00F26395">
        <w:rPr>
          <w:rFonts w:ascii="Book Antiqua" w:hAnsi="Book Antiqua"/>
          <w:b/>
          <w:bCs/>
        </w:rPr>
        <w:t xml:space="preserve">Manuscript source: </w:t>
      </w:r>
      <w:r w:rsidR="007531A0" w:rsidRPr="00F26395">
        <w:rPr>
          <w:rFonts w:ascii="Book Antiqua" w:hAnsi="Book Antiqua"/>
        </w:rPr>
        <w:t>Unsolicited manuscript</w:t>
      </w:r>
    </w:p>
    <w:p w14:paraId="42112A09" w14:textId="77777777" w:rsidR="00161EB0" w:rsidRPr="00F26395" w:rsidRDefault="00161EB0" w:rsidP="00F26395">
      <w:pPr>
        <w:spacing w:line="360" w:lineRule="auto"/>
        <w:jc w:val="both"/>
        <w:rPr>
          <w:rFonts w:ascii="Book Antiqua" w:hAnsi="Book Antiqua"/>
        </w:rPr>
      </w:pPr>
    </w:p>
    <w:p w14:paraId="2F48C5B3" w14:textId="2348315A" w:rsidR="00AE4C98" w:rsidRPr="00F26395" w:rsidRDefault="00161EB0" w:rsidP="00F26395">
      <w:pPr>
        <w:spacing w:line="360" w:lineRule="auto"/>
        <w:jc w:val="both"/>
        <w:rPr>
          <w:rFonts w:ascii="Book Antiqua" w:hAnsi="Book Antiqua"/>
          <w:bCs/>
        </w:rPr>
      </w:pPr>
      <w:r w:rsidRPr="00F26395">
        <w:rPr>
          <w:rFonts w:ascii="Book Antiqua" w:hAnsi="Book Antiqua"/>
          <w:b/>
          <w:bCs/>
        </w:rPr>
        <w:lastRenderedPageBreak/>
        <w:t xml:space="preserve">Corresponding Author's Membership in Professional Societies: </w:t>
      </w:r>
      <w:r w:rsidRPr="00F26395">
        <w:rPr>
          <w:rFonts w:ascii="Book Antiqua" w:hAnsi="Book Antiqua"/>
          <w:bCs/>
        </w:rPr>
        <w:t>American Gastroenterological Association</w:t>
      </w:r>
      <w:r w:rsidR="007531A0" w:rsidRPr="00F26395">
        <w:rPr>
          <w:rFonts w:ascii="Book Antiqua" w:hAnsi="Book Antiqua"/>
          <w:bCs/>
        </w:rPr>
        <w:t>;</w:t>
      </w:r>
      <w:r w:rsidRPr="00F26395">
        <w:rPr>
          <w:rFonts w:ascii="Book Antiqua" w:hAnsi="Book Antiqua"/>
          <w:bCs/>
        </w:rPr>
        <w:t xml:space="preserve"> American Society of Gastrointestinal Endoscopy</w:t>
      </w:r>
      <w:r w:rsidR="007531A0" w:rsidRPr="00F26395">
        <w:rPr>
          <w:rFonts w:ascii="Book Antiqua" w:hAnsi="Book Antiqua"/>
          <w:bCs/>
        </w:rPr>
        <w:t>;</w:t>
      </w:r>
      <w:r w:rsidRPr="00F26395">
        <w:rPr>
          <w:rFonts w:ascii="Book Antiqua" w:hAnsi="Book Antiqua"/>
          <w:bCs/>
        </w:rPr>
        <w:t xml:space="preserve"> </w:t>
      </w:r>
      <w:r w:rsidR="007531A0" w:rsidRPr="00F26395">
        <w:rPr>
          <w:rFonts w:ascii="Book Antiqua" w:hAnsi="Book Antiqua"/>
          <w:bCs/>
        </w:rPr>
        <w:t xml:space="preserve">and </w:t>
      </w:r>
      <w:r w:rsidRPr="00F26395">
        <w:rPr>
          <w:rFonts w:ascii="Book Antiqua" w:hAnsi="Book Antiqua"/>
          <w:bCs/>
        </w:rPr>
        <w:t>American College of Gastroenterology</w:t>
      </w:r>
      <w:r w:rsidR="007531A0" w:rsidRPr="00F26395">
        <w:rPr>
          <w:rFonts w:ascii="Book Antiqua" w:hAnsi="Book Antiqua"/>
          <w:bCs/>
        </w:rPr>
        <w:t>.</w:t>
      </w:r>
    </w:p>
    <w:p w14:paraId="239A0963" w14:textId="6766DD93" w:rsidR="007531A0" w:rsidRPr="00F26395" w:rsidRDefault="007531A0" w:rsidP="00F26395">
      <w:pPr>
        <w:spacing w:line="360" w:lineRule="auto"/>
        <w:jc w:val="both"/>
        <w:rPr>
          <w:rFonts w:ascii="Book Antiqua" w:hAnsi="Book Antiqua"/>
          <w:bCs/>
        </w:rPr>
      </w:pPr>
    </w:p>
    <w:p w14:paraId="29AE5D77" w14:textId="77777777" w:rsidR="007531A0" w:rsidRPr="00F26395" w:rsidRDefault="007531A0" w:rsidP="00F26395">
      <w:pPr>
        <w:spacing w:line="360" w:lineRule="auto"/>
        <w:jc w:val="both"/>
        <w:rPr>
          <w:rFonts w:ascii="Book Antiqua" w:hAnsi="Book Antiqua"/>
        </w:rPr>
      </w:pPr>
      <w:r w:rsidRPr="00F26395">
        <w:rPr>
          <w:rFonts w:ascii="Book Antiqua" w:eastAsia="Book Antiqua" w:hAnsi="Book Antiqua" w:cs="Book Antiqua"/>
          <w:b/>
          <w:color w:val="000000"/>
        </w:rPr>
        <w:t xml:space="preserve">Peer-review started: </w:t>
      </w:r>
      <w:r w:rsidRPr="00F26395">
        <w:rPr>
          <w:rFonts w:ascii="Book Antiqua" w:eastAsia="Book Antiqua" w:hAnsi="Book Antiqua" w:cs="Book Antiqua"/>
          <w:color w:val="000000"/>
        </w:rPr>
        <w:t>July 23, 2020</w:t>
      </w:r>
    </w:p>
    <w:p w14:paraId="2144675D" w14:textId="77777777" w:rsidR="007531A0" w:rsidRPr="00F26395" w:rsidRDefault="007531A0" w:rsidP="00F26395">
      <w:pPr>
        <w:spacing w:line="360" w:lineRule="auto"/>
        <w:jc w:val="both"/>
        <w:rPr>
          <w:rFonts w:ascii="Book Antiqua" w:hAnsi="Book Antiqua"/>
        </w:rPr>
      </w:pPr>
      <w:r w:rsidRPr="00F26395">
        <w:rPr>
          <w:rFonts w:ascii="Book Antiqua" w:eastAsia="Book Antiqua" w:hAnsi="Book Antiqua" w:cs="Book Antiqua"/>
          <w:b/>
          <w:color w:val="000000"/>
        </w:rPr>
        <w:t xml:space="preserve">First decision: </w:t>
      </w:r>
      <w:r w:rsidRPr="00F26395">
        <w:rPr>
          <w:rFonts w:ascii="Book Antiqua" w:eastAsia="Book Antiqua" w:hAnsi="Book Antiqua" w:cs="Book Antiqua"/>
          <w:color w:val="000000"/>
        </w:rPr>
        <w:t>August 22, 2020</w:t>
      </w:r>
    </w:p>
    <w:p w14:paraId="583E190D" w14:textId="77777777" w:rsidR="007531A0" w:rsidRPr="00F26395" w:rsidRDefault="007531A0" w:rsidP="00F26395">
      <w:pPr>
        <w:spacing w:line="360" w:lineRule="auto"/>
        <w:jc w:val="both"/>
        <w:rPr>
          <w:rFonts w:ascii="Book Antiqua" w:hAnsi="Book Antiqua"/>
        </w:rPr>
      </w:pPr>
      <w:r w:rsidRPr="00F26395">
        <w:rPr>
          <w:rFonts w:ascii="Book Antiqua" w:eastAsia="Book Antiqua" w:hAnsi="Book Antiqua" w:cs="Book Antiqua"/>
          <w:b/>
          <w:color w:val="000000"/>
        </w:rPr>
        <w:t xml:space="preserve">Article in press: </w:t>
      </w:r>
    </w:p>
    <w:p w14:paraId="6153DF63" w14:textId="77777777" w:rsidR="007531A0" w:rsidRPr="00F26395" w:rsidRDefault="007531A0" w:rsidP="00F26395">
      <w:pPr>
        <w:spacing w:line="360" w:lineRule="auto"/>
        <w:jc w:val="both"/>
        <w:rPr>
          <w:rFonts w:ascii="Book Antiqua" w:hAnsi="Book Antiqua"/>
        </w:rPr>
      </w:pPr>
    </w:p>
    <w:p w14:paraId="69ADC6BC" w14:textId="46C3F3DA" w:rsidR="007531A0" w:rsidRPr="00F26395" w:rsidRDefault="007531A0" w:rsidP="00F26395">
      <w:pPr>
        <w:spacing w:line="360" w:lineRule="auto"/>
        <w:jc w:val="both"/>
        <w:rPr>
          <w:rFonts w:ascii="Book Antiqua" w:hAnsi="Book Antiqua"/>
        </w:rPr>
      </w:pPr>
      <w:r w:rsidRPr="00F26395">
        <w:rPr>
          <w:rFonts w:ascii="Book Antiqua" w:eastAsia="Book Antiqua" w:hAnsi="Book Antiqua" w:cs="Book Antiqua"/>
          <w:b/>
          <w:color w:val="000000"/>
        </w:rPr>
        <w:t xml:space="preserve">Specialty type: </w:t>
      </w:r>
      <w:r w:rsidRPr="00F26395">
        <w:rPr>
          <w:rFonts w:ascii="Book Antiqua" w:eastAsia="Book Antiqua" w:hAnsi="Book Antiqua" w:cs="Book Antiqua"/>
          <w:color w:val="000000"/>
        </w:rPr>
        <w:t>Gastroenterology and hepatology</w:t>
      </w:r>
    </w:p>
    <w:p w14:paraId="4AADF81B" w14:textId="77777777" w:rsidR="007531A0" w:rsidRPr="00F26395" w:rsidRDefault="007531A0" w:rsidP="00F26395">
      <w:pPr>
        <w:spacing w:line="360" w:lineRule="auto"/>
        <w:jc w:val="both"/>
        <w:rPr>
          <w:rFonts w:ascii="Book Antiqua" w:hAnsi="Book Antiqua"/>
        </w:rPr>
      </w:pPr>
      <w:r w:rsidRPr="00F26395">
        <w:rPr>
          <w:rFonts w:ascii="Book Antiqua" w:eastAsia="Book Antiqua" w:hAnsi="Book Antiqua" w:cs="Book Antiqua"/>
          <w:b/>
          <w:color w:val="000000"/>
        </w:rPr>
        <w:t xml:space="preserve">Country/Territory of origin: </w:t>
      </w:r>
      <w:r w:rsidRPr="00F26395">
        <w:rPr>
          <w:rFonts w:ascii="Book Antiqua" w:eastAsia="Book Antiqua" w:hAnsi="Book Antiqua" w:cs="Book Antiqua"/>
          <w:color w:val="000000"/>
        </w:rPr>
        <w:t>United States</w:t>
      </w:r>
    </w:p>
    <w:p w14:paraId="0F140D89" w14:textId="77777777" w:rsidR="007531A0" w:rsidRPr="00F26395" w:rsidRDefault="007531A0" w:rsidP="00F26395">
      <w:pPr>
        <w:spacing w:line="360" w:lineRule="auto"/>
        <w:jc w:val="both"/>
        <w:rPr>
          <w:rFonts w:ascii="Book Antiqua" w:hAnsi="Book Antiqua"/>
        </w:rPr>
      </w:pPr>
      <w:r w:rsidRPr="00F26395">
        <w:rPr>
          <w:rFonts w:ascii="Book Antiqua" w:eastAsia="Book Antiqua" w:hAnsi="Book Antiqua" w:cs="Book Antiqua"/>
          <w:b/>
          <w:color w:val="000000"/>
        </w:rPr>
        <w:t>Peer-review report’s scientific quality classification</w:t>
      </w:r>
    </w:p>
    <w:p w14:paraId="0F57FF90" w14:textId="77777777" w:rsidR="007531A0" w:rsidRPr="00F26395" w:rsidRDefault="007531A0" w:rsidP="00F26395">
      <w:pPr>
        <w:spacing w:line="360" w:lineRule="auto"/>
        <w:jc w:val="both"/>
        <w:rPr>
          <w:rFonts w:ascii="Book Antiqua" w:hAnsi="Book Antiqua"/>
        </w:rPr>
      </w:pPr>
      <w:r w:rsidRPr="00F26395">
        <w:rPr>
          <w:rFonts w:ascii="Book Antiqua" w:eastAsia="Book Antiqua" w:hAnsi="Book Antiqua" w:cs="Book Antiqua"/>
          <w:color w:val="000000"/>
        </w:rPr>
        <w:t>Grade A (Excellent): 0</w:t>
      </w:r>
    </w:p>
    <w:p w14:paraId="3DF3F308" w14:textId="77777777" w:rsidR="007531A0" w:rsidRPr="00F26395" w:rsidRDefault="007531A0" w:rsidP="00F26395">
      <w:pPr>
        <w:spacing w:line="360" w:lineRule="auto"/>
        <w:jc w:val="both"/>
        <w:rPr>
          <w:rFonts w:ascii="Book Antiqua" w:hAnsi="Book Antiqua"/>
        </w:rPr>
      </w:pPr>
      <w:r w:rsidRPr="00F26395">
        <w:rPr>
          <w:rFonts w:ascii="Book Antiqua" w:eastAsia="Book Antiqua" w:hAnsi="Book Antiqua" w:cs="Book Antiqua"/>
          <w:color w:val="000000"/>
        </w:rPr>
        <w:t>Grade B (Very good): B</w:t>
      </w:r>
    </w:p>
    <w:p w14:paraId="52BF4AD4" w14:textId="45C9AD98" w:rsidR="007531A0" w:rsidRPr="00F26395" w:rsidRDefault="007531A0" w:rsidP="00F26395">
      <w:pPr>
        <w:spacing w:line="360" w:lineRule="auto"/>
        <w:jc w:val="both"/>
        <w:rPr>
          <w:rFonts w:ascii="Book Antiqua" w:hAnsi="Book Antiqua"/>
        </w:rPr>
      </w:pPr>
      <w:r w:rsidRPr="00F26395">
        <w:rPr>
          <w:rFonts w:ascii="Book Antiqua" w:eastAsia="Book Antiqua" w:hAnsi="Book Antiqua" w:cs="Book Antiqua"/>
          <w:color w:val="000000"/>
        </w:rPr>
        <w:t>Grade C (Good): C</w:t>
      </w:r>
    </w:p>
    <w:p w14:paraId="0FA68774" w14:textId="77777777" w:rsidR="007531A0" w:rsidRPr="00F26395" w:rsidRDefault="007531A0" w:rsidP="00F26395">
      <w:pPr>
        <w:spacing w:line="360" w:lineRule="auto"/>
        <w:jc w:val="both"/>
        <w:rPr>
          <w:rFonts w:ascii="Book Antiqua" w:hAnsi="Book Antiqua"/>
        </w:rPr>
      </w:pPr>
      <w:r w:rsidRPr="00F26395">
        <w:rPr>
          <w:rFonts w:ascii="Book Antiqua" w:eastAsia="Book Antiqua" w:hAnsi="Book Antiqua" w:cs="Book Antiqua"/>
          <w:color w:val="000000"/>
        </w:rPr>
        <w:t>Grade D (Fair): D</w:t>
      </w:r>
    </w:p>
    <w:p w14:paraId="02A717DB" w14:textId="77777777" w:rsidR="007531A0" w:rsidRPr="00F26395" w:rsidRDefault="007531A0" w:rsidP="00F26395">
      <w:pPr>
        <w:spacing w:line="360" w:lineRule="auto"/>
        <w:jc w:val="both"/>
        <w:rPr>
          <w:rFonts w:ascii="Book Antiqua" w:hAnsi="Book Antiqua"/>
        </w:rPr>
      </w:pPr>
      <w:r w:rsidRPr="00F26395">
        <w:rPr>
          <w:rFonts w:ascii="Book Antiqua" w:eastAsia="Book Antiqua" w:hAnsi="Book Antiqua" w:cs="Book Antiqua"/>
          <w:color w:val="000000"/>
        </w:rPr>
        <w:t>Grade E (Poor): 0</w:t>
      </w:r>
    </w:p>
    <w:p w14:paraId="5F4ACE33" w14:textId="77777777" w:rsidR="007531A0" w:rsidRPr="00F26395" w:rsidRDefault="007531A0" w:rsidP="00F26395">
      <w:pPr>
        <w:spacing w:line="360" w:lineRule="auto"/>
        <w:jc w:val="both"/>
        <w:rPr>
          <w:rFonts w:ascii="Book Antiqua" w:hAnsi="Book Antiqua"/>
        </w:rPr>
      </w:pPr>
    </w:p>
    <w:p w14:paraId="45A5655E" w14:textId="4AD54990" w:rsidR="007531A0" w:rsidRPr="00F26395" w:rsidRDefault="007531A0" w:rsidP="00F26395">
      <w:pPr>
        <w:spacing w:line="360" w:lineRule="auto"/>
        <w:jc w:val="both"/>
        <w:rPr>
          <w:rFonts w:ascii="Book Antiqua" w:eastAsia="Book Antiqua" w:hAnsi="Book Antiqua" w:cs="Book Antiqua"/>
          <w:b/>
          <w:color w:val="000000"/>
        </w:rPr>
      </w:pPr>
      <w:r w:rsidRPr="00F26395">
        <w:rPr>
          <w:rFonts w:ascii="Book Antiqua" w:eastAsia="Book Antiqua" w:hAnsi="Book Antiqua" w:cs="Book Antiqua"/>
          <w:b/>
          <w:color w:val="000000"/>
        </w:rPr>
        <w:t xml:space="preserve">P-Reviewer: </w:t>
      </w:r>
      <w:proofErr w:type="spellStart"/>
      <w:r w:rsidRPr="00F26395">
        <w:rPr>
          <w:rFonts w:ascii="Book Antiqua" w:eastAsia="Book Antiqua" w:hAnsi="Book Antiqua" w:cs="Book Antiqua"/>
          <w:color w:val="000000"/>
        </w:rPr>
        <w:t>Cerwenka</w:t>
      </w:r>
      <w:proofErr w:type="spellEnd"/>
      <w:r w:rsidRPr="00F26395">
        <w:rPr>
          <w:rFonts w:ascii="Book Antiqua" w:eastAsia="Book Antiqua" w:hAnsi="Book Antiqua" w:cs="Book Antiqua"/>
          <w:color w:val="000000"/>
        </w:rPr>
        <w:t xml:space="preserve"> H, </w:t>
      </w:r>
      <w:proofErr w:type="spellStart"/>
      <w:r w:rsidRPr="00F26395">
        <w:rPr>
          <w:rFonts w:ascii="Book Antiqua" w:eastAsia="Book Antiqua" w:hAnsi="Book Antiqua" w:cs="Book Antiqua"/>
          <w:color w:val="000000"/>
        </w:rPr>
        <w:t>Triantafyllou</w:t>
      </w:r>
      <w:proofErr w:type="spellEnd"/>
      <w:r w:rsidRPr="00F26395">
        <w:rPr>
          <w:rFonts w:ascii="Book Antiqua" w:eastAsia="Book Antiqua" w:hAnsi="Book Antiqua" w:cs="Book Antiqua"/>
          <w:color w:val="000000"/>
        </w:rPr>
        <w:t xml:space="preserve"> K</w:t>
      </w:r>
      <w:r w:rsidRPr="00F26395">
        <w:rPr>
          <w:rFonts w:ascii="Book Antiqua" w:eastAsia="Book Antiqua" w:hAnsi="Book Antiqua" w:cs="Book Antiqua"/>
          <w:b/>
          <w:color w:val="000000"/>
        </w:rPr>
        <w:t xml:space="preserve"> S-Editor: </w:t>
      </w:r>
      <w:r w:rsidRPr="00F26395">
        <w:rPr>
          <w:rFonts w:ascii="Book Antiqua" w:eastAsia="Book Antiqua" w:hAnsi="Book Antiqua" w:cs="Book Antiqua"/>
          <w:color w:val="000000"/>
        </w:rPr>
        <w:t>Yan JP</w:t>
      </w:r>
      <w:r w:rsidRPr="00F26395">
        <w:rPr>
          <w:rFonts w:ascii="Book Antiqua" w:eastAsia="Book Antiqua" w:hAnsi="Book Antiqua" w:cs="Book Antiqua"/>
          <w:b/>
          <w:color w:val="000000"/>
        </w:rPr>
        <w:t xml:space="preserve"> L-Editor: P-Editor:</w:t>
      </w:r>
    </w:p>
    <w:p w14:paraId="1AFC6367" w14:textId="77777777" w:rsidR="007531A0" w:rsidRPr="00F26395" w:rsidRDefault="007531A0" w:rsidP="00F26395">
      <w:pPr>
        <w:spacing w:line="360" w:lineRule="auto"/>
        <w:jc w:val="both"/>
        <w:rPr>
          <w:rFonts w:ascii="Book Antiqua" w:eastAsia="Book Antiqua" w:hAnsi="Book Antiqua" w:cs="Book Antiqua"/>
          <w:b/>
          <w:color w:val="000000"/>
        </w:rPr>
      </w:pPr>
    </w:p>
    <w:p w14:paraId="03247E55" w14:textId="77777777" w:rsidR="007531A0" w:rsidRPr="00F26395" w:rsidRDefault="007531A0" w:rsidP="00F26395">
      <w:pPr>
        <w:spacing w:line="360" w:lineRule="auto"/>
        <w:jc w:val="both"/>
        <w:rPr>
          <w:rFonts w:ascii="Book Antiqua" w:hAnsi="Book Antiqua"/>
        </w:rPr>
        <w:sectPr w:rsidR="007531A0" w:rsidRPr="00F26395">
          <w:pgSz w:w="12240" w:h="15840"/>
          <w:pgMar w:top="1440" w:right="1440" w:bottom="1440" w:left="1440" w:header="720" w:footer="720" w:gutter="0"/>
          <w:cols w:space="720"/>
          <w:docGrid w:linePitch="360"/>
        </w:sectPr>
      </w:pPr>
    </w:p>
    <w:p w14:paraId="2C5A43BD" w14:textId="1F0ABEAD" w:rsidR="007531A0" w:rsidRPr="00F26395" w:rsidRDefault="007531A0" w:rsidP="00F26395">
      <w:pPr>
        <w:spacing w:line="360" w:lineRule="auto"/>
        <w:jc w:val="both"/>
        <w:rPr>
          <w:rFonts w:ascii="Book Antiqua" w:eastAsia="Book Antiqua" w:hAnsi="Book Antiqua" w:cs="Book Antiqua"/>
          <w:b/>
          <w:color w:val="000000"/>
        </w:rPr>
      </w:pPr>
      <w:r w:rsidRPr="00F26395">
        <w:rPr>
          <w:rFonts w:ascii="Book Antiqua" w:eastAsia="Book Antiqua" w:hAnsi="Book Antiqua" w:cs="Book Antiqua"/>
          <w:b/>
          <w:color w:val="000000"/>
        </w:rPr>
        <w:lastRenderedPageBreak/>
        <w:t>Figure Legends</w:t>
      </w:r>
    </w:p>
    <w:p w14:paraId="59F3685F" w14:textId="77777777" w:rsidR="001B5149" w:rsidRPr="00F26395" w:rsidRDefault="001B5149" w:rsidP="001B5149">
      <w:pPr>
        <w:spacing w:line="360" w:lineRule="auto"/>
        <w:jc w:val="both"/>
        <w:rPr>
          <w:rFonts w:ascii="Book Antiqua" w:hAnsi="Book Antiqua"/>
        </w:rPr>
      </w:pPr>
      <w:r w:rsidRPr="00F26395">
        <w:rPr>
          <w:rFonts w:ascii="Book Antiqua" w:hAnsi="Book Antiqua"/>
          <w:noProof/>
          <w:lang w:eastAsia="zh-CN"/>
        </w:rPr>
        <w:drawing>
          <wp:inline distT="0" distB="0" distL="0" distR="0" wp14:anchorId="66368790" wp14:editId="54FB86B6">
            <wp:extent cx="5943600" cy="3373120"/>
            <wp:effectExtent l="0" t="0" r="0" b="5080"/>
            <wp:docPr id="3" name="图片 3" descr="图片包含 照片, 不同, 食物, 粉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照片, 不同, 食物, 粉色&#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73120"/>
                    </a:xfrm>
                    <a:prstGeom prst="rect">
                      <a:avLst/>
                    </a:prstGeom>
                  </pic:spPr>
                </pic:pic>
              </a:graphicData>
            </a:graphic>
          </wp:inline>
        </w:drawing>
      </w:r>
    </w:p>
    <w:p w14:paraId="0E332C8D" w14:textId="5FC6963C" w:rsidR="001B5149" w:rsidRPr="00C058BF" w:rsidRDefault="001B5149" w:rsidP="00F26395">
      <w:pPr>
        <w:spacing w:line="360" w:lineRule="auto"/>
        <w:jc w:val="both"/>
        <w:rPr>
          <w:rFonts w:ascii="Book Antiqua" w:eastAsiaTheme="minorEastAsia" w:hAnsi="Book Antiqua"/>
        </w:rPr>
      </w:pPr>
      <w:r w:rsidRPr="00F26395">
        <w:rPr>
          <w:rFonts w:ascii="Book Antiqua" w:eastAsia="Book Antiqua" w:hAnsi="Book Antiqua" w:cs="Book Antiqua"/>
          <w:b/>
          <w:bCs/>
          <w:color w:val="000000"/>
        </w:rPr>
        <w:t xml:space="preserve">Figure </w:t>
      </w:r>
      <w:r>
        <w:rPr>
          <w:rFonts w:ascii="Book Antiqua" w:eastAsia="Book Antiqua" w:hAnsi="Book Antiqua" w:cs="Book Antiqua"/>
          <w:b/>
          <w:bCs/>
          <w:color w:val="000000"/>
        </w:rPr>
        <w:t>1</w:t>
      </w:r>
      <w:r w:rsidRPr="00F26395">
        <w:rPr>
          <w:rFonts w:ascii="Book Antiqua" w:eastAsia="Book Antiqua" w:hAnsi="Book Antiqua" w:cs="Book Antiqua"/>
          <w:b/>
          <w:bCs/>
          <w:color w:val="000000"/>
        </w:rPr>
        <w:t xml:space="preserve"> Illustrative images of endoscopic and histopathological views of graft-</w:t>
      </w:r>
      <w:r w:rsidRPr="00F26395">
        <w:rPr>
          <w:rFonts w:ascii="Book Antiqua" w:eastAsia="Book Antiqua" w:hAnsi="Book Antiqua" w:cs="Book Antiqua"/>
          <w:b/>
          <w:bCs/>
          <w:i/>
          <w:iCs/>
          <w:color w:val="000000"/>
        </w:rPr>
        <w:t>vs</w:t>
      </w:r>
      <w:r w:rsidRPr="00F26395">
        <w:rPr>
          <w:rFonts w:ascii="Book Antiqua" w:eastAsia="Book Antiqua" w:hAnsi="Book Antiqua" w:cs="Book Antiqua"/>
          <w:b/>
          <w:bCs/>
          <w:color w:val="000000"/>
        </w:rPr>
        <w:t xml:space="preserve">-host disease. </w:t>
      </w:r>
      <w:r w:rsidRPr="00F26395">
        <w:rPr>
          <w:rFonts w:ascii="Book Antiqua" w:eastAsia="Book Antiqua" w:hAnsi="Book Antiqua" w:cs="Book Antiqua"/>
          <w:color w:val="000000"/>
        </w:rPr>
        <w:t>A: Colon biopsy revealing mild graft-</w:t>
      </w:r>
      <w:r w:rsidRPr="00F26395">
        <w:rPr>
          <w:rFonts w:ascii="Book Antiqua" w:eastAsia="Book Antiqua" w:hAnsi="Book Antiqua" w:cs="Book Antiqua"/>
          <w:i/>
          <w:iCs/>
          <w:color w:val="000000"/>
        </w:rPr>
        <w:t>vs</w:t>
      </w:r>
      <w:r w:rsidRPr="00F26395">
        <w:rPr>
          <w:rFonts w:ascii="Book Antiqua" w:eastAsia="Book Antiqua" w:hAnsi="Book Antiqua" w:cs="Book Antiqua"/>
          <w:color w:val="000000"/>
        </w:rPr>
        <w:t>-host disease (GVHD) with few apoptotic bodies; B: Colon biopsy revealing moderate GVHD with all crypts involved; C: Colon biopsy revealing severe GVHD with gland destruction; D: Colonic ulcer without surrounding colitis; E: Rectal erythema and edema; F: Gastric edema and erosion; G: Severe gastritis; H: Severe colitis; I: Severe duodenitis</w:t>
      </w:r>
      <w:r w:rsidRPr="00F26395">
        <w:rPr>
          <w:rFonts w:ascii="Book Antiqua" w:hAnsi="Book Antiqua"/>
        </w:rPr>
        <w:t>.</w:t>
      </w:r>
    </w:p>
    <w:p w14:paraId="6BF57B45" w14:textId="74857E6C" w:rsidR="007531A0" w:rsidRPr="00F26395" w:rsidRDefault="00F26395" w:rsidP="00F26395">
      <w:pPr>
        <w:spacing w:line="360" w:lineRule="auto"/>
        <w:jc w:val="both"/>
        <w:rPr>
          <w:rFonts w:ascii="Book Antiqua" w:hAnsi="Book Antiqua"/>
        </w:rPr>
      </w:pPr>
      <w:r w:rsidRPr="00F26395">
        <w:rPr>
          <w:rFonts w:ascii="Book Antiqua" w:hAnsi="Book Antiqua"/>
          <w:noProof/>
          <w:lang w:eastAsia="zh-CN"/>
        </w:rPr>
        <w:lastRenderedPageBreak/>
        <w:drawing>
          <wp:inline distT="0" distB="0" distL="0" distR="0" wp14:anchorId="404FF058" wp14:editId="49BB1B42">
            <wp:extent cx="3744366" cy="5724939"/>
            <wp:effectExtent l="0" t="0" r="8890" b="0"/>
            <wp:docPr id="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手机屏幕截图&#10;&#10;描述已自动生成"/>
                    <pic:cNvPicPr/>
                  </pic:nvPicPr>
                  <pic:blipFill>
                    <a:blip r:embed="rId12">
                      <a:extLst>
                        <a:ext uri="{28A0092B-C50C-407E-A947-70E740481C1C}">
                          <a14:useLocalDpi xmlns:a14="http://schemas.microsoft.com/office/drawing/2010/main" val="0"/>
                        </a:ext>
                      </a:extLst>
                    </a:blip>
                    <a:stretch>
                      <a:fillRect/>
                    </a:stretch>
                  </pic:blipFill>
                  <pic:spPr>
                    <a:xfrm>
                      <a:off x="0" y="0"/>
                      <a:ext cx="3748648" cy="5731487"/>
                    </a:xfrm>
                    <a:prstGeom prst="rect">
                      <a:avLst/>
                    </a:prstGeom>
                  </pic:spPr>
                </pic:pic>
              </a:graphicData>
            </a:graphic>
          </wp:inline>
        </w:drawing>
      </w:r>
    </w:p>
    <w:p w14:paraId="61E3CE3B" w14:textId="448ED75E" w:rsidR="007531A0" w:rsidRPr="00F26395" w:rsidRDefault="007531A0" w:rsidP="00F26395">
      <w:pPr>
        <w:spacing w:line="360" w:lineRule="auto"/>
        <w:jc w:val="both"/>
        <w:rPr>
          <w:rFonts w:ascii="Book Antiqua" w:hAnsi="Book Antiqua"/>
        </w:rPr>
      </w:pPr>
      <w:bookmarkStart w:id="69" w:name="OLE_LINK2381"/>
      <w:bookmarkStart w:id="70" w:name="OLE_LINK2382"/>
      <w:r w:rsidRPr="00F26395">
        <w:rPr>
          <w:rFonts w:ascii="Book Antiqua" w:eastAsia="Book Antiqua" w:hAnsi="Book Antiqua" w:cs="Book Antiqua"/>
          <w:b/>
          <w:bCs/>
          <w:color w:val="000000"/>
        </w:rPr>
        <w:t xml:space="preserve">Figure </w:t>
      </w:r>
      <w:r w:rsidR="001B5149">
        <w:rPr>
          <w:rFonts w:ascii="Book Antiqua" w:eastAsia="Book Antiqua" w:hAnsi="Book Antiqua" w:cs="Book Antiqua"/>
          <w:b/>
          <w:bCs/>
          <w:color w:val="000000"/>
        </w:rPr>
        <w:t>2</w:t>
      </w:r>
      <w:r w:rsidRPr="00F26395">
        <w:rPr>
          <w:rFonts w:ascii="Book Antiqua" w:eastAsia="Book Antiqua" w:hAnsi="Book Antiqua" w:cs="Book Antiqua"/>
          <w:b/>
          <w:bCs/>
          <w:color w:val="000000"/>
        </w:rPr>
        <w:t xml:space="preserve"> Patient selection flow-chart.</w:t>
      </w:r>
      <w:r w:rsidR="00F26395" w:rsidRPr="00F26395">
        <w:rPr>
          <w:rFonts w:ascii="Book Antiqua" w:hAnsi="Book Antiqua"/>
          <w:b/>
          <w:bCs/>
        </w:rPr>
        <w:t xml:space="preserve"> </w:t>
      </w:r>
      <w:r w:rsidR="00F26395" w:rsidRPr="00F26395">
        <w:rPr>
          <w:rFonts w:ascii="Book Antiqua" w:hAnsi="Book Antiqua"/>
        </w:rPr>
        <w:t xml:space="preserve">GVHD: </w:t>
      </w:r>
      <w:r w:rsidR="00F26395" w:rsidRPr="00F26395">
        <w:rPr>
          <w:rFonts w:ascii="Book Antiqua" w:eastAsia="Book Antiqua" w:hAnsi="Book Antiqua" w:cs="Book Antiqua"/>
          <w:color w:val="000000"/>
        </w:rPr>
        <w:t>Graft-</w:t>
      </w:r>
      <w:r w:rsidR="00F26395" w:rsidRPr="00F26395">
        <w:rPr>
          <w:rFonts w:ascii="Book Antiqua" w:eastAsia="Book Antiqua" w:hAnsi="Book Antiqua" w:cs="Book Antiqua"/>
          <w:i/>
          <w:iCs/>
          <w:color w:val="000000"/>
        </w:rPr>
        <w:t>vs</w:t>
      </w:r>
      <w:r w:rsidR="00F26395" w:rsidRPr="00F26395">
        <w:rPr>
          <w:rFonts w:ascii="Book Antiqua" w:eastAsia="Book Antiqua" w:hAnsi="Book Antiqua" w:cs="Book Antiqua"/>
          <w:color w:val="000000"/>
        </w:rPr>
        <w:t>-host disease; HSCT: Hematopoietic stem cell transplant.</w:t>
      </w:r>
      <w:r w:rsidR="001B5149" w:rsidRPr="00F26395">
        <w:rPr>
          <w:rFonts w:ascii="Book Antiqua" w:hAnsi="Book Antiqua" w:hint="eastAsia"/>
        </w:rPr>
        <w:t xml:space="preserve"> </w:t>
      </w:r>
    </w:p>
    <w:bookmarkEnd w:id="69"/>
    <w:bookmarkEnd w:id="70"/>
    <w:p w14:paraId="53D569B9" w14:textId="79A59F79" w:rsidR="007531A0" w:rsidRPr="00F26395" w:rsidRDefault="007531A0" w:rsidP="00F26395">
      <w:pPr>
        <w:spacing w:line="360" w:lineRule="auto"/>
        <w:jc w:val="both"/>
        <w:rPr>
          <w:rFonts w:ascii="Book Antiqua" w:hAnsi="Book Antiqua"/>
        </w:rPr>
        <w:sectPr w:rsidR="007531A0" w:rsidRPr="00F26395">
          <w:pgSz w:w="12240" w:h="15840"/>
          <w:pgMar w:top="1440" w:right="1440" w:bottom="1440" w:left="1440" w:header="720" w:footer="720" w:gutter="0"/>
          <w:cols w:space="720"/>
          <w:docGrid w:linePitch="360"/>
        </w:sectPr>
      </w:pPr>
    </w:p>
    <w:p w14:paraId="59168F7D" w14:textId="165B13F3" w:rsidR="00F26395" w:rsidRPr="00F26395" w:rsidRDefault="00F26395" w:rsidP="00F26395">
      <w:pPr>
        <w:spacing w:line="360" w:lineRule="auto"/>
        <w:jc w:val="both"/>
        <w:rPr>
          <w:rFonts w:ascii="Book Antiqua" w:hAnsi="Book Antiqua"/>
          <w:b/>
          <w:bCs/>
        </w:rPr>
      </w:pPr>
      <w:r w:rsidRPr="00F26395">
        <w:rPr>
          <w:rFonts w:ascii="Book Antiqua" w:hAnsi="Book Antiqua"/>
          <w:b/>
          <w:bCs/>
        </w:rPr>
        <w:lastRenderedPageBreak/>
        <w:t>Table 1 Baseline demographics and clinical characteristics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3510"/>
      </w:tblGrid>
      <w:tr w:rsidR="00F26395" w:rsidRPr="00F26395" w14:paraId="2078D2C8" w14:textId="77777777" w:rsidTr="00E74D83">
        <w:tc>
          <w:tcPr>
            <w:tcW w:w="4855" w:type="dxa"/>
            <w:tcBorders>
              <w:top w:val="single" w:sz="4" w:space="0" w:color="auto"/>
              <w:bottom w:val="single" w:sz="4" w:space="0" w:color="auto"/>
            </w:tcBorders>
          </w:tcPr>
          <w:p w14:paraId="518B8301"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Demographics and clinical characteristics</w:t>
            </w:r>
          </w:p>
        </w:tc>
        <w:tc>
          <w:tcPr>
            <w:tcW w:w="3510" w:type="dxa"/>
            <w:tcBorders>
              <w:top w:val="single" w:sz="4" w:space="0" w:color="auto"/>
              <w:bottom w:val="single" w:sz="4" w:space="0" w:color="auto"/>
            </w:tcBorders>
          </w:tcPr>
          <w:p w14:paraId="702D99F9" w14:textId="66BCB7C6" w:rsidR="00F26395" w:rsidRPr="00F26395" w:rsidRDefault="00F26395" w:rsidP="00F26395">
            <w:pPr>
              <w:spacing w:line="360" w:lineRule="auto"/>
              <w:jc w:val="both"/>
              <w:rPr>
                <w:rFonts w:ascii="Book Antiqua" w:hAnsi="Book Antiqua"/>
                <w:b/>
                <w:bCs/>
              </w:rPr>
            </w:pPr>
            <w:r w:rsidRPr="00F26395">
              <w:rPr>
                <w:rFonts w:ascii="Book Antiqua" w:hAnsi="Book Antiqua"/>
                <w:b/>
                <w:bCs/>
                <w:i/>
                <w:iCs/>
              </w:rPr>
              <w:t>n</w:t>
            </w:r>
            <w:r w:rsidRPr="00F26395">
              <w:rPr>
                <w:rFonts w:ascii="Book Antiqua" w:hAnsi="Book Antiqua"/>
                <w:b/>
                <w:bCs/>
              </w:rPr>
              <w:t xml:space="preserve"> = 195</w:t>
            </w:r>
          </w:p>
        </w:tc>
      </w:tr>
      <w:tr w:rsidR="00F26395" w:rsidRPr="00F26395" w14:paraId="516836B2" w14:textId="77777777" w:rsidTr="00E74D83">
        <w:tc>
          <w:tcPr>
            <w:tcW w:w="4855" w:type="dxa"/>
            <w:tcBorders>
              <w:top w:val="single" w:sz="4" w:space="0" w:color="auto"/>
            </w:tcBorders>
          </w:tcPr>
          <w:p w14:paraId="563AF6BB" w14:textId="3A4E982A" w:rsidR="00F26395" w:rsidRPr="00F26395" w:rsidRDefault="00F26395" w:rsidP="00F26395">
            <w:pPr>
              <w:spacing w:line="360" w:lineRule="auto"/>
              <w:jc w:val="both"/>
              <w:rPr>
                <w:rFonts w:ascii="Book Antiqua" w:hAnsi="Book Antiqua"/>
              </w:rPr>
            </w:pPr>
            <w:r w:rsidRPr="00F26395">
              <w:rPr>
                <w:rFonts w:ascii="Book Antiqua" w:hAnsi="Book Antiqua"/>
              </w:rPr>
              <w:t>Age (</w:t>
            </w:r>
            <w:proofErr w:type="spellStart"/>
            <w:r w:rsidRPr="00F26395">
              <w:rPr>
                <w:rFonts w:ascii="Book Antiqua" w:hAnsi="Book Antiqua"/>
              </w:rPr>
              <w:t>yr</w:t>
            </w:r>
            <w:proofErr w:type="spellEnd"/>
            <w:r w:rsidRPr="00F26395">
              <w:rPr>
                <w:rFonts w:ascii="Book Antiqua" w:hAnsi="Book Antiqua"/>
              </w:rPr>
              <w:t>), median (range)</w:t>
            </w:r>
          </w:p>
        </w:tc>
        <w:tc>
          <w:tcPr>
            <w:tcW w:w="3510" w:type="dxa"/>
            <w:tcBorders>
              <w:top w:val="single" w:sz="4" w:space="0" w:color="auto"/>
            </w:tcBorders>
          </w:tcPr>
          <w:p w14:paraId="2F1846FD" w14:textId="77777777" w:rsidR="00F26395" w:rsidRPr="00F26395" w:rsidRDefault="00F26395" w:rsidP="00F26395">
            <w:pPr>
              <w:spacing w:line="360" w:lineRule="auto"/>
              <w:jc w:val="both"/>
              <w:rPr>
                <w:rFonts w:ascii="Book Antiqua" w:hAnsi="Book Antiqua"/>
              </w:rPr>
            </w:pPr>
            <w:r w:rsidRPr="00F26395">
              <w:rPr>
                <w:rFonts w:ascii="Book Antiqua" w:hAnsi="Book Antiqua"/>
              </w:rPr>
              <w:t>56 (17-78)</w:t>
            </w:r>
          </w:p>
        </w:tc>
      </w:tr>
      <w:tr w:rsidR="00F26395" w:rsidRPr="00F26395" w14:paraId="2F00E1BC" w14:textId="77777777" w:rsidTr="00E74D83">
        <w:tc>
          <w:tcPr>
            <w:tcW w:w="4855" w:type="dxa"/>
          </w:tcPr>
          <w:p w14:paraId="26071BE3" w14:textId="77777777" w:rsidR="00F26395" w:rsidRPr="00F26395" w:rsidRDefault="00F26395" w:rsidP="00F26395">
            <w:pPr>
              <w:spacing w:line="360" w:lineRule="auto"/>
              <w:jc w:val="both"/>
              <w:rPr>
                <w:rFonts w:ascii="Book Antiqua" w:hAnsi="Book Antiqua"/>
              </w:rPr>
            </w:pPr>
            <w:r w:rsidRPr="00F26395">
              <w:rPr>
                <w:rFonts w:ascii="Book Antiqua" w:hAnsi="Book Antiqua"/>
              </w:rPr>
              <w:t xml:space="preserve">Female, </w:t>
            </w:r>
            <w:r w:rsidRPr="00F26395">
              <w:rPr>
                <w:rFonts w:ascii="Book Antiqua" w:hAnsi="Book Antiqua"/>
                <w:i/>
                <w:iCs/>
              </w:rPr>
              <w:t>n</w:t>
            </w:r>
            <w:r w:rsidRPr="00F26395">
              <w:rPr>
                <w:rFonts w:ascii="Book Antiqua" w:hAnsi="Book Antiqua"/>
              </w:rPr>
              <w:t xml:space="preserve"> (%)</w:t>
            </w:r>
          </w:p>
        </w:tc>
        <w:tc>
          <w:tcPr>
            <w:tcW w:w="3510" w:type="dxa"/>
          </w:tcPr>
          <w:p w14:paraId="79C5A968" w14:textId="77777777" w:rsidR="00F26395" w:rsidRPr="00F26395" w:rsidRDefault="00F26395" w:rsidP="00F26395">
            <w:pPr>
              <w:spacing w:line="360" w:lineRule="auto"/>
              <w:jc w:val="both"/>
              <w:rPr>
                <w:rFonts w:ascii="Book Antiqua" w:hAnsi="Book Antiqua"/>
              </w:rPr>
            </w:pPr>
            <w:r w:rsidRPr="00F26395">
              <w:rPr>
                <w:rFonts w:ascii="Book Antiqua" w:hAnsi="Book Antiqua"/>
              </w:rPr>
              <w:t>101 (51.8)</w:t>
            </w:r>
          </w:p>
        </w:tc>
      </w:tr>
      <w:tr w:rsidR="00F26395" w:rsidRPr="00F26395" w14:paraId="381241F9" w14:textId="77777777" w:rsidTr="00E74D83">
        <w:tc>
          <w:tcPr>
            <w:tcW w:w="4855" w:type="dxa"/>
          </w:tcPr>
          <w:p w14:paraId="4FE0B2F3" w14:textId="77777777" w:rsidR="00F26395" w:rsidRPr="00F26395" w:rsidRDefault="00F26395" w:rsidP="00F26395">
            <w:pPr>
              <w:spacing w:line="360" w:lineRule="auto"/>
              <w:jc w:val="both"/>
              <w:rPr>
                <w:rFonts w:ascii="Book Antiqua" w:hAnsi="Book Antiqua"/>
              </w:rPr>
            </w:pPr>
            <w:r w:rsidRPr="00F26395">
              <w:rPr>
                <w:rFonts w:ascii="Book Antiqua" w:hAnsi="Book Antiqua"/>
              </w:rPr>
              <w:t>Time since HSCT in days, median (range)</w:t>
            </w:r>
          </w:p>
        </w:tc>
        <w:tc>
          <w:tcPr>
            <w:tcW w:w="3510" w:type="dxa"/>
          </w:tcPr>
          <w:p w14:paraId="7A3E0351" w14:textId="77777777" w:rsidR="00F26395" w:rsidRPr="00F26395" w:rsidRDefault="00F26395" w:rsidP="00F26395">
            <w:pPr>
              <w:spacing w:line="360" w:lineRule="auto"/>
              <w:jc w:val="both"/>
              <w:rPr>
                <w:rFonts w:ascii="Book Antiqua" w:hAnsi="Book Antiqua"/>
              </w:rPr>
            </w:pPr>
            <w:r w:rsidRPr="00F26395">
              <w:rPr>
                <w:rFonts w:ascii="Book Antiqua" w:hAnsi="Book Antiqua"/>
              </w:rPr>
              <w:t>27 (9-98)</w:t>
            </w:r>
          </w:p>
        </w:tc>
      </w:tr>
      <w:tr w:rsidR="00F26395" w:rsidRPr="00F26395" w14:paraId="3C864682" w14:textId="77777777" w:rsidTr="00E74D83">
        <w:tc>
          <w:tcPr>
            <w:tcW w:w="4855" w:type="dxa"/>
          </w:tcPr>
          <w:p w14:paraId="2F79B790" w14:textId="5F940ABD" w:rsidR="00F26395" w:rsidRPr="00F26395" w:rsidRDefault="00F26395" w:rsidP="00F26395">
            <w:pPr>
              <w:spacing w:line="360" w:lineRule="auto"/>
              <w:jc w:val="both"/>
              <w:rPr>
                <w:rFonts w:ascii="Book Antiqua" w:hAnsi="Book Antiqua"/>
              </w:rPr>
            </w:pPr>
            <w:r w:rsidRPr="00F26395">
              <w:rPr>
                <w:rFonts w:ascii="Book Antiqua" w:hAnsi="Book Antiqua"/>
              </w:rPr>
              <w:t xml:space="preserve">Hematologic disorder, </w:t>
            </w:r>
            <w:r w:rsidRPr="00F26395">
              <w:rPr>
                <w:rFonts w:ascii="Book Antiqua" w:hAnsi="Book Antiqua"/>
                <w:i/>
                <w:iCs/>
              </w:rPr>
              <w:t>n</w:t>
            </w:r>
            <w:r w:rsidRPr="00F26395">
              <w:rPr>
                <w:rFonts w:ascii="Book Antiqua" w:hAnsi="Book Antiqua"/>
              </w:rPr>
              <w:t xml:space="preserve"> (%)</w:t>
            </w:r>
            <w:r w:rsidR="00E74D83" w:rsidRPr="00E74D83">
              <w:rPr>
                <w:rFonts w:ascii="Book Antiqua" w:hAnsi="Book Antiqua"/>
                <w:vertAlign w:val="superscript"/>
              </w:rPr>
              <w:t>1</w:t>
            </w:r>
          </w:p>
        </w:tc>
        <w:tc>
          <w:tcPr>
            <w:tcW w:w="3510" w:type="dxa"/>
          </w:tcPr>
          <w:p w14:paraId="6B83DB70" w14:textId="77777777" w:rsidR="00F26395" w:rsidRPr="00F26395" w:rsidRDefault="00F26395" w:rsidP="00F26395">
            <w:pPr>
              <w:spacing w:line="360" w:lineRule="auto"/>
              <w:jc w:val="both"/>
              <w:rPr>
                <w:rFonts w:ascii="Book Antiqua" w:hAnsi="Book Antiqua"/>
              </w:rPr>
            </w:pPr>
          </w:p>
        </w:tc>
      </w:tr>
      <w:tr w:rsidR="00F26395" w:rsidRPr="00F26395" w14:paraId="0B80CDE8" w14:textId="77777777" w:rsidTr="00E74D83">
        <w:tc>
          <w:tcPr>
            <w:tcW w:w="4855" w:type="dxa"/>
          </w:tcPr>
          <w:p w14:paraId="064BB595"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AML</w:t>
            </w:r>
          </w:p>
        </w:tc>
        <w:tc>
          <w:tcPr>
            <w:tcW w:w="3510" w:type="dxa"/>
          </w:tcPr>
          <w:p w14:paraId="2181CC21" w14:textId="77777777" w:rsidR="00F26395" w:rsidRPr="00F26395" w:rsidRDefault="00F26395" w:rsidP="00F26395">
            <w:pPr>
              <w:spacing w:line="360" w:lineRule="auto"/>
              <w:jc w:val="both"/>
              <w:rPr>
                <w:rFonts w:ascii="Book Antiqua" w:hAnsi="Book Antiqua"/>
              </w:rPr>
            </w:pPr>
            <w:r w:rsidRPr="00F26395">
              <w:rPr>
                <w:rFonts w:ascii="Book Antiqua" w:hAnsi="Book Antiqua"/>
              </w:rPr>
              <w:t>80 (41.0)</w:t>
            </w:r>
          </w:p>
        </w:tc>
      </w:tr>
      <w:tr w:rsidR="00F26395" w:rsidRPr="00F26395" w14:paraId="5366FC95" w14:textId="77777777" w:rsidTr="00E74D83">
        <w:tc>
          <w:tcPr>
            <w:tcW w:w="4855" w:type="dxa"/>
          </w:tcPr>
          <w:p w14:paraId="6767EE6F"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B-ALL</w:t>
            </w:r>
          </w:p>
        </w:tc>
        <w:tc>
          <w:tcPr>
            <w:tcW w:w="3510" w:type="dxa"/>
          </w:tcPr>
          <w:p w14:paraId="1932F829" w14:textId="77777777" w:rsidR="00F26395" w:rsidRPr="00F26395" w:rsidRDefault="00F26395" w:rsidP="00F26395">
            <w:pPr>
              <w:spacing w:line="360" w:lineRule="auto"/>
              <w:jc w:val="both"/>
              <w:rPr>
                <w:rFonts w:ascii="Book Antiqua" w:hAnsi="Book Antiqua"/>
              </w:rPr>
            </w:pPr>
            <w:r w:rsidRPr="00F26395">
              <w:rPr>
                <w:rFonts w:ascii="Book Antiqua" w:hAnsi="Book Antiqua"/>
              </w:rPr>
              <w:t>34 (17.4)</w:t>
            </w:r>
          </w:p>
        </w:tc>
      </w:tr>
      <w:tr w:rsidR="00F26395" w:rsidRPr="00F26395" w14:paraId="0EDE3683" w14:textId="77777777" w:rsidTr="00E74D83">
        <w:tc>
          <w:tcPr>
            <w:tcW w:w="4855" w:type="dxa"/>
          </w:tcPr>
          <w:p w14:paraId="30F4C91B"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MDS</w:t>
            </w:r>
          </w:p>
        </w:tc>
        <w:tc>
          <w:tcPr>
            <w:tcW w:w="3510" w:type="dxa"/>
          </w:tcPr>
          <w:p w14:paraId="39D3D6A4" w14:textId="77777777" w:rsidR="00F26395" w:rsidRPr="00F26395" w:rsidRDefault="00F26395" w:rsidP="00F26395">
            <w:pPr>
              <w:spacing w:line="360" w:lineRule="auto"/>
              <w:jc w:val="both"/>
              <w:rPr>
                <w:rFonts w:ascii="Book Antiqua" w:hAnsi="Book Antiqua"/>
              </w:rPr>
            </w:pPr>
            <w:r w:rsidRPr="00F26395">
              <w:rPr>
                <w:rFonts w:ascii="Book Antiqua" w:hAnsi="Book Antiqua"/>
              </w:rPr>
              <w:t>30 (15.4)</w:t>
            </w:r>
          </w:p>
        </w:tc>
      </w:tr>
      <w:tr w:rsidR="00F26395" w:rsidRPr="00F26395" w14:paraId="67BF0AC6" w14:textId="77777777" w:rsidTr="00E74D83">
        <w:tc>
          <w:tcPr>
            <w:tcW w:w="4855" w:type="dxa"/>
          </w:tcPr>
          <w:p w14:paraId="7DDDE666"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Myelofibrosis</w:t>
            </w:r>
          </w:p>
        </w:tc>
        <w:tc>
          <w:tcPr>
            <w:tcW w:w="3510" w:type="dxa"/>
          </w:tcPr>
          <w:p w14:paraId="44DCDAB4" w14:textId="77777777" w:rsidR="00F26395" w:rsidRPr="00F26395" w:rsidRDefault="00F26395" w:rsidP="00F26395">
            <w:pPr>
              <w:spacing w:line="360" w:lineRule="auto"/>
              <w:jc w:val="both"/>
              <w:rPr>
                <w:rFonts w:ascii="Book Antiqua" w:hAnsi="Book Antiqua"/>
              </w:rPr>
            </w:pPr>
            <w:r w:rsidRPr="00F26395">
              <w:rPr>
                <w:rFonts w:ascii="Book Antiqua" w:hAnsi="Book Antiqua"/>
              </w:rPr>
              <w:t>13 (6.7)</w:t>
            </w:r>
          </w:p>
        </w:tc>
      </w:tr>
      <w:tr w:rsidR="00F26395" w:rsidRPr="00F26395" w14:paraId="20AE9CC2" w14:textId="77777777" w:rsidTr="00E74D83">
        <w:tc>
          <w:tcPr>
            <w:tcW w:w="4855" w:type="dxa"/>
          </w:tcPr>
          <w:p w14:paraId="270D308A" w14:textId="14263D9B" w:rsidR="00F26395" w:rsidRPr="00F26395" w:rsidRDefault="00F26395" w:rsidP="00F26395">
            <w:pPr>
              <w:spacing w:line="360" w:lineRule="auto"/>
              <w:jc w:val="both"/>
              <w:rPr>
                <w:rFonts w:ascii="Book Antiqua" w:hAnsi="Book Antiqua"/>
              </w:rPr>
            </w:pPr>
            <w:r w:rsidRPr="00F26395">
              <w:rPr>
                <w:rFonts w:ascii="Book Antiqua" w:hAnsi="Book Antiqua"/>
              </w:rPr>
              <w:t xml:space="preserve">Presenting symptoms, </w:t>
            </w:r>
            <w:r w:rsidRPr="00F26395">
              <w:rPr>
                <w:rFonts w:ascii="Book Antiqua" w:hAnsi="Book Antiqua"/>
                <w:i/>
                <w:iCs/>
              </w:rPr>
              <w:t>n</w:t>
            </w:r>
            <w:r w:rsidRPr="00F26395">
              <w:rPr>
                <w:rFonts w:ascii="Book Antiqua" w:hAnsi="Book Antiqua"/>
              </w:rPr>
              <w:t xml:space="preserve"> (%)</w:t>
            </w:r>
            <w:r w:rsidR="00E74D83" w:rsidRPr="00E74D83">
              <w:rPr>
                <w:rFonts w:ascii="Book Antiqua" w:hAnsi="Book Antiqua"/>
                <w:vertAlign w:val="superscript"/>
              </w:rPr>
              <w:t>1</w:t>
            </w:r>
          </w:p>
        </w:tc>
        <w:tc>
          <w:tcPr>
            <w:tcW w:w="3510" w:type="dxa"/>
          </w:tcPr>
          <w:p w14:paraId="400BD31C" w14:textId="77777777" w:rsidR="00F26395" w:rsidRPr="00F26395" w:rsidRDefault="00F26395" w:rsidP="00F26395">
            <w:pPr>
              <w:spacing w:line="360" w:lineRule="auto"/>
              <w:jc w:val="both"/>
              <w:rPr>
                <w:rFonts w:ascii="Book Antiqua" w:hAnsi="Book Antiqua"/>
              </w:rPr>
            </w:pPr>
          </w:p>
        </w:tc>
      </w:tr>
      <w:tr w:rsidR="00F26395" w:rsidRPr="00F26395" w14:paraId="51610670" w14:textId="77777777" w:rsidTr="00E74D83">
        <w:tc>
          <w:tcPr>
            <w:tcW w:w="4855" w:type="dxa"/>
          </w:tcPr>
          <w:p w14:paraId="65C0922B"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Diarrhea</w:t>
            </w:r>
          </w:p>
        </w:tc>
        <w:tc>
          <w:tcPr>
            <w:tcW w:w="3510" w:type="dxa"/>
          </w:tcPr>
          <w:p w14:paraId="27B477B4" w14:textId="77777777" w:rsidR="00F26395" w:rsidRPr="00F26395" w:rsidRDefault="00F26395" w:rsidP="00F26395">
            <w:pPr>
              <w:spacing w:line="360" w:lineRule="auto"/>
              <w:jc w:val="both"/>
              <w:rPr>
                <w:rFonts w:ascii="Book Antiqua" w:hAnsi="Book Antiqua"/>
              </w:rPr>
            </w:pPr>
            <w:r w:rsidRPr="00F26395">
              <w:rPr>
                <w:rFonts w:ascii="Book Antiqua" w:hAnsi="Book Antiqua"/>
              </w:rPr>
              <w:t>144 (73.9)</w:t>
            </w:r>
          </w:p>
        </w:tc>
      </w:tr>
      <w:tr w:rsidR="00F26395" w:rsidRPr="00F26395" w14:paraId="67D105AA" w14:textId="77777777" w:rsidTr="00E74D83">
        <w:tc>
          <w:tcPr>
            <w:tcW w:w="4855" w:type="dxa"/>
          </w:tcPr>
          <w:p w14:paraId="1240CC8F"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Nausea/vomiting</w:t>
            </w:r>
          </w:p>
        </w:tc>
        <w:tc>
          <w:tcPr>
            <w:tcW w:w="3510" w:type="dxa"/>
          </w:tcPr>
          <w:p w14:paraId="5AF44391" w14:textId="77777777" w:rsidR="00F26395" w:rsidRPr="00F26395" w:rsidRDefault="00F26395" w:rsidP="00F26395">
            <w:pPr>
              <w:spacing w:line="360" w:lineRule="auto"/>
              <w:jc w:val="both"/>
              <w:rPr>
                <w:rFonts w:ascii="Book Antiqua" w:hAnsi="Book Antiqua"/>
              </w:rPr>
            </w:pPr>
            <w:r w:rsidRPr="00F26395">
              <w:rPr>
                <w:rFonts w:ascii="Book Antiqua" w:hAnsi="Book Antiqua"/>
              </w:rPr>
              <w:t>107 (54.9)</w:t>
            </w:r>
          </w:p>
        </w:tc>
      </w:tr>
      <w:tr w:rsidR="00F26395" w:rsidRPr="00F26395" w14:paraId="62164BF1" w14:textId="77777777" w:rsidTr="00E74D83">
        <w:tc>
          <w:tcPr>
            <w:tcW w:w="4855" w:type="dxa"/>
          </w:tcPr>
          <w:p w14:paraId="58D32B7D"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Abdominal pain</w:t>
            </w:r>
          </w:p>
        </w:tc>
        <w:tc>
          <w:tcPr>
            <w:tcW w:w="3510" w:type="dxa"/>
          </w:tcPr>
          <w:p w14:paraId="3838475B" w14:textId="77777777" w:rsidR="00F26395" w:rsidRPr="00F26395" w:rsidRDefault="00F26395" w:rsidP="00F26395">
            <w:pPr>
              <w:spacing w:line="360" w:lineRule="auto"/>
              <w:jc w:val="both"/>
              <w:rPr>
                <w:rFonts w:ascii="Book Antiqua" w:hAnsi="Book Antiqua"/>
              </w:rPr>
            </w:pPr>
            <w:r w:rsidRPr="00F26395">
              <w:rPr>
                <w:rFonts w:ascii="Book Antiqua" w:hAnsi="Book Antiqua"/>
              </w:rPr>
              <w:t>50 (25.6)</w:t>
            </w:r>
          </w:p>
        </w:tc>
      </w:tr>
      <w:tr w:rsidR="00F26395" w:rsidRPr="00F26395" w14:paraId="65733E0A" w14:textId="77777777" w:rsidTr="00E74D83">
        <w:tc>
          <w:tcPr>
            <w:tcW w:w="4855" w:type="dxa"/>
          </w:tcPr>
          <w:p w14:paraId="0C6C4D3F" w14:textId="4D554DCF" w:rsidR="00F26395" w:rsidRPr="00F26395" w:rsidRDefault="00F26395" w:rsidP="00F26395">
            <w:pPr>
              <w:spacing w:line="360" w:lineRule="auto"/>
              <w:jc w:val="both"/>
              <w:rPr>
                <w:rFonts w:ascii="Book Antiqua" w:hAnsi="Book Antiqua"/>
              </w:rPr>
            </w:pPr>
            <w:r w:rsidRPr="00F26395">
              <w:rPr>
                <w:rFonts w:ascii="Book Antiqua" w:hAnsi="Book Antiqua"/>
              </w:rPr>
              <w:t xml:space="preserve">Gross endoscopic findings, </w:t>
            </w:r>
            <w:r w:rsidRPr="00F26395">
              <w:rPr>
                <w:rFonts w:ascii="Book Antiqua" w:hAnsi="Book Antiqua"/>
                <w:i/>
                <w:iCs/>
              </w:rPr>
              <w:t>n</w:t>
            </w:r>
            <w:r w:rsidRPr="00F26395">
              <w:rPr>
                <w:rFonts w:ascii="Book Antiqua" w:hAnsi="Book Antiqua"/>
              </w:rPr>
              <w:t xml:space="preserve"> (%)</w:t>
            </w:r>
            <w:r w:rsidR="00E74D83" w:rsidRPr="00E74D83">
              <w:rPr>
                <w:rFonts w:ascii="Book Antiqua" w:hAnsi="Book Antiqua"/>
                <w:vertAlign w:val="superscript"/>
              </w:rPr>
              <w:t>1</w:t>
            </w:r>
          </w:p>
        </w:tc>
        <w:tc>
          <w:tcPr>
            <w:tcW w:w="3510" w:type="dxa"/>
          </w:tcPr>
          <w:p w14:paraId="31DC248F" w14:textId="77777777" w:rsidR="00F26395" w:rsidRPr="00F26395" w:rsidRDefault="00F26395" w:rsidP="00F26395">
            <w:pPr>
              <w:spacing w:line="360" w:lineRule="auto"/>
              <w:jc w:val="both"/>
              <w:rPr>
                <w:rFonts w:ascii="Book Antiqua" w:hAnsi="Book Antiqua"/>
              </w:rPr>
            </w:pPr>
          </w:p>
        </w:tc>
      </w:tr>
      <w:tr w:rsidR="00F26395" w:rsidRPr="00F26395" w14:paraId="7349760B" w14:textId="77777777" w:rsidTr="00E74D83">
        <w:tc>
          <w:tcPr>
            <w:tcW w:w="4855" w:type="dxa"/>
          </w:tcPr>
          <w:p w14:paraId="111FF966"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Edema/erythema</w:t>
            </w:r>
          </w:p>
        </w:tc>
        <w:tc>
          <w:tcPr>
            <w:tcW w:w="3510" w:type="dxa"/>
          </w:tcPr>
          <w:p w14:paraId="12AF89E3" w14:textId="77777777" w:rsidR="00F26395" w:rsidRPr="00F26395" w:rsidRDefault="00F26395" w:rsidP="00F26395">
            <w:pPr>
              <w:spacing w:line="360" w:lineRule="auto"/>
              <w:jc w:val="both"/>
              <w:rPr>
                <w:rFonts w:ascii="Book Antiqua" w:hAnsi="Book Antiqua"/>
              </w:rPr>
            </w:pPr>
            <w:r w:rsidRPr="00F26395">
              <w:rPr>
                <w:rFonts w:ascii="Book Antiqua" w:hAnsi="Book Antiqua"/>
              </w:rPr>
              <w:t>108 (55.4)</w:t>
            </w:r>
          </w:p>
        </w:tc>
      </w:tr>
      <w:tr w:rsidR="00F26395" w:rsidRPr="00F26395" w14:paraId="1774E166" w14:textId="77777777" w:rsidTr="00E74D83">
        <w:tc>
          <w:tcPr>
            <w:tcW w:w="4855" w:type="dxa"/>
          </w:tcPr>
          <w:p w14:paraId="6442871E"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Gastritis</w:t>
            </w:r>
          </w:p>
        </w:tc>
        <w:tc>
          <w:tcPr>
            <w:tcW w:w="3510" w:type="dxa"/>
          </w:tcPr>
          <w:p w14:paraId="6746854E" w14:textId="77777777" w:rsidR="00F26395" w:rsidRPr="00F26395" w:rsidRDefault="00F26395" w:rsidP="00F26395">
            <w:pPr>
              <w:spacing w:line="360" w:lineRule="auto"/>
              <w:jc w:val="both"/>
              <w:rPr>
                <w:rFonts w:ascii="Book Antiqua" w:hAnsi="Book Antiqua"/>
              </w:rPr>
            </w:pPr>
            <w:r w:rsidRPr="00F26395">
              <w:rPr>
                <w:rFonts w:ascii="Book Antiqua" w:hAnsi="Book Antiqua"/>
              </w:rPr>
              <w:t>84 (43.1)</w:t>
            </w:r>
          </w:p>
        </w:tc>
      </w:tr>
      <w:tr w:rsidR="00F26395" w:rsidRPr="00F26395" w14:paraId="6A85AC4E" w14:textId="77777777" w:rsidTr="00E74D83">
        <w:tc>
          <w:tcPr>
            <w:tcW w:w="4855" w:type="dxa"/>
          </w:tcPr>
          <w:p w14:paraId="79F7B448"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Ulcerations/erosions</w:t>
            </w:r>
          </w:p>
        </w:tc>
        <w:tc>
          <w:tcPr>
            <w:tcW w:w="3510" w:type="dxa"/>
          </w:tcPr>
          <w:p w14:paraId="2ECC3122" w14:textId="77777777" w:rsidR="00F26395" w:rsidRPr="00F26395" w:rsidRDefault="00F26395" w:rsidP="00F26395">
            <w:pPr>
              <w:spacing w:line="360" w:lineRule="auto"/>
              <w:jc w:val="both"/>
              <w:rPr>
                <w:rFonts w:ascii="Book Antiqua" w:hAnsi="Book Antiqua"/>
              </w:rPr>
            </w:pPr>
            <w:r w:rsidRPr="00F26395">
              <w:rPr>
                <w:rFonts w:ascii="Book Antiqua" w:hAnsi="Book Antiqua"/>
              </w:rPr>
              <w:t>56 (28.7)</w:t>
            </w:r>
          </w:p>
        </w:tc>
      </w:tr>
      <w:tr w:rsidR="00F26395" w:rsidRPr="00F26395" w14:paraId="0A6C4C77" w14:textId="77777777" w:rsidTr="00E74D83">
        <w:tc>
          <w:tcPr>
            <w:tcW w:w="4855" w:type="dxa"/>
          </w:tcPr>
          <w:p w14:paraId="25302D11"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Colitis</w:t>
            </w:r>
          </w:p>
        </w:tc>
        <w:tc>
          <w:tcPr>
            <w:tcW w:w="3510" w:type="dxa"/>
          </w:tcPr>
          <w:p w14:paraId="443D9AE6" w14:textId="77777777" w:rsidR="00F26395" w:rsidRPr="00F26395" w:rsidRDefault="00F26395" w:rsidP="00F26395">
            <w:pPr>
              <w:spacing w:line="360" w:lineRule="auto"/>
              <w:jc w:val="both"/>
              <w:rPr>
                <w:rFonts w:ascii="Book Antiqua" w:hAnsi="Book Antiqua"/>
              </w:rPr>
            </w:pPr>
            <w:r w:rsidRPr="00F26395">
              <w:rPr>
                <w:rFonts w:ascii="Book Antiqua" w:hAnsi="Book Antiqua"/>
              </w:rPr>
              <w:t>39 (20.0)</w:t>
            </w:r>
          </w:p>
        </w:tc>
      </w:tr>
      <w:tr w:rsidR="00F26395" w:rsidRPr="00F26395" w14:paraId="76425D41" w14:textId="77777777" w:rsidTr="00E74D83">
        <w:tc>
          <w:tcPr>
            <w:tcW w:w="4855" w:type="dxa"/>
          </w:tcPr>
          <w:p w14:paraId="77BE1BB6"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Esophagitis</w:t>
            </w:r>
          </w:p>
        </w:tc>
        <w:tc>
          <w:tcPr>
            <w:tcW w:w="3510" w:type="dxa"/>
          </w:tcPr>
          <w:p w14:paraId="533A14F2" w14:textId="77777777" w:rsidR="00F26395" w:rsidRPr="00F26395" w:rsidRDefault="00F26395" w:rsidP="00F26395">
            <w:pPr>
              <w:spacing w:line="360" w:lineRule="auto"/>
              <w:jc w:val="both"/>
              <w:rPr>
                <w:rFonts w:ascii="Book Antiqua" w:hAnsi="Book Antiqua"/>
              </w:rPr>
            </w:pPr>
            <w:r w:rsidRPr="00F26395">
              <w:rPr>
                <w:rFonts w:ascii="Book Antiqua" w:hAnsi="Book Antiqua"/>
              </w:rPr>
              <w:t>27 (13.9)</w:t>
            </w:r>
          </w:p>
        </w:tc>
      </w:tr>
      <w:tr w:rsidR="00F26395" w:rsidRPr="00F26395" w14:paraId="5A0DE005" w14:textId="77777777" w:rsidTr="00E74D83">
        <w:tc>
          <w:tcPr>
            <w:tcW w:w="4855" w:type="dxa"/>
          </w:tcPr>
          <w:p w14:paraId="6B00828B"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Duodenitis</w:t>
            </w:r>
          </w:p>
        </w:tc>
        <w:tc>
          <w:tcPr>
            <w:tcW w:w="3510" w:type="dxa"/>
          </w:tcPr>
          <w:p w14:paraId="0D9CF91F" w14:textId="77777777" w:rsidR="00F26395" w:rsidRPr="00F26395" w:rsidRDefault="00F26395" w:rsidP="00F26395">
            <w:pPr>
              <w:spacing w:line="360" w:lineRule="auto"/>
              <w:jc w:val="both"/>
              <w:rPr>
                <w:rFonts w:ascii="Book Antiqua" w:hAnsi="Book Antiqua"/>
              </w:rPr>
            </w:pPr>
            <w:r w:rsidRPr="00F26395">
              <w:rPr>
                <w:rFonts w:ascii="Book Antiqua" w:hAnsi="Book Antiqua"/>
              </w:rPr>
              <w:t>26 (13.3)</w:t>
            </w:r>
          </w:p>
        </w:tc>
      </w:tr>
      <w:tr w:rsidR="00F26395" w:rsidRPr="00F26395" w14:paraId="74B159C3" w14:textId="77777777" w:rsidTr="00E74D83">
        <w:tc>
          <w:tcPr>
            <w:tcW w:w="4855" w:type="dxa"/>
          </w:tcPr>
          <w:p w14:paraId="6157FDC6"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Normal</w:t>
            </w:r>
          </w:p>
        </w:tc>
        <w:tc>
          <w:tcPr>
            <w:tcW w:w="3510" w:type="dxa"/>
          </w:tcPr>
          <w:p w14:paraId="07AF8C98" w14:textId="77777777" w:rsidR="00F26395" w:rsidRPr="00F26395" w:rsidRDefault="00F26395" w:rsidP="00F26395">
            <w:pPr>
              <w:spacing w:line="360" w:lineRule="auto"/>
              <w:jc w:val="both"/>
              <w:rPr>
                <w:rFonts w:ascii="Book Antiqua" w:hAnsi="Book Antiqua"/>
              </w:rPr>
            </w:pPr>
            <w:r w:rsidRPr="00F26395">
              <w:rPr>
                <w:rFonts w:ascii="Book Antiqua" w:hAnsi="Book Antiqua"/>
              </w:rPr>
              <w:t>25 (12.8)</w:t>
            </w:r>
          </w:p>
        </w:tc>
      </w:tr>
      <w:tr w:rsidR="00F26395" w:rsidRPr="00F26395" w14:paraId="7D50B542" w14:textId="77777777" w:rsidTr="00E74D83">
        <w:tc>
          <w:tcPr>
            <w:tcW w:w="4855" w:type="dxa"/>
          </w:tcPr>
          <w:p w14:paraId="52CD9708" w14:textId="4DB5BEF5" w:rsidR="00F26395" w:rsidRPr="00F26395" w:rsidRDefault="00F26395" w:rsidP="00F26395">
            <w:pPr>
              <w:spacing w:line="360" w:lineRule="auto"/>
              <w:jc w:val="both"/>
              <w:rPr>
                <w:rFonts w:ascii="Book Antiqua" w:hAnsi="Book Antiqua"/>
                <w:highlight w:val="yellow"/>
              </w:rPr>
            </w:pPr>
            <w:r w:rsidRPr="00F26395">
              <w:rPr>
                <w:rFonts w:ascii="Book Antiqua" w:hAnsi="Book Antiqua"/>
              </w:rPr>
              <w:t xml:space="preserve">Pathologic findings, </w:t>
            </w:r>
            <w:r w:rsidRPr="00F26395">
              <w:rPr>
                <w:rFonts w:ascii="Book Antiqua" w:hAnsi="Book Antiqua"/>
                <w:i/>
                <w:iCs/>
              </w:rPr>
              <w:t>n</w:t>
            </w:r>
            <w:r w:rsidRPr="00F26395">
              <w:rPr>
                <w:rFonts w:ascii="Book Antiqua" w:hAnsi="Book Antiqua"/>
              </w:rPr>
              <w:t xml:space="preserve"> (%)</w:t>
            </w:r>
            <w:r w:rsidR="00E74D83" w:rsidRPr="00E74D83">
              <w:rPr>
                <w:rFonts w:ascii="Book Antiqua" w:hAnsi="Book Antiqua"/>
                <w:vertAlign w:val="superscript"/>
              </w:rPr>
              <w:t>1</w:t>
            </w:r>
          </w:p>
        </w:tc>
        <w:tc>
          <w:tcPr>
            <w:tcW w:w="3510" w:type="dxa"/>
          </w:tcPr>
          <w:p w14:paraId="3427FE3A" w14:textId="77777777" w:rsidR="00F26395" w:rsidRPr="00F26395" w:rsidRDefault="00F26395" w:rsidP="00F26395">
            <w:pPr>
              <w:spacing w:line="360" w:lineRule="auto"/>
              <w:jc w:val="both"/>
              <w:rPr>
                <w:rFonts w:ascii="Book Antiqua" w:hAnsi="Book Antiqua"/>
              </w:rPr>
            </w:pPr>
          </w:p>
        </w:tc>
      </w:tr>
      <w:tr w:rsidR="00F26395" w:rsidRPr="00F26395" w14:paraId="47059D33" w14:textId="77777777" w:rsidTr="00E74D83">
        <w:tc>
          <w:tcPr>
            <w:tcW w:w="4855" w:type="dxa"/>
          </w:tcPr>
          <w:p w14:paraId="1C469C0A"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Mild GVHD</w:t>
            </w:r>
          </w:p>
        </w:tc>
        <w:tc>
          <w:tcPr>
            <w:tcW w:w="3510" w:type="dxa"/>
          </w:tcPr>
          <w:p w14:paraId="5BDCF73C" w14:textId="77777777" w:rsidR="00F26395" w:rsidRPr="00F26395" w:rsidRDefault="00F26395" w:rsidP="00F26395">
            <w:pPr>
              <w:spacing w:line="360" w:lineRule="auto"/>
              <w:jc w:val="both"/>
              <w:rPr>
                <w:rFonts w:ascii="Book Antiqua" w:hAnsi="Book Antiqua"/>
              </w:rPr>
            </w:pPr>
            <w:r w:rsidRPr="00F26395">
              <w:rPr>
                <w:rFonts w:ascii="Book Antiqua" w:hAnsi="Book Antiqua"/>
              </w:rPr>
              <w:t>133 (68.2)</w:t>
            </w:r>
          </w:p>
        </w:tc>
      </w:tr>
      <w:tr w:rsidR="00F26395" w:rsidRPr="00F26395" w14:paraId="65399D5F" w14:textId="77777777" w:rsidTr="00E74D83">
        <w:tc>
          <w:tcPr>
            <w:tcW w:w="4855" w:type="dxa"/>
          </w:tcPr>
          <w:p w14:paraId="3D6C96A7"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Chronic inflammation</w:t>
            </w:r>
          </w:p>
        </w:tc>
        <w:tc>
          <w:tcPr>
            <w:tcW w:w="3510" w:type="dxa"/>
          </w:tcPr>
          <w:p w14:paraId="09DC5871" w14:textId="77777777" w:rsidR="00F26395" w:rsidRPr="00F26395" w:rsidRDefault="00F26395" w:rsidP="00F26395">
            <w:pPr>
              <w:spacing w:line="360" w:lineRule="auto"/>
              <w:jc w:val="both"/>
              <w:rPr>
                <w:rFonts w:ascii="Book Antiqua" w:hAnsi="Book Antiqua"/>
              </w:rPr>
            </w:pPr>
            <w:r w:rsidRPr="00F26395">
              <w:rPr>
                <w:rFonts w:ascii="Book Antiqua" w:hAnsi="Book Antiqua"/>
              </w:rPr>
              <w:t>41 (21.0)</w:t>
            </w:r>
          </w:p>
        </w:tc>
      </w:tr>
      <w:tr w:rsidR="00F26395" w:rsidRPr="00F26395" w14:paraId="7F9FA003" w14:textId="77777777" w:rsidTr="00E74D83">
        <w:tc>
          <w:tcPr>
            <w:tcW w:w="4855" w:type="dxa"/>
          </w:tcPr>
          <w:p w14:paraId="6E5739CC"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Moderate GVHD</w:t>
            </w:r>
          </w:p>
        </w:tc>
        <w:tc>
          <w:tcPr>
            <w:tcW w:w="3510" w:type="dxa"/>
          </w:tcPr>
          <w:p w14:paraId="235143B8" w14:textId="77777777" w:rsidR="00F26395" w:rsidRPr="00F26395" w:rsidRDefault="00F26395" w:rsidP="00F26395">
            <w:pPr>
              <w:spacing w:line="360" w:lineRule="auto"/>
              <w:jc w:val="both"/>
              <w:rPr>
                <w:rFonts w:ascii="Book Antiqua" w:hAnsi="Book Antiqua"/>
              </w:rPr>
            </w:pPr>
            <w:r w:rsidRPr="00F26395">
              <w:rPr>
                <w:rFonts w:ascii="Book Antiqua" w:hAnsi="Book Antiqua"/>
              </w:rPr>
              <w:t>36 (18.5)</w:t>
            </w:r>
          </w:p>
        </w:tc>
      </w:tr>
      <w:tr w:rsidR="00F26395" w:rsidRPr="00F26395" w14:paraId="008A653F" w14:textId="77777777" w:rsidTr="00E74D83">
        <w:tc>
          <w:tcPr>
            <w:tcW w:w="4855" w:type="dxa"/>
          </w:tcPr>
          <w:p w14:paraId="29CA9FCF"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Ulceration/erosion</w:t>
            </w:r>
          </w:p>
        </w:tc>
        <w:tc>
          <w:tcPr>
            <w:tcW w:w="3510" w:type="dxa"/>
          </w:tcPr>
          <w:p w14:paraId="5D618078" w14:textId="77777777" w:rsidR="00F26395" w:rsidRPr="00F26395" w:rsidRDefault="00F26395" w:rsidP="00F26395">
            <w:pPr>
              <w:spacing w:line="360" w:lineRule="auto"/>
              <w:jc w:val="both"/>
              <w:rPr>
                <w:rFonts w:ascii="Book Antiqua" w:hAnsi="Book Antiqua"/>
              </w:rPr>
            </w:pPr>
            <w:r w:rsidRPr="00F26395">
              <w:rPr>
                <w:rFonts w:ascii="Book Antiqua" w:hAnsi="Book Antiqua"/>
              </w:rPr>
              <w:t xml:space="preserve">25 (12.8) </w:t>
            </w:r>
          </w:p>
        </w:tc>
      </w:tr>
      <w:tr w:rsidR="00F26395" w:rsidRPr="00F26395" w14:paraId="4202C504" w14:textId="77777777" w:rsidTr="00E74D83">
        <w:tc>
          <w:tcPr>
            <w:tcW w:w="4855" w:type="dxa"/>
          </w:tcPr>
          <w:p w14:paraId="585AD9B5"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Severe GVHD</w:t>
            </w:r>
          </w:p>
        </w:tc>
        <w:tc>
          <w:tcPr>
            <w:tcW w:w="3510" w:type="dxa"/>
          </w:tcPr>
          <w:p w14:paraId="305EDAF5" w14:textId="77777777" w:rsidR="00F26395" w:rsidRPr="00F26395" w:rsidRDefault="00F26395" w:rsidP="00F26395">
            <w:pPr>
              <w:spacing w:line="360" w:lineRule="auto"/>
              <w:jc w:val="both"/>
              <w:rPr>
                <w:rFonts w:ascii="Book Antiqua" w:hAnsi="Book Antiqua"/>
              </w:rPr>
            </w:pPr>
            <w:r w:rsidRPr="00F26395">
              <w:rPr>
                <w:rFonts w:ascii="Book Antiqua" w:hAnsi="Book Antiqua"/>
              </w:rPr>
              <w:t>16 (8.2)</w:t>
            </w:r>
          </w:p>
        </w:tc>
      </w:tr>
      <w:tr w:rsidR="00F26395" w:rsidRPr="00F26395" w14:paraId="6020DFD9" w14:textId="77777777" w:rsidTr="00E74D83">
        <w:tc>
          <w:tcPr>
            <w:tcW w:w="4855" w:type="dxa"/>
          </w:tcPr>
          <w:p w14:paraId="7F4D0663" w14:textId="423CD3FB" w:rsidR="00F26395" w:rsidRPr="00F26395" w:rsidRDefault="00F26395" w:rsidP="00F26395">
            <w:pPr>
              <w:spacing w:line="360" w:lineRule="auto"/>
              <w:jc w:val="both"/>
              <w:rPr>
                <w:rFonts w:ascii="Book Antiqua" w:hAnsi="Book Antiqua"/>
              </w:rPr>
            </w:pPr>
            <w:r w:rsidRPr="00F26395">
              <w:rPr>
                <w:rFonts w:ascii="Book Antiqua" w:hAnsi="Book Antiqua"/>
              </w:rPr>
              <w:t xml:space="preserve">Location of pathologic findings, </w:t>
            </w:r>
            <w:r w:rsidRPr="00F26395">
              <w:rPr>
                <w:rFonts w:ascii="Book Antiqua" w:hAnsi="Book Antiqua"/>
                <w:i/>
                <w:iCs/>
              </w:rPr>
              <w:t>n</w:t>
            </w:r>
            <w:r w:rsidRPr="00F26395">
              <w:rPr>
                <w:rFonts w:ascii="Book Antiqua" w:hAnsi="Book Antiqua"/>
              </w:rPr>
              <w:t xml:space="preserve"> (%)</w:t>
            </w:r>
            <w:r w:rsidR="00E74D83" w:rsidRPr="00E74D83">
              <w:rPr>
                <w:rFonts w:ascii="Book Antiqua" w:hAnsi="Book Antiqua"/>
                <w:vertAlign w:val="superscript"/>
              </w:rPr>
              <w:t>1</w:t>
            </w:r>
            <w:r w:rsidRPr="00F26395">
              <w:rPr>
                <w:rFonts w:ascii="Book Antiqua" w:hAnsi="Book Antiqua"/>
              </w:rPr>
              <w:t xml:space="preserve"> </w:t>
            </w:r>
          </w:p>
        </w:tc>
        <w:tc>
          <w:tcPr>
            <w:tcW w:w="3510" w:type="dxa"/>
          </w:tcPr>
          <w:p w14:paraId="48FAFF4C" w14:textId="77777777" w:rsidR="00F26395" w:rsidRPr="00F26395" w:rsidRDefault="00F26395" w:rsidP="00F26395">
            <w:pPr>
              <w:spacing w:line="360" w:lineRule="auto"/>
              <w:jc w:val="both"/>
              <w:rPr>
                <w:rFonts w:ascii="Book Antiqua" w:hAnsi="Book Antiqua"/>
              </w:rPr>
            </w:pPr>
          </w:p>
        </w:tc>
      </w:tr>
      <w:tr w:rsidR="00F26395" w:rsidRPr="00F26395" w14:paraId="2E91F43A" w14:textId="77777777" w:rsidTr="00E74D83">
        <w:tc>
          <w:tcPr>
            <w:tcW w:w="4855" w:type="dxa"/>
          </w:tcPr>
          <w:p w14:paraId="68386E7B"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lastRenderedPageBreak/>
              <w:t>Sigmoid colon</w:t>
            </w:r>
          </w:p>
        </w:tc>
        <w:tc>
          <w:tcPr>
            <w:tcW w:w="3510" w:type="dxa"/>
          </w:tcPr>
          <w:p w14:paraId="57F35F0A" w14:textId="77777777" w:rsidR="00F26395" w:rsidRPr="00F26395" w:rsidRDefault="00F26395" w:rsidP="00F26395">
            <w:pPr>
              <w:spacing w:line="360" w:lineRule="auto"/>
              <w:jc w:val="both"/>
              <w:rPr>
                <w:rFonts w:ascii="Book Antiqua" w:hAnsi="Book Antiqua"/>
              </w:rPr>
            </w:pPr>
            <w:r w:rsidRPr="00F26395">
              <w:rPr>
                <w:rFonts w:ascii="Book Antiqua" w:hAnsi="Book Antiqua"/>
              </w:rPr>
              <w:t>118 (60.5)</w:t>
            </w:r>
          </w:p>
        </w:tc>
      </w:tr>
      <w:tr w:rsidR="00F26395" w:rsidRPr="00F26395" w14:paraId="2C7F623E" w14:textId="77777777" w:rsidTr="00E74D83">
        <w:tc>
          <w:tcPr>
            <w:tcW w:w="4855" w:type="dxa"/>
          </w:tcPr>
          <w:p w14:paraId="305316A2"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Stomach</w:t>
            </w:r>
          </w:p>
        </w:tc>
        <w:tc>
          <w:tcPr>
            <w:tcW w:w="3510" w:type="dxa"/>
          </w:tcPr>
          <w:p w14:paraId="7E981C37" w14:textId="77777777" w:rsidR="00F26395" w:rsidRPr="00F26395" w:rsidRDefault="00F26395" w:rsidP="00F26395">
            <w:pPr>
              <w:spacing w:line="360" w:lineRule="auto"/>
              <w:jc w:val="both"/>
              <w:rPr>
                <w:rFonts w:ascii="Book Antiqua" w:hAnsi="Book Antiqua"/>
              </w:rPr>
            </w:pPr>
            <w:r w:rsidRPr="00F26395">
              <w:rPr>
                <w:rFonts w:ascii="Book Antiqua" w:hAnsi="Book Antiqua"/>
              </w:rPr>
              <w:t>105 (53.9)</w:t>
            </w:r>
          </w:p>
        </w:tc>
      </w:tr>
      <w:tr w:rsidR="00F26395" w:rsidRPr="00F26395" w14:paraId="09093AEB" w14:textId="77777777" w:rsidTr="00E74D83">
        <w:tc>
          <w:tcPr>
            <w:tcW w:w="4855" w:type="dxa"/>
          </w:tcPr>
          <w:p w14:paraId="2DE8AC88"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Rectum</w:t>
            </w:r>
          </w:p>
        </w:tc>
        <w:tc>
          <w:tcPr>
            <w:tcW w:w="3510" w:type="dxa"/>
          </w:tcPr>
          <w:p w14:paraId="522FA63C" w14:textId="77777777" w:rsidR="00F26395" w:rsidRPr="00F26395" w:rsidRDefault="00F26395" w:rsidP="00F26395">
            <w:pPr>
              <w:spacing w:line="360" w:lineRule="auto"/>
              <w:jc w:val="both"/>
              <w:rPr>
                <w:rFonts w:ascii="Book Antiqua" w:hAnsi="Book Antiqua"/>
              </w:rPr>
            </w:pPr>
            <w:r w:rsidRPr="00F26395">
              <w:rPr>
                <w:rFonts w:ascii="Book Antiqua" w:hAnsi="Book Antiqua"/>
              </w:rPr>
              <w:t>103 (52.8)</w:t>
            </w:r>
          </w:p>
        </w:tc>
      </w:tr>
      <w:tr w:rsidR="00F26395" w:rsidRPr="00F26395" w14:paraId="7AC4495E" w14:textId="77777777" w:rsidTr="00E74D83">
        <w:tc>
          <w:tcPr>
            <w:tcW w:w="4855" w:type="dxa"/>
          </w:tcPr>
          <w:p w14:paraId="42260B29"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Duodenum</w:t>
            </w:r>
          </w:p>
        </w:tc>
        <w:tc>
          <w:tcPr>
            <w:tcW w:w="3510" w:type="dxa"/>
          </w:tcPr>
          <w:p w14:paraId="4886E9CD" w14:textId="77777777" w:rsidR="00F26395" w:rsidRPr="00F26395" w:rsidRDefault="00F26395" w:rsidP="00F26395">
            <w:pPr>
              <w:spacing w:line="360" w:lineRule="auto"/>
              <w:jc w:val="both"/>
              <w:rPr>
                <w:rFonts w:ascii="Book Antiqua" w:hAnsi="Book Antiqua"/>
              </w:rPr>
            </w:pPr>
            <w:r w:rsidRPr="00F26395">
              <w:rPr>
                <w:rFonts w:ascii="Book Antiqua" w:hAnsi="Book Antiqua"/>
              </w:rPr>
              <w:t>94 (48.2)</w:t>
            </w:r>
          </w:p>
        </w:tc>
      </w:tr>
      <w:tr w:rsidR="00F26395" w:rsidRPr="00F26395" w14:paraId="790330E6" w14:textId="77777777" w:rsidTr="00E74D83">
        <w:tc>
          <w:tcPr>
            <w:tcW w:w="4855" w:type="dxa"/>
          </w:tcPr>
          <w:p w14:paraId="573F8A91" w14:textId="77777777" w:rsidR="00F26395" w:rsidRPr="00F26395" w:rsidRDefault="00F26395" w:rsidP="00F26395">
            <w:pPr>
              <w:spacing w:line="360" w:lineRule="auto"/>
              <w:jc w:val="both"/>
              <w:rPr>
                <w:rFonts w:ascii="Book Antiqua" w:hAnsi="Book Antiqua"/>
              </w:rPr>
            </w:pPr>
            <w:r w:rsidRPr="00F26395">
              <w:rPr>
                <w:rFonts w:ascii="Book Antiqua" w:hAnsi="Book Antiqua"/>
              </w:rPr>
              <w:t>Pre-procedure lab values, median (range)</w:t>
            </w:r>
          </w:p>
        </w:tc>
        <w:tc>
          <w:tcPr>
            <w:tcW w:w="3510" w:type="dxa"/>
          </w:tcPr>
          <w:p w14:paraId="3BB3BA69" w14:textId="77777777" w:rsidR="00F26395" w:rsidRPr="00F26395" w:rsidRDefault="00F26395" w:rsidP="00F26395">
            <w:pPr>
              <w:spacing w:line="360" w:lineRule="auto"/>
              <w:jc w:val="both"/>
              <w:rPr>
                <w:rFonts w:ascii="Book Antiqua" w:hAnsi="Book Antiqua"/>
              </w:rPr>
            </w:pPr>
          </w:p>
        </w:tc>
      </w:tr>
      <w:tr w:rsidR="00F26395" w:rsidRPr="00F26395" w14:paraId="77AA0B85" w14:textId="77777777" w:rsidTr="00E74D83">
        <w:tc>
          <w:tcPr>
            <w:tcW w:w="4855" w:type="dxa"/>
          </w:tcPr>
          <w:p w14:paraId="0A77D0D5" w14:textId="77777777" w:rsidR="00F26395" w:rsidRPr="00F26395" w:rsidRDefault="00F26395" w:rsidP="00F26395">
            <w:pPr>
              <w:spacing w:line="360" w:lineRule="auto"/>
              <w:ind w:left="337"/>
              <w:jc w:val="both"/>
              <w:rPr>
                <w:rFonts w:ascii="Book Antiqua" w:hAnsi="Book Antiqua"/>
              </w:rPr>
            </w:pPr>
            <w:r w:rsidRPr="00F26395">
              <w:rPr>
                <w:rFonts w:ascii="Book Antiqua" w:hAnsi="Book Antiqua"/>
              </w:rPr>
              <w:t>Hemoglobin (g/dL)</w:t>
            </w:r>
          </w:p>
        </w:tc>
        <w:tc>
          <w:tcPr>
            <w:tcW w:w="3510" w:type="dxa"/>
          </w:tcPr>
          <w:p w14:paraId="319336CC" w14:textId="77777777" w:rsidR="00F26395" w:rsidRPr="00F26395" w:rsidRDefault="00F26395" w:rsidP="00F26395">
            <w:pPr>
              <w:spacing w:line="360" w:lineRule="auto"/>
              <w:jc w:val="both"/>
              <w:rPr>
                <w:rFonts w:ascii="Book Antiqua" w:hAnsi="Book Antiqua"/>
              </w:rPr>
            </w:pPr>
            <w:r w:rsidRPr="00F26395">
              <w:rPr>
                <w:rFonts w:ascii="Book Antiqua" w:hAnsi="Book Antiqua"/>
              </w:rPr>
              <w:t>9.0 (6.7-14.4)</w:t>
            </w:r>
          </w:p>
        </w:tc>
      </w:tr>
      <w:tr w:rsidR="00F26395" w:rsidRPr="00F26395" w14:paraId="60D3B979" w14:textId="77777777" w:rsidTr="00E74D83">
        <w:tc>
          <w:tcPr>
            <w:tcW w:w="4855" w:type="dxa"/>
          </w:tcPr>
          <w:p w14:paraId="5188DE3C" w14:textId="0E9569E9" w:rsidR="00F26395" w:rsidRPr="00F26395" w:rsidRDefault="00F26395" w:rsidP="00F26395">
            <w:pPr>
              <w:spacing w:line="360" w:lineRule="auto"/>
              <w:ind w:left="337"/>
              <w:jc w:val="both"/>
              <w:rPr>
                <w:rFonts w:ascii="Book Antiqua" w:hAnsi="Book Antiqua"/>
              </w:rPr>
            </w:pPr>
            <w:r w:rsidRPr="00F26395">
              <w:rPr>
                <w:rFonts w:ascii="Book Antiqua" w:hAnsi="Book Antiqua"/>
              </w:rPr>
              <w:t>Platelets (</w:t>
            </w:r>
            <w:bookmarkStart w:id="71" w:name="OLE_LINK2158"/>
            <w:r w:rsidR="00E74D83" w:rsidRPr="00145FA2">
              <w:rPr>
                <w:rFonts w:ascii="Book Antiqua" w:eastAsia="SimSun" w:hAnsi="Book Antiqua" w:cs="SimSun"/>
              </w:rPr>
              <w:t>×</w:t>
            </w:r>
            <w:bookmarkEnd w:id="71"/>
            <w:r w:rsidRPr="00F26395">
              <w:rPr>
                <w:rFonts w:ascii="Book Antiqua" w:hAnsi="Book Antiqua"/>
              </w:rPr>
              <w:t xml:space="preserve"> 10</w:t>
            </w:r>
            <w:r w:rsidRPr="00F26395">
              <w:rPr>
                <w:rFonts w:ascii="Book Antiqua" w:hAnsi="Book Antiqua"/>
                <w:vertAlign w:val="superscript"/>
              </w:rPr>
              <w:t>3</w:t>
            </w:r>
            <w:r w:rsidRPr="00F26395">
              <w:rPr>
                <w:rFonts w:ascii="Book Antiqua" w:hAnsi="Book Antiqua"/>
              </w:rPr>
              <w:t>/µL)</w:t>
            </w:r>
          </w:p>
        </w:tc>
        <w:tc>
          <w:tcPr>
            <w:tcW w:w="3510" w:type="dxa"/>
          </w:tcPr>
          <w:p w14:paraId="0AC27373" w14:textId="77777777" w:rsidR="00F26395" w:rsidRPr="00F26395" w:rsidRDefault="00F26395" w:rsidP="00F26395">
            <w:pPr>
              <w:spacing w:line="360" w:lineRule="auto"/>
              <w:jc w:val="both"/>
              <w:rPr>
                <w:rFonts w:ascii="Book Antiqua" w:hAnsi="Book Antiqua"/>
              </w:rPr>
            </w:pPr>
            <w:r w:rsidRPr="00F26395">
              <w:rPr>
                <w:rFonts w:ascii="Book Antiqua" w:hAnsi="Book Antiqua"/>
              </w:rPr>
              <w:t>80 (16-388)</w:t>
            </w:r>
          </w:p>
        </w:tc>
      </w:tr>
      <w:tr w:rsidR="00F26395" w:rsidRPr="00F26395" w14:paraId="72170B96" w14:textId="77777777" w:rsidTr="00E74D83">
        <w:tc>
          <w:tcPr>
            <w:tcW w:w="4855" w:type="dxa"/>
          </w:tcPr>
          <w:p w14:paraId="357F47BA" w14:textId="33FF4D56" w:rsidR="00F26395" w:rsidRPr="00F26395" w:rsidRDefault="00F26395" w:rsidP="00F26395">
            <w:pPr>
              <w:spacing w:line="360" w:lineRule="auto"/>
              <w:ind w:left="337"/>
              <w:jc w:val="both"/>
              <w:rPr>
                <w:rFonts w:ascii="Book Antiqua" w:hAnsi="Book Antiqua"/>
              </w:rPr>
            </w:pPr>
            <w:r w:rsidRPr="00F26395">
              <w:rPr>
                <w:rFonts w:ascii="Book Antiqua" w:hAnsi="Book Antiqua"/>
              </w:rPr>
              <w:t>ANC (</w:t>
            </w:r>
            <w:r w:rsidR="00E74D83" w:rsidRPr="00145FA2">
              <w:rPr>
                <w:rFonts w:ascii="Book Antiqua" w:eastAsia="SimSun" w:hAnsi="Book Antiqua" w:cs="SimSun"/>
              </w:rPr>
              <w:t>×</w:t>
            </w:r>
            <w:r w:rsidRPr="00F26395">
              <w:rPr>
                <w:rFonts w:ascii="Book Antiqua" w:hAnsi="Book Antiqua"/>
              </w:rPr>
              <w:t xml:space="preserve"> 10</w:t>
            </w:r>
            <w:r w:rsidRPr="00F26395">
              <w:rPr>
                <w:rFonts w:ascii="Book Antiqua" w:hAnsi="Book Antiqua"/>
                <w:vertAlign w:val="superscript"/>
              </w:rPr>
              <w:t>3</w:t>
            </w:r>
            <w:r w:rsidRPr="00F26395">
              <w:rPr>
                <w:rFonts w:ascii="Book Antiqua" w:hAnsi="Book Antiqua"/>
              </w:rPr>
              <w:t>/µL)</w:t>
            </w:r>
          </w:p>
        </w:tc>
        <w:tc>
          <w:tcPr>
            <w:tcW w:w="3510" w:type="dxa"/>
          </w:tcPr>
          <w:p w14:paraId="6EEF6C34" w14:textId="77777777" w:rsidR="00F26395" w:rsidRPr="00F26395" w:rsidRDefault="00F26395" w:rsidP="00F26395">
            <w:pPr>
              <w:spacing w:line="360" w:lineRule="auto"/>
              <w:jc w:val="both"/>
              <w:rPr>
                <w:rFonts w:ascii="Book Antiqua" w:hAnsi="Book Antiqua"/>
              </w:rPr>
            </w:pPr>
            <w:r w:rsidRPr="00F26395">
              <w:rPr>
                <w:rFonts w:ascii="Book Antiqua" w:hAnsi="Book Antiqua"/>
              </w:rPr>
              <w:t>2.6 (0.0-23.0)</w:t>
            </w:r>
          </w:p>
        </w:tc>
      </w:tr>
      <w:tr w:rsidR="00F26395" w:rsidRPr="00F26395" w14:paraId="3B1F3512" w14:textId="77777777" w:rsidTr="00E74D83">
        <w:tc>
          <w:tcPr>
            <w:tcW w:w="4855" w:type="dxa"/>
          </w:tcPr>
          <w:p w14:paraId="79246DB4" w14:textId="77777777" w:rsidR="00F26395" w:rsidRPr="00F26395" w:rsidRDefault="00F26395" w:rsidP="00F26395">
            <w:pPr>
              <w:spacing w:line="360" w:lineRule="auto"/>
              <w:ind w:left="337"/>
              <w:jc w:val="both"/>
              <w:rPr>
                <w:rFonts w:ascii="Book Antiqua" w:hAnsi="Book Antiqua"/>
              </w:rPr>
            </w:pPr>
            <w:r w:rsidRPr="00F26395">
              <w:rPr>
                <w:rFonts w:ascii="Book Antiqua" w:hAnsi="Book Antiqua"/>
              </w:rPr>
              <w:t>INR</w:t>
            </w:r>
          </w:p>
        </w:tc>
        <w:tc>
          <w:tcPr>
            <w:tcW w:w="3510" w:type="dxa"/>
          </w:tcPr>
          <w:p w14:paraId="0591881B" w14:textId="77777777" w:rsidR="00F26395" w:rsidRPr="00F26395" w:rsidRDefault="00F26395" w:rsidP="00F26395">
            <w:pPr>
              <w:spacing w:line="360" w:lineRule="auto"/>
              <w:jc w:val="both"/>
              <w:rPr>
                <w:rFonts w:ascii="Book Antiqua" w:hAnsi="Book Antiqua"/>
              </w:rPr>
            </w:pPr>
            <w:r w:rsidRPr="00F26395">
              <w:rPr>
                <w:rFonts w:ascii="Book Antiqua" w:hAnsi="Book Antiqua"/>
              </w:rPr>
              <w:t>1.0 (0.9-1.7)</w:t>
            </w:r>
          </w:p>
        </w:tc>
      </w:tr>
      <w:tr w:rsidR="00F26395" w:rsidRPr="00F26395" w14:paraId="007EAD57" w14:textId="77777777" w:rsidTr="00E74D83">
        <w:tc>
          <w:tcPr>
            <w:tcW w:w="4855" w:type="dxa"/>
          </w:tcPr>
          <w:p w14:paraId="3743D565" w14:textId="77777777" w:rsidR="00F26395" w:rsidRPr="00F26395" w:rsidRDefault="00F26395" w:rsidP="00F26395">
            <w:pPr>
              <w:spacing w:line="360" w:lineRule="auto"/>
              <w:ind w:left="337"/>
              <w:jc w:val="both"/>
              <w:rPr>
                <w:rFonts w:ascii="Book Antiqua" w:hAnsi="Book Antiqua"/>
              </w:rPr>
            </w:pPr>
            <w:r w:rsidRPr="00F26395">
              <w:rPr>
                <w:rFonts w:ascii="Book Antiqua" w:hAnsi="Book Antiqua"/>
              </w:rPr>
              <w:t>BUN</w:t>
            </w:r>
          </w:p>
        </w:tc>
        <w:tc>
          <w:tcPr>
            <w:tcW w:w="3510" w:type="dxa"/>
          </w:tcPr>
          <w:p w14:paraId="405E6613" w14:textId="77777777" w:rsidR="00F26395" w:rsidRPr="00F26395" w:rsidRDefault="00F26395" w:rsidP="00F26395">
            <w:pPr>
              <w:spacing w:line="360" w:lineRule="auto"/>
              <w:jc w:val="both"/>
              <w:rPr>
                <w:rFonts w:ascii="Book Antiqua" w:hAnsi="Book Antiqua"/>
              </w:rPr>
            </w:pPr>
            <w:r w:rsidRPr="00F26395">
              <w:rPr>
                <w:rFonts w:ascii="Book Antiqua" w:hAnsi="Book Antiqua"/>
              </w:rPr>
              <w:t>14 (2-78)</w:t>
            </w:r>
          </w:p>
        </w:tc>
      </w:tr>
      <w:tr w:rsidR="00F26395" w:rsidRPr="00F26395" w14:paraId="4DA0564C" w14:textId="77777777" w:rsidTr="00E74D83">
        <w:tc>
          <w:tcPr>
            <w:tcW w:w="4855" w:type="dxa"/>
          </w:tcPr>
          <w:p w14:paraId="16CC8C32" w14:textId="77777777" w:rsidR="00F26395" w:rsidRPr="00F26395" w:rsidRDefault="00F26395" w:rsidP="00F26395">
            <w:pPr>
              <w:spacing w:line="360" w:lineRule="auto"/>
              <w:ind w:left="337"/>
              <w:jc w:val="both"/>
              <w:rPr>
                <w:rFonts w:ascii="Book Antiqua" w:hAnsi="Book Antiqua"/>
              </w:rPr>
            </w:pPr>
            <w:r w:rsidRPr="00F26395">
              <w:rPr>
                <w:rFonts w:ascii="Book Antiqua" w:hAnsi="Book Antiqua"/>
              </w:rPr>
              <w:t>Creatinine</w:t>
            </w:r>
          </w:p>
        </w:tc>
        <w:tc>
          <w:tcPr>
            <w:tcW w:w="3510" w:type="dxa"/>
          </w:tcPr>
          <w:p w14:paraId="402B0660" w14:textId="77777777" w:rsidR="00F26395" w:rsidRPr="00F26395" w:rsidRDefault="00F26395" w:rsidP="00F26395">
            <w:pPr>
              <w:spacing w:line="360" w:lineRule="auto"/>
              <w:jc w:val="both"/>
              <w:rPr>
                <w:rFonts w:ascii="Book Antiqua" w:hAnsi="Book Antiqua"/>
              </w:rPr>
            </w:pPr>
            <w:r w:rsidRPr="00F26395">
              <w:rPr>
                <w:rFonts w:ascii="Book Antiqua" w:hAnsi="Book Antiqua"/>
              </w:rPr>
              <w:t>0.70 (0.28-3.32)</w:t>
            </w:r>
          </w:p>
        </w:tc>
      </w:tr>
      <w:tr w:rsidR="00F26395" w:rsidRPr="00F26395" w14:paraId="2AEB1EDE" w14:textId="77777777" w:rsidTr="00E74D83">
        <w:tc>
          <w:tcPr>
            <w:tcW w:w="4855" w:type="dxa"/>
          </w:tcPr>
          <w:p w14:paraId="1B1B736F" w14:textId="77777777" w:rsidR="00F26395" w:rsidRPr="00F26395" w:rsidRDefault="00F26395" w:rsidP="00F26395">
            <w:pPr>
              <w:spacing w:line="360" w:lineRule="auto"/>
              <w:jc w:val="both"/>
              <w:rPr>
                <w:rFonts w:ascii="Book Antiqua" w:hAnsi="Book Antiqua"/>
              </w:rPr>
            </w:pPr>
            <w:r w:rsidRPr="00F26395">
              <w:rPr>
                <w:rFonts w:ascii="Book Antiqua" w:hAnsi="Book Antiqua"/>
              </w:rPr>
              <w:t xml:space="preserve">Pre-procedure transfusions, </w:t>
            </w:r>
            <w:r w:rsidRPr="00F26395">
              <w:rPr>
                <w:rFonts w:ascii="Book Antiqua" w:hAnsi="Book Antiqua"/>
                <w:i/>
                <w:iCs/>
              </w:rPr>
              <w:t>n</w:t>
            </w:r>
            <w:r w:rsidRPr="00F26395">
              <w:rPr>
                <w:rFonts w:ascii="Book Antiqua" w:hAnsi="Book Antiqua"/>
              </w:rPr>
              <w:t xml:space="preserve"> (%)</w:t>
            </w:r>
          </w:p>
        </w:tc>
        <w:tc>
          <w:tcPr>
            <w:tcW w:w="3510" w:type="dxa"/>
          </w:tcPr>
          <w:p w14:paraId="07282A4A" w14:textId="77777777" w:rsidR="00F26395" w:rsidRPr="00F26395" w:rsidRDefault="00F26395" w:rsidP="00F26395">
            <w:pPr>
              <w:spacing w:line="360" w:lineRule="auto"/>
              <w:jc w:val="both"/>
              <w:rPr>
                <w:rFonts w:ascii="Book Antiqua" w:hAnsi="Book Antiqua"/>
              </w:rPr>
            </w:pPr>
          </w:p>
        </w:tc>
      </w:tr>
      <w:tr w:rsidR="00F26395" w:rsidRPr="00F26395" w14:paraId="7CE1BB7A" w14:textId="77777777" w:rsidTr="00E74D83">
        <w:tc>
          <w:tcPr>
            <w:tcW w:w="4855" w:type="dxa"/>
          </w:tcPr>
          <w:p w14:paraId="190BF727" w14:textId="77777777" w:rsidR="00F26395" w:rsidRPr="00F26395" w:rsidRDefault="00F26395" w:rsidP="00F26395">
            <w:pPr>
              <w:spacing w:line="360" w:lineRule="auto"/>
              <w:ind w:left="337"/>
              <w:jc w:val="both"/>
              <w:rPr>
                <w:rFonts w:ascii="Book Antiqua" w:hAnsi="Book Antiqua"/>
              </w:rPr>
            </w:pPr>
            <w:r w:rsidRPr="00F26395">
              <w:rPr>
                <w:rFonts w:ascii="Book Antiqua" w:hAnsi="Book Antiqua"/>
              </w:rPr>
              <w:t>1 or more units of platelets transfused</w:t>
            </w:r>
          </w:p>
        </w:tc>
        <w:tc>
          <w:tcPr>
            <w:tcW w:w="3510" w:type="dxa"/>
          </w:tcPr>
          <w:p w14:paraId="7B155819" w14:textId="77777777" w:rsidR="00F26395" w:rsidRPr="00F26395" w:rsidRDefault="00F26395" w:rsidP="00F26395">
            <w:pPr>
              <w:spacing w:line="360" w:lineRule="auto"/>
              <w:jc w:val="both"/>
              <w:rPr>
                <w:rFonts w:ascii="Book Antiqua" w:hAnsi="Book Antiqua"/>
              </w:rPr>
            </w:pPr>
            <w:r w:rsidRPr="00F26395">
              <w:rPr>
                <w:rFonts w:ascii="Book Antiqua" w:hAnsi="Book Antiqua"/>
              </w:rPr>
              <w:t>78 (40.0)</w:t>
            </w:r>
          </w:p>
        </w:tc>
      </w:tr>
      <w:tr w:rsidR="00F26395" w:rsidRPr="00F26395" w14:paraId="41ECAD38" w14:textId="77777777" w:rsidTr="00E74D83">
        <w:tc>
          <w:tcPr>
            <w:tcW w:w="4855" w:type="dxa"/>
          </w:tcPr>
          <w:p w14:paraId="7AE23605" w14:textId="77777777" w:rsidR="00F26395" w:rsidRPr="00F26395" w:rsidRDefault="00F26395" w:rsidP="00F26395">
            <w:pPr>
              <w:spacing w:line="360" w:lineRule="auto"/>
              <w:ind w:left="337"/>
              <w:jc w:val="both"/>
              <w:rPr>
                <w:rFonts w:ascii="Book Antiqua" w:hAnsi="Book Antiqua"/>
              </w:rPr>
            </w:pPr>
            <w:r w:rsidRPr="00F26395">
              <w:rPr>
                <w:rFonts w:ascii="Book Antiqua" w:hAnsi="Book Antiqua"/>
              </w:rPr>
              <w:t xml:space="preserve">1 or more units of </w:t>
            </w:r>
            <w:proofErr w:type="spellStart"/>
            <w:r w:rsidRPr="00F26395">
              <w:rPr>
                <w:rFonts w:ascii="Book Antiqua" w:hAnsi="Book Antiqua"/>
              </w:rPr>
              <w:t>pRBCs</w:t>
            </w:r>
            <w:proofErr w:type="spellEnd"/>
            <w:r w:rsidRPr="00F26395">
              <w:rPr>
                <w:rFonts w:ascii="Book Antiqua" w:hAnsi="Book Antiqua"/>
              </w:rPr>
              <w:t xml:space="preserve"> transfused</w:t>
            </w:r>
          </w:p>
        </w:tc>
        <w:tc>
          <w:tcPr>
            <w:tcW w:w="3510" w:type="dxa"/>
          </w:tcPr>
          <w:p w14:paraId="533F6403" w14:textId="77777777" w:rsidR="00F26395" w:rsidRPr="00F26395" w:rsidRDefault="00F26395" w:rsidP="00F26395">
            <w:pPr>
              <w:spacing w:line="360" w:lineRule="auto"/>
              <w:jc w:val="both"/>
              <w:rPr>
                <w:rFonts w:ascii="Book Antiqua" w:hAnsi="Book Antiqua"/>
              </w:rPr>
            </w:pPr>
            <w:r w:rsidRPr="00F26395">
              <w:rPr>
                <w:rFonts w:ascii="Book Antiqua" w:hAnsi="Book Antiqua"/>
              </w:rPr>
              <w:t>55 (28.2)</w:t>
            </w:r>
          </w:p>
        </w:tc>
      </w:tr>
      <w:tr w:rsidR="00F26395" w:rsidRPr="00F26395" w14:paraId="6693B180" w14:textId="77777777" w:rsidTr="00E74D83">
        <w:tc>
          <w:tcPr>
            <w:tcW w:w="4855" w:type="dxa"/>
          </w:tcPr>
          <w:p w14:paraId="2FBE06ED" w14:textId="77777777" w:rsidR="00F26395" w:rsidRPr="00F26395" w:rsidRDefault="00F26395" w:rsidP="00F26395">
            <w:pPr>
              <w:spacing w:line="360" w:lineRule="auto"/>
              <w:ind w:left="337"/>
              <w:jc w:val="both"/>
              <w:rPr>
                <w:rFonts w:ascii="Book Antiqua" w:hAnsi="Book Antiqua"/>
              </w:rPr>
            </w:pPr>
            <w:r w:rsidRPr="00F26395">
              <w:rPr>
                <w:rFonts w:ascii="Book Antiqua" w:hAnsi="Book Antiqua"/>
              </w:rPr>
              <w:t>1 or more units of FFP transfused</w:t>
            </w:r>
          </w:p>
        </w:tc>
        <w:tc>
          <w:tcPr>
            <w:tcW w:w="3510" w:type="dxa"/>
          </w:tcPr>
          <w:p w14:paraId="281C73D0" w14:textId="77777777" w:rsidR="00F26395" w:rsidRPr="00F26395" w:rsidRDefault="00F26395" w:rsidP="00F26395">
            <w:pPr>
              <w:spacing w:line="360" w:lineRule="auto"/>
              <w:jc w:val="both"/>
              <w:rPr>
                <w:rFonts w:ascii="Book Antiqua" w:hAnsi="Book Antiqua"/>
              </w:rPr>
            </w:pPr>
            <w:r w:rsidRPr="00F26395">
              <w:rPr>
                <w:rFonts w:ascii="Book Antiqua" w:hAnsi="Book Antiqua"/>
              </w:rPr>
              <w:t>3 (1.5)</w:t>
            </w:r>
          </w:p>
        </w:tc>
      </w:tr>
      <w:tr w:rsidR="00F26395" w:rsidRPr="00F26395" w14:paraId="7BA138D1" w14:textId="77777777" w:rsidTr="00E74D83">
        <w:tc>
          <w:tcPr>
            <w:tcW w:w="4855" w:type="dxa"/>
          </w:tcPr>
          <w:p w14:paraId="4B0D6B84" w14:textId="4534B642" w:rsidR="00F26395" w:rsidRPr="00F26395" w:rsidRDefault="00F26395" w:rsidP="00F26395">
            <w:pPr>
              <w:spacing w:line="360" w:lineRule="auto"/>
              <w:jc w:val="both"/>
              <w:rPr>
                <w:rFonts w:ascii="Book Antiqua" w:hAnsi="Book Antiqua"/>
              </w:rPr>
            </w:pPr>
            <w:r w:rsidRPr="00F26395">
              <w:rPr>
                <w:rFonts w:ascii="Book Antiqua" w:hAnsi="Book Antiqua"/>
              </w:rPr>
              <w:t xml:space="preserve">Immunosuppressant use within 1-wk pre-procedure, </w:t>
            </w:r>
            <w:r w:rsidRPr="00E74D83">
              <w:rPr>
                <w:rFonts w:ascii="Book Antiqua" w:hAnsi="Book Antiqua"/>
                <w:i/>
                <w:iCs/>
              </w:rPr>
              <w:t>n</w:t>
            </w:r>
            <w:r w:rsidRPr="00F26395">
              <w:rPr>
                <w:rFonts w:ascii="Book Antiqua" w:hAnsi="Book Antiqua"/>
              </w:rPr>
              <w:t xml:space="preserve"> (%)</w:t>
            </w:r>
            <w:r w:rsidR="00E74D83" w:rsidRPr="00E74D83">
              <w:rPr>
                <w:rFonts w:ascii="Book Antiqua" w:hAnsi="Book Antiqua"/>
                <w:vertAlign w:val="superscript"/>
              </w:rPr>
              <w:t>1</w:t>
            </w:r>
          </w:p>
        </w:tc>
        <w:tc>
          <w:tcPr>
            <w:tcW w:w="3510" w:type="dxa"/>
          </w:tcPr>
          <w:p w14:paraId="5CE295FF" w14:textId="77777777" w:rsidR="00F26395" w:rsidRPr="00F26395" w:rsidRDefault="00F26395" w:rsidP="00F26395">
            <w:pPr>
              <w:spacing w:line="360" w:lineRule="auto"/>
              <w:jc w:val="both"/>
              <w:rPr>
                <w:rFonts w:ascii="Book Antiqua" w:hAnsi="Book Antiqua"/>
              </w:rPr>
            </w:pPr>
          </w:p>
        </w:tc>
      </w:tr>
      <w:tr w:rsidR="00F26395" w:rsidRPr="00F26395" w14:paraId="71BF36ED" w14:textId="77777777" w:rsidTr="00E74D83">
        <w:tc>
          <w:tcPr>
            <w:tcW w:w="4855" w:type="dxa"/>
          </w:tcPr>
          <w:p w14:paraId="730D9A51" w14:textId="77777777" w:rsidR="00F26395" w:rsidRPr="00F26395" w:rsidRDefault="00F26395" w:rsidP="00F26395">
            <w:pPr>
              <w:spacing w:line="360" w:lineRule="auto"/>
              <w:ind w:left="337"/>
              <w:jc w:val="both"/>
              <w:rPr>
                <w:rFonts w:ascii="Book Antiqua" w:hAnsi="Book Antiqua"/>
              </w:rPr>
            </w:pPr>
            <w:r w:rsidRPr="00F26395">
              <w:rPr>
                <w:rFonts w:ascii="Book Antiqua" w:hAnsi="Book Antiqua"/>
              </w:rPr>
              <w:t>Tacrolimus</w:t>
            </w:r>
          </w:p>
        </w:tc>
        <w:tc>
          <w:tcPr>
            <w:tcW w:w="3510" w:type="dxa"/>
          </w:tcPr>
          <w:p w14:paraId="6BE600F2" w14:textId="77777777" w:rsidR="00F26395" w:rsidRPr="00F26395" w:rsidRDefault="00F26395" w:rsidP="00F26395">
            <w:pPr>
              <w:spacing w:line="360" w:lineRule="auto"/>
              <w:jc w:val="both"/>
              <w:rPr>
                <w:rFonts w:ascii="Book Antiqua" w:hAnsi="Book Antiqua"/>
              </w:rPr>
            </w:pPr>
            <w:r w:rsidRPr="00F26395">
              <w:rPr>
                <w:rFonts w:ascii="Book Antiqua" w:hAnsi="Book Antiqua"/>
              </w:rPr>
              <w:t>164 (84.1)</w:t>
            </w:r>
          </w:p>
        </w:tc>
      </w:tr>
      <w:tr w:rsidR="00F26395" w:rsidRPr="00F26395" w14:paraId="32AD2643" w14:textId="77777777" w:rsidTr="00E74D83">
        <w:tc>
          <w:tcPr>
            <w:tcW w:w="4855" w:type="dxa"/>
          </w:tcPr>
          <w:p w14:paraId="4FAB1B68" w14:textId="77777777" w:rsidR="00F26395" w:rsidRPr="00F26395" w:rsidRDefault="00F26395" w:rsidP="00F26395">
            <w:pPr>
              <w:spacing w:line="360" w:lineRule="auto"/>
              <w:ind w:left="337"/>
              <w:jc w:val="both"/>
              <w:rPr>
                <w:rFonts w:ascii="Book Antiqua" w:hAnsi="Book Antiqua"/>
              </w:rPr>
            </w:pPr>
            <w:r w:rsidRPr="00F26395">
              <w:rPr>
                <w:rFonts w:ascii="Book Antiqua" w:hAnsi="Book Antiqua"/>
              </w:rPr>
              <w:t>Sirolimus</w:t>
            </w:r>
          </w:p>
        </w:tc>
        <w:tc>
          <w:tcPr>
            <w:tcW w:w="3510" w:type="dxa"/>
          </w:tcPr>
          <w:p w14:paraId="7247419D" w14:textId="77777777" w:rsidR="00F26395" w:rsidRPr="00F26395" w:rsidRDefault="00F26395" w:rsidP="00F26395">
            <w:pPr>
              <w:spacing w:line="360" w:lineRule="auto"/>
              <w:jc w:val="both"/>
              <w:rPr>
                <w:rFonts w:ascii="Book Antiqua" w:hAnsi="Book Antiqua"/>
              </w:rPr>
            </w:pPr>
            <w:r w:rsidRPr="00F26395">
              <w:rPr>
                <w:rFonts w:ascii="Book Antiqua" w:hAnsi="Book Antiqua"/>
              </w:rPr>
              <w:t>115 (59.0)</w:t>
            </w:r>
          </w:p>
        </w:tc>
      </w:tr>
      <w:tr w:rsidR="00F26395" w:rsidRPr="00F26395" w14:paraId="07BEE20D" w14:textId="77777777" w:rsidTr="00E74D83">
        <w:tc>
          <w:tcPr>
            <w:tcW w:w="4855" w:type="dxa"/>
          </w:tcPr>
          <w:p w14:paraId="37A1A67E" w14:textId="77777777" w:rsidR="00F26395" w:rsidRPr="00F26395" w:rsidRDefault="00F26395" w:rsidP="00F26395">
            <w:pPr>
              <w:spacing w:line="360" w:lineRule="auto"/>
              <w:ind w:left="337"/>
              <w:jc w:val="both"/>
              <w:rPr>
                <w:rFonts w:ascii="Book Antiqua" w:hAnsi="Book Antiqua"/>
              </w:rPr>
            </w:pPr>
            <w:r w:rsidRPr="00F26395">
              <w:rPr>
                <w:rFonts w:ascii="Book Antiqua" w:hAnsi="Book Antiqua"/>
              </w:rPr>
              <w:t>Mycophenolate</w:t>
            </w:r>
          </w:p>
        </w:tc>
        <w:tc>
          <w:tcPr>
            <w:tcW w:w="3510" w:type="dxa"/>
          </w:tcPr>
          <w:p w14:paraId="4F7CF48F" w14:textId="77777777" w:rsidR="00F26395" w:rsidRPr="00F26395" w:rsidRDefault="00F26395" w:rsidP="00F26395">
            <w:pPr>
              <w:spacing w:line="360" w:lineRule="auto"/>
              <w:jc w:val="both"/>
              <w:rPr>
                <w:rFonts w:ascii="Book Antiqua" w:hAnsi="Book Antiqua"/>
              </w:rPr>
            </w:pPr>
            <w:r w:rsidRPr="00F26395">
              <w:rPr>
                <w:rFonts w:ascii="Book Antiqua" w:hAnsi="Book Antiqua"/>
              </w:rPr>
              <w:t>70 (35.9)</w:t>
            </w:r>
          </w:p>
        </w:tc>
      </w:tr>
      <w:tr w:rsidR="00F26395" w:rsidRPr="00F26395" w14:paraId="47DAEC30" w14:textId="77777777" w:rsidTr="00E74D83">
        <w:tc>
          <w:tcPr>
            <w:tcW w:w="4855" w:type="dxa"/>
          </w:tcPr>
          <w:p w14:paraId="40F2C6DE" w14:textId="77777777" w:rsidR="00F26395" w:rsidRPr="00F26395" w:rsidRDefault="00F26395" w:rsidP="00F26395">
            <w:pPr>
              <w:spacing w:line="360" w:lineRule="auto"/>
              <w:ind w:left="337"/>
              <w:jc w:val="both"/>
              <w:rPr>
                <w:rFonts w:ascii="Book Antiqua" w:hAnsi="Book Antiqua"/>
              </w:rPr>
            </w:pPr>
            <w:proofErr w:type="spellStart"/>
            <w:r w:rsidRPr="00F26395">
              <w:rPr>
                <w:rFonts w:ascii="Book Antiqua" w:hAnsi="Book Antiqua"/>
              </w:rPr>
              <w:t>Methylprednisone</w:t>
            </w:r>
            <w:proofErr w:type="spellEnd"/>
          </w:p>
        </w:tc>
        <w:tc>
          <w:tcPr>
            <w:tcW w:w="3510" w:type="dxa"/>
          </w:tcPr>
          <w:p w14:paraId="3CC40AB1" w14:textId="77777777" w:rsidR="00F26395" w:rsidRPr="00F26395" w:rsidRDefault="00F26395" w:rsidP="00F26395">
            <w:pPr>
              <w:spacing w:line="360" w:lineRule="auto"/>
              <w:jc w:val="both"/>
              <w:rPr>
                <w:rFonts w:ascii="Book Antiqua" w:hAnsi="Book Antiqua"/>
              </w:rPr>
            </w:pPr>
            <w:r w:rsidRPr="00F26395">
              <w:rPr>
                <w:rFonts w:ascii="Book Antiqua" w:hAnsi="Book Antiqua"/>
              </w:rPr>
              <w:t>55 (28.2)</w:t>
            </w:r>
          </w:p>
        </w:tc>
      </w:tr>
      <w:tr w:rsidR="00F26395" w:rsidRPr="00F26395" w14:paraId="04749AE6" w14:textId="77777777" w:rsidTr="00E74D83">
        <w:tc>
          <w:tcPr>
            <w:tcW w:w="4855" w:type="dxa"/>
            <w:tcBorders>
              <w:bottom w:val="single" w:sz="4" w:space="0" w:color="auto"/>
            </w:tcBorders>
          </w:tcPr>
          <w:p w14:paraId="34A3B6A5" w14:textId="77777777" w:rsidR="00F26395" w:rsidRPr="00F26395" w:rsidRDefault="00F26395" w:rsidP="00F26395">
            <w:pPr>
              <w:spacing w:line="360" w:lineRule="auto"/>
              <w:ind w:left="337"/>
              <w:jc w:val="both"/>
              <w:rPr>
                <w:rFonts w:ascii="Book Antiqua" w:hAnsi="Book Antiqua"/>
              </w:rPr>
            </w:pPr>
            <w:r w:rsidRPr="00F26395">
              <w:rPr>
                <w:rFonts w:ascii="Book Antiqua" w:hAnsi="Book Antiqua"/>
              </w:rPr>
              <w:t>Hydrocortisone</w:t>
            </w:r>
          </w:p>
        </w:tc>
        <w:tc>
          <w:tcPr>
            <w:tcW w:w="3510" w:type="dxa"/>
            <w:tcBorders>
              <w:bottom w:val="single" w:sz="4" w:space="0" w:color="auto"/>
            </w:tcBorders>
          </w:tcPr>
          <w:p w14:paraId="07A29D2E" w14:textId="77777777" w:rsidR="00F26395" w:rsidRPr="00F26395" w:rsidRDefault="00F26395" w:rsidP="00F26395">
            <w:pPr>
              <w:spacing w:line="360" w:lineRule="auto"/>
              <w:jc w:val="both"/>
              <w:rPr>
                <w:rFonts w:ascii="Book Antiqua" w:hAnsi="Book Antiqua"/>
              </w:rPr>
            </w:pPr>
            <w:r w:rsidRPr="00F26395">
              <w:rPr>
                <w:rFonts w:ascii="Book Antiqua" w:hAnsi="Book Antiqua"/>
              </w:rPr>
              <w:t>49 (25.1)</w:t>
            </w:r>
          </w:p>
        </w:tc>
      </w:tr>
    </w:tbl>
    <w:p w14:paraId="08670AFA" w14:textId="5374E94C" w:rsidR="00F26395" w:rsidRPr="00F26395" w:rsidRDefault="00E74D83" w:rsidP="00F26395">
      <w:pPr>
        <w:spacing w:line="360" w:lineRule="auto"/>
        <w:jc w:val="both"/>
        <w:rPr>
          <w:rFonts w:ascii="Book Antiqua" w:hAnsi="Book Antiqua"/>
          <w:lang w:eastAsia="zh-CN"/>
        </w:rPr>
      </w:pPr>
      <w:r w:rsidRPr="00E74D83">
        <w:rPr>
          <w:rFonts w:ascii="Book Antiqua" w:hAnsi="Book Antiqua"/>
          <w:vertAlign w:val="superscript"/>
        </w:rPr>
        <w:t>1</w:t>
      </w:r>
      <w:r w:rsidR="00F26395" w:rsidRPr="00F26395">
        <w:rPr>
          <w:rFonts w:ascii="Book Antiqua" w:hAnsi="Book Antiqua"/>
        </w:rPr>
        <w:t>Only the most common findings were included in this table.</w:t>
      </w:r>
      <w:r>
        <w:rPr>
          <w:rFonts w:ascii="Book Antiqua" w:hAnsi="Book Antiqua"/>
        </w:rPr>
        <w:t xml:space="preserve"> </w:t>
      </w:r>
      <w:bookmarkStart w:id="72" w:name="OLE_LINK2184"/>
      <w:bookmarkStart w:id="73" w:name="OLE_LINK2185"/>
      <w:r>
        <w:rPr>
          <w:rFonts w:ascii="Book Antiqua" w:hAnsi="Book Antiqua"/>
        </w:rPr>
        <w:t>FFP</w:t>
      </w:r>
      <w:bookmarkEnd w:id="72"/>
      <w:bookmarkEnd w:id="73"/>
      <w:r>
        <w:rPr>
          <w:rFonts w:ascii="Book Antiqua" w:hAnsi="Book Antiqua"/>
        </w:rPr>
        <w:t xml:space="preserve">: </w:t>
      </w:r>
      <w:r w:rsidRPr="00F26395">
        <w:rPr>
          <w:rFonts w:ascii="Book Antiqua" w:hAnsi="Book Antiqua"/>
          <w:color w:val="000000"/>
        </w:rPr>
        <w:t>Fresh frozen plasma/cryoprecipitate</w:t>
      </w:r>
      <w:r>
        <w:rPr>
          <w:rFonts w:ascii="Book Antiqua" w:hAnsi="Book Antiqua"/>
          <w:lang w:eastAsia="zh-CN"/>
        </w:rPr>
        <w:t xml:space="preserve">; </w:t>
      </w:r>
      <w:proofErr w:type="spellStart"/>
      <w:r>
        <w:rPr>
          <w:rFonts w:ascii="Book Antiqua" w:hAnsi="Book Antiqua" w:hint="eastAsia"/>
          <w:lang w:eastAsia="zh-CN"/>
        </w:rPr>
        <w:t>pRBC</w:t>
      </w:r>
      <w:r>
        <w:rPr>
          <w:rFonts w:ascii="Book Antiqua" w:hAnsi="Book Antiqua"/>
          <w:lang w:eastAsia="zh-CN"/>
        </w:rPr>
        <w:t>s</w:t>
      </w:r>
      <w:proofErr w:type="spellEnd"/>
      <w:r>
        <w:rPr>
          <w:rFonts w:ascii="Book Antiqua" w:hAnsi="Book Antiqua"/>
          <w:lang w:eastAsia="zh-CN"/>
        </w:rPr>
        <w:t xml:space="preserve">: </w:t>
      </w:r>
      <w:r w:rsidRPr="00F26395">
        <w:rPr>
          <w:rFonts w:ascii="Book Antiqua" w:hAnsi="Book Antiqua"/>
          <w:color w:val="000000"/>
        </w:rPr>
        <w:t>Packed red blood cells</w:t>
      </w:r>
      <w:r>
        <w:rPr>
          <w:rFonts w:ascii="Book Antiqua" w:hAnsi="Book Antiqua"/>
          <w:lang w:eastAsia="zh-CN"/>
        </w:rPr>
        <w:t xml:space="preserve">; </w:t>
      </w:r>
      <w:bookmarkStart w:id="74" w:name="OLE_LINK2196"/>
      <w:bookmarkStart w:id="75" w:name="OLE_LINK2197"/>
      <w:r>
        <w:rPr>
          <w:rFonts w:ascii="Book Antiqua" w:hAnsi="Book Antiqua"/>
          <w:lang w:eastAsia="zh-CN"/>
        </w:rPr>
        <w:t>BUN</w:t>
      </w:r>
      <w:bookmarkEnd w:id="74"/>
      <w:bookmarkEnd w:id="75"/>
      <w:r>
        <w:rPr>
          <w:rFonts w:ascii="Book Antiqua" w:hAnsi="Book Antiqua"/>
          <w:lang w:eastAsia="zh-CN"/>
        </w:rPr>
        <w:t xml:space="preserve">: </w:t>
      </w:r>
      <w:r w:rsidRPr="00E74D83">
        <w:rPr>
          <w:rFonts w:ascii="Book Antiqua" w:hAnsi="Book Antiqua"/>
          <w:lang w:eastAsia="zh-CN"/>
        </w:rPr>
        <w:t>Blood urea nitrogen</w:t>
      </w:r>
      <w:r>
        <w:rPr>
          <w:rFonts w:ascii="Book Antiqua" w:hAnsi="Book Antiqua"/>
          <w:lang w:eastAsia="zh-CN"/>
        </w:rPr>
        <w:t>;</w:t>
      </w:r>
      <w:r w:rsidRPr="00E74D83">
        <w:rPr>
          <w:rFonts w:ascii="Book Antiqua" w:hAnsi="Book Antiqua"/>
          <w:lang w:eastAsia="zh-CN"/>
        </w:rPr>
        <w:t xml:space="preserve"> </w:t>
      </w:r>
      <w:r>
        <w:rPr>
          <w:rFonts w:ascii="Book Antiqua" w:hAnsi="Book Antiqua"/>
          <w:lang w:eastAsia="zh-CN"/>
        </w:rPr>
        <w:t xml:space="preserve">INR: </w:t>
      </w:r>
      <w:bookmarkStart w:id="76" w:name="OLE_LINK2190"/>
      <w:bookmarkStart w:id="77" w:name="OLE_LINK2191"/>
      <w:r w:rsidRPr="00F26395">
        <w:rPr>
          <w:rFonts w:ascii="Book Antiqua" w:hAnsi="Book Antiqua"/>
          <w:color w:val="000000"/>
        </w:rPr>
        <w:t>International normalized ratio</w:t>
      </w:r>
      <w:r>
        <w:rPr>
          <w:rFonts w:ascii="Book Antiqua" w:hAnsi="Book Antiqua"/>
          <w:color w:val="000000"/>
        </w:rPr>
        <w:t>;</w:t>
      </w:r>
      <w:r>
        <w:rPr>
          <w:rFonts w:ascii="Book Antiqua" w:hAnsi="Book Antiqua"/>
          <w:lang w:eastAsia="zh-CN"/>
        </w:rPr>
        <w:t xml:space="preserve"> ANC</w:t>
      </w:r>
      <w:bookmarkEnd w:id="76"/>
      <w:bookmarkEnd w:id="77"/>
      <w:r>
        <w:rPr>
          <w:rFonts w:ascii="Book Antiqua" w:hAnsi="Book Antiqua"/>
          <w:lang w:eastAsia="zh-CN"/>
        </w:rPr>
        <w:t xml:space="preserve">: </w:t>
      </w:r>
      <w:r w:rsidRPr="00F26395">
        <w:rPr>
          <w:rFonts w:ascii="Book Antiqua" w:hAnsi="Book Antiqua"/>
          <w:color w:val="000000"/>
        </w:rPr>
        <w:t>Absolute neutrophil count</w:t>
      </w:r>
      <w:r>
        <w:rPr>
          <w:rFonts w:ascii="Book Antiqua" w:hAnsi="Book Antiqua"/>
          <w:color w:val="000000"/>
        </w:rPr>
        <w:t>;</w:t>
      </w:r>
      <w:r w:rsidRPr="00F26395">
        <w:rPr>
          <w:rFonts w:ascii="Book Antiqua" w:hAnsi="Book Antiqua"/>
        </w:rPr>
        <w:t xml:space="preserve"> AML</w:t>
      </w:r>
      <w:r>
        <w:rPr>
          <w:rFonts w:ascii="Book Antiqua" w:hAnsi="Book Antiqua"/>
        </w:rPr>
        <w:t xml:space="preserve">: </w:t>
      </w:r>
      <w:r w:rsidRPr="00E74D83">
        <w:rPr>
          <w:rFonts w:ascii="Book Antiqua" w:hAnsi="Book Antiqua"/>
        </w:rPr>
        <w:t>Acute myelogenous leukemia</w:t>
      </w:r>
      <w:r>
        <w:rPr>
          <w:rFonts w:ascii="Book Antiqua" w:hAnsi="Book Antiqua"/>
        </w:rPr>
        <w:t>;</w:t>
      </w:r>
      <w:r w:rsidRPr="00E74D83">
        <w:rPr>
          <w:rFonts w:ascii="Book Antiqua" w:hAnsi="Book Antiqua"/>
        </w:rPr>
        <w:t xml:space="preserve"> </w:t>
      </w:r>
      <w:r w:rsidRPr="00F26395">
        <w:rPr>
          <w:rFonts w:ascii="Book Antiqua" w:hAnsi="Book Antiqua"/>
        </w:rPr>
        <w:t>B-ALL</w:t>
      </w:r>
      <w:r>
        <w:rPr>
          <w:rFonts w:ascii="Book Antiqua" w:hAnsi="Book Antiqua"/>
        </w:rPr>
        <w:t xml:space="preserve">: </w:t>
      </w:r>
      <w:r w:rsidRPr="00E74D83">
        <w:rPr>
          <w:rFonts w:ascii="Book Antiqua" w:hAnsi="Book Antiqua"/>
        </w:rPr>
        <w:t>B-cell acute lymphoblastic leukemia</w:t>
      </w:r>
      <w:r>
        <w:rPr>
          <w:rFonts w:ascii="Book Antiqua" w:hAnsi="Book Antiqua"/>
        </w:rPr>
        <w:t xml:space="preserve">; </w:t>
      </w:r>
      <w:r w:rsidRPr="00F26395">
        <w:rPr>
          <w:rFonts w:ascii="Book Antiqua" w:hAnsi="Book Antiqua"/>
        </w:rPr>
        <w:t>MDS</w:t>
      </w:r>
      <w:r>
        <w:rPr>
          <w:rFonts w:ascii="Book Antiqua" w:hAnsi="Book Antiqua"/>
        </w:rPr>
        <w:t xml:space="preserve">: </w:t>
      </w:r>
      <w:r w:rsidRPr="00E74D83">
        <w:rPr>
          <w:rFonts w:ascii="Book Antiqua" w:hAnsi="Book Antiqua"/>
        </w:rPr>
        <w:t>Myelodysplastic syndromes</w:t>
      </w:r>
      <w:r>
        <w:rPr>
          <w:rFonts w:ascii="Book Antiqua" w:hAnsi="Book Antiqua"/>
        </w:rPr>
        <w:t xml:space="preserve">; </w:t>
      </w:r>
      <w:bookmarkStart w:id="78" w:name="OLE_LINK2212"/>
      <w:bookmarkStart w:id="79" w:name="OLE_LINK2213"/>
      <w:r w:rsidRPr="00F26395">
        <w:rPr>
          <w:rFonts w:ascii="Book Antiqua" w:hAnsi="Book Antiqua"/>
        </w:rPr>
        <w:t xml:space="preserve">GVHD: </w:t>
      </w:r>
      <w:bookmarkStart w:id="80" w:name="OLE_LINK2204"/>
      <w:bookmarkStart w:id="81" w:name="OLE_LINK2205"/>
      <w:r w:rsidRPr="00F26395">
        <w:rPr>
          <w:rFonts w:ascii="Book Antiqua" w:eastAsia="Book Antiqua" w:hAnsi="Book Antiqua" w:cs="Book Antiqua"/>
          <w:color w:val="000000"/>
        </w:rPr>
        <w:t>Graft-</w:t>
      </w:r>
      <w:r w:rsidRPr="00F26395">
        <w:rPr>
          <w:rFonts w:ascii="Book Antiqua" w:eastAsia="Book Antiqua" w:hAnsi="Book Antiqua" w:cs="Book Antiqua"/>
          <w:i/>
          <w:iCs/>
          <w:color w:val="000000"/>
        </w:rPr>
        <w:t>vs</w:t>
      </w:r>
      <w:r w:rsidRPr="00F26395">
        <w:rPr>
          <w:rFonts w:ascii="Book Antiqua" w:eastAsia="Book Antiqua" w:hAnsi="Book Antiqua" w:cs="Book Antiqua"/>
          <w:color w:val="000000"/>
        </w:rPr>
        <w:t>-host disease</w:t>
      </w:r>
      <w:bookmarkEnd w:id="78"/>
      <w:bookmarkEnd w:id="79"/>
      <w:bookmarkEnd w:id="80"/>
      <w:bookmarkEnd w:id="81"/>
      <w:r w:rsidRPr="00F26395">
        <w:rPr>
          <w:rFonts w:ascii="Book Antiqua" w:eastAsia="Book Antiqua" w:hAnsi="Book Antiqua" w:cs="Book Antiqua"/>
          <w:color w:val="000000"/>
        </w:rPr>
        <w:t>; HSCT: Hematopoietic stem cell transplant.</w:t>
      </w:r>
    </w:p>
    <w:p w14:paraId="674DDB84" w14:textId="4F6E15FC" w:rsidR="00E74D83" w:rsidRDefault="00E74D83" w:rsidP="00F26395">
      <w:pPr>
        <w:spacing w:line="360" w:lineRule="auto"/>
        <w:jc w:val="both"/>
        <w:rPr>
          <w:rFonts w:ascii="Book Antiqua" w:hAnsi="Book Antiqua"/>
          <w:b/>
          <w:bCs/>
        </w:rPr>
        <w:sectPr w:rsidR="00E74D83" w:rsidSect="00AE4C98">
          <w:pgSz w:w="12240" w:h="15840"/>
          <w:pgMar w:top="1440" w:right="1440" w:bottom="1440" w:left="1440" w:header="720" w:footer="720" w:gutter="0"/>
          <w:cols w:space="720"/>
          <w:docGrid w:linePitch="360"/>
        </w:sectPr>
      </w:pPr>
    </w:p>
    <w:p w14:paraId="419F8BE4" w14:textId="3623E569" w:rsidR="00F26395" w:rsidRPr="00E74D83" w:rsidRDefault="00F26395" w:rsidP="00F26395">
      <w:pPr>
        <w:spacing w:line="360" w:lineRule="auto"/>
        <w:jc w:val="both"/>
        <w:rPr>
          <w:rFonts w:ascii="Book Antiqua" w:hAnsi="Book Antiqua"/>
          <w:b/>
          <w:bCs/>
        </w:rPr>
      </w:pPr>
      <w:r w:rsidRPr="00F26395">
        <w:rPr>
          <w:rFonts w:ascii="Book Antiqua" w:hAnsi="Book Antiqua"/>
          <w:b/>
          <w:bCs/>
        </w:rPr>
        <w:lastRenderedPageBreak/>
        <w:t>Table 2</w:t>
      </w:r>
      <w:r w:rsidR="00E74D83">
        <w:rPr>
          <w:rFonts w:ascii="Book Antiqua" w:hAnsi="Book Antiqua"/>
          <w:b/>
          <w:bCs/>
        </w:rPr>
        <w:t xml:space="preserve"> </w:t>
      </w:r>
      <w:r w:rsidRPr="00F26395">
        <w:rPr>
          <w:rFonts w:ascii="Book Antiqua" w:hAnsi="Book Antiqua"/>
          <w:b/>
          <w:bCs/>
        </w:rPr>
        <w:t>Yield of performing different endoscopic modalities in detecting</w:t>
      </w:r>
      <w:r w:rsidRPr="00E74D83">
        <w:rPr>
          <w:rFonts w:ascii="Book Antiqua" w:hAnsi="Book Antiqua"/>
          <w:b/>
          <w:bCs/>
        </w:rPr>
        <w:t xml:space="preserve"> </w:t>
      </w:r>
      <w:bookmarkStart w:id="82" w:name="OLE_LINK2214"/>
      <w:bookmarkStart w:id="83" w:name="OLE_LINK2215"/>
      <w:r w:rsidR="00E74D83" w:rsidRPr="00E74D83">
        <w:rPr>
          <w:rFonts w:ascii="Book Antiqua" w:eastAsia="Book Antiqua" w:hAnsi="Book Antiqua" w:cs="Book Antiqua" w:hint="eastAsia"/>
          <w:b/>
          <w:bCs/>
          <w:color w:val="000000"/>
          <w:lang w:eastAsia="zh-CN"/>
        </w:rPr>
        <w:t>g</w:t>
      </w:r>
      <w:r w:rsidR="00E74D83" w:rsidRPr="00E74D83">
        <w:rPr>
          <w:rFonts w:ascii="Book Antiqua" w:eastAsia="Book Antiqua" w:hAnsi="Book Antiqua" w:cs="Book Antiqua"/>
          <w:b/>
          <w:bCs/>
          <w:color w:val="000000"/>
        </w:rPr>
        <w:t>raft-</w:t>
      </w:r>
      <w:r w:rsidR="00E74D83" w:rsidRPr="00E74D83">
        <w:rPr>
          <w:rFonts w:ascii="Book Antiqua" w:eastAsia="Book Antiqua" w:hAnsi="Book Antiqua" w:cs="Book Antiqua"/>
          <w:b/>
          <w:bCs/>
          <w:i/>
          <w:iCs/>
          <w:color w:val="000000"/>
        </w:rPr>
        <w:t>vs</w:t>
      </w:r>
      <w:r w:rsidR="00E74D83" w:rsidRPr="00E74D83">
        <w:rPr>
          <w:rFonts w:ascii="Book Antiqua" w:eastAsia="Book Antiqua" w:hAnsi="Book Antiqua" w:cs="Book Antiqua"/>
          <w:b/>
          <w:bCs/>
          <w:color w:val="000000"/>
        </w:rPr>
        <w:t>-host disease</w:t>
      </w:r>
      <w:bookmarkEnd w:id="82"/>
      <w:bookmarkEnd w:id="83"/>
      <w:r w:rsidR="00E74D83" w:rsidRPr="00F26395">
        <w:rPr>
          <w:rFonts w:ascii="Book Antiqua" w:hAnsi="Book Antiqua"/>
          <w:b/>
          <w:bCs/>
        </w:rPr>
        <w:t xml:space="preserve"> </w:t>
      </w:r>
      <w:r w:rsidRPr="00F26395">
        <w:rPr>
          <w:rFonts w:ascii="Book Antiqua" w:hAnsi="Book Antiqua"/>
          <w:b/>
          <w:bCs/>
        </w:rPr>
        <w:t>in patients with different presenting symptoms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5"/>
        <w:gridCol w:w="1731"/>
        <w:gridCol w:w="1731"/>
        <w:gridCol w:w="2276"/>
        <w:gridCol w:w="1757"/>
      </w:tblGrid>
      <w:tr w:rsidR="00F26395" w:rsidRPr="00F26395" w14:paraId="0D20C329" w14:textId="77777777" w:rsidTr="004D07E8">
        <w:tc>
          <w:tcPr>
            <w:tcW w:w="2515" w:type="dxa"/>
            <w:tcBorders>
              <w:top w:val="single" w:sz="4" w:space="0" w:color="auto"/>
              <w:bottom w:val="single" w:sz="4" w:space="0" w:color="auto"/>
            </w:tcBorders>
          </w:tcPr>
          <w:p w14:paraId="20C67A4E"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Endoscopic procedure</w:t>
            </w:r>
          </w:p>
        </w:tc>
        <w:tc>
          <w:tcPr>
            <w:tcW w:w="2520" w:type="dxa"/>
            <w:tcBorders>
              <w:top w:val="single" w:sz="4" w:space="0" w:color="auto"/>
              <w:bottom w:val="single" w:sz="4" w:space="0" w:color="auto"/>
            </w:tcBorders>
          </w:tcPr>
          <w:p w14:paraId="794EB8F5"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Confirmed GVHD in patients with any symptom, % (</w:t>
            </w:r>
            <w:r w:rsidRPr="00E74D83">
              <w:rPr>
                <w:rFonts w:ascii="Book Antiqua" w:hAnsi="Book Antiqua"/>
                <w:b/>
                <w:bCs/>
                <w:i/>
                <w:iCs/>
              </w:rPr>
              <w:t>n</w:t>
            </w:r>
            <w:r w:rsidRPr="00F26395">
              <w:rPr>
                <w:rFonts w:ascii="Book Antiqua" w:hAnsi="Book Antiqua"/>
                <w:b/>
                <w:bCs/>
              </w:rPr>
              <w:t>)</w:t>
            </w:r>
          </w:p>
        </w:tc>
        <w:tc>
          <w:tcPr>
            <w:tcW w:w="2520" w:type="dxa"/>
            <w:tcBorders>
              <w:top w:val="single" w:sz="4" w:space="0" w:color="auto"/>
              <w:bottom w:val="single" w:sz="4" w:space="0" w:color="auto"/>
            </w:tcBorders>
          </w:tcPr>
          <w:p w14:paraId="5C1A78CD"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Confirmed GVHD in patients presenting with diarrhea, % (</w:t>
            </w:r>
            <w:r w:rsidRPr="00E74D83">
              <w:rPr>
                <w:rFonts w:ascii="Book Antiqua" w:hAnsi="Book Antiqua"/>
                <w:b/>
                <w:bCs/>
                <w:i/>
                <w:iCs/>
              </w:rPr>
              <w:t>n</w:t>
            </w:r>
            <w:r w:rsidRPr="00F26395">
              <w:rPr>
                <w:rFonts w:ascii="Book Antiqua" w:hAnsi="Book Antiqua"/>
                <w:b/>
                <w:bCs/>
              </w:rPr>
              <w:t>)</w:t>
            </w:r>
          </w:p>
        </w:tc>
        <w:tc>
          <w:tcPr>
            <w:tcW w:w="2700" w:type="dxa"/>
            <w:tcBorders>
              <w:top w:val="single" w:sz="4" w:space="0" w:color="auto"/>
              <w:bottom w:val="single" w:sz="4" w:space="0" w:color="auto"/>
            </w:tcBorders>
          </w:tcPr>
          <w:p w14:paraId="7E993C97"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Confirmed GVHD in patients presenting with nausea/vomiting, % (</w:t>
            </w:r>
            <w:r w:rsidRPr="00E74D83">
              <w:rPr>
                <w:rFonts w:ascii="Book Antiqua" w:hAnsi="Book Antiqua"/>
                <w:b/>
                <w:bCs/>
                <w:i/>
                <w:iCs/>
              </w:rPr>
              <w:t>n</w:t>
            </w:r>
            <w:r w:rsidRPr="00F26395">
              <w:rPr>
                <w:rFonts w:ascii="Book Antiqua" w:hAnsi="Book Antiqua"/>
                <w:b/>
                <w:bCs/>
              </w:rPr>
              <w:t>)</w:t>
            </w:r>
          </w:p>
        </w:tc>
        <w:tc>
          <w:tcPr>
            <w:tcW w:w="2610" w:type="dxa"/>
            <w:tcBorders>
              <w:top w:val="single" w:sz="4" w:space="0" w:color="auto"/>
              <w:bottom w:val="single" w:sz="4" w:space="0" w:color="auto"/>
            </w:tcBorders>
          </w:tcPr>
          <w:p w14:paraId="57B6712D"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Confirmed GVHD in patients presenting with abdominal pain, % (</w:t>
            </w:r>
            <w:r w:rsidRPr="00E74D83">
              <w:rPr>
                <w:rFonts w:ascii="Book Antiqua" w:hAnsi="Book Antiqua"/>
                <w:b/>
                <w:bCs/>
                <w:i/>
                <w:iCs/>
              </w:rPr>
              <w:t>n</w:t>
            </w:r>
            <w:r w:rsidRPr="00F26395">
              <w:rPr>
                <w:rFonts w:ascii="Book Antiqua" w:hAnsi="Book Antiqua"/>
                <w:b/>
                <w:bCs/>
              </w:rPr>
              <w:t>)</w:t>
            </w:r>
          </w:p>
        </w:tc>
      </w:tr>
      <w:tr w:rsidR="00F26395" w:rsidRPr="00F26395" w14:paraId="5C9667B7" w14:textId="77777777" w:rsidTr="004D07E8">
        <w:tc>
          <w:tcPr>
            <w:tcW w:w="2515" w:type="dxa"/>
            <w:tcBorders>
              <w:top w:val="single" w:sz="4" w:space="0" w:color="auto"/>
            </w:tcBorders>
          </w:tcPr>
          <w:p w14:paraId="3CEBC061" w14:textId="3B297833" w:rsidR="00F26395" w:rsidRPr="00F26395" w:rsidRDefault="00F26395" w:rsidP="00F26395">
            <w:pPr>
              <w:spacing w:line="360" w:lineRule="auto"/>
              <w:jc w:val="both"/>
              <w:rPr>
                <w:rFonts w:ascii="Book Antiqua" w:hAnsi="Book Antiqua"/>
              </w:rPr>
            </w:pPr>
            <w:r w:rsidRPr="00F26395">
              <w:rPr>
                <w:rFonts w:ascii="Book Antiqua" w:hAnsi="Book Antiqua"/>
              </w:rPr>
              <w:t>EGD (</w:t>
            </w:r>
            <w:r w:rsidRPr="00E74D83">
              <w:rPr>
                <w:rFonts w:ascii="Book Antiqua" w:hAnsi="Book Antiqua"/>
                <w:i/>
                <w:iCs/>
              </w:rPr>
              <w:t>n</w:t>
            </w:r>
            <w:r w:rsidR="00E74D83">
              <w:rPr>
                <w:rFonts w:ascii="Book Antiqua" w:hAnsi="Book Antiqua"/>
              </w:rPr>
              <w:t xml:space="preserve"> </w:t>
            </w:r>
            <w:r w:rsidRPr="00F26395">
              <w:rPr>
                <w:rFonts w:ascii="Book Antiqua" w:hAnsi="Book Antiqua"/>
              </w:rPr>
              <w:t>=</w:t>
            </w:r>
            <w:r w:rsidR="00E74D83">
              <w:rPr>
                <w:rFonts w:ascii="Book Antiqua" w:hAnsi="Book Antiqua"/>
              </w:rPr>
              <w:t xml:space="preserve"> </w:t>
            </w:r>
            <w:r w:rsidRPr="00F26395">
              <w:rPr>
                <w:rFonts w:ascii="Book Antiqua" w:hAnsi="Book Antiqua"/>
              </w:rPr>
              <w:t>45)</w:t>
            </w:r>
          </w:p>
        </w:tc>
        <w:tc>
          <w:tcPr>
            <w:tcW w:w="2520" w:type="dxa"/>
            <w:tcBorders>
              <w:top w:val="single" w:sz="4" w:space="0" w:color="auto"/>
            </w:tcBorders>
          </w:tcPr>
          <w:p w14:paraId="3B4023D4" w14:textId="13684B4C" w:rsidR="00F26395" w:rsidRPr="00F26395" w:rsidRDefault="00F26395" w:rsidP="00F26395">
            <w:pPr>
              <w:spacing w:line="360" w:lineRule="auto"/>
              <w:jc w:val="both"/>
              <w:rPr>
                <w:rFonts w:ascii="Book Antiqua" w:hAnsi="Book Antiqua"/>
              </w:rPr>
            </w:pPr>
            <w:r w:rsidRPr="00F26395">
              <w:rPr>
                <w:rFonts w:ascii="Book Antiqua" w:hAnsi="Book Antiqua"/>
              </w:rPr>
              <w:t>66.7 (30/45)</w:t>
            </w:r>
          </w:p>
        </w:tc>
        <w:tc>
          <w:tcPr>
            <w:tcW w:w="2520" w:type="dxa"/>
            <w:tcBorders>
              <w:top w:val="single" w:sz="4" w:space="0" w:color="auto"/>
            </w:tcBorders>
          </w:tcPr>
          <w:p w14:paraId="26AB46A5" w14:textId="715BFB7E" w:rsidR="00F26395" w:rsidRPr="00F26395" w:rsidRDefault="00F26395" w:rsidP="00F26395">
            <w:pPr>
              <w:spacing w:line="360" w:lineRule="auto"/>
              <w:jc w:val="both"/>
              <w:rPr>
                <w:rFonts w:ascii="Book Antiqua" w:hAnsi="Book Antiqua"/>
              </w:rPr>
            </w:pPr>
            <w:r w:rsidRPr="00F26395">
              <w:rPr>
                <w:rFonts w:ascii="Book Antiqua" w:hAnsi="Book Antiqua"/>
              </w:rPr>
              <w:t>85.7 (6/7)</w:t>
            </w:r>
            <w:r w:rsidR="004D07E8" w:rsidRPr="004D07E8">
              <w:rPr>
                <w:rFonts w:ascii="Book Antiqua" w:hAnsi="Book Antiqua"/>
                <w:vertAlign w:val="superscript"/>
              </w:rPr>
              <w:t>1</w:t>
            </w:r>
          </w:p>
        </w:tc>
        <w:tc>
          <w:tcPr>
            <w:tcW w:w="2700" w:type="dxa"/>
            <w:tcBorders>
              <w:top w:val="single" w:sz="4" w:space="0" w:color="auto"/>
            </w:tcBorders>
          </w:tcPr>
          <w:p w14:paraId="13C1FE7D" w14:textId="25947620" w:rsidR="00F26395" w:rsidRPr="00F26395" w:rsidRDefault="00F26395" w:rsidP="00F26395">
            <w:pPr>
              <w:spacing w:line="360" w:lineRule="auto"/>
              <w:jc w:val="both"/>
              <w:rPr>
                <w:rFonts w:ascii="Book Antiqua" w:hAnsi="Book Antiqua"/>
              </w:rPr>
            </w:pPr>
            <w:r w:rsidRPr="00F26395">
              <w:rPr>
                <w:rFonts w:ascii="Book Antiqua" w:hAnsi="Book Antiqua"/>
              </w:rPr>
              <w:t>70.6 (24/34)</w:t>
            </w:r>
          </w:p>
        </w:tc>
        <w:tc>
          <w:tcPr>
            <w:tcW w:w="2610" w:type="dxa"/>
            <w:tcBorders>
              <w:top w:val="single" w:sz="4" w:space="0" w:color="auto"/>
            </w:tcBorders>
          </w:tcPr>
          <w:p w14:paraId="144CAD05" w14:textId="322506E6" w:rsidR="00F26395" w:rsidRPr="00F26395" w:rsidRDefault="00F26395" w:rsidP="00F26395">
            <w:pPr>
              <w:spacing w:line="360" w:lineRule="auto"/>
              <w:jc w:val="both"/>
              <w:rPr>
                <w:rFonts w:ascii="Book Antiqua" w:hAnsi="Book Antiqua"/>
              </w:rPr>
            </w:pPr>
            <w:r w:rsidRPr="00F26395">
              <w:rPr>
                <w:rFonts w:ascii="Book Antiqua" w:hAnsi="Book Antiqua"/>
              </w:rPr>
              <w:t>57.1 (8/14)</w:t>
            </w:r>
          </w:p>
        </w:tc>
      </w:tr>
      <w:tr w:rsidR="00F26395" w:rsidRPr="00F26395" w14:paraId="331F241A" w14:textId="77777777" w:rsidTr="004D07E8">
        <w:tc>
          <w:tcPr>
            <w:tcW w:w="2515" w:type="dxa"/>
          </w:tcPr>
          <w:p w14:paraId="1115BB96" w14:textId="139EDA63" w:rsidR="00F26395" w:rsidRPr="00F26395" w:rsidRDefault="00F26395" w:rsidP="00F26395">
            <w:pPr>
              <w:spacing w:line="360" w:lineRule="auto"/>
              <w:jc w:val="both"/>
              <w:rPr>
                <w:rFonts w:ascii="Book Antiqua" w:hAnsi="Book Antiqua"/>
              </w:rPr>
            </w:pPr>
            <w:r w:rsidRPr="00F26395">
              <w:rPr>
                <w:rFonts w:ascii="Book Antiqua" w:hAnsi="Book Antiqua"/>
              </w:rPr>
              <w:t>FS (</w:t>
            </w:r>
            <w:r w:rsidRPr="00E74D83">
              <w:rPr>
                <w:rFonts w:ascii="Book Antiqua" w:hAnsi="Book Antiqua"/>
                <w:i/>
                <w:iCs/>
              </w:rPr>
              <w:t>n</w:t>
            </w:r>
            <w:r w:rsidR="00E74D83">
              <w:rPr>
                <w:rFonts w:ascii="Book Antiqua" w:hAnsi="Book Antiqua"/>
              </w:rPr>
              <w:t xml:space="preserve"> </w:t>
            </w:r>
            <w:r w:rsidRPr="00F26395">
              <w:rPr>
                <w:rFonts w:ascii="Book Antiqua" w:hAnsi="Book Antiqua"/>
              </w:rPr>
              <w:t>=</w:t>
            </w:r>
            <w:r w:rsidR="00E74D83">
              <w:rPr>
                <w:rFonts w:ascii="Book Antiqua" w:hAnsi="Book Antiqua"/>
              </w:rPr>
              <w:t xml:space="preserve"> </w:t>
            </w:r>
            <w:r w:rsidRPr="00F26395">
              <w:rPr>
                <w:rFonts w:ascii="Book Antiqua" w:hAnsi="Book Antiqua"/>
              </w:rPr>
              <w:t>57)</w:t>
            </w:r>
          </w:p>
        </w:tc>
        <w:tc>
          <w:tcPr>
            <w:tcW w:w="2520" w:type="dxa"/>
          </w:tcPr>
          <w:p w14:paraId="09CA36BF" w14:textId="231D630D" w:rsidR="00F26395" w:rsidRPr="00F26395" w:rsidRDefault="00F26395" w:rsidP="00F26395">
            <w:pPr>
              <w:spacing w:line="360" w:lineRule="auto"/>
              <w:jc w:val="both"/>
              <w:rPr>
                <w:rFonts w:ascii="Book Antiqua" w:hAnsi="Book Antiqua"/>
              </w:rPr>
            </w:pPr>
            <w:r w:rsidRPr="00F26395">
              <w:rPr>
                <w:rFonts w:ascii="Book Antiqua" w:hAnsi="Book Antiqua"/>
              </w:rPr>
              <w:t>77.2 (44/57)</w:t>
            </w:r>
          </w:p>
        </w:tc>
        <w:tc>
          <w:tcPr>
            <w:tcW w:w="2520" w:type="dxa"/>
          </w:tcPr>
          <w:p w14:paraId="2DA2FB47" w14:textId="70CC062F" w:rsidR="00F26395" w:rsidRPr="00F26395" w:rsidRDefault="00F26395" w:rsidP="00F26395">
            <w:pPr>
              <w:spacing w:line="360" w:lineRule="auto"/>
              <w:jc w:val="both"/>
              <w:rPr>
                <w:rFonts w:ascii="Book Antiqua" w:hAnsi="Book Antiqua"/>
              </w:rPr>
            </w:pPr>
            <w:r w:rsidRPr="00F26395">
              <w:rPr>
                <w:rFonts w:ascii="Book Antiqua" w:hAnsi="Book Antiqua"/>
              </w:rPr>
              <w:t>76.8 (43/56)</w:t>
            </w:r>
          </w:p>
        </w:tc>
        <w:tc>
          <w:tcPr>
            <w:tcW w:w="2700" w:type="dxa"/>
          </w:tcPr>
          <w:p w14:paraId="608EADFB" w14:textId="1AC8D4B2" w:rsidR="00F26395" w:rsidRPr="00F26395" w:rsidRDefault="00F26395" w:rsidP="00F26395">
            <w:pPr>
              <w:spacing w:line="360" w:lineRule="auto"/>
              <w:jc w:val="both"/>
              <w:rPr>
                <w:rFonts w:ascii="Book Antiqua" w:hAnsi="Book Antiqua"/>
              </w:rPr>
            </w:pPr>
            <w:r w:rsidRPr="00F26395">
              <w:rPr>
                <w:rFonts w:ascii="Book Antiqua" w:hAnsi="Book Antiqua"/>
              </w:rPr>
              <w:t>87.5 (7/8)</w:t>
            </w:r>
            <w:r w:rsidR="004D07E8" w:rsidRPr="004D07E8">
              <w:rPr>
                <w:rFonts w:ascii="Book Antiqua" w:hAnsi="Book Antiqua"/>
                <w:vertAlign w:val="superscript"/>
              </w:rPr>
              <w:t>2</w:t>
            </w:r>
          </w:p>
        </w:tc>
        <w:tc>
          <w:tcPr>
            <w:tcW w:w="2610" w:type="dxa"/>
          </w:tcPr>
          <w:p w14:paraId="5CB55232" w14:textId="4B846BB6" w:rsidR="00F26395" w:rsidRPr="00F26395" w:rsidRDefault="00F26395" w:rsidP="00F26395">
            <w:pPr>
              <w:spacing w:line="360" w:lineRule="auto"/>
              <w:jc w:val="both"/>
              <w:rPr>
                <w:rFonts w:ascii="Book Antiqua" w:hAnsi="Book Antiqua"/>
              </w:rPr>
            </w:pPr>
            <w:r w:rsidRPr="00F26395">
              <w:rPr>
                <w:rFonts w:ascii="Book Antiqua" w:hAnsi="Book Antiqua"/>
              </w:rPr>
              <w:t>76.9 (10/13)</w:t>
            </w:r>
          </w:p>
        </w:tc>
      </w:tr>
      <w:tr w:rsidR="00F26395" w:rsidRPr="00F26395" w14:paraId="62482ED1" w14:textId="77777777" w:rsidTr="004D07E8">
        <w:tc>
          <w:tcPr>
            <w:tcW w:w="2515" w:type="dxa"/>
          </w:tcPr>
          <w:p w14:paraId="4CB8CE6A" w14:textId="6E387E36" w:rsidR="00F26395" w:rsidRPr="00F26395" w:rsidRDefault="00F26395" w:rsidP="00F26395">
            <w:pPr>
              <w:spacing w:line="360" w:lineRule="auto"/>
              <w:jc w:val="both"/>
              <w:rPr>
                <w:rFonts w:ascii="Book Antiqua" w:hAnsi="Book Antiqua"/>
              </w:rPr>
            </w:pPr>
            <w:r w:rsidRPr="00F26395">
              <w:rPr>
                <w:rFonts w:ascii="Book Antiqua" w:hAnsi="Book Antiqua"/>
              </w:rPr>
              <w:t>Colonoscopy (</w:t>
            </w:r>
            <w:r w:rsidRPr="00E74D83">
              <w:rPr>
                <w:rFonts w:ascii="Book Antiqua" w:hAnsi="Book Antiqua"/>
                <w:i/>
                <w:iCs/>
              </w:rPr>
              <w:t>n</w:t>
            </w:r>
            <w:r w:rsidR="00E74D83">
              <w:rPr>
                <w:rFonts w:ascii="Book Antiqua" w:hAnsi="Book Antiqua"/>
              </w:rPr>
              <w:t xml:space="preserve"> </w:t>
            </w:r>
            <w:r w:rsidRPr="00F26395">
              <w:rPr>
                <w:rFonts w:ascii="Book Antiqua" w:hAnsi="Book Antiqua"/>
              </w:rPr>
              <w:t>=</w:t>
            </w:r>
            <w:r w:rsidR="00E74D83">
              <w:rPr>
                <w:rFonts w:ascii="Book Antiqua" w:hAnsi="Book Antiqua"/>
              </w:rPr>
              <w:t xml:space="preserve"> </w:t>
            </w:r>
            <w:r w:rsidRPr="00F26395">
              <w:rPr>
                <w:rFonts w:ascii="Book Antiqua" w:hAnsi="Book Antiqua"/>
              </w:rPr>
              <w:t>4)</w:t>
            </w:r>
          </w:p>
        </w:tc>
        <w:tc>
          <w:tcPr>
            <w:tcW w:w="2520" w:type="dxa"/>
          </w:tcPr>
          <w:p w14:paraId="68D39198" w14:textId="396DA54B" w:rsidR="00F26395" w:rsidRPr="00F26395" w:rsidRDefault="00F26395" w:rsidP="00F26395">
            <w:pPr>
              <w:spacing w:line="360" w:lineRule="auto"/>
              <w:jc w:val="both"/>
              <w:rPr>
                <w:rFonts w:ascii="Book Antiqua" w:hAnsi="Book Antiqua"/>
              </w:rPr>
            </w:pPr>
            <w:r w:rsidRPr="00F26395">
              <w:rPr>
                <w:rFonts w:ascii="Book Antiqua" w:hAnsi="Book Antiqua"/>
              </w:rPr>
              <w:t>75.0 (3/4)</w:t>
            </w:r>
          </w:p>
        </w:tc>
        <w:tc>
          <w:tcPr>
            <w:tcW w:w="2520" w:type="dxa"/>
          </w:tcPr>
          <w:p w14:paraId="1785734D" w14:textId="5E162B30" w:rsidR="00F26395" w:rsidRPr="00F26395" w:rsidRDefault="00F26395" w:rsidP="00F26395">
            <w:pPr>
              <w:spacing w:line="360" w:lineRule="auto"/>
              <w:jc w:val="both"/>
              <w:rPr>
                <w:rFonts w:ascii="Book Antiqua" w:hAnsi="Book Antiqua"/>
              </w:rPr>
            </w:pPr>
            <w:r w:rsidRPr="00F26395">
              <w:rPr>
                <w:rFonts w:ascii="Book Antiqua" w:hAnsi="Book Antiqua"/>
              </w:rPr>
              <w:t>75.0 (3/4)</w:t>
            </w:r>
          </w:p>
        </w:tc>
        <w:tc>
          <w:tcPr>
            <w:tcW w:w="2700" w:type="dxa"/>
          </w:tcPr>
          <w:p w14:paraId="75A506D8" w14:textId="77777777" w:rsidR="00F26395" w:rsidRPr="00F26395" w:rsidRDefault="00F26395" w:rsidP="00F26395">
            <w:pPr>
              <w:spacing w:line="360" w:lineRule="auto"/>
              <w:jc w:val="both"/>
              <w:rPr>
                <w:rFonts w:ascii="Book Antiqua" w:hAnsi="Book Antiqua"/>
              </w:rPr>
            </w:pPr>
            <w:r w:rsidRPr="00F26395">
              <w:rPr>
                <w:rFonts w:ascii="Book Antiqua" w:hAnsi="Book Antiqua"/>
              </w:rPr>
              <w:t>-</w:t>
            </w:r>
          </w:p>
        </w:tc>
        <w:tc>
          <w:tcPr>
            <w:tcW w:w="2610" w:type="dxa"/>
          </w:tcPr>
          <w:p w14:paraId="57047D4F" w14:textId="518680F7" w:rsidR="00F26395" w:rsidRPr="00F26395" w:rsidRDefault="00F26395" w:rsidP="00F26395">
            <w:pPr>
              <w:spacing w:line="360" w:lineRule="auto"/>
              <w:jc w:val="both"/>
              <w:rPr>
                <w:rFonts w:ascii="Book Antiqua" w:hAnsi="Book Antiqua"/>
              </w:rPr>
            </w:pPr>
            <w:r w:rsidRPr="00F26395">
              <w:rPr>
                <w:rFonts w:ascii="Book Antiqua" w:hAnsi="Book Antiqua"/>
              </w:rPr>
              <w:t>100.0 (1/1)</w:t>
            </w:r>
          </w:p>
        </w:tc>
      </w:tr>
      <w:tr w:rsidR="00F26395" w:rsidRPr="00F26395" w14:paraId="2154D297" w14:textId="77777777" w:rsidTr="004D07E8">
        <w:tc>
          <w:tcPr>
            <w:tcW w:w="2515" w:type="dxa"/>
          </w:tcPr>
          <w:p w14:paraId="0638F014" w14:textId="2434A03F" w:rsidR="00F26395" w:rsidRPr="00F26395" w:rsidRDefault="00F26395" w:rsidP="00F26395">
            <w:pPr>
              <w:spacing w:line="360" w:lineRule="auto"/>
              <w:jc w:val="both"/>
              <w:rPr>
                <w:rFonts w:ascii="Book Antiqua" w:hAnsi="Book Antiqua"/>
              </w:rPr>
            </w:pPr>
            <w:r w:rsidRPr="00F26395">
              <w:rPr>
                <w:rFonts w:ascii="Book Antiqua" w:hAnsi="Book Antiqua"/>
              </w:rPr>
              <w:t>EGD</w:t>
            </w:r>
            <w:r w:rsidR="00E74D83">
              <w:rPr>
                <w:rFonts w:ascii="Book Antiqua" w:hAnsi="Book Antiqua"/>
              </w:rPr>
              <w:t xml:space="preserve"> </w:t>
            </w:r>
            <w:r w:rsidRPr="00F26395">
              <w:rPr>
                <w:rFonts w:ascii="Book Antiqua" w:hAnsi="Book Antiqua"/>
              </w:rPr>
              <w:t>+</w:t>
            </w:r>
            <w:r w:rsidR="00E74D83">
              <w:rPr>
                <w:rFonts w:ascii="Book Antiqua" w:hAnsi="Book Antiqua"/>
              </w:rPr>
              <w:t xml:space="preserve"> </w:t>
            </w:r>
            <w:r w:rsidRPr="00F26395">
              <w:rPr>
                <w:rFonts w:ascii="Book Antiqua" w:hAnsi="Book Antiqua"/>
              </w:rPr>
              <w:t>FS (</w:t>
            </w:r>
            <w:r w:rsidRPr="00E74D83">
              <w:rPr>
                <w:rFonts w:ascii="Book Antiqua" w:hAnsi="Book Antiqua"/>
                <w:i/>
                <w:iCs/>
              </w:rPr>
              <w:t>n</w:t>
            </w:r>
            <w:r w:rsidR="00E74D83">
              <w:rPr>
                <w:rFonts w:ascii="Book Antiqua" w:hAnsi="Book Antiqua"/>
              </w:rPr>
              <w:t xml:space="preserve"> </w:t>
            </w:r>
            <w:r w:rsidRPr="00F26395">
              <w:rPr>
                <w:rFonts w:ascii="Book Antiqua" w:hAnsi="Book Antiqua"/>
              </w:rPr>
              <w:t>=</w:t>
            </w:r>
            <w:r w:rsidR="00E74D83">
              <w:rPr>
                <w:rFonts w:ascii="Book Antiqua" w:hAnsi="Book Antiqua"/>
              </w:rPr>
              <w:t xml:space="preserve"> </w:t>
            </w:r>
            <w:r w:rsidRPr="00F26395">
              <w:rPr>
                <w:rFonts w:ascii="Book Antiqua" w:hAnsi="Book Antiqua"/>
              </w:rPr>
              <w:t>83)</w:t>
            </w:r>
          </w:p>
        </w:tc>
        <w:tc>
          <w:tcPr>
            <w:tcW w:w="2520" w:type="dxa"/>
          </w:tcPr>
          <w:p w14:paraId="515EF52C" w14:textId="3E6AF13B" w:rsidR="00F26395" w:rsidRPr="00F26395" w:rsidRDefault="00F26395" w:rsidP="00F26395">
            <w:pPr>
              <w:spacing w:line="360" w:lineRule="auto"/>
              <w:jc w:val="both"/>
              <w:rPr>
                <w:rFonts w:ascii="Book Antiqua" w:hAnsi="Book Antiqua"/>
              </w:rPr>
            </w:pPr>
            <w:r w:rsidRPr="00F26395">
              <w:rPr>
                <w:rFonts w:ascii="Book Antiqua" w:hAnsi="Book Antiqua"/>
              </w:rPr>
              <w:t>83.1 (69/83)</w:t>
            </w:r>
          </w:p>
        </w:tc>
        <w:tc>
          <w:tcPr>
            <w:tcW w:w="2520" w:type="dxa"/>
          </w:tcPr>
          <w:p w14:paraId="42F084E2" w14:textId="1383C2DB" w:rsidR="00F26395" w:rsidRPr="00F26395" w:rsidRDefault="00F26395" w:rsidP="00F26395">
            <w:pPr>
              <w:spacing w:line="360" w:lineRule="auto"/>
              <w:jc w:val="both"/>
              <w:rPr>
                <w:rFonts w:ascii="Book Antiqua" w:hAnsi="Book Antiqua"/>
              </w:rPr>
            </w:pPr>
            <w:r w:rsidRPr="00F26395">
              <w:rPr>
                <w:rFonts w:ascii="Book Antiqua" w:hAnsi="Book Antiqua"/>
              </w:rPr>
              <w:t>84.9 (62/73)</w:t>
            </w:r>
          </w:p>
        </w:tc>
        <w:tc>
          <w:tcPr>
            <w:tcW w:w="2700" w:type="dxa"/>
          </w:tcPr>
          <w:p w14:paraId="20269B29" w14:textId="7B12C97E" w:rsidR="00F26395" w:rsidRPr="00F26395" w:rsidRDefault="00F26395" w:rsidP="00F26395">
            <w:pPr>
              <w:spacing w:line="360" w:lineRule="auto"/>
              <w:jc w:val="both"/>
              <w:rPr>
                <w:rFonts w:ascii="Book Antiqua" w:hAnsi="Book Antiqua"/>
              </w:rPr>
            </w:pPr>
            <w:r w:rsidRPr="00F26395">
              <w:rPr>
                <w:rFonts w:ascii="Book Antiqua" w:hAnsi="Book Antiqua"/>
              </w:rPr>
              <w:t>85.9 (55/64)</w:t>
            </w:r>
          </w:p>
        </w:tc>
        <w:tc>
          <w:tcPr>
            <w:tcW w:w="2610" w:type="dxa"/>
          </w:tcPr>
          <w:p w14:paraId="041B2B32" w14:textId="300E74A6" w:rsidR="00F26395" w:rsidRPr="00F26395" w:rsidRDefault="00F26395" w:rsidP="00F26395">
            <w:pPr>
              <w:spacing w:line="360" w:lineRule="auto"/>
              <w:jc w:val="both"/>
              <w:rPr>
                <w:rFonts w:ascii="Book Antiqua" w:hAnsi="Book Antiqua"/>
              </w:rPr>
            </w:pPr>
            <w:r w:rsidRPr="00F26395">
              <w:rPr>
                <w:rFonts w:ascii="Book Antiqua" w:hAnsi="Book Antiqua"/>
              </w:rPr>
              <w:t>90.5 (19/21)</w:t>
            </w:r>
          </w:p>
        </w:tc>
      </w:tr>
      <w:tr w:rsidR="00F26395" w:rsidRPr="00F26395" w14:paraId="6BF02C46" w14:textId="77777777" w:rsidTr="004D07E8">
        <w:tc>
          <w:tcPr>
            <w:tcW w:w="2515" w:type="dxa"/>
            <w:tcBorders>
              <w:bottom w:val="single" w:sz="4" w:space="0" w:color="auto"/>
            </w:tcBorders>
          </w:tcPr>
          <w:p w14:paraId="4E1FB1E3" w14:textId="666AE062" w:rsidR="00F26395" w:rsidRPr="00F26395" w:rsidRDefault="00F26395" w:rsidP="00F26395">
            <w:pPr>
              <w:spacing w:line="360" w:lineRule="auto"/>
              <w:jc w:val="both"/>
              <w:rPr>
                <w:rFonts w:ascii="Book Antiqua" w:hAnsi="Book Antiqua"/>
              </w:rPr>
            </w:pPr>
            <w:r w:rsidRPr="00F26395">
              <w:rPr>
                <w:rFonts w:ascii="Book Antiqua" w:hAnsi="Book Antiqua"/>
              </w:rPr>
              <w:t>EGD</w:t>
            </w:r>
            <w:r w:rsidR="00E74D83">
              <w:rPr>
                <w:rFonts w:ascii="Book Antiqua" w:hAnsi="Book Antiqua"/>
              </w:rPr>
              <w:t xml:space="preserve"> </w:t>
            </w:r>
            <w:r w:rsidRPr="00F26395">
              <w:rPr>
                <w:rFonts w:ascii="Book Antiqua" w:hAnsi="Book Antiqua"/>
              </w:rPr>
              <w:t>+</w:t>
            </w:r>
            <w:r w:rsidR="00E74D83">
              <w:rPr>
                <w:rFonts w:ascii="Book Antiqua" w:hAnsi="Book Antiqua"/>
              </w:rPr>
              <w:t xml:space="preserve"> </w:t>
            </w:r>
            <w:r w:rsidR="004D07E8" w:rsidRPr="00F26395">
              <w:rPr>
                <w:rFonts w:ascii="Book Antiqua" w:hAnsi="Book Antiqua"/>
              </w:rPr>
              <w:t>c</w:t>
            </w:r>
            <w:r w:rsidRPr="00F26395">
              <w:rPr>
                <w:rFonts w:ascii="Book Antiqua" w:hAnsi="Book Antiqua"/>
              </w:rPr>
              <w:t>olonoscopy (</w:t>
            </w:r>
            <w:r w:rsidRPr="00E74D83">
              <w:rPr>
                <w:rFonts w:ascii="Book Antiqua" w:hAnsi="Book Antiqua"/>
                <w:i/>
                <w:iCs/>
              </w:rPr>
              <w:t>n</w:t>
            </w:r>
            <w:r w:rsidR="00E74D83">
              <w:rPr>
                <w:rFonts w:ascii="Book Antiqua" w:hAnsi="Book Antiqua"/>
              </w:rPr>
              <w:t xml:space="preserve"> </w:t>
            </w:r>
            <w:r w:rsidRPr="00F26395">
              <w:rPr>
                <w:rFonts w:ascii="Book Antiqua" w:hAnsi="Book Antiqua"/>
              </w:rPr>
              <w:t>=</w:t>
            </w:r>
            <w:r w:rsidR="00E74D83">
              <w:rPr>
                <w:rFonts w:ascii="Book Antiqua" w:hAnsi="Book Antiqua"/>
              </w:rPr>
              <w:t xml:space="preserve"> </w:t>
            </w:r>
            <w:r w:rsidRPr="00F26395">
              <w:rPr>
                <w:rFonts w:ascii="Book Antiqua" w:hAnsi="Book Antiqua"/>
              </w:rPr>
              <w:t>6)</w:t>
            </w:r>
          </w:p>
        </w:tc>
        <w:tc>
          <w:tcPr>
            <w:tcW w:w="2520" w:type="dxa"/>
            <w:tcBorders>
              <w:bottom w:val="single" w:sz="4" w:space="0" w:color="auto"/>
            </w:tcBorders>
          </w:tcPr>
          <w:p w14:paraId="30F832CC" w14:textId="27B54D1C" w:rsidR="00F26395" w:rsidRPr="00F26395" w:rsidRDefault="00F26395" w:rsidP="00F26395">
            <w:pPr>
              <w:spacing w:line="360" w:lineRule="auto"/>
              <w:jc w:val="both"/>
              <w:rPr>
                <w:rFonts w:ascii="Book Antiqua" w:hAnsi="Book Antiqua"/>
              </w:rPr>
            </w:pPr>
            <w:r w:rsidRPr="00F26395">
              <w:rPr>
                <w:rFonts w:ascii="Book Antiqua" w:hAnsi="Book Antiqua"/>
              </w:rPr>
              <w:t>50.0 (3/6)</w:t>
            </w:r>
          </w:p>
        </w:tc>
        <w:tc>
          <w:tcPr>
            <w:tcW w:w="2520" w:type="dxa"/>
            <w:tcBorders>
              <w:bottom w:val="single" w:sz="4" w:space="0" w:color="auto"/>
            </w:tcBorders>
          </w:tcPr>
          <w:p w14:paraId="3CC19413" w14:textId="40D70D0C" w:rsidR="00F26395" w:rsidRPr="00F26395" w:rsidRDefault="00F26395" w:rsidP="00F26395">
            <w:pPr>
              <w:spacing w:line="360" w:lineRule="auto"/>
              <w:jc w:val="both"/>
              <w:rPr>
                <w:rFonts w:ascii="Book Antiqua" w:hAnsi="Book Antiqua"/>
              </w:rPr>
            </w:pPr>
            <w:r w:rsidRPr="00F26395">
              <w:rPr>
                <w:rFonts w:ascii="Book Antiqua" w:hAnsi="Book Antiqua"/>
              </w:rPr>
              <w:t>50.0 (2/4)</w:t>
            </w:r>
          </w:p>
        </w:tc>
        <w:tc>
          <w:tcPr>
            <w:tcW w:w="2700" w:type="dxa"/>
            <w:tcBorders>
              <w:bottom w:val="single" w:sz="4" w:space="0" w:color="auto"/>
            </w:tcBorders>
          </w:tcPr>
          <w:p w14:paraId="695A802E" w14:textId="151C55C3" w:rsidR="00F26395" w:rsidRPr="00F26395" w:rsidRDefault="00F26395" w:rsidP="00F26395">
            <w:pPr>
              <w:spacing w:line="360" w:lineRule="auto"/>
              <w:jc w:val="both"/>
              <w:rPr>
                <w:rFonts w:ascii="Book Antiqua" w:hAnsi="Book Antiqua"/>
              </w:rPr>
            </w:pPr>
            <w:r w:rsidRPr="00F26395">
              <w:rPr>
                <w:rFonts w:ascii="Book Antiqua" w:hAnsi="Book Antiqua"/>
              </w:rPr>
              <w:t>0 (0/1)</w:t>
            </w:r>
          </w:p>
        </w:tc>
        <w:tc>
          <w:tcPr>
            <w:tcW w:w="2610" w:type="dxa"/>
            <w:tcBorders>
              <w:bottom w:val="single" w:sz="4" w:space="0" w:color="auto"/>
            </w:tcBorders>
          </w:tcPr>
          <w:p w14:paraId="4FF45866" w14:textId="359DD3E1" w:rsidR="00F26395" w:rsidRPr="00F26395" w:rsidRDefault="00F26395" w:rsidP="00F26395">
            <w:pPr>
              <w:spacing w:line="360" w:lineRule="auto"/>
              <w:jc w:val="both"/>
              <w:rPr>
                <w:rFonts w:ascii="Book Antiqua" w:hAnsi="Book Antiqua"/>
              </w:rPr>
            </w:pPr>
            <w:r w:rsidRPr="00F26395">
              <w:rPr>
                <w:rFonts w:ascii="Book Antiqua" w:hAnsi="Book Antiqua"/>
              </w:rPr>
              <w:t>100.0 (1/1)</w:t>
            </w:r>
          </w:p>
        </w:tc>
      </w:tr>
    </w:tbl>
    <w:p w14:paraId="52DFB275" w14:textId="4B5AEA37" w:rsidR="00F26395" w:rsidRPr="00F26395" w:rsidRDefault="00E74D83" w:rsidP="00F26395">
      <w:pPr>
        <w:spacing w:line="360" w:lineRule="auto"/>
        <w:jc w:val="both"/>
        <w:rPr>
          <w:rFonts w:ascii="Book Antiqua" w:hAnsi="Book Antiqua"/>
        </w:rPr>
      </w:pPr>
      <w:r w:rsidRPr="00E74D83">
        <w:rPr>
          <w:rFonts w:ascii="Book Antiqua" w:hAnsi="Book Antiqua"/>
          <w:vertAlign w:val="superscript"/>
        </w:rPr>
        <w:t>1</w:t>
      </w:r>
      <w:r>
        <w:rPr>
          <w:rFonts w:ascii="Book Antiqua" w:hAnsi="Book Antiqua"/>
        </w:rPr>
        <w:t>T</w:t>
      </w:r>
      <w:r>
        <w:rPr>
          <w:rFonts w:ascii="Book Antiqua" w:hAnsi="Book Antiqua" w:hint="eastAsia"/>
          <w:lang w:eastAsia="zh-CN"/>
        </w:rPr>
        <w:t>h</w:t>
      </w:r>
      <w:r>
        <w:rPr>
          <w:rFonts w:ascii="Book Antiqua" w:hAnsi="Book Antiqua"/>
          <w:lang w:eastAsia="zh-CN"/>
        </w:rPr>
        <w:t>ree</w:t>
      </w:r>
      <w:r w:rsidR="00F26395" w:rsidRPr="00F26395">
        <w:rPr>
          <w:rFonts w:ascii="Book Antiqua" w:hAnsi="Book Antiqua"/>
        </w:rPr>
        <w:t xml:space="preserve"> of </w:t>
      </w:r>
      <w:r>
        <w:rPr>
          <w:rFonts w:ascii="Book Antiqua" w:hAnsi="Book Antiqua"/>
        </w:rPr>
        <w:t>six</w:t>
      </w:r>
      <w:r w:rsidR="00F26395" w:rsidRPr="00F26395">
        <w:rPr>
          <w:rFonts w:ascii="Book Antiqua" w:hAnsi="Book Antiqua"/>
        </w:rPr>
        <w:t xml:space="preserve"> patients who presented with diarrhea and underwent </w:t>
      </w:r>
      <w:bookmarkStart w:id="84" w:name="OLE_LINK2210"/>
      <w:bookmarkStart w:id="85" w:name="OLE_LINK2211"/>
      <w:bookmarkStart w:id="86" w:name="OLE_LINK2208"/>
      <w:bookmarkStart w:id="87" w:name="OLE_LINK2209"/>
      <w:r w:rsidR="004D07E8" w:rsidRPr="00F26395">
        <w:rPr>
          <w:rFonts w:ascii="Book Antiqua" w:hAnsi="Book Antiqua"/>
        </w:rPr>
        <w:t>esophagogastroduodenoscopy</w:t>
      </w:r>
      <w:bookmarkEnd w:id="84"/>
      <w:bookmarkEnd w:id="85"/>
      <w:r w:rsidR="004D07E8" w:rsidRPr="00F26395">
        <w:rPr>
          <w:rFonts w:ascii="Book Antiqua" w:hAnsi="Book Antiqua"/>
        </w:rPr>
        <w:t xml:space="preserve"> </w:t>
      </w:r>
      <w:bookmarkEnd w:id="86"/>
      <w:bookmarkEnd w:id="87"/>
      <w:r w:rsidR="00F26395" w:rsidRPr="00F26395">
        <w:rPr>
          <w:rFonts w:ascii="Book Antiqua" w:hAnsi="Book Antiqua"/>
        </w:rPr>
        <w:t xml:space="preserve">with confirmed </w:t>
      </w:r>
      <w:r w:rsidR="004D07E8">
        <w:rPr>
          <w:rFonts w:ascii="Book Antiqua" w:eastAsia="Book Antiqua" w:hAnsi="Book Antiqua" w:cs="Book Antiqua"/>
          <w:color w:val="000000"/>
        </w:rPr>
        <w:t>g</w:t>
      </w:r>
      <w:r w:rsidR="004D07E8" w:rsidRPr="00F26395">
        <w:rPr>
          <w:rFonts w:ascii="Book Antiqua" w:eastAsia="Book Antiqua" w:hAnsi="Book Antiqua" w:cs="Book Antiqua"/>
          <w:color w:val="000000"/>
        </w:rPr>
        <w:t>raft-</w:t>
      </w:r>
      <w:r w:rsidR="004D07E8" w:rsidRPr="00F26395">
        <w:rPr>
          <w:rFonts w:ascii="Book Antiqua" w:eastAsia="Book Antiqua" w:hAnsi="Book Antiqua" w:cs="Book Antiqua"/>
          <w:i/>
          <w:iCs/>
          <w:color w:val="000000"/>
        </w:rPr>
        <w:t>vs</w:t>
      </w:r>
      <w:r w:rsidR="004D07E8" w:rsidRPr="00F26395">
        <w:rPr>
          <w:rFonts w:ascii="Book Antiqua" w:eastAsia="Book Antiqua" w:hAnsi="Book Antiqua" w:cs="Book Antiqua"/>
          <w:color w:val="000000"/>
        </w:rPr>
        <w:t>-host disease</w:t>
      </w:r>
      <w:r w:rsidR="004D07E8" w:rsidRPr="00F26395">
        <w:rPr>
          <w:rFonts w:ascii="Book Antiqua" w:hAnsi="Book Antiqua"/>
        </w:rPr>
        <w:t xml:space="preserve"> </w:t>
      </w:r>
      <w:r w:rsidR="004D07E8">
        <w:rPr>
          <w:rFonts w:ascii="Book Antiqua" w:hAnsi="Book Antiqua"/>
        </w:rPr>
        <w:t>(</w:t>
      </w:r>
      <w:r w:rsidR="00F26395" w:rsidRPr="00F26395">
        <w:rPr>
          <w:rFonts w:ascii="Book Antiqua" w:hAnsi="Book Antiqua"/>
        </w:rPr>
        <w:t>GVHD</w:t>
      </w:r>
      <w:r w:rsidR="004D07E8">
        <w:rPr>
          <w:rFonts w:ascii="Book Antiqua" w:hAnsi="Book Antiqua"/>
        </w:rPr>
        <w:t>)</w:t>
      </w:r>
      <w:r w:rsidR="00F26395" w:rsidRPr="00F26395">
        <w:rPr>
          <w:rFonts w:ascii="Book Antiqua" w:hAnsi="Book Antiqua"/>
        </w:rPr>
        <w:t xml:space="preserve"> also had nausea/vomiting at time of presentation</w:t>
      </w:r>
      <w:r w:rsidR="004D07E8">
        <w:rPr>
          <w:rFonts w:ascii="Book Antiqua" w:hAnsi="Book Antiqua"/>
        </w:rPr>
        <w:t xml:space="preserve">; </w:t>
      </w:r>
      <w:r w:rsidRPr="00E74D83">
        <w:rPr>
          <w:rFonts w:ascii="Book Antiqua" w:hAnsi="Book Antiqua"/>
          <w:vertAlign w:val="superscript"/>
        </w:rPr>
        <w:t>2</w:t>
      </w:r>
      <w:bookmarkStart w:id="88" w:name="OLE_LINK2206"/>
      <w:bookmarkStart w:id="89" w:name="OLE_LINK2207"/>
      <w:r>
        <w:rPr>
          <w:rFonts w:ascii="Book Antiqua" w:hAnsi="Book Antiqua"/>
        </w:rPr>
        <w:t>Seven</w:t>
      </w:r>
      <w:bookmarkEnd w:id="88"/>
      <w:bookmarkEnd w:id="89"/>
      <w:r w:rsidR="00F26395" w:rsidRPr="00F26395">
        <w:rPr>
          <w:rFonts w:ascii="Book Antiqua" w:hAnsi="Book Antiqua"/>
        </w:rPr>
        <w:t xml:space="preserve"> of </w:t>
      </w:r>
      <w:r w:rsidR="004D07E8">
        <w:rPr>
          <w:rFonts w:ascii="Book Antiqua" w:hAnsi="Book Antiqua"/>
        </w:rPr>
        <w:t>seven</w:t>
      </w:r>
      <w:r w:rsidR="00F26395" w:rsidRPr="00F26395">
        <w:rPr>
          <w:rFonts w:ascii="Book Antiqua" w:hAnsi="Book Antiqua"/>
        </w:rPr>
        <w:t xml:space="preserve"> patients who presented with nausea/vomiting and underwent FS with confirmed GVHD also had diarrhea at time of presentation.</w:t>
      </w:r>
      <w:r w:rsidR="004D07E8">
        <w:rPr>
          <w:rFonts w:ascii="Book Antiqua" w:hAnsi="Book Antiqua"/>
        </w:rPr>
        <w:t xml:space="preserve"> EGD: </w:t>
      </w:r>
      <w:r w:rsidR="004D07E8" w:rsidRPr="00F26395">
        <w:rPr>
          <w:rFonts w:ascii="Book Antiqua" w:hAnsi="Book Antiqua"/>
        </w:rPr>
        <w:t>Esophagogastroduodenoscopy</w:t>
      </w:r>
      <w:r w:rsidR="004D07E8">
        <w:rPr>
          <w:rFonts w:ascii="Book Antiqua" w:hAnsi="Book Antiqua"/>
        </w:rPr>
        <w:t xml:space="preserve">; FS: </w:t>
      </w:r>
      <w:r w:rsidR="004D07E8" w:rsidRPr="00F26395">
        <w:rPr>
          <w:rFonts w:ascii="Book Antiqua" w:hAnsi="Book Antiqua"/>
        </w:rPr>
        <w:t>Flexible sigmoidoscopy</w:t>
      </w:r>
      <w:r w:rsidR="004D07E8">
        <w:rPr>
          <w:rFonts w:ascii="Book Antiqua" w:hAnsi="Book Antiqua"/>
        </w:rPr>
        <w:t xml:space="preserve">; </w:t>
      </w:r>
      <w:bookmarkStart w:id="90" w:name="OLE_LINK2220"/>
      <w:bookmarkStart w:id="91" w:name="OLE_LINK2221"/>
      <w:r w:rsidR="004D07E8" w:rsidRPr="00F26395">
        <w:rPr>
          <w:rFonts w:ascii="Book Antiqua" w:hAnsi="Book Antiqua"/>
        </w:rPr>
        <w:t xml:space="preserve">GVHD: </w:t>
      </w:r>
      <w:r w:rsidR="004D07E8" w:rsidRPr="00F26395">
        <w:rPr>
          <w:rFonts w:ascii="Book Antiqua" w:eastAsia="Book Antiqua" w:hAnsi="Book Antiqua" w:cs="Book Antiqua"/>
          <w:color w:val="000000"/>
        </w:rPr>
        <w:t>Graft-</w:t>
      </w:r>
      <w:r w:rsidR="004D07E8" w:rsidRPr="00F26395">
        <w:rPr>
          <w:rFonts w:ascii="Book Antiqua" w:eastAsia="Book Antiqua" w:hAnsi="Book Antiqua" w:cs="Book Antiqua"/>
          <w:i/>
          <w:iCs/>
          <w:color w:val="000000"/>
        </w:rPr>
        <w:t>vs</w:t>
      </w:r>
      <w:r w:rsidR="004D07E8" w:rsidRPr="00F26395">
        <w:rPr>
          <w:rFonts w:ascii="Book Antiqua" w:eastAsia="Book Antiqua" w:hAnsi="Book Antiqua" w:cs="Book Antiqua"/>
          <w:color w:val="000000"/>
        </w:rPr>
        <w:t>-host disease</w:t>
      </w:r>
      <w:r w:rsidR="004D07E8">
        <w:rPr>
          <w:rFonts w:ascii="Book Antiqua" w:eastAsia="Book Antiqua" w:hAnsi="Book Antiqua" w:cs="Book Antiqua"/>
          <w:color w:val="000000"/>
        </w:rPr>
        <w:t>.</w:t>
      </w:r>
    </w:p>
    <w:bookmarkEnd w:id="90"/>
    <w:bookmarkEnd w:id="91"/>
    <w:p w14:paraId="6EB59DE7" w14:textId="77777777" w:rsidR="004D07E8" w:rsidRDefault="004D07E8" w:rsidP="00F26395">
      <w:pPr>
        <w:spacing w:line="360" w:lineRule="auto"/>
        <w:jc w:val="both"/>
        <w:rPr>
          <w:rFonts w:ascii="Book Antiqua" w:hAnsi="Book Antiqua"/>
          <w:b/>
          <w:bCs/>
        </w:rPr>
        <w:sectPr w:rsidR="004D07E8" w:rsidSect="00AE4C98">
          <w:pgSz w:w="12240" w:h="15840"/>
          <w:pgMar w:top="1440" w:right="1440" w:bottom="1440" w:left="1440" w:header="720" w:footer="720" w:gutter="0"/>
          <w:cols w:space="720"/>
          <w:docGrid w:linePitch="360"/>
        </w:sectPr>
      </w:pPr>
    </w:p>
    <w:p w14:paraId="1C96B3C0" w14:textId="37F27155" w:rsidR="00F26395" w:rsidRPr="00F26395" w:rsidRDefault="00F26395" w:rsidP="00F26395">
      <w:pPr>
        <w:spacing w:line="360" w:lineRule="auto"/>
        <w:jc w:val="both"/>
        <w:rPr>
          <w:rFonts w:ascii="Book Antiqua" w:hAnsi="Book Antiqua"/>
          <w:b/>
          <w:bCs/>
        </w:rPr>
      </w:pPr>
      <w:r w:rsidRPr="00F26395">
        <w:rPr>
          <w:rFonts w:ascii="Book Antiqua" w:hAnsi="Book Antiqua"/>
          <w:b/>
          <w:bCs/>
        </w:rPr>
        <w:lastRenderedPageBreak/>
        <w:t xml:space="preserve">Table 3 Gross endoscopic findings and concurrent presence of mild, moderate, and severe </w:t>
      </w:r>
      <w:r w:rsidR="004D07E8" w:rsidRPr="00E74D83">
        <w:rPr>
          <w:rFonts w:ascii="Book Antiqua" w:eastAsia="Book Antiqua" w:hAnsi="Book Antiqua" w:cs="Book Antiqua" w:hint="eastAsia"/>
          <w:b/>
          <w:bCs/>
          <w:color w:val="000000"/>
          <w:lang w:eastAsia="zh-CN"/>
        </w:rPr>
        <w:t>g</w:t>
      </w:r>
      <w:r w:rsidR="004D07E8" w:rsidRPr="00E74D83">
        <w:rPr>
          <w:rFonts w:ascii="Book Antiqua" w:eastAsia="Book Antiqua" w:hAnsi="Book Antiqua" w:cs="Book Antiqua"/>
          <w:b/>
          <w:bCs/>
          <w:color w:val="000000"/>
        </w:rPr>
        <w:t>raft-</w:t>
      </w:r>
      <w:r w:rsidR="004D07E8" w:rsidRPr="00E74D83">
        <w:rPr>
          <w:rFonts w:ascii="Book Antiqua" w:eastAsia="Book Antiqua" w:hAnsi="Book Antiqua" w:cs="Book Antiqua"/>
          <w:b/>
          <w:bCs/>
          <w:i/>
          <w:iCs/>
          <w:color w:val="000000"/>
        </w:rPr>
        <w:t>vs</w:t>
      </w:r>
      <w:r w:rsidR="004D07E8" w:rsidRPr="00E74D83">
        <w:rPr>
          <w:rFonts w:ascii="Book Antiqua" w:eastAsia="Book Antiqua" w:hAnsi="Book Antiqua" w:cs="Book Antiqua"/>
          <w:b/>
          <w:bCs/>
          <w:color w:val="000000"/>
        </w:rPr>
        <w:t>-host disease</w:t>
      </w:r>
    </w:p>
    <w:tbl>
      <w:tblPr>
        <w:tblStyle w:val="TableGrid"/>
        <w:tblW w:w="10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5"/>
        <w:gridCol w:w="1608"/>
        <w:gridCol w:w="1403"/>
        <w:gridCol w:w="1389"/>
        <w:gridCol w:w="1218"/>
        <w:gridCol w:w="1290"/>
        <w:gridCol w:w="1218"/>
      </w:tblGrid>
      <w:tr w:rsidR="00F26395" w:rsidRPr="00F26395" w14:paraId="3299C47B" w14:textId="77777777" w:rsidTr="004D07E8">
        <w:trPr>
          <w:trHeight w:val="2135"/>
        </w:trPr>
        <w:tc>
          <w:tcPr>
            <w:tcW w:w="1838" w:type="dxa"/>
            <w:tcBorders>
              <w:top w:val="single" w:sz="4" w:space="0" w:color="auto"/>
              <w:bottom w:val="single" w:sz="4" w:space="0" w:color="auto"/>
            </w:tcBorders>
          </w:tcPr>
          <w:p w14:paraId="5C7A9B33"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Endoscopic Finding</w:t>
            </w:r>
          </w:p>
        </w:tc>
        <w:tc>
          <w:tcPr>
            <w:tcW w:w="2083" w:type="dxa"/>
            <w:tcBorders>
              <w:top w:val="single" w:sz="4" w:space="0" w:color="auto"/>
              <w:bottom w:val="single" w:sz="4" w:space="0" w:color="auto"/>
            </w:tcBorders>
          </w:tcPr>
          <w:p w14:paraId="66A0D42F"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Patients with GVHD, % (</w:t>
            </w:r>
            <w:r w:rsidRPr="004D07E8">
              <w:rPr>
                <w:rFonts w:ascii="Book Antiqua" w:hAnsi="Book Antiqua"/>
                <w:b/>
                <w:bCs/>
                <w:i/>
                <w:iCs/>
              </w:rPr>
              <w:t>n</w:t>
            </w:r>
            <w:r w:rsidRPr="00F26395">
              <w:rPr>
                <w:rFonts w:ascii="Book Antiqua" w:hAnsi="Book Antiqua"/>
                <w:b/>
                <w:bCs/>
              </w:rPr>
              <w:t>)</w:t>
            </w:r>
          </w:p>
        </w:tc>
        <w:tc>
          <w:tcPr>
            <w:tcW w:w="1403" w:type="dxa"/>
            <w:tcBorders>
              <w:top w:val="single" w:sz="4" w:space="0" w:color="auto"/>
              <w:bottom w:val="single" w:sz="4" w:space="0" w:color="auto"/>
            </w:tcBorders>
          </w:tcPr>
          <w:p w14:paraId="42F8F50D"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Sensitivity (%)</w:t>
            </w:r>
          </w:p>
        </w:tc>
        <w:tc>
          <w:tcPr>
            <w:tcW w:w="1389" w:type="dxa"/>
            <w:tcBorders>
              <w:top w:val="single" w:sz="4" w:space="0" w:color="auto"/>
              <w:bottom w:val="single" w:sz="4" w:space="0" w:color="auto"/>
            </w:tcBorders>
          </w:tcPr>
          <w:p w14:paraId="63DDD5BA"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Specificity (%)</w:t>
            </w:r>
          </w:p>
        </w:tc>
        <w:tc>
          <w:tcPr>
            <w:tcW w:w="1336" w:type="dxa"/>
            <w:tcBorders>
              <w:top w:val="single" w:sz="4" w:space="0" w:color="auto"/>
              <w:bottom w:val="single" w:sz="4" w:space="0" w:color="auto"/>
            </w:tcBorders>
          </w:tcPr>
          <w:p w14:paraId="505D30E3"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Patients with mild GVHD, % (</w:t>
            </w:r>
            <w:r w:rsidRPr="004D07E8">
              <w:rPr>
                <w:rFonts w:ascii="Book Antiqua" w:hAnsi="Book Antiqua"/>
                <w:b/>
                <w:bCs/>
                <w:i/>
                <w:iCs/>
              </w:rPr>
              <w:t>n</w:t>
            </w:r>
            <w:r w:rsidRPr="00F26395">
              <w:rPr>
                <w:rFonts w:ascii="Book Antiqua" w:hAnsi="Book Antiqua"/>
                <w:b/>
                <w:bCs/>
              </w:rPr>
              <w:t>)</w:t>
            </w:r>
          </w:p>
        </w:tc>
        <w:tc>
          <w:tcPr>
            <w:tcW w:w="1336" w:type="dxa"/>
            <w:tcBorders>
              <w:top w:val="single" w:sz="4" w:space="0" w:color="auto"/>
              <w:bottom w:val="single" w:sz="4" w:space="0" w:color="auto"/>
            </w:tcBorders>
          </w:tcPr>
          <w:p w14:paraId="22295905"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Patients with moderate GVHD, % (</w:t>
            </w:r>
            <w:r w:rsidRPr="004D07E8">
              <w:rPr>
                <w:rFonts w:ascii="Book Antiqua" w:hAnsi="Book Antiqua"/>
                <w:b/>
                <w:bCs/>
                <w:i/>
                <w:iCs/>
              </w:rPr>
              <w:t>n</w:t>
            </w:r>
            <w:r w:rsidRPr="00F26395">
              <w:rPr>
                <w:rFonts w:ascii="Book Antiqua" w:hAnsi="Book Antiqua"/>
                <w:b/>
                <w:bCs/>
              </w:rPr>
              <w:t>)</w:t>
            </w:r>
          </w:p>
        </w:tc>
        <w:tc>
          <w:tcPr>
            <w:tcW w:w="1336" w:type="dxa"/>
            <w:tcBorders>
              <w:top w:val="single" w:sz="4" w:space="0" w:color="auto"/>
              <w:bottom w:val="single" w:sz="4" w:space="0" w:color="auto"/>
            </w:tcBorders>
          </w:tcPr>
          <w:p w14:paraId="2748E584"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Patients with severe GVHD, % (</w:t>
            </w:r>
            <w:r w:rsidRPr="004D07E8">
              <w:rPr>
                <w:rFonts w:ascii="Book Antiqua" w:hAnsi="Book Antiqua"/>
                <w:b/>
                <w:bCs/>
                <w:i/>
                <w:iCs/>
              </w:rPr>
              <w:t>n</w:t>
            </w:r>
            <w:r w:rsidRPr="00F26395">
              <w:rPr>
                <w:rFonts w:ascii="Book Antiqua" w:hAnsi="Book Antiqua"/>
                <w:b/>
                <w:bCs/>
              </w:rPr>
              <w:t>)</w:t>
            </w:r>
          </w:p>
        </w:tc>
      </w:tr>
      <w:tr w:rsidR="00F26395" w:rsidRPr="00F26395" w14:paraId="3AECEA73" w14:textId="77777777" w:rsidTr="004D07E8">
        <w:trPr>
          <w:trHeight w:val="854"/>
        </w:trPr>
        <w:tc>
          <w:tcPr>
            <w:tcW w:w="1838" w:type="dxa"/>
            <w:tcBorders>
              <w:top w:val="single" w:sz="4" w:space="0" w:color="auto"/>
            </w:tcBorders>
          </w:tcPr>
          <w:p w14:paraId="5013801E" w14:textId="090453FD" w:rsidR="00F26395" w:rsidRPr="00F26395" w:rsidRDefault="00F26395" w:rsidP="00F26395">
            <w:pPr>
              <w:spacing w:line="360" w:lineRule="auto"/>
              <w:jc w:val="both"/>
              <w:rPr>
                <w:rFonts w:ascii="Book Antiqua" w:hAnsi="Book Antiqua"/>
                <w:b/>
                <w:bCs/>
              </w:rPr>
            </w:pPr>
            <w:r w:rsidRPr="00F26395">
              <w:rPr>
                <w:rFonts w:ascii="Book Antiqua" w:hAnsi="Book Antiqua"/>
                <w:b/>
                <w:bCs/>
              </w:rPr>
              <w:t>Normal</w:t>
            </w:r>
            <w:r w:rsidR="004D07E8" w:rsidRPr="004D07E8">
              <w:rPr>
                <w:rFonts w:ascii="Book Antiqua" w:hAnsi="Book Antiqua"/>
                <w:b/>
                <w:bCs/>
                <w:vertAlign w:val="superscript"/>
              </w:rPr>
              <w:t>1</w:t>
            </w:r>
          </w:p>
        </w:tc>
        <w:tc>
          <w:tcPr>
            <w:tcW w:w="2083" w:type="dxa"/>
            <w:tcBorders>
              <w:top w:val="single" w:sz="4" w:space="0" w:color="auto"/>
            </w:tcBorders>
          </w:tcPr>
          <w:p w14:paraId="1726EC26" w14:textId="77777777" w:rsidR="00F26395" w:rsidRPr="00F26395" w:rsidRDefault="00F26395" w:rsidP="00F26395">
            <w:pPr>
              <w:spacing w:line="360" w:lineRule="auto"/>
              <w:jc w:val="both"/>
              <w:rPr>
                <w:rFonts w:ascii="Book Antiqua" w:hAnsi="Book Antiqua"/>
              </w:rPr>
            </w:pPr>
            <w:r w:rsidRPr="00F26395">
              <w:rPr>
                <w:rFonts w:ascii="Book Antiqua" w:hAnsi="Book Antiqua"/>
              </w:rPr>
              <w:t>84.0 (21/25)</w:t>
            </w:r>
          </w:p>
        </w:tc>
        <w:tc>
          <w:tcPr>
            <w:tcW w:w="1403" w:type="dxa"/>
            <w:tcBorders>
              <w:top w:val="single" w:sz="4" w:space="0" w:color="auto"/>
            </w:tcBorders>
            <w:vAlign w:val="bottom"/>
          </w:tcPr>
          <w:p w14:paraId="4B3E1AD6" w14:textId="6D0B10C5" w:rsidR="00F26395" w:rsidRPr="00F26395" w:rsidRDefault="00F26395" w:rsidP="00F26395">
            <w:pPr>
              <w:spacing w:line="360" w:lineRule="auto"/>
              <w:jc w:val="both"/>
              <w:rPr>
                <w:rFonts w:ascii="Book Antiqua" w:hAnsi="Book Antiqua"/>
              </w:rPr>
            </w:pPr>
            <w:r w:rsidRPr="00F26395">
              <w:rPr>
                <w:rFonts w:ascii="Book Antiqua" w:hAnsi="Book Antiqua"/>
                <w:color w:val="000000"/>
              </w:rPr>
              <w:t>14.1</w:t>
            </w:r>
          </w:p>
        </w:tc>
        <w:tc>
          <w:tcPr>
            <w:tcW w:w="1389" w:type="dxa"/>
            <w:tcBorders>
              <w:top w:val="single" w:sz="4" w:space="0" w:color="auto"/>
            </w:tcBorders>
            <w:vAlign w:val="bottom"/>
          </w:tcPr>
          <w:p w14:paraId="289863F4" w14:textId="4EB31778" w:rsidR="00F26395" w:rsidRPr="00F26395" w:rsidRDefault="00F26395" w:rsidP="00F26395">
            <w:pPr>
              <w:spacing w:line="360" w:lineRule="auto"/>
              <w:jc w:val="both"/>
              <w:rPr>
                <w:rFonts w:ascii="Book Antiqua" w:hAnsi="Book Antiqua"/>
              </w:rPr>
            </w:pPr>
            <w:r w:rsidRPr="00F26395">
              <w:rPr>
                <w:rFonts w:ascii="Book Antiqua" w:hAnsi="Book Antiqua"/>
                <w:color w:val="000000"/>
              </w:rPr>
              <w:t>91.3</w:t>
            </w:r>
          </w:p>
        </w:tc>
        <w:tc>
          <w:tcPr>
            <w:tcW w:w="1336" w:type="dxa"/>
            <w:tcBorders>
              <w:top w:val="single" w:sz="4" w:space="0" w:color="auto"/>
            </w:tcBorders>
          </w:tcPr>
          <w:p w14:paraId="793F43CE" w14:textId="77777777" w:rsidR="00F26395" w:rsidRPr="00F26395" w:rsidRDefault="00F26395" w:rsidP="00F26395">
            <w:pPr>
              <w:spacing w:line="360" w:lineRule="auto"/>
              <w:jc w:val="both"/>
              <w:rPr>
                <w:rFonts w:ascii="Book Antiqua" w:hAnsi="Book Antiqua"/>
              </w:rPr>
            </w:pPr>
            <w:r w:rsidRPr="00F26395">
              <w:rPr>
                <w:rFonts w:ascii="Book Antiqua" w:hAnsi="Book Antiqua"/>
              </w:rPr>
              <w:t>100.0 (21/21)</w:t>
            </w:r>
          </w:p>
        </w:tc>
        <w:tc>
          <w:tcPr>
            <w:tcW w:w="1336" w:type="dxa"/>
            <w:tcBorders>
              <w:top w:val="single" w:sz="4" w:space="0" w:color="auto"/>
            </w:tcBorders>
          </w:tcPr>
          <w:p w14:paraId="0B193092" w14:textId="77777777" w:rsidR="00F26395" w:rsidRPr="00F26395" w:rsidRDefault="00F26395" w:rsidP="00F26395">
            <w:pPr>
              <w:spacing w:line="360" w:lineRule="auto"/>
              <w:jc w:val="both"/>
              <w:rPr>
                <w:rFonts w:ascii="Book Antiqua" w:hAnsi="Book Antiqua"/>
                <w:color w:val="000000"/>
              </w:rPr>
            </w:pPr>
            <w:r w:rsidRPr="00F26395">
              <w:rPr>
                <w:rFonts w:ascii="Book Antiqua" w:hAnsi="Book Antiqua"/>
                <w:color w:val="000000"/>
              </w:rPr>
              <w:t>4.8 (1/21)</w:t>
            </w:r>
          </w:p>
        </w:tc>
        <w:tc>
          <w:tcPr>
            <w:tcW w:w="1336" w:type="dxa"/>
            <w:tcBorders>
              <w:top w:val="single" w:sz="4" w:space="0" w:color="auto"/>
            </w:tcBorders>
          </w:tcPr>
          <w:p w14:paraId="606918E5" w14:textId="77777777" w:rsidR="00F26395" w:rsidRPr="00F26395" w:rsidRDefault="00F26395" w:rsidP="00F26395">
            <w:pPr>
              <w:spacing w:line="360" w:lineRule="auto"/>
              <w:jc w:val="both"/>
              <w:rPr>
                <w:rFonts w:ascii="Book Antiqua" w:hAnsi="Book Antiqua"/>
                <w:color w:val="000000"/>
              </w:rPr>
            </w:pPr>
            <w:r w:rsidRPr="00F26395">
              <w:rPr>
                <w:rFonts w:ascii="Book Antiqua" w:hAnsi="Book Antiqua"/>
                <w:color w:val="000000"/>
              </w:rPr>
              <w:t>0 (0/21)</w:t>
            </w:r>
          </w:p>
        </w:tc>
      </w:tr>
      <w:tr w:rsidR="00F26395" w:rsidRPr="00F26395" w14:paraId="2E492A71" w14:textId="77777777" w:rsidTr="004D07E8">
        <w:trPr>
          <w:trHeight w:val="426"/>
        </w:trPr>
        <w:tc>
          <w:tcPr>
            <w:tcW w:w="1838" w:type="dxa"/>
          </w:tcPr>
          <w:p w14:paraId="2DEB0EC7" w14:textId="3CA4976B" w:rsidR="00F26395" w:rsidRPr="00F26395" w:rsidRDefault="00F26395" w:rsidP="00F26395">
            <w:pPr>
              <w:spacing w:line="360" w:lineRule="auto"/>
              <w:jc w:val="both"/>
              <w:rPr>
                <w:rFonts w:ascii="Book Antiqua" w:hAnsi="Book Antiqua"/>
                <w:b/>
                <w:bCs/>
              </w:rPr>
            </w:pPr>
            <w:r w:rsidRPr="00F26395">
              <w:rPr>
                <w:rFonts w:ascii="Book Antiqua" w:hAnsi="Book Antiqua"/>
                <w:b/>
                <w:bCs/>
              </w:rPr>
              <w:t xml:space="preserve">General </w:t>
            </w:r>
            <w:r w:rsidR="004D07E8">
              <w:rPr>
                <w:rFonts w:ascii="Book Antiqua" w:hAnsi="Book Antiqua" w:hint="eastAsia"/>
                <w:b/>
                <w:bCs/>
                <w:lang w:eastAsia="zh-CN"/>
              </w:rPr>
              <w:t>f</w:t>
            </w:r>
            <w:r w:rsidRPr="00F26395">
              <w:rPr>
                <w:rFonts w:ascii="Book Antiqua" w:hAnsi="Book Antiqua"/>
                <w:b/>
                <w:bCs/>
              </w:rPr>
              <w:t>indings</w:t>
            </w:r>
            <w:r w:rsidR="004D07E8" w:rsidRPr="004D07E8">
              <w:rPr>
                <w:rFonts w:ascii="Book Antiqua" w:hAnsi="Book Antiqua"/>
                <w:b/>
                <w:bCs/>
                <w:vertAlign w:val="superscript"/>
              </w:rPr>
              <w:t>1</w:t>
            </w:r>
          </w:p>
        </w:tc>
        <w:tc>
          <w:tcPr>
            <w:tcW w:w="2083" w:type="dxa"/>
          </w:tcPr>
          <w:p w14:paraId="2DA2A955" w14:textId="77777777" w:rsidR="00F26395" w:rsidRPr="00F26395" w:rsidRDefault="00F26395" w:rsidP="00F26395">
            <w:pPr>
              <w:spacing w:line="360" w:lineRule="auto"/>
              <w:jc w:val="both"/>
              <w:rPr>
                <w:rFonts w:ascii="Book Antiqua" w:hAnsi="Book Antiqua"/>
              </w:rPr>
            </w:pPr>
          </w:p>
        </w:tc>
        <w:tc>
          <w:tcPr>
            <w:tcW w:w="1403" w:type="dxa"/>
          </w:tcPr>
          <w:p w14:paraId="5446EED4" w14:textId="77777777" w:rsidR="00F26395" w:rsidRPr="00F26395" w:rsidRDefault="00F26395" w:rsidP="00F26395">
            <w:pPr>
              <w:spacing w:line="360" w:lineRule="auto"/>
              <w:jc w:val="both"/>
              <w:rPr>
                <w:rFonts w:ascii="Book Antiqua" w:hAnsi="Book Antiqua"/>
              </w:rPr>
            </w:pPr>
          </w:p>
        </w:tc>
        <w:tc>
          <w:tcPr>
            <w:tcW w:w="1389" w:type="dxa"/>
          </w:tcPr>
          <w:p w14:paraId="404529C3" w14:textId="77777777" w:rsidR="00F26395" w:rsidRPr="00F26395" w:rsidRDefault="00F26395" w:rsidP="00F26395">
            <w:pPr>
              <w:spacing w:line="360" w:lineRule="auto"/>
              <w:jc w:val="both"/>
              <w:rPr>
                <w:rFonts w:ascii="Book Antiqua" w:hAnsi="Book Antiqua"/>
              </w:rPr>
            </w:pPr>
          </w:p>
        </w:tc>
        <w:tc>
          <w:tcPr>
            <w:tcW w:w="1336" w:type="dxa"/>
          </w:tcPr>
          <w:p w14:paraId="385FE326" w14:textId="77777777" w:rsidR="00F26395" w:rsidRPr="00F26395" w:rsidRDefault="00F26395" w:rsidP="00F26395">
            <w:pPr>
              <w:spacing w:line="360" w:lineRule="auto"/>
              <w:jc w:val="both"/>
              <w:rPr>
                <w:rFonts w:ascii="Book Antiqua" w:hAnsi="Book Antiqua"/>
              </w:rPr>
            </w:pPr>
          </w:p>
        </w:tc>
        <w:tc>
          <w:tcPr>
            <w:tcW w:w="1336" w:type="dxa"/>
          </w:tcPr>
          <w:p w14:paraId="519A0351" w14:textId="77777777" w:rsidR="00F26395" w:rsidRPr="00F26395" w:rsidRDefault="00F26395" w:rsidP="00F26395">
            <w:pPr>
              <w:spacing w:line="360" w:lineRule="auto"/>
              <w:jc w:val="both"/>
              <w:rPr>
                <w:rFonts w:ascii="Book Antiqua" w:hAnsi="Book Antiqua"/>
              </w:rPr>
            </w:pPr>
          </w:p>
        </w:tc>
        <w:tc>
          <w:tcPr>
            <w:tcW w:w="1336" w:type="dxa"/>
          </w:tcPr>
          <w:p w14:paraId="1C7E2474" w14:textId="77777777" w:rsidR="00F26395" w:rsidRPr="00F26395" w:rsidRDefault="00F26395" w:rsidP="00F26395">
            <w:pPr>
              <w:spacing w:line="360" w:lineRule="auto"/>
              <w:jc w:val="both"/>
              <w:rPr>
                <w:rFonts w:ascii="Book Antiqua" w:hAnsi="Book Antiqua"/>
              </w:rPr>
            </w:pPr>
          </w:p>
        </w:tc>
      </w:tr>
      <w:tr w:rsidR="00F26395" w:rsidRPr="00F26395" w14:paraId="59606A67" w14:textId="77777777" w:rsidTr="004D07E8">
        <w:trPr>
          <w:trHeight w:val="854"/>
        </w:trPr>
        <w:tc>
          <w:tcPr>
            <w:tcW w:w="1838" w:type="dxa"/>
          </w:tcPr>
          <w:p w14:paraId="47EE02A6" w14:textId="77777777" w:rsidR="00F26395" w:rsidRPr="004D07E8" w:rsidRDefault="00F26395" w:rsidP="00F26395">
            <w:pPr>
              <w:spacing w:line="360" w:lineRule="auto"/>
              <w:ind w:left="338"/>
              <w:jc w:val="both"/>
              <w:rPr>
                <w:rFonts w:ascii="Book Antiqua" w:hAnsi="Book Antiqua"/>
              </w:rPr>
            </w:pPr>
            <w:r w:rsidRPr="004D07E8">
              <w:rPr>
                <w:rFonts w:ascii="Book Antiqua" w:hAnsi="Book Antiqua"/>
              </w:rPr>
              <w:t>Edema/erythema</w:t>
            </w:r>
          </w:p>
        </w:tc>
        <w:tc>
          <w:tcPr>
            <w:tcW w:w="2083" w:type="dxa"/>
          </w:tcPr>
          <w:p w14:paraId="10E86CBB" w14:textId="77777777" w:rsidR="00F26395" w:rsidRPr="00F26395" w:rsidRDefault="00F26395" w:rsidP="00F26395">
            <w:pPr>
              <w:spacing w:line="360" w:lineRule="auto"/>
              <w:jc w:val="both"/>
              <w:rPr>
                <w:rFonts w:ascii="Book Antiqua" w:hAnsi="Book Antiqua"/>
              </w:rPr>
            </w:pPr>
            <w:r w:rsidRPr="00F26395">
              <w:rPr>
                <w:rFonts w:ascii="Book Antiqua" w:hAnsi="Book Antiqua"/>
              </w:rPr>
              <w:t>82.4 (89/108)</w:t>
            </w:r>
          </w:p>
        </w:tc>
        <w:tc>
          <w:tcPr>
            <w:tcW w:w="1403" w:type="dxa"/>
            <w:vAlign w:val="bottom"/>
          </w:tcPr>
          <w:p w14:paraId="3F9FEDEB" w14:textId="5C8F5086" w:rsidR="00F26395" w:rsidRPr="00F26395" w:rsidRDefault="00F26395" w:rsidP="00F26395">
            <w:pPr>
              <w:spacing w:line="360" w:lineRule="auto"/>
              <w:jc w:val="both"/>
              <w:rPr>
                <w:rFonts w:ascii="Book Antiqua" w:hAnsi="Book Antiqua"/>
              </w:rPr>
            </w:pPr>
            <w:r w:rsidRPr="00F26395">
              <w:rPr>
                <w:rFonts w:ascii="Book Antiqua" w:hAnsi="Book Antiqua"/>
                <w:color w:val="000000"/>
              </w:rPr>
              <w:t>59.7</w:t>
            </w:r>
          </w:p>
        </w:tc>
        <w:tc>
          <w:tcPr>
            <w:tcW w:w="1389" w:type="dxa"/>
            <w:vAlign w:val="bottom"/>
          </w:tcPr>
          <w:p w14:paraId="75771BBF" w14:textId="67D76E65" w:rsidR="00F26395" w:rsidRPr="00F26395" w:rsidRDefault="00F26395" w:rsidP="00F26395">
            <w:pPr>
              <w:spacing w:line="360" w:lineRule="auto"/>
              <w:jc w:val="both"/>
              <w:rPr>
                <w:rFonts w:ascii="Book Antiqua" w:hAnsi="Book Antiqua"/>
              </w:rPr>
            </w:pPr>
            <w:r w:rsidRPr="00F26395">
              <w:rPr>
                <w:rFonts w:ascii="Book Antiqua" w:hAnsi="Book Antiqua"/>
                <w:color w:val="000000"/>
              </w:rPr>
              <w:t>58.7</w:t>
            </w:r>
          </w:p>
        </w:tc>
        <w:tc>
          <w:tcPr>
            <w:tcW w:w="1336" w:type="dxa"/>
          </w:tcPr>
          <w:p w14:paraId="7570643F" w14:textId="77777777" w:rsidR="00F26395" w:rsidRPr="00F26395" w:rsidRDefault="00F26395" w:rsidP="00F26395">
            <w:pPr>
              <w:spacing w:line="360" w:lineRule="auto"/>
              <w:jc w:val="both"/>
              <w:rPr>
                <w:rFonts w:ascii="Book Antiqua" w:hAnsi="Book Antiqua"/>
              </w:rPr>
            </w:pPr>
            <w:r w:rsidRPr="00F26395">
              <w:rPr>
                <w:rFonts w:ascii="Book Antiqua" w:hAnsi="Book Antiqua"/>
              </w:rPr>
              <w:t>88.8 (79/89)</w:t>
            </w:r>
          </w:p>
        </w:tc>
        <w:tc>
          <w:tcPr>
            <w:tcW w:w="1336" w:type="dxa"/>
          </w:tcPr>
          <w:p w14:paraId="73C2BA72" w14:textId="77777777" w:rsidR="00F26395" w:rsidRPr="00F26395" w:rsidRDefault="00F26395" w:rsidP="00F26395">
            <w:pPr>
              <w:spacing w:line="360" w:lineRule="auto"/>
              <w:jc w:val="both"/>
              <w:rPr>
                <w:rFonts w:ascii="Book Antiqua" w:hAnsi="Book Antiqua"/>
              </w:rPr>
            </w:pPr>
            <w:r w:rsidRPr="00F26395">
              <w:rPr>
                <w:rFonts w:ascii="Book Antiqua" w:hAnsi="Book Antiqua"/>
              </w:rPr>
              <w:t>30.3 (27/89)</w:t>
            </w:r>
          </w:p>
        </w:tc>
        <w:tc>
          <w:tcPr>
            <w:tcW w:w="1336" w:type="dxa"/>
          </w:tcPr>
          <w:p w14:paraId="1077A778" w14:textId="77777777" w:rsidR="00F26395" w:rsidRPr="00F26395" w:rsidRDefault="00F26395" w:rsidP="00F26395">
            <w:pPr>
              <w:spacing w:line="360" w:lineRule="auto"/>
              <w:jc w:val="both"/>
              <w:rPr>
                <w:rFonts w:ascii="Book Antiqua" w:hAnsi="Book Antiqua"/>
              </w:rPr>
            </w:pPr>
            <w:r w:rsidRPr="00F26395">
              <w:rPr>
                <w:rFonts w:ascii="Book Antiqua" w:hAnsi="Book Antiqua"/>
              </w:rPr>
              <w:t>12.4 (11/89)</w:t>
            </w:r>
          </w:p>
        </w:tc>
      </w:tr>
      <w:tr w:rsidR="00F26395" w:rsidRPr="00F26395" w14:paraId="2D0049AC" w14:textId="77777777" w:rsidTr="004D07E8">
        <w:trPr>
          <w:trHeight w:val="854"/>
        </w:trPr>
        <w:tc>
          <w:tcPr>
            <w:tcW w:w="1838" w:type="dxa"/>
          </w:tcPr>
          <w:p w14:paraId="62DEDA04" w14:textId="77777777" w:rsidR="00F26395" w:rsidRPr="004D07E8" w:rsidRDefault="00F26395" w:rsidP="00F26395">
            <w:pPr>
              <w:spacing w:line="360" w:lineRule="auto"/>
              <w:ind w:left="338"/>
              <w:jc w:val="both"/>
              <w:rPr>
                <w:rFonts w:ascii="Book Antiqua" w:hAnsi="Book Antiqua"/>
              </w:rPr>
            </w:pPr>
            <w:r w:rsidRPr="004D07E8">
              <w:rPr>
                <w:rFonts w:ascii="Book Antiqua" w:hAnsi="Book Antiqua"/>
              </w:rPr>
              <w:t>Ulceration/erosion</w:t>
            </w:r>
          </w:p>
        </w:tc>
        <w:tc>
          <w:tcPr>
            <w:tcW w:w="2083" w:type="dxa"/>
          </w:tcPr>
          <w:p w14:paraId="1A5EBB2D" w14:textId="77777777" w:rsidR="00F26395" w:rsidRPr="00F26395" w:rsidRDefault="00F26395" w:rsidP="00F26395">
            <w:pPr>
              <w:spacing w:line="360" w:lineRule="auto"/>
              <w:jc w:val="both"/>
              <w:rPr>
                <w:rFonts w:ascii="Book Antiqua" w:hAnsi="Book Antiqua"/>
              </w:rPr>
            </w:pPr>
            <w:r w:rsidRPr="00F26395">
              <w:rPr>
                <w:rFonts w:ascii="Book Antiqua" w:hAnsi="Book Antiqua"/>
              </w:rPr>
              <w:t>80.4 (45/56)</w:t>
            </w:r>
          </w:p>
        </w:tc>
        <w:tc>
          <w:tcPr>
            <w:tcW w:w="1403" w:type="dxa"/>
            <w:vAlign w:val="bottom"/>
          </w:tcPr>
          <w:p w14:paraId="3F3F5A28" w14:textId="0111015F" w:rsidR="00F26395" w:rsidRPr="00F26395" w:rsidRDefault="00F26395" w:rsidP="00F26395">
            <w:pPr>
              <w:spacing w:line="360" w:lineRule="auto"/>
              <w:jc w:val="both"/>
              <w:rPr>
                <w:rFonts w:ascii="Book Antiqua" w:hAnsi="Book Antiqua"/>
              </w:rPr>
            </w:pPr>
            <w:r w:rsidRPr="00F26395">
              <w:rPr>
                <w:rFonts w:ascii="Book Antiqua" w:hAnsi="Book Antiqua"/>
                <w:color w:val="000000"/>
              </w:rPr>
              <w:t>30.2</w:t>
            </w:r>
          </w:p>
        </w:tc>
        <w:tc>
          <w:tcPr>
            <w:tcW w:w="1389" w:type="dxa"/>
            <w:vAlign w:val="bottom"/>
          </w:tcPr>
          <w:p w14:paraId="7C727BD5" w14:textId="2B8D53DF" w:rsidR="00F26395" w:rsidRPr="00F26395" w:rsidRDefault="00F26395" w:rsidP="00F26395">
            <w:pPr>
              <w:spacing w:line="360" w:lineRule="auto"/>
              <w:jc w:val="both"/>
              <w:rPr>
                <w:rFonts w:ascii="Book Antiqua" w:hAnsi="Book Antiqua"/>
              </w:rPr>
            </w:pPr>
            <w:r w:rsidRPr="00F26395">
              <w:rPr>
                <w:rFonts w:ascii="Book Antiqua" w:hAnsi="Book Antiqua"/>
                <w:color w:val="000000"/>
              </w:rPr>
              <w:t>76.1</w:t>
            </w:r>
          </w:p>
        </w:tc>
        <w:tc>
          <w:tcPr>
            <w:tcW w:w="1336" w:type="dxa"/>
          </w:tcPr>
          <w:p w14:paraId="4F058946" w14:textId="77777777" w:rsidR="00F26395" w:rsidRPr="00F26395" w:rsidRDefault="00F26395" w:rsidP="00F26395">
            <w:pPr>
              <w:spacing w:line="360" w:lineRule="auto"/>
              <w:jc w:val="both"/>
              <w:rPr>
                <w:rFonts w:ascii="Book Antiqua" w:hAnsi="Book Antiqua"/>
              </w:rPr>
            </w:pPr>
            <w:r w:rsidRPr="00F26395">
              <w:rPr>
                <w:rFonts w:ascii="Book Antiqua" w:hAnsi="Book Antiqua"/>
              </w:rPr>
              <w:t>77.8 (35/45)</w:t>
            </w:r>
          </w:p>
        </w:tc>
        <w:tc>
          <w:tcPr>
            <w:tcW w:w="1336" w:type="dxa"/>
          </w:tcPr>
          <w:p w14:paraId="227015AD" w14:textId="77777777" w:rsidR="00F26395" w:rsidRPr="00F26395" w:rsidRDefault="00F26395" w:rsidP="00F26395">
            <w:pPr>
              <w:spacing w:line="360" w:lineRule="auto"/>
              <w:jc w:val="both"/>
              <w:rPr>
                <w:rFonts w:ascii="Book Antiqua" w:hAnsi="Book Antiqua"/>
              </w:rPr>
            </w:pPr>
            <w:r w:rsidRPr="00F26395">
              <w:rPr>
                <w:rFonts w:ascii="Book Antiqua" w:hAnsi="Book Antiqua"/>
              </w:rPr>
              <w:t>40.0 (18/45)</w:t>
            </w:r>
          </w:p>
        </w:tc>
        <w:tc>
          <w:tcPr>
            <w:tcW w:w="1336" w:type="dxa"/>
          </w:tcPr>
          <w:p w14:paraId="40FC601F" w14:textId="77777777" w:rsidR="00F26395" w:rsidRPr="00F26395" w:rsidRDefault="00F26395" w:rsidP="00F26395">
            <w:pPr>
              <w:spacing w:line="360" w:lineRule="auto"/>
              <w:jc w:val="both"/>
              <w:rPr>
                <w:rFonts w:ascii="Book Antiqua" w:hAnsi="Book Antiqua"/>
              </w:rPr>
            </w:pPr>
            <w:r w:rsidRPr="00F26395">
              <w:rPr>
                <w:rFonts w:ascii="Book Antiqua" w:hAnsi="Book Antiqua"/>
              </w:rPr>
              <w:t>26.7 (12/45)</w:t>
            </w:r>
          </w:p>
        </w:tc>
      </w:tr>
      <w:tr w:rsidR="00F26395" w:rsidRPr="00F26395" w14:paraId="470B16CD" w14:textId="77777777" w:rsidTr="004D07E8">
        <w:trPr>
          <w:trHeight w:val="854"/>
        </w:trPr>
        <w:tc>
          <w:tcPr>
            <w:tcW w:w="1838" w:type="dxa"/>
          </w:tcPr>
          <w:p w14:paraId="7F171F1A" w14:textId="77777777" w:rsidR="00F26395" w:rsidRPr="004D07E8" w:rsidRDefault="00F26395" w:rsidP="00F26395">
            <w:pPr>
              <w:spacing w:line="360" w:lineRule="auto"/>
              <w:ind w:left="338"/>
              <w:jc w:val="both"/>
              <w:rPr>
                <w:rFonts w:ascii="Book Antiqua" w:hAnsi="Book Antiqua"/>
              </w:rPr>
            </w:pPr>
            <w:r w:rsidRPr="004D07E8">
              <w:rPr>
                <w:rFonts w:ascii="Book Antiqua" w:hAnsi="Book Antiqua"/>
              </w:rPr>
              <w:t>Friability</w:t>
            </w:r>
          </w:p>
        </w:tc>
        <w:tc>
          <w:tcPr>
            <w:tcW w:w="2083" w:type="dxa"/>
          </w:tcPr>
          <w:p w14:paraId="35111D8F" w14:textId="77777777" w:rsidR="00F26395" w:rsidRPr="00F26395" w:rsidRDefault="00F26395" w:rsidP="00F26395">
            <w:pPr>
              <w:spacing w:line="360" w:lineRule="auto"/>
              <w:jc w:val="both"/>
              <w:rPr>
                <w:rFonts w:ascii="Book Antiqua" w:hAnsi="Book Antiqua"/>
              </w:rPr>
            </w:pPr>
            <w:r w:rsidRPr="00F26395">
              <w:rPr>
                <w:rFonts w:ascii="Book Antiqua" w:hAnsi="Book Antiqua"/>
              </w:rPr>
              <w:t>90.9 (10/11)</w:t>
            </w:r>
          </w:p>
        </w:tc>
        <w:tc>
          <w:tcPr>
            <w:tcW w:w="1403" w:type="dxa"/>
            <w:vAlign w:val="bottom"/>
          </w:tcPr>
          <w:p w14:paraId="6CA7CD30" w14:textId="046E4114" w:rsidR="00F26395" w:rsidRPr="00F26395" w:rsidRDefault="00F26395" w:rsidP="00F26395">
            <w:pPr>
              <w:spacing w:line="360" w:lineRule="auto"/>
              <w:jc w:val="both"/>
              <w:rPr>
                <w:rFonts w:ascii="Book Antiqua" w:hAnsi="Book Antiqua"/>
              </w:rPr>
            </w:pPr>
            <w:r w:rsidRPr="00F26395">
              <w:rPr>
                <w:rFonts w:ascii="Book Antiqua" w:hAnsi="Book Antiqua"/>
                <w:color w:val="000000"/>
              </w:rPr>
              <w:t>6.7</w:t>
            </w:r>
          </w:p>
        </w:tc>
        <w:tc>
          <w:tcPr>
            <w:tcW w:w="1389" w:type="dxa"/>
            <w:vAlign w:val="bottom"/>
          </w:tcPr>
          <w:p w14:paraId="7C77AD42" w14:textId="31C34726" w:rsidR="00F26395" w:rsidRPr="00F26395" w:rsidRDefault="00F26395" w:rsidP="00F26395">
            <w:pPr>
              <w:spacing w:line="360" w:lineRule="auto"/>
              <w:jc w:val="both"/>
              <w:rPr>
                <w:rFonts w:ascii="Book Antiqua" w:hAnsi="Book Antiqua"/>
              </w:rPr>
            </w:pPr>
            <w:r w:rsidRPr="00F26395">
              <w:rPr>
                <w:rFonts w:ascii="Book Antiqua" w:hAnsi="Book Antiqua"/>
                <w:color w:val="000000"/>
              </w:rPr>
              <w:t>97.8</w:t>
            </w:r>
          </w:p>
        </w:tc>
        <w:tc>
          <w:tcPr>
            <w:tcW w:w="1336" w:type="dxa"/>
          </w:tcPr>
          <w:p w14:paraId="163EC2E0" w14:textId="77777777" w:rsidR="00F26395" w:rsidRPr="00F26395" w:rsidRDefault="00F26395" w:rsidP="00F26395">
            <w:pPr>
              <w:spacing w:line="360" w:lineRule="auto"/>
              <w:jc w:val="both"/>
              <w:rPr>
                <w:rFonts w:ascii="Book Antiqua" w:hAnsi="Book Antiqua"/>
              </w:rPr>
            </w:pPr>
            <w:r w:rsidRPr="00F26395">
              <w:rPr>
                <w:rFonts w:ascii="Book Antiqua" w:hAnsi="Book Antiqua"/>
              </w:rPr>
              <w:t>80.0 (8/10)</w:t>
            </w:r>
          </w:p>
        </w:tc>
        <w:tc>
          <w:tcPr>
            <w:tcW w:w="1336" w:type="dxa"/>
          </w:tcPr>
          <w:p w14:paraId="00C6D5A2" w14:textId="77777777" w:rsidR="00F26395" w:rsidRPr="00F26395" w:rsidRDefault="00F26395" w:rsidP="00F26395">
            <w:pPr>
              <w:spacing w:line="360" w:lineRule="auto"/>
              <w:jc w:val="both"/>
              <w:rPr>
                <w:rFonts w:ascii="Book Antiqua" w:hAnsi="Book Antiqua"/>
              </w:rPr>
            </w:pPr>
            <w:r w:rsidRPr="00F26395">
              <w:rPr>
                <w:rFonts w:ascii="Book Antiqua" w:hAnsi="Book Antiqua"/>
              </w:rPr>
              <w:t>30.0 (3/10)</w:t>
            </w:r>
          </w:p>
        </w:tc>
        <w:tc>
          <w:tcPr>
            <w:tcW w:w="1336" w:type="dxa"/>
          </w:tcPr>
          <w:p w14:paraId="66FE5B8D" w14:textId="77777777" w:rsidR="00F26395" w:rsidRPr="00F26395" w:rsidRDefault="00F26395" w:rsidP="00F26395">
            <w:pPr>
              <w:spacing w:line="360" w:lineRule="auto"/>
              <w:jc w:val="both"/>
              <w:rPr>
                <w:rFonts w:ascii="Book Antiqua" w:hAnsi="Book Antiqua"/>
              </w:rPr>
            </w:pPr>
            <w:r w:rsidRPr="00F26395">
              <w:rPr>
                <w:rFonts w:ascii="Book Antiqua" w:hAnsi="Book Antiqua"/>
              </w:rPr>
              <w:t>20.0 (2/10)</w:t>
            </w:r>
          </w:p>
        </w:tc>
      </w:tr>
      <w:tr w:rsidR="00F26395" w:rsidRPr="00F26395" w14:paraId="6CB12BC1" w14:textId="77777777" w:rsidTr="004D07E8">
        <w:trPr>
          <w:trHeight w:val="842"/>
        </w:trPr>
        <w:tc>
          <w:tcPr>
            <w:tcW w:w="1838" w:type="dxa"/>
          </w:tcPr>
          <w:p w14:paraId="0F768EF7" w14:textId="77777777" w:rsidR="00F26395" w:rsidRPr="004D07E8" w:rsidRDefault="00F26395" w:rsidP="00F26395">
            <w:pPr>
              <w:spacing w:line="360" w:lineRule="auto"/>
              <w:ind w:left="338"/>
              <w:jc w:val="both"/>
              <w:rPr>
                <w:rFonts w:ascii="Book Antiqua" w:hAnsi="Book Antiqua"/>
              </w:rPr>
            </w:pPr>
            <w:r w:rsidRPr="004D07E8">
              <w:rPr>
                <w:rFonts w:ascii="Book Antiqua" w:hAnsi="Book Antiqua"/>
              </w:rPr>
              <w:t>Nodule</w:t>
            </w:r>
          </w:p>
        </w:tc>
        <w:tc>
          <w:tcPr>
            <w:tcW w:w="2083" w:type="dxa"/>
          </w:tcPr>
          <w:p w14:paraId="52576110" w14:textId="77777777" w:rsidR="00F26395" w:rsidRPr="00F26395" w:rsidRDefault="00F26395" w:rsidP="00F26395">
            <w:pPr>
              <w:spacing w:line="360" w:lineRule="auto"/>
              <w:jc w:val="both"/>
              <w:rPr>
                <w:rFonts w:ascii="Book Antiqua" w:hAnsi="Book Antiqua"/>
              </w:rPr>
            </w:pPr>
            <w:r w:rsidRPr="00F26395">
              <w:rPr>
                <w:rFonts w:ascii="Book Antiqua" w:hAnsi="Book Antiqua"/>
              </w:rPr>
              <w:t>80.0 (4/5)</w:t>
            </w:r>
          </w:p>
        </w:tc>
        <w:tc>
          <w:tcPr>
            <w:tcW w:w="1403" w:type="dxa"/>
            <w:vAlign w:val="bottom"/>
          </w:tcPr>
          <w:p w14:paraId="7D3379A7" w14:textId="14C34C26" w:rsidR="00F26395" w:rsidRPr="00F26395" w:rsidRDefault="00F26395" w:rsidP="00F26395">
            <w:pPr>
              <w:spacing w:line="360" w:lineRule="auto"/>
              <w:jc w:val="both"/>
              <w:rPr>
                <w:rFonts w:ascii="Book Antiqua" w:hAnsi="Book Antiqua"/>
              </w:rPr>
            </w:pPr>
            <w:r w:rsidRPr="00F26395">
              <w:rPr>
                <w:rFonts w:ascii="Book Antiqua" w:hAnsi="Book Antiqua"/>
                <w:color w:val="000000"/>
              </w:rPr>
              <w:t>2.7</w:t>
            </w:r>
          </w:p>
        </w:tc>
        <w:tc>
          <w:tcPr>
            <w:tcW w:w="1389" w:type="dxa"/>
            <w:vAlign w:val="bottom"/>
          </w:tcPr>
          <w:p w14:paraId="3ACEE983" w14:textId="4C2E92D1" w:rsidR="00F26395" w:rsidRPr="00F26395" w:rsidRDefault="00F26395" w:rsidP="00F26395">
            <w:pPr>
              <w:spacing w:line="360" w:lineRule="auto"/>
              <w:jc w:val="both"/>
              <w:rPr>
                <w:rFonts w:ascii="Book Antiqua" w:hAnsi="Book Antiqua"/>
              </w:rPr>
            </w:pPr>
            <w:r w:rsidRPr="00F26395">
              <w:rPr>
                <w:rFonts w:ascii="Book Antiqua" w:hAnsi="Book Antiqua"/>
                <w:color w:val="000000"/>
              </w:rPr>
              <w:t>97.8</w:t>
            </w:r>
          </w:p>
        </w:tc>
        <w:tc>
          <w:tcPr>
            <w:tcW w:w="1336" w:type="dxa"/>
          </w:tcPr>
          <w:p w14:paraId="2EE12B85" w14:textId="77777777" w:rsidR="00F26395" w:rsidRPr="00F26395" w:rsidRDefault="00F26395" w:rsidP="00F26395">
            <w:pPr>
              <w:spacing w:line="360" w:lineRule="auto"/>
              <w:jc w:val="both"/>
              <w:rPr>
                <w:rFonts w:ascii="Book Antiqua" w:hAnsi="Book Antiqua"/>
              </w:rPr>
            </w:pPr>
            <w:r w:rsidRPr="00F26395">
              <w:rPr>
                <w:rFonts w:ascii="Book Antiqua" w:hAnsi="Book Antiqua"/>
              </w:rPr>
              <w:t>100.0 (4/4)</w:t>
            </w:r>
          </w:p>
        </w:tc>
        <w:tc>
          <w:tcPr>
            <w:tcW w:w="1336" w:type="dxa"/>
          </w:tcPr>
          <w:p w14:paraId="0F4F5A7F" w14:textId="77777777" w:rsidR="00F26395" w:rsidRPr="00F26395" w:rsidRDefault="00F26395" w:rsidP="00F26395">
            <w:pPr>
              <w:spacing w:line="360" w:lineRule="auto"/>
              <w:jc w:val="both"/>
              <w:rPr>
                <w:rFonts w:ascii="Book Antiqua" w:hAnsi="Book Antiqua"/>
              </w:rPr>
            </w:pPr>
            <w:r w:rsidRPr="00F26395">
              <w:rPr>
                <w:rFonts w:ascii="Book Antiqua" w:hAnsi="Book Antiqua"/>
              </w:rPr>
              <w:t>50.0 (2/4)</w:t>
            </w:r>
          </w:p>
        </w:tc>
        <w:tc>
          <w:tcPr>
            <w:tcW w:w="1336" w:type="dxa"/>
          </w:tcPr>
          <w:p w14:paraId="724F710E" w14:textId="77777777" w:rsidR="00F26395" w:rsidRPr="00F26395" w:rsidRDefault="00F26395" w:rsidP="00F26395">
            <w:pPr>
              <w:spacing w:line="360" w:lineRule="auto"/>
              <w:jc w:val="both"/>
              <w:rPr>
                <w:rFonts w:ascii="Book Antiqua" w:hAnsi="Book Antiqua"/>
              </w:rPr>
            </w:pPr>
            <w:r w:rsidRPr="00F26395">
              <w:rPr>
                <w:rFonts w:ascii="Book Antiqua" w:hAnsi="Book Antiqua"/>
              </w:rPr>
              <w:t>25.0 (1/4)</w:t>
            </w:r>
          </w:p>
        </w:tc>
      </w:tr>
      <w:tr w:rsidR="00F26395" w:rsidRPr="00F26395" w14:paraId="02503F1A" w14:textId="77777777" w:rsidTr="004D07E8">
        <w:trPr>
          <w:trHeight w:val="426"/>
        </w:trPr>
        <w:tc>
          <w:tcPr>
            <w:tcW w:w="1838" w:type="dxa"/>
          </w:tcPr>
          <w:p w14:paraId="63E88D1D" w14:textId="6D9D9924" w:rsidR="00F26395" w:rsidRPr="00F26395" w:rsidRDefault="00F26395" w:rsidP="00F26395">
            <w:pPr>
              <w:spacing w:line="360" w:lineRule="auto"/>
              <w:jc w:val="both"/>
              <w:rPr>
                <w:rFonts w:ascii="Book Antiqua" w:hAnsi="Book Antiqua"/>
                <w:b/>
                <w:bCs/>
              </w:rPr>
            </w:pPr>
            <w:r w:rsidRPr="00F26395">
              <w:rPr>
                <w:rFonts w:ascii="Book Antiqua" w:hAnsi="Book Antiqua"/>
                <w:b/>
                <w:bCs/>
              </w:rPr>
              <w:t xml:space="preserve">Specific </w:t>
            </w:r>
            <w:r w:rsidR="004D07E8" w:rsidRPr="00F26395">
              <w:rPr>
                <w:rFonts w:ascii="Book Antiqua" w:hAnsi="Book Antiqua"/>
                <w:b/>
                <w:bCs/>
              </w:rPr>
              <w:t>f</w:t>
            </w:r>
            <w:r w:rsidRPr="00F26395">
              <w:rPr>
                <w:rFonts w:ascii="Book Antiqua" w:hAnsi="Book Antiqua"/>
                <w:b/>
                <w:bCs/>
              </w:rPr>
              <w:t>indings</w:t>
            </w:r>
            <w:r w:rsidR="004D07E8" w:rsidRPr="004D07E8">
              <w:rPr>
                <w:rFonts w:ascii="Book Antiqua" w:hAnsi="Book Antiqua"/>
                <w:b/>
                <w:bCs/>
                <w:vertAlign w:val="superscript"/>
              </w:rPr>
              <w:t>2</w:t>
            </w:r>
          </w:p>
        </w:tc>
        <w:tc>
          <w:tcPr>
            <w:tcW w:w="2083" w:type="dxa"/>
          </w:tcPr>
          <w:p w14:paraId="6B7A7111" w14:textId="77777777" w:rsidR="00F26395" w:rsidRPr="00F26395" w:rsidRDefault="00F26395" w:rsidP="00F26395">
            <w:pPr>
              <w:spacing w:line="360" w:lineRule="auto"/>
              <w:jc w:val="both"/>
              <w:rPr>
                <w:rFonts w:ascii="Book Antiqua" w:hAnsi="Book Antiqua"/>
              </w:rPr>
            </w:pPr>
          </w:p>
        </w:tc>
        <w:tc>
          <w:tcPr>
            <w:tcW w:w="1403" w:type="dxa"/>
          </w:tcPr>
          <w:p w14:paraId="535089B8" w14:textId="77777777" w:rsidR="00F26395" w:rsidRPr="00F26395" w:rsidRDefault="00F26395" w:rsidP="00F26395">
            <w:pPr>
              <w:spacing w:line="360" w:lineRule="auto"/>
              <w:jc w:val="both"/>
              <w:rPr>
                <w:rFonts w:ascii="Book Antiqua" w:hAnsi="Book Antiqua"/>
              </w:rPr>
            </w:pPr>
          </w:p>
        </w:tc>
        <w:tc>
          <w:tcPr>
            <w:tcW w:w="1389" w:type="dxa"/>
          </w:tcPr>
          <w:p w14:paraId="53C02B17" w14:textId="77777777" w:rsidR="00F26395" w:rsidRPr="00F26395" w:rsidRDefault="00F26395" w:rsidP="00F26395">
            <w:pPr>
              <w:spacing w:line="360" w:lineRule="auto"/>
              <w:jc w:val="both"/>
              <w:rPr>
                <w:rFonts w:ascii="Book Antiqua" w:hAnsi="Book Antiqua"/>
              </w:rPr>
            </w:pPr>
          </w:p>
        </w:tc>
        <w:tc>
          <w:tcPr>
            <w:tcW w:w="1336" w:type="dxa"/>
          </w:tcPr>
          <w:p w14:paraId="0E41E3A1" w14:textId="77777777" w:rsidR="00F26395" w:rsidRPr="00F26395" w:rsidRDefault="00F26395" w:rsidP="00F26395">
            <w:pPr>
              <w:spacing w:line="360" w:lineRule="auto"/>
              <w:jc w:val="both"/>
              <w:rPr>
                <w:rFonts w:ascii="Book Antiqua" w:hAnsi="Book Antiqua"/>
              </w:rPr>
            </w:pPr>
          </w:p>
        </w:tc>
        <w:tc>
          <w:tcPr>
            <w:tcW w:w="1336" w:type="dxa"/>
          </w:tcPr>
          <w:p w14:paraId="10C65BE7" w14:textId="77777777" w:rsidR="00F26395" w:rsidRPr="00F26395" w:rsidRDefault="00F26395" w:rsidP="00F26395">
            <w:pPr>
              <w:spacing w:line="360" w:lineRule="auto"/>
              <w:jc w:val="both"/>
              <w:rPr>
                <w:rFonts w:ascii="Book Antiqua" w:hAnsi="Book Antiqua"/>
              </w:rPr>
            </w:pPr>
          </w:p>
        </w:tc>
        <w:tc>
          <w:tcPr>
            <w:tcW w:w="1336" w:type="dxa"/>
          </w:tcPr>
          <w:p w14:paraId="24C05A2D" w14:textId="77777777" w:rsidR="00F26395" w:rsidRPr="00F26395" w:rsidRDefault="00F26395" w:rsidP="00F26395">
            <w:pPr>
              <w:spacing w:line="360" w:lineRule="auto"/>
              <w:jc w:val="both"/>
              <w:rPr>
                <w:rFonts w:ascii="Book Antiqua" w:hAnsi="Book Antiqua"/>
              </w:rPr>
            </w:pPr>
          </w:p>
        </w:tc>
      </w:tr>
      <w:tr w:rsidR="00F26395" w:rsidRPr="00F26395" w14:paraId="7F63060C" w14:textId="77777777" w:rsidTr="004D07E8">
        <w:trPr>
          <w:trHeight w:val="854"/>
        </w:trPr>
        <w:tc>
          <w:tcPr>
            <w:tcW w:w="1838" w:type="dxa"/>
          </w:tcPr>
          <w:p w14:paraId="5B917840" w14:textId="77777777" w:rsidR="00F26395" w:rsidRPr="004D07E8" w:rsidRDefault="00F26395" w:rsidP="00F26395">
            <w:pPr>
              <w:spacing w:line="360" w:lineRule="auto"/>
              <w:ind w:left="338"/>
              <w:jc w:val="both"/>
              <w:rPr>
                <w:rFonts w:ascii="Book Antiqua" w:hAnsi="Book Antiqua"/>
              </w:rPr>
            </w:pPr>
            <w:r w:rsidRPr="004D07E8">
              <w:rPr>
                <w:rFonts w:ascii="Book Antiqua" w:hAnsi="Book Antiqua"/>
              </w:rPr>
              <w:t>Gastritis</w:t>
            </w:r>
          </w:p>
        </w:tc>
        <w:tc>
          <w:tcPr>
            <w:tcW w:w="2083" w:type="dxa"/>
          </w:tcPr>
          <w:p w14:paraId="76BF04BE" w14:textId="77777777" w:rsidR="00F26395" w:rsidRPr="00F26395" w:rsidRDefault="00F26395" w:rsidP="00F26395">
            <w:pPr>
              <w:spacing w:line="360" w:lineRule="auto"/>
              <w:jc w:val="both"/>
              <w:rPr>
                <w:rFonts w:ascii="Book Antiqua" w:hAnsi="Book Antiqua"/>
              </w:rPr>
            </w:pPr>
            <w:r w:rsidRPr="00F26395">
              <w:rPr>
                <w:rFonts w:ascii="Book Antiqua" w:hAnsi="Book Antiqua"/>
              </w:rPr>
              <w:t>84.5 (60/71)</w:t>
            </w:r>
          </w:p>
        </w:tc>
        <w:tc>
          <w:tcPr>
            <w:tcW w:w="1403" w:type="dxa"/>
            <w:vAlign w:val="bottom"/>
          </w:tcPr>
          <w:p w14:paraId="1925E789" w14:textId="234D0F67" w:rsidR="00F26395" w:rsidRPr="00F26395" w:rsidRDefault="00F26395" w:rsidP="00F26395">
            <w:pPr>
              <w:spacing w:line="360" w:lineRule="auto"/>
              <w:jc w:val="both"/>
              <w:rPr>
                <w:rFonts w:ascii="Book Antiqua" w:hAnsi="Book Antiqua"/>
              </w:rPr>
            </w:pPr>
            <w:r w:rsidRPr="00F26395">
              <w:rPr>
                <w:rFonts w:ascii="Book Antiqua" w:hAnsi="Book Antiqua"/>
                <w:color w:val="000000"/>
              </w:rPr>
              <w:t>72.3</w:t>
            </w:r>
          </w:p>
        </w:tc>
        <w:tc>
          <w:tcPr>
            <w:tcW w:w="1389" w:type="dxa"/>
            <w:vAlign w:val="bottom"/>
          </w:tcPr>
          <w:p w14:paraId="5E3025A5" w14:textId="7763D6A6" w:rsidR="00F26395" w:rsidRPr="00F26395" w:rsidRDefault="00F26395" w:rsidP="00F26395">
            <w:pPr>
              <w:spacing w:line="360" w:lineRule="auto"/>
              <w:jc w:val="both"/>
              <w:rPr>
                <w:rFonts w:ascii="Book Antiqua" w:hAnsi="Book Antiqua"/>
              </w:rPr>
            </w:pPr>
            <w:r w:rsidRPr="00F26395">
              <w:rPr>
                <w:rFonts w:ascii="Book Antiqua" w:hAnsi="Book Antiqua"/>
                <w:color w:val="000000"/>
              </w:rPr>
              <w:t>78.6</w:t>
            </w:r>
          </w:p>
        </w:tc>
        <w:tc>
          <w:tcPr>
            <w:tcW w:w="1336" w:type="dxa"/>
          </w:tcPr>
          <w:p w14:paraId="78211197" w14:textId="77777777" w:rsidR="00F26395" w:rsidRPr="00F26395" w:rsidRDefault="00F26395" w:rsidP="00F26395">
            <w:pPr>
              <w:spacing w:line="360" w:lineRule="auto"/>
              <w:jc w:val="both"/>
              <w:rPr>
                <w:rFonts w:ascii="Book Antiqua" w:hAnsi="Book Antiqua"/>
              </w:rPr>
            </w:pPr>
            <w:r w:rsidRPr="00F26395">
              <w:rPr>
                <w:rFonts w:ascii="Book Antiqua" w:hAnsi="Book Antiqua"/>
              </w:rPr>
              <w:t>95.0 (57/60)</w:t>
            </w:r>
          </w:p>
        </w:tc>
        <w:tc>
          <w:tcPr>
            <w:tcW w:w="1336" w:type="dxa"/>
          </w:tcPr>
          <w:p w14:paraId="27ACC837" w14:textId="77777777" w:rsidR="00F26395" w:rsidRPr="00F26395" w:rsidRDefault="00F26395" w:rsidP="00F26395">
            <w:pPr>
              <w:spacing w:line="360" w:lineRule="auto"/>
              <w:jc w:val="both"/>
              <w:rPr>
                <w:rFonts w:ascii="Book Antiqua" w:hAnsi="Book Antiqua"/>
              </w:rPr>
            </w:pPr>
            <w:r w:rsidRPr="00F26395">
              <w:rPr>
                <w:rFonts w:ascii="Book Antiqua" w:hAnsi="Book Antiqua"/>
              </w:rPr>
              <w:t>16.7 (10/60)</w:t>
            </w:r>
          </w:p>
        </w:tc>
        <w:tc>
          <w:tcPr>
            <w:tcW w:w="1336" w:type="dxa"/>
          </w:tcPr>
          <w:p w14:paraId="2A89B149" w14:textId="77777777" w:rsidR="00F26395" w:rsidRPr="00F26395" w:rsidRDefault="00F26395" w:rsidP="00F26395">
            <w:pPr>
              <w:spacing w:line="360" w:lineRule="auto"/>
              <w:jc w:val="both"/>
              <w:rPr>
                <w:rFonts w:ascii="Book Antiqua" w:hAnsi="Book Antiqua"/>
              </w:rPr>
            </w:pPr>
            <w:r w:rsidRPr="00F26395">
              <w:rPr>
                <w:rFonts w:ascii="Book Antiqua" w:hAnsi="Book Antiqua"/>
              </w:rPr>
              <w:t>1.7 (1/60)</w:t>
            </w:r>
          </w:p>
        </w:tc>
      </w:tr>
      <w:tr w:rsidR="00F26395" w:rsidRPr="00F26395" w14:paraId="69525A02" w14:textId="77777777" w:rsidTr="004D07E8">
        <w:trPr>
          <w:trHeight w:val="854"/>
        </w:trPr>
        <w:tc>
          <w:tcPr>
            <w:tcW w:w="1838" w:type="dxa"/>
          </w:tcPr>
          <w:p w14:paraId="14EBF3F9" w14:textId="77777777" w:rsidR="00F26395" w:rsidRPr="004D07E8" w:rsidRDefault="00F26395" w:rsidP="00F26395">
            <w:pPr>
              <w:spacing w:line="360" w:lineRule="auto"/>
              <w:ind w:left="338"/>
              <w:jc w:val="both"/>
              <w:rPr>
                <w:rFonts w:ascii="Book Antiqua" w:hAnsi="Book Antiqua"/>
              </w:rPr>
            </w:pPr>
            <w:r w:rsidRPr="004D07E8">
              <w:rPr>
                <w:rFonts w:ascii="Book Antiqua" w:hAnsi="Book Antiqua"/>
              </w:rPr>
              <w:t>Duodenitis</w:t>
            </w:r>
          </w:p>
        </w:tc>
        <w:tc>
          <w:tcPr>
            <w:tcW w:w="2083" w:type="dxa"/>
          </w:tcPr>
          <w:p w14:paraId="3AFB4371" w14:textId="77777777" w:rsidR="00F26395" w:rsidRPr="00F26395" w:rsidRDefault="00F26395" w:rsidP="00F26395">
            <w:pPr>
              <w:spacing w:line="360" w:lineRule="auto"/>
              <w:jc w:val="both"/>
              <w:rPr>
                <w:rFonts w:ascii="Book Antiqua" w:hAnsi="Book Antiqua"/>
              </w:rPr>
            </w:pPr>
            <w:r w:rsidRPr="00F26395">
              <w:rPr>
                <w:rFonts w:ascii="Book Antiqua" w:hAnsi="Book Antiqua"/>
              </w:rPr>
              <w:t>66.7 (14/21)</w:t>
            </w:r>
          </w:p>
        </w:tc>
        <w:tc>
          <w:tcPr>
            <w:tcW w:w="1403" w:type="dxa"/>
            <w:vAlign w:val="bottom"/>
          </w:tcPr>
          <w:p w14:paraId="5457116D" w14:textId="5E54A276" w:rsidR="00F26395" w:rsidRPr="00F26395" w:rsidRDefault="00F26395" w:rsidP="00F26395">
            <w:pPr>
              <w:spacing w:line="360" w:lineRule="auto"/>
              <w:jc w:val="both"/>
              <w:rPr>
                <w:rFonts w:ascii="Book Antiqua" w:hAnsi="Book Antiqua"/>
              </w:rPr>
            </w:pPr>
            <w:r w:rsidRPr="00F26395">
              <w:rPr>
                <w:rFonts w:ascii="Book Antiqua" w:hAnsi="Book Antiqua"/>
                <w:color w:val="000000"/>
              </w:rPr>
              <w:t>16.1</w:t>
            </w:r>
          </w:p>
        </w:tc>
        <w:tc>
          <w:tcPr>
            <w:tcW w:w="1389" w:type="dxa"/>
            <w:vAlign w:val="bottom"/>
          </w:tcPr>
          <w:p w14:paraId="2B447876" w14:textId="259C4731" w:rsidR="00F26395" w:rsidRPr="00F26395" w:rsidRDefault="00F26395" w:rsidP="00F26395">
            <w:pPr>
              <w:spacing w:line="360" w:lineRule="auto"/>
              <w:jc w:val="both"/>
              <w:rPr>
                <w:rFonts w:ascii="Book Antiqua" w:hAnsi="Book Antiqua"/>
              </w:rPr>
            </w:pPr>
            <w:r w:rsidRPr="00F26395">
              <w:rPr>
                <w:rFonts w:ascii="Book Antiqua" w:hAnsi="Book Antiqua"/>
                <w:color w:val="000000"/>
              </w:rPr>
              <w:t>88.9</w:t>
            </w:r>
          </w:p>
        </w:tc>
        <w:tc>
          <w:tcPr>
            <w:tcW w:w="1336" w:type="dxa"/>
          </w:tcPr>
          <w:p w14:paraId="7CCE15FD" w14:textId="77777777" w:rsidR="00F26395" w:rsidRPr="00F26395" w:rsidRDefault="00F26395" w:rsidP="00F26395">
            <w:pPr>
              <w:spacing w:line="360" w:lineRule="auto"/>
              <w:jc w:val="both"/>
              <w:rPr>
                <w:rFonts w:ascii="Book Antiqua" w:hAnsi="Book Antiqua"/>
              </w:rPr>
            </w:pPr>
            <w:r w:rsidRPr="00F26395">
              <w:rPr>
                <w:rFonts w:ascii="Book Antiqua" w:hAnsi="Book Antiqua"/>
              </w:rPr>
              <w:t>78.6 (11/14)</w:t>
            </w:r>
          </w:p>
        </w:tc>
        <w:tc>
          <w:tcPr>
            <w:tcW w:w="1336" w:type="dxa"/>
          </w:tcPr>
          <w:p w14:paraId="092E83EC" w14:textId="77777777" w:rsidR="00F26395" w:rsidRPr="00F26395" w:rsidRDefault="00F26395" w:rsidP="00F26395">
            <w:pPr>
              <w:spacing w:line="360" w:lineRule="auto"/>
              <w:jc w:val="both"/>
              <w:rPr>
                <w:rFonts w:ascii="Book Antiqua" w:hAnsi="Book Antiqua"/>
              </w:rPr>
            </w:pPr>
            <w:r w:rsidRPr="00F26395">
              <w:rPr>
                <w:rFonts w:ascii="Book Antiqua" w:hAnsi="Book Antiqua"/>
              </w:rPr>
              <w:t>21.4 (3/14)</w:t>
            </w:r>
          </w:p>
        </w:tc>
        <w:tc>
          <w:tcPr>
            <w:tcW w:w="1336" w:type="dxa"/>
          </w:tcPr>
          <w:p w14:paraId="5887B5B2" w14:textId="77777777" w:rsidR="00F26395" w:rsidRPr="00F26395" w:rsidRDefault="00F26395" w:rsidP="00F26395">
            <w:pPr>
              <w:spacing w:line="360" w:lineRule="auto"/>
              <w:jc w:val="both"/>
              <w:rPr>
                <w:rFonts w:ascii="Book Antiqua" w:hAnsi="Book Antiqua"/>
              </w:rPr>
            </w:pPr>
            <w:r w:rsidRPr="00F26395">
              <w:rPr>
                <w:rFonts w:ascii="Book Antiqua" w:hAnsi="Book Antiqua"/>
              </w:rPr>
              <w:t>21.4 (3/14)</w:t>
            </w:r>
          </w:p>
        </w:tc>
      </w:tr>
      <w:tr w:rsidR="00F26395" w:rsidRPr="00F26395" w14:paraId="13995AFF" w14:textId="77777777" w:rsidTr="004D07E8">
        <w:trPr>
          <w:trHeight w:val="854"/>
        </w:trPr>
        <w:tc>
          <w:tcPr>
            <w:tcW w:w="1838" w:type="dxa"/>
          </w:tcPr>
          <w:p w14:paraId="1753F198" w14:textId="77777777" w:rsidR="00F26395" w:rsidRPr="004D07E8" w:rsidRDefault="00F26395" w:rsidP="00F26395">
            <w:pPr>
              <w:spacing w:line="360" w:lineRule="auto"/>
              <w:ind w:left="338"/>
              <w:jc w:val="both"/>
              <w:rPr>
                <w:rFonts w:ascii="Book Antiqua" w:hAnsi="Book Antiqua"/>
              </w:rPr>
            </w:pPr>
            <w:r w:rsidRPr="004D07E8">
              <w:rPr>
                <w:rFonts w:ascii="Book Antiqua" w:hAnsi="Book Antiqua"/>
              </w:rPr>
              <w:t>Colitis</w:t>
            </w:r>
          </w:p>
        </w:tc>
        <w:tc>
          <w:tcPr>
            <w:tcW w:w="2083" w:type="dxa"/>
          </w:tcPr>
          <w:p w14:paraId="0A681928" w14:textId="77777777" w:rsidR="00F26395" w:rsidRPr="00F26395" w:rsidRDefault="00F26395" w:rsidP="00F26395">
            <w:pPr>
              <w:spacing w:line="360" w:lineRule="auto"/>
              <w:jc w:val="both"/>
              <w:rPr>
                <w:rFonts w:ascii="Book Antiqua" w:hAnsi="Book Antiqua"/>
              </w:rPr>
            </w:pPr>
            <w:r w:rsidRPr="00F26395">
              <w:rPr>
                <w:rFonts w:ascii="Book Antiqua" w:hAnsi="Book Antiqua"/>
              </w:rPr>
              <w:t>97.1 (33/34)</w:t>
            </w:r>
          </w:p>
        </w:tc>
        <w:tc>
          <w:tcPr>
            <w:tcW w:w="1403" w:type="dxa"/>
            <w:vAlign w:val="bottom"/>
          </w:tcPr>
          <w:p w14:paraId="5699CB34" w14:textId="6FE9762F" w:rsidR="00F26395" w:rsidRPr="00F26395" w:rsidRDefault="00F26395" w:rsidP="00F26395">
            <w:pPr>
              <w:spacing w:line="360" w:lineRule="auto"/>
              <w:jc w:val="both"/>
              <w:rPr>
                <w:rFonts w:ascii="Book Antiqua" w:hAnsi="Book Antiqua"/>
              </w:rPr>
            </w:pPr>
            <w:r w:rsidRPr="00F26395">
              <w:rPr>
                <w:rFonts w:ascii="Book Antiqua" w:hAnsi="Book Antiqua"/>
                <w:color w:val="000000"/>
              </w:rPr>
              <w:t>30.3</w:t>
            </w:r>
          </w:p>
        </w:tc>
        <w:tc>
          <w:tcPr>
            <w:tcW w:w="1389" w:type="dxa"/>
            <w:vAlign w:val="bottom"/>
          </w:tcPr>
          <w:p w14:paraId="65156227" w14:textId="0B8FC599" w:rsidR="00F26395" w:rsidRPr="00F26395" w:rsidRDefault="00F26395" w:rsidP="00F26395">
            <w:pPr>
              <w:spacing w:line="360" w:lineRule="auto"/>
              <w:jc w:val="both"/>
              <w:rPr>
                <w:rFonts w:ascii="Book Antiqua" w:hAnsi="Book Antiqua"/>
              </w:rPr>
            </w:pPr>
            <w:r w:rsidRPr="00F26395">
              <w:rPr>
                <w:rFonts w:ascii="Book Antiqua" w:hAnsi="Book Antiqua"/>
                <w:color w:val="000000"/>
              </w:rPr>
              <w:t>93.0</w:t>
            </w:r>
          </w:p>
        </w:tc>
        <w:tc>
          <w:tcPr>
            <w:tcW w:w="1336" w:type="dxa"/>
          </w:tcPr>
          <w:p w14:paraId="00637153" w14:textId="77777777" w:rsidR="00F26395" w:rsidRPr="00F26395" w:rsidRDefault="00F26395" w:rsidP="00F26395">
            <w:pPr>
              <w:spacing w:line="360" w:lineRule="auto"/>
              <w:jc w:val="both"/>
              <w:rPr>
                <w:rFonts w:ascii="Book Antiqua" w:hAnsi="Book Antiqua"/>
              </w:rPr>
            </w:pPr>
            <w:r w:rsidRPr="00F26395">
              <w:rPr>
                <w:rFonts w:ascii="Book Antiqua" w:hAnsi="Book Antiqua"/>
              </w:rPr>
              <w:t>57.6 (19/33)</w:t>
            </w:r>
          </w:p>
        </w:tc>
        <w:tc>
          <w:tcPr>
            <w:tcW w:w="1336" w:type="dxa"/>
          </w:tcPr>
          <w:p w14:paraId="01FF3A00" w14:textId="77777777" w:rsidR="00F26395" w:rsidRPr="00F26395" w:rsidRDefault="00F26395" w:rsidP="00F26395">
            <w:pPr>
              <w:spacing w:line="360" w:lineRule="auto"/>
              <w:jc w:val="both"/>
              <w:rPr>
                <w:rFonts w:ascii="Book Antiqua" w:hAnsi="Book Antiqua"/>
              </w:rPr>
            </w:pPr>
            <w:r w:rsidRPr="00F26395">
              <w:rPr>
                <w:rFonts w:ascii="Book Antiqua" w:hAnsi="Book Antiqua"/>
              </w:rPr>
              <w:t>42.4 (14/33)</w:t>
            </w:r>
          </w:p>
        </w:tc>
        <w:tc>
          <w:tcPr>
            <w:tcW w:w="1336" w:type="dxa"/>
          </w:tcPr>
          <w:p w14:paraId="3760B1FF" w14:textId="77777777" w:rsidR="00F26395" w:rsidRPr="00F26395" w:rsidRDefault="00F26395" w:rsidP="00F26395">
            <w:pPr>
              <w:spacing w:line="360" w:lineRule="auto"/>
              <w:jc w:val="both"/>
              <w:rPr>
                <w:rFonts w:ascii="Book Antiqua" w:hAnsi="Book Antiqua"/>
              </w:rPr>
            </w:pPr>
            <w:r w:rsidRPr="00F26395">
              <w:rPr>
                <w:rFonts w:ascii="Book Antiqua" w:hAnsi="Book Antiqua"/>
              </w:rPr>
              <w:t>24.2 (8/33)</w:t>
            </w:r>
          </w:p>
        </w:tc>
      </w:tr>
      <w:tr w:rsidR="00F26395" w:rsidRPr="00F26395" w14:paraId="7F365043" w14:textId="77777777" w:rsidTr="004D07E8">
        <w:trPr>
          <w:trHeight w:val="854"/>
        </w:trPr>
        <w:tc>
          <w:tcPr>
            <w:tcW w:w="1838" w:type="dxa"/>
            <w:tcBorders>
              <w:bottom w:val="single" w:sz="4" w:space="0" w:color="auto"/>
            </w:tcBorders>
          </w:tcPr>
          <w:p w14:paraId="7D44943E" w14:textId="77777777" w:rsidR="00F26395" w:rsidRPr="004D07E8" w:rsidRDefault="00F26395" w:rsidP="00F26395">
            <w:pPr>
              <w:spacing w:line="360" w:lineRule="auto"/>
              <w:ind w:left="338"/>
              <w:jc w:val="both"/>
              <w:rPr>
                <w:rFonts w:ascii="Book Antiqua" w:hAnsi="Book Antiqua"/>
              </w:rPr>
            </w:pPr>
            <w:r w:rsidRPr="004D07E8">
              <w:rPr>
                <w:rFonts w:ascii="Book Antiqua" w:hAnsi="Book Antiqua"/>
              </w:rPr>
              <w:t>Esophagitis</w:t>
            </w:r>
          </w:p>
        </w:tc>
        <w:tc>
          <w:tcPr>
            <w:tcW w:w="2083" w:type="dxa"/>
            <w:tcBorders>
              <w:bottom w:val="single" w:sz="4" w:space="0" w:color="auto"/>
            </w:tcBorders>
          </w:tcPr>
          <w:p w14:paraId="4AF803C9" w14:textId="77777777" w:rsidR="00F26395" w:rsidRPr="00F26395" w:rsidRDefault="00F26395" w:rsidP="00F26395">
            <w:pPr>
              <w:spacing w:line="360" w:lineRule="auto"/>
              <w:jc w:val="both"/>
              <w:rPr>
                <w:rFonts w:ascii="Book Antiqua" w:hAnsi="Book Antiqua"/>
              </w:rPr>
            </w:pPr>
            <w:r w:rsidRPr="00F26395">
              <w:rPr>
                <w:rFonts w:ascii="Book Antiqua" w:hAnsi="Book Antiqua"/>
              </w:rPr>
              <w:t>66.7 (14/21)</w:t>
            </w:r>
          </w:p>
        </w:tc>
        <w:tc>
          <w:tcPr>
            <w:tcW w:w="1403" w:type="dxa"/>
            <w:tcBorders>
              <w:bottom w:val="single" w:sz="4" w:space="0" w:color="auto"/>
            </w:tcBorders>
            <w:vAlign w:val="bottom"/>
          </w:tcPr>
          <w:p w14:paraId="27B61A33" w14:textId="6A67E9CC" w:rsidR="00F26395" w:rsidRPr="00F26395" w:rsidRDefault="00F26395" w:rsidP="00F26395">
            <w:pPr>
              <w:spacing w:line="360" w:lineRule="auto"/>
              <w:jc w:val="both"/>
              <w:rPr>
                <w:rFonts w:ascii="Book Antiqua" w:hAnsi="Book Antiqua"/>
              </w:rPr>
            </w:pPr>
            <w:r w:rsidRPr="00F26395">
              <w:rPr>
                <w:rFonts w:ascii="Book Antiqua" w:hAnsi="Book Antiqua"/>
                <w:color w:val="000000"/>
              </w:rPr>
              <w:t>70.0</w:t>
            </w:r>
          </w:p>
        </w:tc>
        <w:tc>
          <w:tcPr>
            <w:tcW w:w="1389" w:type="dxa"/>
            <w:tcBorders>
              <w:bottom w:val="single" w:sz="4" w:space="0" w:color="auto"/>
            </w:tcBorders>
            <w:vAlign w:val="bottom"/>
          </w:tcPr>
          <w:p w14:paraId="1017EAC0" w14:textId="2F8139B6" w:rsidR="00F26395" w:rsidRPr="00F26395" w:rsidRDefault="00F26395" w:rsidP="00F26395">
            <w:pPr>
              <w:spacing w:line="360" w:lineRule="auto"/>
              <w:jc w:val="both"/>
              <w:rPr>
                <w:rFonts w:ascii="Book Antiqua" w:hAnsi="Book Antiqua"/>
              </w:rPr>
            </w:pPr>
            <w:r w:rsidRPr="00F26395">
              <w:rPr>
                <w:rFonts w:ascii="Book Antiqua" w:hAnsi="Book Antiqua"/>
                <w:color w:val="000000"/>
              </w:rPr>
              <w:t>94.3</w:t>
            </w:r>
          </w:p>
        </w:tc>
        <w:tc>
          <w:tcPr>
            <w:tcW w:w="1336" w:type="dxa"/>
            <w:tcBorders>
              <w:bottom w:val="single" w:sz="4" w:space="0" w:color="auto"/>
            </w:tcBorders>
          </w:tcPr>
          <w:p w14:paraId="00958186" w14:textId="77777777" w:rsidR="00F26395" w:rsidRPr="00F26395" w:rsidRDefault="00F26395" w:rsidP="00F26395">
            <w:pPr>
              <w:spacing w:line="360" w:lineRule="auto"/>
              <w:jc w:val="both"/>
              <w:rPr>
                <w:rFonts w:ascii="Book Antiqua" w:hAnsi="Book Antiqua"/>
              </w:rPr>
            </w:pPr>
            <w:r w:rsidRPr="00F26395">
              <w:rPr>
                <w:rFonts w:ascii="Book Antiqua" w:hAnsi="Book Antiqua"/>
              </w:rPr>
              <w:t>100.0 (14/14)</w:t>
            </w:r>
          </w:p>
        </w:tc>
        <w:tc>
          <w:tcPr>
            <w:tcW w:w="1336" w:type="dxa"/>
            <w:tcBorders>
              <w:bottom w:val="single" w:sz="4" w:space="0" w:color="auto"/>
            </w:tcBorders>
          </w:tcPr>
          <w:p w14:paraId="0296A6E2" w14:textId="77777777" w:rsidR="00F26395" w:rsidRPr="00F26395" w:rsidRDefault="00F26395" w:rsidP="00F26395">
            <w:pPr>
              <w:spacing w:line="360" w:lineRule="auto"/>
              <w:jc w:val="both"/>
              <w:rPr>
                <w:rFonts w:ascii="Book Antiqua" w:hAnsi="Book Antiqua"/>
              </w:rPr>
            </w:pPr>
            <w:r w:rsidRPr="00F26395">
              <w:rPr>
                <w:rFonts w:ascii="Book Antiqua" w:hAnsi="Book Antiqua"/>
              </w:rPr>
              <w:t>0 (0/14)</w:t>
            </w:r>
          </w:p>
        </w:tc>
        <w:tc>
          <w:tcPr>
            <w:tcW w:w="1336" w:type="dxa"/>
            <w:tcBorders>
              <w:bottom w:val="single" w:sz="4" w:space="0" w:color="auto"/>
            </w:tcBorders>
          </w:tcPr>
          <w:p w14:paraId="688CDE3A" w14:textId="77777777" w:rsidR="00F26395" w:rsidRPr="00F26395" w:rsidRDefault="00F26395" w:rsidP="00F26395">
            <w:pPr>
              <w:spacing w:line="360" w:lineRule="auto"/>
              <w:jc w:val="both"/>
              <w:rPr>
                <w:rFonts w:ascii="Book Antiqua" w:hAnsi="Book Antiqua"/>
              </w:rPr>
            </w:pPr>
            <w:r w:rsidRPr="00F26395">
              <w:rPr>
                <w:rFonts w:ascii="Book Antiqua" w:hAnsi="Book Antiqua"/>
              </w:rPr>
              <w:t>0 (0/14)</w:t>
            </w:r>
          </w:p>
        </w:tc>
      </w:tr>
    </w:tbl>
    <w:p w14:paraId="0C2DEAEB" w14:textId="1F3D3AA0" w:rsidR="004D07E8" w:rsidRPr="004D07E8" w:rsidRDefault="004D07E8" w:rsidP="004D07E8">
      <w:pPr>
        <w:spacing w:line="360" w:lineRule="auto"/>
        <w:jc w:val="both"/>
        <w:rPr>
          <w:rFonts w:ascii="Book Antiqua" w:hAnsi="Book Antiqua"/>
          <w:bCs/>
        </w:rPr>
      </w:pPr>
      <w:r w:rsidRPr="004D07E8">
        <w:rPr>
          <w:rFonts w:ascii="Book Antiqua" w:hAnsi="Book Antiqua"/>
          <w:bCs/>
          <w:vertAlign w:val="superscript"/>
        </w:rPr>
        <w:t>1</w:t>
      </w:r>
      <w:r w:rsidR="00F26395" w:rsidRPr="00F26395">
        <w:rPr>
          <w:rFonts w:ascii="Book Antiqua" w:hAnsi="Book Antiqua"/>
          <w:bCs/>
        </w:rPr>
        <w:t xml:space="preserve">We did not localize these endoscopic findings to a particular segment of the </w:t>
      </w:r>
      <w:bookmarkStart w:id="92" w:name="OLE_LINK2222"/>
      <w:bookmarkStart w:id="93" w:name="OLE_LINK2223"/>
      <w:r>
        <w:rPr>
          <w:rFonts w:ascii="Book Antiqua" w:eastAsia="Book Antiqua" w:hAnsi="Book Antiqua" w:cs="Book Antiqua"/>
          <w:color w:val="000000"/>
        </w:rPr>
        <w:t>g</w:t>
      </w:r>
      <w:r w:rsidRPr="00F26395">
        <w:rPr>
          <w:rFonts w:ascii="Book Antiqua" w:eastAsia="Book Antiqua" w:hAnsi="Book Antiqua" w:cs="Book Antiqua"/>
          <w:color w:val="000000"/>
        </w:rPr>
        <w:t>astrointestinal</w:t>
      </w:r>
      <w:bookmarkEnd w:id="92"/>
      <w:bookmarkEnd w:id="93"/>
      <w:r w:rsidRPr="00F26395">
        <w:rPr>
          <w:rFonts w:ascii="Book Antiqua" w:hAnsi="Book Antiqua"/>
          <w:bCs/>
        </w:rPr>
        <w:t xml:space="preserve"> </w:t>
      </w:r>
      <w:r>
        <w:rPr>
          <w:rFonts w:ascii="Book Antiqua" w:hAnsi="Book Antiqua"/>
          <w:bCs/>
        </w:rPr>
        <w:t>(</w:t>
      </w:r>
      <w:r w:rsidR="00F26395" w:rsidRPr="00F26395">
        <w:rPr>
          <w:rFonts w:ascii="Book Antiqua" w:hAnsi="Book Antiqua"/>
          <w:bCs/>
        </w:rPr>
        <w:t>GI</w:t>
      </w:r>
      <w:r>
        <w:rPr>
          <w:rFonts w:ascii="Book Antiqua" w:hAnsi="Book Antiqua"/>
          <w:bCs/>
        </w:rPr>
        <w:t>)</w:t>
      </w:r>
      <w:r w:rsidR="00F26395" w:rsidRPr="00F26395">
        <w:rPr>
          <w:rFonts w:ascii="Book Antiqua" w:hAnsi="Book Antiqua"/>
          <w:bCs/>
        </w:rPr>
        <w:t xml:space="preserve"> tract. Diagnostic yield, sensitivity, and specificity calculated were for finding </w:t>
      </w:r>
      <w:r>
        <w:rPr>
          <w:rFonts w:ascii="Book Antiqua" w:eastAsia="Book Antiqua" w:hAnsi="Book Antiqua" w:cs="Book Antiqua"/>
          <w:color w:val="000000"/>
        </w:rPr>
        <w:t>g</w:t>
      </w:r>
      <w:r w:rsidRPr="00F26395">
        <w:rPr>
          <w:rFonts w:ascii="Book Antiqua" w:eastAsia="Book Antiqua" w:hAnsi="Book Antiqua" w:cs="Book Antiqua"/>
          <w:color w:val="000000"/>
        </w:rPr>
        <w:t>raft-</w:t>
      </w:r>
      <w:r w:rsidRPr="00F26395">
        <w:rPr>
          <w:rFonts w:ascii="Book Antiqua" w:eastAsia="Book Antiqua" w:hAnsi="Book Antiqua" w:cs="Book Antiqua"/>
          <w:i/>
          <w:iCs/>
          <w:color w:val="000000"/>
        </w:rPr>
        <w:t>vs</w:t>
      </w:r>
      <w:r w:rsidRPr="00F26395">
        <w:rPr>
          <w:rFonts w:ascii="Book Antiqua" w:eastAsia="Book Antiqua" w:hAnsi="Book Antiqua" w:cs="Book Antiqua"/>
          <w:color w:val="000000"/>
        </w:rPr>
        <w:t>-host disease</w:t>
      </w:r>
      <w:r w:rsidRPr="00F26395">
        <w:rPr>
          <w:rFonts w:ascii="Book Antiqua" w:hAnsi="Book Antiqua"/>
        </w:rPr>
        <w:t xml:space="preserve"> </w:t>
      </w:r>
      <w:r>
        <w:rPr>
          <w:rFonts w:ascii="Book Antiqua" w:hAnsi="Book Antiqua"/>
        </w:rPr>
        <w:t>(</w:t>
      </w:r>
      <w:r w:rsidR="00F26395" w:rsidRPr="00F26395">
        <w:rPr>
          <w:rFonts w:ascii="Book Antiqua" w:hAnsi="Book Antiqua"/>
          <w:bCs/>
        </w:rPr>
        <w:t>GVHD</w:t>
      </w:r>
      <w:r>
        <w:rPr>
          <w:rFonts w:ascii="Book Antiqua" w:hAnsi="Book Antiqua"/>
          <w:bCs/>
        </w:rPr>
        <w:t>)</w:t>
      </w:r>
      <w:r w:rsidR="00F26395" w:rsidRPr="00F26395">
        <w:rPr>
          <w:rFonts w:ascii="Book Antiqua" w:hAnsi="Book Antiqua"/>
          <w:bCs/>
        </w:rPr>
        <w:t xml:space="preserve"> anywhere in the GI tract</w:t>
      </w:r>
      <w:r>
        <w:rPr>
          <w:rFonts w:ascii="Book Antiqua" w:hAnsi="Book Antiqua"/>
          <w:bCs/>
        </w:rPr>
        <w:t xml:space="preserve">; </w:t>
      </w:r>
      <w:r w:rsidRPr="004D07E8">
        <w:rPr>
          <w:rFonts w:ascii="Book Antiqua" w:hAnsi="Book Antiqua"/>
          <w:bCs/>
          <w:vertAlign w:val="superscript"/>
        </w:rPr>
        <w:t>2</w:t>
      </w:r>
      <w:r w:rsidR="00F26395" w:rsidRPr="00F26395">
        <w:rPr>
          <w:rFonts w:ascii="Book Antiqua" w:hAnsi="Book Antiqua"/>
          <w:bCs/>
        </w:rPr>
        <w:t xml:space="preserve">Patients in the “Specific </w:t>
      </w:r>
      <w:r w:rsidR="00F26395" w:rsidRPr="00F26395">
        <w:rPr>
          <w:rFonts w:ascii="Book Antiqua" w:hAnsi="Book Antiqua"/>
          <w:bCs/>
        </w:rPr>
        <w:lastRenderedPageBreak/>
        <w:t>Findings” category had endoscopic evidence of inflamed mucosa in a specific segment of the GI tract along with biopsy taken from this segment. Diagnostic yields, sensitivities, and specificities calculated were for finding histopathological evidence of GVHD in this specific segment of the GI tract.</w:t>
      </w:r>
      <w:r>
        <w:rPr>
          <w:rFonts w:ascii="Book Antiqua" w:hAnsi="Book Antiqua" w:hint="eastAsia"/>
          <w:bCs/>
        </w:rPr>
        <w:t xml:space="preserve"> </w:t>
      </w:r>
      <w:bookmarkStart w:id="94" w:name="OLE_LINK2224"/>
      <w:bookmarkStart w:id="95" w:name="OLE_LINK2225"/>
      <w:r w:rsidRPr="00F26395">
        <w:rPr>
          <w:rFonts w:ascii="Book Antiqua" w:hAnsi="Book Antiqua"/>
        </w:rPr>
        <w:t xml:space="preserve">GVHD: </w:t>
      </w:r>
      <w:r w:rsidRPr="00F26395">
        <w:rPr>
          <w:rFonts w:ascii="Book Antiqua" w:eastAsia="Book Antiqua" w:hAnsi="Book Antiqua" w:cs="Book Antiqua"/>
          <w:color w:val="000000"/>
        </w:rPr>
        <w:t>Graft-</w:t>
      </w:r>
      <w:r w:rsidRPr="00F26395">
        <w:rPr>
          <w:rFonts w:ascii="Book Antiqua" w:eastAsia="Book Antiqua" w:hAnsi="Book Antiqua" w:cs="Book Antiqua"/>
          <w:i/>
          <w:iCs/>
          <w:color w:val="000000"/>
        </w:rPr>
        <w:t>vs</w:t>
      </w:r>
      <w:r w:rsidRPr="00F26395">
        <w:rPr>
          <w:rFonts w:ascii="Book Antiqua" w:eastAsia="Book Antiqua" w:hAnsi="Book Antiqua" w:cs="Book Antiqua"/>
          <w:color w:val="000000"/>
        </w:rPr>
        <w:t>-host disease</w:t>
      </w:r>
      <w:r>
        <w:rPr>
          <w:rFonts w:ascii="Book Antiqua" w:eastAsia="Book Antiqua" w:hAnsi="Book Antiqua" w:cs="Book Antiqua"/>
          <w:color w:val="000000"/>
        </w:rPr>
        <w:t>.</w:t>
      </w:r>
      <w:bookmarkEnd w:id="94"/>
      <w:bookmarkEnd w:id="95"/>
    </w:p>
    <w:p w14:paraId="7FE4FAEF" w14:textId="77777777" w:rsidR="004D07E8" w:rsidRDefault="004D07E8" w:rsidP="00F26395">
      <w:pPr>
        <w:spacing w:line="360" w:lineRule="auto"/>
        <w:jc w:val="both"/>
        <w:rPr>
          <w:rFonts w:ascii="Book Antiqua" w:hAnsi="Book Antiqua"/>
          <w:b/>
          <w:bCs/>
        </w:rPr>
        <w:sectPr w:rsidR="004D07E8" w:rsidSect="004D07E8">
          <w:headerReference w:type="default" r:id="rId13"/>
          <w:pgSz w:w="12240" w:h="15840"/>
          <w:pgMar w:top="1440" w:right="1440" w:bottom="1440" w:left="1440" w:header="720" w:footer="720" w:gutter="0"/>
          <w:cols w:space="720"/>
          <w:docGrid w:linePitch="360"/>
        </w:sectPr>
      </w:pPr>
    </w:p>
    <w:p w14:paraId="416ADE76" w14:textId="4B91AC44" w:rsidR="00F26395" w:rsidRPr="004D07E8" w:rsidRDefault="00F26395" w:rsidP="00F26395">
      <w:pPr>
        <w:spacing w:line="360" w:lineRule="auto"/>
        <w:jc w:val="both"/>
        <w:rPr>
          <w:rFonts w:ascii="Book Antiqua" w:hAnsi="Book Antiqua"/>
          <w:b/>
          <w:bCs/>
        </w:rPr>
      </w:pPr>
      <w:r w:rsidRPr="00F26395">
        <w:rPr>
          <w:rFonts w:ascii="Book Antiqua" w:hAnsi="Book Antiqua"/>
          <w:b/>
          <w:bCs/>
        </w:rPr>
        <w:lastRenderedPageBreak/>
        <w:t xml:space="preserve">Table 4 Utility of </w:t>
      </w:r>
      <w:proofErr w:type="spellStart"/>
      <w:r w:rsidRPr="00F26395">
        <w:rPr>
          <w:rFonts w:ascii="Book Antiqua" w:hAnsi="Book Antiqua"/>
          <w:b/>
          <w:bCs/>
        </w:rPr>
        <w:t>biopsying</w:t>
      </w:r>
      <w:proofErr w:type="spellEnd"/>
      <w:r w:rsidRPr="00F26395">
        <w:rPr>
          <w:rFonts w:ascii="Book Antiqua" w:hAnsi="Book Antiqua"/>
          <w:b/>
          <w:bCs/>
        </w:rPr>
        <w:t xml:space="preserve"> various segments of the </w:t>
      </w:r>
      <w:r w:rsidR="004D07E8" w:rsidRPr="004D07E8">
        <w:rPr>
          <w:rFonts w:ascii="Book Antiqua" w:eastAsia="Book Antiqua" w:hAnsi="Book Antiqua" w:cs="Book Antiqua"/>
          <w:b/>
          <w:bCs/>
          <w:color w:val="000000"/>
        </w:rPr>
        <w:t>gastrointestinal</w:t>
      </w:r>
      <w:r w:rsidR="004D07E8" w:rsidRPr="00F26395">
        <w:rPr>
          <w:rFonts w:ascii="Book Antiqua" w:hAnsi="Book Antiqua"/>
          <w:b/>
          <w:bCs/>
        </w:rPr>
        <w:t xml:space="preserve"> </w:t>
      </w:r>
      <w:r w:rsidRPr="00F26395">
        <w:rPr>
          <w:rFonts w:ascii="Book Antiqua" w:hAnsi="Book Antiqua"/>
          <w:b/>
          <w:bCs/>
        </w:rPr>
        <w:t>tract in patients presenting with diarrhea, nausea/vomiting, and abdominal pain</w:t>
      </w:r>
    </w:p>
    <w:tbl>
      <w:tblPr>
        <w:tblStyle w:val="TableGrid"/>
        <w:tblW w:w="8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4680"/>
      </w:tblGrid>
      <w:tr w:rsidR="00F26395" w:rsidRPr="00F26395" w14:paraId="7E1389B0" w14:textId="77777777" w:rsidTr="004D07E8">
        <w:tc>
          <w:tcPr>
            <w:tcW w:w="3505" w:type="dxa"/>
            <w:tcBorders>
              <w:top w:val="single" w:sz="4" w:space="0" w:color="auto"/>
              <w:bottom w:val="single" w:sz="4" w:space="0" w:color="auto"/>
            </w:tcBorders>
          </w:tcPr>
          <w:p w14:paraId="3BE53048" w14:textId="11EF1DE8" w:rsidR="00F26395" w:rsidRPr="00F26395" w:rsidRDefault="00F26395" w:rsidP="004D07E8">
            <w:pPr>
              <w:spacing w:line="360" w:lineRule="auto"/>
              <w:rPr>
                <w:rFonts w:ascii="Book Antiqua" w:hAnsi="Book Antiqua"/>
                <w:b/>
                <w:bCs/>
              </w:rPr>
            </w:pPr>
            <w:r w:rsidRPr="00F26395">
              <w:rPr>
                <w:rFonts w:ascii="Book Antiqua" w:hAnsi="Book Antiqua"/>
                <w:b/>
                <w:bCs/>
              </w:rPr>
              <w:t xml:space="preserve">Presenting </w:t>
            </w:r>
            <w:r w:rsidR="004D07E8" w:rsidRPr="00F26395">
              <w:rPr>
                <w:rFonts w:ascii="Book Antiqua" w:hAnsi="Book Antiqua"/>
                <w:b/>
                <w:bCs/>
              </w:rPr>
              <w:t>symptom and biopsy location</w:t>
            </w:r>
            <w:r w:rsidR="004D07E8" w:rsidRPr="004D07E8">
              <w:rPr>
                <w:rFonts w:ascii="Book Antiqua" w:hAnsi="Book Antiqua"/>
                <w:b/>
                <w:bCs/>
                <w:vertAlign w:val="superscript"/>
              </w:rPr>
              <w:t>1</w:t>
            </w:r>
          </w:p>
        </w:tc>
        <w:tc>
          <w:tcPr>
            <w:tcW w:w="4680" w:type="dxa"/>
            <w:tcBorders>
              <w:top w:val="single" w:sz="4" w:space="0" w:color="auto"/>
              <w:bottom w:val="single" w:sz="4" w:space="0" w:color="auto"/>
            </w:tcBorders>
          </w:tcPr>
          <w:p w14:paraId="627A04B5"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Histological evidence of GVHD in location, % (</w:t>
            </w:r>
            <w:r w:rsidRPr="004D07E8">
              <w:rPr>
                <w:rFonts w:ascii="Book Antiqua" w:hAnsi="Book Antiqua"/>
                <w:b/>
                <w:bCs/>
                <w:i/>
                <w:iCs/>
              </w:rPr>
              <w:t>n</w:t>
            </w:r>
            <w:r w:rsidRPr="00F26395">
              <w:rPr>
                <w:rFonts w:ascii="Book Antiqua" w:hAnsi="Book Antiqua"/>
                <w:b/>
                <w:bCs/>
              </w:rPr>
              <w:t>)</w:t>
            </w:r>
          </w:p>
        </w:tc>
      </w:tr>
      <w:tr w:rsidR="00F26395" w:rsidRPr="00F26395" w14:paraId="43417B7A" w14:textId="77777777" w:rsidTr="004D07E8">
        <w:tc>
          <w:tcPr>
            <w:tcW w:w="3505" w:type="dxa"/>
            <w:tcBorders>
              <w:top w:val="single" w:sz="4" w:space="0" w:color="auto"/>
            </w:tcBorders>
          </w:tcPr>
          <w:p w14:paraId="4E962165" w14:textId="542D5366" w:rsidR="00F26395" w:rsidRPr="00F26395" w:rsidRDefault="00F26395" w:rsidP="004D07E8">
            <w:pPr>
              <w:spacing w:line="360" w:lineRule="auto"/>
              <w:rPr>
                <w:rFonts w:ascii="Book Antiqua" w:hAnsi="Book Antiqua"/>
                <w:b/>
                <w:bCs/>
              </w:rPr>
            </w:pPr>
            <w:r w:rsidRPr="00F26395">
              <w:rPr>
                <w:rFonts w:ascii="Book Antiqua" w:hAnsi="Book Antiqua"/>
                <w:b/>
                <w:bCs/>
              </w:rPr>
              <w:t>Diarrhea (</w:t>
            </w:r>
            <w:r w:rsidRPr="004D07E8">
              <w:rPr>
                <w:rFonts w:ascii="Book Antiqua" w:hAnsi="Book Antiqua"/>
                <w:b/>
                <w:bCs/>
                <w:i/>
                <w:iCs/>
              </w:rPr>
              <w:t>n</w:t>
            </w:r>
            <w:r w:rsidR="004D07E8">
              <w:rPr>
                <w:rFonts w:ascii="Book Antiqua" w:hAnsi="Book Antiqua"/>
                <w:b/>
                <w:bCs/>
              </w:rPr>
              <w:t xml:space="preserve"> </w:t>
            </w:r>
            <w:r w:rsidRPr="00F26395">
              <w:rPr>
                <w:rFonts w:ascii="Book Antiqua" w:hAnsi="Book Antiqua"/>
                <w:b/>
                <w:bCs/>
              </w:rPr>
              <w:t>=</w:t>
            </w:r>
            <w:r w:rsidR="004D07E8">
              <w:rPr>
                <w:rFonts w:ascii="Book Antiqua" w:hAnsi="Book Antiqua"/>
                <w:b/>
                <w:bCs/>
              </w:rPr>
              <w:t xml:space="preserve"> </w:t>
            </w:r>
            <w:r w:rsidRPr="00F26395">
              <w:rPr>
                <w:rFonts w:ascii="Book Antiqua" w:hAnsi="Book Antiqua"/>
                <w:b/>
                <w:bCs/>
              </w:rPr>
              <w:t>144)</w:t>
            </w:r>
          </w:p>
        </w:tc>
        <w:tc>
          <w:tcPr>
            <w:tcW w:w="4680" w:type="dxa"/>
            <w:tcBorders>
              <w:top w:val="single" w:sz="4" w:space="0" w:color="auto"/>
            </w:tcBorders>
          </w:tcPr>
          <w:p w14:paraId="708BEE4A" w14:textId="77777777" w:rsidR="00F26395" w:rsidRPr="00F26395" w:rsidRDefault="00F26395" w:rsidP="00F26395">
            <w:pPr>
              <w:spacing w:line="360" w:lineRule="auto"/>
              <w:jc w:val="both"/>
              <w:rPr>
                <w:rFonts w:ascii="Book Antiqua" w:hAnsi="Book Antiqua"/>
              </w:rPr>
            </w:pPr>
          </w:p>
        </w:tc>
      </w:tr>
      <w:tr w:rsidR="00F26395" w:rsidRPr="00F26395" w14:paraId="26C28D62" w14:textId="77777777" w:rsidTr="004D07E8">
        <w:tc>
          <w:tcPr>
            <w:tcW w:w="3505" w:type="dxa"/>
          </w:tcPr>
          <w:p w14:paraId="422AD50E" w14:textId="67069817" w:rsidR="00F26395" w:rsidRPr="004D07E8" w:rsidRDefault="00F26395" w:rsidP="004D07E8">
            <w:pPr>
              <w:spacing w:line="360" w:lineRule="auto"/>
              <w:ind w:left="337"/>
              <w:rPr>
                <w:rFonts w:ascii="Book Antiqua" w:hAnsi="Book Antiqua"/>
              </w:rPr>
            </w:pPr>
            <w:r w:rsidRPr="004D07E8">
              <w:rPr>
                <w:rFonts w:ascii="Book Antiqua" w:hAnsi="Book Antiqua"/>
              </w:rPr>
              <w:t xml:space="preserve">Upper GI </w:t>
            </w:r>
            <w:r w:rsidR="004D07E8">
              <w:rPr>
                <w:rFonts w:ascii="Book Antiqua" w:hAnsi="Book Antiqua"/>
              </w:rPr>
              <w:t>t</w:t>
            </w:r>
            <w:r w:rsidRPr="004D07E8">
              <w:rPr>
                <w:rFonts w:ascii="Book Antiqua" w:hAnsi="Book Antiqua"/>
              </w:rPr>
              <w:t>ract</w:t>
            </w:r>
          </w:p>
        </w:tc>
        <w:tc>
          <w:tcPr>
            <w:tcW w:w="4680" w:type="dxa"/>
          </w:tcPr>
          <w:p w14:paraId="003C5CD8" w14:textId="1F7465D6" w:rsidR="00F26395" w:rsidRPr="004D07E8" w:rsidRDefault="00F26395" w:rsidP="00F26395">
            <w:pPr>
              <w:spacing w:line="360" w:lineRule="auto"/>
              <w:jc w:val="both"/>
              <w:rPr>
                <w:rFonts w:ascii="Book Antiqua" w:hAnsi="Book Antiqua"/>
              </w:rPr>
            </w:pPr>
            <w:r w:rsidRPr="004D07E8">
              <w:rPr>
                <w:rFonts w:ascii="Book Antiqua" w:hAnsi="Book Antiqua"/>
              </w:rPr>
              <w:t>95.7 (67/70)</w:t>
            </w:r>
          </w:p>
        </w:tc>
      </w:tr>
      <w:tr w:rsidR="00F26395" w:rsidRPr="00F26395" w14:paraId="5A653244" w14:textId="77777777" w:rsidTr="004D07E8">
        <w:tc>
          <w:tcPr>
            <w:tcW w:w="3505" w:type="dxa"/>
          </w:tcPr>
          <w:p w14:paraId="10B6A3F3" w14:textId="77777777" w:rsidR="00F26395" w:rsidRPr="004D07E8" w:rsidRDefault="00F26395" w:rsidP="004D07E8">
            <w:pPr>
              <w:spacing w:line="360" w:lineRule="auto"/>
              <w:ind w:left="698"/>
              <w:rPr>
                <w:rFonts w:ascii="Book Antiqua" w:hAnsi="Book Antiqua"/>
              </w:rPr>
            </w:pPr>
            <w:r w:rsidRPr="004D07E8">
              <w:rPr>
                <w:rFonts w:ascii="Book Antiqua" w:hAnsi="Book Antiqua"/>
              </w:rPr>
              <w:t>Esophagus</w:t>
            </w:r>
          </w:p>
        </w:tc>
        <w:tc>
          <w:tcPr>
            <w:tcW w:w="4680" w:type="dxa"/>
          </w:tcPr>
          <w:p w14:paraId="49BC5DBF" w14:textId="4F7375D8" w:rsidR="00F26395" w:rsidRPr="00F26395" w:rsidRDefault="00F26395" w:rsidP="00F26395">
            <w:pPr>
              <w:spacing w:line="360" w:lineRule="auto"/>
              <w:jc w:val="both"/>
              <w:rPr>
                <w:rFonts w:ascii="Book Antiqua" w:hAnsi="Book Antiqua"/>
              </w:rPr>
            </w:pPr>
            <w:r w:rsidRPr="00F26395">
              <w:rPr>
                <w:rFonts w:ascii="Book Antiqua" w:hAnsi="Book Antiqua"/>
              </w:rPr>
              <w:t>51.9 (14/27)</w:t>
            </w:r>
          </w:p>
        </w:tc>
      </w:tr>
      <w:tr w:rsidR="00F26395" w:rsidRPr="00F26395" w14:paraId="45341B8B" w14:textId="77777777" w:rsidTr="004D07E8">
        <w:tc>
          <w:tcPr>
            <w:tcW w:w="3505" w:type="dxa"/>
          </w:tcPr>
          <w:p w14:paraId="77463849" w14:textId="77777777" w:rsidR="00F26395" w:rsidRPr="004D07E8" w:rsidRDefault="00F26395" w:rsidP="004D07E8">
            <w:pPr>
              <w:spacing w:line="360" w:lineRule="auto"/>
              <w:ind w:left="698"/>
              <w:rPr>
                <w:rFonts w:ascii="Book Antiqua" w:hAnsi="Book Antiqua"/>
              </w:rPr>
            </w:pPr>
            <w:r w:rsidRPr="004D07E8">
              <w:rPr>
                <w:rFonts w:ascii="Book Antiqua" w:hAnsi="Book Antiqua"/>
              </w:rPr>
              <w:t>Stomach</w:t>
            </w:r>
          </w:p>
        </w:tc>
        <w:tc>
          <w:tcPr>
            <w:tcW w:w="4680" w:type="dxa"/>
          </w:tcPr>
          <w:p w14:paraId="5BEA43B3" w14:textId="1B7CB4AA" w:rsidR="00F26395" w:rsidRPr="00F26395" w:rsidRDefault="00F26395" w:rsidP="00F26395">
            <w:pPr>
              <w:spacing w:line="360" w:lineRule="auto"/>
              <w:jc w:val="both"/>
              <w:rPr>
                <w:rFonts w:ascii="Book Antiqua" w:hAnsi="Book Antiqua"/>
              </w:rPr>
            </w:pPr>
            <w:r w:rsidRPr="00F26395">
              <w:rPr>
                <w:rFonts w:ascii="Book Antiqua" w:hAnsi="Book Antiqua"/>
              </w:rPr>
              <w:t>82.1 (55/67)</w:t>
            </w:r>
          </w:p>
        </w:tc>
      </w:tr>
      <w:tr w:rsidR="00F26395" w:rsidRPr="00F26395" w14:paraId="7D63BF15" w14:textId="77777777" w:rsidTr="004D07E8">
        <w:tc>
          <w:tcPr>
            <w:tcW w:w="3505" w:type="dxa"/>
          </w:tcPr>
          <w:p w14:paraId="7B118473" w14:textId="77777777" w:rsidR="00F26395" w:rsidRPr="004D07E8" w:rsidRDefault="00F26395" w:rsidP="004D07E8">
            <w:pPr>
              <w:spacing w:line="360" w:lineRule="auto"/>
              <w:ind w:left="698"/>
              <w:rPr>
                <w:rFonts w:ascii="Book Antiqua" w:hAnsi="Book Antiqua"/>
              </w:rPr>
            </w:pPr>
            <w:r w:rsidRPr="004D07E8">
              <w:rPr>
                <w:rFonts w:ascii="Book Antiqua" w:hAnsi="Book Antiqua"/>
              </w:rPr>
              <w:t>Duodenum</w:t>
            </w:r>
          </w:p>
        </w:tc>
        <w:tc>
          <w:tcPr>
            <w:tcW w:w="4680" w:type="dxa"/>
          </w:tcPr>
          <w:p w14:paraId="6A1331A0" w14:textId="1A2BA564" w:rsidR="00F26395" w:rsidRPr="00F26395" w:rsidRDefault="00F26395" w:rsidP="00F26395">
            <w:pPr>
              <w:spacing w:line="360" w:lineRule="auto"/>
              <w:jc w:val="both"/>
              <w:rPr>
                <w:rFonts w:ascii="Book Antiqua" w:hAnsi="Book Antiqua"/>
              </w:rPr>
            </w:pPr>
            <w:r w:rsidRPr="00F26395">
              <w:rPr>
                <w:rFonts w:ascii="Book Antiqua" w:hAnsi="Book Antiqua"/>
              </w:rPr>
              <w:t>87.1 (61/70)</w:t>
            </w:r>
          </w:p>
        </w:tc>
      </w:tr>
      <w:tr w:rsidR="00F26395" w:rsidRPr="00F26395" w14:paraId="0C4B4A04" w14:textId="77777777" w:rsidTr="004D07E8">
        <w:tc>
          <w:tcPr>
            <w:tcW w:w="3505" w:type="dxa"/>
          </w:tcPr>
          <w:p w14:paraId="76A68169" w14:textId="0ADA6838" w:rsidR="00F26395" w:rsidRPr="004D07E8" w:rsidRDefault="00F26395" w:rsidP="004D07E8">
            <w:pPr>
              <w:spacing w:line="360" w:lineRule="auto"/>
              <w:ind w:left="337"/>
              <w:rPr>
                <w:rFonts w:ascii="Book Antiqua" w:hAnsi="Book Antiqua"/>
              </w:rPr>
            </w:pPr>
            <w:r w:rsidRPr="004D07E8">
              <w:rPr>
                <w:rFonts w:ascii="Book Antiqua" w:hAnsi="Book Antiqua"/>
              </w:rPr>
              <w:t xml:space="preserve">Lower GI </w:t>
            </w:r>
            <w:r w:rsidR="004D07E8">
              <w:rPr>
                <w:rFonts w:ascii="Book Antiqua" w:hAnsi="Book Antiqua"/>
              </w:rPr>
              <w:t>t</w:t>
            </w:r>
            <w:r w:rsidRPr="004D07E8">
              <w:rPr>
                <w:rFonts w:ascii="Book Antiqua" w:hAnsi="Book Antiqua"/>
              </w:rPr>
              <w:t>ract</w:t>
            </w:r>
          </w:p>
        </w:tc>
        <w:tc>
          <w:tcPr>
            <w:tcW w:w="4680" w:type="dxa"/>
          </w:tcPr>
          <w:p w14:paraId="6CBF91DA" w14:textId="1774B9AF" w:rsidR="00F26395" w:rsidRPr="004D07E8" w:rsidRDefault="00F26395" w:rsidP="00F26395">
            <w:pPr>
              <w:spacing w:line="360" w:lineRule="auto"/>
              <w:jc w:val="both"/>
              <w:rPr>
                <w:rFonts w:ascii="Book Antiqua" w:hAnsi="Book Antiqua"/>
              </w:rPr>
            </w:pPr>
            <w:r w:rsidRPr="004D07E8">
              <w:rPr>
                <w:rFonts w:ascii="Book Antiqua" w:hAnsi="Book Antiqua"/>
              </w:rPr>
              <w:t>99.1 (109/110)</w:t>
            </w:r>
          </w:p>
        </w:tc>
      </w:tr>
      <w:tr w:rsidR="00F26395" w:rsidRPr="00F26395" w14:paraId="09D1E88E" w14:textId="77777777" w:rsidTr="004D07E8">
        <w:tc>
          <w:tcPr>
            <w:tcW w:w="3505" w:type="dxa"/>
          </w:tcPr>
          <w:p w14:paraId="3F632BA2" w14:textId="77777777" w:rsidR="00F26395" w:rsidRPr="004D07E8" w:rsidRDefault="00F26395" w:rsidP="004D07E8">
            <w:pPr>
              <w:spacing w:line="360" w:lineRule="auto"/>
              <w:ind w:left="698"/>
              <w:rPr>
                <w:rFonts w:ascii="Book Antiqua" w:hAnsi="Book Antiqua"/>
              </w:rPr>
            </w:pPr>
            <w:r w:rsidRPr="004D07E8">
              <w:rPr>
                <w:rFonts w:ascii="Book Antiqua" w:hAnsi="Book Antiqua"/>
              </w:rPr>
              <w:t>Ileum</w:t>
            </w:r>
          </w:p>
        </w:tc>
        <w:tc>
          <w:tcPr>
            <w:tcW w:w="4680" w:type="dxa"/>
          </w:tcPr>
          <w:p w14:paraId="5A8DB7D2" w14:textId="74042592" w:rsidR="00F26395" w:rsidRPr="00F26395" w:rsidRDefault="00F26395" w:rsidP="00F26395">
            <w:pPr>
              <w:spacing w:line="360" w:lineRule="auto"/>
              <w:jc w:val="both"/>
              <w:rPr>
                <w:rFonts w:ascii="Book Antiqua" w:hAnsi="Book Antiqua"/>
              </w:rPr>
            </w:pPr>
            <w:r w:rsidRPr="00F26395">
              <w:rPr>
                <w:rFonts w:ascii="Book Antiqua" w:hAnsi="Book Antiqua"/>
              </w:rPr>
              <w:t>100.0 (2/2)</w:t>
            </w:r>
          </w:p>
        </w:tc>
      </w:tr>
      <w:tr w:rsidR="00F26395" w:rsidRPr="00F26395" w14:paraId="44D5AF75" w14:textId="77777777" w:rsidTr="004D07E8">
        <w:tc>
          <w:tcPr>
            <w:tcW w:w="3505" w:type="dxa"/>
          </w:tcPr>
          <w:p w14:paraId="54D34D53" w14:textId="77777777" w:rsidR="00F26395" w:rsidRPr="004D07E8" w:rsidRDefault="00F26395" w:rsidP="004D07E8">
            <w:pPr>
              <w:spacing w:line="360" w:lineRule="auto"/>
              <w:ind w:left="698"/>
              <w:rPr>
                <w:rFonts w:ascii="Book Antiqua" w:hAnsi="Book Antiqua"/>
              </w:rPr>
            </w:pPr>
            <w:r w:rsidRPr="004D07E8">
              <w:rPr>
                <w:rFonts w:ascii="Book Antiqua" w:hAnsi="Book Antiqua"/>
              </w:rPr>
              <w:t>Cecum</w:t>
            </w:r>
          </w:p>
        </w:tc>
        <w:tc>
          <w:tcPr>
            <w:tcW w:w="4680" w:type="dxa"/>
          </w:tcPr>
          <w:p w14:paraId="494A5CC4" w14:textId="5E223851" w:rsidR="00F26395" w:rsidRPr="00F26395" w:rsidRDefault="00F26395" w:rsidP="00F26395">
            <w:pPr>
              <w:spacing w:line="360" w:lineRule="auto"/>
              <w:jc w:val="both"/>
              <w:rPr>
                <w:rFonts w:ascii="Book Antiqua" w:hAnsi="Book Antiqua"/>
              </w:rPr>
            </w:pPr>
            <w:r w:rsidRPr="00F26395">
              <w:rPr>
                <w:rFonts w:ascii="Book Antiqua" w:hAnsi="Book Antiqua"/>
              </w:rPr>
              <w:t>100.0 (1/1)</w:t>
            </w:r>
          </w:p>
        </w:tc>
      </w:tr>
      <w:tr w:rsidR="00F26395" w:rsidRPr="00F26395" w14:paraId="6DCA98FF" w14:textId="77777777" w:rsidTr="004D07E8">
        <w:tc>
          <w:tcPr>
            <w:tcW w:w="3505" w:type="dxa"/>
          </w:tcPr>
          <w:p w14:paraId="54B8F6B1" w14:textId="77777777" w:rsidR="00F26395" w:rsidRPr="004D07E8" w:rsidRDefault="00F26395" w:rsidP="004D07E8">
            <w:pPr>
              <w:spacing w:line="360" w:lineRule="auto"/>
              <w:ind w:left="698"/>
              <w:rPr>
                <w:rFonts w:ascii="Book Antiqua" w:hAnsi="Book Antiqua"/>
              </w:rPr>
            </w:pPr>
            <w:r w:rsidRPr="004D07E8">
              <w:rPr>
                <w:rFonts w:ascii="Book Antiqua" w:hAnsi="Book Antiqua"/>
              </w:rPr>
              <w:t>Ascending colon</w:t>
            </w:r>
          </w:p>
        </w:tc>
        <w:tc>
          <w:tcPr>
            <w:tcW w:w="4680" w:type="dxa"/>
          </w:tcPr>
          <w:p w14:paraId="56DCC050" w14:textId="61D75304" w:rsidR="00F26395" w:rsidRPr="00F26395" w:rsidRDefault="00F26395" w:rsidP="00F26395">
            <w:pPr>
              <w:spacing w:line="360" w:lineRule="auto"/>
              <w:jc w:val="both"/>
              <w:rPr>
                <w:rFonts w:ascii="Book Antiqua" w:hAnsi="Book Antiqua"/>
              </w:rPr>
            </w:pPr>
            <w:r w:rsidRPr="00F26395">
              <w:rPr>
                <w:rFonts w:ascii="Book Antiqua" w:hAnsi="Book Antiqua"/>
              </w:rPr>
              <w:t>100.0 (4/4)</w:t>
            </w:r>
          </w:p>
        </w:tc>
      </w:tr>
      <w:tr w:rsidR="00F26395" w:rsidRPr="00F26395" w14:paraId="51CA2B88" w14:textId="77777777" w:rsidTr="004D07E8">
        <w:tc>
          <w:tcPr>
            <w:tcW w:w="3505" w:type="dxa"/>
          </w:tcPr>
          <w:p w14:paraId="105C69F9" w14:textId="77777777" w:rsidR="00F26395" w:rsidRPr="004D07E8" w:rsidRDefault="00F26395" w:rsidP="004D07E8">
            <w:pPr>
              <w:spacing w:line="360" w:lineRule="auto"/>
              <w:ind w:left="698"/>
              <w:rPr>
                <w:rFonts w:ascii="Book Antiqua" w:hAnsi="Book Antiqua"/>
              </w:rPr>
            </w:pPr>
            <w:r w:rsidRPr="004D07E8">
              <w:rPr>
                <w:rFonts w:ascii="Book Antiqua" w:hAnsi="Book Antiqua"/>
              </w:rPr>
              <w:t>Transverse colon</w:t>
            </w:r>
          </w:p>
        </w:tc>
        <w:tc>
          <w:tcPr>
            <w:tcW w:w="4680" w:type="dxa"/>
          </w:tcPr>
          <w:p w14:paraId="445A2855" w14:textId="1C98A742" w:rsidR="00F26395" w:rsidRPr="00F26395" w:rsidRDefault="00F26395" w:rsidP="00F26395">
            <w:pPr>
              <w:spacing w:line="360" w:lineRule="auto"/>
              <w:jc w:val="both"/>
              <w:rPr>
                <w:rFonts w:ascii="Book Antiqua" w:hAnsi="Book Antiqua"/>
              </w:rPr>
            </w:pPr>
            <w:r w:rsidRPr="00F26395">
              <w:rPr>
                <w:rFonts w:ascii="Book Antiqua" w:hAnsi="Book Antiqua"/>
              </w:rPr>
              <w:t>75.0 (3/4)</w:t>
            </w:r>
          </w:p>
        </w:tc>
      </w:tr>
      <w:tr w:rsidR="00F26395" w:rsidRPr="00F26395" w14:paraId="7CC127DD" w14:textId="77777777" w:rsidTr="004D07E8">
        <w:tc>
          <w:tcPr>
            <w:tcW w:w="3505" w:type="dxa"/>
          </w:tcPr>
          <w:p w14:paraId="53F4D466" w14:textId="77777777" w:rsidR="00F26395" w:rsidRPr="004D07E8" w:rsidRDefault="00F26395" w:rsidP="004D07E8">
            <w:pPr>
              <w:spacing w:line="360" w:lineRule="auto"/>
              <w:ind w:left="698"/>
              <w:rPr>
                <w:rFonts w:ascii="Book Antiqua" w:hAnsi="Book Antiqua"/>
              </w:rPr>
            </w:pPr>
            <w:r w:rsidRPr="004D07E8">
              <w:rPr>
                <w:rFonts w:ascii="Book Antiqua" w:hAnsi="Book Antiqua"/>
              </w:rPr>
              <w:t>Descending colon</w:t>
            </w:r>
          </w:p>
        </w:tc>
        <w:tc>
          <w:tcPr>
            <w:tcW w:w="4680" w:type="dxa"/>
          </w:tcPr>
          <w:p w14:paraId="72853EA5" w14:textId="27554A8C" w:rsidR="00F26395" w:rsidRPr="00F26395" w:rsidRDefault="00F26395" w:rsidP="00F26395">
            <w:pPr>
              <w:spacing w:line="360" w:lineRule="auto"/>
              <w:jc w:val="both"/>
              <w:rPr>
                <w:rFonts w:ascii="Book Antiqua" w:hAnsi="Book Antiqua"/>
              </w:rPr>
            </w:pPr>
            <w:r w:rsidRPr="00F26395">
              <w:rPr>
                <w:rFonts w:ascii="Book Antiqua" w:hAnsi="Book Antiqua"/>
              </w:rPr>
              <w:t>91.7 (11/12)</w:t>
            </w:r>
          </w:p>
        </w:tc>
      </w:tr>
      <w:tr w:rsidR="00F26395" w:rsidRPr="00F26395" w14:paraId="1C432C64" w14:textId="77777777" w:rsidTr="004D07E8">
        <w:tc>
          <w:tcPr>
            <w:tcW w:w="3505" w:type="dxa"/>
          </w:tcPr>
          <w:p w14:paraId="19234718" w14:textId="77777777" w:rsidR="00F26395" w:rsidRPr="004D07E8" w:rsidRDefault="00F26395" w:rsidP="004D07E8">
            <w:pPr>
              <w:spacing w:line="360" w:lineRule="auto"/>
              <w:ind w:left="698"/>
              <w:rPr>
                <w:rFonts w:ascii="Book Antiqua" w:hAnsi="Book Antiqua"/>
              </w:rPr>
            </w:pPr>
            <w:r w:rsidRPr="004D07E8">
              <w:rPr>
                <w:rFonts w:ascii="Book Antiqua" w:hAnsi="Book Antiqua"/>
              </w:rPr>
              <w:t>Sigmoid colon</w:t>
            </w:r>
          </w:p>
        </w:tc>
        <w:tc>
          <w:tcPr>
            <w:tcW w:w="4680" w:type="dxa"/>
          </w:tcPr>
          <w:p w14:paraId="796B164B" w14:textId="0E199FD9" w:rsidR="00F26395" w:rsidRPr="00F26395" w:rsidRDefault="00F26395" w:rsidP="00F26395">
            <w:pPr>
              <w:spacing w:line="360" w:lineRule="auto"/>
              <w:jc w:val="both"/>
              <w:rPr>
                <w:rFonts w:ascii="Book Antiqua" w:hAnsi="Book Antiqua"/>
              </w:rPr>
            </w:pPr>
            <w:r w:rsidRPr="00F26395">
              <w:rPr>
                <w:rFonts w:ascii="Book Antiqua" w:hAnsi="Book Antiqua"/>
              </w:rPr>
              <w:t>93.5 (101/108)</w:t>
            </w:r>
          </w:p>
        </w:tc>
      </w:tr>
      <w:tr w:rsidR="00F26395" w:rsidRPr="00F26395" w14:paraId="135A17E0" w14:textId="77777777" w:rsidTr="004D07E8">
        <w:tc>
          <w:tcPr>
            <w:tcW w:w="3505" w:type="dxa"/>
          </w:tcPr>
          <w:p w14:paraId="580AB698" w14:textId="77777777" w:rsidR="00F26395" w:rsidRPr="004D07E8" w:rsidRDefault="00F26395" w:rsidP="004D07E8">
            <w:pPr>
              <w:spacing w:line="360" w:lineRule="auto"/>
              <w:ind w:left="698"/>
              <w:rPr>
                <w:rFonts w:ascii="Book Antiqua" w:hAnsi="Book Antiqua"/>
              </w:rPr>
            </w:pPr>
            <w:r w:rsidRPr="004D07E8">
              <w:rPr>
                <w:rFonts w:ascii="Book Antiqua" w:hAnsi="Book Antiqua"/>
              </w:rPr>
              <w:t>Rectum</w:t>
            </w:r>
          </w:p>
        </w:tc>
        <w:tc>
          <w:tcPr>
            <w:tcW w:w="4680" w:type="dxa"/>
          </w:tcPr>
          <w:p w14:paraId="2E0BBCE3" w14:textId="08160A26" w:rsidR="00F26395" w:rsidRPr="00F26395" w:rsidRDefault="00F26395" w:rsidP="00F26395">
            <w:pPr>
              <w:spacing w:line="360" w:lineRule="auto"/>
              <w:jc w:val="both"/>
              <w:rPr>
                <w:rFonts w:ascii="Book Antiqua" w:hAnsi="Book Antiqua"/>
              </w:rPr>
            </w:pPr>
            <w:r w:rsidRPr="00F26395">
              <w:rPr>
                <w:rFonts w:ascii="Book Antiqua" w:hAnsi="Book Antiqua"/>
              </w:rPr>
              <w:t>94.0 (94/100)</w:t>
            </w:r>
          </w:p>
        </w:tc>
      </w:tr>
      <w:tr w:rsidR="00F26395" w:rsidRPr="00F26395" w14:paraId="02F1ED40" w14:textId="77777777" w:rsidTr="004D07E8">
        <w:tc>
          <w:tcPr>
            <w:tcW w:w="3505" w:type="dxa"/>
          </w:tcPr>
          <w:p w14:paraId="0252A3D3" w14:textId="535B6639" w:rsidR="00F26395" w:rsidRPr="00F26395" w:rsidRDefault="00F26395" w:rsidP="004D07E8">
            <w:pPr>
              <w:spacing w:line="360" w:lineRule="auto"/>
              <w:rPr>
                <w:rFonts w:ascii="Book Antiqua" w:hAnsi="Book Antiqua"/>
                <w:b/>
                <w:bCs/>
              </w:rPr>
            </w:pPr>
            <w:r w:rsidRPr="00F26395">
              <w:rPr>
                <w:rFonts w:ascii="Book Antiqua" w:hAnsi="Book Antiqua"/>
                <w:b/>
                <w:bCs/>
              </w:rPr>
              <w:t>Nausea/vomiting (</w:t>
            </w:r>
            <w:r w:rsidRPr="004D07E8">
              <w:rPr>
                <w:rFonts w:ascii="Book Antiqua" w:hAnsi="Book Antiqua"/>
                <w:b/>
                <w:bCs/>
                <w:i/>
                <w:iCs/>
              </w:rPr>
              <w:t>n</w:t>
            </w:r>
            <w:r w:rsidR="004D07E8">
              <w:rPr>
                <w:rFonts w:ascii="Book Antiqua" w:hAnsi="Book Antiqua"/>
                <w:b/>
                <w:bCs/>
              </w:rPr>
              <w:t xml:space="preserve"> </w:t>
            </w:r>
            <w:r w:rsidRPr="00F26395">
              <w:rPr>
                <w:rFonts w:ascii="Book Antiqua" w:hAnsi="Book Antiqua"/>
                <w:b/>
                <w:bCs/>
              </w:rPr>
              <w:t>=</w:t>
            </w:r>
            <w:r w:rsidR="004D07E8">
              <w:rPr>
                <w:rFonts w:ascii="Book Antiqua" w:hAnsi="Book Antiqua"/>
                <w:b/>
                <w:bCs/>
              </w:rPr>
              <w:t xml:space="preserve"> </w:t>
            </w:r>
            <w:r w:rsidRPr="00F26395">
              <w:rPr>
                <w:rFonts w:ascii="Book Antiqua" w:hAnsi="Book Antiqua"/>
                <w:b/>
                <w:bCs/>
              </w:rPr>
              <w:t>107)</w:t>
            </w:r>
          </w:p>
        </w:tc>
        <w:tc>
          <w:tcPr>
            <w:tcW w:w="4680" w:type="dxa"/>
          </w:tcPr>
          <w:p w14:paraId="37639904" w14:textId="77777777" w:rsidR="00F26395" w:rsidRPr="00F26395" w:rsidRDefault="00F26395" w:rsidP="00F26395">
            <w:pPr>
              <w:spacing w:line="360" w:lineRule="auto"/>
              <w:jc w:val="both"/>
              <w:rPr>
                <w:rFonts w:ascii="Book Antiqua" w:hAnsi="Book Antiqua"/>
              </w:rPr>
            </w:pPr>
          </w:p>
        </w:tc>
      </w:tr>
      <w:tr w:rsidR="00F26395" w:rsidRPr="00F26395" w14:paraId="6D06F74D" w14:textId="77777777" w:rsidTr="004D07E8">
        <w:tc>
          <w:tcPr>
            <w:tcW w:w="3505" w:type="dxa"/>
          </w:tcPr>
          <w:p w14:paraId="16275C9C" w14:textId="7232650B" w:rsidR="00F26395" w:rsidRPr="004D07E8" w:rsidRDefault="00F26395" w:rsidP="004D07E8">
            <w:pPr>
              <w:spacing w:line="360" w:lineRule="auto"/>
              <w:ind w:left="337"/>
              <w:rPr>
                <w:rFonts w:ascii="Book Antiqua" w:hAnsi="Book Antiqua"/>
              </w:rPr>
            </w:pPr>
            <w:r w:rsidRPr="004D07E8">
              <w:rPr>
                <w:rFonts w:ascii="Book Antiqua" w:hAnsi="Book Antiqua"/>
              </w:rPr>
              <w:t xml:space="preserve">Upper GI </w:t>
            </w:r>
            <w:r w:rsidR="004D07E8">
              <w:rPr>
                <w:rFonts w:ascii="Book Antiqua" w:hAnsi="Book Antiqua"/>
              </w:rPr>
              <w:t>t</w:t>
            </w:r>
            <w:r w:rsidRPr="004D07E8">
              <w:rPr>
                <w:rFonts w:ascii="Book Antiqua" w:hAnsi="Book Antiqua"/>
              </w:rPr>
              <w:t>ract</w:t>
            </w:r>
          </w:p>
        </w:tc>
        <w:tc>
          <w:tcPr>
            <w:tcW w:w="4680" w:type="dxa"/>
          </w:tcPr>
          <w:p w14:paraId="7F189487" w14:textId="508FFDC4" w:rsidR="00F26395" w:rsidRPr="004D07E8" w:rsidRDefault="00F26395" w:rsidP="00F26395">
            <w:pPr>
              <w:spacing w:line="360" w:lineRule="auto"/>
              <w:jc w:val="both"/>
              <w:rPr>
                <w:rFonts w:ascii="Book Antiqua" w:hAnsi="Book Antiqua"/>
              </w:rPr>
            </w:pPr>
            <w:r w:rsidRPr="004D07E8">
              <w:rPr>
                <w:rFonts w:ascii="Book Antiqua" w:hAnsi="Book Antiqua"/>
              </w:rPr>
              <w:t>97.5 (77/79)</w:t>
            </w:r>
          </w:p>
        </w:tc>
      </w:tr>
      <w:tr w:rsidR="00F26395" w:rsidRPr="00F26395" w14:paraId="54568419" w14:textId="77777777" w:rsidTr="004D07E8">
        <w:tc>
          <w:tcPr>
            <w:tcW w:w="3505" w:type="dxa"/>
          </w:tcPr>
          <w:p w14:paraId="3F4A3358" w14:textId="77777777" w:rsidR="00F26395" w:rsidRPr="004D07E8" w:rsidRDefault="00F26395" w:rsidP="004D07E8">
            <w:pPr>
              <w:spacing w:line="360" w:lineRule="auto"/>
              <w:ind w:left="698"/>
              <w:rPr>
                <w:rFonts w:ascii="Book Antiqua" w:hAnsi="Book Antiqua"/>
              </w:rPr>
            </w:pPr>
            <w:r w:rsidRPr="004D07E8">
              <w:rPr>
                <w:rFonts w:ascii="Book Antiqua" w:hAnsi="Book Antiqua"/>
              </w:rPr>
              <w:t>Esophagus</w:t>
            </w:r>
          </w:p>
        </w:tc>
        <w:tc>
          <w:tcPr>
            <w:tcW w:w="4680" w:type="dxa"/>
          </w:tcPr>
          <w:p w14:paraId="1CA07FE0" w14:textId="3F071741" w:rsidR="00F26395" w:rsidRPr="00F26395" w:rsidRDefault="00F26395" w:rsidP="00F26395">
            <w:pPr>
              <w:spacing w:line="360" w:lineRule="auto"/>
              <w:jc w:val="both"/>
              <w:rPr>
                <w:rFonts w:ascii="Book Antiqua" w:hAnsi="Book Antiqua"/>
              </w:rPr>
            </w:pPr>
            <w:r w:rsidRPr="00F26395">
              <w:rPr>
                <w:rFonts w:ascii="Book Antiqua" w:hAnsi="Book Antiqua"/>
              </w:rPr>
              <w:t>51.6 (16/31)</w:t>
            </w:r>
          </w:p>
        </w:tc>
      </w:tr>
      <w:tr w:rsidR="00F26395" w:rsidRPr="00F26395" w14:paraId="290FAF4D" w14:textId="77777777" w:rsidTr="004D07E8">
        <w:tc>
          <w:tcPr>
            <w:tcW w:w="3505" w:type="dxa"/>
          </w:tcPr>
          <w:p w14:paraId="1616971D" w14:textId="77777777" w:rsidR="00F26395" w:rsidRPr="004D07E8" w:rsidRDefault="00F26395" w:rsidP="004D07E8">
            <w:pPr>
              <w:spacing w:line="360" w:lineRule="auto"/>
              <w:ind w:left="698"/>
              <w:rPr>
                <w:rFonts w:ascii="Book Antiqua" w:hAnsi="Book Antiqua"/>
              </w:rPr>
            </w:pPr>
            <w:r w:rsidRPr="004D07E8">
              <w:rPr>
                <w:rFonts w:ascii="Book Antiqua" w:hAnsi="Book Antiqua"/>
              </w:rPr>
              <w:t>Stomach</w:t>
            </w:r>
          </w:p>
        </w:tc>
        <w:tc>
          <w:tcPr>
            <w:tcW w:w="4680" w:type="dxa"/>
          </w:tcPr>
          <w:p w14:paraId="7BAFF9D1" w14:textId="0E13E44B" w:rsidR="00F26395" w:rsidRPr="00F26395" w:rsidRDefault="00F26395" w:rsidP="00F26395">
            <w:pPr>
              <w:spacing w:line="360" w:lineRule="auto"/>
              <w:jc w:val="both"/>
              <w:rPr>
                <w:rFonts w:ascii="Book Antiqua" w:hAnsi="Book Antiqua"/>
              </w:rPr>
            </w:pPr>
            <w:r w:rsidRPr="00F26395">
              <w:rPr>
                <w:rFonts w:ascii="Book Antiqua" w:hAnsi="Book Antiqua"/>
              </w:rPr>
              <w:t>84.6 (66/78)</w:t>
            </w:r>
          </w:p>
        </w:tc>
      </w:tr>
      <w:tr w:rsidR="00F26395" w:rsidRPr="00F26395" w14:paraId="78BBB0A7" w14:textId="77777777" w:rsidTr="004D07E8">
        <w:tc>
          <w:tcPr>
            <w:tcW w:w="3505" w:type="dxa"/>
          </w:tcPr>
          <w:p w14:paraId="59C4F7DC" w14:textId="77777777" w:rsidR="00F26395" w:rsidRPr="004D07E8" w:rsidRDefault="00F26395" w:rsidP="004D07E8">
            <w:pPr>
              <w:spacing w:line="360" w:lineRule="auto"/>
              <w:ind w:left="698"/>
              <w:rPr>
                <w:rFonts w:ascii="Book Antiqua" w:hAnsi="Book Antiqua"/>
              </w:rPr>
            </w:pPr>
            <w:r w:rsidRPr="004D07E8">
              <w:rPr>
                <w:rFonts w:ascii="Book Antiqua" w:hAnsi="Book Antiqua"/>
              </w:rPr>
              <w:t>Duodenum</w:t>
            </w:r>
          </w:p>
        </w:tc>
        <w:tc>
          <w:tcPr>
            <w:tcW w:w="4680" w:type="dxa"/>
          </w:tcPr>
          <w:p w14:paraId="7465996C" w14:textId="2C29D642" w:rsidR="00F26395" w:rsidRPr="00F26395" w:rsidRDefault="00F26395" w:rsidP="00F26395">
            <w:pPr>
              <w:spacing w:line="360" w:lineRule="auto"/>
              <w:jc w:val="both"/>
              <w:rPr>
                <w:rFonts w:ascii="Book Antiqua" w:hAnsi="Book Antiqua"/>
              </w:rPr>
            </w:pPr>
            <w:r w:rsidRPr="00F26395">
              <w:rPr>
                <w:rFonts w:ascii="Book Antiqua" w:hAnsi="Book Antiqua"/>
              </w:rPr>
              <w:t>87.3 (69/79)</w:t>
            </w:r>
          </w:p>
        </w:tc>
      </w:tr>
      <w:tr w:rsidR="00F26395" w:rsidRPr="00F26395" w14:paraId="13362606" w14:textId="77777777" w:rsidTr="004D07E8">
        <w:tc>
          <w:tcPr>
            <w:tcW w:w="3505" w:type="dxa"/>
          </w:tcPr>
          <w:p w14:paraId="5374F093" w14:textId="291A70A4" w:rsidR="00F26395" w:rsidRPr="00F26395" w:rsidRDefault="00F26395" w:rsidP="004D07E8">
            <w:pPr>
              <w:spacing w:line="360" w:lineRule="auto"/>
              <w:ind w:left="337"/>
              <w:rPr>
                <w:rFonts w:ascii="Book Antiqua" w:hAnsi="Book Antiqua"/>
                <w:b/>
                <w:bCs/>
              </w:rPr>
            </w:pPr>
            <w:r w:rsidRPr="00F26395">
              <w:rPr>
                <w:rFonts w:ascii="Book Antiqua" w:hAnsi="Book Antiqua"/>
                <w:b/>
                <w:bCs/>
              </w:rPr>
              <w:t xml:space="preserve">Lower GI </w:t>
            </w:r>
            <w:r w:rsidR="004D07E8">
              <w:rPr>
                <w:rFonts w:ascii="Book Antiqua" w:hAnsi="Book Antiqua"/>
                <w:b/>
                <w:bCs/>
              </w:rPr>
              <w:t>t</w:t>
            </w:r>
            <w:r w:rsidRPr="00F26395">
              <w:rPr>
                <w:rFonts w:ascii="Book Antiqua" w:hAnsi="Book Antiqua"/>
                <w:b/>
                <w:bCs/>
              </w:rPr>
              <w:t>ract</w:t>
            </w:r>
          </w:p>
        </w:tc>
        <w:tc>
          <w:tcPr>
            <w:tcW w:w="4680" w:type="dxa"/>
          </w:tcPr>
          <w:p w14:paraId="483E259F" w14:textId="5C0D609D" w:rsidR="00F26395" w:rsidRPr="004D07E8" w:rsidRDefault="00F26395" w:rsidP="00F26395">
            <w:pPr>
              <w:spacing w:line="360" w:lineRule="auto"/>
              <w:jc w:val="both"/>
              <w:rPr>
                <w:rFonts w:ascii="Book Antiqua" w:hAnsi="Book Antiqua"/>
              </w:rPr>
            </w:pPr>
            <w:r w:rsidRPr="004D07E8">
              <w:rPr>
                <w:rFonts w:ascii="Book Antiqua" w:hAnsi="Book Antiqua"/>
              </w:rPr>
              <w:t>96.8 (60/62)</w:t>
            </w:r>
          </w:p>
        </w:tc>
      </w:tr>
      <w:tr w:rsidR="00F26395" w:rsidRPr="00F26395" w14:paraId="359528AF" w14:textId="77777777" w:rsidTr="004D07E8">
        <w:tc>
          <w:tcPr>
            <w:tcW w:w="3505" w:type="dxa"/>
          </w:tcPr>
          <w:p w14:paraId="1F5D5ED1" w14:textId="77777777" w:rsidR="00F26395" w:rsidRPr="004D07E8" w:rsidRDefault="00F26395" w:rsidP="004D07E8">
            <w:pPr>
              <w:spacing w:line="360" w:lineRule="auto"/>
              <w:ind w:left="698"/>
              <w:rPr>
                <w:rFonts w:ascii="Book Antiqua" w:hAnsi="Book Antiqua"/>
              </w:rPr>
            </w:pPr>
            <w:r w:rsidRPr="004D07E8">
              <w:rPr>
                <w:rFonts w:ascii="Book Antiqua" w:hAnsi="Book Antiqua"/>
              </w:rPr>
              <w:t>Ileum</w:t>
            </w:r>
          </w:p>
        </w:tc>
        <w:tc>
          <w:tcPr>
            <w:tcW w:w="4680" w:type="dxa"/>
          </w:tcPr>
          <w:p w14:paraId="5C0B38F6" w14:textId="77777777" w:rsidR="00F26395" w:rsidRPr="00F26395" w:rsidRDefault="00F26395" w:rsidP="00F26395">
            <w:pPr>
              <w:spacing w:line="360" w:lineRule="auto"/>
              <w:jc w:val="both"/>
              <w:rPr>
                <w:rFonts w:ascii="Book Antiqua" w:hAnsi="Book Antiqua"/>
              </w:rPr>
            </w:pPr>
            <w:r w:rsidRPr="00F26395">
              <w:rPr>
                <w:rFonts w:ascii="Book Antiqua" w:hAnsi="Book Antiqua"/>
              </w:rPr>
              <w:t>-</w:t>
            </w:r>
          </w:p>
        </w:tc>
      </w:tr>
      <w:tr w:rsidR="00F26395" w:rsidRPr="00F26395" w14:paraId="3C017494" w14:textId="77777777" w:rsidTr="004D07E8">
        <w:tc>
          <w:tcPr>
            <w:tcW w:w="3505" w:type="dxa"/>
          </w:tcPr>
          <w:p w14:paraId="364689F5" w14:textId="77777777" w:rsidR="00F26395" w:rsidRPr="004D07E8" w:rsidRDefault="00F26395" w:rsidP="004D07E8">
            <w:pPr>
              <w:spacing w:line="360" w:lineRule="auto"/>
              <w:ind w:left="698"/>
              <w:rPr>
                <w:rFonts w:ascii="Book Antiqua" w:hAnsi="Book Antiqua"/>
              </w:rPr>
            </w:pPr>
            <w:r w:rsidRPr="004D07E8">
              <w:rPr>
                <w:rFonts w:ascii="Book Antiqua" w:hAnsi="Book Antiqua"/>
              </w:rPr>
              <w:t>Cecum</w:t>
            </w:r>
          </w:p>
        </w:tc>
        <w:tc>
          <w:tcPr>
            <w:tcW w:w="4680" w:type="dxa"/>
          </w:tcPr>
          <w:p w14:paraId="4B274150" w14:textId="77777777" w:rsidR="00F26395" w:rsidRPr="00F26395" w:rsidRDefault="00F26395" w:rsidP="00F26395">
            <w:pPr>
              <w:spacing w:line="360" w:lineRule="auto"/>
              <w:jc w:val="both"/>
              <w:rPr>
                <w:rFonts w:ascii="Book Antiqua" w:hAnsi="Book Antiqua"/>
              </w:rPr>
            </w:pPr>
            <w:r w:rsidRPr="00F26395">
              <w:rPr>
                <w:rFonts w:ascii="Book Antiqua" w:hAnsi="Book Antiqua"/>
              </w:rPr>
              <w:t>-</w:t>
            </w:r>
          </w:p>
        </w:tc>
      </w:tr>
      <w:tr w:rsidR="00F26395" w:rsidRPr="00F26395" w14:paraId="1DD4C8F0" w14:textId="77777777" w:rsidTr="004D07E8">
        <w:tc>
          <w:tcPr>
            <w:tcW w:w="3505" w:type="dxa"/>
          </w:tcPr>
          <w:p w14:paraId="1EE2156E" w14:textId="77777777" w:rsidR="00F26395" w:rsidRPr="004D07E8" w:rsidRDefault="00F26395" w:rsidP="004D07E8">
            <w:pPr>
              <w:spacing w:line="360" w:lineRule="auto"/>
              <w:ind w:left="698"/>
              <w:rPr>
                <w:rFonts w:ascii="Book Antiqua" w:hAnsi="Book Antiqua"/>
              </w:rPr>
            </w:pPr>
            <w:r w:rsidRPr="004D07E8">
              <w:rPr>
                <w:rFonts w:ascii="Book Antiqua" w:hAnsi="Book Antiqua"/>
              </w:rPr>
              <w:t>Ascending colon</w:t>
            </w:r>
          </w:p>
        </w:tc>
        <w:tc>
          <w:tcPr>
            <w:tcW w:w="4680" w:type="dxa"/>
          </w:tcPr>
          <w:p w14:paraId="625CD142" w14:textId="77777777" w:rsidR="00F26395" w:rsidRPr="00F26395" w:rsidRDefault="00F26395" w:rsidP="00F26395">
            <w:pPr>
              <w:spacing w:line="360" w:lineRule="auto"/>
              <w:jc w:val="both"/>
              <w:rPr>
                <w:rFonts w:ascii="Book Antiqua" w:hAnsi="Book Antiqua"/>
              </w:rPr>
            </w:pPr>
            <w:r w:rsidRPr="00F26395">
              <w:rPr>
                <w:rFonts w:ascii="Book Antiqua" w:hAnsi="Book Antiqua"/>
              </w:rPr>
              <w:t>-</w:t>
            </w:r>
          </w:p>
        </w:tc>
      </w:tr>
      <w:tr w:rsidR="00F26395" w:rsidRPr="00F26395" w14:paraId="54E0CB31" w14:textId="77777777" w:rsidTr="004D07E8">
        <w:tc>
          <w:tcPr>
            <w:tcW w:w="3505" w:type="dxa"/>
          </w:tcPr>
          <w:p w14:paraId="072D719D" w14:textId="77777777" w:rsidR="00F26395" w:rsidRPr="004D07E8" w:rsidRDefault="00F26395" w:rsidP="004D07E8">
            <w:pPr>
              <w:spacing w:line="360" w:lineRule="auto"/>
              <w:ind w:left="698"/>
              <w:rPr>
                <w:rFonts w:ascii="Book Antiqua" w:hAnsi="Book Antiqua"/>
              </w:rPr>
            </w:pPr>
            <w:r w:rsidRPr="004D07E8">
              <w:rPr>
                <w:rFonts w:ascii="Book Antiqua" w:hAnsi="Book Antiqua"/>
              </w:rPr>
              <w:t>Transverse colon</w:t>
            </w:r>
          </w:p>
        </w:tc>
        <w:tc>
          <w:tcPr>
            <w:tcW w:w="4680" w:type="dxa"/>
          </w:tcPr>
          <w:p w14:paraId="756C4004" w14:textId="77777777" w:rsidR="00F26395" w:rsidRPr="00F26395" w:rsidRDefault="00F26395" w:rsidP="00F26395">
            <w:pPr>
              <w:spacing w:line="360" w:lineRule="auto"/>
              <w:jc w:val="both"/>
              <w:rPr>
                <w:rFonts w:ascii="Book Antiqua" w:hAnsi="Book Antiqua"/>
              </w:rPr>
            </w:pPr>
            <w:r w:rsidRPr="00F26395">
              <w:rPr>
                <w:rFonts w:ascii="Book Antiqua" w:hAnsi="Book Antiqua"/>
              </w:rPr>
              <w:t>-</w:t>
            </w:r>
          </w:p>
        </w:tc>
      </w:tr>
      <w:tr w:rsidR="00F26395" w:rsidRPr="00F26395" w14:paraId="4E191887" w14:textId="77777777" w:rsidTr="004D07E8">
        <w:tc>
          <w:tcPr>
            <w:tcW w:w="3505" w:type="dxa"/>
          </w:tcPr>
          <w:p w14:paraId="4EE00CD0" w14:textId="77777777" w:rsidR="00F26395" w:rsidRPr="004D07E8" w:rsidRDefault="00F26395" w:rsidP="004D07E8">
            <w:pPr>
              <w:spacing w:line="360" w:lineRule="auto"/>
              <w:ind w:left="698"/>
              <w:rPr>
                <w:rFonts w:ascii="Book Antiqua" w:hAnsi="Book Antiqua"/>
              </w:rPr>
            </w:pPr>
            <w:r w:rsidRPr="004D07E8">
              <w:rPr>
                <w:rFonts w:ascii="Book Antiqua" w:hAnsi="Book Antiqua"/>
              </w:rPr>
              <w:t>Descending colon</w:t>
            </w:r>
          </w:p>
        </w:tc>
        <w:tc>
          <w:tcPr>
            <w:tcW w:w="4680" w:type="dxa"/>
          </w:tcPr>
          <w:p w14:paraId="045864A1" w14:textId="0840618C" w:rsidR="00F26395" w:rsidRPr="00F26395" w:rsidRDefault="00F26395" w:rsidP="00F26395">
            <w:pPr>
              <w:spacing w:line="360" w:lineRule="auto"/>
              <w:jc w:val="both"/>
              <w:rPr>
                <w:rFonts w:ascii="Book Antiqua" w:hAnsi="Book Antiqua"/>
              </w:rPr>
            </w:pPr>
            <w:r w:rsidRPr="00F26395">
              <w:rPr>
                <w:rFonts w:ascii="Book Antiqua" w:hAnsi="Book Antiqua"/>
              </w:rPr>
              <w:t>100.0 (6/6)</w:t>
            </w:r>
          </w:p>
        </w:tc>
      </w:tr>
      <w:tr w:rsidR="00F26395" w:rsidRPr="00F26395" w14:paraId="611071A7" w14:textId="77777777" w:rsidTr="004D07E8">
        <w:tc>
          <w:tcPr>
            <w:tcW w:w="3505" w:type="dxa"/>
          </w:tcPr>
          <w:p w14:paraId="33CEDB0B" w14:textId="77777777" w:rsidR="00F26395" w:rsidRPr="004D07E8" w:rsidRDefault="00F26395" w:rsidP="004D07E8">
            <w:pPr>
              <w:spacing w:line="360" w:lineRule="auto"/>
              <w:ind w:left="698"/>
              <w:rPr>
                <w:rFonts w:ascii="Book Antiqua" w:hAnsi="Book Antiqua"/>
              </w:rPr>
            </w:pPr>
            <w:r w:rsidRPr="004D07E8">
              <w:rPr>
                <w:rFonts w:ascii="Book Antiqua" w:hAnsi="Book Antiqua"/>
              </w:rPr>
              <w:t>Sigmoid colon</w:t>
            </w:r>
          </w:p>
        </w:tc>
        <w:tc>
          <w:tcPr>
            <w:tcW w:w="4680" w:type="dxa"/>
          </w:tcPr>
          <w:p w14:paraId="21B61355" w14:textId="28EAEAAA" w:rsidR="00F26395" w:rsidRPr="00F26395" w:rsidRDefault="00F26395" w:rsidP="00F26395">
            <w:pPr>
              <w:spacing w:line="360" w:lineRule="auto"/>
              <w:jc w:val="both"/>
              <w:rPr>
                <w:rFonts w:ascii="Book Antiqua" w:hAnsi="Book Antiqua"/>
              </w:rPr>
            </w:pPr>
            <w:r w:rsidRPr="00F26395">
              <w:rPr>
                <w:rFonts w:ascii="Book Antiqua" w:hAnsi="Book Antiqua"/>
              </w:rPr>
              <w:t>90.2 (55/61)</w:t>
            </w:r>
          </w:p>
        </w:tc>
      </w:tr>
      <w:tr w:rsidR="00F26395" w:rsidRPr="00F26395" w14:paraId="4960FF8C" w14:textId="77777777" w:rsidTr="004D07E8">
        <w:tc>
          <w:tcPr>
            <w:tcW w:w="3505" w:type="dxa"/>
          </w:tcPr>
          <w:p w14:paraId="4EE50256" w14:textId="77777777" w:rsidR="00F26395" w:rsidRPr="004D07E8" w:rsidRDefault="00F26395" w:rsidP="004D07E8">
            <w:pPr>
              <w:spacing w:line="360" w:lineRule="auto"/>
              <w:ind w:left="698"/>
              <w:rPr>
                <w:rFonts w:ascii="Book Antiqua" w:hAnsi="Book Antiqua"/>
              </w:rPr>
            </w:pPr>
            <w:r w:rsidRPr="004D07E8">
              <w:rPr>
                <w:rFonts w:ascii="Book Antiqua" w:hAnsi="Book Antiqua"/>
              </w:rPr>
              <w:lastRenderedPageBreak/>
              <w:t>Rectum</w:t>
            </w:r>
          </w:p>
        </w:tc>
        <w:tc>
          <w:tcPr>
            <w:tcW w:w="4680" w:type="dxa"/>
          </w:tcPr>
          <w:p w14:paraId="429781F2" w14:textId="57393514" w:rsidR="00F26395" w:rsidRPr="00F26395" w:rsidRDefault="00F26395" w:rsidP="00F26395">
            <w:pPr>
              <w:spacing w:line="360" w:lineRule="auto"/>
              <w:jc w:val="both"/>
              <w:rPr>
                <w:rFonts w:ascii="Book Antiqua" w:hAnsi="Book Antiqua"/>
              </w:rPr>
            </w:pPr>
            <w:r w:rsidRPr="00F26395">
              <w:rPr>
                <w:rFonts w:ascii="Book Antiqua" w:hAnsi="Book Antiqua"/>
              </w:rPr>
              <w:t>91.1 (51/56)</w:t>
            </w:r>
          </w:p>
        </w:tc>
      </w:tr>
      <w:tr w:rsidR="00F26395" w:rsidRPr="00F26395" w14:paraId="151FF65A" w14:textId="77777777" w:rsidTr="004D07E8">
        <w:tc>
          <w:tcPr>
            <w:tcW w:w="3505" w:type="dxa"/>
          </w:tcPr>
          <w:p w14:paraId="29388783" w14:textId="5D8C839D" w:rsidR="00F26395" w:rsidRPr="00F26395" w:rsidRDefault="00F26395" w:rsidP="004D07E8">
            <w:pPr>
              <w:spacing w:line="360" w:lineRule="auto"/>
              <w:rPr>
                <w:rFonts w:ascii="Book Antiqua" w:hAnsi="Book Antiqua"/>
                <w:b/>
                <w:bCs/>
              </w:rPr>
            </w:pPr>
            <w:r w:rsidRPr="00F26395">
              <w:rPr>
                <w:rFonts w:ascii="Book Antiqua" w:hAnsi="Book Antiqua"/>
                <w:b/>
                <w:bCs/>
              </w:rPr>
              <w:t>Abdominal pain (</w:t>
            </w:r>
            <w:r w:rsidRPr="004D07E8">
              <w:rPr>
                <w:rFonts w:ascii="Book Antiqua" w:hAnsi="Book Antiqua"/>
                <w:b/>
                <w:bCs/>
                <w:i/>
                <w:iCs/>
              </w:rPr>
              <w:t>n</w:t>
            </w:r>
            <w:r w:rsidR="004D07E8">
              <w:rPr>
                <w:rFonts w:ascii="Book Antiqua" w:hAnsi="Book Antiqua"/>
                <w:b/>
                <w:bCs/>
              </w:rPr>
              <w:t xml:space="preserve"> </w:t>
            </w:r>
            <w:r w:rsidRPr="00F26395">
              <w:rPr>
                <w:rFonts w:ascii="Book Antiqua" w:hAnsi="Book Antiqua"/>
                <w:b/>
                <w:bCs/>
              </w:rPr>
              <w:t>=</w:t>
            </w:r>
            <w:r w:rsidR="004D07E8">
              <w:rPr>
                <w:rFonts w:ascii="Book Antiqua" w:hAnsi="Book Antiqua"/>
                <w:b/>
                <w:bCs/>
              </w:rPr>
              <w:t xml:space="preserve"> </w:t>
            </w:r>
            <w:r w:rsidRPr="00F26395">
              <w:rPr>
                <w:rFonts w:ascii="Book Antiqua" w:hAnsi="Book Antiqua"/>
                <w:b/>
                <w:bCs/>
              </w:rPr>
              <w:t>50)</w:t>
            </w:r>
          </w:p>
        </w:tc>
        <w:tc>
          <w:tcPr>
            <w:tcW w:w="4680" w:type="dxa"/>
          </w:tcPr>
          <w:p w14:paraId="78B36469" w14:textId="77777777" w:rsidR="00F26395" w:rsidRPr="00F26395" w:rsidRDefault="00F26395" w:rsidP="00F26395">
            <w:pPr>
              <w:spacing w:line="360" w:lineRule="auto"/>
              <w:jc w:val="both"/>
              <w:rPr>
                <w:rFonts w:ascii="Book Antiqua" w:hAnsi="Book Antiqua"/>
              </w:rPr>
            </w:pPr>
          </w:p>
        </w:tc>
      </w:tr>
      <w:tr w:rsidR="00F26395" w:rsidRPr="00F26395" w14:paraId="797D5EFA" w14:textId="77777777" w:rsidTr="004D07E8">
        <w:tc>
          <w:tcPr>
            <w:tcW w:w="3505" w:type="dxa"/>
          </w:tcPr>
          <w:p w14:paraId="063A84E2" w14:textId="4E527425" w:rsidR="00F26395" w:rsidRPr="004D07E8" w:rsidRDefault="00F26395" w:rsidP="004D07E8">
            <w:pPr>
              <w:spacing w:line="360" w:lineRule="auto"/>
              <w:ind w:left="337"/>
              <w:rPr>
                <w:rFonts w:ascii="Book Antiqua" w:hAnsi="Book Antiqua"/>
              </w:rPr>
            </w:pPr>
            <w:r w:rsidRPr="004D07E8">
              <w:rPr>
                <w:rFonts w:ascii="Book Antiqua" w:hAnsi="Book Antiqua"/>
              </w:rPr>
              <w:t xml:space="preserve">Upper GI </w:t>
            </w:r>
            <w:r w:rsidR="004D07E8">
              <w:rPr>
                <w:rFonts w:ascii="Book Antiqua" w:hAnsi="Book Antiqua"/>
              </w:rPr>
              <w:t>t</w:t>
            </w:r>
            <w:r w:rsidRPr="004D07E8">
              <w:rPr>
                <w:rFonts w:ascii="Book Antiqua" w:hAnsi="Book Antiqua"/>
              </w:rPr>
              <w:t>ract</w:t>
            </w:r>
          </w:p>
        </w:tc>
        <w:tc>
          <w:tcPr>
            <w:tcW w:w="4680" w:type="dxa"/>
          </w:tcPr>
          <w:p w14:paraId="0E088FB2" w14:textId="48B61862" w:rsidR="00F26395" w:rsidRPr="004D07E8" w:rsidRDefault="00F26395" w:rsidP="00F26395">
            <w:pPr>
              <w:spacing w:line="360" w:lineRule="auto"/>
              <w:jc w:val="both"/>
              <w:rPr>
                <w:rFonts w:ascii="Book Antiqua" w:hAnsi="Book Antiqua"/>
              </w:rPr>
            </w:pPr>
            <w:r w:rsidRPr="004D07E8">
              <w:rPr>
                <w:rFonts w:ascii="Book Antiqua" w:hAnsi="Book Antiqua"/>
              </w:rPr>
              <w:t>89.3 (25/28)</w:t>
            </w:r>
          </w:p>
        </w:tc>
      </w:tr>
      <w:tr w:rsidR="00F26395" w:rsidRPr="00F26395" w14:paraId="5E597B57" w14:textId="77777777" w:rsidTr="004D07E8">
        <w:tc>
          <w:tcPr>
            <w:tcW w:w="3505" w:type="dxa"/>
          </w:tcPr>
          <w:p w14:paraId="59B18951" w14:textId="77777777" w:rsidR="00F26395" w:rsidRPr="004D07E8" w:rsidRDefault="00F26395" w:rsidP="004D07E8">
            <w:pPr>
              <w:spacing w:line="360" w:lineRule="auto"/>
              <w:ind w:left="698"/>
              <w:rPr>
                <w:rFonts w:ascii="Book Antiqua" w:hAnsi="Book Antiqua"/>
              </w:rPr>
            </w:pPr>
            <w:r w:rsidRPr="004D07E8">
              <w:rPr>
                <w:rFonts w:ascii="Book Antiqua" w:hAnsi="Book Antiqua"/>
              </w:rPr>
              <w:t>Esophagus</w:t>
            </w:r>
          </w:p>
        </w:tc>
        <w:tc>
          <w:tcPr>
            <w:tcW w:w="4680" w:type="dxa"/>
          </w:tcPr>
          <w:p w14:paraId="0AEDC2DE" w14:textId="0CD23275" w:rsidR="00F26395" w:rsidRPr="00F26395" w:rsidRDefault="00F26395" w:rsidP="00F26395">
            <w:pPr>
              <w:spacing w:line="360" w:lineRule="auto"/>
              <w:jc w:val="both"/>
              <w:rPr>
                <w:rFonts w:ascii="Book Antiqua" w:hAnsi="Book Antiqua"/>
              </w:rPr>
            </w:pPr>
            <w:r w:rsidRPr="00F26395">
              <w:rPr>
                <w:rFonts w:ascii="Book Antiqua" w:hAnsi="Book Antiqua"/>
              </w:rPr>
              <w:t>66.7 (8/12)</w:t>
            </w:r>
          </w:p>
        </w:tc>
      </w:tr>
      <w:tr w:rsidR="00F26395" w:rsidRPr="00F26395" w14:paraId="351FFF2B" w14:textId="77777777" w:rsidTr="004D07E8">
        <w:tc>
          <w:tcPr>
            <w:tcW w:w="3505" w:type="dxa"/>
          </w:tcPr>
          <w:p w14:paraId="29DD9764" w14:textId="77777777" w:rsidR="00F26395" w:rsidRPr="004D07E8" w:rsidRDefault="00F26395" w:rsidP="004D07E8">
            <w:pPr>
              <w:spacing w:line="360" w:lineRule="auto"/>
              <w:ind w:left="698"/>
              <w:rPr>
                <w:rFonts w:ascii="Book Antiqua" w:hAnsi="Book Antiqua"/>
              </w:rPr>
            </w:pPr>
            <w:r w:rsidRPr="004D07E8">
              <w:rPr>
                <w:rFonts w:ascii="Book Antiqua" w:hAnsi="Book Antiqua"/>
              </w:rPr>
              <w:t>Stomach</w:t>
            </w:r>
          </w:p>
        </w:tc>
        <w:tc>
          <w:tcPr>
            <w:tcW w:w="4680" w:type="dxa"/>
          </w:tcPr>
          <w:p w14:paraId="3505A88D" w14:textId="76E67796" w:rsidR="00F26395" w:rsidRPr="00F26395" w:rsidRDefault="00F26395" w:rsidP="00F26395">
            <w:pPr>
              <w:spacing w:line="360" w:lineRule="auto"/>
              <w:jc w:val="both"/>
              <w:rPr>
                <w:rFonts w:ascii="Book Antiqua" w:hAnsi="Book Antiqua"/>
              </w:rPr>
            </w:pPr>
            <w:r w:rsidRPr="00F26395">
              <w:rPr>
                <w:rFonts w:ascii="Book Antiqua" w:hAnsi="Book Antiqua"/>
              </w:rPr>
              <w:t>89.3 (25/28)</w:t>
            </w:r>
          </w:p>
        </w:tc>
      </w:tr>
      <w:tr w:rsidR="00F26395" w:rsidRPr="00F26395" w14:paraId="7CE1805E" w14:textId="77777777" w:rsidTr="004D07E8">
        <w:tc>
          <w:tcPr>
            <w:tcW w:w="3505" w:type="dxa"/>
          </w:tcPr>
          <w:p w14:paraId="278CD536" w14:textId="77777777" w:rsidR="00F26395" w:rsidRPr="004D07E8" w:rsidRDefault="00F26395" w:rsidP="004D07E8">
            <w:pPr>
              <w:spacing w:line="360" w:lineRule="auto"/>
              <w:ind w:left="698"/>
              <w:rPr>
                <w:rFonts w:ascii="Book Antiqua" w:hAnsi="Book Antiqua"/>
              </w:rPr>
            </w:pPr>
            <w:r w:rsidRPr="004D07E8">
              <w:rPr>
                <w:rFonts w:ascii="Book Antiqua" w:hAnsi="Book Antiqua"/>
              </w:rPr>
              <w:t>Duodenum</w:t>
            </w:r>
          </w:p>
        </w:tc>
        <w:tc>
          <w:tcPr>
            <w:tcW w:w="4680" w:type="dxa"/>
          </w:tcPr>
          <w:p w14:paraId="60DC421F" w14:textId="0286A178" w:rsidR="00F26395" w:rsidRPr="00F26395" w:rsidRDefault="00F26395" w:rsidP="00F26395">
            <w:pPr>
              <w:spacing w:line="360" w:lineRule="auto"/>
              <w:jc w:val="both"/>
              <w:rPr>
                <w:rFonts w:ascii="Book Antiqua" w:hAnsi="Book Antiqua"/>
              </w:rPr>
            </w:pPr>
            <w:r w:rsidRPr="00F26395">
              <w:rPr>
                <w:rFonts w:ascii="Book Antiqua" w:hAnsi="Book Antiqua"/>
              </w:rPr>
              <w:t>85.7 (24/28)</w:t>
            </w:r>
          </w:p>
        </w:tc>
      </w:tr>
      <w:tr w:rsidR="00F26395" w:rsidRPr="00F26395" w14:paraId="358C2CB9" w14:textId="77777777" w:rsidTr="004D07E8">
        <w:tc>
          <w:tcPr>
            <w:tcW w:w="3505" w:type="dxa"/>
          </w:tcPr>
          <w:p w14:paraId="72067F92" w14:textId="1739546A" w:rsidR="00F26395" w:rsidRPr="00F26395" w:rsidRDefault="00F26395" w:rsidP="004D07E8">
            <w:pPr>
              <w:spacing w:line="360" w:lineRule="auto"/>
              <w:ind w:left="337"/>
              <w:rPr>
                <w:rFonts w:ascii="Book Antiqua" w:hAnsi="Book Antiqua"/>
                <w:b/>
                <w:bCs/>
              </w:rPr>
            </w:pPr>
            <w:r w:rsidRPr="00F26395">
              <w:rPr>
                <w:rFonts w:ascii="Book Antiqua" w:hAnsi="Book Antiqua"/>
                <w:b/>
                <w:bCs/>
              </w:rPr>
              <w:t xml:space="preserve">Lower GI </w:t>
            </w:r>
            <w:r w:rsidR="004D07E8">
              <w:rPr>
                <w:rFonts w:ascii="Book Antiqua" w:hAnsi="Book Antiqua"/>
                <w:b/>
                <w:bCs/>
              </w:rPr>
              <w:t>t</w:t>
            </w:r>
            <w:r w:rsidRPr="00F26395">
              <w:rPr>
                <w:rFonts w:ascii="Book Antiqua" w:hAnsi="Book Antiqua"/>
                <w:b/>
                <w:bCs/>
              </w:rPr>
              <w:t>ract</w:t>
            </w:r>
          </w:p>
        </w:tc>
        <w:tc>
          <w:tcPr>
            <w:tcW w:w="4680" w:type="dxa"/>
          </w:tcPr>
          <w:p w14:paraId="7E58F3C1" w14:textId="01ED2255" w:rsidR="00F26395" w:rsidRPr="004D07E8" w:rsidRDefault="00F26395" w:rsidP="00F26395">
            <w:pPr>
              <w:spacing w:line="360" w:lineRule="auto"/>
              <w:jc w:val="both"/>
              <w:rPr>
                <w:rFonts w:ascii="Book Antiqua" w:hAnsi="Book Antiqua"/>
              </w:rPr>
            </w:pPr>
            <w:r w:rsidRPr="004D07E8">
              <w:rPr>
                <w:rFonts w:ascii="Book Antiqua" w:hAnsi="Book Antiqua"/>
              </w:rPr>
              <w:t>96.8 (30/31)</w:t>
            </w:r>
          </w:p>
        </w:tc>
      </w:tr>
      <w:tr w:rsidR="00F26395" w:rsidRPr="00F26395" w14:paraId="4DCF5C3B" w14:textId="77777777" w:rsidTr="004D07E8">
        <w:tc>
          <w:tcPr>
            <w:tcW w:w="3505" w:type="dxa"/>
          </w:tcPr>
          <w:p w14:paraId="5D9C878D" w14:textId="77777777" w:rsidR="00F26395" w:rsidRPr="004D07E8" w:rsidRDefault="00F26395" w:rsidP="004D07E8">
            <w:pPr>
              <w:spacing w:line="360" w:lineRule="auto"/>
              <w:ind w:left="698"/>
              <w:jc w:val="both"/>
              <w:rPr>
                <w:rFonts w:ascii="Book Antiqua" w:hAnsi="Book Antiqua"/>
              </w:rPr>
            </w:pPr>
            <w:r w:rsidRPr="004D07E8">
              <w:rPr>
                <w:rFonts w:ascii="Book Antiqua" w:hAnsi="Book Antiqua"/>
              </w:rPr>
              <w:t>Ileum</w:t>
            </w:r>
          </w:p>
        </w:tc>
        <w:tc>
          <w:tcPr>
            <w:tcW w:w="4680" w:type="dxa"/>
          </w:tcPr>
          <w:p w14:paraId="59091DF6" w14:textId="014AD108" w:rsidR="00F26395" w:rsidRPr="00F26395" w:rsidRDefault="00F26395" w:rsidP="00F26395">
            <w:pPr>
              <w:spacing w:line="360" w:lineRule="auto"/>
              <w:jc w:val="both"/>
              <w:rPr>
                <w:rFonts w:ascii="Book Antiqua" w:hAnsi="Book Antiqua"/>
              </w:rPr>
            </w:pPr>
            <w:r w:rsidRPr="00F26395">
              <w:rPr>
                <w:rFonts w:ascii="Book Antiqua" w:hAnsi="Book Antiqua"/>
              </w:rPr>
              <w:t>100.0 (1/1)</w:t>
            </w:r>
          </w:p>
        </w:tc>
      </w:tr>
      <w:tr w:rsidR="00F26395" w:rsidRPr="00F26395" w14:paraId="7E8F1077" w14:textId="77777777" w:rsidTr="004D07E8">
        <w:tc>
          <w:tcPr>
            <w:tcW w:w="3505" w:type="dxa"/>
          </w:tcPr>
          <w:p w14:paraId="2712128F" w14:textId="77777777" w:rsidR="00F26395" w:rsidRPr="004D07E8" w:rsidRDefault="00F26395" w:rsidP="004D07E8">
            <w:pPr>
              <w:spacing w:line="360" w:lineRule="auto"/>
              <w:ind w:left="698"/>
              <w:rPr>
                <w:rFonts w:ascii="Book Antiqua" w:hAnsi="Book Antiqua"/>
              </w:rPr>
            </w:pPr>
            <w:r w:rsidRPr="004D07E8">
              <w:rPr>
                <w:rFonts w:ascii="Book Antiqua" w:hAnsi="Book Antiqua"/>
              </w:rPr>
              <w:t>Cecum</w:t>
            </w:r>
          </w:p>
        </w:tc>
        <w:tc>
          <w:tcPr>
            <w:tcW w:w="4680" w:type="dxa"/>
          </w:tcPr>
          <w:p w14:paraId="7B5ECA98" w14:textId="2E41C238" w:rsidR="00F26395" w:rsidRPr="00F26395" w:rsidRDefault="00F26395" w:rsidP="00F26395">
            <w:pPr>
              <w:spacing w:line="360" w:lineRule="auto"/>
              <w:jc w:val="both"/>
              <w:rPr>
                <w:rFonts w:ascii="Book Antiqua" w:hAnsi="Book Antiqua"/>
              </w:rPr>
            </w:pPr>
            <w:r w:rsidRPr="00F26395">
              <w:rPr>
                <w:rFonts w:ascii="Book Antiqua" w:hAnsi="Book Antiqua"/>
              </w:rPr>
              <w:t>100.0 (1/1)</w:t>
            </w:r>
          </w:p>
        </w:tc>
      </w:tr>
      <w:tr w:rsidR="00F26395" w:rsidRPr="00F26395" w14:paraId="6DA4CAD6" w14:textId="77777777" w:rsidTr="004D07E8">
        <w:tc>
          <w:tcPr>
            <w:tcW w:w="3505" w:type="dxa"/>
          </w:tcPr>
          <w:p w14:paraId="5177B11F" w14:textId="77777777" w:rsidR="00F26395" w:rsidRPr="004D07E8" w:rsidRDefault="00F26395" w:rsidP="004D07E8">
            <w:pPr>
              <w:spacing w:line="360" w:lineRule="auto"/>
              <w:ind w:left="698"/>
              <w:rPr>
                <w:rFonts w:ascii="Book Antiqua" w:hAnsi="Book Antiqua"/>
              </w:rPr>
            </w:pPr>
            <w:r w:rsidRPr="004D07E8">
              <w:rPr>
                <w:rFonts w:ascii="Book Antiqua" w:hAnsi="Book Antiqua"/>
              </w:rPr>
              <w:t>Ascending colon</w:t>
            </w:r>
          </w:p>
        </w:tc>
        <w:tc>
          <w:tcPr>
            <w:tcW w:w="4680" w:type="dxa"/>
          </w:tcPr>
          <w:p w14:paraId="77D2D0E5" w14:textId="2BC4B7E6" w:rsidR="00F26395" w:rsidRPr="00F26395" w:rsidRDefault="00F26395" w:rsidP="00F26395">
            <w:pPr>
              <w:spacing w:line="360" w:lineRule="auto"/>
              <w:jc w:val="both"/>
              <w:rPr>
                <w:rFonts w:ascii="Book Antiqua" w:hAnsi="Book Antiqua"/>
              </w:rPr>
            </w:pPr>
            <w:r w:rsidRPr="00F26395">
              <w:rPr>
                <w:rFonts w:ascii="Book Antiqua" w:hAnsi="Book Antiqua"/>
              </w:rPr>
              <w:t>100.0 (2/2)</w:t>
            </w:r>
          </w:p>
        </w:tc>
      </w:tr>
      <w:tr w:rsidR="00F26395" w:rsidRPr="00F26395" w14:paraId="4890F131" w14:textId="77777777" w:rsidTr="004D07E8">
        <w:tc>
          <w:tcPr>
            <w:tcW w:w="3505" w:type="dxa"/>
          </w:tcPr>
          <w:p w14:paraId="66067870" w14:textId="77777777" w:rsidR="00F26395" w:rsidRPr="004D07E8" w:rsidRDefault="00F26395" w:rsidP="004D07E8">
            <w:pPr>
              <w:spacing w:line="360" w:lineRule="auto"/>
              <w:ind w:left="698"/>
              <w:rPr>
                <w:rFonts w:ascii="Book Antiqua" w:hAnsi="Book Antiqua"/>
              </w:rPr>
            </w:pPr>
            <w:r w:rsidRPr="004D07E8">
              <w:rPr>
                <w:rFonts w:ascii="Book Antiqua" w:hAnsi="Book Antiqua"/>
              </w:rPr>
              <w:t>Transverse colon</w:t>
            </w:r>
          </w:p>
        </w:tc>
        <w:tc>
          <w:tcPr>
            <w:tcW w:w="4680" w:type="dxa"/>
          </w:tcPr>
          <w:p w14:paraId="214754E7" w14:textId="34CFCABF" w:rsidR="00F26395" w:rsidRPr="00F26395" w:rsidRDefault="00F26395" w:rsidP="00F26395">
            <w:pPr>
              <w:spacing w:line="360" w:lineRule="auto"/>
              <w:jc w:val="both"/>
              <w:rPr>
                <w:rFonts w:ascii="Book Antiqua" w:hAnsi="Book Antiqua"/>
              </w:rPr>
            </w:pPr>
            <w:r w:rsidRPr="00F26395">
              <w:rPr>
                <w:rFonts w:ascii="Book Antiqua" w:hAnsi="Book Antiqua"/>
              </w:rPr>
              <w:t>100.0 (1/1)</w:t>
            </w:r>
          </w:p>
        </w:tc>
      </w:tr>
      <w:tr w:rsidR="00F26395" w:rsidRPr="00F26395" w14:paraId="4D8F89CC" w14:textId="77777777" w:rsidTr="004D07E8">
        <w:tc>
          <w:tcPr>
            <w:tcW w:w="3505" w:type="dxa"/>
          </w:tcPr>
          <w:p w14:paraId="7B81C561" w14:textId="77777777" w:rsidR="00F26395" w:rsidRPr="004D07E8" w:rsidRDefault="00F26395" w:rsidP="004D07E8">
            <w:pPr>
              <w:spacing w:line="360" w:lineRule="auto"/>
              <w:ind w:left="698"/>
              <w:rPr>
                <w:rFonts w:ascii="Book Antiqua" w:hAnsi="Book Antiqua"/>
              </w:rPr>
            </w:pPr>
            <w:r w:rsidRPr="004D07E8">
              <w:rPr>
                <w:rFonts w:ascii="Book Antiqua" w:hAnsi="Book Antiqua"/>
              </w:rPr>
              <w:t>Descending colon</w:t>
            </w:r>
          </w:p>
        </w:tc>
        <w:tc>
          <w:tcPr>
            <w:tcW w:w="4680" w:type="dxa"/>
          </w:tcPr>
          <w:p w14:paraId="3C7E1F9C" w14:textId="22A1D336" w:rsidR="00F26395" w:rsidRPr="00F26395" w:rsidRDefault="00F26395" w:rsidP="00F26395">
            <w:pPr>
              <w:spacing w:line="360" w:lineRule="auto"/>
              <w:jc w:val="both"/>
              <w:rPr>
                <w:rFonts w:ascii="Book Antiqua" w:hAnsi="Book Antiqua"/>
              </w:rPr>
            </w:pPr>
            <w:r w:rsidRPr="00F26395">
              <w:rPr>
                <w:rFonts w:ascii="Book Antiqua" w:hAnsi="Book Antiqua"/>
              </w:rPr>
              <w:t>100.0 (4/4)</w:t>
            </w:r>
          </w:p>
        </w:tc>
      </w:tr>
      <w:tr w:rsidR="00F26395" w:rsidRPr="00F26395" w14:paraId="27E5686A" w14:textId="77777777" w:rsidTr="004D07E8">
        <w:tc>
          <w:tcPr>
            <w:tcW w:w="3505" w:type="dxa"/>
          </w:tcPr>
          <w:p w14:paraId="16A6470E" w14:textId="77777777" w:rsidR="00F26395" w:rsidRPr="004D07E8" w:rsidRDefault="00F26395" w:rsidP="004D07E8">
            <w:pPr>
              <w:spacing w:line="360" w:lineRule="auto"/>
              <w:ind w:left="698"/>
              <w:rPr>
                <w:rFonts w:ascii="Book Antiqua" w:hAnsi="Book Antiqua"/>
              </w:rPr>
            </w:pPr>
            <w:r w:rsidRPr="004D07E8">
              <w:rPr>
                <w:rFonts w:ascii="Book Antiqua" w:hAnsi="Book Antiqua"/>
              </w:rPr>
              <w:t>Sigmoid colon</w:t>
            </w:r>
          </w:p>
        </w:tc>
        <w:tc>
          <w:tcPr>
            <w:tcW w:w="4680" w:type="dxa"/>
          </w:tcPr>
          <w:p w14:paraId="0400A5CD" w14:textId="35307F95" w:rsidR="00F26395" w:rsidRPr="00F26395" w:rsidRDefault="00F26395" w:rsidP="00F26395">
            <w:pPr>
              <w:spacing w:line="360" w:lineRule="auto"/>
              <w:jc w:val="both"/>
              <w:rPr>
                <w:rFonts w:ascii="Book Antiqua" w:hAnsi="Book Antiqua"/>
              </w:rPr>
            </w:pPr>
            <w:r w:rsidRPr="00F26395">
              <w:rPr>
                <w:rFonts w:ascii="Book Antiqua" w:hAnsi="Book Antiqua"/>
              </w:rPr>
              <w:t>87.1 (27/31)</w:t>
            </w:r>
          </w:p>
        </w:tc>
      </w:tr>
      <w:tr w:rsidR="00F26395" w:rsidRPr="00F26395" w14:paraId="472AD35F" w14:textId="77777777" w:rsidTr="004D07E8">
        <w:tc>
          <w:tcPr>
            <w:tcW w:w="3505" w:type="dxa"/>
            <w:tcBorders>
              <w:bottom w:val="single" w:sz="4" w:space="0" w:color="auto"/>
            </w:tcBorders>
          </w:tcPr>
          <w:p w14:paraId="26E3742A" w14:textId="77777777" w:rsidR="00F26395" w:rsidRPr="004D07E8" w:rsidRDefault="00F26395" w:rsidP="004D07E8">
            <w:pPr>
              <w:spacing w:line="360" w:lineRule="auto"/>
              <w:ind w:left="698"/>
              <w:rPr>
                <w:rFonts w:ascii="Book Antiqua" w:hAnsi="Book Antiqua"/>
              </w:rPr>
            </w:pPr>
            <w:r w:rsidRPr="004D07E8">
              <w:rPr>
                <w:rFonts w:ascii="Book Antiqua" w:hAnsi="Book Antiqua"/>
              </w:rPr>
              <w:t>Rectum</w:t>
            </w:r>
          </w:p>
        </w:tc>
        <w:tc>
          <w:tcPr>
            <w:tcW w:w="4680" w:type="dxa"/>
            <w:tcBorders>
              <w:bottom w:val="single" w:sz="4" w:space="0" w:color="auto"/>
            </w:tcBorders>
          </w:tcPr>
          <w:p w14:paraId="7EEC37EF" w14:textId="209B3D1D" w:rsidR="00F26395" w:rsidRPr="00F26395" w:rsidRDefault="00F26395" w:rsidP="00F26395">
            <w:pPr>
              <w:spacing w:line="360" w:lineRule="auto"/>
              <w:jc w:val="both"/>
              <w:rPr>
                <w:rFonts w:ascii="Book Antiqua" w:hAnsi="Book Antiqua"/>
              </w:rPr>
            </w:pPr>
            <w:r w:rsidRPr="00F26395">
              <w:rPr>
                <w:rFonts w:ascii="Book Antiqua" w:hAnsi="Book Antiqua"/>
              </w:rPr>
              <w:t>86.7 (26/30)</w:t>
            </w:r>
          </w:p>
        </w:tc>
      </w:tr>
    </w:tbl>
    <w:p w14:paraId="50FBAD9D" w14:textId="5949902C" w:rsidR="00F26395" w:rsidRPr="00F26395" w:rsidRDefault="004D07E8" w:rsidP="00F26395">
      <w:pPr>
        <w:spacing w:line="360" w:lineRule="auto"/>
        <w:jc w:val="both"/>
        <w:rPr>
          <w:rFonts w:ascii="Book Antiqua" w:hAnsi="Book Antiqua"/>
        </w:rPr>
      </w:pPr>
      <w:r w:rsidRPr="004D07E8">
        <w:rPr>
          <w:rFonts w:ascii="Book Antiqua" w:hAnsi="Book Antiqua"/>
          <w:vertAlign w:val="superscript"/>
        </w:rPr>
        <w:t>1</w:t>
      </w:r>
      <w:r w:rsidR="00F26395" w:rsidRPr="00F26395">
        <w:rPr>
          <w:rFonts w:ascii="Book Antiqua" w:hAnsi="Book Antiqua"/>
        </w:rPr>
        <w:t xml:space="preserve">Denominators represent all patients with presenting symptom, biopsy obtained from specified location in the </w:t>
      </w:r>
      <w:r>
        <w:rPr>
          <w:rFonts w:ascii="Book Antiqua" w:eastAsia="Book Antiqua" w:hAnsi="Book Antiqua" w:cs="Book Antiqua"/>
          <w:color w:val="000000"/>
        </w:rPr>
        <w:t>g</w:t>
      </w:r>
      <w:r w:rsidRPr="00F26395">
        <w:rPr>
          <w:rFonts w:ascii="Book Antiqua" w:eastAsia="Book Antiqua" w:hAnsi="Book Antiqua" w:cs="Book Antiqua"/>
          <w:color w:val="000000"/>
        </w:rPr>
        <w:t>astrointestinal</w:t>
      </w:r>
      <w:r w:rsidRPr="00F26395">
        <w:rPr>
          <w:rFonts w:ascii="Book Antiqua" w:hAnsi="Book Antiqua"/>
        </w:rPr>
        <w:t xml:space="preserve"> </w:t>
      </w:r>
      <w:r>
        <w:rPr>
          <w:rFonts w:ascii="Book Antiqua" w:hAnsi="Book Antiqua"/>
        </w:rPr>
        <w:t>(</w:t>
      </w:r>
      <w:r w:rsidR="00F26395" w:rsidRPr="00F26395">
        <w:rPr>
          <w:rFonts w:ascii="Book Antiqua" w:hAnsi="Book Antiqua"/>
        </w:rPr>
        <w:t>GI</w:t>
      </w:r>
      <w:r>
        <w:rPr>
          <w:rFonts w:ascii="Book Antiqua" w:hAnsi="Book Antiqua"/>
        </w:rPr>
        <w:t>)</w:t>
      </w:r>
      <w:r w:rsidR="00F26395" w:rsidRPr="00F26395">
        <w:rPr>
          <w:rFonts w:ascii="Book Antiqua" w:hAnsi="Book Antiqua"/>
        </w:rPr>
        <w:t xml:space="preserve"> tract, and histological evidence of </w:t>
      </w:r>
      <w:r>
        <w:rPr>
          <w:rFonts w:ascii="Book Antiqua" w:eastAsia="Book Antiqua" w:hAnsi="Book Antiqua" w:cs="Book Antiqua"/>
          <w:color w:val="000000"/>
        </w:rPr>
        <w:t>g</w:t>
      </w:r>
      <w:r w:rsidRPr="00F26395">
        <w:rPr>
          <w:rFonts w:ascii="Book Antiqua" w:eastAsia="Book Antiqua" w:hAnsi="Book Antiqua" w:cs="Book Antiqua"/>
          <w:color w:val="000000"/>
        </w:rPr>
        <w:t>raft-</w:t>
      </w:r>
      <w:r w:rsidRPr="00F26395">
        <w:rPr>
          <w:rFonts w:ascii="Book Antiqua" w:eastAsia="Book Antiqua" w:hAnsi="Book Antiqua" w:cs="Book Antiqua"/>
          <w:i/>
          <w:iCs/>
          <w:color w:val="000000"/>
        </w:rPr>
        <w:t>vs</w:t>
      </w:r>
      <w:r w:rsidRPr="00F26395">
        <w:rPr>
          <w:rFonts w:ascii="Book Antiqua" w:eastAsia="Book Antiqua" w:hAnsi="Book Antiqua" w:cs="Book Antiqua"/>
          <w:color w:val="000000"/>
        </w:rPr>
        <w:t>-host disease</w:t>
      </w:r>
      <w:r w:rsidRPr="00F26395">
        <w:rPr>
          <w:rFonts w:ascii="Book Antiqua" w:hAnsi="Book Antiqua"/>
        </w:rPr>
        <w:t xml:space="preserve"> </w:t>
      </w:r>
      <w:r w:rsidR="00F26395" w:rsidRPr="00F26395">
        <w:rPr>
          <w:rFonts w:ascii="Book Antiqua" w:hAnsi="Book Antiqua"/>
        </w:rPr>
        <w:t>in tissue obtained anywhere in the GI tract.</w:t>
      </w:r>
      <w:r>
        <w:rPr>
          <w:rFonts w:ascii="Book Antiqua" w:hAnsi="Book Antiqua"/>
        </w:rPr>
        <w:t xml:space="preserve"> GI: </w:t>
      </w:r>
      <w:r>
        <w:rPr>
          <w:rFonts w:ascii="Book Antiqua" w:eastAsia="Book Antiqua" w:hAnsi="Book Antiqua" w:cs="Book Antiqua"/>
          <w:color w:val="000000"/>
        </w:rPr>
        <w:t>G</w:t>
      </w:r>
      <w:r w:rsidRPr="00F26395">
        <w:rPr>
          <w:rFonts w:ascii="Book Antiqua" w:eastAsia="Book Antiqua" w:hAnsi="Book Antiqua" w:cs="Book Antiqua"/>
          <w:color w:val="000000"/>
        </w:rPr>
        <w:t>astrointestinal</w:t>
      </w:r>
      <w:r>
        <w:rPr>
          <w:rFonts w:ascii="Book Antiqua" w:eastAsia="Book Antiqua" w:hAnsi="Book Antiqua" w:cs="Book Antiqua"/>
          <w:color w:val="000000"/>
        </w:rPr>
        <w:t xml:space="preserve">; </w:t>
      </w:r>
      <w:r w:rsidRPr="00F26395">
        <w:rPr>
          <w:rFonts w:ascii="Book Antiqua" w:hAnsi="Book Antiqua"/>
        </w:rPr>
        <w:t xml:space="preserve">GVHD: </w:t>
      </w:r>
      <w:r w:rsidRPr="00F26395">
        <w:rPr>
          <w:rFonts w:ascii="Book Antiqua" w:eastAsia="Book Antiqua" w:hAnsi="Book Antiqua" w:cs="Book Antiqua"/>
          <w:color w:val="000000"/>
        </w:rPr>
        <w:t>Graft-</w:t>
      </w:r>
      <w:r w:rsidRPr="00F26395">
        <w:rPr>
          <w:rFonts w:ascii="Book Antiqua" w:eastAsia="Book Antiqua" w:hAnsi="Book Antiqua" w:cs="Book Antiqua"/>
          <w:i/>
          <w:iCs/>
          <w:color w:val="000000"/>
        </w:rPr>
        <w:t>vs</w:t>
      </w:r>
      <w:r w:rsidRPr="00F26395">
        <w:rPr>
          <w:rFonts w:ascii="Book Antiqua" w:eastAsia="Book Antiqua" w:hAnsi="Book Antiqua" w:cs="Book Antiqua"/>
          <w:color w:val="000000"/>
        </w:rPr>
        <w:t>-host disease</w:t>
      </w:r>
      <w:r>
        <w:rPr>
          <w:rFonts w:ascii="Book Antiqua" w:eastAsia="Book Antiqua" w:hAnsi="Book Antiqua" w:cs="Book Antiqua"/>
          <w:color w:val="000000"/>
        </w:rPr>
        <w:t xml:space="preserve">. </w:t>
      </w:r>
    </w:p>
    <w:p w14:paraId="3569D50D" w14:textId="4FFE55D7" w:rsidR="004D07E8" w:rsidRPr="004D07E8" w:rsidRDefault="004D07E8" w:rsidP="00F26395">
      <w:pPr>
        <w:spacing w:line="360" w:lineRule="auto"/>
        <w:jc w:val="both"/>
        <w:rPr>
          <w:rFonts w:ascii="Book Antiqua" w:hAnsi="Book Antiqua"/>
          <w:b/>
          <w:bCs/>
        </w:rPr>
        <w:sectPr w:rsidR="004D07E8" w:rsidRPr="004D07E8" w:rsidSect="00AE4C98">
          <w:pgSz w:w="12240" w:h="15840"/>
          <w:pgMar w:top="1440" w:right="1440" w:bottom="1440" w:left="1440" w:header="720" w:footer="720" w:gutter="0"/>
          <w:cols w:space="720"/>
          <w:docGrid w:linePitch="360"/>
        </w:sectPr>
      </w:pPr>
    </w:p>
    <w:p w14:paraId="2B9A73C7" w14:textId="2E9BA73F" w:rsidR="00F26395" w:rsidRPr="004D07E8" w:rsidRDefault="00F26395" w:rsidP="00F26395">
      <w:pPr>
        <w:spacing w:line="360" w:lineRule="auto"/>
        <w:jc w:val="both"/>
        <w:rPr>
          <w:rFonts w:ascii="Book Antiqua" w:hAnsi="Book Antiqua"/>
          <w:b/>
          <w:bCs/>
        </w:rPr>
      </w:pPr>
      <w:r w:rsidRPr="00F26395">
        <w:rPr>
          <w:rFonts w:ascii="Book Antiqua" w:hAnsi="Book Antiqua"/>
          <w:b/>
          <w:bCs/>
        </w:rPr>
        <w:lastRenderedPageBreak/>
        <w:t xml:space="preserve">Table 5 Complications in </w:t>
      </w:r>
      <w:bookmarkStart w:id="96" w:name="OLE_LINK2216"/>
      <w:bookmarkStart w:id="97" w:name="OLE_LINK2217"/>
      <w:r w:rsidRPr="00F26395">
        <w:rPr>
          <w:rFonts w:ascii="Book Antiqua" w:hAnsi="Book Antiqua"/>
          <w:b/>
          <w:bCs/>
        </w:rPr>
        <w:t>thrombocytopenic</w:t>
      </w:r>
      <w:bookmarkEnd w:id="96"/>
      <w:bookmarkEnd w:id="97"/>
      <w:r w:rsidRPr="00F26395">
        <w:rPr>
          <w:rFonts w:ascii="Book Antiqua" w:hAnsi="Book Antiqua"/>
          <w:b/>
          <w:bCs/>
        </w:rPr>
        <w:t xml:space="preserve"> and neutropenic patients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90"/>
        <w:gridCol w:w="1890"/>
        <w:gridCol w:w="1890"/>
        <w:gridCol w:w="1885"/>
      </w:tblGrid>
      <w:tr w:rsidR="00F26395" w:rsidRPr="00F26395" w14:paraId="77877DC8" w14:textId="77777777" w:rsidTr="009C5288">
        <w:tc>
          <w:tcPr>
            <w:tcW w:w="1795" w:type="dxa"/>
            <w:tcBorders>
              <w:top w:val="single" w:sz="4" w:space="0" w:color="auto"/>
              <w:bottom w:val="single" w:sz="4" w:space="0" w:color="auto"/>
            </w:tcBorders>
          </w:tcPr>
          <w:p w14:paraId="5F586FAF"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Complication</w:t>
            </w:r>
          </w:p>
        </w:tc>
        <w:tc>
          <w:tcPr>
            <w:tcW w:w="1890" w:type="dxa"/>
            <w:tcBorders>
              <w:top w:val="single" w:sz="4" w:space="0" w:color="auto"/>
              <w:bottom w:val="single" w:sz="4" w:space="0" w:color="auto"/>
            </w:tcBorders>
          </w:tcPr>
          <w:p w14:paraId="5EC176F9"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Non-thrombocytopenic patients</w:t>
            </w:r>
          </w:p>
        </w:tc>
        <w:tc>
          <w:tcPr>
            <w:tcW w:w="1890" w:type="dxa"/>
            <w:tcBorders>
              <w:top w:val="single" w:sz="4" w:space="0" w:color="auto"/>
              <w:bottom w:val="single" w:sz="4" w:space="0" w:color="auto"/>
            </w:tcBorders>
          </w:tcPr>
          <w:p w14:paraId="3EFE0599"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Thrombocytopenic patients</w:t>
            </w:r>
          </w:p>
        </w:tc>
        <w:tc>
          <w:tcPr>
            <w:tcW w:w="1890" w:type="dxa"/>
            <w:tcBorders>
              <w:top w:val="single" w:sz="4" w:space="0" w:color="auto"/>
              <w:bottom w:val="single" w:sz="4" w:space="0" w:color="auto"/>
            </w:tcBorders>
          </w:tcPr>
          <w:p w14:paraId="3229A1F0" w14:textId="11576787" w:rsidR="00F26395" w:rsidRPr="009C5288" w:rsidRDefault="00F26395" w:rsidP="00F26395">
            <w:pPr>
              <w:spacing w:line="360" w:lineRule="auto"/>
              <w:jc w:val="both"/>
              <w:rPr>
                <w:rFonts w:ascii="Book Antiqua" w:hAnsi="Book Antiqua"/>
                <w:b/>
                <w:bCs/>
                <w:vertAlign w:val="superscript"/>
              </w:rPr>
            </w:pPr>
            <w:r w:rsidRPr="00F26395">
              <w:rPr>
                <w:rFonts w:ascii="Book Antiqua" w:hAnsi="Book Antiqua"/>
                <w:b/>
                <w:bCs/>
              </w:rPr>
              <w:t>Non-neutropenic patients</w:t>
            </w:r>
            <w:r w:rsidR="009C5288" w:rsidRPr="009C5288">
              <w:rPr>
                <w:rFonts w:ascii="Book Antiqua" w:hAnsi="Book Antiqua"/>
                <w:b/>
                <w:bCs/>
                <w:vertAlign w:val="superscript"/>
              </w:rPr>
              <w:t>1</w:t>
            </w:r>
          </w:p>
        </w:tc>
        <w:tc>
          <w:tcPr>
            <w:tcW w:w="1885" w:type="dxa"/>
            <w:tcBorders>
              <w:top w:val="single" w:sz="4" w:space="0" w:color="auto"/>
              <w:bottom w:val="single" w:sz="4" w:space="0" w:color="auto"/>
            </w:tcBorders>
          </w:tcPr>
          <w:p w14:paraId="0236487C" w14:textId="558F2693" w:rsidR="00F26395" w:rsidRPr="00F26395" w:rsidRDefault="00F26395" w:rsidP="00F26395">
            <w:pPr>
              <w:spacing w:line="360" w:lineRule="auto"/>
              <w:jc w:val="both"/>
              <w:rPr>
                <w:rFonts w:ascii="Book Antiqua" w:hAnsi="Book Antiqua"/>
                <w:b/>
                <w:bCs/>
              </w:rPr>
            </w:pPr>
            <w:r w:rsidRPr="00F26395">
              <w:rPr>
                <w:rFonts w:ascii="Book Antiqua" w:hAnsi="Book Antiqua"/>
                <w:b/>
                <w:bCs/>
              </w:rPr>
              <w:t>Neutropenic patients</w:t>
            </w:r>
            <w:r w:rsidR="009C5288" w:rsidRPr="009C5288">
              <w:rPr>
                <w:rFonts w:ascii="Book Antiqua" w:hAnsi="Book Antiqua"/>
                <w:b/>
                <w:bCs/>
                <w:vertAlign w:val="superscript"/>
              </w:rPr>
              <w:t>1</w:t>
            </w:r>
          </w:p>
        </w:tc>
      </w:tr>
      <w:tr w:rsidR="00F26395" w:rsidRPr="00F26395" w14:paraId="2D53071A" w14:textId="77777777" w:rsidTr="009C5288">
        <w:tc>
          <w:tcPr>
            <w:tcW w:w="1795" w:type="dxa"/>
            <w:tcBorders>
              <w:top w:val="single" w:sz="4" w:space="0" w:color="auto"/>
            </w:tcBorders>
          </w:tcPr>
          <w:p w14:paraId="23F15F77" w14:textId="5E0A479F" w:rsidR="00F26395" w:rsidRPr="00F26395" w:rsidRDefault="00F26395" w:rsidP="00F26395">
            <w:pPr>
              <w:spacing w:line="360" w:lineRule="auto"/>
              <w:jc w:val="both"/>
              <w:rPr>
                <w:rFonts w:ascii="Book Antiqua" w:hAnsi="Book Antiqua"/>
              </w:rPr>
            </w:pPr>
            <w:r w:rsidRPr="00F26395">
              <w:rPr>
                <w:rFonts w:ascii="Book Antiqua" w:hAnsi="Book Antiqua"/>
              </w:rPr>
              <w:t xml:space="preserve">Any-cause mortality within 1 </w:t>
            </w:r>
            <w:proofErr w:type="spellStart"/>
            <w:r w:rsidRPr="00F26395">
              <w:rPr>
                <w:rFonts w:ascii="Book Antiqua" w:hAnsi="Book Antiqua"/>
              </w:rPr>
              <w:t>wk</w:t>
            </w:r>
            <w:proofErr w:type="spellEnd"/>
            <w:r w:rsidRPr="00F26395">
              <w:rPr>
                <w:rFonts w:ascii="Book Antiqua" w:hAnsi="Book Antiqua"/>
              </w:rPr>
              <w:t xml:space="preserve"> of endoscopy, </w:t>
            </w:r>
            <w:r w:rsidRPr="009C5288">
              <w:rPr>
                <w:rFonts w:ascii="Book Antiqua" w:hAnsi="Book Antiqua"/>
                <w:i/>
                <w:iCs/>
              </w:rPr>
              <w:t>n</w:t>
            </w:r>
            <w:r w:rsidRPr="00F26395">
              <w:rPr>
                <w:rFonts w:ascii="Book Antiqua" w:hAnsi="Book Antiqua"/>
              </w:rPr>
              <w:t xml:space="preserve"> (%)</w:t>
            </w:r>
          </w:p>
        </w:tc>
        <w:tc>
          <w:tcPr>
            <w:tcW w:w="1890" w:type="dxa"/>
            <w:tcBorders>
              <w:top w:val="single" w:sz="4" w:space="0" w:color="auto"/>
            </w:tcBorders>
          </w:tcPr>
          <w:p w14:paraId="7DE821BB" w14:textId="77777777" w:rsidR="00F26395" w:rsidRPr="00F26395" w:rsidRDefault="00F26395" w:rsidP="00F26395">
            <w:pPr>
              <w:spacing w:line="360" w:lineRule="auto"/>
              <w:jc w:val="both"/>
              <w:rPr>
                <w:rFonts w:ascii="Book Antiqua" w:hAnsi="Book Antiqua"/>
              </w:rPr>
            </w:pPr>
            <w:r w:rsidRPr="00F26395">
              <w:rPr>
                <w:rFonts w:ascii="Book Antiqua" w:hAnsi="Book Antiqua"/>
              </w:rPr>
              <w:t>0/128 (0)</w:t>
            </w:r>
          </w:p>
        </w:tc>
        <w:tc>
          <w:tcPr>
            <w:tcW w:w="1890" w:type="dxa"/>
            <w:tcBorders>
              <w:top w:val="single" w:sz="4" w:space="0" w:color="auto"/>
            </w:tcBorders>
          </w:tcPr>
          <w:p w14:paraId="4D630A67" w14:textId="77777777" w:rsidR="00F26395" w:rsidRPr="00F26395" w:rsidRDefault="00F26395" w:rsidP="00F26395">
            <w:pPr>
              <w:spacing w:line="360" w:lineRule="auto"/>
              <w:jc w:val="both"/>
              <w:rPr>
                <w:rFonts w:ascii="Book Antiqua" w:hAnsi="Book Antiqua"/>
              </w:rPr>
            </w:pPr>
            <w:r w:rsidRPr="00F26395">
              <w:rPr>
                <w:rFonts w:ascii="Book Antiqua" w:hAnsi="Book Antiqua"/>
              </w:rPr>
              <w:t>0/67 (0)</w:t>
            </w:r>
          </w:p>
        </w:tc>
        <w:tc>
          <w:tcPr>
            <w:tcW w:w="1890" w:type="dxa"/>
            <w:tcBorders>
              <w:top w:val="single" w:sz="4" w:space="0" w:color="auto"/>
            </w:tcBorders>
          </w:tcPr>
          <w:p w14:paraId="6B92FAD7" w14:textId="77777777" w:rsidR="00F26395" w:rsidRPr="00F26395" w:rsidRDefault="00F26395" w:rsidP="00F26395">
            <w:pPr>
              <w:spacing w:line="360" w:lineRule="auto"/>
              <w:jc w:val="both"/>
              <w:rPr>
                <w:rFonts w:ascii="Book Antiqua" w:hAnsi="Book Antiqua"/>
              </w:rPr>
            </w:pPr>
            <w:r w:rsidRPr="00F26395">
              <w:rPr>
                <w:rFonts w:ascii="Book Antiqua" w:hAnsi="Book Antiqua"/>
              </w:rPr>
              <w:t>0/170 (0)</w:t>
            </w:r>
          </w:p>
        </w:tc>
        <w:tc>
          <w:tcPr>
            <w:tcW w:w="1885" w:type="dxa"/>
            <w:tcBorders>
              <w:top w:val="single" w:sz="4" w:space="0" w:color="auto"/>
            </w:tcBorders>
          </w:tcPr>
          <w:p w14:paraId="00ADF9C1" w14:textId="77777777" w:rsidR="00F26395" w:rsidRPr="00F26395" w:rsidRDefault="00F26395" w:rsidP="00F26395">
            <w:pPr>
              <w:spacing w:line="360" w:lineRule="auto"/>
              <w:jc w:val="both"/>
              <w:rPr>
                <w:rFonts w:ascii="Book Antiqua" w:hAnsi="Book Antiqua"/>
              </w:rPr>
            </w:pPr>
            <w:r w:rsidRPr="00F26395">
              <w:rPr>
                <w:rFonts w:ascii="Book Antiqua" w:hAnsi="Book Antiqua"/>
              </w:rPr>
              <w:t>0/25 (0)</w:t>
            </w:r>
          </w:p>
        </w:tc>
      </w:tr>
      <w:tr w:rsidR="00F26395" w:rsidRPr="00F26395" w14:paraId="509DEA6E" w14:textId="77777777" w:rsidTr="009C5288">
        <w:tc>
          <w:tcPr>
            <w:tcW w:w="1795" w:type="dxa"/>
          </w:tcPr>
          <w:p w14:paraId="65444DCE" w14:textId="77777777" w:rsidR="00F26395" w:rsidRPr="00F26395" w:rsidRDefault="00F26395" w:rsidP="00F26395">
            <w:pPr>
              <w:spacing w:line="360" w:lineRule="auto"/>
              <w:jc w:val="both"/>
              <w:rPr>
                <w:rFonts w:ascii="Book Antiqua" w:hAnsi="Book Antiqua"/>
                <w:b/>
                <w:bCs/>
              </w:rPr>
            </w:pPr>
            <w:r w:rsidRPr="00F26395">
              <w:rPr>
                <w:rFonts w:ascii="Book Antiqua" w:hAnsi="Book Antiqua"/>
              </w:rPr>
              <w:t xml:space="preserve">Adverse outcomes excluding death, </w:t>
            </w:r>
            <w:r w:rsidRPr="009C5288">
              <w:rPr>
                <w:rFonts w:ascii="Book Antiqua" w:hAnsi="Book Antiqua"/>
                <w:i/>
                <w:iCs/>
              </w:rPr>
              <w:t>n</w:t>
            </w:r>
            <w:r w:rsidRPr="00F26395">
              <w:rPr>
                <w:rFonts w:ascii="Book Antiqua" w:hAnsi="Book Antiqua"/>
              </w:rPr>
              <w:t xml:space="preserve"> (%)</w:t>
            </w:r>
          </w:p>
        </w:tc>
        <w:tc>
          <w:tcPr>
            <w:tcW w:w="1890" w:type="dxa"/>
          </w:tcPr>
          <w:p w14:paraId="0869C99E" w14:textId="77777777" w:rsidR="00F26395" w:rsidRPr="00F26395" w:rsidRDefault="00F26395" w:rsidP="00F26395">
            <w:pPr>
              <w:spacing w:line="360" w:lineRule="auto"/>
              <w:jc w:val="both"/>
              <w:rPr>
                <w:rFonts w:ascii="Book Antiqua" w:hAnsi="Book Antiqua"/>
              </w:rPr>
            </w:pPr>
            <w:r w:rsidRPr="00F26395">
              <w:rPr>
                <w:rFonts w:ascii="Book Antiqua" w:hAnsi="Book Antiqua"/>
              </w:rPr>
              <w:t>3/128 (2.3)</w:t>
            </w:r>
          </w:p>
        </w:tc>
        <w:tc>
          <w:tcPr>
            <w:tcW w:w="1890" w:type="dxa"/>
          </w:tcPr>
          <w:p w14:paraId="5D68723C" w14:textId="77777777" w:rsidR="00F26395" w:rsidRPr="00F26395" w:rsidRDefault="00F26395" w:rsidP="00F26395">
            <w:pPr>
              <w:spacing w:line="360" w:lineRule="auto"/>
              <w:jc w:val="both"/>
              <w:rPr>
                <w:rFonts w:ascii="Book Antiqua" w:hAnsi="Book Antiqua"/>
              </w:rPr>
            </w:pPr>
            <w:r w:rsidRPr="00F26395">
              <w:rPr>
                <w:rFonts w:ascii="Book Antiqua" w:hAnsi="Book Antiqua"/>
              </w:rPr>
              <w:t>1/67 (1.5)</w:t>
            </w:r>
          </w:p>
        </w:tc>
        <w:tc>
          <w:tcPr>
            <w:tcW w:w="1890" w:type="dxa"/>
          </w:tcPr>
          <w:p w14:paraId="0AF35EB6" w14:textId="77777777" w:rsidR="00F26395" w:rsidRPr="00F26395" w:rsidRDefault="00F26395" w:rsidP="00F26395">
            <w:pPr>
              <w:spacing w:line="360" w:lineRule="auto"/>
              <w:jc w:val="both"/>
              <w:rPr>
                <w:rFonts w:ascii="Book Antiqua" w:hAnsi="Book Antiqua"/>
              </w:rPr>
            </w:pPr>
            <w:r w:rsidRPr="00F26395">
              <w:rPr>
                <w:rFonts w:ascii="Book Antiqua" w:hAnsi="Book Antiqua"/>
              </w:rPr>
              <w:t>3/170 (1.8)</w:t>
            </w:r>
          </w:p>
        </w:tc>
        <w:tc>
          <w:tcPr>
            <w:tcW w:w="1885" w:type="dxa"/>
          </w:tcPr>
          <w:p w14:paraId="358529B6" w14:textId="77777777" w:rsidR="00F26395" w:rsidRPr="00F26395" w:rsidRDefault="00F26395" w:rsidP="00F26395">
            <w:pPr>
              <w:spacing w:line="360" w:lineRule="auto"/>
              <w:jc w:val="both"/>
              <w:rPr>
                <w:rFonts w:ascii="Book Antiqua" w:hAnsi="Book Antiqua"/>
              </w:rPr>
            </w:pPr>
            <w:r w:rsidRPr="00F26395">
              <w:rPr>
                <w:rFonts w:ascii="Book Antiqua" w:hAnsi="Book Antiqua"/>
              </w:rPr>
              <w:t>1/25 (4.0)</w:t>
            </w:r>
          </w:p>
        </w:tc>
      </w:tr>
      <w:tr w:rsidR="00F26395" w:rsidRPr="00F26395" w14:paraId="0BDFDD7F" w14:textId="77777777" w:rsidTr="009C5288">
        <w:tc>
          <w:tcPr>
            <w:tcW w:w="1795" w:type="dxa"/>
          </w:tcPr>
          <w:p w14:paraId="55376A75" w14:textId="6A2261F6" w:rsidR="00F26395" w:rsidRPr="00F26395" w:rsidRDefault="00F26395" w:rsidP="00F26395">
            <w:pPr>
              <w:spacing w:line="360" w:lineRule="auto"/>
              <w:ind w:left="333"/>
              <w:jc w:val="both"/>
              <w:rPr>
                <w:rFonts w:ascii="Book Antiqua" w:hAnsi="Book Antiqua"/>
                <w:b/>
                <w:bCs/>
              </w:rPr>
            </w:pPr>
            <w:r w:rsidRPr="00F26395">
              <w:rPr>
                <w:rFonts w:ascii="Book Antiqua" w:hAnsi="Book Antiqua"/>
              </w:rPr>
              <w:t xml:space="preserve">Bleeding within 1 </w:t>
            </w:r>
            <w:proofErr w:type="spellStart"/>
            <w:r w:rsidRPr="00F26395">
              <w:rPr>
                <w:rFonts w:ascii="Book Antiqua" w:hAnsi="Book Antiqua"/>
              </w:rPr>
              <w:t>wk</w:t>
            </w:r>
            <w:proofErr w:type="spellEnd"/>
            <w:r w:rsidRPr="00F26395">
              <w:rPr>
                <w:rFonts w:ascii="Book Antiqua" w:hAnsi="Book Antiqua"/>
              </w:rPr>
              <w:t xml:space="preserve"> of endoscopy</w:t>
            </w:r>
          </w:p>
        </w:tc>
        <w:tc>
          <w:tcPr>
            <w:tcW w:w="1890" w:type="dxa"/>
          </w:tcPr>
          <w:p w14:paraId="49FBE4F1" w14:textId="77777777" w:rsidR="00F26395" w:rsidRPr="00F26395" w:rsidRDefault="00F26395" w:rsidP="00F26395">
            <w:pPr>
              <w:spacing w:line="360" w:lineRule="auto"/>
              <w:jc w:val="both"/>
              <w:rPr>
                <w:rFonts w:ascii="Book Antiqua" w:hAnsi="Book Antiqua"/>
              </w:rPr>
            </w:pPr>
            <w:r w:rsidRPr="00F26395">
              <w:rPr>
                <w:rFonts w:ascii="Book Antiqua" w:hAnsi="Book Antiqua"/>
              </w:rPr>
              <w:t>1/128 (0.8)</w:t>
            </w:r>
          </w:p>
        </w:tc>
        <w:tc>
          <w:tcPr>
            <w:tcW w:w="1890" w:type="dxa"/>
          </w:tcPr>
          <w:p w14:paraId="5F8AD49B" w14:textId="77777777" w:rsidR="00F26395" w:rsidRPr="00F26395" w:rsidRDefault="00F26395" w:rsidP="00F26395">
            <w:pPr>
              <w:spacing w:line="360" w:lineRule="auto"/>
              <w:jc w:val="both"/>
              <w:rPr>
                <w:rFonts w:ascii="Book Antiqua" w:hAnsi="Book Antiqua"/>
              </w:rPr>
            </w:pPr>
            <w:r w:rsidRPr="00F26395">
              <w:rPr>
                <w:rFonts w:ascii="Book Antiqua" w:hAnsi="Book Antiqua"/>
              </w:rPr>
              <w:t>1/67 (1.5)</w:t>
            </w:r>
          </w:p>
        </w:tc>
        <w:tc>
          <w:tcPr>
            <w:tcW w:w="1890" w:type="dxa"/>
          </w:tcPr>
          <w:p w14:paraId="6C0B1D17" w14:textId="77777777" w:rsidR="00F26395" w:rsidRPr="00F26395" w:rsidRDefault="00F26395" w:rsidP="00F26395">
            <w:pPr>
              <w:spacing w:line="360" w:lineRule="auto"/>
              <w:jc w:val="both"/>
              <w:rPr>
                <w:rFonts w:ascii="Book Antiqua" w:hAnsi="Book Antiqua"/>
              </w:rPr>
            </w:pPr>
            <w:r w:rsidRPr="00F26395">
              <w:rPr>
                <w:rFonts w:ascii="Book Antiqua" w:hAnsi="Book Antiqua"/>
              </w:rPr>
              <w:t>1/170 (0.6)</w:t>
            </w:r>
          </w:p>
        </w:tc>
        <w:tc>
          <w:tcPr>
            <w:tcW w:w="1885" w:type="dxa"/>
          </w:tcPr>
          <w:p w14:paraId="0167F2F2" w14:textId="77777777" w:rsidR="00F26395" w:rsidRPr="00F26395" w:rsidRDefault="00F26395" w:rsidP="00F26395">
            <w:pPr>
              <w:spacing w:line="360" w:lineRule="auto"/>
              <w:jc w:val="both"/>
              <w:rPr>
                <w:rFonts w:ascii="Book Antiqua" w:hAnsi="Book Antiqua"/>
              </w:rPr>
            </w:pPr>
            <w:r w:rsidRPr="00F26395">
              <w:rPr>
                <w:rFonts w:ascii="Book Antiqua" w:hAnsi="Book Antiqua"/>
              </w:rPr>
              <w:t>1/25 (4.0)</w:t>
            </w:r>
          </w:p>
        </w:tc>
      </w:tr>
      <w:tr w:rsidR="00F26395" w:rsidRPr="00F26395" w14:paraId="7E00D634" w14:textId="77777777" w:rsidTr="009C5288">
        <w:tc>
          <w:tcPr>
            <w:tcW w:w="1795" w:type="dxa"/>
          </w:tcPr>
          <w:p w14:paraId="264111BA" w14:textId="73901F6C" w:rsidR="00F26395" w:rsidRPr="00F26395" w:rsidRDefault="00F26395" w:rsidP="00F26395">
            <w:pPr>
              <w:spacing w:line="360" w:lineRule="auto"/>
              <w:ind w:left="333"/>
              <w:jc w:val="both"/>
              <w:rPr>
                <w:rFonts w:ascii="Book Antiqua" w:hAnsi="Book Antiqua"/>
                <w:b/>
                <w:bCs/>
              </w:rPr>
            </w:pPr>
            <w:r w:rsidRPr="00F26395">
              <w:rPr>
                <w:rFonts w:ascii="Book Antiqua" w:hAnsi="Book Antiqua"/>
              </w:rPr>
              <w:t xml:space="preserve">Infection within 1 </w:t>
            </w:r>
            <w:proofErr w:type="spellStart"/>
            <w:r w:rsidRPr="00F26395">
              <w:rPr>
                <w:rFonts w:ascii="Book Antiqua" w:hAnsi="Book Antiqua"/>
              </w:rPr>
              <w:t>wk</w:t>
            </w:r>
            <w:proofErr w:type="spellEnd"/>
            <w:r w:rsidRPr="00F26395">
              <w:rPr>
                <w:rFonts w:ascii="Book Antiqua" w:hAnsi="Book Antiqua"/>
              </w:rPr>
              <w:t xml:space="preserve"> of endoscopy</w:t>
            </w:r>
          </w:p>
        </w:tc>
        <w:tc>
          <w:tcPr>
            <w:tcW w:w="1890" w:type="dxa"/>
          </w:tcPr>
          <w:p w14:paraId="2951E194" w14:textId="77777777" w:rsidR="00F26395" w:rsidRPr="00F26395" w:rsidRDefault="00F26395" w:rsidP="00F26395">
            <w:pPr>
              <w:spacing w:line="360" w:lineRule="auto"/>
              <w:jc w:val="both"/>
              <w:rPr>
                <w:rFonts w:ascii="Book Antiqua" w:hAnsi="Book Antiqua"/>
              </w:rPr>
            </w:pPr>
            <w:r w:rsidRPr="00F26395">
              <w:rPr>
                <w:rFonts w:ascii="Book Antiqua" w:hAnsi="Book Antiqua"/>
              </w:rPr>
              <w:t>2/128 (1.6)</w:t>
            </w:r>
          </w:p>
        </w:tc>
        <w:tc>
          <w:tcPr>
            <w:tcW w:w="1890" w:type="dxa"/>
          </w:tcPr>
          <w:p w14:paraId="4547B428" w14:textId="77777777" w:rsidR="00F26395" w:rsidRPr="00F26395" w:rsidRDefault="00F26395" w:rsidP="00F26395">
            <w:pPr>
              <w:spacing w:line="360" w:lineRule="auto"/>
              <w:jc w:val="both"/>
              <w:rPr>
                <w:rFonts w:ascii="Book Antiqua" w:hAnsi="Book Antiqua"/>
              </w:rPr>
            </w:pPr>
            <w:r w:rsidRPr="00F26395">
              <w:rPr>
                <w:rFonts w:ascii="Book Antiqua" w:hAnsi="Book Antiqua"/>
              </w:rPr>
              <w:t>0/67 (0)</w:t>
            </w:r>
          </w:p>
        </w:tc>
        <w:tc>
          <w:tcPr>
            <w:tcW w:w="1890" w:type="dxa"/>
          </w:tcPr>
          <w:p w14:paraId="6AD74C5D" w14:textId="77777777" w:rsidR="00F26395" w:rsidRPr="00F26395" w:rsidRDefault="00F26395" w:rsidP="00F26395">
            <w:pPr>
              <w:spacing w:line="360" w:lineRule="auto"/>
              <w:jc w:val="both"/>
              <w:rPr>
                <w:rFonts w:ascii="Book Antiqua" w:hAnsi="Book Antiqua"/>
              </w:rPr>
            </w:pPr>
            <w:r w:rsidRPr="00F26395">
              <w:rPr>
                <w:rFonts w:ascii="Book Antiqua" w:hAnsi="Book Antiqua"/>
              </w:rPr>
              <w:t>2/170 (1.2)</w:t>
            </w:r>
          </w:p>
        </w:tc>
        <w:tc>
          <w:tcPr>
            <w:tcW w:w="1885" w:type="dxa"/>
          </w:tcPr>
          <w:p w14:paraId="60998E9C" w14:textId="77777777" w:rsidR="00F26395" w:rsidRPr="00F26395" w:rsidRDefault="00F26395" w:rsidP="00F26395">
            <w:pPr>
              <w:spacing w:line="360" w:lineRule="auto"/>
              <w:jc w:val="both"/>
              <w:rPr>
                <w:rFonts w:ascii="Book Antiqua" w:hAnsi="Book Antiqua"/>
              </w:rPr>
            </w:pPr>
            <w:r w:rsidRPr="00F26395">
              <w:rPr>
                <w:rFonts w:ascii="Book Antiqua" w:hAnsi="Book Antiqua"/>
              </w:rPr>
              <w:t>0/25 (0)</w:t>
            </w:r>
          </w:p>
        </w:tc>
      </w:tr>
      <w:tr w:rsidR="00F26395" w:rsidRPr="00F26395" w14:paraId="5AE0D8C9" w14:textId="77777777" w:rsidTr="009C5288">
        <w:tc>
          <w:tcPr>
            <w:tcW w:w="1795" w:type="dxa"/>
          </w:tcPr>
          <w:p w14:paraId="01267970" w14:textId="0C589479" w:rsidR="00F26395" w:rsidRPr="00F26395" w:rsidRDefault="00F26395" w:rsidP="00F26395">
            <w:pPr>
              <w:spacing w:line="360" w:lineRule="auto"/>
              <w:ind w:left="333"/>
              <w:jc w:val="both"/>
              <w:rPr>
                <w:rFonts w:ascii="Book Antiqua" w:hAnsi="Book Antiqua"/>
                <w:b/>
                <w:bCs/>
              </w:rPr>
            </w:pPr>
            <w:r w:rsidRPr="00F26395">
              <w:rPr>
                <w:rFonts w:ascii="Book Antiqua" w:hAnsi="Book Antiqua"/>
              </w:rPr>
              <w:t xml:space="preserve">Perforation within 1 </w:t>
            </w:r>
            <w:proofErr w:type="spellStart"/>
            <w:r w:rsidRPr="00F26395">
              <w:rPr>
                <w:rFonts w:ascii="Book Antiqua" w:hAnsi="Book Antiqua"/>
              </w:rPr>
              <w:t>wk</w:t>
            </w:r>
            <w:proofErr w:type="spellEnd"/>
            <w:r w:rsidRPr="00F26395">
              <w:rPr>
                <w:rFonts w:ascii="Book Antiqua" w:hAnsi="Book Antiqua"/>
              </w:rPr>
              <w:t xml:space="preserve"> of endoscopy</w:t>
            </w:r>
          </w:p>
        </w:tc>
        <w:tc>
          <w:tcPr>
            <w:tcW w:w="1890" w:type="dxa"/>
          </w:tcPr>
          <w:p w14:paraId="3C0D6A92" w14:textId="77777777" w:rsidR="00F26395" w:rsidRPr="00F26395" w:rsidRDefault="00F26395" w:rsidP="00F26395">
            <w:pPr>
              <w:spacing w:line="360" w:lineRule="auto"/>
              <w:jc w:val="both"/>
              <w:rPr>
                <w:rFonts w:ascii="Book Antiqua" w:hAnsi="Book Antiqua"/>
              </w:rPr>
            </w:pPr>
            <w:r w:rsidRPr="00F26395">
              <w:rPr>
                <w:rFonts w:ascii="Book Antiqua" w:hAnsi="Book Antiqua"/>
              </w:rPr>
              <w:t>1/128 (0.8)</w:t>
            </w:r>
          </w:p>
        </w:tc>
        <w:tc>
          <w:tcPr>
            <w:tcW w:w="1890" w:type="dxa"/>
          </w:tcPr>
          <w:p w14:paraId="69BE354F" w14:textId="77777777" w:rsidR="00F26395" w:rsidRPr="00F26395" w:rsidRDefault="00F26395" w:rsidP="00F26395">
            <w:pPr>
              <w:spacing w:line="360" w:lineRule="auto"/>
              <w:jc w:val="both"/>
              <w:rPr>
                <w:rFonts w:ascii="Book Antiqua" w:hAnsi="Book Antiqua"/>
              </w:rPr>
            </w:pPr>
            <w:r w:rsidRPr="00F26395">
              <w:rPr>
                <w:rFonts w:ascii="Book Antiqua" w:hAnsi="Book Antiqua"/>
              </w:rPr>
              <w:t>0/67 (0)</w:t>
            </w:r>
          </w:p>
        </w:tc>
        <w:tc>
          <w:tcPr>
            <w:tcW w:w="1890" w:type="dxa"/>
          </w:tcPr>
          <w:p w14:paraId="41100DF0" w14:textId="77777777" w:rsidR="00F26395" w:rsidRPr="00F26395" w:rsidRDefault="00F26395" w:rsidP="00F26395">
            <w:pPr>
              <w:spacing w:line="360" w:lineRule="auto"/>
              <w:jc w:val="both"/>
              <w:rPr>
                <w:rFonts w:ascii="Book Antiqua" w:hAnsi="Book Antiqua"/>
              </w:rPr>
            </w:pPr>
            <w:r w:rsidRPr="00F26395">
              <w:rPr>
                <w:rFonts w:ascii="Book Antiqua" w:hAnsi="Book Antiqua"/>
              </w:rPr>
              <w:t>1/170 (0.6)</w:t>
            </w:r>
          </w:p>
        </w:tc>
        <w:tc>
          <w:tcPr>
            <w:tcW w:w="1885" w:type="dxa"/>
          </w:tcPr>
          <w:p w14:paraId="1FF37BCB" w14:textId="77777777" w:rsidR="00F26395" w:rsidRPr="00F26395" w:rsidRDefault="00F26395" w:rsidP="00F26395">
            <w:pPr>
              <w:spacing w:line="360" w:lineRule="auto"/>
              <w:jc w:val="both"/>
              <w:rPr>
                <w:rFonts w:ascii="Book Antiqua" w:hAnsi="Book Antiqua"/>
              </w:rPr>
            </w:pPr>
            <w:r w:rsidRPr="00F26395">
              <w:rPr>
                <w:rFonts w:ascii="Book Antiqua" w:hAnsi="Book Antiqua"/>
              </w:rPr>
              <w:t>0/25 (0)</w:t>
            </w:r>
          </w:p>
        </w:tc>
      </w:tr>
      <w:tr w:rsidR="00F26395" w:rsidRPr="00F26395" w14:paraId="13F8F200" w14:textId="77777777" w:rsidTr="009C5288">
        <w:tc>
          <w:tcPr>
            <w:tcW w:w="1795" w:type="dxa"/>
            <w:tcBorders>
              <w:bottom w:val="single" w:sz="4" w:space="0" w:color="auto"/>
            </w:tcBorders>
          </w:tcPr>
          <w:p w14:paraId="7EE98024" w14:textId="09FEE5DE" w:rsidR="00F26395" w:rsidRPr="00F26395" w:rsidRDefault="00F26395" w:rsidP="00F26395">
            <w:pPr>
              <w:spacing w:line="360" w:lineRule="auto"/>
              <w:jc w:val="both"/>
              <w:rPr>
                <w:rFonts w:ascii="Book Antiqua" w:hAnsi="Book Antiqua"/>
              </w:rPr>
            </w:pPr>
            <w:r w:rsidRPr="00F26395">
              <w:rPr>
                <w:rFonts w:ascii="Book Antiqua" w:hAnsi="Book Antiqua"/>
              </w:rPr>
              <w:t xml:space="preserve">Adverse outcomes including </w:t>
            </w:r>
            <w:r w:rsidRPr="00F26395">
              <w:rPr>
                <w:rFonts w:ascii="Book Antiqua" w:hAnsi="Book Antiqua"/>
              </w:rPr>
              <w:lastRenderedPageBreak/>
              <w:t xml:space="preserve">death within 1 </w:t>
            </w:r>
            <w:proofErr w:type="spellStart"/>
            <w:r w:rsidRPr="00F26395">
              <w:rPr>
                <w:rFonts w:ascii="Book Antiqua" w:hAnsi="Book Antiqua"/>
              </w:rPr>
              <w:t>wk</w:t>
            </w:r>
            <w:proofErr w:type="spellEnd"/>
            <w:r w:rsidRPr="00F26395">
              <w:rPr>
                <w:rFonts w:ascii="Book Antiqua" w:hAnsi="Book Antiqua"/>
              </w:rPr>
              <w:t xml:space="preserve">, </w:t>
            </w:r>
            <w:r w:rsidRPr="009C5288">
              <w:rPr>
                <w:rFonts w:ascii="Book Antiqua" w:hAnsi="Book Antiqua"/>
                <w:i/>
                <w:iCs/>
              </w:rPr>
              <w:t>n</w:t>
            </w:r>
            <w:r w:rsidRPr="00F26395">
              <w:rPr>
                <w:rFonts w:ascii="Book Antiqua" w:hAnsi="Book Antiqua"/>
              </w:rPr>
              <w:t xml:space="preserve"> (%)</w:t>
            </w:r>
            <w:r w:rsidR="009C5288" w:rsidRPr="009C5288">
              <w:rPr>
                <w:rFonts w:ascii="Book Antiqua" w:hAnsi="Book Antiqua"/>
                <w:vertAlign w:val="superscript"/>
              </w:rPr>
              <w:t>2</w:t>
            </w:r>
          </w:p>
        </w:tc>
        <w:tc>
          <w:tcPr>
            <w:tcW w:w="1890" w:type="dxa"/>
            <w:tcBorders>
              <w:bottom w:val="single" w:sz="4" w:space="0" w:color="auto"/>
            </w:tcBorders>
          </w:tcPr>
          <w:p w14:paraId="5EE5DF36" w14:textId="77777777" w:rsidR="00F26395" w:rsidRPr="00F26395" w:rsidRDefault="00F26395" w:rsidP="00F26395">
            <w:pPr>
              <w:spacing w:line="360" w:lineRule="auto"/>
              <w:jc w:val="both"/>
              <w:rPr>
                <w:rFonts w:ascii="Book Antiqua" w:hAnsi="Book Antiqua"/>
              </w:rPr>
            </w:pPr>
            <w:r w:rsidRPr="00F26395">
              <w:rPr>
                <w:rFonts w:ascii="Book Antiqua" w:hAnsi="Book Antiqua"/>
              </w:rPr>
              <w:lastRenderedPageBreak/>
              <w:t>3/128 (2.3)</w:t>
            </w:r>
          </w:p>
        </w:tc>
        <w:tc>
          <w:tcPr>
            <w:tcW w:w="1890" w:type="dxa"/>
            <w:tcBorders>
              <w:bottom w:val="single" w:sz="4" w:space="0" w:color="auto"/>
            </w:tcBorders>
          </w:tcPr>
          <w:p w14:paraId="33B0F774" w14:textId="77777777" w:rsidR="00F26395" w:rsidRPr="00F26395" w:rsidRDefault="00F26395" w:rsidP="00F26395">
            <w:pPr>
              <w:spacing w:line="360" w:lineRule="auto"/>
              <w:jc w:val="both"/>
              <w:rPr>
                <w:rFonts w:ascii="Book Antiqua" w:hAnsi="Book Antiqua"/>
              </w:rPr>
            </w:pPr>
            <w:r w:rsidRPr="00F26395">
              <w:rPr>
                <w:rFonts w:ascii="Book Antiqua" w:hAnsi="Book Antiqua"/>
              </w:rPr>
              <w:t>1/67 (1.5)</w:t>
            </w:r>
          </w:p>
        </w:tc>
        <w:tc>
          <w:tcPr>
            <w:tcW w:w="1890" w:type="dxa"/>
            <w:tcBorders>
              <w:bottom w:val="single" w:sz="4" w:space="0" w:color="auto"/>
            </w:tcBorders>
          </w:tcPr>
          <w:p w14:paraId="2711F901" w14:textId="77777777" w:rsidR="00F26395" w:rsidRPr="00F26395" w:rsidRDefault="00F26395" w:rsidP="00F26395">
            <w:pPr>
              <w:spacing w:line="360" w:lineRule="auto"/>
              <w:jc w:val="both"/>
              <w:rPr>
                <w:rFonts w:ascii="Book Antiqua" w:hAnsi="Book Antiqua"/>
              </w:rPr>
            </w:pPr>
            <w:r w:rsidRPr="00F26395">
              <w:rPr>
                <w:rFonts w:ascii="Book Antiqua" w:hAnsi="Book Antiqua"/>
              </w:rPr>
              <w:t>3/170 (1.8)</w:t>
            </w:r>
          </w:p>
        </w:tc>
        <w:tc>
          <w:tcPr>
            <w:tcW w:w="1885" w:type="dxa"/>
            <w:tcBorders>
              <w:bottom w:val="single" w:sz="4" w:space="0" w:color="auto"/>
            </w:tcBorders>
          </w:tcPr>
          <w:p w14:paraId="778A695C" w14:textId="77777777" w:rsidR="00F26395" w:rsidRPr="00F26395" w:rsidRDefault="00F26395" w:rsidP="00F26395">
            <w:pPr>
              <w:spacing w:line="360" w:lineRule="auto"/>
              <w:jc w:val="both"/>
              <w:rPr>
                <w:rFonts w:ascii="Book Antiqua" w:hAnsi="Book Antiqua"/>
              </w:rPr>
            </w:pPr>
            <w:r w:rsidRPr="00F26395">
              <w:rPr>
                <w:rFonts w:ascii="Book Antiqua" w:hAnsi="Book Antiqua"/>
              </w:rPr>
              <w:t>1/25 (4.0)</w:t>
            </w:r>
          </w:p>
        </w:tc>
      </w:tr>
    </w:tbl>
    <w:p w14:paraId="704F3C99" w14:textId="37B06DFD" w:rsidR="007531A0" w:rsidRPr="009C5288" w:rsidRDefault="009C5288" w:rsidP="00F26395">
      <w:pPr>
        <w:spacing w:line="360" w:lineRule="auto"/>
        <w:jc w:val="both"/>
        <w:rPr>
          <w:rFonts w:ascii="Book Antiqua" w:hAnsi="Book Antiqua"/>
          <w:lang w:eastAsia="zh-CN"/>
        </w:rPr>
      </w:pPr>
      <w:r w:rsidRPr="009C5288">
        <w:rPr>
          <w:rFonts w:ascii="Book Antiqua" w:hAnsi="Book Antiqua"/>
          <w:vertAlign w:val="superscript"/>
        </w:rPr>
        <w:t>1</w:t>
      </w:r>
      <w:r w:rsidR="00F26395" w:rsidRPr="00F26395">
        <w:rPr>
          <w:rFonts w:ascii="Book Antiqua" w:hAnsi="Book Antiqua"/>
        </w:rPr>
        <w:t xml:space="preserve">Thrombocytopenia was defined as a pre-procedure platelet count </w:t>
      </w:r>
      <w:r w:rsidRPr="009C5288">
        <w:rPr>
          <w:rFonts w:ascii="Book Antiqua" w:hAnsi="Book Antiqua" w:hint="eastAsia"/>
        </w:rPr>
        <w:t>≤</w:t>
      </w:r>
      <w:r>
        <w:rPr>
          <w:rFonts w:ascii="Book Antiqua" w:hAnsi="Book Antiqua"/>
        </w:rPr>
        <w:t xml:space="preserve"> </w:t>
      </w:r>
      <w:r w:rsidR="00F26395" w:rsidRPr="00F26395">
        <w:rPr>
          <w:rFonts w:ascii="Book Antiqua" w:hAnsi="Book Antiqua"/>
        </w:rPr>
        <w:t xml:space="preserve">50 </w:t>
      </w:r>
      <w:r w:rsidRPr="00145FA2">
        <w:rPr>
          <w:rFonts w:ascii="Book Antiqua" w:eastAsia="SimSun" w:hAnsi="Book Antiqua" w:cs="SimSun"/>
        </w:rPr>
        <w:t>×</w:t>
      </w:r>
      <w:r w:rsidR="00F26395" w:rsidRPr="00F26395">
        <w:rPr>
          <w:rFonts w:ascii="Book Antiqua" w:hAnsi="Book Antiqua"/>
        </w:rPr>
        <w:t xml:space="preserve"> 10</w:t>
      </w:r>
      <w:r w:rsidR="00F26395" w:rsidRPr="00F26395">
        <w:rPr>
          <w:rFonts w:ascii="Book Antiqua" w:hAnsi="Book Antiqua"/>
          <w:vertAlign w:val="superscript"/>
        </w:rPr>
        <w:t>3</w:t>
      </w:r>
      <w:r w:rsidR="00F26395" w:rsidRPr="00F26395">
        <w:rPr>
          <w:rFonts w:ascii="Book Antiqua" w:hAnsi="Book Antiqua"/>
        </w:rPr>
        <w:t xml:space="preserve">/µL or </w:t>
      </w:r>
      <w:r w:rsidRPr="009C5288">
        <w:rPr>
          <w:rFonts w:ascii="Book Antiqua" w:hAnsi="Book Antiqua" w:hint="eastAsia"/>
        </w:rPr>
        <w:t>≤</w:t>
      </w:r>
      <w:r>
        <w:rPr>
          <w:rFonts w:ascii="Book Antiqua" w:hAnsi="Book Antiqua"/>
        </w:rPr>
        <w:t xml:space="preserve"> </w:t>
      </w:r>
      <w:r w:rsidR="00F26395" w:rsidRPr="00F26395">
        <w:rPr>
          <w:rFonts w:ascii="Book Antiqua" w:hAnsi="Book Antiqua"/>
        </w:rPr>
        <w:t xml:space="preserve">75 </w:t>
      </w:r>
      <w:bookmarkStart w:id="98" w:name="OLE_LINK2183"/>
      <w:r w:rsidRPr="00145FA2">
        <w:rPr>
          <w:rFonts w:ascii="Book Antiqua" w:eastAsia="SimSun" w:hAnsi="Book Antiqua" w:cs="SimSun"/>
        </w:rPr>
        <w:t>×</w:t>
      </w:r>
      <w:bookmarkEnd w:id="98"/>
      <w:r w:rsidR="00F26395" w:rsidRPr="00F26395">
        <w:rPr>
          <w:rFonts w:ascii="Book Antiqua" w:hAnsi="Book Antiqua"/>
        </w:rPr>
        <w:t xml:space="preserve"> 10</w:t>
      </w:r>
      <w:r w:rsidR="00F26395" w:rsidRPr="00F26395">
        <w:rPr>
          <w:rFonts w:ascii="Book Antiqua" w:hAnsi="Book Antiqua"/>
          <w:vertAlign w:val="superscript"/>
        </w:rPr>
        <w:t>3</w:t>
      </w:r>
      <w:r w:rsidR="00F26395" w:rsidRPr="00F26395">
        <w:rPr>
          <w:rFonts w:ascii="Book Antiqua" w:hAnsi="Book Antiqua"/>
        </w:rPr>
        <w:t xml:space="preserve">/µL and </w:t>
      </w:r>
      <w:r w:rsidRPr="009C5288">
        <w:rPr>
          <w:rFonts w:ascii="Book Antiqua" w:hAnsi="Book Antiqua" w:hint="eastAsia"/>
        </w:rPr>
        <w:t>≥</w:t>
      </w:r>
      <w:r>
        <w:rPr>
          <w:rFonts w:ascii="Book Antiqua" w:hAnsi="Book Antiqua"/>
        </w:rPr>
        <w:t xml:space="preserve"> </w:t>
      </w:r>
      <w:r w:rsidR="00F26395" w:rsidRPr="00F26395">
        <w:rPr>
          <w:rFonts w:ascii="Book Antiqua" w:hAnsi="Book Antiqua"/>
        </w:rPr>
        <w:t>1 units of platelet transfused. Neutropenia was defined as a pre-procedure absolute neutrophil count &lt;</w:t>
      </w:r>
      <w:r>
        <w:rPr>
          <w:rFonts w:ascii="Book Antiqua" w:hAnsi="Book Antiqua"/>
        </w:rPr>
        <w:t xml:space="preserve"> </w:t>
      </w:r>
      <w:r w:rsidR="00F26395" w:rsidRPr="00F26395">
        <w:rPr>
          <w:rFonts w:ascii="Book Antiqua" w:hAnsi="Book Antiqua"/>
        </w:rPr>
        <w:t>1000 cells/µL</w:t>
      </w:r>
      <w:r>
        <w:rPr>
          <w:rFonts w:ascii="Book Antiqua" w:hAnsi="Book Antiqua"/>
        </w:rPr>
        <w:t xml:space="preserve">; </w:t>
      </w:r>
      <w:r w:rsidRPr="009C5288">
        <w:rPr>
          <w:rFonts w:ascii="Book Antiqua" w:hAnsi="Book Antiqua"/>
          <w:vertAlign w:val="superscript"/>
        </w:rPr>
        <w:t>2</w:t>
      </w:r>
      <w:r w:rsidR="00F26395" w:rsidRPr="00F26395">
        <w:rPr>
          <w:rFonts w:ascii="Book Antiqua" w:hAnsi="Book Antiqua"/>
          <w:i/>
          <w:iCs/>
        </w:rPr>
        <w:t>P</w:t>
      </w:r>
      <w:r w:rsidR="00F26395" w:rsidRPr="00F26395">
        <w:rPr>
          <w:rFonts w:ascii="Book Antiqua" w:hAnsi="Book Antiqua"/>
        </w:rPr>
        <w:t xml:space="preserve"> = 1.000 for thrombocytopenic </w:t>
      </w:r>
      <w:r w:rsidR="00F26395" w:rsidRPr="009C5288">
        <w:rPr>
          <w:rFonts w:ascii="Book Antiqua" w:hAnsi="Book Antiqua"/>
          <w:i/>
          <w:iCs/>
        </w:rPr>
        <w:t>vs</w:t>
      </w:r>
      <w:r w:rsidR="00F26395" w:rsidRPr="00F26395">
        <w:rPr>
          <w:rFonts w:ascii="Book Antiqua" w:hAnsi="Book Antiqua"/>
        </w:rPr>
        <w:t xml:space="preserve"> non-thrombocytopenic patients and </w:t>
      </w:r>
      <w:r w:rsidR="00F26395" w:rsidRPr="00F26395">
        <w:rPr>
          <w:rFonts w:ascii="Book Antiqua" w:hAnsi="Book Antiqua"/>
          <w:i/>
          <w:iCs/>
        </w:rPr>
        <w:t>P</w:t>
      </w:r>
      <w:r w:rsidR="00F26395" w:rsidRPr="00F26395">
        <w:rPr>
          <w:rFonts w:ascii="Book Antiqua" w:hAnsi="Book Antiqua"/>
        </w:rPr>
        <w:t xml:space="preserve"> = 0.425 for neutropenic vs non-neutropenic patients.</w:t>
      </w:r>
    </w:p>
    <w:sectPr w:rsidR="007531A0" w:rsidRPr="009C5288" w:rsidSect="00AE4C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B2DC07" w14:textId="77777777" w:rsidR="007E2DFA" w:rsidRDefault="007E2DFA">
      <w:r>
        <w:separator/>
      </w:r>
    </w:p>
  </w:endnote>
  <w:endnote w:type="continuationSeparator" w:id="0">
    <w:p w14:paraId="42857B7F" w14:textId="77777777" w:rsidR="007E2DFA" w:rsidRDefault="007E2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00000000"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24058949"/>
      <w:docPartObj>
        <w:docPartGallery w:val="Page Numbers (Bottom of Page)"/>
        <w:docPartUnique/>
      </w:docPartObj>
    </w:sdtPr>
    <w:sdtEndPr>
      <w:rPr>
        <w:rStyle w:val="PageNumber"/>
      </w:rPr>
    </w:sdtEndPr>
    <w:sdtContent>
      <w:p w14:paraId="00331B72" w14:textId="67F0E0D0" w:rsidR="00F2386F" w:rsidRDefault="00F2386F" w:rsidP="007B4C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A88CEB" w14:textId="77777777" w:rsidR="00F2386F" w:rsidRDefault="00F2386F" w:rsidP="00FD4C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B2BF9" w14:textId="77777777" w:rsidR="00F2386F" w:rsidRPr="007B4C4B" w:rsidRDefault="00F2386F" w:rsidP="007B4C4B">
    <w:pPr>
      <w:pStyle w:val="Footer"/>
      <w:jc w:val="right"/>
      <w:rPr>
        <w:rFonts w:ascii="Book Antiqua" w:hAnsi="Book Antiqua"/>
        <w:color w:val="000000" w:themeColor="text1"/>
        <w:sz w:val="18"/>
        <w:szCs w:val="18"/>
      </w:rPr>
    </w:pPr>
    <w:r w:rsidRPr="007B4C4B">
      <w:rPr>
        <w:rFonts w:ascii="Book Antiqua" w:hAnsi="Book Antiqua"/>
        <w:color w:val="000000" w:themeColor="text1"/>
        <w:sz w:val="18"/>
        <w:szCs w:val="18"/>
        <w:lang w:val="zh-CN"/>
      </w:rPr>
      <w:t xml:space="preserve"> </w:t>
    </w:r>
    <w:r w:rsidRPr="007B4C4B">
      <w:rPr>
        <w:rFonts w:ascii="Book Antiqua" w:hAnsi="Book Antiqua"/>
        <w:color w:val="000000" w:themeColor="text1"/>
        <w:sz w:val="18"/>
        <w:szCs w:val="18"/>
      </w:rPr>
      <w:fldChar w:fldCharType="begin"/>
    </w:r>
    <w:r w:rsidRPr="007B4C4B">
      <w:rPr>
        <w:rFonts w:ascii="Book Antiqua" w:hAnsi="Book Antiqua"/>
        <w:color w:val="000000" w:themeColor="text1"/>
        <w:sz w:val="18"/>
        <w:szCs w:val="18"/>
      </w:rPr>
      <w:instrText>PAGE  \* Arabic  \* MERGEFORMAT</w:instrText>
    </w:r>
    <w:r w:rsidRPr="007B4C4B">
      <w:rPr>
        <w:rFonts w:ascii="Book Antiqua" w:hAnsi="Book Antiqua"/>
        <w:color w:val="000000" w:themeColor="text1"/>
        <w:sz w:val="18"/>
        <w:szCs w:val="18"/>
      </w:rPr>
      <w:fldChar w:fldCharType="separate"/>
    </w:r>
    <w:r w:rsidR="00505021" w:rsidRPr="00505021">
      <w:rPr>
        <w:rFonts w:ascii="Book Antiqua" w:hAnsi="Book Antiqua"/>
        <w:noProof/>
        <w:color w:val="000000" w:themeColor="text1"/>
        <w:sz w:val="18"/>
        <w:szCs w:val="18"/>
        <w:lang w:val="zh-CN"/>
      </w:rPr>
      <w:t>21</w:t>
    </w:r>
    <w:r w:rsidRPr="007B4C4B">
      <w:rPr>
        <w:rFonts w:ascii="Book Antiqua" w:hAnsi="Book Antiqua"/>
        <w:color w:val="000000" w:themeColor="text1"/>
        <w:sz w:val="18"/>
        <w:szCs w:val="18"/>
      </w:rPr>
      <w:fldChar w:fldCharType="end"/>
    </w:r>
    <w:r w:rsidRPr="007B4C4B">
      <w:rPr>
        <w:rFonts w:ascii="Book Antiqua" w:hAnsi="Book Antiqua"/>
        <w:color w:val="000000" w:themeColor="text1"/>
        <w:sz w:val="18"/>
        <w:szCs w:val="18"/>
        <w:lang w:val="zh-CN"/>
      </w:rPr>
      <w:t xml:space="preserve"> / </w:t>
    </w:r>
    <w:r w:rsidRPr="007B4C4B">
      <w:rPr>
        <w:rFonts w:ascii="Book Antiqua" w:hAnsi="Book Antiqua"/>
        <w:color w:val="000000" w:themeColor="text1"/>
        <w:sz w:val="18"/>
        <w:szCs w:val="18"/>
      </w:rPr>
      <w:fldChar w:fldCharType="begin"/>
    </w:r>
    <w:r w:rsidRPr="007B4C4B">
      <w:rPr>
        <w:rFonts w:ascii="Book Antiqua" w:hAnsi="Book Antiqua"/>
        <w:color w:val="000000" w:themeColor="text1"/>
        <w:sz w:val="18"/>
        <w:szCs w:val="18"/>
      </w:rPr>
      <w:instrText>NUMPAGES  \* Arabic  \* MERGEFORMAT</w:instrText>
    </w:r>
    <w:r w:rsidRPr="007B4C4B">
      <w:rPr>
        <w:rFonts w:ascii="Book Antiqua" w:hAnsi="Book Antiqua"/>
        <w:color w:val="000000" w:themeColor="text1"/>
        <w:sz w:val="18"/>
        <w:szCs w:val="18"/>
      </w:rPr>
      <w:fldChar w:fldCharType="separate"/>
    </w:r>
    <w:r w:rsidR="00505021" w:rsidRPr="00505021">
      <w:rPr>
        <w:rFonts w:ascii="Book Antiqua" w:hAnsi="Book Antiqua"/>
        <w:noProof/>
        <w:color w:val="000000" w:themeColor="text1"/>
        <w:sz w:val="18"/>
        <w:szCs w:val="18"/>
        <w:lang w:val="zh-CN"/>
      </w:rPr>
      <w:t>33</w:t>
    </w:r>
    <w:r w:rsidRPr="007B4C4B">
      <w:rPr>
        <w:rFonts w:ascii="Book Antiqua" w:hAnsi="Book Antiqua"/>
        <w:color w:val="000000" w:themeColor="text1"/>
        <w:sz w:val="18"/>
        <w:szCs w:val="18"/>
      </w:rPr>
      <w:fldChar w:fldCharType="end"/>
    </w:r>
  </w:p>
  <w:p w14:paraId="79C7D141" w14:textId="77777777" w:rsidR="00F2386F" w:rsidRDefault="00F2386F" w:rsidP="00FD4C2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210357" w14:textId="77777777" w:rsidR="007E2DFA" w:rsidRDefault="007E2DFA">
      <w:r>
        <w:separator/>
      </w:r>
    </w:p>
  </w:footnote>
  <w:footnote w:type="continuationSeparator" w:id="0">
    <w:p w14:paraId="67B96E5E" w14:textId="77777777" w:rsidR="007E2DFA" w:rsidRDefault="007E2D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8C726" w14:textId="77777777" w:rsidR="00F2386F" w:rsidRDefault="00F238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03F9"/>
    <w:multiLevelType w:val="multilevel"/>
    <w:tmpl w:val="49D83E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081B2F"/>
    <w:multiLevelType w:val="hybridMultilevel"/>
    <w:tmpl w:val="9D8437E4"/>
    <w:lvl w:ilvl="0" w:tplc="65EC66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A1496A"/>
    <w:multiLevelType w:val="multilevel"/>
    <w:tmpl w:val="331C27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A834F8"/>
    <w:multiLevelType w:val="multilevel"/>
    <w:tmpl w:val="99A616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EC2CEE"/>
    <w:multiLevelType w:val="multilevel"/>
    <w:tmpl w:val="C67628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E11132"/>
    <w:multiLevelType w:val="multilevel"/>
    <w:tmpl w:val="DC568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7F5A03"/>
    <w:multiLevelType w:val="multilevel"/>
    <w:tmpl w:val="C20CE4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E61514"/>
    <w:multiLevelType w:val="multilevel"/>
    <w:tmpl w:val="ADA4D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826522"/>
    <w:multiLevelType w:val="multilevel"/>
    <w:tmpl w:val="1BBC44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901ACB"/>
    <w:multiLevelType w:val="multilevel"/>
    <w:tmpl w:val="25A0E0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B9600D"/>
    <w:multiLevelType w:val="multilevel"/>
    <w:tmpl w:val="1A6850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D1343E"/>
    <w:multiLevelType w:val="multilevel"/>
    <w:tmpl w:val="F42AA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485748"/>
    <w:multiLevelType w:val="multilevel"/>
    <w:tmpl w:val="4FC231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B7913AE"/>
    <w:multiLevelType w:val="multilevel"/>
    <w:tmpl w:val="69626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3FD48A8"/>
    <w:multiLevelType w:val="multilevel"/>
    <w:tmpl w:val="1CE003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7F526FF"/>
    <w:multiLevelType w:val="multilevel"/>
    <w:tmpl w:val="9D7AE2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A3916C8"/>
    <w:multiLevelType w:val="hybridMultilevel"/>
    <w:tmpl w:val="EEC8F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F8089E"/>
    <w:multiLevelType w:val="multilevel"/>
    <w:tmpl w:val="9154AA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49570D"/>
    <w:multiLevelType w:val="multilevel"/>
    <w:tmpl w:val="A72A6F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7C53A82"/>
    <w:multiLevelType w:val="multilevel"/>
    <w:tmpl w:val="A39E68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CF833E3"/>
    <w:multiLevelType w:val="multilevel"/>
    <w:tmpl w:val="9076AB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F682770"/>
    <w:multiLevelType w:val="multilevel"/>
    <w:tmpl w:val="671E63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1790A14"/>
    <w:multiLevelType w:val="multilevel"/>
    <w:tmpl w:val="BCE8C7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3932084"/>
    <w:multiLevelType w:val="hybridMultilevel"/>
    <w:tmpl w:val="F9DC3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50576"/>
    <w:multiLevelType w:val="hybridMultilevel"/>
    <w:tmpl w:val="91561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9A4FA6"/>
    <w:multiLevelType w:val="multilevel"/>
    <w:tmpl w:val="C39A5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89A78F3"/>
    <w:multiLevelType w:val="multilevel"/>
    <w:tmpl w:val="CA0CA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90216CA"/>
    <w:multiLevelType w:val="multilevel"/>
    <w:tmpl w:val="D430D1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C3D08C4"/>
    <w:multiLevelType w:val="multilevel"/>
    <w:tmpl w:val="E56E3A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E9162E6"/>
    <w:multiLevelType w:val="multilevel"/>
    <w:tmpl w:val="BDFE72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FFC3008"/>
    <w:multiLevelType w:val="hybridMultilevel"/>
    <w:tmpl w:val="4D704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9"/>
    <w:lvlOverride w:ilvl="0">
      <w:lvl w:ilvl="0">
        <w:numFmt w:val="decimal"/>
        <w:lvlText w:val="%1."/>
        <w:lvlJc w:val="left"/>
      </w:lvl>
    </w:lvlOverride>
  </w:num>
  <w:num w:numId="3">
    <w:abstractNumId w:val="9"/>
    <w:lvlOverride w:ilvl="0">
      <w:lvl w:ilvl="0">
        <w:numFmt w:val="decimal"/>
        <w:lvlText w:val="%1."/>
        <w:lvlJc w:val="left"/>
      </w:lvl>
    </w:lvlOverride>
  </w:num>
  <w:num w:numId="4">
    <w:abstractNumId w:val="2"/>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27"/>
    <w:lvlOverride w:ilvl="0">
      <w:lvl w:ilvl="0">
        <w:numFmt w:val="decimal"/>
        <w:lvlText w:val="%1."/>
        <w:lvlJc w:val="left"/>
      </w:lvl>
    </w:lvlOverride>
  </w:num>
  <w:num w:numId="7">
    <w:abstractNumId w:val="5"/>
  </w:num>
  <w:num w:numId="8">
    <w:abstractNumId w:val="20"/>
    <w:lvlOverride w:ilvl="0">
      <w:lvl w:ilvl="0">
        <w:numFmt w:val="decimal"/>
        <w:lvlText w:val="%1."/>
        <w:lvlJc w:val="left"/>
      </w:lvl>
    </w:lvlOverride>
  </w:num>
  <w:num w:numId="9">
    <w:abstractNumId w:val="15"/>
    <w:lvlOverride w:ilvl="0">
      <w:lvl w:ilvl="0">
        <w:numFmt w:val="decimal"/>
        <w:lvlText w:val="%1."/>
        <w:lvlJc w:val="left"/>
      </w:lvl>
    </w:lvlOverride>
  </w:num>
  <w:num w:numId="10">
    <w:abstractNumId w:val="11"/>
  </w:num>
  <w:num w:numId="11">
    <w:abstractNumId w:val="18"/>
    <w:lvlOverride w:ilvl="0">
      <w:lvl w:ilvl="0">
        <w:numFmt w:val="decimal"/>
        <w:lvlText w:val="%1."/>
        <w:lvlJc w:val="left"/>
      </w:lvl>
    </w:lvlOverride>
  </w:num>
  <w:num w:numId="12">
    <w:abstractNumId w:val="3"/>
    <w:lvlOverride w:ilvl="0">
      <w:lvl w:ilvl="0">
        <w:numFmt w:val="decimal"/>
        <w:lvlText w:val="%1."/>
        <w:lvlJc w:val="left"/>
      </w:lvl>
    </w:lvlOverride>
  </w:num>
  <w:num w:numId="13">
    <w:abstractNumId w:val="0"/>
    <w:lvlOverride w:ilvl="0">
      <w:lvl w:ilvl="0">
        <w:numFmt w:val="decimal"/>
        <w:lvlText w:val="%1."/>
        <w:lvlJc w:val="left"/>
      </w:lvl>
    </w:lvlOverride>
  </w:num>
  <w:num w:numId="14">
    <w:abstractNumId w:val="4"/>
    <w:lvlOverride w:ilvl="0">
      <w:lvl w:ilvl="0">
        <w:numFmt w:val="decimal"/>
        <w:lvlText w:val="%1."/>
        <w:lvlJc w:val="left"/>
      </w:lvl>
    </w:lvlOverride>
  </w:num>
  <w:num w:numId="15">
    <w:abstractNumId w:val="23"/>
  </w:num>
  <w:num w:numId="16">
    <w:abstractNumId w:val="30"/>
  </w:num>
  <w:num w:numId="17">
    <w:abstractNumId w:val="24"/>
  </w:num>
  <w:num w:numId="18">
    <w:abstractNumId w:val="7"/>
  </w:num>
  <w:num w:numId="19">
    <w:abstractNumId w:val="22"/>
  </w:num>
  <w:num w:numId="20">
    <w:abstractNumId w:val="22"/>
    <w:lvlOverride w:ilvl="0">
      <w:lvl w:ilvl="0">
        <w:numFmt w:val="decimal"/>
        <w:lvlText w:val="%1."/>
        <w:lvlJc w:val="left"/>
      </w:lvl>
    </w:lvlOverride>
  </w:num>
  <w:num w:numId="21">
    <w:abstractNumId w:val="29"/>
  </w:num>
  <w:num w:numId="22">
    <w:abstractNumId w:val="29"/>
    <w:lvlOverride w:ilvl="0">
      <w:lvl w:ilvl="0">
        <w:numFmt w:val="decimal"/>
        <w:lvlText w:val="%1."/>
        <w:lvlJc w:val="left"/>
      </w:lvl>
    </w:lvlOverride>
  </w:num>
  <w:num w:numId="23">
    <w:abstractNumId w:val="6"/>
  </w:num>
  <w:num w:numId="24">
    <w:abstractNumId w:val="6"/>
    <w:lvlOverride w:ilvl="0">
      <w:lvl w:ilvl="0">
        <w:numFmt w:val="decimal"/>
        <w:lvlText w:val="%1."/>
        <w:lvlJc w:val="left"/>
      </w:lvl>
    </w:lvlOverride>
  </w:num>
  <w:num w:numId="25">
    <w:abstractNumId w:val="25"/>
  </w:num>
  <w:num w:numId="26">
    <w:abstractNumId w:val="8"/>
  </w:num>
  <w:num w:numId="27">
    <w:abstractNumId w:val="8"/>
    <w:lvlOverride w:ilvl="0">
      <w:lvl w:ilvl="0">
        <w:numFmt w:val="decimal"/>
        <w:lvlText w:val="%1."/>
        <w:lvlJc w:val="left"/>
      </w:lvl>
    </w:lvlOverride>
  </w:num>
  <w:num w:numId="28">
    <w:abstractNumId w:val="28"/>
  </w:num>
  <w:num w:numId="29">
    <w:abstractNumId w:val="28"/>
    <w:lvlOverride w:ilvl="0">
      <w:lvl w:ilvl="0">
        <w:numFmt w:val="decimal"/>
        <w:lvlText w:val="%1."/>
        <w:lvlJc w:val="left"/>
      </w:lvl>
    </w:lvlOverride>
  </w:num>
  <w:num w:numId="30">
    <w:abstractNumId w:val="14"/>
  </w:num>
  <w:num w:numId="31">
    <w:abstractNumId w:val="14"/>
    <w:lvlOverride w:ilvl="0">
      <w:lvl w:ilvl="0">
        <w:numFmt w:val="decimal"/>
        <w:lvlText w:val="%1."/>
        <w:lvlJc w:val="left"/>
      </w:lvl>
    </w:lvlOverride>
  </w:num>
  <w:num w:numId="32">
    <w:abstractNumId w:val="26"/>
  </w:num>
  <w:num w:numId="33">
    <w:abstractNumId w:val="21"/>
  </w:num>
  <w:num w:numId="34">
    <w:abstractNumId w:val="21"/>
    <w:lvlOverride w:ilvl="0">
      <w:lvl w:ilvl="0">
        <w:numFmt w:val="decimal"/>
        <w:lvlText w:val="%1."/>
        <w:lvlJc w:val="left"/>
      </w:lvl>
    </w:lvlOverride>
  </w:num>
  <w:num w:numId="35">
    <w:abstractNumId w:val="12"/>
  </w:num>
  <w:num w:numId="36">
    <w:abstractNumId w:val="12"/>
    <w:lvlOverride w:ilvl="0">
      <w:lvl w:ilvl="0">
        <w:numFmt w:val="decimal"/>
        <w:lvlText w:val="%1."/>
        <w:lvlJc w:val="left"/>
      </w:lvl>
    </w:lvlOverride>
  </w:num>
  <w:num w:numId="37">
    <w:abstractNumId w:val="17"/>
  </w:num>
  <w:num w:numId="38">
    <w:abstractNumId w:val="17"/>
    <w:lvlOverride w:ilvl="0">
      <w:lvl w:ilvl="0">
        <w:numFmt w:val="decimal"/>
        <w:lvlText w:val="%1."/>
        <w:lvlJc w:val="left"/>
      </w:lvl>
    </w:lvlOverride>
  </w:num>
  <w:num w:numId="39">
    <w:abstractNumId w:val="1"/>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80C"/>
    <w:rsid w:val="00025654"/>
    <w:rsid w:val="000532DD"/>
    <w:rsid w:val="000D7F6C"/>
    <w:rsid w:val="000E5266"/>
    <w:rsid w:val="00161EB0"/>
    <w:rsid w:val="00192E54"/>
    <w:rsid w:val="00196342"/>
    <w:rsid w:val="001A00D2"/>
    <w:rsid w:val="001B5149"/>
    <w:rsid w:val="001C55AD"/>
    <w:rsid w:val="001D55C9"/>
    <w:rsid w:val="001F247D"/>
    <w:rsid w:val="00205D0B"/>
    <w:rsid w:val="00235032"/>
    <w:rsid w:val="00242880"/>
    <w:rsid w:val="002618AD"/>
    <w:rsid w:val="00262BC6"/>
    <w:rsid w:val="002C3D5A"/>
    <w:rsid w:val="002E4ED7"/>
    <w:rsid w:val="00325BE2"/>
    <w:rsid w:val="00335E43"/>
    <w:rsid w:val="003A167D"/>
    <w:rsid w:val="00431E20"/>
    <w:rsid w:val="0047118A"/>
    <w:rsid w:val="004D0068"/>
    <w:rsid w:val="004D07E8"/>
    <w:rsid w:val="004D2806"/>
    <w:rsid w:val="00505002"/>
    <w:rsid w:val="00505021"/>
    <w:rsid w:val="005104B3"/>
    <w:rsid w:val="005120A3"/>
    <w:rsid w:val="005456C2"/>
    <w:rsid w:val="005560F2"/>
    <w:rsid w:val="00584C96"/>
    <w:rsid w:val="005903EA"/>
    <w:rsid w:val="0059653C"/>
    <w:rsid w:val="00605FB9"/>
    <w:rsid w:val="00620285"/>
    <w:rsid w:val="00643F77"/>
    <w:rsid w:val="00644B58"/>
    <w:rsid w:val="006924F3"/>
    <w:rsid w:val="00692B0E"/>
    <w:rsid w:val="006C6D2D"/>
    <w:rsid w:val="006D5730"/>
    <w:rsid w:val="007009BD"/>
    <w:rsid w:val="007140D9"/>
    <w:rsid w:val="007352BF"/>
    <w:rsid w:val="00750D6A"/>
    <w:rsid w:val="00750F1C"/>
    <w:rsid w:val="00752C41"/>
    <w:rsid w:val="007531A0"/>
    <w:rsid w:val="007B4C4B"/>
    <w:rsid w:val="007B75F6"/>
    <w:rsid w:val="007E2DFA"/>
    <w:rsid w:val="0088634D"/>
    <w:rsid w:val="008B00A7"/>
    <w:rsid w:val="008B2299"/>
    <w:rsid w:val="00903D2B"/>
    <w:rsid w:val="00904172"/>
    <w:rsid w:val="0091380C"/>
    <w:rsid w:val="009272B8"/>
    <w:rsid w:val="009733C1"/>
    <w:rsid w:val="00977199"/>
    <w:rsid w:val="009B12BA"/>
    <w:rsid w:val="009C5288"/>
    <w:rsid w:val="00A55225"/>
    <w:rsid w:val="00A83A3E"/>
    <w:rsid w:val="00AE4C98"/>
    <w:rsid w:val="00AF2A21"/>
    <w:rsid w:val="00B33BE1"/>
    <w:rsid w:val="00BA0488"/>
    <w:rsid w:val="00C058BF"/>
    <w:rsid w:val="00C42964"/>
    <w:rsid w:val="00C6306C"/>
    <w:rsid w:val="00C8308F"/>
    <w:rsid w:val="00CF29B6"/>
    <w:rsid w:val="00D5414C"/>
    <w:rsid w:val="00D65994"/>
    <w:rsid w:val="00DB1C8C"/>
    <w:rsid w:val="00E30580"/>
    <w:rsid w:val="00E6485C"/>
    <w:rsid w:val="00E74D83"/>
    <w:rsid w:val="00E844A0"/>
    <w:rsid w:val="00E961F0"/>
    <w:rsid w:val="00EA382D"/>
    <w:rsid w:val="00ED6E7D"/>
    <w:rsid w:val="00EE0B8C"/>
    <w:rsid w:val="00EE78FE"/>
    <w:rsid w:val="00EF33C1"/>
    <w:rsid w:val="00F06BD4"/>
    <w:rsid w:val="00F11E08"/>
    <w:rsid w:val="00F2386F"/>
    <w:rsid w:val="00F26395"/>
    <w:rsid w:val="00F955D4"/>
    <w:rsid w:val="00FD4C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235A47"/>
  <w15:chartTrackingRefBased/>
  <w15:docId w15:val="{2F35C860-39ED-B541-963B-0869A24E9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1EB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1380C"/>
    <w:pPr>
      <w:spacing w:before="100" w:beforeAutospacing="1" w:after="100" w:afterAutospacing="1"/>
    </w:pPr>
  </w:style>
  <w:style w:type="paragraph" w:styleId="BalloonText">
    <w:name w:val="Balloon Text"/>
    <w:basedOn w:val="Normal"/>
    <w:link w:val="BalloonTextChar"/>
    <w:uiPriority w:val="99"/>
    <w:semiHidden/>
    <w:unhideWhenUsed/>
    <w:rsid w:val="008B00A7"/>
    <w:rPr>
      <w:sz w:val="18"/>
      <w:szCs w:val="18"/>
    </w:rPr>
  </w:style>
  <w:style w:type="character" w:customStyle="1" w:styleId="BalloonTextChar">
    <w:name w:val="Balloon Text Char"/>
    <w:basedOn w:val="DefaultParagraphFont"/>
    <w:link w:val="BalloonText"/>
    <w:uiPriority w:val="99"/>
    <w:semiHidden/>
    <w:rsid w:val="008B00A7"/>
    <w:rPr>
      <w:rFonts w:ascii="Times New Roman" w:hAnsi="Times New Roman" w:cs="Times New Roman"/>
      <w:sz w:val="18"/>
      <w:szCs w:val="18"/>
    </w:rPr>
  </w:style>
  <w:style w:type="paragraph" w:styleId="ListParagraph">
    <w:name w:val="List Paragraph"/>
    <w:basedOn w:val="Normal"/>
    <w:uiPriority w:val="34"/>
    <w:qFormat/>
    <w:rsid w:val="005560F2"/>
    <w:pPr>
      <w:ind w:left="720"/>
      <w:contextualSpacing/>
    </w:pPr>
  </w:style>
  <w:style w:type="character" w:styleId="Hyperlink">
    <w:name w:val="Hyperlink"/>
    <w:basedOn w:val="DefaultParagraphFont"/>
    <w:uiPriority w:val="99"/>
    <w:unhideWhenUsed/>
    <w:rsid w:val="00161EB0"/>
    <w:rPr>
      <w:color w:val="0000FF"/>
      <w:u w:val="single"/>
    </w:rPr>
  </w:style>
  <w:style w:type="character" w:styleId="FollowedHyperlink">
    <w:name w:val="FollowedHyperlink"/>
    <w:basedOn w:val="DefaultParagraphFont"/>
    <w:uiPriority w:val="99"/>
    <w:semiHidden/>
    <w:unhideWhenUsed/>
    <w:rsid w:val="00161EB0"/>
    <w:rPr>
      <w:color w:val="954F72" w:themeColor="followedHyperlink"/>
      <w:u w:val="single"/>
    </w:rPr>
  </w:style>
  <w:style w:type="character" w:customStyle="1" w:styleId="apple-tab-span">
    <w:name w:val="apple-tab-span"/>
    <w:basedOn w:val="DefaultParagraphFont"/>
    <w:rsid w:val="00161EB0"/>
  </w:style>
  <w:style w:type="paragraph" w:customStyle="1" w:styleId="msonormal0">
    <w:name w:val="msonormal"/>
    <w:basedOn w:val="Normal"/>
    <w:rsid w:val="00161EB0"/>
    <w:pPr>
      <w:spacing w:before="100" w:beforeAutospacing="1" w:after="100" w:afterAutospacing="1"/>
    </w:pPr>
  </w:style>
  <w:style w:type="paragraph" w:styleId="NoSpacing">
    <w:name w:val="No Spacing"/>
    <w:uiPriority w:val="1"/>
    <w:qFormat/>
    <w:rsid w:val="00161EB0"/>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161EB0"/>
    <w:rPr>
      <w:sz w:val="16"/>
      <w:szCs w:val="16"/>
    </w:rPr>
  </w:style>
  <w:style w:type="paragraph" w:styleId="CommentText">
    <w:name w:val="annotation text"/>
    <w:basedOn w:val="Normal"/>
    <w:link w:val="CommentTextChar"/>
    <w:uiPriority w:val="99"/>
    <w:semiHidden/>
    <w:unhideWhenUsed/>
    <w:rsid w:val="00161EB0"/>
    <w:rPr>
      <w:sz w:val="20"/>
      <w:szCs w:val="20"/>
    </w:rPr>
  </w:style>
  <w:style w:type="character" w:customStyle="1" w:styleId="CommentTextChar">
    <w:name w:val="Comment Text Char"/>
    <w:basedOn w:val="DefaultParagraphFont"/>
    <w:link w:val="CommentText"/>
    <w:uiPriority w:val="99"/>
    <w:semiHidden/>
    <w:rsid w:val="00161EB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61EB0"/>
    <w:rPr>
      <w:b/>
      <w:bCs/>
    </w:rPr>
  </w:style>
  <w:style w:type="character" w:customStyle="1" w:styleId="CommentSubjectChar">
    <w:name w:val="Comment Subject Char"/>
    <w:basedOn w:val="CommentTextChar"/>
    <w:link w:val="CommentSubject"/>
    <w:uiPriority w:val="99"/>
    <w:semiHidden/>
    <w:rsid w:val="00161EB0"/>
    <w:rPr>
      <w:rFonts w:ascii="Times New Roman" w:eastAsia="Times New Roman" w:hAnsi="Times New Roman" w:cs="Times New Roman"/>
      <w:b/>
      <w:bCs/>
      <w:sz w:val="20"/>
      <w:szCs w:val="20"/>
    </w:rPr>
  </w:style>
  <w:style w:type="paragraph" w:styleId="EndnoteText">
    <w:name w:val="endnote text"/>
    <w:basedOn w:val="Normal"/>
    <w:link w:val="EndnoteTextChar"/>
    <w:uiPriority w:val="99"/>
    <w:semiHidden/>
    <w:unhideWhenUsed/>
    <w:rsid w:val="00161EB0"/>
    <w:rPr>
      <w:sz w:val="20"/>
      <w:szCs w:val="20"/>
    </w:rPr>
  </w:style>
  <w:style w:type="character" w:customStyle="1" w:styleId="EndnoteTextChar">
    <w:name w:val="Endnote Text Char"/>
    <w:basedOn w:val="DefaultParagraphFont"/>
    <w:link w:val="EndnoteText"/>
    <w:uiPriority w:val="99"/>
    <w:semiHidden/>
    <w:rsid w:val="00161EB0"/>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61EB0"/>
    <w:rPr>
      <w:vertAlign w:val="superscript"/>
    </w:rPr>
  </w:style>
  <w:style w:type="paragraph" w:styleId="FootnoteText">
    <w:name w:val="footnote text"/>
    <w:basedOn w:val="Normal"/>
    <w:link w:val="FootnoteTextChar"/>
    <w:uiPriority w:val="99"/>
    <w:semiHidden/>
    <w:unhideWhenUsed/>
    <w:rsid w:val="00161EB0"/>
    <w:rPr>
      <w:sz w:val="20"/>
      <w:szCs w:val="20"/>
    </w:rPr>
  </w:style>
  <w:style w:type="character" w:customStyle="1" w:styleId="FootnoteTextChar">
    <w:name w:val="Footnote Text Char"/>
    <w:basedOn w:val="DefaultParagraphFont"/>
    <w:link w:val="FootnoteText"/>
    <w:uiPriority w:val="99"/>
    <w:semiHidden/>
    <w:rsid w:val="00161EB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61EB0"/>
    <w:rPr>
      <w:vertAlign w:val="superscript"/>
    </w:rPr>
  </w:style>
  <w:style w:type="character" w:customStyle="1" w:styleId="UnresolvedMention1">
    <w:name w:val="Unresolved Mention1"/>
    <w:basedOn w:val="DefaultParagraphFont"/>
    <w:uiPriority w:val="99"/>
    <w:semiHidden/>
    <w:unhideWhenUsed/>
    <w:rsid w:val="00161EB0"/>
    <w:rPr>
      <w:color w:val="605E5C"/>
      <w:shd w:val="clear" w:color="auto" w:fill="E1DFDD"/>
    </w:rPr>
  </w:style>
  <w:style w:type="table" w:styleId="TableGrid">
    <w:name w:val="Table Grid"/>
    <w:basedOn w:val="TableNormal"/>
    <w:uiPriority w:val="39"/>
    <w:rsid w:val="00161EB0"/>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1EB0"/>
    <w:pPr>
      <w:tabs>
        <w:tab w:val="center" w:pos="4680"/>
        <w:tab w:val="right" w:pos="9360"/>
      </w:tabs>
    </w:pPr>
  </w:style>
  <w:style w:type="character" w:customStyle="1" w:styleId="HeaderChar">
    <w:name w:val="Header Char"/>
    <w:basedOn w:val="DefaultParagraphFont"/>
    <w:link w:val="Header"/>
    <w:uiPriority w:val="99"/>
    <w:rsid w:val="00161EB0"/>
    <w:rPr>
      <w:rFonts w:ascii="Times New Roman" w:eastAsia="Times New Roman" w:hAnsi="Times New Roman" w:cs="Times New Roman"/>
    </w:rPr>
  </w:style>
  <w:style w:type="paragraph" w:styleId="Footer">
    <w:name w:val="footer"/>
    <w:basedOn w:val="Normal"/>
    <w:link w:val="FooterChar"/>
    <w:uiPriority w:val="99"/>
    <w:unhideWhenUsed/>
    <w:rsid w:val="00161EB0"/>
    <w:pPr>
      <w:tabs>
        <w:tab w:val="center" w:pos="4680"/>
        <w:tab w:val="right" w:pos="9360"/>
      </w:tabs>
    </w:pPr>
  </w:style>
  <w:style w:type="character" w:customStyle="1" w:styleId="FooterChar">
    <w:name w:val="Footer Char"/>
    <w:basedOn w:val="DefaultParagraphFont"/>
    <w:link w:val="Footer"/>
    <w:uiPriority w:val="99"/>
    <w:rsid w:val="00161EB0"/>
    <w:rPr>
      <w:rFonts w:ascii="Times New Roman" w:eastAsia="Times New Roman" w:hAnsi="Times New Roman" w:cs="Times New Roman"/>
    </w:rPr>
  </w:style>
  <w:style w:type="character" w:styleId="PageNumber">
    <w:name w:val="page number"/>
    <w:basedOn w:val="DefaultParagraphFont"/>
    <w:uiPriority w:val="99"/>
    <w:semiHidden/>
    <w:unhideWhenUsed/>
    <w:rsid w:val="00FD4C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216474">
      <w:bodyDiv w:val="1"/>
      <w:marLeft w:val="0"/>
      <w:marRight w:val="0"/>
      <w:marTop w:val="0"/>
      <w:marBottom w:val="0"/>
      <w:divBdr>
        <w:top w:val="none" w:sz="0" w:space="0" w:color="auto"/>
        <w:left w:val="none" w:sz="0" w:space="0" w:color="auto"/>
        <w:bottom w:val="none" w:sz="0" w:space="0" w:color="auto"/>
        <w:right w:val="none" w:sz="0" w:space="0" w:color="auto"/>
      </w:divBdr>
    </w:div>
    <w:div w:id="242373286">
      <w:bodyDiv w:val="1"/>
      <w:marLeft w:val="0"/>
      <w:marRight w:val="0"/>
      <w:marTop w:val="0"/>
      <w:marBottom w:val="0"/>
      <w:divBdr>
        <w:top w:val="none" w:sz="0" w:space="0" w:color="auto"/>
        <w:left w:val="none" w:sz="0" w:space="0" w:color="auto"/>
        <w:bottom w:val="none" w:sz="0" w:space="0" w:color="auto"/>
        <w:right w:val="none" w:sz="0" w:space="0" w:color="auto"/>
      </w:divBdr>
    </w:div>
    <w:div w:id="261691191">
      <w:bodyDiv w:val="1"/>
      <w:marLeft w:val="0"/>
      <w:marRight w:val="0"/>
      <w:marTop w:val="0"/>
      <w:marBottom w:val="0"/>
      <w:divBdr>
        <w:top w:val="none" w:sz="0" w:space="0" w:color="auto"/>
        <w:left w:val="none" w:sz="0" w:space="0" w:color="auto"/>
        <w:bottom w:val="none" w:sz="0" w:space="0" w:color="auto"/>
        <w:right w:val="none" w:sz="0" w:space="0" w:color="auto"/>
      </w:divBdr>
    </w:div>
    <w:div w:id="770587147">
      <w:bodyDiv w:val="1"/>
      <w:marLeft w:val="0"/>
      <w:marRight w:val="0"/>
      <w:marTop w:val="0"/>
      <w:marBottom w:val="0"/>
      <w:divBdr>
        <w:top w:val="none" w:sz="0" w:space="0" w:color="auto"/>
        <w:left w:val="none" w:sz="0" w:space="0" w:color="auto"/>
        <w:bottom w:val="none" w:sz="0" w:space="0" w:color="auto"/>
        <w:right w:val="none" w:sz="0" w:space="0" w:color="auto"/>
      </w:divBdr>
    </w:div>
    <w:div w:id="1741558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kgastromd@gmail.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226ED389-F833-9A48-BB73-4260760E5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31114</Words>
  <Characters>177356</Characters>
  <Application>Microsoft Office Word</Application>
  <DocSecurity>0</DocSecurity>
  <Lines>1477</Lines>
  <Paragraphs>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anand rajan</dc:creator>
  <cp:keywords/>
  <dc:description/>
  <cp:lastModifiedBy>Na Ma</cp:lastModifiedBy>
  <cp:revision>2</cp:revision>
  <dcterms:created xsi:type="dcterms:W3CDTF">2020-09-08T20:14:00Z</dcterms:created>
  <dcterms:modified xsi:type="dcterms:W3CDTF">2020-09-08T20:14:00Z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c307ea63-0f12-322c-8dfa-220f4e39efe8</vt:lpwstr>
  </property>
  <property fmtid="{D5CDD505-2E9C-101B-9397-08002B2CF9AE}" pid="4" name="Mendeley Citation Style_1">
    <vt:lpwstr>http://csl.mendeley.com/styles/592706491/world-journal-of-gastroenterology-anand</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http://www.zotero.org/styles/national-library-of-medicine</vt:lpwstr>
  </property>
  <property fmtid="{D5CDD505-2E9C-101B-9397-08002B2CF9AE}" pid="18" name="Mendeley Recent Style Name 6_1">
    <vt:lpwstr>National Library of Medicine</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http://www.zotero.org/styles/world-journal-of-gastroenterology</vt:lpwstr>
  </property>
  <property fmtid="{D5CDD505-2E9C-101B-9397-08002B2CF9AE}" pid="22" name="Mendeley Recent Style Name 8_1">
    <vt:lpwstr>World Journal of Gastroenterology</vt:lpwstr>
  </property>
  <property fmtid="{D5CDD505-2E9C-101B-9397-08002B2CF9AE}" pid="23" name="Mendeley Recent Style Id 9_1">
    <vt:lpwstr>http://csl.mendeley.com/styles/592706491/world-journal-of-gastroenterology-anand</vt:lpwstr>
  </property>
  <property fmtid="{D5CDD505-2E9C-101B-9397-08002B2CF9AE}" pid="24" name="Mendeley Recent Style Name 9_1">
    <vt:lpwstr>World Journal of Gastroenterology - Anand Rajan</vt:lpwstr>
  </property>
</Properties>
</file>