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A8578"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color w:val="000000" w:themeColor="text1"/>
        </w:rPr>
        <w:t xml:space="preserve">Name of Journal: </w:t>
      </w:r>
      <w:r w:rsidRPr="00FE4D0F">
        <w:rPr>
          <w:rFonts w:ascii="Book Antiqua" w:eastAsia="Book Antiqua" w:hAnsi="Book Antiqua" w:cs="Book Antiqua"/>
          <w:i/>
          <w:color w:val="000000" w:themeColor="text1"/>
        </w:rPr>
        <w:t>World Journal of Clinical Cases</w:t>
      </w:r>
    </w:p>
    <w:p w14:paraId="72AF028A"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color w:val="000000" w:themeColor="text1"/>
        </w:rPr>
        <w:t xml:space="preserve">Manuscript NO: </w:t>
      </w:r>
      <w:r w:rsidRPr="00FE4D0F">
        <w:rPr>
          <w:rFonts w:ascii="Book Antiqua" w:eastAsia="Book Antiqua" w:hAnsi="Book Antiqua" w:cs="Book Antiqua"/>
          <w:color w:val="000000" w:themeColor="text1"/>
        </w:rPr>
        <w:t>58483</w:t>
      </w:r>
    </w:p>
    <w:p w14:paraId="3F016B72"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color w:val="000000" w:themeColor="text1"/>
        </w:rPr>
        <w:t xml:space="preserve">Manuscript Type: </w:t>
      </w:r>
      <w:r w:rsidRPr="00FE4D0F">
        <w:rPr>
          <w:rFonts w:ascii="Book Antiqua" w:eastAsia="Book Antiqua" w:hAnsi="Book Antiqua" w:cs="Book Antiqua"/>
          <w:color w:val="000000" w:themeColor="text1"/>
        </w:rPr>
        <w:t>ORIGINAL ARTICLE</w:t>
      </w:r>
    </w:p>
    <w:p w14:paraId="3483C7A9" w14:textId="77777777" w:rsidR="00A77B3E" w:rsidRPr="00FE4D0F" w:rsidRDefault="00A77B3E" w:rsidP="00FE4D0F">
      <w:pPr>
        <w:snapToGrid w:val="0"/>
        <w:spacing w:line="360" w:lineRule="auto"/>
        <w:jc w:val="both"/>
        <w:rPr>
          <w:rFonts w:ascii="Book Antiqua" w:hAnsi="Book Antiqua"/>
          <w:color w:val="000000" w:themeColor="text1"/>
        </w:rPr>
      </w:pPr>
    </w:p>
    <w:p w14:paraId="3E8F70AB"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i/>
          <w:color w:val="000000" w:themeColor="text1"/>
        </w:rPr>
        <w:t>Retrospective Study</w:t>
      </w:r>
    </w:p>
    <w:p w14:paraId="1FE21488"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bCs/>
          <w:color w:val="000000" w:themeColor="text1"/>
        </w:rPr>
        <w:t xml:space="preserve">Three-year follow-up of </w:t>
      </w:r>
      <w:r w:rsidR="00EE7694" w:rsidRPr="00FE4D0F">
        <w:rPr>
          <w:rFonts w:ascii="Book Antiqua" w:eastAsia="Book Antiqua" w:hAnsi="Book Antiqua" w:cs="Book Antiqua"/>
          <w:b/>
          <w:bCs/>
          <w:caps/>
          <w:color w:val="000000" w:themeColor="text1"/>
        </w:rPr>
        <w:t>c</w:t>
      </w:r>
      <w:r w:rsidR="00EE7694" w:rsidRPr="00FE4D0F">
        <w:rPr>
          <w:rFonts w:ascii="Book Antiqua" w:eastAsia="Book Antiqua" w:hAnsi="Book Antiqua" w:cs="Book Antiqua"/>
          <w:b/>
          <w:bCs/>
          <w:color w:val="000000" w:themeColor="text1"/>
        </w:rPr>
        <w:t xml:space="preserve">oats </w:t>
      </w:r>
      <w:r w:rsidRPr="00FE4D0F">
        <w:rPr>
          <w:rFonts w:ascii="Book Antiqua" w:eastAsia="Book Antiqua" w:hAnsi="Book Antiqua" w:cs="Book Antiqua"/>
          <w:b/>
          <w:bCs/>
          <w:color w:val="000000" w:themeColor="text1"/>
        </w:rPr>
        <w:t>disease treated with conbercept and 532-nm laser photocoagulation</w:t>
      </w:r>
    </w:p>
    <w:p w14:paraId="3F3A7907" w14:textId="77777777" w:rsidR="00A77B3E" w:rsidRPr="00FE4D0F" w:rsidRDefault="00A77B3E" w:rsidP="00FE4D0F">
      <w:pPr>
        <w:snapToGrid w:val="0"/>
        <w:spacing w:line="360" w:lineRule="auto"/>
        <w:jc w:val="both"/>
        <w:rPr>
          <w:rFonts w:ascii="Book Antiqua" w:hAnsi="Book Antiqua"/>
          <w:color w:val="000000" w:themeColor="text1"/>
        </w:rPr>
      </w:pPr>
    </w:p>
    <w:p w14:paraId="4141D04B" w14:textId="77777777" w:rsidR="00A77B3E" w:rsidRPr="00FE4D0F" w:rsidRDefault="00EE7694"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color w:val="000000" w:themeColor="text1"/>
        </w:rPr>
        <w:t xml:space="preserve">Jiang </w:t>
      </w:r>
      <w:r w:rsidRPr="00FE4D0F">
        <w:rPr>
          <w:rFonts w:ascii="Book Antiqua" w:hAnsi="Book Antiqua" w:cs="Book Antiqua"/>
          <w:color w:val="000000" w:themeColor="text1"/>
          <w:lang w:eastAsia="zh-CN"/>
        </w:rPr>
        <w:t xml:space="preserve">L </w:t>
      </w:r>
      <w:r w:rsidRPr="00FE4D0F">
        <w:rPr>
          <w:rFonts w:ascii="Book Antiqua" w:hAnsi="Book Antiqua" w:cs="Book Antiqua"/>
          <w:i/>
          <w:color w:val="000000" w:themeColor="text1"/>
          <w:lang w:eastAsia="zh-CN"/>
        </w:rPr>
        <w:t>et al</w:t>
      </w:r>
      <w:r w:rsidRPr="00FE4D0F">
        <w:rPr>
          <w:rFonts w:ascii="Book Antiqua" w:hAnsi="Book Antiqua" w:cs="Book Antiqua"/>
          <w:color w:val="000000" w:themeColor="text1"/>
          <w:lang w:eastAsia="zh-CN"/>
        </w:rPr>
        <w:t xml:space="preserve">. </w:t>
      </w:r>
      <w:r w:rsidR="003C42F5" w:rsidRPr="00FE4D0F">
        <w:rPr>
          <w:rFonts w:ascii="Book Antiqua" w:eastAsia="Book Antiqua" w:hAnsi="Book Antiqua" w:cs="Book Antiqua"/>
          <w:color w:val="000000" w:themeColor="text1"/>
        </w:rPr>
        <w:t xml:space="preserve">Conbercept and laser for </w:t>
      </w:r>
      <w:bookmarkStart w:id="0" w:name="OLE_LINK1"/>
      <w:bookmarkStart w:id="1" w:name="OLE_LINK2"/>
      <w:bookmarkStart w:id="2" w:name="OLE_LINK3"/>
      <w:r w:rsidRPr="00FE4D0F">
        <w:rPr>
          <w:rFonts w:ascii="Book Antiqua" w:eastAsia="Book Antiqua" w:hAnsi="Book Antiqua" w:cs="Book Antiqua"/>
          <w:caps/>
          <w:color w:val="000000" w:themeColor="text1"/>
        </w:rPr>
        <w:t>c</w:t>
      </w:r>
      <w:r w:rsidRPr="00FE4D0F">
        <w:rPr>
          <w:rFonts w:ascii="Book Antiqua" w:eastAsia="Book Antiqua" w:hAnsi="Book Antiqua" w:cs="Book Antiqua"/>
          <w:color w:val="000000" w:themeColor="text1"/>
        </w:rPr>
        <w:t xml:space="preserve">oats </w:t>
      </w:r>
      <w:bookmarkEnd w:id="0"/>
      <w:bookmarkEnd w:id="1"/>
      <w:bookmarkEnd w:id="2"/>
      <w:r w:rsidRPr="00FE4D0F">
        <w:rPr>
          <w:rFonts w:ascii="Book Antiqua" w:eastAsia="Book Antiqua" w:hAnsi="Book Antiqua" w:cs="Book Antiqua"/>
          <w:color w:val="000000" w:themeColor="text1"/>
        </w:rPr>
        <w:t>disease</w:t>
      </w:r>
    </w:p>
    <w:p w14:paraId="14E0A36B" w14:textId="77777777" w:rsidR="00A77B3E" w:rsidRPr="00FE4D0F" w:rsidRDefault="00A77B3E" w:rsidP="00FE4D0F">
      <w:pPr>
        <w:snapToGrid w:val="0"/>
        <w:spacing w:line="360" w:lineRule="auto"/>
        <w:jc w:val="both"/>
        <w:rPr>
          <w:rFonts w:ascii="Book Antiqua" w:hAnsi="Book Antiqua"/>
          <w:color w:val="000000" w:themeColor="text1"/>
        </w:rPr>
      </w:pPr>
    </w:p>
    <w:p w14:paraId="08E9EF01" w14:textId="77777777" w:rsidR="00A77B3E" w:rsidRPr="00FE4D0F" w:rsidRDefault="003C42F5" w:rsidP="00FE4D0F">
      <w:pPr>
        <w:snapToGrid w:val="0"/>
        <w:spacing w:line="360" w:lineRule="auto"/>
        <w:jc w:val="both"/>
        <w:rPr>
          <w:rFonts w:ascii="Book Antiqua" w:hAnsi="Book Antiqua"/>
          <w:color w:val="000000" w:themeColor="text1"/>
        </w:rPr>
      </w:pPr>
      <w:bookmarkStart w:id="3" w:name="OLE_LINK6"/>
      <w:bookmarkStart w:id="4" w:name="OLE_LINK7"/>
      <w:r w:rsidRPr="00FE4D0F">
        <w:rPr>
          <w:rFonts w:ascii="Book Antiqua" w:eastAsia="Book Antiqua" w:hAnsi="Book Antiqua" w:cs="Book Antiqua"/>
          <w:color w:val="000000" w:themeColor="text1"/>
        </w:rPr>
        <w:t xml:space="preserve">Li </w:t>
      </w:r>
      <w:bookmarkStart w:id="5" w:name="OLE_LINK4"/>
      <w:bookmarkStart w:id="6" w:name="OLE_LINK5"/>
      <w:bookmarkStart w:id="7" w:name="OLE_LINK12"/>
      <w:r w:rsidRPr="00FE4D0F">
        <w:rPr>
          <w:rFonts w:ascii="Book Antiqua" w:eastAsia="Book Antiqua" w:hAnsi="Book Antiqua" w:cs="Book Antiqua"/>
          <w:color w:val="000000" w:themeColor="text1"/>
        </w:rPr>
        <w:t>Jiang</w:t>
      </w:r>
      <w:bookmarkEnd w:id="5"/>
      <w:bookmarkEnd w:id="6"/>
      <w:bookmarkEnd w:id="7"/>
      <w:r w:rsidR="00FE0410" w:rsidRPr="00FE4D0F">
        <w:rPr>
          <w:rFonts w:ascii="Book Antiqua" w:eastAsia="Book Antiqua" w:hAnsi="Book Antiqua" w:cs="Book Antiqua"/>
          <w:color w:val="000000" w:themeColor="text1"/>
        </w:rPr>
        <w:t xml:space="preserve">, Bo </w:t>
      </w:r>
      <w:bookmarkStart w:id="8" w:name="OLE_LINK13"/>
      <w:bookmarkStart w:id="9" w:name="OLE_LINK14"/>
      <w:r w:rsidR="00FE0410" w:rsidRPr="00FE4D0F">
        <w:rPr>
          <w:rFonts w:ascii="Book Antiqua" w:eastAsia="Book Antiqua" w:hAnsi="Book Antiqua" w:cs="Book Antiqua"/>
          <w:color w:val="000000" w:themeColor="text1"/>
        </w:rPr>
        <w:t>Qin</w:t>
      </w:r>
      <w:bookmarkEnd w:id="8"/>
      <w:bookmarkEnd w:id="9"/>
      <w:r w:rsidR="00FE0410" w:rsidRPr="00FE4D0F">
        <w:rPr>
          <w:rFonts w:ascii="Book Antiqua" w:eastAsia="Book Antiqua" w:hAnsi="Book Antiqua" w:cs="Book Antiqua"/>
          <w:color w:val="000000" w:themeColor="text1"/>
        </w:rPr>
        <w:t>, Xiao-</w:t>
      </w:r>
      <w:r w:rsidR="00FE0410" w:rsidRPr="00FE4D0F">
        <w:rPr>
          <w:rFonts w:ascii="Book Antiqua" w:hAnsi="Book Antiqua" w:cs="Book Antiqua"/>
          <w:color w:val="000000" w:themeColor="text1"/>
          <w:lang w:eastAsia="zh-CN"/>
        </w:rPr>
        <w:t>L</w:t>
      </w:r>
      <w:r w:rsidR="00FE0410" w:rsidRPr="00FE4D0F">
        <w:rPr>
          <w:rFonts w:ascii="Book Antiqua" w:eastAsia="Book Antiqua" w:hAnsi="Book Antiqua" w:cs="Book Antiqua"/>
          <w:color w:val="000000" w:themeColor="text1"/>
        </w:rPr>
        <w:t xml:space="preserve">ing </w:t>
      </w:r>
      <w:bookmarkStart w:id="10" w:name="OLE_LINK15"/>
      <w:bookmarkStart w:id="11" w:name="OLE_LINK16"/>
      <w:r w:rsidR="00FE0410" w:rsidRPr="00FE4D0F">
        <w:rPr>
          <w:rFonts w:ascii="Book Antiqua" w:eastAsia="Book Antiqua" w:hAnsi="Book Antiqua" w:cs="Book Antiqua"/>
          <w:color w:val="000000" w:themeColor="text1"/>
        </w:rPr>
        <w:t>Luo</w:t>
      </w:r>
      <w:bookmarkEnd w:id="10"/>
      <w:bookmarkEnd w:id="11"/>
      <w:r w:rsidR="00FE0410" w:rsidRPr="00FE4D0F">
        <w:rPr>
          <w:rFonts w:ascii="Book Antiqua" w:eastAsia="Book Antiqua" w:hAnsi="Book Antiqua" w:cs="Book Antiqua"/>
          <w:color w:val="000000" w:themeColor="text1"/>
        </w:rPr>
        <w:t xml:space="preserve">, He </w:t>
      </w:r>
      <w:bookmarkStart w:id="12" w:name="OLE_LINK17"/>
      <w:r w:rsidR="00FE0410" w:rsidRPr="00FE4D0F">
        <w:rPr>
          <w:rFonts w:ascii="Book Antiqua" w:eastAsia="Book Antiqua" w:hAnsi="Book Antiqua" w:cs="Book Antiqua"/>
          <w:color w:val="000000" w:themeColor="text1"/>
        </w:rPr>
        <w:t>Cao</w:t>
      </w:r>
      <w:bookmarkEnd w:id="12"/>
      <w:r w:rsidR="00FE0410" w:rsidRPr="00FE4D0F">
        <w:rPr>
          <w:rFonts w:ascii="Book Antiqua" w:eastAsia="Book Antiqua" w:hAnsi="Book Antiqua" w:cs="Book Antiqua"/>
          <w:color w:val="000000" w:themeColor="text1"/>
        </w:rPr>
        <w:t>, Ting-</w:t>
      </w:r>
      <w:r w:rsidR="00FE0410" w:rsidRPr="00FE4D0F">
        <w:rPr>
          <w:rFonts w:ascii="Book Antiqua" w:hAnsi="Book Antiqua" w:cs="Book Antiqua"/>
          <w:color w:val="000000" w:themeColor="text1"/>
          <w:lang w:eastAsia="zh-CN"/>
        </w:rPr>
        <w:t>M</w:t>
      </w:r>
      <w:r w:rsidR="00FE0410" w:rsidRPr="00FE4D0F">
        <w:rPr>
          <w:rFonts w:ascii="Book Antiqua" w:eastAsia="Book Antiqua" w:hAnsi="Book Antiqua" w:cs="Book Antiqua"/>
          <w:color w:val="000000" w:themeColor="text1"/>
        </w:rPr>
        <w:t xml:space="preserve">ing </w:t>
      </w:r>
      <w:bookmarkStart w:id="13" w:name="OLE_LINK18"/>
      <w:bookmarkStart w:id="14" w:name="OLE_LINK19"/>
      <w:r w:rsidR="00FE0410" w:rsidRPr="00FE4D0F">
        <w:rPr>
          <w:rFonts w:ascii="Book Antiqua" w:eastAsia="Book Antiqua" w:hAnsi="Book Antiqua" w:cs="Book Antiqua"/>
          <w:color w:val="000000" w:themeColor="text1"/>
        </w:rPr>
        <w:t>Deng</w:t>
      </w:r>
      <w:bookmarkEnd w:id="13"/>
      <w:bookmarkEnd w:id="14"/>
      <w:r w:rsidR="00FE0410" w:rsidRPr="00FE4D0F">
        <w:rPr>
          <w:rFonts w:ascii="Book Antiqua" w:eastAsia="Book Antiqua" w:hAnsi="Book Antiqua" w:cs="Book Antiqua"/>
          <w:color w:val="000000" w:themeColor="text1"/>
        </w:rPr>
        <w:t>, Ming-</w:t>
      </w:r>
      <w:r w:rsidR="00FE0410" w:rsidRPr="00FE4D0F">
        <w:rPr>
          <w:rFonts w:ascii="Book Antiqua" w:hAnsi="Book Antiqua" w:cs="Book Antiqua"/>
          <w:color w:val="000000" w:themeColor="text1"/>
          <w:lang w:eastAsia="zh-CN"/>
        </w:rPr>
        <w:t>M</w:t>
      </w:r>
      <w:r w:rsidR="00FE0410" w:rsidRPr="00FE4D0F">
        <w:rPr>
          <w:rFonts w:ascii="Book Antiqua" w:eastAsia="Book Antiqua" w:hAnsi="Book Antiqua" w:cs="Book Antiqua"/>
          <w:color w:val="000000" w:themeColor="text1"/>
        </w:rPr>
        <w:t xml:space="preserve">ing </w:t>
      </w:r>
      <w:bookmarkStart w:id="15" w:name="OLE_LINK20"/>
      <w:bookmarkStart w:id="16" w:name="OLE_LINK21"/>
      <w:r w:rsidR="00FE0410" w:rsidRPr="00FE4D0F">
        <w:rPr>
          <w:rFonts w:ascii="Book Antiqua" w:eastAsia="Book Antiqua" w:hAnsi="Book Antiqua" w:cs="Book Antiqua"/>
          <w:color w:val="000000" w:themeColor="text1"/>
        </w:rPr>
        <w:t>Yang</w:t>
      </w:r>
      <w:bookmarkEnd w:id="15"/>
      <w:bookmarkEnd w:id="16"/>
      <w:r w:rsidR="00FE0410" w:rsidRPr="00FE4D0F">
        <w:rPr>
          <w:rFonts w:ascii="Book Antiqua" w:eastAsia="Book Antiqua" w:hAnsi="Book Antiqua" w:cs="Book Antiqua"/>
          <w:color w:val="000000" w:themeColor="text1"/>
        </w:rPr>
        <w:t xml:space="preserve">, Ting </w:t>
      </w:r>
      <w:bookmarkStart w:id="17" w:name="OLE_LINK22"/>
      <w:bookmarkStart w:id="18" w:name="OLE_LINK23"/>
      <w:r w:rsidR="00FE0410" w:rsidRPr="00FE4D0F">
        <w:rPr>
          <w:rFonts w:ascii="Book Antiqua" w:eastAsia="Book Antiqua" w:hAnsi="Book Antiqua" w:cs="Book Antiqua"/>
          <w:color w:val="000000" w:themeColor="text1"/>
        </w:rPr>
        <w:t>Meng</w:t>
      </w:r>
      <w:bookmarkEnd w:id="17"/>
      <w:bookmarkEnd w:id="18"/>
      <w:r w:rsidR="00FE0410" w:rsidRPr="00FE4D0F">
        <w:rPr>
          <w:rFonts w:ascii="Book Antiqua" w:eastAsia="Book Antiqua" w:hAnsi="Book Antiqua" w:cs="Book Antiqua"/>
          <w:color w:val="000000" w:themeColor="text1"/>
        </w:rPr>
        <w:t>, Hui-</w:t>
      </w:r>
      <w:r w:rsidR="00FE0410" w:rsidRPr="00FE4D0F">
        <w:rPr>
          <w:rFonts w:ascii="Book Antiqua" w:hAnsi="Book Antiqua" w:cs="Book Antiqua"/>
          <w:color w:val="000000" w:themeColor="text1"/>
          <w:lang w:eastAsia="zh-CN"/>
        </w:rPr>
        <w:t>Q</w:t>
      </w:r>
      <w:r w:rsidRPr="00FE4D0F">
        <w:rPr>
          <w:rFonts w:ascii="Book Antiqua" w:eastAsia="Book Antiqua" w:hAnsi="Book Antiqua" w:cs="Book Antiqua"/>
          <w:color w:val="000000" w:themeColor="text1"/>
        </w:rPr>
        <w:t xml:space="preserve">in </w:t>
      </w:r>
      <w:bookmarkStart w:id="19" w:name="OLE_LINK24"/>
      <w:r w:rsidRPr="00FE4D0F">
        <w:rPr>
          <w:rFonts w:ascii="Book Antiqua" w:eastAsia="Book Antiqua" w:hAnsi="Book Antiqua" w:cs="Book Antiqua"/>
          <w:color w:val="000000" w:themeColor="text1"/>
        </w:rPr>
        <w:t>Yang</w:t>
      </w:r>
      <w:bookmarkEnd w:id="3"/>
      <w:bookmarkEnd w:id="4"/>
      <w:bookmarkEnd w:id="19"/>
    </w:p>
    <w:p w14:paraId="1182B682" w14:textId="77777777" w:rsidR="00A77B3E" w:rsidRPr="00FE4D0F" w:rsidRDefault="00A77B3E" w:rsidP="00FE4D0F">
      <w:pPr>
        <w:snapToGrid w:val="0"/>
        <w:spacing w:line="360" w:lineRule="auto"/>
        <w:jc w:val="both"/>
        <w:rPr>
          <w:rFonts w:ascii="Book Antiqua" w:hAnsi="Book Antiqua"/>
          <w:color w:val="000000" w:themeColor="text1"/>
        </w:rPr>
      </w:pPr>
    </w:p>
    <w:p w14:paraId="5EA05518" w14:textId="77777777" w:rsidR="00A77B3E" w:rsidRPr="00FE4D0F" w:rsidRDefault="00FE0410" w:rsidP="00FE4D0F">
      <w:pPr>
        <w:snapToGrid w:val="0"/>
        <w:spacing w:line="360" w:lineRule="auto"/>
        <w:jc w:val="both"/>
        <w:rPr>
          <w:rFonts w:ascii="Book Antiqua" w:eastAsia="Book Antiqua" w:hAnsi="Book Antiqua" w:cs="Book Antiqua"/>
          <w:color w:val="000000" w:themeColor="text1"/>
        </w:rPr>
      </w:pPr>
      <w:r w:rsidRPr="00FE4D0F">
        <w:rPr>
          <w:rFonts w:ascii="Book Antiqua" w:eastAsia="Book Antiqua" w:hAnsi="Book Antiqua" w:cs="Book Antiqua"/>
          <w:b/>
          <w:bCs/>
          <w:color w:val="000000" w:themeColor="text1"/>
        </w:rPr>
        <w:t>Li Jiang, Xiao-Ling Luo, He Cao, Ting-Ming Deng, Ming-Ming Yang, Ting Meng, Hui-Qin Yang</w:t>
      </w:r>
      <w:r w:rsidRPr="00FE4D0F">
        <w:rPr>
          <w:rFonts w:ascii="Book Antiqua" w:hAnsi="Book Antiqua" w:cs="Book Antiqua"/>
          <w:b/>
          <w:bCs/>
          <w:color w:val="000000" w:themeColor="text1"/>
          <w:lang w:eastAsia="zh-CN"/>
        </w:rPr>
        <w:t>,</w:t>
      </w:r>
      <w:r w:rsidR="003C42F5" w:rsidRPr="00FE4D0F">
        <w:rPr>
          <w:rFonts w:ascii="Book Antiqua" w:eastAsia="Book Antiqua" w:hAnsi="Book Antiqua" w:cs="Book Antiqua"/>
          <w:b/>
          <w:bCs/>
          <w:color w:val="000000" w:themeColor="text1"/>
        </w:rPr>
        <w:t xml:space="preserve"> </w:t>
      </w:r>
      <w:r w:rsidR="003C42F5" w:rsidRPr="00FE4D0F">
        <w:rPr>
          <w:rFonts w:ascii="Book Antiqua" w:eastAsia="Book Antiqua" w:hAnsi="Book Antiqua" w:cs="Book Antiqua"/>
          <w:color w:val="000000" w:themeColor="text1"/>
        </w:rPr>
        <w:t xml:space="preserve">Department of Ophthalmology, </w:t>
      </w:r>
      <w:bookmarkStart w:id="20" w:name="OLE_LINK25"/>
      <w:bookmarkStart w:id="21" w:name="OLE_LINK26"/>
      <w:r w:rsidR="003C42F5" w:rsidRPr="00FE4D0F">
        <w:rPr>
          <w:rFonts w:ascii="Book Antiqua" w:eastAsia="Book Antiqua" w:hAnsi="Book Antiqua" w:cs="Book Antiqua"/>
          <w:color w:val="000000" w:themeColor="text1"/>
        </w:rPr>
        <w:t xml:space="preserve">Shenzhen People’s Hospital, </w:t>
      </w:r>
      <w:bookmarkEnd w:id="20"/>
      <w:bookmarkEnd w:id="21"/>
      <w:r w:rsidR="003C42F5" w:rsidRPr="00FE4D0F">
        <w:rPr>
          <w:rFonts w:ascii="Book Antiqua" w:eastAsia="Book Antiqua" w:hAnsi="Book Antiqua" w:cs="Book Antiqua"/>
          <w:color w:val="000000" w:themeColor="text1"/>
        </w:rPr>
        <w:t>Second Clinical Medical College of Jinan University, Shenzhen 518020,</w:t>
      </w:r>
      <w:r w:rsidRPr="00FE4D0F">
        <w:rPr>
          <w:rFonts w:ascii="Book Antiqua" w:hAnsi="Book Antiqua" w:cs="Book Antiqua"/>
          <w:color w:val="000000" w:themeColor="text1"/>
          <w:lang w:eastAsia="zh-CN"/>
        </w:rPr>
        <w:t xml:space="preserve"> </w:t>
      </w:r>
      <w:bookmarkStart w:id="22" w:name="OLE_LINK27"/>
      <w:bookmarkStart w:id="23" w:name="OLE_LINK28"/>
      <w:bookmarkStart w:id="24" w:name="OLE_LINK8"/>
      <w:bookmarkStart w:id="25" w:name="OLE_LINK9"/>
      <w:r w:rsidRPr="00FE4D0F">
        <w:rPr>
          <w:rFonts w:ascii="Book Antiqua" w:hAnsi="Book Antiqua" w:cs="Book Antiqua"/>
          <w:color w:val="000000" w:themeColor="text1"/>
          <w:lang w:eastAsia="zh-CN"/>
        </w:rPr>
        <w:t>Guangdong Province</w:t>
      </w:r>
      <w:bookmarkEnd w:id="22"/>
      <w:bookmarkEnd w:id="23"/>
      <w:r w:rsidRPr="00FE4D0F">
        <w:rPr>
          <w:rFonts w:ascii="Book Antiqua" w:hAnsi="Book Antiqua" w:cs="Book Antiqua"/>
          <w:color w:val="000000" w:themeColor="text1"/>
          <w:lang w:eastAsia="zh-CN"/>
        </w:rPr>
        <w:t>,</w:t>
      </w:r>
      <w:r w:rsidR="003C42F5" w:rsidRPr="00FE4D0F">
        <w:rPr>
          <w:rFonts w:ascii="Book Antiqua" w:eastAsia="Book Antiqua" w:hAnsi="Book Antiqua" w:cs="Book Antiqua"/>
          <w:color w:val="000000" w:themeColor="text1"/>
        </w:rPr>
        <w:t xml:space="preserve"> </w:t>
      </w:r>
      <w:bookmarkEnd w:id="24"/>
      <w:bookmarkEnd w:id="25"/>
      <w:r w:rsidR="003C42F5" w:rsidRPr="00FE4D0F">
        <w:rPr>
          <w:rFonts w:ascii="Book Antiqua" w:eastAsia="Book Antiqua" w:hAnsi="Book Antiqua" w:cs="Book Antiqua"/>
          <w:color w:val="000000" w:themeColor="text1"/>
        </w:rPr>
        <w:t>China</w:t>
      </w:r>
    </w:p>
    <w:p w14:paraId="47ED5894" w14:textId="77777777" w:rsidR="00095BAB" w:rsidRPr="00FE4D0F" w:rsidRDefault="00095BAB" w:rsidP="00FE4D0F">
      <w:pPr>
        <w:snapToGrid w:val="0"/>
        <w:spacing w:line="360" w:lineRule="auto"/>
        <w:jc w:val="both"/>
        <w:rPr>
          <w:rFonts w:ascii="Book Antiqua" w:hAnsi="Book Antiqua" w:cs="Book Antiqua"/>
          <w:b/>
          <w:bCs/>
          <w:color w:val="000000" w:themeColor="text1"/>
          <w:lang w:eastAsia="zh-CN"/>
        </w:rPr>
      </w:pPr>
    </w:p>
    <w:p w14:paraId="776BFDF4" w14:textId="77777777" w:rsidR="007428CF" w:rsidRPr="00FE4D0F" w:rsidRDefault="007428CF"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bCs/>
          <w:color w:val="000000" w:themeColor="text1"/>
        </w:rPr>
        <w:t>Bo Qin,</w:t>
      </w:r>
      <w:r w:rsidR="00F937CC" w:rsidRPr="00FE4D0F">
        <w:rPr>
          <w:rFonts w:ascii="Book Antiqua" w:eastAsia="Book Antiqua" w:hAnsi="Book Antiqua" w:cs="Book Antiqua"/>
          <w:color w:val="000000" w:themeColor="text1"/>
        </w:rPr>
        <w:t xml:space="preserve"> </w:t>
      </w:r>
      <w:r w:rsidR="001916ED" w:rsidRPr="00FE4D0F">
        <w:rPr>
          <w:rFonts w:ascii="Book Antiqua" w:eastAsia="Book Antiqua" w:hAnsi="Book Antiqua" w:cs="Book Antiqua"/>
          <w:color w:val="000000" w:themeColor="text1"/>
        </w:rPr>
        <w:t>Department of Ophthalmology</w:t>
      </w:r>
      <w:r w:rsidR="001916ED" w:rsidRPr="00FE4D0F">
        <w:rPr>
          <w:rFonts w:ascii="Book Antiqua" w:hAnsi="Book Antiqua" w:cs="Book Antiqua"/>
          <w:color w:val="000000" w:themeColor="text1"/>
          <w:lang w:eastAsia="zh-CN"/>
        </w:rPr>
        <w:t>,</w:t>
      </w:r>
      <w:r w:rsidR="001916ED" w:rsidRPr="00FE4D0F">
        <w:rPr>
          <w:rFonts w:ascii="Book Antiqua" w:eastAsia="Book Antiqua" w:hAnsi="Book Antiqua" w:cs="Book Antiqua"/>
          <w:color w:val="000000" w:themeColor="text1"/>
        </w:rPr>
        <w:t xml:space="preserve"> </w:t>
      </w:r>
      <w:r w:rsidR="00F937CC" w:rsidRPr="00FE4D0F">
        <w:rPr>
          <w:rFonts w:ascii="Book Antiqua" w:eastAsia="Book Antiqua" w:hAnsi="Book Antiqua" w:cs="Book Antiqua"/>
          <w:color w:val="000000" w:themeColor="text1"/>
        </w:rPr>
        <w:t>Shenzhen Aier Eye Hospital Affiliated to Jinan University</w:t>
      </w:r>
      <w:r w:rsidRPr="00FE4D0F">
        <w:rPr>
          <w:rFonts w:ascii="Book Antiqua" w:eastAsia="Book Antiqua" w:hAnsi="Book Antiqua" w:cs="Book Antiqua"/>
          <w:color w:val="000000" w:themeColor="text1"/>
        </w:rPr>
        <w:t>,</w:t>
      </w:r>
      <w:r w:rsidR="00F937CC" w:rsidRPr="00FE4D0F">
        <w:rPr>
          <w:rFonts w:ascii="Book Antiqua" w:eastAsia="Book Antiqua" w:hAnsi="Book Antiqua" w:cs="Book Antiqua"/>
          <w:color w:val="000000" w:themeColor="text1"/>
        </w:rPr>
        <w:t xml:space="preserve"> Shenzhen</w:t>
      </w:r>
      <w:r w:rsidRPr="00FE4D0F">
        <w:rPr>
          <w:rFonts w:ascii="Book Antiqua" w:eastAsia="宋体" w:hAnsi="Book Antiqua" w:cs="宋体"/>
          <w:color w:val="000000" w:themeColor="text1"/>
          <w:lang w:eastAsia="zh-CN"/>
        </w:rPr>
        <w:t xml:space="preserve"> </w:t>
      </w:r>
      <w:r w:rsidRPr="00FE4D0F">
        <w:rPr>
          <w:rFonts w:ascii="Book Antiqua" w:eastAsia="Book Antiqua" w:hAnsi="Book Antiqua" w:cs="Book Antiqua"/>
          <w:color w:val="000000" w:themeColor="text1"/>
        </w:rPr>
        <w:t>5180</w:t>
      </w:r>
      <w:r w:rsidR="002E638C" w:rsidRPr="00FE4D0F">
        <w:rPr>
          <w:rFonts w:ascii="Book Antiqua" w:hAnsi="Book Antiqua" w:cs="Book Antiqua"/>
          <w:color w:val="000000" w:themeColor="text1"/>
          <w:lang w:eastAsia="zh-CN"/>
        </w:rPr>
        <w:t>32</w:t>
      </w:r>
      <w:r w:rsidRPr="00FE4D0F">
        <w:rPr>
          <w:rFonts w:ascii="Book Antiqua" w:eastAsia="Book Antiqua" w:hAnsi="Book Antiqua" w:cs="Book Antiqua"/>
          <w:color w:val="000000" w:themeColor="text1"/>
        </w:rPr>
        <w:t>,</w:t>
      </w:r>
      <w:r w:rsidRPr="00FE4D0F">
        <w:rPr>
          <w:rFonts w:ascii="Book Antiqua" w:eastAsia="宋体" w:hAnsi="Book Antiqua" w:cs="宋体"/>
          <w:color w:val="000000" w:themeColor="text1"/>
          <w:lang w:eastAsia="zh-CN"/>
        </w:rPr>
        <w:t xml:space="preserve"> </w:t>
      </w:r>
      <w:r w:rsidR="00F937CC" w:rsidRPr="00FE4D0F">
        <w:rPr>
          <w:rFonts w:ascii="Book Antiqua" w:eastAsia="Book Antiqua" w:hAnsi="Book Antiqua" w:cs="Book Antiqua"/>
          <w:color w:val="000000" w:themeColor="text1"/>
        </w:rPr>
        <w:t>Guangdong</w:t>
      </w:r>
      <w:r w:rsidR="0042564B" w:rsidRPr="00FE4D0F">
        <w:rPr>
          <w:rFonts w:ascii="Book Antiqua" w:eastAsia="Book Antiqua" w:hAnsi="Book Antiqua" w:cs="Book Antiqua"/>
          <w:color w:val="000000" w:themeColor="text1"/>
        </w:rPr>
        <w:t xml:space="preserve"> </w:t>
      </w:r>
      <w:r w:rsidR="0042564B" w:rsidRPr="00FE4D0F">
        <w:rPr>
          <w:rFonts w:ascii="Book Antiqua" w:hAnsi="Book Antiqua" w:cs="Book Antiqua"/>
          <w:color w:val="000000" w:themeColor="text1"/>
          <w:lang w:eastAsia="zh-CN"/>
        </w:rPr>
        <w:t>Province</w:t>
      </w:r>
      <w:r w:rsidR="0042564B" w:rsidRPr="00FE4D0F">
        <w:rPr>
          <w:rFonts w:ascii="Book Antiqua" w:eastAsia="Book Antiqua" w:hAnsi="Book Antiqua" w:cs="Book Antiqua"/>
          <w:color w:val="000000" w:themeColor="text1"/>
        </w:rPr>
        <w:t xml:space="preserve">, </w:t>
      </w:r>
      <w:r w:rsidR="00F937CC" w:rsidRPr="00FE4D0F">
        <w:rPr>
          <w:rFonts w:ascii="Book Antiqua" w:eastAsia="Book Antiqua" w:hAnsi="Book Antiqua" w:cs="Book Antiqua"/>
          <w:color w:val="000000" w:themeColor="text1"/>
        </w:rPr>
        <w:t>China</w:t>
      </w:r>
    </w:p>
    <w:p w14:paraId="04FA71D4" w14:textId="77777777" w:rsidR="00A77B3E" w:rsidRPr="00FE4D0F" w:rsidRDefault="00A77B3E" w:rsidP="00FE4D0F">
      <w:pPr>
        <w:snapToGrid w:val="0"/>
        <w:spacing w:line="360" w:lineRule="auto"/>
        <w:jc w:val="both"/>
        <w:rPr>
          <w:rFonts w:ascii="Book Antiqua" w:hAnsi="Book Antiqua"/>
          <w:color w:val="000000" w:themeColor="text1"/>
        </w:rPr>
      </w:pPr>
    </w:p>
    <w:p w14:paraId="16ED92FB" w14:textId="7EE5B93A" w:rsidR="00A77B3E" w:rsidRPr="008A0228" w:rsidRDefault="003C42F5" w:rsidP="00FE4D0F">
      <w:pPr>
        <w:snapToGrid w:val="0"/>
        <w:spacing w:line="360" w:lineRule="auto"/>
        <w:jc w:val="both"/>
        <w:rPr>
          <w:rFonts w:ascii="Book Antiqua" w:hAnsi="Book Antiqua"/>
        </w:rPr>
      </w:pPr>
      <w:r w:rsidRPr="00FE4D0F">
        <w:rPr>
          <w:rFonts w:ascii="Book Antiqua" w:eastAsia="Book Antiqua" w:hAnsi="Book Antiqua" w:cs="Book Antiqua"/>
          <w:b/>
          <w:bCs/>
          <w:color w:val="000000" w:themeColor="text1"/>
        </w:rPr>
        <w:t xml:space="preserve">Author contributions: </w:t>
      </w:r>
      <w:r w:rsidR="00C22380" w:rsidRPr="00FE4D0F">
        <w:rPr>
          <w:rFonts w:ascii="Book Antiqua" w:eastAsia="Book Antiqua" w:hAnsi="Book Antiqua" w:cs="Book Antiqua"/>
          <w:color w:val="000000" w:themeColor="text1"/>
        </w:rPr>
        <w:t>Jiang L</w:t>
      </w:r>
      <w:r w:rsidRPr="00FE4D0F">
        <w:rPr>
          <w:rFonts w:ascii="Book Antiqua" w:eastAsia="Book Antiqua" w:hAnsi="Book Antiqua" w:cs="Book Antiqua"/>
          <w:color w:val="000000" w:themeColor="text1"/>
        </w:rPr>
        <w:t xml:space="preserve"> was responsible for the conception of the article, case analysis, statistics and article writing and was the main contributor to the writing of the manuscript; </w:t>
      </w:r>
      <w:r w:rsidR="00C22380" w:rsidRPr="00FE4D0F">
        <w:rPr>
          <w:rFonts w:ascii="Book Antiqua" w:eastAsia="Book Antiqua" w:hAnsi="Book Antiqua" w:cs="Book Antiqua"/>
          <w:color w:val="000000" w:themeColor="text1"/>
        </w:rPr>
        <w:t>Q</w:t>
      </w:r>
      <w:r w:rsidR="00BA66F0" w:rsidRPr="00FE4D0F">
        <w:rPr>
          <w:rFonts w:ascii="Book Antiqua" w:eastAsia="Book Antiqua" w:hAnsi="Book Antiqua" w:cs="Book Antiqua"/>
          <w:color w:val="000000" w:themeColor="text1"/>
        </w:rPr>
        <w:t>in</w:t>
      </w:r>
      <w:r w:rsidR="00C22380" w:rsidRPr="00FE4D0F">
        <w:rPr>
          <w:rFonts w:ascii="Book Antiqua" w:hAnsi="Book Antiqua" w:cs="Book Antiqua"/>
          <w:color w:val="000000" w:themeColor="text1"/>
          <w:lang w:eastAsia="zh-CN"/>
        </w:rPr>
        <w:t xml:space="preserve"> B </w:t>
      </w:r>
      <w:r w:rsidRPr="00FE4D0F">
        <w:rPr>
          <w:rFonts w:ascii="Book Antiqua" w:eastAsia="Book Antiqua" w:hAnsi="Book Antiqua" w:cs="Book Antiqua"/>
          <w:color w:val="000000" w:themeColor="text1"/>
        </w:rPr>
        <w:t xml:space="preserve">and </w:t>
      </w:r>
      <w:r w:rsidR="00C22380" w:rsidRPr="00FE4D0F">
        <w:rPr>
          <w:rFonts w:ascii="Book Antiqua" w:eastAsia="Book Antiqua" w:hAnsi="Book Antiqua" w:cs="Book Antiqua"/>
          <w:color w:val="000000" w:themeColor="text1"/>
        </w:rPr>
        <w:t xml:space="preserve">Luo </w:t>
      </w:r>
      <w:r w:rsidRPr="00FE4D0F">
        <w:rPr>
          <w:rFonts w:ascii="Book Antiqua" w:eastAsia="Book Antiqua" w:hAnsi="Book Antiqua" w:cs="Book Antiqua"/>
          <w:color w:val="000000" w:themeColor="text1"/>
        </w:rPr>
        <w:t xml:space="preserve">XL were responsible for the guidance and revision of the article; </w:t>
      </w:r>
      <w:r w:rsidR="00C22380" w:rsidRPr="00FE4D0F">
        <w:rPr>
          <w:rFonts w:ascii="Book Antiqua" w:eastAsia="Book Antiqua" w:hAnsi="Book Antiqua" w:cs="Book Antiqua"/>
          <w:color w:val="000000" w:themeColor="text1"/>
        </w:rPr>
        <w:t xml:space="preserve">Cao </w:t>
      </w:r>
      <w:r w:rsidR="00C22380" w:rsidRPr="00FE4D0F">
        <w:rPr>
          <w:rFonts w:ascii="Book Antiqua" w:hAnsi="Book Antiqua" w:cs="Book Antiqua"/>
          <w:color w:val="000000" w:themeColor="text1"/>
          <w:lang w:eastAsia="zh-CN"/>
        </w:rPr>
        <w:t xml:space="preserve">H </w:t>
      </w:r>
      <w:r w:rsidRPr="00FE4D0F">
        <w:rPr>
          <w:rFonts w:ascii="Book Antiqua" w:eastAsia="Book Antiqua" w:hAnsi="Book Antiqua" w:cs="Book Antiqua"/>
          <w:color w:val="000000" w:themeColor="text1"/>
        </w:rPr>
        <w:t xml:space="preserve">was responsible for assisting with the query of literature and analysis of statistical results; </w:t>
      </w:r>
      <w:r w:rsidR="00C22380" w:rsidRPr="00FE4D0F">
        <w:rPr>
          <w:rFonts w:ascii="Book Antiqua" w:eastAsia="Book Antiqua" w:hAnsi="Book Antiqua" w:cs="Book Antiqua"/>
          <w:color w:val="000000" w:themeColor="text1"/>
        </w:rPr>
        <w:t>D</w:t>
      </w:r>
      <w:r w:rsidR="00DC79F6" w:rsidRPr="00FE4D0F">
        <w:rPr>
          <w:rFonts w:ascii="Book Antiqua" w:eastAsia="Book Antiqua" w:hAnsi="Book Antiqua" w:cs="Book Antiqua"/>
          <w:color w:val="000000" w:themeColor="text1"/>
        </w:rPr>
        <w:t>eng</w:t>
      </w:r>
      <w:r w:rsidR="00C22380" w:rsidRPr="00FE4D0F">
        <w:rPr>
          <w:rFonts w:ascii="Book Antiqua" w:eastAsia="Book Antiqua" w:hAnsi="Book Antiqua" w:cs="Book Antiqua"/>
          <w:color w:val="000000" w:themeColor="text1"/>
        </w:rPr>
        <w:t xml:space="preserve"> </w:t>
      </w:r>
      <w:r w:rsidR="00C22380" w:rsidRPr="00FE4D0F">
        <w:rPr>
          <w:rFonts w:ascii="Book Antiqua" w:hAnsi="Book Antiqua" w:cs="Book Antiqua"/>
          <w:color w:val="000000" w:themeColor="text1"/>
          <w:lang w:eastAsia="zh-CN"/>
        </w:rPr>
        <w:t xml:space="preserve">TM </w:t>
      </w:r>
      <w:r w:rsidRPr="00FE4D0F">
        <w:rPr>
          <w:rFonts w:ascii="Book Antiqua" w:eastAsia="Book Antiqua" w:hAnsi="Book Antiqua" w:cs="Book Antiqua"/>
          <w:color w:val="000000" w:themeColor="text1"/>
        </w:rPr>
        <w:t xml:space="preserve">collected and reviewed follow-up records of major cases; </w:t>
      </w:r>
      <w:r w:rsidR="00C22380" w:rsidRPr="00FE4D0F">
        <w:rPr>
          <w:rFonts w:ascii="Book Antiqua" w:eastAsia="Book Antiqua" w:hAnsi="Book Antiqua" w:cs="Book Antiqua"/>
          <w:color w:val="000000" w:themeColor="text1"/>
        </w:rPr>
        <w:t>Yang</w:t>
      </w:r>
      <w:r w:rsidR="00C22380" w:rsidRPr="00FE4D0F">
        <w:rPr>
          <w:rFonts w:ascii="Book Antiqua" w:hAnsi="Book Antiqua" w:cs="Book Antiqua"/>
          <w:color w:val="000000" w:themeColor="text1"/>
          <w:lang w:eastAsia="zh-CN"/>
        </w:rPr>
        <w:t xml:space="preserve"> MM</w:t>
      </w:r>
      <w:r w:rsidRPr="00FE4D0F">
        <w:rPr>
          <w:rFonts w:ascii="Book Antiqua" w:eastAsia="Book Antiqua" w:hAnsi="Book Antiqua" w:cs="Book Antiqua"/>
          <w:color w:val="000000" w:themeColor="text1"/>
        </w:rPr>
        <w:t xml:space="preserve">, </w:t>
      </w:r>
      <w:r w:rsidR="00C22380" w:rsidRPr="00FE4D0F">
        <w:rPr>
          <w:rFonts w:ascii="Book Antiqua" w:eastAsia="Book Antiqua" w:hAnsi="Book Antiqua" w:cs="Book Antiqua"/>
          <w:color w:val="000000" w:themeColor="text1"/>
        </w:rPr>
        <w:t xml:space="preserve">Meng </w:t>
      </w:r>
      <w:r w:rsidR="00C22380" w:rsidRPr="00FE4D0F">
        <w:rPr>
          <w:rFonts w:ascii="Book Antiqua" w:hAnsi="Book Antiqua" w:cs="Book Antiqua"/>
          <w:color w:val="000000" w:themeColor="text1"/>
          <w:lang w:eastAsia="zh-CN"/>
        </w:rPr>
        <w:t xml:space="preserve">T </w:t>
      </w:r>
      <w:r w:rsidRPr="00FE4D0F">
        <w:rPr>
          <w:rFonts w:ascii="Book Antiqua" w:eastAsia="Book Antiqua" w:hAnsi="Book Antiqua" w:cs="Book Antiqua"/>
          <w:color w:val="000000" w:themeColor="text1"/>
        </w:rPr>
        <w:t xml:space="preserve">and </w:t>
      </w:r>
      <w:r w:rsidR="00C22380" w:rsidRPr="00FE4D0F">
        <w:rPr>
          <w:rFonts w:ascii="Book Antiqua" w:eastAsia="Book Antiqua" w:hAnsi="Book Antiqua" w:cs="Book Antiqua"/>
          <w:color w:val="000000" w:themeColor="text1"/>
        </w:rPr>
        <w:t xml:space="preserve">Yang </w:t>
      </w:r>
      <w:r w:rsidR="00C22380" w:rsidRPr="00FE4D0F">
        <w:rPr>
          <w:rFonts w:ascii="Book Antiqua" w:hAnsi="Book Antiqua" w:cs="Book Antiqua"/>
          <w:color w:val="000000" w:themeColor="text1"/>
          <w:lang w:eastAsia="zh-CN"/>
        </w:rPr>
        <w:t xml:space="preserve">HQ </w:t>
      </w:r>
      <w:r w:rsidRPr="00FE4D0F">
        <w:rPr>
          <w:rFonts w:ascii="Book Antiqua" w:eastAsia="Book Antiqua" w:hAnsi="Book Antiqua" w:cs="Book Antiqua"/>
          <w:color w:val="000000" w:themeColor="text1"/>
        </w:rPr>
        <w:t>were responsible for the collection of case data and assisting with document search</w:t>
      </w:r>
      <w:r w:rsidR="004A0389" w:rsidRPr="00FE4D0F">
        <w:rPr>
          <w:rFonts w:ascii="Book Antiqua" w:eastAsia="Book Antiqua" w:hAnsi="Book Antiqua" w:cs="Book Antiqua"/>
          <w:color w:val="000000" w:themeColor="text1"/>
        </w:rPr>
        <w:t xml:space="preserve">; </w:t>
      </w:r>
      <w:r w:rsidR="00EF231C">
        <w:rPr>
          <w:rFonts w:ascii="Book Antiqua" w:eastAsia="Book Antiqua" w:hAnsi="Book Antiqua" w:cs="Book Antiqua"/>
          <w:color w:val="000000" w:themeColor="text1"/>
        </w:rPr>
        <w:t>A</w:t>
      </w:r>
      <w:r w:rsidRPr="008A0228">
        <w:rPr>
          <w:rFonts w:ascii="Book Antiqua" w:eastAsia="Book Antiqua" w:hAnsi="Book Antiqua" w:cs="Book Antiqua"/>
          <w:color w:val="000000"/>
        </w:rPr>
        <w:t>ll authors have read and approved the manuscript.</w:t>
      </w:r>
    </w:p>
    <w:p w14:paraId="332C6D2B" w14:textId="77777777" w:rsidR="00A77B3E" w:rsidRPr="008A0228" w:rsidRDefault="00A77B3E" w:rsidP="00FE4D0F">
      <w:pPr>
        <w:snapToGrid w:val="0"/>
        <w:spacing w:line="360" w:lineRule="auto"/>
        <w:jc w:val="both"/>
        <w:rPr>
          <w:rFonts w:ascii="Book Antiqua" w:hAnsi="Book Antiqua"/>
        </w:rPr>
      </w:pPr>
    </w:p>
    <w:p w14:paraId="4A64D71F"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lastRenderedPageBreak/>
        <w:t xml:space="preserve">Supported by </w:t>
      </w:r>
      <w:r w:rsidRPr="008A0228">
        <w:rPr>
          <w:rFonts w:ascii="Book Antiqua" w:eastAsia="Book Antiqua" w:hAnsi="Book Antiqua" w:cs="Book Antiqua"/>
          <w:color w:val="000000"/>
        </w:rPr>
        <w:t>the Shenzhen Municipal Health and Family Planning System Research</w:t>
      </w:r>
      <w:r w:rsidR="00B84890" w:rsidRPr="008A0228">
        <w:rPr>
          <w:rFonts w:ascii="Book Antiqua" w:eastAsia="Book Antiqua" w:hAnsi="Book Antiqua" w:cs="Book Antiqua"/>
          <w:color w:val="000000"/>
        </w:rPr>
        <w:t xml:space="preserve"> Project</w:t>
      </w:r>
      <w:r w:rsidR="00B84890" w:rsidRPr="008A0228">
        <w:rPr>
          <w:rFonts w:ascii="Book Antiqua" w:hAnsi="Book Antiqua" w:cs="Book Antiqua"/>
          <w:color w:val="000000"/>
          <w:lang w:eastAsia="zh-CN"/>
        </w:rPr>
        <w:t>, N</w:t>
      </w:r>
      <w:r w:rsidR="00B84890" w:rsidRPr="008A0228">
        <w:rPr>
          <w:rFonts w:ascii="Book Antiqua" w:eastAsia="Book Antiqua" w:hAnsi="Book Antiqua" w:cs="Book Antiqua"/>
          <w:color w:val="000000"/>
        </w:rPr>
        <w:t>o. SZFZ2017085</w:t>
      </w:r>
      <w:r w:rsidRPr="008A0228">
        <w:rPr>
          <w:rFonts w:ascii="Book Antiqua" w:eastAsia="Book Antiqua" w:hAnsi="Book Antiqua" w:cs="Book Antiqua"/>
          <w:color w:val="000000"/>
        </w:rPr>
        <w:t>.</w:t>
      </w:r>
    </w:p>
    <w:p w14:paraId="199DAB90" w14:textId="77777777" w:rsidR="00A77B3E" w:rsidRPr="008A0228" w:rsidRDefault="00A77B3E" w:rsidP="00FE4D0F">
      <w:pPr>
        <w:snapToGrid w:val="0"/>
        <w:spacing w:line="360" w:lineRule="auto"/>
        <w:jc w:val="both"/>
        <w:rPr>
          <w:rFonts w:ascii="Book Antiqua" w:hAnsi="Book Antiqua"/>
        </w:rPr>
      </w:pPr>
    </w:p>
    <w:p w14:paraId="50CB6AFC"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Corresponding author: Bo Qin, MD, Doctor, </w:t>
      </w:r>
      <w:r w:rsidR="00343E67" w:rsidRPr="008A0228">
        <w:rPr>
          <w:rFonts w:ascii="Book Antiqua" w:eastAsia="Book Antiqua" w:hAnsi="Book Antiqua" w:cs="Book Antiqua"/>
          <w:color w:val="000000"/>
        </w:rPr>
        <w:t>Shenzhen Aier Eye Hospital Affiliated to Jinan University</w:t>
      </w:r>
      <w:r w:rsidRPr="008A0228">
        <w:rPr>
          <w:rFonts w:ascii="Book Antiqua" w:eastAsia="Book Antiqua" w:hAnsi="Book Antiqua" w:cs="Book Antiqua"/>
          <w:color w:val="000000"/>
        </w:rPr>
        <w:t xml:space="preserve">, </w:t>
      </w:r>
      <w:r w:rsidR="001B2D21" w:rsidRPr="008A0228">
        <w:rPr>
          <w:rFonts w:ascii="Book Antiqua" w:hAnsi="Book Antiqua" w:cs="Book Antiqua"/>
          <w:color w:val="000000"/>
          <w:lang w:eastAsia="zh-CN"/>
        </w:rPr>
        <w:t xml:space="preserve">No. </w:t>
      </w:r>
      <w:r w:rsidRPr="008A0228">
        <w:rPr>
          <w:rFonts w:ascii="Book Antiqua" w:eastAsia="Book Antiqua" w:hAnsi="Book Antiqua" w:cs="Book Antiqua"/>
          <w:color w:val="000000"/>
        </w:rPr>
        <w:t>1017</w:t>
      </w:r>
      <w:r w:rsidR="009C48B9" w:rsidRPr="008A0228">
        <w:rPr>
          <w:rFonts w:ascii="Book Antiqua" w:hAnsi="Book Antiqua" w:cs="Book Antiqua"/>
          <w:color w:val="000000"/>
          <w:lang w:eastAsia="zh-CN"/>
        </w:rPr>
        <w:t xml:space="preserve"> </w:t>
      </w:r>
      <w:r w:rsidRPr="008A0228">
        <w:rPr>
          <w:rFonts w:ascii="Book Antiqua" w:eastAsia="Book Antiqua" w:hAnsi="Book Antiqua" w:cs="Book Antiqua"/>
          <w:color w:val="000000"/>
        </w:rPr>
        <w:t xml:space="preserve">Dongmen North Road, Luohu District, Shenzhen 518020, </w:t>
      </w:r>
      <w:r w:rsidR="00C6787F" w:rsidRPr="008A0228">
        <w:rPr>
          <w:rFonts w:ascii="Book Antiqua" w:hAnsi="Book Antiqua" w:cs="Book Antiqua"/>
          <w:color w:val="000000"/>
          <w:lang w:eastAsia="zh-CN"/>
        </w:rPr>
        <w:t>Guangdong Province,</w:t>
      </w:r>
      <w:r w:rsidR="00C6787F"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China. jiang.li@szhospital.com</w:t>
      </w:r>
    </w:p>
    <w:p w14:paraId="26D41DD0" w14:textId="77777777" w:rsidR="00A77B3E" w:rsidRPr="008A0228" w:rsidRDefault="00A77B3E" w:rsidP="00FE4D0F">
      <w:pPr>
        <w:snapToGrid w:val="0"/>
        <w:spacing w:line="360" w:lineRule="auto"/>
        <w:jc w:val="both"/>
        <w:rPr>
          <w:rFonts w:ascii="Book Antiqua" w:hAnsi="Book Antiqua"/>
        </w:rPr>
      </w:pPr>
    </w:p>
    <w:p w14:paraId="32888D5B"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Received: </w:t>
      </w:r>
      <w:r w:rsidRPr="008A0228">
        <w:rPr>
          <w:rFonts w:ascii="Book Antiqua" w:eastAsia="Book Antiqua" w:hAnsi="Book Antiqua" w:cs="Book Antiqua"/>
          <w:color w:val="000000"/>
        </w:rPr>
        <w:t>August 4, 2020</w:t>
      </w:r>
    </w:p>
    <w:p w14:paraId="3BA398E7" w14:textId="77777777" w:rsidR="00A77B3E" w:rsidRPr="008A0228" w:rsidRDefault="003C42F5" w:rsidP="00FE4D0F">
      <w:pPr>
        <w:snapToGrid w:val="0"/>
        <w:spacing w:line="360" w:lineRule="auto"/>
        <w:jc w:val="both"/>
        <w:rPr>
          <w:rFonts w:ascii="Book Antiqua" w:hAnsi="Book Antiqua"/>
          <w:lang w:eastAsia="zh-CN"/>
        </w:rPr>
      </w:pPr>
      <w:r w:rsidRPr="008A0228">
        <w:rPr>
          <w:rFonts w:ascii="Book Antiqua" w:eastAsia="Book Antiqua" w:hAnsi="Book Antiqua" w:cs="Book Antiqua"/>
          <w:b/>
          <w:bCs/>
          <w:color w:val="000000"/>
        </w:rPr>
        <w:t xml:space="preserve">Revised: </w:t>
      </w:r>
      <w:r w:rsidR="003547E9" w:rsidRPr="008A0228">
        <w:rPr>
          <w:rFonts w:ascii="Book Antiqua" w:hAnsi="Book Antiqua" w:cs="Book Antiqua"/>
          <w:bCs/>
          <w:color w:val="000000"/>
          <w:lang w:eastAsia="zh-CN"/>
        </w:rPr>
        <w:t>September 22, 2020</w:t>
      </w:r>
    </w:p>
    <w:p w14:paraId="0E2D9C47" w14:textId="469C7D29"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Accepted: </w:t>
      </w:r>
      <w:r w:rsidR="00EF0D4C" w:rsidRPr="008A0228">
        <w:rPr>
          <w:rFonts w:ascii="Book Antiqua" w:eastAsia="Book Antiqua" w:hAnsi="Book Antiqua" w:cs="Book Antiqua"/>
          <w:color w:val="000000"/>
        </w:rPr>
        <w:t>November 2, 2020</w:t>
      </w:r>
    </w:p>
    <w:p w14:paraId="317050F6" w14:textId="77777777" w:rsidR="00BA05CC" w:rsidRPr="00EF1B8A" w:rsidRDefault="003C42F5" w:rsidP="00BA05CC">
      <w:pPr>
        <w:snapToGrid w:val="0"/>
        <w:spacing w:line="360" w:lineRule="auto"/>
        <w:jc w:val="both"/>
        <w:rPr>
          <w:color w:val="000000" w:themeColor="text1"/>
        </w:rPr>
      </w:pPr>
      <w:r w:rsidRPr="008A0228">
        <w:rPr>
          <w:rFonts w:ascii="Book Antiqua" w:eastAsia="Book Antiqua" w:hAnsi="Book Antiqua" w:cs="Book Antiqua"/>
          <w:b/>
          <w:bCs/>
          <w:color w:val="000000"/>
        </w:rPr>
        <w:t xml:space="preserve">Published online: </w:t>
      </w:r>
      <w:r w:rsidR="00BA05CC" w:rsidRPr="00312DAD">
        <w:rPr>
          <w:rFonts w:ascii="Book Antiqua" w:eastAsia="Book Antiqua" w:hAnsi="Book Antiqua" w:cs="Book Antiqua"/>
          <w:bCs/>
          <w:color w:val="000000" w:themeColor="text1"/>
        </w:rPr>
        <w:t>December</w:t>
      </w:r>
      <w:r w:rsidR="00BA05CC" w:rsidRPr="00312DAD">
        <w:rPr>
          <w:rFonts w:ascii="Book Antiqua" w:hAnsi="Book Antiqua" w:cs="Book Antiqua" w:hint="eastAsia"/>
          <w:bCs/>
          <w:color w:val="000000" w:themeColor="text1"/>
          <w:lang w:eastAsia="zh-CN"/>
        </w:rPr>
        <w:t xml:space="preserve"> </w:t>
      </w:r>
      <w:r w:rsidR="00BA05CC">
        <w:rPr>
          <w:rFonts w:ascii="Book Antiqua" w:hAnsi="Book Antiqua" w:cs="Book Antiqua" w:hint="eastAsia"/>
          <w:bCs/>
          <w:color w:val="000000" w:themeColor="text1"/>
          <w:lang w:eastAsia="zh-CN"/>
        </w:rPr>
        <w:t>2</w:t>
      </w:r>
      <w:r w:rsidR="00BA05CC" w:rsidRPr="00312DAD">
        <w:rPr>
          <w:rFonts w:ascii="Book Antiqua" w:hAnsi="Book Antiqua" w:cs="Book Antiqua" w:hint="eastAsia"/>
          <w:bCs/>
          <w:color w:val="000000" w:themeColor="text1"/>
          <w:lang w:eastAsia="zh-CN"/>
        </w:rPr>
        <w:t>6, 2020</w:t>
      </w:r>
    </w:p>
    <w:p w14:paraId="06D118C7" w14:textId="77777777" w:rsidR="00A77B3E" w:rsidRPr="008A0228" w:rsidRDefault="00A77B3E" w:rsidP="00FE4D0F">
      <w:pPr>
        <w:snapToGrid w:val="0"/>
        <w:spacing w:line="360" w:lineRule="auto"/>
        <w:jc w:val="both"/>
        <w:rPr>
          <w:rFonts w:ascii="Book Antiqua" w:hAnsi="Book Antiqua"/>
        </w:rPr>
      </w:pPr>
    </w:p>
    <w:p w14:paraId="1EB03AA0" w14:textId="77777777" w:rsidR="00A77B3E" w:rsidRPr="008A0228" w:rsidRDefault="00A77B3E" w:rsidP="00FE4D0F">
      <w:pPr>
        <w:snapToGrid w:val="0"/>
        <w:spacing w:line="360" w:lineRule="auto"/>
        <w:jc w:val="both"/>
        <w:rPr>
          <w:rFonts w:ascii="Book Antiqua" w:hAnsi="Book Antiqua"/>
        </w:rPr>
        <w:sectPr w:rsidR="00A77B3E" w:rsidRPr="008A0228" w:rsidSect="00BA66F0">
          <w:footerReference w:type="default" r:id="rId7"/>
          <w:type w:val="continuous"/>
          <w:pgSz w:w="12240" w:h="15840"/>
          <w:pgMar w:top="1440" w:right="1440" w:bottom="1440" w:left="1440" w:header="720" w:footer="720" w:gutter="0"/>
          <w:cols w:space="720"/>
          <w:docGrid w:linePitch="360"/>
        </w:sectPr>
      </w:pPr>
    </w:p>
    <w:p w14:paraId="3E130095" w14:textId="77777777" w:rsidR="00DC79F6" w:rsidRPr="008A0228" w:rsidRDefault="00DC79F6" w:rsidP="00FE4D0F">
      <w:pPr>
        <w:snapToGrid w:val="0"/>
        <w:spacing w:line="360" w:lineRule="auto"/>
        <w:jc w:val="both"/>
        <w:rPr>
          <w:rFonts w:ascii="Book Antiqua" w:eastAsia="Book Antiqua" w:hAnsi="Book Antiqua" w:cs="Book Antiqua"/>
          <w:b/>
          <w:color w:val="000000"/>
        </w:rPr>
      </w:pPr>
      <w:r w:rsidRPr="008A0228">
        <w:rPr>
          <w:rFonts w:ascii="Book Antiqua" w:eastAsia="Book Antiqua" w:hAnsi="Book Antiqua" w:cs="Book Antiqua"/>
          <w:b/>
          <w:color w:val="000000"/>
        </w:rPr>
        <w:br w:type="page"/>
      </w:r>
    </w:p>
    <w:p w14:paraId="69C5C5AB" w14:textId="73026614"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olor w:val="000000"/>
        </w:rPr>
        <w:t>Abstract</w:t>
      </w:r>
    </w:p>
    <w:p w14:paraId="633D1E2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BACKGROUND</w:t>
      </w:r>
    </w:p>
    <w:p w14:paraId="3ABA2FEF" w14:textId="77777777" w:rsidR="00A77B3E" w:rsidRPr="008A0228" w:rsidRDefault="003C42F5" w:rsidP="008A0228">
      <w:pPr>
        <w:spacing w:line="360" w:lineRule="auto"/>
        <w:jc w:val="both"/>
        <w:rPr>
          <w:rFonts w:ascii="Book Antiqua" w:hAnsi="Book Antiqua"/>
        </w:rPr>
      </w:pPr>
      <w:bookmarkStart w:id="26" w:name="OLE_LINK41"/>
      <w:bookmarkStart w:id="27" w:name="OLE_LINK42"/>
      <w:r w:rsidRPr="008A0228">
        <w:rPr>
          <w:rFonts w:ascii="Book Antiqua" w:eastAsia="Book Antiqua" w:hAnsi="Book Antiqua" w:cs="Book Antiqua"/>
          <w:color w:val="000000"/>
        </w:rPr>
        <w:t>Coats disease is an idiopathic exudative outer retinopathy caused by abnormal retinal vascular development.</w:t>
      </w:r>
    </w:p>
    <w:bookmarkEnd w:id="26"/>
    <w:bookmarkEnd w:id="27"/>
    <w:p w14:paraId="13CDAA09" w14:textId="77777777" w:rsidR="00A77B3E" w:rsidRPr="008A0228" w:rsidRDefault="00A77B3E" w:rsidP="008A0228">
      <w:pPr>
        <w:spacing w:line="360" w:lineRule="auto"/>
        <w:jc w:val="both"/>
        <w:rPr>
          <w:rFonts w:ascii="Book Antiqua" w:hAnsi="Book Antiqua"/>
        </w:rPr>
      </w:pPr>
    </w:p>
    <w:p w14:paraId="5400D650"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AIM</w:t>
      </w:r>
    </w:p>
    <w:p w14:paraId="3F2A99FF"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To evaluate the long-term outcomes of intravitreal conbercept injection with laser photocoagulation as a treatment for </w:t>
      </w:r>
      <w:r w:rsidR="008E4BEA" w:rsidRPr="008A0228">
        <w:rPr>
          <w:rFonts w:ascii="Book Antiqua" w:eastAsia="Book Antiqua" w:hAnsi="Book Antiqua" w:cs="Book Antiqua"/>
          <w:caps/>
          <w:color w:val="000000"/>
        </w:rPr>
        <w:t>c</w:t>
      </w:r>
      <w:r w:rsidR="008E4BEA" w:rsidRPr="008A0228">
        <w:rPr>
          <w:rFonts w:ascii="Book Antiqua" w:eastAsia="Book Antiqua" w:hAnsi="Book Antiqua" w:cs="Book Antiqua"/>
          <w:color w:val="000000"/>
        </w:rPr>
        <w:t xml:space="preserve">oats </w:t>
      </w:r>
      <w:r w:rsidRPr="008A0228">
        <w:rPr>
          <w:rFonts w:ascii="Book Antiqua" w:eastAsia="Book Antiqua" w:hAnsi="Book Antiqua" w:cs="Book Antiqua"/>
          <w:color w:val="000000"/>
        </w:rPr>
        <w:t>disease in adults.</w:t>
      </w:r>
    </w:p>
    <w:p w14:paraId="6062AACB" w14:textId="77777777" w:rsidR="00A77B3E" w:rsidRPr="008A0228" w:rsidRDefault="00A77B3E" w:rsidP="008A0228">
      <w:pPr>
        <w:spacing w:line="360" w:lineRule="auto"/>
        <w:jc w:val="both"/>
        <w:rPr>
          <w:rFonts w:ascii="Book Antiqua" w:hAnsi="Book Antiqua"/>
        </w:rPr>
      </w:pPr>
    </w:p>
    <w:p w14:paraId="443F21CF"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METHODS</w:t>
      </w:r>
    </w:p>
    <w:p w14:paraId="4500E9E6" w14:textId="63D733C1"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This retrospective case series study included patients diagnosed with Coats disease and treated with intravitreal conbercept injection and 532-nm laser photocoagulation at the Ophthalmology Department of Shenzhen People’s Hospital between January 2016 and January 2017. </w:t>
      </w:r>
      <w:bookmarkStart w:id="28" w:name="OLE_LINK55"/>
      <w:bookmarkStart w:id="29" w:name="OLE_LINK56"/>
      <w:r w:rsidRPr="008A0228">
        <w:rPr>
          <w:rFonts w:ascii="Book Antiqua" w:eastAsia="Book Antiqua" w:hAnsi="Book Antiqua" w:cs="Book Antiqua"/>
          <w:color w:val="000000"/>
        </w:rPr>
        <w:t>Best-corrected visual acuity (BCVA)</w:t>
      </w:r>
      <w:bookmarkEnd w:id="28"/>
      <w:bookmarkEnd w:id="29"/>
      <w:r w:rsidRPr="008A0228">
        <w:rPr>
          <w:rFonts w:ascii="Book Antiqua" w:eastAsia="Book Antiqua" w:hAnsi="Book Antiqua" w:cs="Book Antiqua"/>
          <w:color w:val="000000"/>
        </w:rPr>
        <w:t xml:space="preserve"> measurements, noncontact tonometry, ophthalmoscopy, fundus photography, fundus fluorescein angiography and optical coherence tomography were performed before treatment and at 1 wk</w:t>
      </w:r>
      <w:r w:rsidR="00B91A16"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 </w:t>
      </w:r>
      <w:r w:rsidR="00311A71" w:rsidRPr="008A0228">
        <w:rPr>
          <w:rFonts w:ascii="Book Antiqua" w:eastAsia="Book Antiqua" w:hAnsi="Book Antiqua" w:cs="Book Antiqua"/>
          <w:color w:val="000000"/>
        </w:rPr>
        <w:t>1 mo, 3 mo, 6 mo, 9 mo, 12 mo, 24 mo and 36 mo</w:t>
      </w:r>
      <w:r w:rsidRPr="008A0228">
        <w:rPr>
          <w:rFonts w:ascii="Book Antiqua" w:eastAsia="Book Antiqua" w:hAnsi="Book Antiqua" w:cs="Book Antiqua"/>
          <w:color w:val="000000"/>
        </w:rPr>
        <w:t xml:space="preserve"> after therapy. Best-corrected visual acuity was measured using the early treatmen</w:t>
      </w:r>
      <w:r w:rsidR="008B09C1" w:rsidRPr="008A0228">
        <w:rPr>
          <w:rFonts w:ascii="Book Antiqua" w:eastAsia="Book Antiqua" w:hAnsi="Book Antiqua" w:cs="Book Antiqua"/>
          <w:color w:val="000000"/>
        </w:rPr>
        <w:t>t of diabetic retinopathy study</w:t>
      </w:r>
      <w:r w:rsidRPr="008A0228">
        <w:rPr>
          <w:rFonts w:ascii="Book Antiqua" w:eastAsia="Book Antiqua" w:hAnsi="Book Antiqua" w:cs="Book Antiqua"/>
          <w:color w:val="000000"/>
        </w:rPr>
        <w:t xml:space="preserve"> chart.</w:t>
      </w:r>
    </w:p>
    <w:p w14:paraId="4F1A0561" w14:textId="77777777" w:rsidR="00A77B3E" w:rsidRPr="008A0228" w:rsidRDefault="00A77B3E" w:rsidP="008A0228">
      <w:pPr>
        <w:spacing w:line="360" w:lineRule="auto"/>
        <w:jc w:val="both"/>
        <w:rPr>
          <w:rFonts w:ascii="Book Antiqua" w:hAnsi="Book Antiqua"/>
        </w:rPr>
      </w:pPr>
    </w:p>
    <w:p w14:paraId="344D3880"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RESULTS</w:t>
      </w:r>
    </w:p>
    <w:p w14:paraId="117D4D4F" w14:textId="4CDEA814"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 study included </w:t>
      </w:r>
      <w:r w:rsidR="00B91A16" w:rsidRPr="008A0228">
        <w:rPr>
          <w:rFonts w:ascii="Book Antiqua" w:eastAsia="Book Antiqua" w:hAnsi="Book Antiqua" w:cs="Book Antiqua"/>
          <w:color w:val="000000"/>
        </w:rPr>
        <w:t>eight</w:t>
      </w:r>
      <w:r w:rsidRPr="008A0228">
        <w:rPr>
          <w:rFonts w:ascii="Book Antiqua" w:eastAsia="Book Antiqua" w:hAnsi="Book Antiqua" w:cs="Book Antiqua"/>
          <w:color w:val="000000"/>
        </w:rPr>
        <w:t xml:space="preserve"> eyes of 8 patients (7 men) aged 36.10 ± 6.65 years. The average BCVA of the affected eye before treatment was 51.17 ± 15.15 letters (range, 28–70 </w:t>
      </w:r>
      <w:r w:rsidR="00316AD6" w:rsidRPr="008A0228">
        <w:rPr>
          <w:rFonts w:ascii="Book Antiqua" w:eastAsia="Book Antiqua" w:hAnsi="Book Antiqua" w:cs="Book Antiqua"/>
          <w:color w:val="000000"/>
        </w:rPr>
        <w:t>letters</w:t>
      </w:r>
      <w:r w:rsidRPr="008A0228">
        <w:rPr>
          <w:rFonts w:ascii="Book Antiqua" w:eastAsia="Book Antiqua" w:hAnsi="Book Antiqua" w:cs="Book Antiqua"/>
          <w:color w:val="000000"/>
        </w:rPr>
        <w:t xml:space="preserve">), and the average </w:t>
      </w:r>
      <w:r w:rsidR="00316AD6" w:rsidRPr="008A0228">
        <w:rPr>
          <w:rFonts w:ascii="Book Antiqua" w:eastAsia="Book Antiqua" w:hAnsi="Book Antiqua" w:cs="Book Antiqua"/>
          <w:color w:val="000000"/>
        </w:rPr>
        <w:t>central macular thickness</w:t>
      </w:r>
      <w:r w:rsidRPr="008A0228">
        <w:rPr>
          <w:rFonts w:ascii="Book Antiqua" w:eastAsia="Book Antiqua" w:hAnsi="Book Antiqua" w:cs="Book Antiqua"/>
          <w:color w:val="000000"/>
        </w:rPr>
        <w:t xml:space="preserve"> was 303.30 ± 107.87 µm (range, 221–673 µm). Four eyes were injected once, three were injected twice, and one was injected </w:t>
      </w:r>
      <w:r w:rsidR="00B91A16" w:rsidRPr="008A0228">
        <w:rPr>
          <w:rFonts w:ascii="Book Antiqua" w:eastAsia="Book Antiqua" w:hAnsi="Book Antiqua" w:cs="Book Antiqua"/>
          <w:color w:val="000000"/>
        </w:rPr>
        <w:t>three</w:t>
      </w:r>
      <w:r w:rsidRPr="008A0228">
        <w:rPr>
          <w:rFonts w:ascii="Book Antiqua" w:eastAsia="Book Antiqua" w:hAnsi="Book Antiqua" w:cs="Book Antiqua"/>
          <w:color w:val="000000"/>
        </w:rPr>
        <w:t xml:space="preserve"> times. Average follow-up duration was 37.33 ± 2.26 mo. Average BCVA of the affected eye was 51.17 ± 15.15 letters before treatment and was increased by 13.50 ± 3.20, 16.25 ± 7.73, 18.25 ± 8.96, 18.03 ± 5.27, 18.63 ± 3.35, 19.75 ± 6.96, 18.05 ± 5.36 and 17.88 ± 3.45 </w:t>
      </w:r>
      <w:r w:rsidR="00311A71" w:rsidRPr="008A0228">
        <w:rPr>
          <w:rFonts w:ascii="Book Antiqua" w:eastAsia="Book Antiqua" w:hAnsi="Book Antiqua" w:cs="Book Antiqua"/>
          <w:color w:val="000000"/>
        </w:rPr>
        <w:t xml:space="preserve">letters </w:t>
      </w:r>
      <w:r w:rsidRPr="008A0228">
        <w:rPr>
          <w:rFonts w:ascii="Book Antiqua" w:eastAsia="Book Antiqua" w:hAnsi="Book Antiqua" w:cs="Book Antiqua"/>
          <w:color w:val="000000"/>
        </w:rPr>
        <w:t xml:space="preserve">at 1 wk, </w:t>
      </w:r>
      <w:bookmarkStart w:id="30" w:name="OLE_LINK31"/>
      <w:bookmarkStart w:id="31" w:name="OLE_LINK32"/>
      <w:bookmarkStart w:id="32" w:name="OLE_LINK33"/>
      <w:r w:rsidRPr="008A0228">
        <w:rPr>
          <w:rFonts w:ascii="Book Antiqua" w:eastAsia="Book Antiqua" w:hAnsi="Book Antiqua" w:cs="Book Antiqua"/>
          <w:color w:val="000000"/>
        </w:rPr>
        <w:t>1 mo, 3 mo, 6 mo, 9 mo, 12 mo, 24 mo and 36 mo</w:t>
      </w:r>
      <w:bookmarkEnd w:id="30"/>
      <w:bookmarkEnd w:id="31"/>
      <w:bookmarkEnd w:id="32"/>
      <w:r w:rsidRPr="008A0228">
        <w:rPr>
          <w:rFonts w:ascii="Book Antiqua" w:eastAsia="Book Antiqua" w:hAnsi="Book Antiqua" w:cs="Book Antiqua"/>
          <w:color w:val="000000"/>
        </w:rPr>
        <w:t xml:space="preserve"> after treatment, respectively (</w:t>
      </w:r>
      <w:r w:rsidRPr="008A0228">
        <w:rPr>
          <w:rFonts w:ascii="Book Antiqua" w:eastAsia="Book Antiqua" w:hAnsi="Book Antiqua" w:cs="Book Antiqua"/>
          <w:i/>
          <w:iCs/>
          <w:color w:val="000000"/>
        </w:rPr>
        <w:t xml:space="preserve">P </w:t>
      </w:r>
      <w:r w:rsidRPr="008A0228">
        <w:rPr>
          <w:rFonts w:ascii="Book Antiqua" w:eastAsia="Book Antiqua" w:hAnsi="Book Antiqua" w:cs="Book Antiqua"/>
          <w:color w:val="000000"/>
        </w:rPr>
        <w:t>&lt; 0.01). The patients showed varying degrees of subretinal fluid resorption after treatment. None of the patients had serious complications such as increased intraocular pressure, development/progression of cataracts, endophthalmitis</w:t>
      </w:r>
      <w:r w:rsidR="00F63C11" w:rsidRPr="008A0228">
        <w:rPr>
          <w:rFonts w:ascii="Book Antiqua" w:eastAsia="Book Antiqua" w:hAnsi="Book Antiqua" w:cs="Book Antiqua"/>
          <w:color w:val="000000"/>
        </w:rPr>
        <w:t xml:space="preserve"> or</w:t>
      </w:r>
      <w:r w:rsidRPr="008A0228">
        <w:rPr>
          <w:rFonts w:ascii="Book Antiqua" w:eastAsia="Book Antiqua" w:hAnsi="Book Antiqua" w:cs="Book Antiqua"/>
          <w:color w:val="000000"/>
        </w:rPr>
        <w:t xml:space="preserve"> retinal detachment.</w:t>
      </w:r>
    </w:p>
    <w:p w14:paraId="0F0B9C21" w14:textId="77777777" w:rsidR="00A77B3E" w:rsidRPr="008A0228" w:rsidRDefault="00A77B3E" w:rsidP="008A0228">
      <w:pPr>
        <w:spacing w:line="360" w:lineRule="auto"/>
        <w:jc w:val="both"/>
        <w:rPr>
          <w:rFonts w:ascii="Book Antiqua" w:hAnsi="Book Antiqua"/>
        </w:rPr>
      </w:pPr>
    </w:p>
    <w:p w14:paraId="4B715BF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CONCLUSION</w:t>
      </w:r>
    </w:p>
    <w:p w14:paraId="56E181CC"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Intravitreal injection of conbercept combined with 532-nm laser photocoagulation may be a feasible treatment for </w:t>
      </w:r>
      <w:r w:rsidR="00BE6529" w:rsidRPr="008A0228">
        <w:rPr>
          <w:rFonts w:ascii="Book Antiqua" w:eastAsia="Book Antiqua" w:hAnsi="Book Antiqua" w:cs="Book Antiqua"/>
          <w:caps/>
          <w:color w:val="000000"/>
        </w:rPr>
        <w:t>c</w:t>
      </w:r>
      <w:r w:rsidR="00BE6529" w:rsidRPr="008A0228">
        <w:rPr>
          <w:rFonts w:ascii="Book Antiqua" w:eastAsia="Book Antiqua" w:hAnsi="Book Antiqua" w:cs="Book Antiqua"/>
          <w:color w:val="000000"/>
        </w:rPr>
        <w:t xml:space="preserve">oats </w:t>
      </w:r>
      <w:r w:rsidRPr="008A0228">
        <w:rPr>
          <w:rFonts w:ascii="Book Antiqua" w:eastAsia="Book Antiqua" w:hAnsi="Book Antiqua" w:cs="Book Antiqua"/>
          <w:color w:val="000000"/>
        </w:rPr>
        <w:t>disease in adult patients.</w:t>
      </w:r>
    </w:p>
    <w:p w14:paraId="243D4701" w14:textId="77777777" w:rsidR="00A77B3E" w:rsidRPr="008A0228" w:rsidRDefault="00A77B3E" w:rsidP="008A0228">
      <w:pPr>
        <w:spacing w:line="360" w:lineRule="auto"/>
        <w:jc w:val="both"/>
        <w:rPr>
          <w:rFonts w:ascii="Book Antiqua" w:hAnsi="Book Antiqua"/>
        </w:rPr>
      </w:pPr>
    </w:p>
    <w:p w14:paraId="5DD9A74F"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bCs/>
          <w:color w:val="000000"/>
        </w:rPr>
        <w:t xml:space="preserve">Key Words: </w:t>
      </w:r>
      <w:r w:rsidR="008D744A" w:rsidRPr="008A0228">
        <w:rPr>
          <w:rFonts w:ascii="Book Antiqua" w:eastAsia="Book Antiqua" w:hAnsi="Book Antiqua" w:cs="Book Antiqua"/>
          <w:color w:val="000000"/>
        </w:rPr>
        <w:t xml:space="preserve">Coats disease; </w:t>
      </w:r>
      <w:r w:rsidR="008D744A" w:rsidRPr="008A0228">
        <w:rPr>
          <w:rFonts w:ascii="Book Antiqua" w:hAnsi="Book Antiqua" w:cs="Book Antiqua"/>
          <w:color w:val="000000"/>
          <w:lang w:eastAsia="zh-CN"/>
        </w:rPr>
        <w:t>A</w:t>
      </w:r>
      <w:r w:rsidR="00C06D9C" w:rsidRPr="008A0228">
        <w:rPr>
          <w:rFonts w:ascii="Book Antiqua" w:eastAsia="Book Antiqua" w:hAnsi="Book Antiqua" w:cs="Book Antiqua"/>
          <w:color w:val="000000"/>
        </w:rPr>
        <w:t xml:space="preserve">dults; </w:t>
      </w:r>
      <w:r w:rsidR="00C06D9C" w:rsidRPr="008A0228">
        <w:rPr>
          <w:rFonts w:ascii="Book Antiqua" w:hAnsi="Book Antiqua" w:cs="Book Antiqua"/>
          <w:color w:val="000000"/>
          <w:lang w:eastAsia="zh-CN"/>
        </w:rPr>
        <w:t>R</w:t>
      </w:r>
      <w:r w:rsidR="00C06D9C" w:rsidRPr="008A0228">
        <w:rPr>
          <w:rFonts w:ascii="Book Antiqua" w:eastAsia="Book Antiqua" w:hAnsi="Book Antiqua" w:cs="Book Antiqua"/>
          <w:color w:val="000000"/>
        </w:rPr>
        <w:t xml:space="preserve">etinal telangiectasis; </w:t>
      </w:r>
      <w:r w:rsidR="00C06D9C" w:rsidRPr="008A0228">
        <w:rPr>
          <w:rFonts w:ascii="Book Antiqua" w:hAnsi="Book Antiqua" w:cs="Book Antiqua"/>
          <w:color w:val="000000"/>
          <w:lang w:eastAsia="zh-CN"/>
        </w:rPr>
        <w:t>C</w:t>
      </w:r>
      <w:r w:rsidR="00C06D9C" w:rsidRPr="008A0228">
        <w:rPr>
          <w:rFonts w:ascii="Book Antiqua" w:eastAsia="Book Antiqua" w:hAnsi="Book Antiqua" w:cs="Book Antiqua"/>
          <w:color w:val="000000"/>
        </w:rPr>
        <w:t xml:space="preserve">onbercept; </w:t>
      </w:r>
      <w:r w:rsidR="00C06D9C" w:rsidRPr="008A0228">
        <w:rPr>
          <w:rFonts w:ascii="Book Antiqua" w:hAnsi="Book Antiqua" w:cs="Book Antiqua"/>
          <w:color w:val="000000"/>
          <w:lang w:eastAsia="zh-CN"/>
        </w:rPr>
        <w:t>L</w:t>
      </w:r>
      <w:r w:rsidR="00C06D9C" w:rsidRPr="008A0228">
        <w:rPr>
          <w:rFonts w:ascii="Book Antiqua" w:eastAsia="Book Antiqua" w:hAnsi="Book Antiqua" w:cs="Book Antiqua"/>
          <w:color w:val="000000"/>
        </w:rPr>
        <w:t xml:space="preserve">aser therapy; </w:t>
      </w:r>
      <w:r w:rsidR="00C06D9C" w:rsidRPr="008A0228">
        <w:rPr>
          <w:rFonts w:ascii="Book Antiqua" w:hAnsi="Book Antiqua" w:cs="Book Antiqua"/>
          <w:color w:val="000000"/>
          <w:lang w:eastAsia="zh-CN"/>
        </w:rPr>
        <w:t>R</w:t>
      </w:r>
      <w:r w:rsidRPr="008A0228">
        <w:rPr>
          <w:rFonts w:ascii="Book Antiqua" w:eastAsia="Book Antiqua" w:hAnsi="Book Antiqua" w:cs="Book Antiqua"/>
          <w:color w:val="000000"/>
        </w:rPr>
        <w:t xml:space="preserve">etrospective study </w:t>
      </w:r>
    </w:p>
    <w:p w14:paraId="01F47983" w14:textId="77777777" w:rsidR="00A77B3E" w:rsidRPr="008A0228" w:rsidRDefault="00A77B3E" w:rsidP="008A0228">
      <w:pPr>
        <w:spacing w:line="360" w:lineRule="auto"/>
        <w:jc w:val="both"/>
        <w:rPr>
          <w:rFonts w:ascii="Book Antiqua" w:hAnsi="Book Antiqua"/>
        </w:rPr>
      </w:pPr>
    </w:p>
    <w:p w14:paraId="2DC7361F" w14:textId="5A0E19AC" w:rsidR="002C6FF1" w:rsidRDefault="002C6FF1" w:rsidP="008A0228">
      <w:pPr>
        <w:spacing w:line="360" w:lineRule="auto"/>
        <w:jc w:val="both"/>
        <w:rPr>
          <w:rFonts w:ascii="Book Antiqua" w:hAnsi="Book Antiqua" w:hint="eastAsia"/>
          <w:lang w:eastAsia="zh-CN"/>
        </w:rPr>
      </w:pPr>
      <w:r w:rsidRPr="002C6FF1">
        <w:rPr>
          <w:rFonts w:ascii="Book Antiqua" w:hAnsi="Book Antiqua" w:cs="Book Antiqua" w:hint="eastAsia"/>
          <w:b/>
          <w:color w:val="000000"/>
          <w:lang w:eastAsia="zh-CN"/>
        </w:rPr>
        <w:t xml:space="preserve">Citation: </w:t>
      </w:r>
      <w:r w:rsidR="003C42F5" w:rsidRPr="008A0228">
        <w:rPr>
          <w:rFonts w:ascii="Book Antiqua" w:eastAsia="Book Antiqua" w:hAnsi="Book Antiqua" w:cs="Book Antiqua"/>
          <w:color w:val="000000"/>
        </w:rPr>
        <w:t xml:space="preserve">Jiang L, Qin B, Luo XL, Cao H, Deng TM, Yang MM, Meng T, Yang HQ. Three-year follow-up of </w:t>
      </w:r>
      <w:r w:rsidR="001B11CA" w:rsidRPr="008A0228">
        <w:rPr>
          <w:rFonts w:ascii="Book Antiqua" w:eastAsia="Book Antiqua" w:hAnsi="Book Antiqua" w:cs="Book Antiqua"/>
          <w:caps/>
          <w:color w:val="000000"/>
        </w:rPr>
        <w:t>c</w:t>
      </w:r>
      <w:r w:rsidR="001B11CA" w:rsidRPr="008A0228">
        <w:rPr>
          <w:rFonts w:ascii="Book Antiqua" w:eastAsia="Book Antiqua" w:hAnsi="Book Antiqua" w:cs="Book Antiqua"/>
          <w:color w:val="000000"/>
        </w:rPr>
        <w:t xml:space="preserve">oats </w:t>
      </w:r>
      <w:r w:rsidR="003C42F5" w:rsidRPr="008A0228">
        <w:rPr>
          <w:rFonts w:ascii="Book Antiqua" w:eastAsia="Book Antiqua" w:hAnsi="Book Antiqua" w:cs="Book Antiqua"/>
          <w:color w:val="000000"/>
        </w:rPr>
        <w:t xml:space="preserve">disease treated with conbercept and 532-nm laser photocoagulation. </w:t>
      </w:r>
      <w:r w:rsidR="003C42F5" w:rsidRPr="008A0228">
        <w:rPr>
          <w:rFonts w:ascii="Book Antiqua" w:eastAsia="Book Antiqua" w:hAnsi="Book Antiqua" w:cs="Book Antiqua"/>
          <w:i/>
          <w:iCs/>
          <w:color w:val="000000"/>
        </w:rPr>
        <w:t>World J Clin Cases</w:t>
      </w:r>
      <w:r w:rsidR="003C42F5" w:rsidRPr="008A0228">
        <w:rPr>
          <w:rFonts w:ascii="Book Antiqua" w:eastAsia="Book Antiqua" w:hAnsi="Book Antiqua" w:cs="Book Antiqua"/>
          <w:color w:val="000000"/>
        </w:rPr>
        <w:t xml:space="preserve"> </w:t>
      </w:r>
      <w:r w:rsidR="000F0B80" w:rsidRPr="00EE6A3B">
        <w:rPr>
          <w:rFonts w:ascii="Book Antiqua" w:hAnsi="Book Antiqua"/>
        </w:rPr>
        <w:t>2020; 8(</w:t>
      </w:r>
      <w:r w:rsidR="000F0B80">
        <w:rPr>
          <w:rFonts w:ascii="Book Antiqua" w:hAnsi="Book Antiqua" w:hint="eastAsia"/>
          <w:lang w:eastAsia="zh-CN"/>
        </w:rPr>
        <w:t>24</w:t>
      </w:r>
      <w:r w:rsidR="000F0B80" w:rsidRPr="00EE6A3B">
        <w:rPr>
          <w:rFonts w:ascii="Book Antiqua" w:hAnsi="Book Antiqua"/>
        </w:rPr>
        <w:t xml:space="preserve">): </w:t>
      </w:r>
      <w:r w:rsidR="00BD3FBA" w:rsidRPr="00BD3FBA">
        <w:rPr>
          <w:rFonts w:ascii="Book Antiqua" w:hAnsi="Book Antiqua"/>
        </w:rPr>
        <w:t>6243-6251</w:t>
      </w:r>
      <w:r w:rsidR="000F0B80" w:rsidRPr="00EE6A3B">
        <w:rPr>
          <w:rFonts w:ascii="Book Antiqua" w:hAnsi="Book Antiqua"/>
        </w:rPr>
        <w:t xml:space="preserve">  </w:t>
      </w:r>
    </w:p>
    <w:p w14:paraId="53C76B92" w14:textId="77777777" w:rsidR="002C6FF1" w:rsidRDefault="000F0B80" w:rsidP="008A0228">
      <w:pPr>
        <w:spacing w:line="360" w:lineRule="auto"/>
        <w:jc w:val="both"/>
        <w:rPr>
          <w:rFonts w:ascii="Book Antiqua" w:hAnsi="Book Antiqua" w:hint="eastAsia"/>
          <w:lang w:eastAsia="zh-CN"/>
        </w:rPr>
      </w:pPr>
      <w:r w:rsidRPr="005459A9">
        <w:rPr>
          <w:rFonts w:ascii="Book Antiqua" w:hAnsi="Book Antiqua"/>
          <w:b/>
        </w:rPr>
        <w:t xml:space="preserve">URL: </w:t>
      </w:r>
      <w:r w:rsidRPr="00EE6A3B">
        <w:rPr>
          <w:rFonts w:ascii="Book Antiqua" w:hAnsi="Book Antiqua"/>
        </w:rPr>
        <w:t>https://www.wjgnet.com/2307-8960/full/v8/i</w:t>
      </w:r>
      <w:r>
        <w:rPr>
          <w:rFonts w:ascii="Book Antiqua" w:hAnsi="Book Antiqua" w:hint="eastAsia"/>
          <w:lang w:eastAsia="zh-CN"/>
        </w:rPr>
        <w:t>24</w:t>
      </w:r>
      <w:r w:rsidRPr="00EE6A3B">
        <w:rPr>
          <w:rFonts w:ascii="Book Antiqua" w:hAnsi="Book Antiqua"/>
        </w:rPr>
        <w:t>/</w:t>
      </w:r>
      <w:r w:rsidR="00564499">
        <w:rPr>
          <w:rFonts w:ascii="Book Antiqua" w:hAnsi="Book Antiqua" w:hint="eastAsia"/>
          <w:lang w:eastAsia="zh-CN"/>
        </w:rPr>
        <w:t>6243</w:t>
      </w:r>
      <w:r w:rsidRPr="00EE6A3B">
        <w:rPr>
          <w:rFonts w:ascii="Book Antiqua" w:hAnsi="Book Antiqua"/>
        </w:rPr>
        <w:t xml:space="preserve">.htm  </w:t>
      </w:r>
    </w:p>
    <w:p w14:paraId="1AE65B14" w14:textId="24769D07" w:rsidR="00A77B3E" w:rsidRPr="008A0228" w:rsidRDefault="000F0B80" w:rsidP="008A0228">
      <w:pPr>
        <w:spacing w:line="360" w:lineRule="auto"/>
        <w:jc w:val="both"/>
        <w:rPr>
          <w:rFonts w:ascii="Book Antiqua" w:hAnsi="Book Antiqua" w:hint="eastAsia"/>
          <w:lang w:eastAsia="zh-CN"/>
        </w:rPr>
      </w:pPr>
      <w:bookmarkStart w:id="33" w:name="_GoBack"/>
      <w:r w:rsidRPr="005459A9">
        <w:rPr>
          <w:rFonts w:ascii="Book Antiqua" w:hAnsi="Book Antiqua"/>
          <w:b/>
        </w:rPr>
        <w:t xml:space="preserve">DOI: </w:t>
      </w:r>
      <w:bookmarkEnd w:id="33"/>
      <w:r w:rsidRPr="00EE6A3B">
        <w:rPr>
          <w:rFonts w:ascii="Book Antiqua" w:hAnsi="Book Antiqua"/>
        </w:rPr>
        <w:t>https://dx.doi.org/10.12998/wjcc.v8.i</w:t>
      </w:r>
      <w:r>
        <w:rPr>
          <w:rFonts w:ascii="Book Antiqua" w:hAnsi="Book Antiqua" w:hint="eastAsia"/>
          <w:lang w:eastAsia="zh-CN"/>
        </w:rPr>
        <w:t>24</w:t>
      </w:r>
      <w:r w:rsidRPr="00EE6A3B">
        <w:rPr>
          <w:rFonts w:ascii="Book Antiqua" w:hAnsi="Book Antiqua"/>
        </w:rPr>
        <w:t>.</w:t>
      </w:r>
      <w:r w:rsidR="00BD3FBA">
        <w:rPr>
          <w:rFonts w:ascii="Book Antiqua" w:hAnsi="Book Antiqua" w:hint="eastAsia"/>
          <w:lang w:eastAsia="zh-CN"/>
        </w:rPr>
        <w:t>6243</w:t>
      </w:r>
    </w:p>
    <w:p w14:paraId="1240C27F" w14:textId="77777777" w:rsidR="00A77B3E" w:rsidRPr="008A0228" w:rsidRDefault="00A77B3E" w:rsidP="008A0228">
      <w:pPr>
        <w:spacing w:line="360" w:lineRule="auto"/>
        <w:jc w:val="both"/>
        <w:rPr>
          <w:rFonts w:ascii="Book Antiqua" w:hAnsi="Book Antiqua"/>
        </w:rPr>
      </w:pPr>
    </w:p>
    <w:p w14:paraId="59723D67"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bCs/>
          <w:color w:val="000000"/>
        </w:rPr>
        <w:t xml:space="preserve">Core Tip: </w:t>
      </w:r>
      <w:bookmarkStart w:id="34" w:name="OLE_LINK36"/>
      <w:bookmarkStart w:id="35" w:name="OLE_LINK37"/>
      <w:bookmarkStart w:id="36" w:name="OLE_LINK38"/>
      <w:r w:rsidR="00013AED" w:rsidRPr="008A0228">
        <w:rPr>
          <w:rFonts w:ascii="Book Antiqua" w:eastAsia="Book Antiqua" w:hAnsi="Book Antiqua" w:cs="Book Antiqua"/>
          <w:color w:val="000000"/>
        </w:rPr>
        <w:t>Coats disease is an idiopathic exudative outer retinopathy caused by abnormal retinal vascular development.</w:t>
      </w:r>
      <w:r w:rsidR="00013AED" w:rsidRPr="008A0228">
        <w:rPr>
          <w:rFonts w:ascii="Book Antiqua" w:hAnsi="Book Antiqua"/>
          <w:lang w:eastAsia="zh-CN"/>
        </w:rPr>
        <w:t xml:space="preserve"> </w:t>
      </w:r>
      <w:r w:rsidRPr="008A0228">
        <w:rPr>
          <w:rFonts w:ascii="Book Antiqua" w:eastAsia="Book Antiqua" w:hAnsi="Book Antiqua" w:cs="Book Antiqua"/>
          <w:color w:val="000000"/>
        </w:rPr>
        <w:t xml:space="preserve">Intravitreal injection of conbercept combined with 532-nm laser photocoagulation may be a feasible treatment for </w:t>
      </w:r>
      <w:r w:rsidR="00CC482D" w:rsidRPr="008A0228">
        <w:rPr>
          <w:rFonts w:ascii="Book Antiqua" w:eastAsia="Book Antiqua" w:hAnsi="Book Antiqua" w:cs="Book Antiqua"/>
          <w:caps/>
          <w:color w:val="000000"/>
        </w:rPr>
        <w:t>c</w:t>
      </w:r>
      <w:r w:rsidR="00CC482D" w:rsidRPr="008A0228">
        <w:rPr>
          <w:rFonts w:ascii="Book Antiqua" w:eastAsia="Book Antiqua" w:hAnsi="Book Antiqua" w:cs="Book Antiqua"/>
          <w:color w:val="000000"/>
        </w:rPr>
        <w:t xml:space="preserve">oats </w:t>
      </w:r>
      <w:r w:rsidRPr="008A0228">
        <w:rPr>
          <w:rFonts w:ascii="Book Antiqua" w:eastAsia="Book Antiqua" w:hAnsi="Book Antiqua" w:cs="Book Antiqua"/>
          <w:color w:val="000000"/>
        </w:rPr>
        <w:t>disease in adult patients.</w:t>
      </w:r>
      <w:bookmarkEnd w:id="34"/>
      <w:bookmarkEnd w:id="35"/>
      <w:bookmarkEnd w:id="36"/>
    </w:p>
    <w:p w14:paraId="0EAA8C43" w14:textId="77777777" w:rsidR="00A77B3E" w:rsidRPr="008A0228" w:rsidRDefault="00A77B3E" w:rsidP="008A0228">
      <w:pPr>
        <w:spacing w:line="360" w:lineRule="auto"/>
        <w:jc w:val="both"/>
        <w:rPr>
          <w:rFonts w:ascii="Book Antiqua" w:hAnsi="Book Antiqua"/>
        </w:rPr>
      </w:pPr>
    </w:p>
    <w:p w14:paraId="3FD392C6" w14:textId="77777777" w:rsidR="00A77B3E" w:rsidRPr="008A0228" w:rsidRDefault="00E437E6"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br w:type="page"/>
      </w:r>
      <w:r w:rsidR="003C42F5" w:rsidRPr="008A0228">
        <w:rPr>
          <w:rFonts w:ascii="Book Antiqua" w:eastAsia="Book Antiqua" w:hAnsi="Book Antiqua" w:cs="Book Antiqua"/>
          <w:b/>
          <w:caps/>
          <w:color w:val="000000"/>
          <w:u w:val="single"/>
        </w:rPr>
        <w:t>INTRODUCTION</w:t>
      </w:r>
    </w:p>
    <w:p w14:paraId="32B284C1" w14:textId="06F4410C"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Coats disease is an idiopathic exudative outer retinopathy caused by abnormal retinal vascular development</w:t>
      </w:r>
      <w:r w:rsidRPr="008A0228">
        <w:rPr>
          <w:rFonts w:ascii="Book Antiqua" w:eastAsia="Book Antiqua" w:hAnsi="Book Antiqua" w:cs="Book Antiqua"/>
          <w:color w:val="000000"/>
          <w:vertAlign w:val="superscript"/>
        </w:rPr>
        <w:t>[</w:t>
      </w:r>
      <w:hyperlink w:anchor="_ENREF_1" w:tooltip="Sen, 2019 #1" w:history="1">
        <w:r w:rsidRPr="008A0228">
          <w:rPr>
            <w:rFonts w:ascii="Book Antiqua" w:eastAsia="Book Antiqua" w:hAnsi="Book Antiqua" w:cs="Book Antiqua"/>
            <w:color w:val="000000"/>
            <w:vertAlign w:val="superscript"/>
          </w:rPr>
          <w:t>1</w:t>
        </w:r>
      </w:hyperlink>
      <w:r w:rsidRPr="008A0228">
        <w:rPr>
          <w:rFonts w:ascii="Book Antiqua" w:eastAsia="Book Antiqua" w:hAnsi="Book Antiqua" w:cs="Book Antiqua"/>
          <w:color w:val="000000"/>
          <w:vertAlign w:val="superscript"/>
        </w:rPr>
        <w:t>,</w:t>
      </w:r>
      <w:hyperlink w:anchor="_ENREF_2" w:tooltip="Yang, 2019 #2" w:history="1">
        <w:r w:rsidRPr="008A0228">
          <w:rPr>
            <w:rFonts w:ascii="Book Antiqua" w:eastAsia="Book Antiqua" w:hAnsi="Book Antiqua" w:cs="Book Antiqua"/>
            <w:color w:val="000000"/>
            <w:vertAlign w:val="superscript"/>
          </w:rPr>
          <w:t>2</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The main clinical features of </w:t>
      </w:r>
      <w:r w:rsidR="00F57732" w:rsidRPr="008A0228">
        <w:rPr>
          <w:rFonts w:ascii="Book Antiqua" w:eastAsia="Book Antiqua" w:hAnsi="Book Antiqua" w:cs="Book Antiqua"/>
          <w:color w:val="000000"/>
        </w:rPr>
        <w:t>Coats</w:t>
      </w:r>
      <w:r w:rsidR="00761299"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are dilated retinal capillaries, miliary or small aneurysms and retinal and subretinal exudation</w:t>
      </w:r>
      <w:r w:rsidRPr="008A0228">
        <w:rPr>
          <w:rFonts w:ascii="Book Antiqua" w:eastAsia="Book Antiqua" w:hAnsi="Book Antiqua" w:cs="Book Antiqua"/>
          <w:color w:val="000000"/>
          <w:vertAlign w:val="superscript"/>
        </w:rPr>
        <w:t>[</w:t>
      </w:r>
      <w:hyperlink w:anchor="_ENREF_1" w:tooltip="Sen, 2019 #1" w:history="1">
        <w:r w:rsidRPr="008A0228">
          <w:rPr>
            <w:rFonts w:ascii="Book Antiqua" w:eastAsia="Book Antiqua" w:hAnsi="Book Antiqua" w:cs="Book Antiqua"/>
            <w:color w:val="000000"/>
            <w:vertAlign w:val="superscript"/>
          </w:rPr>
          <w:t>1</w:t>
        </w:r>
      </w:hyperlink>
      <w:r w:rsidRPr="008A0228">
        <w:rPr>
          <w:rFonts w:ascii="Book Antiqua" w:eastAsia="Book Antiqua" w:hAnsi="Book Antiqua" w:cs="Book Antiqua"/>
          <w:color w:val="000000"/>
          <w:vertAlign w:val="superscript"/>
        </w:rPr>
        <w:t>,</w:t>
      </w:r>
      <w:hyperlink w:anchor="_ENREF_2" w:tooltip="Yang, 2019 #2" w:history="1">
        <w:r w:rsidRPr="008A0228">
          <w:rPr>
            <w:rFonts w:ascii="Book Antiqua" w:eastAsia="Book Antiqua" w:hAnsi="Book Antiqua" w:cs="Book Antiqua"/>
            <w:color w:val="000000"/>
            <w:vertAlign w:val="superscript"/>
          </w:rPr>
          <w:t>2</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The estimated incidence of </w:t>
      </w:r>
      <w:r w:rsidR="00F57732" w:rsidRPr="008A0228">
        <w:rPr>
          <w:rFonts w:ascii="Book Antiqua" w:eastAsia="Book Antiqua" w:hAnsi="Book Antiqua" w:cs="Book Antiqua"/>
          <w:color w:val="000000"/>
        </w:rPr>
        <w:t>Coats</w:t>
      </w:r>
      <w:r w:rsidR="0024455B"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w:t>
      </w:r>
      <w:r w:rsidR="007E62D3" w:rsidRPr="008A0228">
        <w:rPr>
          <w:rFonts w:ascii="Book Antiqua" w:eastAsia="Book Antiqua" w:hAnsi="Book Antiqua" w:cs="Book Antiqua"/>
          <w:color w:val="000000"/>
        </w:rPr>
        <w:t xml:space="preserve"> the population is 0.09 per 100</w:t>
      </w:r>
      <w:r w:rsidRPr="008A0228">
        <w:rPr>
          <w:rFonts w:ascii="Book Antiqua" w:eastAsia="Book Antiqua" w:hAnsi="Book Antiqua" w:cs="Book Antiqua"/>
          <w:color w:val="000000"/>
        </w:rPr>
        <w:t>000 persons, and males are more commonly affected than females</w:t>
      </w:r>
      <w:r w:rsidRPr="008A0228">
        <w:rPr>
          <w:rFonts w:ascii="Book Antiqua" w:eastAsia="Book Antiqua" w:hAnsi="Book Antiqua" w:cs="Book Antiqua"/>
          <w:color w:val="000000"/>
          <w:vertAlign w:val="superscript"/>
        </w:rPr>
        <w:t>[</w:t>
      </w:r>
      <w:hyperlink w:anchor="_ENREF_3" w:tooltip="Morris, 2010 #3" w:history="1">
        <w:r w:rsidRPr="008A0228">
          <w:rPr>
            <w:rFonts w:ascii="Book Antiqua" w:eastAsia="Book Antiqua" w:hAnsi="Book Antiqua" w:cs="Book Antiqua"/>
            <w:color w:val="000000"/>
            <w:vertAlign w:val="superscript"/>
          </w:rPr>
          <w:t>3</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The disorder usually affects adolescents with a mean age at presentation of around 12 years</w:t>
      </w:r>
      <w:r w:rsidRPr="008A0228">
        <w:rPr>
          <w:rFonts w:ascii="Book Antiqua" w:eastAsia="Book Antiqua" w:hAnsi="Book Antiqua" w:cs="Book Antiqua"/>
          <w:color w:val="000000"/>
          <w:vertAlign w:val="superscript"/>
        </w:rPr>
        <w:t>[</w:t>
      </w:r>
      <w:hyperlink w:anchor="_ENREF_3" w:tooltip="Morris, 2010 #3" w:history="1">
        <w:r w:rsidRPr="008A0228">
          <w:rPr>
            <w:rFonts w:ascii="Book Antiqua" w:eastAsia="Book Antiqua" w:hAnsi="Book Antiqua" w:cs="Book Antiqua"/>
            <w:color w:val="000000"/>
            <w:vertAlign w:val="superscript"/>
          </w:rPr>
          <w:t>3</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However, a recent study reported that 7% of cases occur in adults (mainly males) with an onset age of 43–50 years, and the incidence of monocularity was 93.3%</w:t>
      </w:r>
      <w:r w:rsidR="002C14C8" w:rsidRPr="008A0228">
        <w:rPr>
          <w:rFonts w:ascii="Book Antiqua" w:eastAsia="Book Antiqua" w:hAnsi="Book Antiqua" w:cs="Book Antiqua"/>
          <w:color w:val="000000"/>
        </w:rPr>
        <w:t>-</w:t>
      </w:r>
      <w:r w:rsidRPr="008A0228">
        <w:rPr>
          <w:rFonts w:ascii="Book Antiqua" w:eastAsia="Book Antiqua" w:hAnsi="Book Antiqua" w:cs="Book Antiqua"/>
          <w:color w:val="000000"/>
        </w:rPr>
        <w:t>100.0%</w:t>
      </w:r>
      <w:r w:rsidRPr="008A0228">
        <w:rPr>
          <w:rFonts w:ascii="Book Antiqua" w:eastAsia="Book Antiqua" w:hAnsi="Book Antiqua" w:cs="Book Antiqua"/>
          <w:color w:val="000000"/>
          <w:vertAlign w:val="superscript"/>
        </w:rPr>
        <w:t>[</w:t>
      </w:r>
      <w:hyperlink w:anchor="_ENREF_4" w:tooltip="Rishi, 2016 #4" w:history="1">
        <w:r w:rsidRPr="008A0228">
          <w:rPr>
            <w:rFonts w:ascii="Book Antiqua" w:eastAsia="Book Antiqua" w:hAnsi="Book Antiqua" w:cs="Book Antiqua"/>
            <w:color w:val="000000"/>
            <w:vertAlign w:val="superscript"/>
          </w:rPr>
          <w:t>4</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Standard treatments for </w:t>
      </w:r>
      <w:r w:rsidR="00F57732" w:rsidRPr="008A0228">
        <w:rPr>
          <w:rFonts w:ascii="Book Antiqua" w:eastAsia="Book Antiqua" w:hAnsi="Book Antiqua" w:cs="Book Antiqua"/>
          <w:color w:val="000000"/>
        </w:rPr>
        <w:t>Coats</w:t>
      </w:r>
      <w:r w:rsidR="007E62D3"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include laser therapy, cryotherapy and surgical techniques such as subretinal fluid drainage and vitrectomy</w:t>
      </w:r>
      <w:r w:rsidRPr="008A0228">
        <w:rPr>
          <w:rFonts w:ascii="Book Antiqua" w:eastAsia="Book Antiqua" w:hAnsi="Book Antiqua" w:cs="Book Antiqua"/>
          <w:color w:val="000000"/>
          <w:vertAlign w:val="superscript"/>
        </w:rPr>
        <w:t>[</w:t>
      </w:r>
      <w:hyperlink w:anchor="_ENREF_5" w:tooltip="Kusaka, 2018 #5" w:history="1">
        <w:r w:rsidRPr="008A0228">
          <w:rPr>
            <w:rFonts w:ascii="Book Antiqua" w:eastAsia="Book Antiqua" w:hAnsi="Book Antiqua" w:cs="Book Antiqua"/>
            <w:color w:val="000000"/>
            <w:vertAlign w:val="superscript"/>
          </w:rPr>
          <w:t>5</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w:t>
      </w:r>
    </w:p>
    <w:p w14:paraId="059BBD41" w14:textId="77777777"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 xml:space="preserve">Recent studies have shown that patients with </w:t>
      </w:r>
      <w:r w:rsidR="00F57732" w:rsidRPr="008A0228">
        <w:rPr>
          <w:rFonts w:ascii="Book Antiqua" w:eastAsia="Book Antiqua" w:hAnsi="Book Antiqua" w:cs="Book Antiqua"/>
          <w:color w:val="000000"/>
        </w:rPr>
        <w:t>Coats</w:t>
      </w:r>
      <w:r w:rsidR="00046A8E"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disease have elevated levels of vascular endothelial growth factor (VEGF) in the aqueous humor, vitreous and subretinal fluid, suggesting that a disorder of VEGF-mediated vascular regeneration may be involved in the pathogenesis of </w:t>
      </w:r>
      <w:r w:rsidR="00F57732" w:rsidRPr="008A0228">
        <w:rPr>
          <w:rFonts w:ascii="Book Antiqua" w:eastAsia="Book Antiqua" w:hAnsi="Book Antiqua" w:cs="Book Antiqua"/>
          <w:color w:val="000000"/>
        </w:rPr>
        <w:t>Coats</w:t>
      </w:r>
      <w:r w:rsidR="00900CD2"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w:t>
      </w:r>
      <w:r w:rsidRPr="008A0228">
        <w:rPr>
          <w:rFonts w:ascii="Book Antiqua" w:eastAsia="Book Antiqua" w:hAnsi="Book Antiqua" w:cs="Book Antiqua"/>
          <w:color w:val="000000"/>
          <w:vertAlign w:val="superscript"/>
        </w:rPr>
        <w:t>[</w:t>
      </w:r>
      <w:hyperlink w:anchor="_ENREF_6" w:tooltip="Kase, 2013 #6" w:history="1">
        <w:r w:rsidRPr="008A0228">
          <w:rPr>
            <w:rFonts w:ascii="Book Antiqua" w:eastAsia="Book Antiqua" w:hAnsi="Book Antiqua" w:cs="Book Antiqua"/>
            <w:color w:val="000000"/>
            <w:vertAlign w:val="superscript"/>
          </w:rPr>
          <w:t>6-9</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It has been suggested that ischemia around a region of unperfused retinal capillaries may lead to VEGF upregulation that increases the permeability of dilated capillaries and causes exudation of lipoproteins below the retina, resulting in edema and exudative retinal detachment</w:t>
      </w:r>
      <w:r w:rsidRPr="008A0228">
        <w:rPr>
          <w:rFonts w:ascii="Book Antiqua" w:eastAsia="Book Antiqua" w:hAnsi="Book Antiqua" w:cs="Book Antiqua"/>
          <w:color w:val="000000"/>
          <w:vertAlign w:val="superscript"/>
        </w:rPr>
        <w:t>[</w:t>
      </w:r>
      <w:hyperlink w:anchor="_ENREF_6" w:tooltip="Kase, 2013 #6" w:history="1">
        <w:r w:rsidRPr="008A0228">
          <w:rPr>
            <w:rFonts w:ascii="Book Antiqua" w:eastAsia="Book Antiqua" w:hAnsi="Book Antiqua" w:cs="Book Antiqua"/>
            <w:color w:val="000000"/>
            <w:vertAlign w:val="superscript"/>
          </w:rPr>
          <w:t>6-9</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There has been increasing interest in the use of anti-VEGF agents as an adjunct treatment for </w:t>
      </w:r>
      <w:r w:rsidR="00F57732" w:rsidRPr="008A0228">
        <w:rPr>
          <w:rFonts w:ascii="Book Antiqua" w:eastAsia="Book Antiqua" w:hAnsi="Book Antiqua" w:cs="Book Antiqua"/>
          <w:color w:val="000000"/>
        </w:rPr>
        <w:t>Coats</w:t>
      </w:r>
      <w:r w:rsidR="00046A8E"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w:t>
      </w:r>
      <w:r w:rsidRPr="008A0228">
        <w:rPr>
          <w:rFonts w:ascii="Book Antiqua" w:eastAsia="Book Antiqua" w:hAnsi="Book Antiqua" w:cs="Book Antiqua"/>
          <w:color w:val="000000"/>
          <w:vertAlign w:val="superscript"/>
        </w:rPr>
        <w:t>[</w:t>
      </w:r>
      <w:hyperlink w:anchor="_ENREF_1" w:tooltip="Sen, 2019 #1" w:history="1">
        <w:r w:rsidRPr="008A0228">
          <w:rPr>
            <w:rFonts w:ascii="Book Antiqua" w:eastAsia="Book Antiqua" w:hAnsi="Book Antiqua" w:cs="Book Antiqua"/>
            <w:color w:val="000000"/>
            <w:vertAlign w:val="superscript"/>
          </w:rPr>
          <w:t>1</w:t>
        </w:r>
      </w:hyperlink>
      <w:r w:rsidRPr="008A0228">
        <w:rPr>
          <w:rFonts w:ascii="Book Antiqua" w:eastAsia="Book Antiqua" w:hAnsi="Book Antiqua" w:cs="Book Antiqua"/>
          <w:color w:val="000000"/>
          <w:vertAlign w:val="superscript"/>
        </w:rPr>
        <w:t>,</w:t>
      </w:r>
      <w:hyperlink w:anchor="_ENREF_2" w:tooltip="Yang, 2019 #2" w:history="1">
        <w:r w:rsidRPr="008A0228">
          <w:rPr>
            <w:rFonts w:ascii="Book Antiqua" w:eastAsia="Book Antiqua" w:hAnsi="Book Antiqua" w:cs="Book Antiqua"/>
            <w:color w:val="000000"/>
            <w:vertAlign w:val="superscript"/>
          </w:rPr>
          <w:t>2</w:t>
        </w:r>
      </w:hyperlink>
      <w:r w:rsidRPr="008A0228">
        <w:rPr>
          <w:rFonts w:ascii="Book Antiqua" w:eastAsia="Book Antiqua" w:hAnsi="Book Antiqua" w:cs="Book Antiqua"/>
          <w:color w:val="000000"/>
          <w:vertAlign w:val="superscript"/>
        </w:rPr>
        <w:t>,</w:t>
      </w:r>
      <w:hyperlink w:anchor="_ENREF_10" w:tooltip="Shields, 2019 #10" w:history="1">
        <w:r w:rsidRPr="008A0228">
          <w:rPr>
            <w:rFonts w:ascii="Book Antiqua" w:eastAsia="Book Antiqua" w:hAnsi="Book Antiqua" w:cs="Book Antiqua"/>
            <w:color w:val="000000"/>
            <w:vertAlign w:val="superscript"/>
          </w:rPr>
          <w:t>10</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Several clinical studies have reported that the intravitreal injection of a VEGF-binding antibody (such as bevacizumab or ranibizumab) or aptamer (pegaptanib) exerts beneficial effects in patients with </w:t>
      </w:r>
      <w:r w:rsidR="00F57732" w:rsidRPr="008A0228">
        <w:rPr>
          <w:rFonts w:ascii="Book Antiqua" w:eastAsia="Book Antiqua" w:hAnsi="Book Antiqua" w:cs="Book Antiqua"/>
          <w:color w:val="000000"/>
        </w:rPr>
        <w:t>Coats</w:t>
      </w:r>
      <w:r w:rsidR="00046A8E"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including a reduction in exudation and edema and an improvement in visual acuity</w:t>
      </w:r>
      <w:r w:rsidRPr="008A0228">
        <w:rPr>
          <w:rFonts w:ascii="Book Antiqua" w:eastAsia="Book Antiqua" w:hAnsi="Book Antiqua" w:cs="Book Antiqua"/>
          <w:color w:val="000000"/>
          <w:vertAlign w:val="superscript"/>
        </w:rPr>
        <w:t>[</w:t>
      </w:r>
      <w:hyperlink w:anchor="_ENREF_11" w:tooltip="Zheng, 2014 #13" w:history="1">
        <w:r w:rsidRPr="008A0228">
          <w:rPr>
            <w:rFonts w:ascii="Book Antiqua" w:eastAsia="Book Antiqua" w:hAnsi="Book Antiqua" w:cs="Book Antiqua"/>
            <w:color w:val="000000"/>
            <w:vertAlign w:val="superscript"/>
          </w:rPr>
          <w:t>11-15</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w:t>
      </w:r>
    </w:p>
    <w:p w14:paraId="42B8119F" w14:textId="5FE6A5B7"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Conbercept is a recombinant fusion protein comprising extracellular domain 2 of VEGF receptor-1, extracellular domains 3 and 4 of VEGF receptor-2 and the Fc region of human IgG1</w:t>
      </w:r>
      <w:r w:rsidRPr="008A0228">
        <w:rPr>
          <w:rFonts w:ascii="Book Antiqua" w:eastAsia="Book Antiqua" w:hAnsi="Book Antiqua" w:cs="Book Antiqua"/>
          <w:color w:val="000000"/>
          <w:vertAlign w:val="superscript"/>
        </w:rPr>
        <w:t>[</w:t>
      </w:r>
      <w:hyperlink w:anchor="_ENREF_16" w:tooltip="de Oliveira Dias, 2016 #18" w:history="1">
        <w:r w:rsidRPr="008A0228">
          <w:rPr>
            <w:rFonts w:ascii="Book Antiqua" w:eastAsia="Book Antiqua" w:hAnsi="Book Antiqua" w:cs="Book Antiqua"/>
            <w:color w:val="000000"/>
            <w:vertAlign w:val="superscript"/>
          </w:rPr>
          <w:t>16</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This fusion protein binds VEGF with high affinity</w:t>
      </w:r>
      <w:r w:rsidR="00EC2D50"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 has a long half-life in the vitreous</w:t>
      </w:r>
      <w:r w:rsidRPr="008A0228">
        <w:rPr>
          <w:rFonts w:ascii="Book Antiqua" w:eastAsia="Book Antiqua" w:hAnsi="Book Antiqua" w:cs="Book Antiqua"/>
          <w:i/>
          <w:iCs/>
          <w:color w:val="000000"/>
        </w:rPr>
        <w:t xml:space="preserve"> </w:t>
      </w:r>
      <w:r w:rsidRPr="008A0228">
        <w:rPr>
          <w:rFonts w:ascii="Book Antiqua" w:eastAsia="Book Antiqua" w:hAnsi="Book Antiqua" w:cs="Book Antiqua"/>
          <w:color w:val="000000"/>
        </w:rPr>
        <w:t>and blocks all isoforms of VEGF-A, VEGF-B, VEGF-C and placental growth factor</w:t>
      </w:r>
      <w:r w:rsidRPr="008A0228">
        <w:rPr>
          <w:rFonts w:ascii="Book Antiqua" w:eastAsia="Book Antiqua" w:hAnsi="Book Antiqua" w:cs="Book Antiqua"/>
          <w:color w:val="000000"/>
          <w:vertAlign w:val="superscript"/>
        </w:rPr>
        <w:t>[</w:t>
      </w:r>
      <w:hyperlink w:anchor="_ENREF_16" w:tooltip="de Oliveira Dias, 2016 #18" w:history="1">
        <w:r w:rsidRPr="008A0228">
          <w:rPr>
            <w:rFonts w:ascii="Book Antiqua" w:eastAsia="Book Antiqua" w:hAnsi="Book Antiqua" w:cs="Book Antiqua"/>
            <w:color w:val="000000"/>
            <w:vertAlign w:val="superscript"/>
          </w:rPr>
          <w:t>16</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Conbercept has been shown to be an effective treatment for retinal diseases such as diabetic retinopathy-induced macular edema</w:t>
      </w:r>
      <w:r w:rsidRPr="008A0228">
        <w:rPr>
          <w:rFonts w:ascii="Book Antiqua" w:eastAsia="Book Antiqua" w:hAnsi="Book Antiqua" w:cs="Book Antiqua"/>
          <w:color w:val="000000"/>
          <w:vertAlign w:val="superscript"/>
        </w:rPr>
        <w:t>[</w:t>
      </w:r>
      <w:hyperlink w:anchor="_ENREF_17" w:tooltip="Zhou, 2019 #19" w:history="1">
        <w:r w:rsidRPr="008A0228">
          <w:rPr>
            <w:rFonts w:ascii="Book Antiqua" w:eastAsia="Book Antiqua" w:hAnsi="Book Antiqua" w:cs="Book Antiqua"/>
            <w:color w:val="000000"/>
            <w:vertAlign w:val="superscript"/>
          </w:rPr>
          <w:t>17</w:t>
        </w:r>
      </w:hyperlink>
      <w:r w:rsidRPr="008A0228">
        <w:rPr>
          <w:rFonts w:ascii="Book Antiqua" w:eastAsia="Book Antiqua" w:hAnsi="Book Antiqua" w:cs="Book Antiqua"/>
          <w:color w:val="000000"/>
          <w:vertAlign w:val="superscript"/>
        </w:rPr>
        <w:t>,</w:t>
      </w:r>
      <w:hyperlink w:anchor="_ENREF_18" w:tooltip="Li, 2018 #20" w:history="1">
        <w:r w:rsidRPr="008A0228">
          <w:rPr>
            <w:rFonts w:ascii="Book Antiqua" w:eastAsia="Book Antiqua" w:hAnsi="Book Antiqua" w:cs="Book Antiqua"/>
            <w:color w:val="000000"/>
            <w:vertAlign w:val="superscript"/>
          </w:rPr>
          <w:t>18</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and age-related macular degeneration</w:t>
      </w:r>
      <w:r w:rsidRPr="008A0228">
        <w:rPr>
          <w:rFonts w:ascii="Book Antiqua" w:eastAsia="Book Antiqua" w:hAnsi="Book Antiqua" w:cs="Book Antiqua"/>
          <w:color w:val="000000"/>
          <w:vertAlign w:val="superscript"/>
        </w:rPr>
        <w:t>[</w:t>
      </w:r>
      <w:hyperlink w:anchor="_ENREF_19" w:tooltip="Wu, 2019 #21" w:history="1">
        <w:r w:rsidRPr="008A0228">
          <w:rPr>
            <w:rFonts w:ascii="Book Antiqua" w:eastAsia="Book Antiqua" w:hAnsi="Book Antiqua" w:cs="Book Antiqua"/>
            <w:color w:val="000000"/>
            <w:vertAlign w:val="superscript"/>
          </w:rPr>
          <w:t>19-22</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However, to the best of our knowledge, only one previous study has investigated the use of conbercept as an adjunct treatment to laser therapy in the management of </w:t>
      </w:r>
      <w:r w:rsidR="00F57732" w:rsidRPr="008A0228">
        <w:rPr>
          <w:rFonts w:ascii="Book Antiqua" w:eastAsia="Book Antiqua" w:hAnsi="Book Antiqua" w:cs="Book Antiqua"/>
          <w:color w:val="000000"/>
        </w:rPr>
        <w:t>Coats</w:t>
      </w:r>
      <w:r w:rsidR="004900BD"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w:t>
      </w:r>
      <w:r w:rsidRPr="008A0228">
        <w:rPr>
          <w:rFonts w:ascii="Book Antiqua" w:eastAsia="Book Antiqua" w:hAnsi="Book Antiqua" w:cs="Book Antiqua"/>
          <w:color w:val="000000"/>
          <w:vertAlign w:val="superscript"/>
        </w:rPr>
        <w:t>[</w:t>
      </w:r>
      <w:hyperlink w:anchor="_ENREF_23" w:tooltip="Zhang, 2018 #25" w:history="1">
        <w:r w:rsidRPr="008A0228">
          <w:rPr>
            <w:rFonts w:ascii="Book Antiqua" w:eastAsia="Book Antiqua" w:hAnsi="Book Antiqua" w:cs="Book Antiqua"/>
            <w:color w:val="000000"/>
            <w:vertAlign w:val="superscript"/>
          </w:rPr>
          <w:t>23</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w:t>
      </w:r>
    </w:p>
    <w:p w14:paraId="2A88E4A5" w14:textId="77777777"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 xml:space="preserve">The aim of this retrospective case series study was to summarize the clinical outcomes of adult patients who were diagnosed with </w:t>
      </w:r>
      <w:r w:rsidR="00F57732" w:rsidRPr="008A0228">
        <w:rPr>
          <w:rFonts w:ascii="Book Antiqua" w:eastAsia="Book Antiqua" w:hAnsi="Book Antiqua" w:cs="Book Antiqua"/>
          <w:color w:val="000000"/>
        </w:rPr>
        <w:t>Coats</w:t>
      </w:r>
      <w:r w:rsidR="00FC2C01"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at our ophthalmology department and treated with intravitreal injection of conbercept in combination with laser photocoagulation.</w:t>
      </w:r>
    </w:p>
    <w:p w14:paraId="60B84649" w14:textId="77777777" w:rsidR="00A77B3E" w:rsidRPr="008A0228" w:rsidRDefault="00A77B3E" w:rsidP="008A0228">
      <w:pPr>
        <w:spacing w:line="360" w:lineRule="auto"/>
        <w:ind w:firstLine="480"/>
        <w:jc w:val="both"/>
        <w:rPr>
          <w:rFonts w:ascii="Book Antiqua" w:hAnsi="Book Antiqua"/>
        </w:rPr>
      </w:pPr>
    </w:p>
    <w:p w14:paraId="186D4F2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MATERIALS AND METHODS</w:t>
      </w:r>
    </w:p>
    <w:p w14:paraId="3481CBC8"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Patients</w:t>
      </w:r>
    </w:p>
    <w:p w14:paraId="727377DE" w14:textId="2E7034B3"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This retrospective case series study included patients diagnosed with </w:t>
      </w:r>
      <w:r w:rsidR="00F57732" w:rsidRPr="008A0228">
        <w:rPr>
          <w:rFonts w:ascii="Book Antiqua" w:eastAsia="Book Antiqua" w:hAnsi="Book Antiqua" w:cs="Book Antiqua"/>
          <w:color w:val="000000"/>
        </w:rPr>
        <w:t>Coats</w:t>
      </w:r>
      <w:r w:rsidR="00F21DDF"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and treated with intravitreal injection of conbercept and laser photocoagulation at the Department of Ophthalmology of Shenzhen People</w:t>
      </w:r>
      <w:r w:rsidR="00EC2D50"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s Hospital between January 2016 and January 2017. The inclusion criteria were: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1) age &gt;</w:t>
      </w:r>
      <w:r w:rsidR="00037D74"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18 years;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 xml:space="preserve">2) newly diagnosed with </w:t>
      </w:r>
      <w:r w:rsidR="00F57732" w:rsidRPr="008A0228">
        <w:rPr>
          <w:rFonts w:ascii="Book Antiqua" w:eastAsia="Book Antiqua" w:hAnsi="Book Antiqua" w:cs="Book Antiqua"/>
          <w:color w:val="000000"/>
        </w:rPr>
        <w:t>Coats</w:t>
      </w:r>
      <w:r w:rsidR="00F21DDF"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disease; and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 xml:space="preserve">3) treated with intravitreal injection of conbercept and laser photocoagulation.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was diagnosed according to the results of the fundus examination (the presence of abnormal dilated retinal blood vessels and retinal interstitial or subretinal exudation with or without retinal detachment), fluorescein fundus angiography (FFA; typical dilatation of retinal capillaries and small blood vessels) and optical coherence tomography (OCT; characteristic features such as retinal thickening, exudation and subretinal fluid)</w:t>
      </w:r>
      <w:r w:rsidRPr="008A0228">
        <w:rPr>
          <w:rFonts w:ascii="Book Antiqua" w:eastAsia="Book Antiqua" w:hAnsi="Book Antiqua" w:cs="Book Antiqua"/>
          <w:color w:val="000000"/>
          <w:vertAlign w:val="superscript"/>
        </w:rPr>
        <w:t>[</w:t>
      </w:r>
      <w:hyperlink w:anchor="_ENREF_24" w:tooltip="Shields, 2001 #26" w:history="1">
        <w:r w:rsidRPr="008A0228">
          <w:rPr>
            <w:rFonts w:ascii="Book Antiqua" w:eastAsia="Book Antiqua" w:hAnsi="Book Antiqua" w:cs="Book Antiqua"/>
            <w:color w:val="000000"/>
            <w:vertAlign w:val="superscript"/>
          </w:rPr>
          <w:t>24</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The exclusion criteria were: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 xml:space="preserve">1) other eye diseases such as age-related macular degeneration; and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 xml:space="preserve">2) complications such as severe refractive interstitial opacity or vitreous hemorrhage that impaired observation of the fundus. </w:t>
      </w:r>
    </w:p>
    <w:p w14:paraId="52CA730A" w14:textId="77777777"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 xml:space="preserve">The severity of </w:t>
      </w:r>
      <w:r w:rsidR="00F57732" w:rsidRPr="008A0228">
        <w:rPr>
          <w:rFonts w:ascii="Book Antiqua" w:eastAsia="Book Antiqua" w:hAnsi="Book Antiqua" w:cs="Book Antiqua"/>
          <w:color w:val="000000"/>
        </w:rPr>
        <w:t>Coats</w:t>
      </w:r>
      <w:r w:rsidR="00DF18DE"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 each patient was classified as stage 1 (retinal capillary dilation only), stage 2A (retinal capillary dilation and subretinal exudation outside the central fovea), stage 2B (retinal capillary dilation and exudation inside the central fovea), stage 3A (incomplete retinal detachment), stage 3B (complete retinal detachment), stage 4 (total retinal detachment with secondary glaucoma) or stage 5 (the terminal stage of eyeball atrophy)</w:t>
      </w:r>
      <w:r w:rsidRPr="008A0228">
        <w:rPr>
          <w:rFonts w:ascii="Book Antiqua" w:eastAsia="Book Antiqua" w:hAnsi="Book Antiqua" w:cs="Book Antiqua"/>
          <w:color w:val="000000"/>
          <w:vertAlign w:val="superscript"/>
        </w:rPr>
        <w:t>[</w:t>
      </w:r>
      <w:hyperlink w:anchor="_ENREF_24" w:tooltip="Shields, 2001 #26" w:history="1">
        <w:r w:rsidRPr="008A0228">
          <w:rPr>
            <w:rFonts w:ascii="Book Antiqua" w:eastAsia="Book Antiqua" w:hAnsi="Book Antiqua" w:cs="Book Antiqua"/>
            <w:color w:val="000000"/>
            <w:vertAlign w:val="superscript"/>
          </w:rPr>
          <w:t>24</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w:t>
      </w:r>
    </w:p>
    <w:p w14:paraId="3BAC15FC" w14:textId="21A27AFD"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The study was approved by the ethics committee</w:t>
      </w:r>
      <w:r w:rsidR="001F2756" w:rsidRPr="008A0228">
        <w:rPr>
          <w:rFonts w:ascii="Book Antiqua" w:eastAsia="Book Antiqua" w:hAnsi="Book Antiqua" w:cs="Book Antiqua"/>
          <w:color w:val="000000"/>
        </w:rPr>
        <w:t xml:space="preserve"> of Shenzhen People</w:t>
      </w:r>
      <w:r w:rsidR="0007478D" w:rsidRPr="008A0228">
        <w:rPr>
          <w:rFonts w:ascii="Book Antiqua" w:eastAsia="Book Antiqua" w:hAnsi="Book Antiqua" w:cs="Book Antiqua"/>
          <w:color w:val="000000"/>
        </w:rPr>
        <w:t>’</w:t>
      </w:r>
      <w:r w:rsidR="001F2756" w:rsidRPr="008A0228">
        <w:rPr>
          <w:rFonts w:ascii="Book Antiqua" w:eastAsia="Book Antiqua" w:hAnsi="Book Antiqua" w:cs="Book Antiqua"/>
          <w:color w:val="000000"/>
        </w:rPr>
        <w:t>s Hospital</w:t>
      </w:r>
      <w:r w:rsidR="001F2756" w:rsidRPr="008A0228">
        <w:rPr>
          <w:rFonts w:ascii="Book Antiqua" w:hAnsi="Book Antiqua" w:cs="Book Antiqua"/>
          <w:color w:val="000000"/>
          <w:lang w:eastAsia="zh-CN"/>
        </w:rPr>
        <w:t>,</w:t>
      </w:r>
      <w:r w:rsidR="001F2756"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No. LL-KY-202023</w:t>
      </w:r>
      <w:r w:rsidR="001F2756" w:rsidRPr="008A0228">
        <w:rPr>
          <w:rFonts w:ascii="Book Antiqua" w:eastAsia="Book Antiqua" w:hAnsi="Book Antiqua" w:cs="Book Antiqua"/>
          <w:color w:val="000000"/>
        </w:rPr>
        <w:t>8</w:t>
      </w:r>
      <w:r w:rsidRPr="008A0228">
        <w:rPr>
          <w:rFonts w:ascii="Book Antiqua" w:eastAsia="Book Antiqua" w:hAnsi="Book Antiqua" w:cs="Book Antiqua"/>
          <w:color w:val="000000"/>
        </w:rPr>
        <w:t xml:space="preserve">. </w:t>
      </w:r>
    </w:p>
    <w:p w14:paraId="53D425BC" w14:textId="77777777" w:rsidR="00A77B3E" w:rsidRPr="008A0228" w:rsidRDefault="00A77B3E" w:rsidP="008A0228">
      <w:pPr>
        <w:spacing w:line="360" w:lineRule="auto"/>
        <w:ind w:firstLine="480"/>
        <w:jc w:val="both"/>
        <w:rPr>
          <w:rFonts w:ascii="Book Antiqua" w:hAnsi="Book Antiqua"/>
        </w:rPr>
      </w:pPr>
    </w:p>
    <w:p w14:paraId="0CB87830"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 xml:space="preserve">Treatment </w:t>
      </w:r>
    </w:p>
    <w:p w14:paraId="1BE7899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Written consent was obtained from each patient after they and their families had been fully informed about the treatment strategy (intravitreal injection of conbercept combined with laser photocoagulation) and potential adverse effects. A standard method was used for intravitreal injection of conbercept into the affected eye. Before treatment, 0.5% levofloxacin eye drops were administered as a local anti-inflammatory therapy. The same doctor, who had a third-level surgery qualification, performed all the procedures. The patient was placed in a supine position in the operating room. Tropicamide was used for mydriasis, and oxybuprocaine hydrochloride was applied for surface anesthesia. Disinfection and surgical draping were performed routinely according to the requirements of internal eye surgery. A protective film was pasted, an eyelid opener was used to open the eyelids, and the conjunctival sac was washed with diluted povidone iodine. A 30-gauge needle was inserted into the flat part of the ciliary body at a distance of 3.5–4 mm from the limbus. The intravitreal cavity was injected with 0.5 mg conbercept (trade name, Langmu; Chengdu Kanghong Biological Co., Ltd, China) administered as 0.05 mL of a 10 mg/mL solution. Gentle pressure was applied with a cotton swab for 10 s to prevent reflux. At the end of the procedure, light sensation was checked, tobramycin-dexamethasone eye ointment was applied, and the eye was covered with a blindfold. Postoperatively, 0.5% levofloxacin</w:t>
      </w:r>
      <w:r w:rsidR="00027DC6" w:rsidRPr="008A0228">
        <w:rPr>
          <w:rFonts w:ascii="Book Antiqua" w:eastAsia="Book Antiqua" w:hAnsi="Book Antiqua" w:cs="Book Antiqua"/>
          <w:color w:val="000000"/>
        </w:rPr>
        <w:t xml:space="preserve"> eye drops were given for 3 d</w:t>
      </w:r>
      <w:r w:rsidRPr="008A0228">
        <w:rPr>
          <w:rFonts w:ascii="Book Antiqua" w:eastAsia="Book Antiqua" w:hAnsi="Book Antiqua" w:cs="Book Antiqua"/>
          <w:color w:val="000000"/>
        </w:rPr>
        <w:t xml:space="preserve"> as prophylaxis against bacterial infection. Subsequently, the anterior segment of the eye was examined for signs of an inflammatory reaction, intraocular pressure was measured, and fundus examination and FFA were performed. Based on the FFA results, 532-nm laser photocoagulation was carried out after conbercept injection to block retinal aneurysms, abnormally dilated capillaries or capillaries without perfusion. The laser equipment used in this study was Lumenis Vision One. Retinal laser photocoagulation was operated routinely with a 532-nm light. The size of the spot was 200 µm, the energy was 150 MW, and the duration was 200 ms.</w:t>
      </w:r>
    </w:p>
    <w:p w14:paraId="1C95B8D3" w14:textId="77777777" w:rsidR="00A77B3E" w:rsidRPr="008A0228" w:rsidRDefault="00A77B3E" w:rsidP="008A0228">
      <w:pPr>
        <w:spacing w:line="360" w:lineRule="auto"/>
        <w:ind w:firstLine="480"/>
        <w:jc w:val="both"/>
        <w:rPr>
          <w:rFonts w:ascii="Book Antiqua" w:hAnsi="Book Antiqua"/>
        </w:rPr>
      </w:pPr>
    </w:p>
    <w:p w14:paraId="36E04A20"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Follow-up</w:t>
      </w:r>
    </w:p>
    <w:p w14:paraId="55886E70" w14:textId="71550C15"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Periodic reviews were conducted postoperatively at 1 wk, 1 mo, 3 mo, 6 mo, 9 mo, 12 mo and annually thereafter. Changes in the condition of the eye were used to determine whether the treatment needed to be repeated. </w:t>
      </w:r>
    </w:p>
    <w:p w14:paraId="6E019D18" w14:textId="77777777" w:rsidR="00A77B3E" w:rsidRPr="008A0228" w:rsidRDefault="00A77B3E" w:rsidP="008A0228">
      <w:pPr>
        <w:spacing w:line="360" w:lineRule="auto"/>
        <w:ind w:firstLine="480"/>
        <w:jc w:val="both"/>
        <w:rPr>
          <w:rFonts w:ascii="Book Antiqua" w:hAnsi="Book Antiqua"/>
        </w:rPr>
      </w:pPr>
    </w:p>
    <w:p w14:paraId="4EF49CD3"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 xml:space="preserve">Data collection </w:t>
      </w:r>
    </w:p>
    <w:p w14:paraId="19313547" w14:textId="49A31E10"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Clinical data were extracted from the medical records. Best-corrected visual acuity (BCVA) was measured using the early treatment of diabetic retinopathy study chart. Intraocular pressure was measured with a noncontact tonometer (NT-530; Nidek Co., Ltd, Japan). Fundus color photography and FFA examinations were performed using a TRC-50DX retinal camera (Topcon Medical Systems Inc., Japan). Spectral-domain OCT was carried out with a </w:t>
      </w:r>
      <w:r w:rsidR="00243CDB" w:rsidRPr="008A0228">
        <w:rPr>
          <w:rFonts w:ascii="Book Antiqua" w:eastAsia="Book Antiqua" w:hAnsi="Book Antiqua" w:cs="Book Antiqua"/>
          <w:color w:val="000000"/>
        </w:rPr>
        <w:t>S</w:t>
      </w:r>
      <w:r w:rsidR="00FA491A" w:rsidRPr="008A0228">
        <w:rPr>
          <w:rFonts w:ascii="Book Antiqua" w:eastAsia="Book Antiqua" w:hAnsi="Book Antiqua" w:cs="Book Antiqua"/>
          <w:color w:val="000000"/>
        </w:rPr>
        <w:t xml:space="preserve">pectralis </w:t>
      </w:r>
      <w:r w:rsidRPr="008A0228">
        <w:rPr>
          <w:rFonts w:ascii="Book Antiqua" w:eastAsia="Book Antiqua" w:hAnsi="Book Antiqua" w:cs="Book Antiqua"/>
          <w:color w:val="000000"/>
        </w:rPr>
        <w:t xml:space="preserve">system (Heidelberg Engineering GmbH, Germany). The </w:t>
      </w:r>
      <w:bookmarkStart w:id="37" w:name="OLE_LINK29"/>
      <w:bookmarkStart w:id="38" w:name="OLE_LINK30"/>
      <w:r w:rsidRPr="008A0228">
        <w:rPr>
          <w:rFonts w:ascii="Book Antiqua" w:eastAsia="Book Antiqua" w:hAnsi="Book Antiqua" w:cs="Book Antiqua"/>
          <w:color w:val="000000"/>
        </w:rPr>
        <w:t>central macular thickness</w:t>
      </w:r>
      <w:bookmarkEnd w:id="37"/>
      <w:bookmarkEnd w:id="38"/>
      <w:r w:rsidRPr="008A0228">
        <w:rPr>
          <w:rFonts w:ascii="Book Antiqua" w:eastAsia="Book Antiqua" w:hAnsi="Book Antiqua" w:cs="Book Antiqua"/>
          <w:color w:val="000000"/>
        </w:rPr>
        <w:t xml:space="preserve"> was measured in high-definition scanning mode. The change in vision at each follow-up was evaluated as follows: an increase of ≥</w:t>
      </w:r>
      <w:r w:rsidR="008B20AE" w:rsidRPr="008A0228">
        <w:rPr>
          <w:rFonts w:ascii="Book Antiqua" w:hAnsi="Book Antiqua" w:cs="Book Antiqua"/>
          <w:color w:val="000000"/>
          <w:lang w:eastAsia="zh-CN"/>
        </w:rPr>
        <w:t xml:space="preserve"> </w:t>
      </w:r>
      <w:r w:rsidRPr="008A0228">
        <w:rPr>
          <w:rFonts w:ascii="Book Antiqua" w:eastAsia="Book Antiqua" w:hAnsi="Book Antiqua" w:cs="Book Antiqua"/>
          <w:color w:val="000000"/>
        </w:rPr>
        <w:t>15 in the number of letters in the chart was considered a substantial improvement in vision; an increase of 5–14 was considered an improvement in vision; an increase or decrease of &lt;</w:t>
      </w:r>
      <w:r w:rsidR="008B20AE" w:rsidRPr="008A0228">
        <w:rPr>
          <w:rFonts w:ascii="Book Antiqua" w:hAnsi="Book Antiqua" w:cs="Book Antiqua"/>
          <w:color w:val="000000"/>
          <w:lang w:eastAsia="zh-CN"/>
        </w:rPr>
        <w:t xml:space="preserve"> </w:t>
      </w:r>
      <w:r w:rsidRPr="008A0228">
        <w:rPr>
          <w:rFonts w:ascii="Book Antiqua" w:eastAsia="Book Antiqua" w:hAnsi="Book Antiqua" w:cs="Book Antiqua"/>
          <w:color w:val="000000"/>
        </w:rPr>
        <w:t>5 was considered stable vision; a decrease of 5–14 was considered a worsening of vision; and a decrease of ≥</w:t>
      </w:r>
      <w:r w:rsidR="008B20AE" w:rsidRPr="008A0228">
        <w:rPr>
          <w:rFonts w:ascii="Book Antiqua" w:hAnsi="Book Antiqua" w:cs="Book Antiqua"/>
          <w:color w:val="000000"/>
          <w:lang w:eastAsia="zh-CN"/>
        </w:rPr>
        <w:t xml:space="preserve"> </w:t>
      </w:r>
      <w:r w:rsidRPr="008A0228">
        <w:rPr>
          <w:rFonts w:ascii="Book Antiqua" w:eastAsia="Book Antiqua" w:hAnsi="Book Antiqua" w:cs="Book Antiqua"/>
          <w:color w:val="000000"/>
        </w:rPr>
        <w:t>15 was considered a substantial worsening of vision</w:t>
      </w:r>
      <w:r w:rsidRPr="008A0228">
        <w:rPr>
          <w:rFonts w:ascii="Book Antiqua" w:eastAsia="Book Antiqua" w:hAnsi="Book Antiqua" w:cs="Book Antiqua"/>
          <w:color w:val="000000"/>
          <w:vertAlign w:val="superscript"/>
        </w:rPr>
        <w:t>[</w:t>
      </w:r>
      <w:hyperlink w:anchor="_ENREF_25" w:tooltip="Holz, 2011 #27" w:history="1">
        <w:r w:rsidRPr="008A0228">
          <w:rPr>
            <w:rFonts w:ascii="Book Antiqua" w:eastAsia="Book Antiqua" w:hAnsi="Book Antiqua" w:cs="Book Antiqua"/>
            <w:color w:val="000000"/>
            <w:vertAlign w:val="superscript"/>
          </w:rPr>
          <w:t>25</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w:t>
      </w:r>
    </w:p>
    <w:p w14:paraId="0FD5AA7B" w14:textId="77777777" w:rsidR="00A77B3E" w:rsidRPr="008A0228" w:rsidRDefault="00A77B3E" w:rsidP="008A0228">
      <w:pPr>
        <w:spacing w:line="360" w:lineRule="auto"/>
        <w:ind w:firstLine="480"/>
        <w:jc w:val="both"/>
        <w:rPr>
          <w:rFonts w:ascii="Book Antiqua" w:hAnsi="Book Antiqua"/>
        </w:rPr>
      </w:pPr>
    </w:p>
    <w:p w14:paraId="12F9E151"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Statistical analysis</w:t>
      </w:r>
    </w:p>
    <w:p w14:paraId="17458F7C" w14:textId="555EB10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SPSS</w:t>
      </w:r>
      <w:r w:rsidR="000743A5" w:rsidRPr="008A0228">
        <w:rPr>
          <w:rFonts w:ascii="Book Antiqua" w:eastAsia="Book Antiqua" w:hAnsi="Book Antiqua" w:cs="Book Antiqua"/>
          <w:color w:val="000000"/>
        </w:rPr>
        <w:t xml:space="preserve"> 23.0 (IBM Corp., Armonk, NY, U</w:t>
      </w:r>
      <w:r w:rsidR="000743A5" w:rsidRPr="008A0228">
        <w:rPr>
          <w:rFonts w:ascii="Book Antiqua" w:hAnsi="Book Antiqua" w:cs="Book Antiqua"/>
          <w:color w:val="000000"/>
          <w:lang w:eastAsia="zh-CN"/>
        </w:rPr>
        <w:t>nited States</w:t>
      </w:r>
      <w:r w:rsidRPr="008A0228">
        <w:rPr>
          <w:rFonts w:ascii="Book Antiqua" w:eastAsia="Book Antiqua" w:hAnsi="Book Antiqua" w:cs="Book Antiqua"/>
          <w:color w:val="000000"/>
        </w:rPr>
        <w:t xml:space="preserve">) was used for the statistical analyses. Measurement data are expressed as mean ± </w:t>
      </w:r>
      <w:r w:rsidR="00243CDB" w:rsidRPr="008A0228">
        <w:rPr>
          <w:rFonts w:ascii="Book Antiqua" w:eastAsia="Book Antiqua" w:hAnsi="Book Antiqua" w:cs="Book Antiqua"/>
          <w:color w:val="000000"/>
        </w:rPr>
        <w:t xml:space="preserve">standard deviation </w:t>
      </w:r>
      <w:r w:rsidRPr="008A0228">
        <w:rPr>
          <w:rFonts w:ascii="Book Antiqua" w:eastAsia="Book Antiqua" w:hAnsi="Book Antiqua" w:cs="Book Antiqua"/>
          <w:color w:val="000000"/>
        </w:rPr>
        <w:t xml:space="preserve">values. BCVA was compared between time points using repeated-measures analysis of variance and Fisher’s </w:t>
      </w:r>
      <w:bookmarkStart w:id="39" w:name="OLE_LINK43"/>
      <w:r w:rsidRPr="008A0228">
        <w:rPr>
          <w:rFonts w:ascii="Book Antiqua" w:eastAsia="Book Antiqua" w:hAnsi="Book Antiqua" w:cs="Book Antiqua"/>
          <w:color w:val="000000"/>
        </w:rPr>
        <w:t>LSD post-hoc test</w:t>
      </w:r>
      <w:bookmarkEnd w:id="39"/>
      <w:r w:rsidRPr="008A0228">
        <w:rPr>
          <w:rFonts w:ascii="Book Antiqua" w:eastAsia="Book Antiqua" w:hAnsi="Book Antiqua" w:cs="Book Antiqua"/>
          <w:color w:val="000000"/>
        </w:rPr>
        <w:t xml:space="preserve">. </w:t>
      </w:r>
      <w:r w:rsidRPr="008A0228">
        <w:rPr>
          <w:rFonts w:ascii="Book Antiqua" w:eastAsia="Book Antiqua" w:hAnsi="Book Antiqua" w:cs="Book Antiqua"/>
          <w:i/>
          <w:iCs/>
          <w:color w:val="000000"/>
        </w:rPr>
        <w:t>P</w:t>
      </w:r>
      <w:r w:rsidRPr="008A0228">
        <w:rPr>
          <w:rFonts w:ascii="Book Antiqua" w:eastAsia="Book Antiqua" w:hAnsi="Book Antiqua" w:cs="Book Antiqua"/>
          <w:color w:val="000000"/>
        </w:rPr>
        <w:t xml:space="preserve"> &lt; 0.05 was considered statistically significant.</w:t>
      </w:r>
    </w:p>
    <w:p w14:paraId="629E3E38" w14:textId="77777777" w:rsidR="00A77B3E" w:rsidRPr="008A0228" w:rsidRDefault="00A77B3E" w:rsidP="008A0228">
      <w:pPr>
        <w:spacing w:line="360" w:lineRule="auto"/>
        <w:ind w:firstLine="480"/>
        <w:jc w:val="both"/>
        <w:rPr>
          <w:rFonts w:ascii="Book Antiqua" w:hAnsi="Book Antiqua"/>
        </w:rPr>
      </w:pPr>
    </w:p>
    <w:p w14:paraId="6BC5D0B2"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RESULTS</w:t>
      </w:r>
    </w:p>
    <w:p w14:paraId="1EE41B27"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Clinical characteristics of the study participants</w:t>
      </w:r>
    </w:p>
    <w:p w14:paraId="2FF25C98" w14:textId="1DAE6278"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 study included </w:t>
      </w:r>
      <w:r w:rsidR="00243CDB" w:rsidRPr="008A0228">
        <w:rPr>
          <w:rFonts w:ascii="Book Antiqua" w:eastAsia="Book Antiqua" w:hAnsi="Book Antiqua" w:cs="Book Antiqua"/>
          <w:color w:val="000000"/>
        </w:rPr>
        <w:t>eight</w:t>
      </w:r>
      <w:r w:rsidRPr="008A0228">
        <w:rPr>
          <w:rFonts w:ascii="Book Antiqua" w:eastAsia="Book Antiqua" w:hAnsi="Book Antiqua" w:cs="Book Antiqua"/>
          <w:color w:val="000000"/>
        </w:rPr>
        <w:t xml:space="preserve"> eyes of 8 patients (7 men, 87.5%) aged 36.10 ± 6.65 years (range, 27</w:t>
      </w:r>
      <w:r w:rsidR="00E05570"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51 years). The clinical characteristics of the study participants are summarized in Table 1. The average BCVA of the affected eye before treatment was 51.17 ± 15.15 </w:t>
      </w:r>
      <w:r w:rsidR="00E20688" w:rsidRPr="008A0228">
        <w:rPr>
          <w:rFonts w:ascii="Book Antiqua" w:eastAsia="Book Antiqua" w:hAnsi="Book Antiqua" w:cs="Book Antiqua"/>
          <w:color w:val="000000"/>
        </w:rPr>
        <w:t xml:space="preserve">letters </w:t>
      </w:r>
      <w:r w:rsidRPr="008A0228">
        <w:rPr>
          <w:rFonts w:ascii="Book Antiqua" w:eastAsia="Book Antiqua" w:hAnsi="Book Antiqua" w:cs="Book Antiqua"/>
          <w:color w:val="000000"/>
        </w:rPr>
        <w:t>(range, 28</w:t>
      </w:r>
      <w:r w:rsidR="00E05570"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70 </w:t>
      </w:r>
      <w:r w:rsidR="00E20688" w:rsidRPr="008A0228">
        <w:rPr>
          <w:rFonts w:ascii="Book Antiqua" w:eastAsia="Book Antiqua" w:hAnsi="Book Antiqua" w:cs="Book Antiqua"/>
          <w:color w:val="000000"/>
        </w:rPr>
        <w:t>letters</w:t>
      </w:r>
      <w:r w:rsidRPr="008A0228">
        <w:rPr>
          <w:rFonts w:ascii="Book Antiqua" w:eastAsia="Book Antiqua" w:hAnsi="Book Antiqua" w:cs="Book Antiqua"/>
          <w:color w:val="000000"/>
        </w:rPr>
        <w:t xml:space="preserve">), and the average </w:t>
      </w:r>
      <w:r w:rsidR="00243CDB" w:rsidRPr="008A0228">
        <w:rPr>
          <w:rFonts w:ascii="Book Antiqua" w:eastAsia="Book Antiqua" w:hAnsi="Book Antiqua" w:cs="Book Antiqua"/>
          <w:color w:val="000000"/>
        </w:rPr>
        <w:t>central macular thickness</w:t>
      </w:r>
      <w:r w:rsidRPr="008A0228">
        <w:rPr>
          <w:rFonts w:ascii="Book Antiqua" w:eastAsia="Book Antiqua" w:hAnsi="Book Antiqua" w:cs="Book Antiqua"/>
          <w:color w:val="000000"/>
        </w:rPr>
        <w:t xml:space="preserve"> was 303.30 ± 107.87 µm (range, 221–673 µm). Intraocular pressure was normal in all affected eyes. The average number of injections in the affected eyes was 1.37 ± 0.92: </w:t>
      </w:r>
      <w:r w:rsidR="00844417" w:rsidRPr="008A0228">
        <w:rPr>
          <w:rFonts w:ascii="Book Antiqua" w:eastAsia="Book Antiqua" w:hAnsi="Book Antiqua" w:cs="Book Antiqua"/>
          <w:color w:val="000000"/>
        </w:rPr>
        <w:t>four</w:t>
      </w:r>
      <w:r w:rsidRPr="008A0228">
        <w:rPr>
          <w:rFonts w:ascii="Book Antiqua" w:eastAsia="Book Antiqua" w:hAnsi="Book Antiqua" w:cs="Book Antiqua"/>
          <w:color w:val="000000"/>
        </w:rPr>
        <w:t xml:space="preserve"> eyes were injected once, </w:t>
      </w:r>
      <w:r w:rsidR="00844417" w:rsidRPr="008A0228">
        <w:rPr>
          <w:rFonts w:ascii="Book Antiqua" w:eastAsia="Book Antiqua" w:hAnsi="Book Antiqua" w:cs="Book Antiqua"/>
          <w:color w:val="000000"/>
        </w:rPr>
        <w:t>three</w:t>
      </w:r>
      <w:r w:rsidRPr="008A0228">
        <w:rPr>
          <w:rFonts w:ascii="Book Antiqua" w:eastAsia="Book Antiqua" w:hAnsi="Book Antiqua" w:cs="Book Antiqua"/>
          <w:color w:val="000000"/>
        </w:rPr>
        <w:t xml:space="preserve"> eyes were injected twice, and </w:t>
      </w:r>
      <w:r w:rsidR="00844417" w:rsidRPr="008A0228">
        <w:rPr>
          <w:rFonts w:ascii="Book Antiqua" w:eastAsia="Book Antiqua" w:hAnsi="Book Antiqua" w:cs="Book Antiqua"/>
          <w:color w:val="000000"/>
        </w:rPr>
        <w:t>one</w:t>
      </w:r>
      <w:r w:rsidRPr="008A0228">
        <w:rPr>
          <w:rFonts w:ascii="Book Antiqua" w:eastAsia="Book Antiqua" w:hAnsi="Book Antiqua" w:cs="Book Antiqua"/>
          <w:color w:val="000000"/>
        </w:rPr>
        <w:t xml:space="preserve"> eye was injected thrice. The average follow-up duration was 37.33 ± 2.26 mo (range, 34–39 mo).</w:t>
      </w:r>
      <w:r w:rsidRPr="008A0228">
        <w:rPr>
          <w:rFonts w:ascii="Book Antiqua" w:eastAsia="Book Antiqua" w:hAnsi="Book Antiqua" w:cs="Book Antiqua"/>
          <w:b/>
          <w:bCs/>
          <w:color w:val="000000"/>
        </w:rPr>
        <w:t xml:space="preserve"> </w:t>
      </w:r>
    </w:p>
    <w:p w14:paraId="7FD6FA3F" w14:textId="77777777" w:rsidR="00A77B3E" w:rsidRPr="008A0228" w:rsidRDefault="00A77B3E" w:rsidP="008A0228">
      <w:pPr>
        <w:spacing w:line="360" w:lineRule="auto"/>
        <w:ind w:firstLine="480"/>
        <w:jc w:val="both"/>
        <w:rPr>
          <w:rFonts w:ascii="Book Antiqua" w:hAnsi="Book Antiqua"/>
        </w:rPr>
      </w:pPr>
    </w:p>
    <w:p w14:paraId="754B4A94"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Comparison of BCVA before and after treatment</w:t>
      </w:r>
    </w:p>
    <w:p w14:paraId="64790E2B" w14:textId="7F0F6B9F"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There was a substantial improvement in vision in </w:t>
      </w:r>
      <w:r w:rsidR="00844417" w:rsidRPr="008A0228">
        <w:rPr>
          <w:rFonts w:ascii="Book Antiqua" w:eastAsia="Book Antiqua" w:hAnsi="Book Antiqua" w:cs="Book Antiqua"/>
          <w:color w:val="000000"/>
        </w:rPr>
        <w:t>four</w:t>
      </w:r>
      <w:r w:rsidRPr="008A0228">
        <w:rPr>
          <w:rFonts w:ascii="Book Antiqua" w:eastAsia="Book Antiqua" w:hAnsi="Book Antiqua" w:cs="Book Antiqua"/>
          <w:color w:val="000000"/>
        </w:rPr>
        <w:t xml:space="preserve"> eyes (50.0%), an improvement in vision in </w:t>
      </w:r>
      <w:r w:rsidR="00844417" w:rsidRPr="008A0228">
        <w:rPr>
          <w:rFonts w:ascii="Book Antiqua" w:eastAsia="Book Antiqua" w:hAnsi="Book Antiqua" w:cs="Book Antiqua"/>
          <w:color w:val="000000"/>
        </w:rPr>
        <w:t>three</w:t>
      </w:r>
      <w:r w:rsidRPr="008A0228">
        <w:rPr>
          <w:rFonts w:ascii="Book Antiqua" w:eastAsia="Book Antiqua" w:hAnsi="Book Antiqua" w:cs="Book Antiqua"/>
          <w:color w:val="000000"/>
        </w:rPr>
        <w:t xml:space="preserve"> eyes (37.5%) and stable vision in </w:t>
      </w:r>
      <w:r w:rsidR="00844417" w:rsidRPr="008A0228">
        <w:rPr>
          <w:rFonts w:ascii="Book Antiqua" w:eastAsia="Book Antiqua" w:hAnsi="Book Antiqua" w:cs="Book Antiqua"/>
          <w:color w:val="000000"/>
        </w:rPr>
        <w:t>one</w:t>
      </w:r>
      <w:r w:rsidRPr="008A0228">
        <w:rPr>
          <w:rFonts w:ascii="Book Antiqua" w:eastAsia="Book Antiqua" w:hAnsi="Book Antiqua" w:cs="Book Antiqua"/>
          <w:color w:val="000000"/>
        </w:rPr>
        <w:t xml:space="preserve"> eye (12.5%). Table 2 presents the BCVA before treatment and at 1 wk, 1 mo, 3 mo, 6 mo, 9 mo, 1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 2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and 3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after treatment. There was a significant upward trend in the BCVA (</w:t>
      </w:r>
      <w:r w:rsidRPr="008A0228">
        <w:rPr>
          <w:rFonts w:ascii="Book Antiqua" w:eastAsia="Book Antiqua" w:hAnsi="Book Antiqua" w:cs="Book Antiqua"/>
          <w:i/>
          <w:iCs/>
          <w:color w:val="000000"/>
        </w:rPr>
        <w:t>P</w:t>
      </w:r>
      <w:r w:rsidRPr="008A0228">
        <w:rPr>
          <w:rFonts w:ascii="Book Antiqua" w:eastAsia="Book Antiqua" w:hAnsi="Book Antiqua" w:cs="Book Antiqua"/>
          <w:color w:val="000000"/>
        </w:rPr>
        <w:t>-trend</w:t>
      </w:r>
      <w:r w:rsidRPr="008A0228">
        <w:rPr>
          <w:rFonts w:ascii="Book Antiqua" w:eastAsia="Book Antiqua" w:hAnsi="Book Antiqua" w:cs="Book Antiqua"/>
          <w:color w:val="000000"/>
          <w:vertAlign w:val="subscript"/>
        </w:rPr>
        <w:t>linear</w:t>
      </w:r>
      <w:r w:rsidRPr="008A0228">
        <w:rPr>
          <w:rFonts w:ascii="Book Antiqua" w:eastAsia="Book Antiqua" w:hAnsi="Book Antiqua" w:cs="Book Antiqua"/>
          <w:color w:val="000000"/>
        </w:rPr>
        <w:t xml:space="preserve"> &lt; 0.001). Compared to the pretreatment value, the average BCVA at 1 wk, 1 mo, 3 mo, 6 mo, 9 mo, 1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 2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and 3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 xml:space="preserve">rs after treatment increased by 13.50 ± 3.20, 16.25 ± 7.73, 18.25 ± 8.96, 18.03 ± 5.27, 18.63 ± 3.35, 19.75 ± 6.96, 18.05 ± 5.36 and 17.88 ± 3.45 </w:t>
      </w:r>
      <w:r w:rsidR="00844417" w:rsidRPr="008A0228">
        <w:rPr>
          <w:rFonts w:ascii="Book Antiqua" w:eastAsia="Book Antiqua" w:hAnsi="Book Antiqua" w:cs="Book Antiqua"/>
          <w:color w:val="000000"/>
        </w:rPr>
        <w:t>l</w:t>
      </w:r>
      <w:r w:rsidRPr="008A0228">
        <w:rPr>
          <w:rFonts w:ascii="Book Antiqua" w:eastAsia="Book Antiqua" w:hAnsi="Book Antiqua" w:cs="Book Antiqua"/>
          <w:color w:val="000000"/>
        </w:rPr>
        <w:t>etters, respectively (</w:t>
      </w:r>
      <w:r w:rsidRPr="008A0228">
        <w:rPr>
          <w:rFonts w:ascii="Book Antiqua" w:eastAsia="Book Antiqua" w:hAnsi="Book Antiqua" w:cs="Book Antiqua"/>
          <w:i/>
          <w:iCs/>
          <w:color w:val="000000"/>
        </w:rPr>
        <w:t>P</w:t>
      </w:r>
      <w:r w:rsidRPr="008A0228">
        <w:rPr>
          <w:rFonts w:ascii="Book Antiqua" w:eastAsia="Book Antiqua" w:hAnsi="Book Antiqua" w:cs="Book Antiqua"/>
          <w:color w:val="000000"/>
        </w:rPr>
        <w:t xml:space="preserve"> &lt; 0.01 for all pairwise comparisons; Figure 1). The number of letters by which the average BCVA increased at 1 mo after the treatment showed no significant difference compared to that at 3 mo, 12 mo and 24 mo post-treatment and at the final follow-up (</w:t>
      </w:r>
      <w:r w:rsidRPr="008A0228">
        <w:rPr>
          <w:rFonts w:ascii="Book Antiqua" w:eastAsia="Book Antiqua" w:hAnsi="Book Antiqua" w:cs="Book Antiqua"/>
          <w:i/>
          <w:color w:val="000000"/>
        </w:rPr>
        <w:t>P</w:t>
      </w:r>
      <w:r w:rsidRPr="008A0228">
        <w:rPr>
          <w:rFonts w:ascii="Book Antiqua" w:eastAsia="Book Antiqua" w:hAnsi="Book Antiqua" w:cs="Book Antiqua"/>
          <w:color w:val="000000"/>
        </w:rPr>
        <w:t xml:space="preserve"> &gt; 0.05), suggesting that </w:t>
      </w:r>
      <w:r w:rsidR="002A716D">
        <w:rPr>
          <w:rFonts w:ascii="Book Antiqua" w:eastAsia="Book Antiqua" w:hAnsi="Book Antiqua" w:cs="Book Antiqua"/>
          <w:color w:val="000000"/>
        </w:rPr>
        <w:t xml:space="preserve">1 mo </w:t>
      </w:r>
      <w:r w:rsidRPr="008A0228">
        <w:rPr>
          <w:rFonts w:ascii="Book Antiqua" w:eastAsia="Book Antiqua" w:hAnsi="Book Antiqua" w:cs="Book Antiqua"/>
          <w:color w:val="000000"/>
        </w:rPr>
        <w:t xml:space="preserve">after treatment was the critical period for recovery of visual acuity. </w:t>
      </w:r>
    </w:p>
    <w:p w14:paraId="132171F3" w14:textId="77777777" w:rsidR="00A77B3E" w:rsidRPr="008A0228" w:rsidRDefault="00A77B3E" w:rsidP="008A0228">
      <w:pPr>
        <w:spacing w:line="360" w:lineRule="auto"/>
        <w:ind w:firstLine="480"/>
        <w:jc w:val="both"/>
        <w:rPr>
          <w:rFonts w:ascii="Book Antiqua" w:hAnsi="Book Antiqua"/>
        </w:rPr>
      </w:pPr>
    </w:p>
    <w:p w14:paraId="051D2117"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Comparison of subretinal edema before and after treatment</w:t>
      </w:r>
    </w:p>
    <w:p w14:paraId="498B3078" w14:textId="12170F9B"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Only one of the patients in this study had macular lesions and developed macular edema. The </w:t>
      </w:r>
      <w:r w:rsidR="00243CDB" w:rsidRPr="008A0228">
        <w:rPr>
          <w:rFonts w:ascii="Book Antiqua" w:eastAsia="Book Antiqua" w:hAnsi="Book Antiqua" w:cs="Book Antiqua"/>
          <w:color w:val="000000"/>
        </w:rPr>
        <w:t>central macular thickness</w:t>
      </w:r>
      <w:r w:rsidRPr="008A0228">
        <w:rPr>
          <w:rFonts w:ascii="Book Antiqua" w:eastAsia="Book Antiqua" w:hAnsi="Book Antiqua" w:cs="Book Antiqua"/>
          <w:color w:val="000000"/>
        </w:rPr>
        <w:t xml:space="preserve"> in this patient was 673 µm before treatment but decreased to 587 µm, 372 µm, 322 µm, 267 µm, 221 µm and 208 µm at 1 wk, 1 mo, 3 mo, 1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 2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and 3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after treatment, respectively. Macular edema was substantially improved at the final follow-up. In the other patients, treatment led to varying degrees of subretinal fluid resorption and a decrease in retinal thickness (a representative case is shown in Figure 2).</w:t>
      </w:r>
    </w:p>
    <w:p w14:paraId="7BCF3F83" w14:textId="77777777" w:rsidR="00A77B3E" w:rsidRPr="008A0228" w:rsidRDefault="00A77B3E" w:rsidP="008A0228">
      <w:pPr>
        <w:spacing w:line="360" w:lineRule="auto"/>
        <w:ind w:firstLine="480"/>
        <w:jc w:val="both"/>
        <w:rPr>
          <w:rFonts w:ascii="Book Antiqua" w:hAnsi="Book Antiqua"/>
        </w:rPr>
      </w:pPr>
    </w:p>
    <w:p w14:paraId="58C46F36"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Complications</w:t>
      </w:r>
    </w:p>
    <w:p w14:paraId="02EB56BE" w14:textId="19BE7A56"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No patients had serious complications such as increased intraocular pressure, development/progression of cataracts, endophthalmitis </w:t>
      </w:r>
      <w:r w:rsidR="00F63C11" w:rsidRPr="008A0228">
        <w:rPr>
          <w:rFonts w:ascii="Book Antiqua" w:eastAsia="Book Antiqua" w:hAnsi="Book Antiqua" w:cs="Book Antiqua"/>
          <w:color w:val="000000"/>
        </w:rPr>
        <w:t xml:space="preserve">or </w:t>
      </w:r>
      <w:r w:rsidRPr="008A0228">
        <w:rPr>
          <w:rFonts w:ascii="Book Antiqua" w:eastAsia="Book Antiqua" w:hAnsi="Book Antiqua" w:cs="Book Antiqua"/>
          <w:color w:val="000000"/>
        </w:rPr>
        <w:t>retinal detachment.</w:t>
      </w:r>
    </w:p>
    <w:p w14:paraId="196B6E9F" w14:textId="77777777" w:rsidR="00A77B3E" w:rsidRPr="008A0228" w:rsidRDefault="00A77B3E" w:rsidP="008A0228">
      <w:pPr>
        <w:spacing w:line="360" w:lineRule="auto"/>
        <w:ind w:firstLine="480"/>
        <w:jc w:val="both"/>
        <w:rPr>
          <w:rFonts w:ascii="Book Antiqua" w:hAnsi="Book Antiqua"/>
        </w:rPr>
      </w:pPr>
    </w:p>
    <w:p w14:paraId="497F9B10"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DISCUSSION</w:t>
      </w:r>
    </w:p>
    <w:p w14:paraId="3F6C825D" w14:textId="7F247525"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An important finding of this study was that adult patients with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exhibited significant improvements in BCVA that were maintained for at least 3 years after treatment with intravitreal injection of conbercept and laser photocoagulation. Furthermore, the treatment resulted in the resorption of subretinal fluid. Notably, no patients had serious complications such as increased intraocular pressure, development/progression of cataracts, endophthalmitis or retinal detachment. Our findings suggest that intravitreal injection of conbercept combined with 532-nm laser photocoagulation may be a feasible treatment for</w:t>
      </w:r>
      <w:r w:rsidR="00E20B1B" w:rsidRPr="008A0228">
        <w:rPr>
          <w:rFonts w:ascii="Book Antiqua" w:eastAsia="Book Antiqua" w:hAnsi="Book Antiqua" w:cs="Book Antiqua"/>
          <w:color w:val="000000"/>
        </w:rPr>
        <w:t xml:space="preserve"> </w:t>
      </w:r>
      <w:r w:rsidR="00F57732" w:rsidRPr="008A0228">
        <w:rPr>
          <w:rFonts w:ascii="Book Antiqua" w:eastAsia="Book Antiqua" w:hAnsi="Book Antiqua" w:cs="Book Antiqua"/>
          <w:color w:val="000000"/>
        </w:rPr>
        <w:t>Coats</w:t>
      </w:r>
      <w:r w:rsidR="00E20B1B"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 adult patients.</w:t>
      </w:r>
    </w:p>
    <w:p w14:paraId="40D2038D" w14:textId="6791129F" w:rsidR="00A77B3E" w:rsidRPr="008A0228" w:rsidRDefault="00F57732"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is more common in men and is usually monocular</w:t>
      </w:r>
      <w:r w:rsidR="00C66558" w:rsidRPr="008A0228">
        <w:rPr>
          <w:rFonts w:ascii="Book Antiqua" w:eastAsia="Book Antiqua" w:hAnsi="Book Antiqua" w:cs="Book Antiqua"/>
          <w:color w:val="000000"/>
        </w:rPr>
        <w:t>. The average age of onset is 8</w:t>
      </w:r>
      <w:r w:rsidR="00C66558" w:rsidRPr="008A0228">
        <w:rPr>
          <w:rFonts w:ascii="Book Antiqua" w:hAnsi="Book Antiqua" w:cs="Book Antiqua"/>
          <w:color w:val="000000"/>
          <w:lang w:eastAsia="zh-CN"/>
        </w:rPr>
        <w:t>-</w:t>
      </w:r>
      <w:r w:rsidR="003C42F5" w:rsidRPr="008A0228">
        <w:rPr>
          <w:rFonts w:ascii="Book Antiqua" w:eastAsia="Book Antiqua" w:hAnsi="Book Antiqua" w:cs="Book Antiqua"/>
          <w:color w:val="000000"/>
        </w:rPr>
        <w:t>16 years</w:t>
      </w:r>
      <w:r w:rsidR="003C42F5" w:rsidRPr="008A0228">
        <w:rPr>
          <w:rFonts w:ascii="Book Antiqua" w:eastAsia="Book Antiqua" w:hAnsi="Book Antiqua" w:cs="Book Antiqua"/>
          <w:color w:val="000000"/>
          <w:vertAlign w:val="superscript"/>
        </w:rPr>
        <w:t>[</w:t>
      </w:r>
      <w:hyperlink w:anchor="_ENREF_26" w:tooltip="Wang, 2011 #28" w:history="1">
        <w:r w:rsidR="003C42F5" w:rsidRPr="008A0228">
          <w:rPr>
            <w:rFonts w:ascii="Book Antiqua" w:eastAsia="Book Antiqua" w:hAnsi="Book Antiqua" w:cs="Book Antiqua"/>
            <w:color w:val="000000"/>
            <w:vertAlign w:val="superscript"/>
          </w:rPr>
          <w:t>26</w:t>
        </w:r>
      </w:hyperlink>
      <w:r w:rsidR="003C42F5" w:rsidRPr="008A0228">
        <w:rPr>
          <w:rFonts w:ascii="Book Antiqua" w:eastAsia="Book Antiqua" w:hAnsi="Book Antiqua" w:cs="Book Antiqua"/>
          <w:color w:val="000000"/>
          <w:vertAlign w:val="superscript"/>
        </w:rPr>
        <w:t>]</w:t>
      </w:r>
      <w:r w:rsidR="003C42F5" w:rsidRPr="008A0228">
        <w:rPr>
          <w:rFonts w:ascii="Book Antiqua" w:eastAsia="Book Antiqua" w:hAnsi="Book Antiqua" w:cs="Book Antiqua"/>
          <w:color w:val="000000"/>
        </w:rPr>
        <w:t xml:space="preserve">; hence, </w:t>
      </w:r>
      <w:r w:rsidRPr="008A0228">
        <w:rPr>
          <w:rFonts w:ascii="Book Antiqua" w:eastAsia="Book Antiqua" w:hAnsi="Book Antiqua" w:cs="Book Antiqua"/>
          <w:color w:val="000000"/>
        </w:rPr>
        <w:t>Coats</w:t>
      </w:r>
      <w:r w:rsidR="005F2CA7" w:rsidRPr="008A0228">
        <w:rPr>
          <w:rFonts w:ascii="Book Antiqua" w:eastAsia="Book Antiqua" w:hAnsi="Book Antiqua" w:cs="Book Antiqua"/>
          <w:color w:val="000000"/>
        </w:rPr>
        <w:t xml:space="preserve"> dis</w:t>
      </w:r>
      <w:r w:rsidR="003C42F5" w:rsidRPr="008A0228">
        <w:rPr>
          <w:rFonts w:ascii="Book Antiqua" w:eastAsia="Book Antiqua" w:hAnsi="Book Antiqua" w:cs="Book Antiqua"/>
          <w:color w:val="000000"/>
        </w:rPr>
        <w:t xml:space="preserve">ease is rarely diagnosed in adults. It can be challenging to distinguish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from other ocular diseases such as exudative age-related macular degeneration, diabetic retinopathy and retinal vasculitis. We observed tha</w:t>
      </w:r>
      <w:r w:rsidR="005F2CA7" w:rsidRPr="008A0228">
        <w:rPr>
          <w:rFonts w:ascii="Book Antiqua" w:eastAsia="Book Antiqua" w:hAnsi="Book Antiqua" w:cs="Book Antiqua"/>
          <w:color w:val="000000"/>
        </w:rPr>
        <w:t xml:space="preserve">t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in adulthood has similar fundal manifestations to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of childhood onset, although FFA showed that the abnormal expansion of the retinal capillaries was limited and mostly confined to the temporal retina. Only one patient in this study had an affected macula, which resulted in local superficial retinal detachment. Our observations are similar to those reported previously</w:t>
      </w:r>
      <w:r w:rsidR="003C42F5" w:rsidRPr="008A0228">
        <w:rPr>
          <w:rFonts w:ascii="Book Antiqua" w:eastAsia="Book Antiqua" w:hAnsi="Book Antiqua" w:cs="Book Antiqua"/>
          <w:color w:val="000000"/>
          <w:vertAlign w:val="superscript"/>
        </w:rPr>
        <w:t>[</w:t>
      </w:r>
      <w:hyperlink w:anchor="_ENREF_27" w:tooltip="Zhang C,  2008 #29" w:history="1">
        <w:r w:rsidR="003C42F5" w:rsidRPr="008A0228">
          <w:rPr>
            <w:rFonts w:ascii="Book Antiqua" w:eastAsia="Book Antiqua" w:hAnsi="Book Antiqua" w:cs="Book Antiqua"/>
            <w:color w:val="000000"/>
            <w:vertAlign w:val="superscript"/>
          </w:rPr>
          <w:t>27</w:t>
        </w:r>
      </w:hyperlink>
      <w:r w:rsidR="003C42F5" w:rsidRPr="008A0228">
        <w:rPr>
          <w:rFonts w:ascii="Book Antiqua" w:eastAsia="Book Antiqua" w:hAnsi="Book Antiqua" w:cs="Book Antiqua"/>
          <w:color w:val="000000"/>
          <w:vertAlign w:val="superscript"/>
        </w:rPr>
        <w:t>]</w:t>
      </w:r>
      <w:r w:rsidR="003C42F5" w:rsidRPr="008A0228">
        <w:rPr>
          <w:rFonts w:ascii="Book Antiqua" w:eastAsia="Book Antiqua" w:hAnsi="Book Antiqua" w:cs="Book Antiqua"/>
          <w:color w:val="000000"/>
        </w:rPr>
        <w:t xml:space="preserve">, suggesting that adult patients with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have a limited disease type with slow progression, mild macular damage and a good visual prognosis. Otani </w:t>
      </w:r>
      <w:r w:rsidR="003C42F5" w:rsidRPr="008A0228">
        <w:rPr>
          <w:rFonts w:ascii="Book Antiqua" w:eastAsia="Book Antiqua" w:hAnsi="Book Antiqua" w:cs="Book Antiqua"/>
          <w:i/>
          <w:iCs/>
          <w:color w:val="000000"/>
        </w:rPr>
        <w:t>et al</w:t>
      </w:r>
      <w:r w:rsidR="003C42F5" w:rsidRPr="008A0228">
        <w:rPr>
          <w:rFonts w:ascii="Book Antiqua" w:eastAsia="Book Antiqua" w:hAnsi="Book Antiqua" w:cs="Book Antiqua"/>
          <w:color w:val="000000"/>
          <w:vertAlign w:val="superscript"/>
        </w:rPr>
        <w:t>[</w:t>
      </w:r>
      <w:hyperlink w:anchor="_ENREF_28" w:tooltip="Otani, 2011 #30" w:history="1">
        <w:r w:rsidR="003C42F5" w:rsidRPr="008A0228">
          <w:rPr>
            <w:rFonts w:ascii="Book Antiqua" w:eastAsia="Book Antiqua" w:hAnsi="Book Antiqua" w:cs="Book Antiqua"/>
            <w:color w:val="000000"/>
            <w:vertAlign w:val="superscript"/>
          </w:rPr>
          <w:t>28</w:t>
        </w:r>
      </w:hyperlink>
      <w:r w:rsidR="003C42F5" w:rsidRPr="008A0228">
        <w:rPr>
          <w:rFonts w:ascii="Book Antiqua" w:eastAsia="Book Antiqua" w:hAnsi="Book Antiqua" w:cs="Book Antiqua"/>
          <w:color w:val="000000"/>
          <w:vertAlign w:val="superscript"/>
        </w:rPr>
        <w:t>]</w:t>
      </w:r>
      <w:r w:rsidR="003C42F5" w:rsidRPr="008A0228">
        <w:rPr>
          <w:rFonts w:ascii="Book Antiqua" w:eastAsia="Book Antiqua" w:hAnsi="Book Antiqua" w:cs="Book Antiqua"/>
          <w:color w:val="000000"/>
        </w:rPr>
        <w:t xml:space="preserve"> followed two adult patients with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w:t>
      </w:r>
      <w:r w:rsidR="00371595" w:rsidRPr="008A0228">
        <w:rPr>
          <w:rFonts w:ascii="Book Antiqua" w:eastAsia="Book Antiqua" w:hAnsi="Book Antiqua" w:cs="Book Antiqua"/>
          <w:color w:val="000000"/>
        </w:rPr>
        <w:t xml:space="preserve">isease for more than 10 years: </w:t>
      </w:r>
      <w:r w:rsidR="008A0228">
        <w:rPr>
          <w:rFonts w:ascii="Book Antiqua" w:hAnsi="Book Antiqua" w:cs="Book Antiqua"/>
          <w:color w:val="000000"/>
          <w:lang w:eastAsia="zh-CN"/>
        </w:rPr>
        <w:t>1</w:t>
      </w:r>
      <w:r w:rsidR="003C42F5" w:rsidRPr="008A0228">
        <w:rPr>
          <w:rFonts w:ascii="Book Antiqua" w:eastAsia="Book Antiqua" w:hAnsi="Book Antiqua" w:cs="Book Antiqua"/>
          <w:color w:val="000000"/>
        </w:rPr>
        <w:t xml:space="preserve"> patient showed a reduction in subretinal exudation within 1 year after retinal laser photocoagulation and an improvement in vision that was maintained for 11 years; the other patient exhibited increased exudation at 1 mo after photocoagulation and retinal detachment at 2 mo, but these subsequently resolved to result in visual improvement that was maintained for 10 years. </w:t>
      </w:r>
    </w:p>
    <w:p w14:paraId="5B857E15" w14:textId="77777777" w:rsidR="001F5C5B" w:rsidRPr="008A0228" w:rsidRDefault="003C42F5" w:rsidP="008A0228">
      <w:pPr>
        <w:spacing w:line="360" w:lineRule="auto"/>
        <w:ind w:firstLineChars="100" w:firstLine="240"/>
        <w:jc w:val="both"/>
        <w:rPr>
          <w:rFonts w:ascii="Book Antiqua" w:eastAsia="Book Antiqua" w:hAnsi="Book Antiqua" w:cs="Book Antiqua"/>
          <w:color w:val="000000"/>
        </w:rPr>
      </w:pPr>
      <w:r w:rsidRPr="008A0228">
        <w:rPr>
          <w:rFonts w:ascii="Book Antiqua" w:eastAsia="Book Antiqua" w:hAnsi="Book Antiqua" w:cs="Book Antiqua"/>
          <w:color w:val="000000"/>
        </w:rPr>
        <w:t xml:space="preserve">There are various management strategies for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and the decision whether to use a single therapy or combination of treatments is made according to the disease stage. The pathogenesis of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involves abnormal dilatation and enhanced permeability of retinal vessels leading to vascular leakage. It is thought that VEGF may play an important role in these pathogenetic mechanisms, and several studies have reported that VEGF concentration is significantly increased in the affected eyes of patients with </w:t>
      </w:r>
      <w:r w:rsidR="00F57732" w:rsidRPr="008A0228">
        <w:rPr>
          <w:rFonts w:ascii="Book Antiqua" w:eastAsia="Book Antiqua" w:hAnsi="Book Antiqua" w:cs="Book Antiqua"/>
          <w:color w:val="000000"/>
        </w:rPr>
        <w:t>Coats</w:t>
      </w:r>
      <w:r w:rsidR="00BB590D" w:rsidRPr="008A0228">
        <w:rPr>
          <w:rFonts w:ascii="Book Antiqua" w:eastAsia="Book Antiqua" w:hAnsi="Book Antiqua" w:cs="Book Antiqua"/>
          <w:color w:val="000000"/>
        </w:rPr>
        <w:t xml:space="preserve"> dis</w:t>
      </w:r>
      <w:r w:rsidRPr="008A0228">
        <w:rPr>
          <w:rFonts w:ascii="Book Antiqua" w:eastAsia="Book Antiqua" w:hAnsi="Book Antiqua" w:cs="Book Antiqua"/>
          <w:color w:val="000000"/>
        </w:rPr>
        <w:t>ease</w:t>
      </w:r>
      <w:r w:rsidRPr="008A0228">
        <w:rPr>
          <w:rFonts w:ascii="Book Antiqua" w:eastAsia="Book Antiqua" w:hAnsi="Book Antiqua" w:cs="Book Antiqua"/>
          <w:color w:val="000000"/>
          <w:vertAlign w:val="superscript"/>
        </w:rPr>
        <w:t>[</w:t>
      </w:r>
      <w:hyperlink w:anchor="_ENREF_6" w:tooltip="Kase, 2013 #6" w:history="1">
        <w:r w:rsidRPr="008A0228">
          <w:rPr>
            <w:rFonts w:ascii="Book Antiqua" w:eastAsia="Book Antiqua" w:hAnsi="Book Antiqua" w:cs="Book Antiqua"/>
            <w:color w:val="000000"/>
            <w:vertAlign w:val="superscript"/>
          </w:rPr>
          <w:t>6-9</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Intravitreal injection of anti-VEGF drugs can reduce VEGF concentration, stabilize abnormal blood vessels and promote the resorption of subretinal effusion and exudation. Numerous clinical investigations have found that the intravitreal injection of a VEGF-binding agent (such as bevacizumab, ranibizumab or pegaptanib) can reduce exudation and edema and improve visual acuity in patients with </w:t>
      </w:r>
      <w:r w:rsidR="00F57732" w:rsidRPr="008A0228">
        <w:rPr>
          <w:rFonts w:ascii="Book Antiqua" w:eastAsia="Book Antiqua" w:hAnsi="Book Antiqua" w:cs="Book Antiqua"/>
          <w:color w:val="000000"/>
        </w:rPr>
        <w:t>Coats</w:t>
      </w:r>
      <w:r w:rsidR="00C82067"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w:t>
      </w:r>
      <w:r w:rsidRPr="008A0228">
        <w:rPr>
          <w:rFonts w:ascii="Book Antiqua" w:eastAsia="Book Antiqua" w:hAnsi="Book Antiqua" w:cs="Book Antiqua"/>
          <w:color w:val="000000"/>
          <w:vertAlign w:val="superscript"/>
        </w:rPr>
        <w:t>[</w:t>
      </w:r>
      <w:hyperlink w:anchor="_ENREF_29" w:tooltip="Sigler, 2014 #31" w:history="1">
        <w:r w:rsidRPr="008A0228">
          <w:rPr>
            <w:rFonts w:ascii="Book Antiqua" w:eastAsia="Book Antiqua" w:hAnsi="Book Antiqua" w:cs="Book Antiqua"/>
            <w:color w:val="000000"/>
            <w:vertAlign w:val="superscript"/>
          </w:rPr>
          <w:t>29-31</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However, there is no current consensus on the choice, dosage and timing of anti-VEGF drug in the treatment of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and research in this area is still in the exploratory stage. </w:t>
      </w:r>
    </w:p>
    <w:p w14:paraId="53DF02ED" w14:textId="0709BE1A" w:rsidR="00AB64A9" w:rsidRPr="008A0228" w:rsidRDefault="003C42F5" w:rsidP="008A0228">
      <w:pPr>
        <w:spacing w:line="360" w:lineRule="auto"/>
        <w:ind w:firstLineChars="100" w:firstLine="240"/>
        <w:jc w:val="both"/>
        <w:rPr>
          <w:rFonts w:ascii="Book Antiqua" w:hAnsi="Book Antiqua" w:cs="Book Antiqua"/>
          <w:color w:val="000000"/>
          <w:lang w:eastAsia="zh-CN"/>
        </w:rPr>
      </w:pPr>
      <w:r w:rsidRPr="008A0228">
        <w:rPr>
          <w:rFonts w:ascii="Book Antiqua" w:eastAsia="Book Antiqua" w:hAnsi="Book Antiqua" w:cs="Book Antiqua"/>
          <w:color w:val="000000"/>
        </w:rPr>
        <w:t xml:space="preserve">Only one previous study has described the use of conbercept in the management of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w:t>
      </w:r>
      <w:r w:rsidRPr="008A0228">
        <w:rPr>
          <w:rFonts w:ascii="Book Antiqua" w:eastAsia="Book Antiqua" w:hAnsi="Book Antiqua" w:cs="Book Antiqua"/>
          <w:color w:val="000000"/>
          <w:vertAlign w:val="superscript"/>
        </w:rPr>
        <w:t>[</w:t>
      </w:r>
      <w:hyperlink w:anchor="_ENREF_23" w:tooltip="Zhang, 2018 #25" w:history="1">
        <w:r w:rsidRPr="008A0228">
          <w:rPr>
            <w:rFonts w:ascii="Book Antiqua" w:eastAsia="Book Antiqua" w:hAnsi="Book Antiqua" w:cs="Book Antiqua"/>
            <w:color w:val="000000"/>
            <w:vertAlign w:val="superscript"/>
          </w:rPr>
          <w:t>23</w:t>
        </w:r>
      </w:hyperlink>
      <w:r w:rsidRPr="008A0228">
        <w:rPr>
          <w:rFonts w:ascii="Book Antiqua" w:eastAsia="Book Antiqua" w:hAnsi="Book Antiqua" w:cs="Book Antiqua"/>
          <w:color w:val="000000"/>
          <w:vertAlign w:val="superscript"/>
        </w:rPr>
        <w:t>]</w:t>
      </w:r>
      <w:r w:rsidR="00E35CFD" w:rsidRPr="008A0228">
        <w:rPr>
          <w:rFonts w:ascii="Book Antiqua" w:eastAsia="Book Antiqua" w:hAnsi="Book Antiqua" w:cs="Book Antiqua"/>
          <w:color w:val="000000"/>
        </w:rPr>
        <w:t xml:space="preserve">: </w:t>
      </w:r>
      <w:r w:rsidR="00E35CFD" w:rsidRPr="008A0228">
        <w:rPr>
          <w:rFonts w:ascii="Book Antiqua" w:hAnsi="Book Antiqua" w:cs="Book Antiqua"/>
          <w:color w:val="000000"/>
          <w:lang w:eastAsia="zh-CN"/>
        </w:rPr>
        <w:t>T</w:t>
      </w:r>
      <w:r w:rsidRPr="008A0228">
        <w:rPr>
          <w:rFonts w:ascii="Book Antiqua" w:eastAsia="Book Antiqua" w:hAnsi="Book Antiqua" w:cs="Book Antiqua"/>
          <w:color w:val="000000"/>
        </w:rPr>
        <w:t>he combination of intravitreal injection of conbercept with laser therapy resulted in a significant improvement in BCVA after 2 years with no serious adverse effects. The above observations are consistent with our findings, which showed a reduction in subretinal fluid and an improvement in BCVA that was sustained for 3 years without any major adverse effects.</w:t>
      </w:r>
    </w:p>
    <w:p w14:paraId="2D801B9C" w14:textId="43844A2F" w:rsidR="00A77B3E" w:rsidRPr="008A0228" w:rsidRDefault="003C42F5" w:rsidP="008A0228">
      <w:pPr>
        <w:spacing w:line="360" w:lineRule="auto"/>
        <w:ind w:firstLineChars="100" w:firstLine="240"/>
        <w:jc w:val="both"/>
        <w:rPr>
          <w:rFonts w:ascii="Book Antiqua" w:hAnsi="Book Antiqua"/>
        </w:rPr>
      </w:pPr>
      <w:bookmarkStart w:id="40" w:name="OLE_LINK39"/>
      <w:bookmarkStart w:id="41" w:name="OLE_LINK40"/>
      <w:r w:rsidRPr="008A0228">
        <w:rPr>
          <w:rFonts w:ascii="Book Antiqua" w:eastAsia="Book Antiqua" w:hAnsi="Book Antiqua" w:cs="Book Antiqua"/>
          <w:color w:val="000000"/>
        </w:rPr>
        <w:t>This study has some limitations. First, the results may be prone to information bias or selection bias due to the retrospective study design. Second, the generalizability of the findings is not known because this was a single</w:t>
      </w:r>
      <w:r w:rsidR="00EF3D25"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center study with a small sample size. Third, a comparator group was not included. Prospective randomized clinical trials are needed to confirm our findings and establish whether conbercept is a useful adjunct therapy for</w:t>
      </w:r>
      <w:r w:rsidR="00716763" w:rsidRPr="008A0228">
        <w:rPr>
          <w:rFonts w:ascii="Book Antiqua" w:eastAsia="Book Antiqua" w:hAnsi="Book Antiqua" w:cs="Book Antiqua"/>
          <w:color w:val="000000"/>
        </w:rPr>
        <w:t xml:space="preserve">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w:t>
      </w:r>
    </w:p>
    <w:bookmarkEnd w:id="40"/>
    <w:bookmarkEnd w:id="41"/>
    <w:p w14:paraId="26AFFD86" w14:textId="77777777" w:rsidR="00A77B3E" w:rsidRPr="008A0228" w:rsidRDefault="00A77B3E" w:rsidP="008A0228">
      <w:pPr>
        <w:spacing w:line="360" w:lineRule="auto"/>
        <w:ind w:firstLine="480"/>
        <w:jc w:val="both"/>
        <w:rPr>
          <w:rFonts w:ascii="Book Antiqua" w:hAnsi="Book Antiqua"/>
        </w:rPr>
      </w:pPr>
    </w:p>
    <w:p w14:paraId="489DCCF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CONCLUSION</w:t>
      </w:r>
    </w:p>
    <w:p w14:paraId="68CC8D39"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In conclusion, intravitreal injection of conbercept combined with 532-nm laser photocoagulation may be a feasible treatment for </w:t>
      </w:r>
      <w:r w:rsidR="00F57732" w:rsidRPr="008A0228">
        <w:rPr>
          <w:rFonts w:ascii="Book Antiqua" w:eastAsia="Book Antiqua" w:hAnsi="Book Antiqua" w:cs="Book Antiqua"/>
          <w:color w:val="000000"/>
        </w:rPr>
        <w:t>Coats</w:t>
      </w:r>
      <w:r w:rsidR="00AB03C4"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disease in adult patients. </w:t>
      </w:r>
    </w:p>
    <w:p w14:paraId="0A52A2B8" w14:textId="77777777" w:rsidR="00A77B3E" w:rsidRPr="008A0228" w:rsidRDefault="00A77B3E" w:rsidP="008A0228">
      <w:pPr>
        <w:spacing w:line="360" w:lineRule="auto"/>
        <w:ind w:firstLine="480"/>
        <w:jc w:val="both"/>
        <w:rPr>
          <w:rFonts w:ascii="Book Antiqua" w:hAnsi="Book Antiqua"/>
        </w:rPr>
      </w:pPr>
    </w:p>
    <w:p w14:paraId="1F392C9C"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ARTICLE HIGHLIGHTS</w:t>
      </w:r>
    </w:p>
    <w:p w14:paraId="6F712640"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background</w:t>
      </w:r>
    </w:p>
    <w:p w14:paraId="2C044E88" w14:textId="07A72A03" w:rsidR="00A77B3E" w:rsidRPr="008A0228" w:rsidRDefault="00EF3D25" w:rsidP="008A0228">
      <w:pPr>
        <w:spacing w:line="360" w:lineRule="auto"/>
        <w:jc w:val="both"/>
        <w:rPr>
          <w:rFonts w:ascii="Book Antiqua" w:hAnsi="Book Antiqua"/>
        </w:rPr>
      </w:pPr>
      <w:r w:rsidRPr="008A0228">
        <w:rPr>
          <w:rFonts w:ascii="Book Antiqua" w:eastAsia="Book Antiqua" w:hAnsi="Book Antiqua" w:cs="Book Antiqua"/>
          <w:color w:val="000000"/>
        </w:rPr>
        <w:t>Coats disease is an idiopathic exudative outer retinopathy caused by abnormal retinal vascular development</w:t>
      </w:r>
      <w:r w:rsidRPr="008A0228" w:rsidDel="00EF3D25">
        <w:rPr>
          <w:rFonts w:ascii="Book Antiqua" w:eastAsia="Book Antiqua" w:hAnsi="Book Antiqua" w:cs="Book Antiqua"/>
          <w:color w:val="000000"/>
        </w:rPr>
        <w:t xml:space="preserve"> </w:t>
      </w:r>
    </w:p>
    <w:p w14:paraId="3EE62C27" w14:textId="77777777" w:rsidR="0019741C" w:rsidRPr="008A0228" w:rsidRDefault="0019741C" w:rsidP="008A0228">
      <w:pPr>
        <w:spacing w:line="360" w:lineRule="auto"/>
        <w:jc w:val="both"/>
        <w:rPr>
          <w:rFonts w:ascii="Book Antiqua" w:eastAsia="Book Antiqua" w:hAnsi="Book Antiqua" w:cs="Book Antiqua"/>
          <w:b/>
          <w:i/>
          <w:color w:val="000000"/>
        </w:rPr>
      </w:pPr>
    </w:p>
    <w:p w14:paraId="3C458808" w14:textId="4B66B979"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motivation</w:t>
      </w:r>
    </w:p>
    <w:p w14:paraId="21DB39CA" w14:textId="56CB541C" w:rsidR="00A77B3E" w:rsidRPr="008A0228" w:rsidRDefault="0019741C"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 disorder usually affects adolescents. However, a recent study reported that 7% of cases occur in adults. </w:t>
      </w:r>
    </w:p>
    <w:p w14:paraId="59BDD3D3" w14:textId="77777777" w:rsidR="0019741C" w:rsidRPr="008A0228" w:rsidRDefault="0019741C" w:rsidP="008A0228">
      <w:pPr>
        <w:spacing w:line="360" w:lineRule="auto"/>
        <w:jc w:val="both"/>
        <w:rPr>
          <w:rFonts w:ascii="Book Antiqua" w:eastAsia="Book Antiqua" w:hAnsi="Book Antiqua" w:cs="Book Antiqua"/>
          <w:b/>
          <w:i/>
          <w:color w:val="000000"/>
        </w:rPr>
      </w:pPr>
    </w:p>
    <w:p w14:paraId="7244C0E3" w14:textId="1F389BCD"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objectives</w:t>
      </w:r>
    </w:p>
    <w:p w14:paraId="52A8C1BE"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We investigated the long-term outcomes of intravitreal conbercept injection with laser photocoagulation to treat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in adults.</w:t>
      </w:r>
    </w:p>
    <w:p w14:paraId="2F1D8AD7" w14:textId="77777777" w:rsidR="00A77B3E" w:rsidRPr="008A0228" w:rsidRDefault="00A77B3E" w:rsidP="008A0228">
      <w:pPr>
        <w:spacing w:line="360" w:lineRule="auto"/>
        <w:jc w:val="both"/>
        <w:rPr>
          <w:rFonts w:ascii="Book Antiqua" w:hAnsi="Book Antiqua"/>
        </w:rPr>
      </w:pPr>
    </w:p>
    <w:p w14:paraId="1B641467"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methods</w:t>
      </w:r>
    </w:p>
    <w:p w14:paraId="696F7308" w14:textId="51669268" w:rsidR="00A77B3E" w:rsidRPr="008A0228" w:rsidRDefault="00EF3D2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This is a retrospective case series on </w:t>
      </w:r>
      <w:r w:rsidR="008A0228">
        <w:rPr>
          <w:rFonts w:ascii="Book Antiqua" w:eastAsia="Book Antiqua" w:hAnsi="Book Antiqua" w:cs="Book Antiqua"/>
          <w:color w:val="000000"/>
        </w:rPr>
        <w:t>8</w:t>
      </w:r>
      <w:r w:rsidRPr="008A0228">
        <w:rPr>
          <w:rFonts w:ascii="Book Antiqua" w:eastAsia="Book Antiqua" w:hAnsi="Book Antiqua" w:cs="Book Antiqua"/>
          <w:color w:val="000000"/>
        </w:rPr>
        <w:t xml:space="preserve"> adult patients (eight eyes) diagnosed with Coats disease.</w:t>
      </w:r>
      <w:r w:rsidRPr="008A0228">
        <w:rPr>
          <w:rFonts w:ascii="Book Antiqua" w:hAnsi="Book Antiqua"/>
        </w:rPr>
        <w:t xml:space="preserve"> </w:t>
      </w:r>
      <w:r w:rsidR="003C42F5" w:rsidRPr="008A0228">
        <w:rPr>
          <w:rFonts w:ascii="Book Antiqua" w:eastAsia="Book Antiqua" w:hAnsi="Book Antiqua" w:cs="Book Antiqua"/>
          <w:color w:val="000000"/>
        </w:rPr>
        <w:t>Patients were treated with intravitreal conbercept injection and 532-nm laser photocoagulation.</w:t>
      </w:r>
    </w:p>
    <w:p w14:paraId="739CDBE9" w14:textId="77777777" w:rsidR="00A77B3E" w:rsidRPr="008A0228" w:rsidRDefault="00A77B3E" w:rsidP="008A0228">
      <w:pPr>
        <w:spacing w:line="360" w:lineRule="auto"/>
        <w:jc w:val="both"/>
        <w:rPr>
          <w:rFonts w:ascii="Book Antiqua" w:hAnsi="Book Antiqua"/>
        </w:rPr>
      </w:pPr>
    </w:p>
    <w:p w14:paraId="63AD69F6"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results</w:t>
      </w:r>
    </w:p>
    <w:p w14:paraId="0EC6E700" w14:textId="311294CD"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There was a significant upward trend in the </w:t>
      </w:r>
      <w:r w:rsidR="008F2543" w:rsidRPr="008A0228">
        <w:rPr>
          <w:rFonts w:ascii="Book Antiqua" w:hAnsi="Book Antiqua" w:cs="Book Antiqua"/>
          <w:color w:val="000000"/>
          <w:lang w:eastAsia="zh-CN"/>
        </w:rPr>
        <w:t>b</w:t>
      </w:r>
      <w:r w:rsidR="008F2543" w:rsidRPr="008A0228">
        <w:rPr>
          <w:rFonts w:ascii="Book Antiqua" w:eastAsia="Book Antiqua" w:hAnsi="Book Antiqua" w:cs="Book Antiqua"/>
          <w:color w:val="000000"/>
        </w:rPr>
        <w:t>est-corrected visual acuity</w:t>
      </w:r>
      <w:r w:rsidRPr="008A0228">
        <w:rPr>
          <w:rFonts w:ascii="Book Antiqua" w:eastAsia="Book Antiqua" w:hAnsi="Book Antiqua" w:cs="Book Antiqua"/>
          <w:color w:val="000000"/>
        </w:rPr>
        <w:t xml:space="preserve"> after treatment, which was maintained for at least 3 years.</w:t>
      </w:r>
    </w:p>
    <w:p w14:paraId="7F989C4D" w14:textId="77777777" w:rsidR="00A77B3E" w:rsidRPr="008A0228" w:rsidRDefault="00A77B3E" w:rsidP="008A0228">
      <w:pPr>
        <w:spacing w:line="360" w:lineRule="auto"/>
        <w:jc w:val="both"/>
        <w:rPr>
          <w:rFonts w:ascii="Book Antiqua" w:hAnsi="Book Antiqua"/>
        </w:rPr>
      </w:pPr>
    </w:p>
    <w:p w14:paraId="1CB123BF"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conclusions</w:t>
      </w:r>
    </w:p>
    <w:p w14:paraId="52B50DE8"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Intravitreal conbercept injection plus 532-nm laser photocoagulation may be a feasible treatment for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in adult patients.</w:t>
      </w:r>
    </w:p>
    <w:p w14:paraId="06E36DFA" w14:textId="77777777" w:rsidR="00A77B3E" w:rsidRPr="008A0228" w:rsidRDefault="00A77B3E" w:rsidP="008A0228">
      <w:pPr>
        <w:spacing w:line="360" w:lineRule="auto"/>
        <w:jc w:val="both"/>
        <w:rPr>
          <w:rFonts w:ascii="Book Antiqua" w:hAnsi="Book Antiqua"/>
        </w:rPr>
      </w:pPr>
    </w:p>
    <w:p w14:paraId="5DFECA7D"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perspectives</w:t>
      </w:r>
    </w:p>
    <w:p w14:paraId="5F940B32" w14:textId="77777777" w:rsidR="00EF3D25" w:rsidRPr="008A0228" w:rsidRDefault="00EF3D2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 xml:space="preserve">Prospective randomized clinical trials are needed to confirm our findings and establish whether conbercept is a useful adjunct therapy for Coats disease. </w:t>
      </w:r>
    </w:p>
    <w:p w14:paraId="4526B50D" w14:textId="77777777" w:rsidR="00A77B3E" w:rsidRPr="008A0228" w:rsidRDefault="00A77B3E" w:rsidP="00EF231C">
      <w:pPr>
        <w:adjustRightInd w:val="0"/>
        <w:snapToGrid w:val="0"/>
        <w:spacing w:line="360" w:lineRule="auto"/>
        <w:jc w:val="both"/>
        <w:rPr>
          <w:rFonts w:ascii="Book Antiqua" w:hAnsi="Book Antiqua"/>
        </w:rPr>
      </w:pPr>
    </w:p>
    <w:p w14:paraId="78FC7F8C" w14:textId="77777777" w:rsidR="00A77B3E" w:rsidRPr="008A0228" w:rsidRDefault="003C42F5" w:rsidP="008A0228">
      <w:pPr>
        <w:adjustRightInd w:val="0"/>
        <w:snapToGrid w:val="0"/>
        <w:spacing w:line="360" w:lineRule="auto"/>
        <w:jc w:val="both"/>
        <w:rPr>
          <w:rFonts w:ascii="Book Antiqua" w:hAnsi="Book Antiqua"/>
        </w:rPr>
      </w:pPr>
      <w:r w:rsidRPr="008A0228">
        <w:rPr>
          <w:rFonts w:ascii="Book Antiqua" w:eastAsia="Book Antiqua" w:hAnsi="Book Antiqua" w:cs="Book Antiqua"/>
          <w:b/>
        </w:rPr>
        <w:t>REFERENCES</w:t>
      </w:r>
    </w:p>
    <w:p w14:paraId="09B6172C" w14:textId="77777777" w:rsidR="007E1218" w:rsidRPr="008A0228" w:rsidRDefault="007E1218" w:rsidP="008A022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1 </w:t>
      </w:r>
      <w:r w:rsidRPr="008A0228">
        <w:rPr>
          <w:rFonts w:ascii="Book Antiqua" w:hAnsi="Book Antiqua"/>
          <w:b/>
          <w:bCs/>
        </w:rPr>
        <w:t>Sen M</w:t>
      </w:r>
      <w:r w:rsidRPr="008A0228">
        <w:rPr>
          <w:rFonts w:ascii="Book Antiqua" w:hAnsi="Book Antiqua"/>
        </w:rPr>
        <w:t>, Shields CL, Honavar SG, Shields JA. Coats disease: An overview of classification, management and outcomes. </w:t>
      </w:r>
      <w:r w:rsidRPr="008A0228">
        <w:rPr>
          <w:rFonts w:ascii="Book Antiqua" w:hAnsi="Book Antiqua"/>
          <w:i/>
          <w:iCs/>
        </w:rPr>
        <w:t>Indian J Ophthalmol</w:t>
      </w:r>
      <w:r w:rsidRPr="008A0228">
        <w:rPr>
          <w:rFonts w:ascii="Book Antiqua" w:hAnsi="Book Antiqua"/>
        </w:rPr>
        <w:t> 2019; </w:t>
      </w:r>
      <w:r w:rsidRPr="008A0228">
        <w:rPr>
          <w:rFonts w:ascii="Book Antiqua" w:hAnsi="Book Antiqua"/>
          <w:b/>
          <w:bCs/>
        </w:rPr>
        <w:t>67</w:t>
      </w:r>
      <w:r w:rsidRPr="008A0228">
        <w:rPr>
          <w:rFonts w:ascii="Book Antiqua" w:hAnsi="Book Antiqua"/>
        </w:rPr>
        <w:t>: 763-771 [PMID: 31124484 DOI: 10.4103/ijo.IJO_841_19]</w:t>
      </w:r>
    </w:p>
    <w:p w14:paraId="29A3A975"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2 </w:t>
      </w:r>
      <w:r w:rsidRPr="008A0228">
        <w:rPr>
          <w:rFonts w:ascii="Book Antiqua" w:hAnsi="Book Antiqua"/>
          <w:b/>
          <w:bCs/>
        </w:rPr>
        <w:t>Yang X</w:t>
      </w:r>
      <w:r w:rsidRPr="008A0228">
        <w:rPr>
          <w:rFonts w:ascii="Book Antiqua" w:hAnsi="Book Antiqua"/>
        </w:rPr>
        <w:t>, Wang C, Su G. Recent advances in the diagnosis and treatment of Coats' disease. </w:t>
      </w:r>
      <w:r w:rsidRPr="008A0228">
        <w:rPr>
          <w:rFonts w:ascii="Book Antiqua" w:hAnsi="Book Antiqua"/>
          <w:i/>
          <w:iCs/>
        </w:rPr>
        <w:t>Int Ophthalmol</w:t>
      </w:r>
      <w:r w:rsidRPr="008A0228">
        <w:rPr>
          <w:rFonts w:ascii="Book Antiqua" w:hAnsi="Book Antiqua"/>
        </w:rPr>
        <w:t> 2019; </w:t>
      </w:r>
      <w:r w:rsidRPr="008A0228">
        <w:rPr>
          <w:rFonts w:ascii="Book Antiqua" w:hAnsi="Book Antiqua"/>
          <w:b/>
          <w:bCs/>
        </w:rPr>
        <w:t>39</w:t>
      </w:r>
      <w:r w:rsidRPr="008A0228">
        <w:rPr>
          <w:rFonts w:ascii="Book Antiqua" w:hAnsi="Book Antiqua"/>
        </w:rPr>
        <w:t>: 957-970 [PMID: 30895419 DOI: 10.1007/s10792-019-01095-8]</w:t>
      </w:r>
    </w:p>
    <w:p w14:paraId="06A8C95F"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3 </w:t>
      </w:r>
      <w:r w:rsidRPr="008A0228">
        <w:rPr>
          <w:rFonts w:ascii="Book Antiqua" w:hAnsi="Book Antiqua"/>
          <w:b/>
          <w:bCs/>
        </w:rPr>
        <w:t>Morris B</w:t>
      </w:r>
      <w:r w:rsidRPr="008A0228">
        <w:rPr>
          <w:rFonts w:ascii="Book Antiqua" w:hAnsi="Book Antiqua"/>
        </w:rPr>
        <w:t>, Foot B, Mulvihill A. A population-based study of Coats disease in the United Kingdom I: epidemiology and clinical features at diagnosis. </w:t>
      </w:r>
      <w:r w:rsidRPr="008A0228">
        <w:rPr>
          <w:rFonts w:ascii="Book Antiqua" w:hAnsi="Book Antiqua"/>
          <w:i/>
          <w:iCs/>
        </w:rPr>
        <w:t>Eye (Lond)</w:t>
      </w:r>
      <w:r w:rsidRPr="008A0228">
        <w:rPr>
          <w:rFonts w:ascii="Book Antiqua" w:hAnsi="Book Antiqua"/>
        </w:rPr>
        <w:t> 2010; </w:t>
      </w:r>
      <w:r w:rsidRPr="008A0228">
        <w:rPr>
          <w:rFonts w:ascii="Book Antiqua" w:hAnsi="Book Antiqua"/>
          <w:b/>
          <w:bCs/>
        </w:rPr>
        <w:t>24</w:t>
      </w:r>
      <w:r w:rsidRPr="008A0228">
        <w:rPr>
          <w:rFonts w:ascii="Book Antiqua" w:hAnsi="Book Antiqua"/>
        </w:rPr>
        <w:t>: 1797-1801 [PMID: 20865031 DOI: 10.1038/eye.2010.126]</w:t>
      </w:r>
    </w:p>
    <w:p w14:paraId="1441E927"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4 </w:t>
      </w:r>
      <w:r w:rsidRPr="008A0228">
        <w:rPr>
          <w:rFonts w:ascii="Book Antiqua" w:hAnsi="Book Antiqua"/>
          <w:b/>
          <w:bCs/>
        </w:rPr>
        <w:t>Rishi E</w:t>
      </w:r>
      <w:r w:rsidRPr="008A0228">
        <w:rPr>
          <w:rFonts w:ascii="Book Antiqua" w:hAnsi="Book Antiqua"/>
        </w:rPr>
        <w:t>, Rishi P, Appukuttan B, Uparkar M, Sharma T, Gopal L. Coats' disease of adult-onset in 48 eyes. </w:t>
      </w:r>
      <w:r w:rsidRPr="008A0228">
        <w:rPr>
          <w:rFonts w:ascii="Book Antiqua" w:hAnsi="Book Antiqua"/>
          <w:i/>
          <w:iCs/>
        </w:rPr>
        <w:t>Indian J Ophthalmol</w:t>
      </w:r>
      <w:r w:rsidRPr="008A0228">
        <w:rPr>
          <w:rFonts w:ascii="Book Antiqua" w:hAnsi="Book Antiqua"/>
        </w:rPr>
        <w:t> 2016; </w:t>
      </w:r>
      <w:r w:rsidRPr="008A0228">
        <w:rPr>
          <w:rFonts w:ascii="Book Antiqua" w:hAnsi="Book Antiqua"/>
          <w:b/>
          <w:bCs/>
        </w:rPr>
        <w:t>64</w:t>
      </w:r>
      <w:r w:rsidRPr="008A0228">
        <w:rPr>
          <w:rFonts w:ascii="Book Antiqua" w:hAnsi="Book Antiqua"/>
        </w:rPr>
        <w:t>: 518-523 [PMID: 27609165 DOI: 10.4103/0301-4738.190141]</w:t>
      </w:r>
    </w:p>
    <w:p w14:paraId="3F9A3404"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5 </w:t>
      </w:r>
      <w:r w:rsidRPr="008A0228">
        <w:rPr>
          <w:rFonts w:ascii="Book Antiqua" w:hAnsi="Book Antiqua"/>
          <w:b/>
          <w:bCs/>
        </w:rPr>
        <w:t>Kusaka S</w:t>
      </w:r>
      <w:r w:rsidRPr="008A0228">
        <w:rPr>
          <w:rFonts w:ascii="Book Antiqua" w:hAnsi="Book Antiqua"/>
        </w:rPr>
        <w:t>. Surgical Management of Coats Disease. </w:t>
      </w:r>
      <w:r w:rsidRPr="008A0228">
        <w:rPr>
          <w:rFonts w:ascii="Book Antiqua" w:hAnsi="Book Antiqua"/>
          <w:i/>
          <w:iCs/>
        </w:rPr>
        <w:t>Asia Pac J Ophthalmol (Phila)</w:t>
      </w:r>
      <w:r w:rsidRPr="008A0228">
        <w:rPr>
          <w:rFonts w:ascii="Book Antiqua" w:hAnsi="Book Antiqua"/>
        </w:rPr>
        <w:t> 2018; </w:t>
      </w:r>
      <w:r w:rsidRPr="008A0228">
        <w:rPr>
          <w:rFonts w:ascii="Book Antiqua" w:hAnsi="Book Antiqua"/>
          <w:b/>
          <w:bCs/>
        </w:rPr>
        <w:t>7</w:t>
      </w:r>
      <w:r w:rsidRPr="008A0228">
        <w:rPr>
          <w:rFonts w:ascii="Book Antiqua" w:hAnsi="Book Antiqua"/>
        </w:rPr>
        <w:t>: 156-159 [PMID: 29664241 DOI: 10.22608/APO.201867]</w:t>
      </w:r>
    </w:p>
    <w:p w14:paraId="19CA55CC"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6 </w:t>
      </w:r>
      <w:r w:rsidRPr="008A0228">
        <w:rPr>
          <w:rFonts w:ascii="Book Antiqua" w:hAnsi="Book Antiqua"/>
          <w:b/>
          <w:bCs/>
        </w:rPr>
        <w:t>Kase S</w:t>
      </w:r>
      <w:r w:rsidRPr="008A0228">
        <w:rPr>
          <w:rFonts w:ascii="Book Antiqua" w:hAnsi="Book Antiqua"/>
        </w:rPr>
        <w:t>, Rao NA, Yoshikawa H, Fukuhara J, Noda K, Kanda A, Ishida S. Expression of vascular endothelial growth factor in eyes with Coats' disease. </w:t>
      </w:r>
      <w:r w:rsidRPr="008A0228">
        <w:rPr>
          <w:rFonts w:ascii="Book Antiqua" w:hAnsi="Book Antiqua"/>
          <w:i/>
          <w:iCs/>
        </w:rPr>
        <w:t>Invest Ophthalmol Vis Sci</w:t>
      </w:r>
      <w:r w:rsidRPr="008A0228">
        <w:rPr>
          <w:rFonts w:ascii="Book Antiqua" w:hAnsi="Book Antiqua"/>
        </w:rPr>
        <w:t> 2013; </w:t>
      </w:r>
      <w:r w:rsidRPr="008A0228">
        <w:rPr>
          <w:rFonts w:ascii="Book Antiqua" w:hAnsi="Book Antiqua"/>
          <w:b/>
          <w:bCs/>
        </w:rPr>
        <w:t>54</w:t>
      </w:r>
      <w:r w:rsidRPr="008A0228">
        <w:rPr>
          <w:rFonts w:ascii="Book Antiqua" w:hAnsi="Book Antiqua"/>
        </w:rPr>
        <w:t>: 57-62 [PMID: 23221067 DOI: 10.1167/iovs.12-10613]</w:t>
      </w:r>
    </w:p>
    <w:p w14:paraId="024A2C82"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7 </w:t>
      </w:r>
      <w:r w:rsidRPr="008A0228">
        <w:rPr>
          <w:rFonts w:ascii="Book Antiqua" w:hAnsi="Book Antiqua"/>
          <w:b/>
          <w:bCs/>
        </w:rPr>
        <w:t>He YG</w:t>
      </w:r>
      <w:r w:rsidRPr="008A0228">
        <w:rPr>
          <w:rFonts w:ascii="Book Antiqua" w:hAnsi="Book Antiqua"/>
        </w:rPr>
        <w:t>, Wang H, Zhao B, Lee J, Bahl D, McCluskey J. Elevated vascular endothelial growth factor level in Coats' disease and possible therapeutic role of bevacizumab. </w:t>
      </w:r>
      <w:r w:rsidRPr="008A0228">
        <w:rPr>
          <w:rFonts w:ascii="Book Antiqua" w:hAnsi="Book Antiqua"/>
          <w:i/>
          <w:iCs/>
        </w:rPr>
        <w:t>Graefes Arch Clin Exp Ophthalmol</w:t>
      </w:r>
      <w:r w:rsidRPr="008A0228">
        <w:rPr>
          <w:rFonts w:ascii="Book Antiqua" w:hAnsi="Book Antiqua"/>
        </w:rPr>
        <w:t> 2010; </w:t>
      </w:r>
      <w:r w:rsidRPr="008A0228">
        <w:rPr>
          <w:rFonts w:ascii="Book Antiqua" w:hAnsi="Book Antiqua"/>
          <w:b/>
          <w:bCs/>
        </w:rPr>
        <w:t>248</w:t>
      </w:r>
      <w:r w:rsidRPr="008A0228">
        <w:rPr>
          <w:rFonts w:ascii="Book Antiqua" w:hAnsi="Book Antiqua"/>
        </w:rPr>
        <w:t>: 1519-1521 [PMID: 20379736 DOI: 10.1007/s00417-010-1366-1]</w:t>
      </w:r>
    </w:p>
    <w:p w14:paraId="729A2FF2"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8 </w:t>
      </w:r>
      <w:r w:rsidRPr="008A0228">
        <w:rPr>
          <w:rFonts w:ascii="Book Antiqua" w:hAnsi="Book Antiqua"/>
          <w:b/>
          <w:bCs/>
        </w:rPr>
        <w:t>Sun Y</w:t>
      </w:r>
      <w:r w:rsidRPr="008A0228">
        <w:rPr>
          <w:rFonts w:ascii="Book Antiqua" w:hAnsi="Book Antiqua"/>
        </w:rPr>
        <w:t>, Jain A, Moshfeghi DM. Elevated vascular endothelial growth factor levels in Coats disease: rapid response to pegaptanib sodium. </w:t>
      </w:r>
      <w:r w:rsidRPr="008A0228">
        <w:rPr>
          <w:rFonts w:ascii="Book Antiqua" w:hAnsi="Book Antiqua"/>
          <w:i/>
          <w:iCs/>
        </w:rPr>
        <w:t>Graefes Arch Clin Exp Ophthalmol</w:t>
      </w:r>
      <w:r w:rsidRPr="008A0228">
        <w:rPr>
          <w:rFonts w:ascii="Book Antiqua" w:hAnsi="Book Antiqua"/>
        </w:rPr>
        <w:t> 2007; </w:t>
      </w:r>
      <w:r w:rsidRPr="008A0228">
        <w:rPr>
          <w:rFonts w:ascii="Book Antiqua" w:hAnsi="Book Antiqua"/>
          <w:b/>
          <w:bCs/>
        </w:rPr>
        <w:t>245</w:t>
      </w:r>
      <w:r w:rsidRPr="008A0228">
        <w:rPr>
          <w:rFonts w:ascii="Book Antiqua" w:hAnsi="Book Antiqua"/>
        </w:rPr>
        <w:t>: 1387-1388 [PMID: 17342503 DOI: 10.1007/s00417-007-0559-8]</w:t>
      </w:r>
    </w:p>
    <w:p w14:paraId="202E4404"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9 </w:t>
      </w:r>
      <w:r w:rsidRPr="008A0228">
        <w:rPr>
          <w:rFonts w:ascii="Book Antiqua" w:hAnsi="Book Antiqua"/>
          <w:b/>
          <w:bCs/>
        </w:rPr>
        <w:t>Zhao Q</w:t>
      </w:r>
      <w:r w:rsidRPr="008A0228">
        <w:rPr>
          <w:rFonts w:ascii="Book Antiqua" w:hAnsi="Book Antiqua"/>
        </w:rPr>
        <w:t>, Peng XY, Chen FH, Zhang YP, Wang L, You QS, Jonas JB. Vascular endothelial growth factor in Coats' disease. </w:t>
      </w:r>
      <w:r w:rsidRPr="008A0228">
        <w:rPr>
          <w:rFonts w:ascii="Book Antiqua" w:hAnsi="Book Antiqua"/>
          <w:i/>
          <w:iCs/>
        </w:rPr>
        <w:t>Acta Ophthalmol</w:t>
      </w:r>
      <w:r w:rsidRPr="008A0228">
        <w:rPr>
          <w:rFonts w:ascii="Book Antiqua" w:hAnsi="Book Antiqua"/>
        </w:rPr>
        <w:t> 2014; </w:t>
      </w:r>
      <w:r w:rsidRPr="008A0228">
        <w:rPr>
          <w:rFonts w:ascii="Book Antiqua" w:hAnsi="Book Antiqua"/>
          <w:b/>
          <w:bCs/>
        </w:rPr>
        <w:t>92</w:t>
      </w:r>
      <w:r w:rsidRPr="008A0228">
        <w:rPr>
          <w:rFonts w:ascii="Book Antiqua" w:hAnsi="Book Antiqua"/>
        </w:rPr>
        <w:t>: e225-e228 [PMID: 23764089 DOI: 10.1111/aos.12158]</w:t>
      </w:r>
    </w:p>
    <w:p w14:paraId="29F403A1"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10 </w:t>
      </w:r>
      <w:r w:rsidRPr="008A0228">
        <w:rPr>
          <w:rFonts w:ascii="Book Antiqua" w:hAnsi="Book Antiqua"/>
          <w:b/>
          <w:bCs/>
        </w:rPr>
        <w:t>Shields CL</w:t>
      </w:r>
      <w:r w:rsidRPr="008A0228">
        <w:rPr>
          <w:rFonts w:ascii="Book Antiqua" w:hAnsi="Book Antiqua"/>
        </w:rPr>
        <w:t>, Udyaver S, Dalvin LA, Lim LS, Atalay HT, L Khoo CT, Mazloumi M, Shields JA. Coats disease in 351 eyes: Analysis of features and outcomes over 45 years (by decade) at a single center. </w:t>
      </w:r>
      <w:r w:rsidRPr="008A0228">
        <w:rPr>
          <w:rFonts w:ascii="Book Antiqua" w:hAnsi="Book Antiqua"/>
          <w:i/>
          <w:iCs/>
        </w:rPr>
        <w:t>Indian J Ophthalmol</w:t>
      </w:r>
      <w:r w:rsidRPr="008A0228">
        <w:rPr>
          <w:rFonts w:ascii="Book Antiqua" w:hAnsi="Book Antiqua"/>
        </w:rPr>
        <w:t> 2019; </w:t>
      </w:r>
      <w:r w:rsidRPr="008A0228">
        <w:rPr>
          <w:rFonts w:ascii="Book Antiqua" w:hAnsi="Book Antiqua"/>
          <w:b/>
          <w:bCs/>
        </w:rPr>
        <w:t>67</w:t>
      </w:r>
      <w:r w:rsidRPr="008A0228">
        <w:rPr>
          <w:rFonts w:ascii="Book Antiqua" w:hAnsi="Book Antiqua"/>
        </w:rPr>
        <w:t>: 772-783 [PMID: 31124485 DOI: 10.4103/ijo.IJO_449_19]</w:t>
      </w:r>
    </w:p>
    <w:p w14:paraId="113BF77B"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11 </w:t>
      </w:r>
      <w:r w:rsidRPr="008A0228">
        <w:rPr>
          <w:rFonts w:ascii="Book Antiqua" w:hAnsi="Book Antiqua"/>
          <w:b/>
          <w:bCs/>
        </w:rPr>
        <w:t>Zheng XX</w:t>
      </w:r>
      <w:r w:rsidRPr="008A0228">
        <w:rPr>
          <w:rFonts w:ascii="Book Antiqua" w:hAnsi="Book Antiqua"/>
        </w:rPr>
        <w:t>, Jiang YR. The effect of intravitreal bevacizumab injection as the initial treatment for Coats' disease. </w:t>
      </w:r>
      <w:r w:rsidRPr="008A0228">
        <w:rPr>
          <w:rFonts w:ascii="Book Antiqua" w:hAnsi="Book Antiqua"/>
          <w:i/>
          <w:iCs/>
        </w:rPr>
        <w:t>Graefes Arch Clin Exp Ophthalmol</w:t>
      </w:r>
      <w:r w:rsidRPr="008A0228">
        <w:rPr>
          <w:rFonts w:ascii="Book Antiqua" w:hAnsi="Book Antiqua"/>
        </w:rPr>
        <w:t> 2014; </w:t>
      </w:r>
      <w:r w:rsidRPr="008A0228">
        <w:rPr>
          <w:rFonts w:ascii="Book Antiqua" w:hAnsi="Book Antiqua"/>
          <w:b/>
          <w:bCs/>
        </w:rPr>
        <w:t>252</w:t>
      </w:r>
      <w:r w:rsidRPr="008A0228">
        <w:rPr>
          <w:rFonts w:ascii="Book Antiqua" w:hAnsi="Book Antiqua"/>
        </w:rPr>
        <w:t>: 35-42 [PMID: 23873253 DOI: 10.1007/s00417-013-2409-1]</w:t>
      </w:r>
    </w:p>
    <w:p w14:paraId="4491E1CE"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12 </w:t>
      </w:r>
      <w:r w:rsidRPr="008A0228">
        <w:rPr>
          <w:rFonts w:ascii="Book Antiqua" w:hAnsi="Book Antiqua"/>
          <w:b/>
          <w:bCs/>
        </w:rPr>
        <w:t>Li S</w:t>
      </w:r>
      <w:r w:rsidRPr="008A0228">
        <w:rPr>
          <w:rFonts w:ascii="Book Antiqua" w:hAnsi="Book Antiqua"/>
        </w:rPr>
        <w:t>, Deng G, Liu J, Ma Y, Lu H. The effects of a treatment combination of anti-VEGF injections, laser coagulation and cryotherapy on patients with type 3 Coat's disease. </w:t>
      </w:r>
      <w:r w:rsidRPr="008A0228">
        <w:rPr>
          <w:rFonts w:ascii="Book Antiqua" w:hAnsi="Book Antiqua"/>
          <w:i/>
          <w:iCs/>
        </w:rPr>
        <w:t>BMC Ophthalmol</w:t>
      </w:r>
      <w:r w:rsidRPr="008A0228">
        <w:rPr>
          <w:rFonts w:ascii="Book Antiqua" w:hAnsi="Book Antiqua"/>
        </w:rPr>
        <w:t> 2017; </w:t>
      </w:r>
      <w:r w:rsidRPr="008A0228">
        <w:rPr>
          <w:rFonts w:ascii="Book Antiqua" w:hAnsi="Book Antiqua"/>
          <w:b/>
          <w:bCs/>
        </w:rPr>
        <w:t>17</w:t>
      </w:r>
      <w:r w:rsidRPr="008A0228">
        <w:rPr>
          <w:rFonts w:ascii="Book Antiqua" w:hAnsi="Book Antiqua"/>
        </w:rPr>
        <w:t>: 76 [PMID: 28532448 DOI: 10.1186/s12886-017-0469-4]</w:t>
      </w:r>
    </w:p>
    <w:p w14:paraId="2B90778D"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13 </w:t>
      </w:r>
      <w:r w:rsidRPr="008A0228">
        <w:rPr>
          <w:rFonts w:ascii="Book Antiqua" w:hAnsi="Book Antiqua"/>
          <w:b/>
          <w:bCs/>
        </w:rPr>
        <w:t>Gaillard MC</w:t>
      </w:r>
      <w:r w:rsidRPr="008A0228">
        <w:rPr>
          <w:rFonts w:ascii="Book Antiqua" w:hAnsi="Book Antiqua"/>
        </w:rPr>
        <w:t>, Mataftsi A, Balmer A, Houghton S, Munier FL. ranibizumab in the management of advanced Coats disease Stages 3B and 4: long-term outcomes.</w:t>
      </w:r>
      <w:r w:rsidR="001B3A3B" w:rsidRPr="008A0228">
        <w:rPr>
          <w:rFonts w:ascii="Book Antiqua" w:hAnsi="Book Antiqua"/>
        </w:rPr>
        <w:t xml:space="preserve"> </w:t>
      </w:r>
      <w:r w:rsidRPr="008A0228">
        <w:rPr>
          <w:rFonts w:ascii="Book Antiqua" w:hAnsi="Book Antiqua"/>
          <w:i/>
          <w:iCs/>
        </w:rPr>
        <w:t>Retina</w:t>
      </w:r>
      <w:r w:rsidRPr="008A0228">
        <w:rPr>
          <w:rFonts w:ascii="Book Antiqua" w:hAnsi="Book Antiqua"/>
        </w:rPr>
        <w:t> 2014; </w:t>
      </w:r>
      <w:r w:rsidRPr="008A0228">
        <w:rPr>
          <w:rFonts w:ascii="Book Antiqua" w:hAnsi="Book Antiqua"/>
          <w:b/>
          <w:bCs/>
        </w:rPr>
        <w:t>34</w:t>
      </w:r>
      <w:r w:rsidRPr="008A0228">
        <w:rPr>
          <w:rFonts w:ascii="Book Antiqua" w:hAnsi="Book Antiqua"/>
        </w:rPr>
        <w:t>: 2275-2281 [PMID: 25075562 DOI: 10.1097/IAE.0000000000000248]</w:t>
      </w:r>
    </w:p>
    <w:p w14:paraId="60471C49"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14 </w:t>
      </w:r>
      <w:r w:rsidRPr="008A0228">
        <w:rPr>
          <w:rFonts w:ascii="Book Antiqua" w:hAnsi="Book Antiqua"/>
          <w:b/>
          <w:bCs/>
        </w:rPr>
        <w:t>Raoof N</w:t>
      </w:r>
      <w:r w:rsidRPr="008A0228">
        <w:rPr>
          <w:rFonts w:ascii="Book Antiqua" w:hAnsi="Book Antiqua"/>
        </w:rPr>
        <w:t>, Quhill F. Successful use of intravitreal bevacizumab and pascal laser photocoagulation in the management of adult Coats' disease. </w:t>
      </w:r>
      <w:r w:rsidRPr="008A0228">
        <w:rPr>
          <w:rFonts w:ascii="Book Antiqua" w:hAnsi="Book Antiqua"/>
          <w:i/>
          <w:iCs/>
        </w:rPr>
        <w:t>Middle East Afr J Ophthalmol</w:t>
      </w:r>
      <w:r w:rsidRPr="008A0228">
        <w:rPr>
          <w:rFonts w:ascii="Book Antiqua" w:hAnsi="Book Antiqua"/>
        </w:rPr>
        <w:t> 2013; </w:t>
      </w:r>
      <w:r w:rsidRPr="008A0228">
        <w:rPr>
          <w:rFonts w:ascii="Book Antiqua" w:hAnsi="Book Antiqua"/>
          <w:b/>
          <w:bCs/>
        </w:rPr>
        <w:t>20</w:t>
      </w:r>
      <w:r w:rsidRPr="008A0228">
        <w:rPr>
          <w:rFonts w:ascii="Book Antiqua" w:hAnsi="Book Antiqua"/>
        </w:rPr>
        <w:t>: 256-258 [PMID: 24014992 DOI: 10.4103/0974-9233.114805]</w:t>
      </w:r>
    </w:p>
    <w:p w14:paraId="231501F9"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15 </w:t>
      </w:r>
      <w:r w:rsidRPr="008A0228">
        <w:rPr>
          <w:rFonts w:ascii="Book Antiqua" w:hAnsi="Book Antiqua"/>
          <w:b/>
          <w:bCs/>
        </w:rPr>
        <w:t>Villegas VM</w:t>
      </w:r>
      <w:r w:rsidRPr="008A0228">
        <w:rPr>
          <w:rFonts w:ascii="Book Antiqua" w:hAnsi="Book Antiqua"/>
        </w:rPr>
        <w:t>, Gold AS, Berrocal AM, Murray TG. Advanced Coats' disease treated with intravitreal bevacizumab combined with laser vascular ablation. </w:t>
      </w:r>
      <w:r w:rsidRPr="008A0228">
        <w:rPr>
          <w:rFonts w:ascii="Book Antiqua" w:hAnsi="Book Antiqua"/>
          <w:i/>
          <w:iCs/>
        </w:rPr>
        <w:t>Clin Ophthalmol</w:t>
      </w:r>
      <w:r w:rsidRPr="008A0228">
        <w:rPr>
          <w:rFonts w:ascii="Book Antiqua" w:hAnsi="Book Antiqua"/>
        </w:rPr>
        <w:t> 2014; </w:t>
      </w:r>
      <w:r w:rsidRPr="008A0228">
        <w:rPr>
          <w:rFonts w:ascii="Book Antiqua" w:hAnsi="Book Antiqua"/>
          <w:b/>
          <w:bCs/>
        </w:rPr>
        <w:t>8</w:t>
      </w:r>
      <w:r w:rsidRPr="008A0228">
        <w:rPr>
          <w:rFonts w:ascii="Book Antiqua" w:hAnsi="Book Antiqua"/>
        </w:rPr>
        <w:t>: 973-976 [PMID: 24876764 DOI: 10.2147/OPTH.S62816]</w:t>
      </w:r>
    </w:p>
    <w:p w14:paraId="77F9850C"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16 </w:t>
      </w:r>
      <w:r w:rsidRPr="008A0228">
        <w:rPr>
          <w:rFonts w:ascii="Book Antiqua" w:hAnsi="Book Antiqua"/>
          <w:b/>
          <w:bCs/>
        </w:rPr>
        <w:t>de Oliveira Dias JR</w:t>
      </w:r>
      <w:r w:rsidRPr="008A0228">
        <w:rPr>
          <w:rFonts w:ascii="Book Antiqua" w:hAnsi="Book Antiqua"/>
        </w:rPr>
        <w:t>, de Andrade GC, Novais EA, Farah ME, Rodrigues EB. Fusion proteins for treatment of retinal diseases: aflibercept, ziv-aflibercept, and conbercept. </w:t>
      </w:r>
      <w:r w:rsidRPr="008A0228">
        <w:rPr>
          <w:rFonts w:ascii="Book Antiqua" w:hAnsi="Book Antiqua"/>
          <w:i/>
          <w:iCs/>
        </w:rPr>
        <w:t>Int J Retina Vitreous</w:t>
      </w:r>
      <w:r w:rsidRPr="008A0228">
        <w:rPr>
          <w:rFonts w:ascii="Book Antiqua" w:hAnsi="Book Antiqua"/>
        </w:rPr>
        <w:t> 2016; </w:t>
      </w:r>
      <w:r w:rsidRPr="008A0228">
        <w:rPr>
          <w:rFonts w:ascii="Book Antiqua" w:hAnsi="Book Antiqua"/>
          <w:b/>
          <w:bCs/>
        </w:rPr>
        <w:t>2</w:t>
      </w:r>
      <w:r w:rsidRPr="008A0228">
        <w:rPr>
          <w:rFonts w:ascii="Book Antiqua" w:hAnsi="Book Antiqua"/>
        </w:rPr>
        <w:t>: 3 [PMID: 27847621 DOI: 10.1186/s40942-016-0026-y]</w:t>
      </w:r>
    </w:p>
    <w:p w14:paraId="3A720429"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17 </w:t>
      </w:r>
      <w:r w:rsidRPr="008A0228">
        <w:rPr>
          <w:rFonts w:ascii="Book Antiqua" w:hAnsi="Book Antiqua"/>
          <w:b/>
          <w:bCs/>
        </w:rPr>
        <w:t>Zhou Q</w:t>
      </w:r>
      <w:r w:rsidRPr="008A0228">
        <w:rPr>
          <w:rFonts w:ascii="Book Antiqua" w:hAnsi="Book Antiqua"/>
        </w:rPr>
        <w:t>, Guo C, You A, Wang D, Wang W, Zhang X. One-year outcomes of novel VEGF decoy receptor therapy with intravitreal conbercept in diabetic retinopathy-induced macular edema. </w:t>
      </w:r>
      <w:r w:rsidRPr="008A0228">
        <w:rPr>
          <w:rFonts w:ascii="Book Antiqua" w:hAnsi="Book Antiqua"/>
          <w:i/>
          <w:iCs/>
        </w:rPr>
        <w:t>Mol Vis</w:t>
      </w:r>
      <w:r w:rsidRPr="008A0228">
        <w:rPr>
          <w:rFonts w:ascii="Book Antiqua" w:hAnsi="Book Antiqua"/>
        </w:rPr>
        <w:t> 2019; </w:t>
      </w:r>
      <w:r w:rsidRPr="008A0228">
        <w:rPr>
          <w:rFonts w:ascii="Book Antiqua" w:hAnsi="Book Antiqua"/>
          <w:b/>
          <w:bCs/>
        </w:rPr>
        <w:t>25</w:t>
      </w:r>
      <w:r w:rsidRPr="008A0228">
        <w:rPr>
          <w:rFonts w:ascii="Book Antiqua" w:hAnsi="Book Antiqua"/>
        </w:rPr>
        <w:t>: 636-644 [</w:t>
      </w:r>
      <w:bookmarkStart w:id="42" w:name="OLE_LINK59"/>
      <w:bookmarkStart w:id="43" w:name="OLE_LINK60"/>
      <w:bookmarkStart w:id="44" w:name="OLE_LINK61"/>
      <w:r w:rsidRPr="008A0228">
        <w:rPr>
          <w:rFonts w:ascii="Book Antiqua" w:hAnsi="Book Antiqua"/>
        </w:rPr>
        <w:t>PMID: 31700228</w:t>
      </w:r>
      <w:bookmarkEnd w:id="42"/>
      <w:bookmarkEnd w:id="43"/>
      <w:bookmarkEnd w:id="44"/>
      <w:r w:rsidRPr="008A0228">
        <w:rPr>
          <w:rFonts w:ascii="Book Antiqua" w:hAnsi="Book Antiqua"/>
        </w:rPr>
        <w:t>]</w:t>
      </w:r>
    </w:p>
    <w:p w14:paraId="43167AD3"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18 </w:t>
      </w:r>
      <w:r w:rsidRPr="008A0228">
        <w:rPr>
          <w:rFonts w:ascii="Book Antiqua" w:hAnsi="Book Antiqua"/>
          <w:b/>
          <w:bCs/>
        </w:rPr>
        <w:t>Li F</w:t>
      </w:r>
      <w:r w:rsidRPr="008A0228">
        <w:rPr>
          <w:rFonts w:ascii="Book Antiqua" w:hAnsi="Book Antiqua"/>
        </w:rPr>
        <w:t>, Zhang L, Wang Y, Xu W, Jiao W, Ma A, Zhao B. One-Year Outcome of Conbercept Therapy for Diabetic Macular Edema. </w:t>
      </w:r>
      <w:r w:rsidRPr="008A0228">
        <w:rPr>
          <w:rFonts w:ascii="Book Antiqua" w:hAnsi="Book Antiqua"/>
          <w:i/>
          <w:iCs/>
        </w:rPr>
        <w:t>Curr Eye Res</w:t>
      </w:r>
      <w:r w:rsidRPr="008A0228">
        <w:rPr>
          <w:rFonts w:ascii="Book Antiqua" w:hAnsi="Book Antiqua"/>
        </w:rPr>
        <w:t> 2018; </w:t>
      </w:r>
      <w:r w:rsidRPr="008A0228">
        <w:rPr>
          <w:rFonts w:ascii="Book Antiqua" w:hAnsi="Book Antiqua"/>
          <w:b/>
          <w:bCs/>
        </w:rPr>
        <w:t>43</w:t>
      </w:r>
      <w:r w:rsidRPr="008A0228">
        <w:rPr>
          <w:rFonts w:ascii="Book Antiqua" w:hAnsi="Book Antiqua"/>
        </w:rPr>
        <w:t>: 218-223 [PMID: 29265939 DOI: 10.1080/02713683.2017.1379542]</w:t>
      </w:r>
    </w:p>
    <w:p w14:paraId="5072DA00"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19 </w:t>
      </w:r>
      <w:r w:rsidRPr="008A0228">
        <w:rPr>
          <w:rFonts w:ascii="Book Antiqua" w:hAnsi="Book Antiqua"/>
          <w:b/>
          <w:bCs/>
        </w:rPr>
        <w:t>Wu BH</w:t>
      </w:r>
      <w:r w:rsidRPr="008A0228">
        <w:rPr>
          <w:rFonts w:ascii="Book Antiqua" w:hAnsi="Book Antiqua"/>
        </w:rPr>
        <w:t>, Wang B, Wu HQ, Chang Q, Lu HQ. Intravitreal conbercept injection for neovascular age-related macular degeneration. </w:t>
      </w:r>
      <w:r w:rsidRPr="008A0228">
        <w:rPr>
          <w:rFonts w:ascii="Book Antiqua" w:hAnsi="Book Antiqua"/>
          <w:i/>
          <w:iCs/>
        </w:rPr>
        <w:t>Int J Ophthalmol</w:t>
      </w:r>
      <w:r w:rsidRPr="008A0228">
        <w:rPr>
          <w:rFonts w:ascii="Book Antiqua" w:hAnsi="Book Antiqua"/>
        </w:rPr>
        <w:t> 2019; </w:t>
      </w:r>
      <w:r w:rsidRPr="008A0228">
        <w:rPr>
          <w:rFonts w:ascii="Book Antiqua" w:hAnsi="Book Antiqua"/>
          <w:b/>
          <w:bCs/>
        </w:rPr>
        <w:t>12</w:t>
      </w:r>
      <w:r w:rsidRPr="008A0228">
        <w:rPr>
          <w:rFonts w:ascii="Book Antiqua" w:hAnsi="Book Antiqua"/>
        </w:rPr>
        <w:t>: 252-257 [PMID: 30809481 DOI: 10.18240/ijo.2019.02.11]</w:t>
      </w:r>
    </w:p>
    <w:p w14:paraId="61221AAC"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20 </w:t>
      </w:r>
      <w:r w:rsidRPr="008A0228">
        <w:rPr>
          <w:rFonts w:ascii="Book Antiqua" w:hAnsi="Book Antiqua"/>
          <w:b/>
          <w:bCs/>
        </w:rPr>
        <w:t>Liu K</w:t>
      </w:r>
      <w:r w:rsidRPr="008A0228">
        <w:rPr>
          <w:rFonts w:ascii="Book Antiqua" w:hAnsi="Book Antiqua"/>
        </w:rPr>
        <w:t>, Song Y, Xu G, Ye J, Wu Z, Liu X, Dong X, Zhang M, Xing Y, Zhu S, Chen X, Shen Y, Huang H, Yu L, Ke Z, Rosenfeld PJ, Kaiser PK, Ying G, Sun X, Xu X; PHOENIX Study Group. Conbercept for Treatment of Neovascular Age-related Macular Degeneration: Results of the Randomized Phase 3 PHOENIX Study. </w:t>
      </w:r>
      <w:r w:rsidRPr="008A0228">
        <w:rPr>
          <w:rFonts w:ascii="Book Antiqua" w:hAnsi="Book Antiqua"/>
          <w:i/>
          <w:iCs/>
        </w:rPr>
        <w:t>Am J Ophthalmol</w:t>
      </w:r>
      <w:r w:rsidRPr="008A0228">
        <w:rPr>
          <w:rFonts w:ascii="Book Antiqua" w:hAnsi="Book Antiqua"/>
        </w:rPr>
        <w:t> 2019; </w:t>
      </w:r>
      <w:r w:rsidRPr="008A0228">
        <w:rPr>
          <w:rFonts w:ascii="Book Antiqua" w:hAnsi="Book Antiqua"/>
          <w:b/>
          <w:bCs/>
        </w:rPr>
        <w:t>197</w:t>
      </w:r>
      <w:r w:rsidRPr="008A0228">
        <w:rPr>
          <w:rFonts w:ascii="Book Antiqua" w:hAnsi="Book Antiqua"/>
        </w:rPr>
        <w:t>: 156-167 [PMID: 30148987 DOI: 10.1016/j.ajo.2018.08.026]</w:t>
      </w:r>
    </w:p>
    <w:p w14:paraId="74662F2B"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21 </w:t>
      </w:r>
      <w:r w:rsidRPr="008A0228">
        <w:rPr>
          <w:rFonts w:ascii="Book Antiqua" w:hAnsi="Book Antiqua"/>
          <w:b/>
          <w:bCs/>
        </w:rPr>
        <w:t>Cui C</w:t>
      </w:r>
      <w:r w:rsidRPr="008A0228">
        <w:rPr>
          <w:rFonts w:ascii="Book Antiqua" w:hAnsi="Book Antiqua"/>
        </w:rPr>
        <w:t>, Lu H. Clinical observations on the use of new anti-VEGF drug, conbercept, in age-related macular degeneration therapy: a meta-analysis. </w:t>
      </w:r>
      <w:r w:rsidRPr="008A0228">
        <w:rPr>
          <w:rFonts w:ascii="Book Antiqua" w:hAnsi="Book Antiqua"/>
          <w:i/>
          <w:iCs/>
        </w:rPr>
        <w:t>Clin Interv Aging</w:t>
      </w:r>
      <w:r w:rsidRPr="008A0228">
        <w:rPr>
          <w:rFonts w:ascii="Book Antiqua" w:hAnsi="Book Antiqua"/>
        </w:rPr>
        <w:t> 2018; </w:t>
      </w:r>
      <w:r w:rsidRPr="008A0228">
        <w:rPr>
          <w:rFonts w:ascii="Book Antiqua" w:hAnsi="Book Antiqua"/>
          <w:b/>
          <w:bCs/>
        </w:rPr>
        <w:t>13</w:t>
      </w:r>
      <w:r w:rsidRPr="008A0228">
        <w:rPr>
          <w:rFonts w:ascii="Book Antiqua" w:hAnsi="Book Antiqua"/>
        </w:rPr>
        <w:t>: 51-62 [PMID: 29343949 DOI: 10.2147/CIA.S151225]</w:t>
      </w:r>
    </w:p>
    <w:p w14:paraId="0F2C7A09"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22 </w:t>
      </w:r>
      <w:r w:rsidRPr="008A0228">
        <w:rPr>
          <w:rFonts w:ascii="Book Antiqua" w:hAnsi="Book Antiqua"/>
          <w:b/>
          <w:bCs/>
        </w:rPr>
        <w:t>Cui J</w:t>
      </w:r>
      <w:r w:rsidRPr="008A0228">
        <w:rPr>
          <w:rFonts w:ascii="Book Antiqua" w:hAnsi="Book Antiqua"/>
        </w:rPr>
        <w:t>, Sun D, Lu H, Dai R, Xing L, Dong H, Wang L, Wei D, Jiang B, Jiao Y, Jablonski MM, Charles S, Gu W, Chen H. Comparison of effectiveness and safety between conbercept and ranibizumab for treatment of neovascular age-related macular degeneration. A retrospective case-controlled non-inferiority multiple center study. </w:t>
      </w:r>
      <w:r w:rsidRPr="008A0228">
        <w:rPr>
          <w:rFonts w:ascii="Book Antiqua" w:hAnsi="Book Antiqua"/>
          <w:i/>
          <w:iCs/>
        </w:rPr>
        <w:t>Eye (Lond)</w:t>
      </w:r>
      <w:r w:rsidRPr="008A0228">
        <w:rPr>
          <w:rFonts w:ascii="Book Antiqua" w:hAnsi="Book Antiqua"/>
        </w:rPr>
        <w:t> 2018; </w:t>
      </w:r>
      <w:r w:rsidRPr="008A0228">
        <w:rPr>
          <w:rFonts w:ascii="Book Antiqua" w:hAnsi="Book Antiqua"/>
          <w:b/>
          <w:bCs/>
        </w:rPr>
        <w:t>32</w:t>
      </w:r>
      <w:r w:rsidRPr="008A0228">
        <w:rPr>
          <w:rFonts w:ascii="Book Antiqua" w:hAnsi="Book Antiqua"/>
        </w:rPr>
        <w:t>: 391-399 [PMID: 28937147 DOI: 10.1038/eye.2017.187]</w:t>
      </w:r>
    </w:p>
    <w:p w14:paraId="38527706"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23 </w:t>
      </w:r>
      <w:r w:rsidRPr="008A0228">
        <w:rPr>
          <w:rFonts w:ascii="Book Antiqua" w:hAnsi="Book Antiqua"/>
          <w:b/>
          <w:bCs/>
        </w:rPr>
        <w:t>Zhang L</w:t>
      </w:r>
      <w:r w:rsidRPr="008A0228">
        <w:rPr>
          <w:rFonts w:ascii="Book Antiqua" w:hAnsi="Book Antiqua"/>
        </w:rPr>
        <w:t>, Ke Y, Wang W, Shi X, Hei K, Li X. The efficacy of conbercept or ranibizumab intravitreal injection combined with laser therapy for Coats' disease. </w:t>
      </w:r>
      <w:r w:rsidRPr="008A0228">
        <w:rPr>
          <w:rFonts w:ascii="Book Antiqua" w:hAnsi="Book Antiqua"/>
          <w:i/>
          <w:iCs/>
        </w:rPr>
        <w:t>Graefes Arch Clin Exp Ophthalmol</w:t>
      </w:r>
      <w:r w:rsidRPr="008A0228">
        <w:rPr>
          <w:rFonts w:ascii="Book Antiqua" w:hAnsi="Book Antiqua"/>
        </w:rPr>
        <w:t> 2018; </w:t>
      </w:r>
      <w:r w:rsidRPr="008A0228">
        <w:rPr>
          <w:rFonts w:ascii="Book Antiqua" w:hAnsi="Book Antiqua"/>
          <w:b/>
          <w:bCs/>
        </w:rPr>
        <w:t>256</w:t>
      </w:r>
      <w:r w:rsidRPr="008A0228">
        <w:rPr>
          <w:rFonts w:ascii="Book Antiqua" w:hAnsi="Book Antiqua"/>
        </w:rPr>
        <w:t>: 1339-1346 [PMID: 29549425 DOI: 10.1007/s00417-018-3949-1]</w:t>
      </w:r>
    </w:p>
    <w:p w14:paraId="4EACED28"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24 </w:t>
      </w:r>
      <w:r w:rsidRPr="008A0228">
        <w:rPr>
          <w:rFonts w:ascii="Book Antiqua" w:hAnsi="Book Antiqua"/>
          <w:b/>
          <w:bCs/>
        </w:rPr>
        <w:t>Shields JA</w:t>
      </w:r>
      <w:r w:rsidRPr="008A0228">
        <w:rPr>
          <w:rFonts w:ascii="Book Antiqua" w:hAnsi="Book Antiqua"/>
        </w:rPr>
        <w:t>, Shields CL, Honavar SG, Demirci H. Clinical variations and complications of Coats disease in 150 cases: the 2000 Sanford Gifford Memorial Lecture. </w:t>
      </w:r>
      <w:r w:rsidRPr="008A0228">
        <w:rPr>
          <w:rFonts w:ascii="Book Antiqua" w:hAnsi="Book Antiqua"/>
          <w:i/>
          <w:iCs/>
        </w:rPr>
        <w:t>Am J Ophthalmol</w:t>
      </w:r>
      <w:r w:rsidRPr="008A0228">
        <w:rPr>
          <w:rFonts w:ascii="Book Antiqua" w:hAnsi="Book Antiqua"/>
        </w:rPr>
        <w:t> 2001; </w:t>
      </w:r>
      <w:r w:rsidRPr="008A0228">
        <w:rPr>
          <w:rFonts w:ascii="Book Antiqua" w:hAnsi="Book Antiqua"/>
          <w:b/>
          <w:bCs/>
        </w:rPr>
        <w:t>131</w:t>
      </w:r>
      <w:r w:rsidRPr="008A0228">
        <w:rPr>
          <w:rFonts w:ascii="Book Antiqua" w:hAnsi="Book Antiqua"/>
        </w:rPr>
        <w:t>: 561-571 [PMID: 11336930 DOI: 10.1016/s0002-9394(00)00883-7]</w:t>
      </w:r>
    </w:p>
    <w:p w14:paraId="5B12F86A"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25 </w:t>
      </w:r>
      <w:r w:rsidRPr="008A0228">
        <w:rPr>
          <w:rFonts w:ascii="Book Antiqua" w:hAnsi="Book Antiqua"/>
          <w:b/>
          <w:bCs/>
        </w:rPr>
        <w:t>Holz FG</w:t>
      </w:r>
      <w:r w:rsidRPr="008A0228">
        <w:rPr>
          <w:rFonts w:ascii="Book Antiqua" w:hAnsi="Book Antiqua"/>
        </w:rPr>
        <w:t>, Amoaku W, Donate J, Guymer RH, Kellner U, Schlingemann RO, Weichselberger A, Staurenghi G; SUSTAIN Study Group. Safety and efficacy of a flexible dosing regimen of ranibizumab in neovascular age-related macular degeneration: the SUSTAIN study. </w:t>
      </w:r>
      <w:r w:rsidRPr="008A0228">
        <w:rPr>
          <w:rFonts w:ascii="Book Antiqua" w:hAnsi="Book Antiqua"/>
          <w:i/>
          <w:iCs/>
        </w:rPr>
        <w:t>Ophthalmology</w:t>
      </w:r>
      <w:r w:rsidRPr="008A0228">
        <w:rPr>
          <w:rFonts w:ascii="Book Antiqua" w:hAnsi="Book Antiqua"/>
        </w:rPr>
        <w:t> 2011; </w:t>
      </w:r>
      <w:r w:rsidRPr="008A0228">
        <w:rPr>
          <w:rFonts w:ascii="Book Antiqua" w:hAnsi="Book Antiqua"/>
          <w:b/>
          <w:bCs/>
        </w:rPr>
        <w:t>118</w:t>
      </w:r>
      <w:r w:rsidRPr="008A0228">
        <w:rPr>
          <w:rFonts w:ascii="Book Antiqua" w:hAnsi="Book Antiqua"/>
        </w:rPr>
        <w:t>: 663-671 [PMID: 21459217 DOI: 10.1016/j.ophtha.2010.12.019]</w:t>
      </w:r>
    </w:p>
    <w:p w14:paraId="01D0CF08"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26 </w:t>
      </w:r>
      <w:r w:rsidRPr="008A0228">
        <w:rPr>
          <w:rFonts w:ascii="Book Antiqua" w:hAnsi="Book Antiqua"/>
          <w:b/>
          <w:bCs/>
        </w:rPr>
        <w:t>Wang KY</w:t>
      </w:r>
      <w:r w:rsidRPr="008A0228">
        <w:rPr>
          <w:rFonts w:ascii="Book Antiqua" w:hAnsi="Book Antiqua"/>
        </w:rPr>
        <w:t>, Cheng CK. A combination of intravitreal bevacizumab injection with tunable argon yellow laser photocoagulation as a treatment for adult-onset Coats' disease. </w:t>
      </w:r>
      <w:r w:rsidRPr="008A0228">
        <w:rPr>
          <w:rFonts w:ascii="Book Antiqua" w:hAnsi="Book Antiqua"/>
          <w:i/>
          <w:iCs/>
        </w:rPr>
        <w:t>J Ocul Pharmacol Ther</w:t>
      </w:r>
      <w:r w:rsidRPr="008A0228">
        <w:rPr>
          <w:rFonts w:ascii="Book Antiqua" w:hAnsi="Book Antiqua"/>
        </w:rPr>
        <w:t> 2011; </w:t>
      </w:r>
      <w:r w:rsidRPr="008A0228">
        <w:rPr>
          <w:rFonts w:ascii="Book Antiqua" w:hAnsi="Book Antiqua"/>
          <w:b/>
          <w:bCs/>
        </w:rPr>
        <w:t>27</w:t>
      </w:r>
      <w:r w:rsidRPr="008A0228">
        <w:rPr>
          <w:rFonts w:ascii="Book Antiqua" w:hAnsi="Book Antiqua"/>
        </w:rPr>
        <w:t>: 525-530 [PMID: 21951171 DOI: 10.1089/jop.2011.0088]</w:t>
      </w:r>
    </w:p>
    <w:p w14:paraId="42A31530"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27 </w:t>
      </w:r>
      <w:r w:rsidRPr="008A0228">
        <w:rPr>
          <w:rFonts w:ascii="Book Antiqua" w:hAnsi="Book Antiqua"/>
          <w:b/>
          <w:bCs/>
        </w:rPr>
        <w:t>Zhang C,</w:t>
      </w:r>
      <w:r w:rsidRPr="008A0228">
        <w:rPr>
          <w:rFonts w:ascii="Book Antiqua" w:hAnsi="Book Antiqua"/>
        </w:rPr>
        <w:t xml:space="preserve"> Dong F, Wang R. </w:t>
      </w:r>
      <w:bookmarkStart w:id="45" w:name="OLE_LINK62"/>
      <w:bookmarkStart w:id="46" w:name="OLE_LINK63"/>
      <w:r w:rsidRPr="008A0228">
        <w:rPr>
          <w:rFonts w:ascii="Book Antiqua" w:hAnsi="Book Antiqua"/>
        </w:rPr>
        <w:t>Clinical characteristics and diagnosis and treatment of Coats disease in adults</w:t>
      </w:r>
      <w:bookmarkEnd w:id="45"/>
      <w:bookmarkEnd w:id="46"/>
      <w:r w:rsidRPr="008A0228">
        <w:rPr>
          <w:rFonts w:ascii="Book Antiqua" w:hAnsi="Book Antiqua"/>
        </w:rPr>
        <w:t xml:space="preserve">. </w:t>
      </w:r>
      <w:r w:rsidR="00767D63" w:rsidRPr="008A0228">
        <w:rPr>
          <w:rFonts w:ascii="Book Antiqua" w:hAnsi="Book Antiqua"/>
          <w:i/>
        </w:rPr>
        <w:t xml:space="preserve">Zhonghua Yandibing Zazhi </w:t>
      </w:r>
      <w:r w:rsidRPr="008A0228">
        <w:rPr>
          <w:rFonts w:ascii="Book Antiqua" w:hAnsi="Book Antiqua"/>
        </w:rPr>
        <w:t xml:space="preserve">2008; </w:t>
      </w:r>
      <w:bookmarkStart w:id="47" w:name="OLE_LINK66"/>
      <w:bookmarkStart w:id="48" w:name="OLE_LINK67"/>
      <w:bookmarkStart w:id="49" w:name="OLE_LINK68"/>
      <w:r w:rsidRPr="008A0228">
        <w:rPr>
          <w:rFonts w:ascii="Book Antiqua" w:hAnsi="Book Antiqua"/>
          <w:b/>
        </w:rPr>
        <w:t>24</w:t>
      </w:r>
      <w:bookmarkEnd w:id="47"/>
      <w:bookmarkEnd w:id="48"/>
      <w:bookmarkEnd w:id="49"/>
      <w:r w:rsidRPr="008A0228">
        <w:rPr>
          <w:rFonts w:ascii="Book Antiqua" w:hAnsi="Book Antiqua"/>
        </w:rPr>
        <w:t>: 279</w:t>
      </w:r>
      <w:r w:rsidR="00F572FD" w:rsidRPr="008A0228">
        <w:rPr>
          <w:rFonts w:ascii="Book Antiqua" w:hAnsi="Book Antiqua"/>
        </w:rPr>
        <w:t>-</w:t>
      </w:r>
      <w:r w:rsidRPr="008A0228">
        <w:rPr>
          <w:rFonts w:ascii="Book Antiqua" w:hAnsi="Book Antiqua"/>
        </w:rPr>
        <w:t>282</w:t>
      </w:r>
    </w:p>
    <w:p w14:paraId="05709D86"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28 </w:t>
      </w:r>
      <w:r w:rsidRPr="008A0228">
        <w:rPr>
          <w:rFonts w:ascii="Book Antiqua" w:hAnsi="Book Antiqua"/>
          <w:b/>
          <w:bCs/>
        </w:rPr>
        <w:t>Otani T</w:t>
      </w:r>
      <w:r w:rsidRPr="008A0228">
        <w:rPr>
          <w:rFonts w:ascii="Book Antiqua" w:hAnsi="Book Antiqua"/>
        </w:rPr>
        <w:t>, Yasuda K, Aizawa N, Sakai F, Nakazawa T, Shimura M. Over 10 years follow-up of Coats' disease in adulthood. </w:t>
      </w:r>
      <w:r w:rsidRPr="008A0228">
        <w:rPr>
          <w:rFonts w:ascii="Book Antiqua" w:hAnsi="Book Antiqua"/>
          <w:i/>
          <w:iCs/>
        </w:rPr>
        <w:t>Clin Ophthalmol</w:t>
      </w:r>
      <w:r w:rsidRPr="008A0228">
        <w:rPr>
          <w:rFonts w:ascii="Book Antiqua" w:hAnsi="Book Antiqua"/>
        </w:rPr>
        <w:t> 2011; </w:t>
      </w:r>
      <w:r w:rsidRPr="008A0228">
        <w:rPr>
          <w:rFonts w:ascii="Book Antiqua" w:hAnsi="Book Antiqua"/>
          <w:b/>
          <w:bCs/>
        </w:rPr>
        <w:t>5</w:t>
      </w:r>
      <w:r w:rsidRPr="008A0228">
        <w:rPr>
          <w:rFonts w:ascii="Book Antiqua" w:hAnsi="Book Antiqua"/>
        </w:rPr>
        <w:t>: 1729-1732 [PMID: 22205832 DOI: 10.2147/OPTH.S27938]</w:t>
      </w:r>
    </w:p>
    <w:p w14:paraId="4C57C1F2"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29 </w:t>
      </w:r>
      <w:r w:rsidRPr="008A0228">
        <w:rPr>
          <w:rFonts w:ascii="Book Antiqua" w:hAnsi="Book Antiqua"/>
          <w:b/>
          <w:bCs/>
        </w:rPr>
        <w:t>Sigler EJ</w:t>
      </w:r>
      <w:r w:rsidRPr="008A0228">
        <w:rPr>
          <w:rFonts w:ascii="Book Antiqua" w:hAnsi="Book Antiqua"/>
        </w:rPr>
        <w:t>, Randolph JC, Calzada JI, Wilson MW, Haik BG. Current management of Coats disease. </w:t>
      </w:r>
      <w:r w:rsidRPr="008A0228">
        <w:rPr>
          <w:rFonts w:ascii="Book Antiqua" w:hAnsi="Book Antiqua"/>
          <w:i/>
          <w:iCs/>
        </w:rPr>
        <w:t>Surv Ophthalmol</w:t>
      </w:r>
      <w:r w:rsidRPr="008A0228">
        <w:rPr>
          <w:rFonts w:ascii="Book Antiqua" w:hAnsi="Book Antiqua"/>
        </w:rPr>
        <w:t> 2014; </w:t>
      </w:r>
      <w:r w:rsidRPr="008A0228">
        <w:rPr>
          <w:rFonts w:ascii="Book Antiqua" w:hAnsi="Book Antiqua"/>
          <w:b/>
          <w:bCs/>
        </w:rPr>
        <w:t>59</w:t>
      </w:r>
      <w:r w:rsidRPr="008A0228">
        <w:rPr>
          <w:rFonts w:ascii="Book Antiqua" w:hAnsi="Book Antiqua"/>
        </w:rPr>
        <w:t>: 30-46 [PMID: 24138893 DOI: 10.1016/j.survophthal.2013.03.007]</w:t>
      </w:r>
    </w:p>
    <w:p w14:paraId="5DB83774"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30 </w:t>
      </w:r>
      <w:r w:rsidRPr="008A0228">
        <w:rPr>
          <w:rFonts w:ascii="Book Antiqua" w:hAnsi="Book Antiqua"/>
          <w:b/>
          <w:bCs/>
        </w:rPr>
        <w:t>Kaul S</w:t>
      </w:r>
      <w:r w:rsidRPr="008A0228">
        <w:rPr>
          <w:rFonts w:ascii="Book Antiqua" w:hAnsi="Book Antiqua"/>
        </w:rPr>
        <w:t>, Uparkar M, Mody K, Walinjkar J, Kothari M, Natarajan S. Intravitreal anti-vascular endothelial growth factor agents as an adjunct in the management of Coats' disease in children. </w:t>
      </w:r>
      <w:r w:rsidRPr="008A0228">
        <w:rPr>
          <w:rFonts w:ascii="Book Antiqua" w:hAnsi="Book Antiqua"/>
          <w:i/>
          <w:iCs/>
        </w:rPr>
        <w:t>Indian J Ophthalmol</w:t>
      </w:r>
      <w:r w:rsidRPr="008A0228">
        <w:rPr>
          <w:rFonts w:ascii="Book Antiqua" w:hAnsi="Book Antiqua"/>
        </w:rPr>
        <w:t> 2010; </w:t>
      </w:r>
      <w:r w:rsidRPr="008A0228">
        <w:rPr>
          <w:rFonts w:ascii="Book Antiqua" w:hAnsi="Book Antiqua"/>
          <w:b/>
          <w:bCs/>
        </w:rPr>
        <w:t>58</w:t>
      </w:r>
      <w:r w:rsidRPr="008A0228">
        <w:rPr>
          <w:rFonts w:ascii="Book Antiqua" w:hAnsi="Book Antiqua"/>
        </w:rPr>
        <w:t>: 76-78 [PMID: 20029154 DOI: 10.4103/0301-4738.58480]</w:t>
      </w:r>
    </w:p>
    <w:p w14:paraId="7F345579" w14:textId="77777777" w:rsidR="007E1218" w:rsidRPr="008A0228" w:rsidRDefault="007E1218">
      <w:pPr>
        <w:pStyle w:val="a5"/>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31 </w:t>
      </w:r>
      <w:r w:rsidRPr="008A0228">
        <w:rPr>
          <w:rFonts w:ascii="Book Antiqua" w:hAnsi="Book Antiqua"/>
          <w:b/>
          <w:bCs/>
        </w:rPr>
        <w:t>Lin CJ</w:t>
      </w:r>
      <w:r w:rsidRPr="008A0228">
        <w:rPr>
          <w:rFonts w:ascii="Book Antiqua" w:hAnsi="Book Antiqua"/>
        </w:rPr>
        <w:t>, Hwang JF, Chen YT, Chen SN. The effect of intravitreal bevacizumab in the treatment of Coats disease in children. </w:t>
      </w:r>
      <w:r w:rsidRPr="008A0228">
        <w:rPr>
          <w:rFonts w:ascii="Book Antiqua" w:hAnsi="Book Antiqua"/>
          <w:i/>
          <w:iCs/>
        </w:rPr>
        <w:t>Retina</w:t>
      </w:r>
      <w:r w:rsidRPr="008A0228">
        <w:rPr>
          <w:rFonts w:ascii="Book Antiqua" w:hAnsi="Book Antiqua"/>
        </w:rPr>
        <w:t> 2010; </w:t>
      </w:r>
      <w:r w:rsidRPr="008A0228">
        <w:rPr>
          <w:rFonts w:ascii="Book Antiqua" w:hAnsi="Book Antiqua"/>
          <w:b/>
          <w:bCs/>
        </w:rPr>
        <w:t>30</w:t>
      </w:r>
      <w:r w:rsidRPr="008A0228">
        <w:rPr>
          <w:rFonts w:ascii="Book Antiqua" w:hAnsi="Book Antiqua"/>
        </w:rPr>
        <w:t>: 617-622 [PMID: 19996822 DOI: 10.1097/IAE.0b013e3181c2e0b7]</w:t>
      </w:r>
    </w:p>
    <w:p w14:paraId="15BFF839" w14:textId="77777777" w:rsidR="00A77B3E" w:rsidRPr="008A0228" w:rsidRDefault="00A77B3E" w:rsidP="00FE4D0F">
      <w:pPr>
        <w:snapToGrid w:val="0"/>
        <w:spacing w:line="360" w:lineRule="auto"/>
        <w:jc w:val="both"/>
        <w:rPr>
          <w:rFonts w:ascii="Book Antiqua" w:hAnsi="Book Antiqua"/>
        </w:rPr>
        <w:sectPr w:rsidR="00A77B3E" w:rsidRPr="008A0228" w:rsidSect="00BA66F0">
          <w:type w:val="continuous"/>
          <w:pgSz w:w="12240" w:h="15840"/>
          <w:pgMar w:top="1440" w:right="1440" w:bottom="1440" w:left="1440" w:header="720" w:footer="720" w:gutter="0"/>
          <w:cols w:space="720"/>
          <w:docGrid w:linePitch="360"/>
        </w:sectPr>
      </w:pPr>
    </w:p>
    <w:p w14:paraId="5185F9A5" w14:textId="77777777" w:rsidR="0019741C" w:rsidRPr="008A0228" w:rsidRDefault="0019741C" w:rsidP="00FE4D0F">
      <w:pPr>
        <w:snapToGrid w:val="0"/>
        <w:spacing w:line="360" w:lineRule="auto"/>
        <w:jc w:val="both"/>
        <w:rPr>
          <w:rFonts w:ascii="Book Antiqua" w:eastAsia="Book Antiqua" w:hAnsi="Book Antiqua" w:cs="Book Antiqua"/>
          <w:b/>
          <w:color w:val="000000"/>
        </w:rPr>
      </w:pPr>
      <w:r w:rsidRPr="008A0228">
        <w:rPr>
          <w:rFonts w:ascii="Book Antiqua" w:eastAsia="Book Antiqua" w:hAnsi="Book Antiqua" w:cs="Book Antiqua"/>
          <w:b/>
          <w:color w:val="000000"/>
        </w:rPr>
        <w:br w:type="page"/>
      </w:r>
    </w:p>
    <w:p w14:paraId="00A26087" w14:textId="09BDCD9F"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Footnotes</w:t>
      </w:r>
    </w:p>
    <w:p w14:paraId="705DC8E5" w14:textId="76FC01F4"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Institutional review board statement: </w:t>
      </w:r>
      <w:r w:rsidRPr="008A0228">
        <w:rPr>
          <w:rFonts w:ascii="Book Antiqua" w:eastAsia="Book Antiqua" w:hAnsi="Book Antiqua" w:cs="Book Antiqua"/>
          <w:color w:val="000000"/>
        </w:rPr>
        <w:t>The study was approved by the ethics committee of Shenzhen People</w:t>
      </w:r>
      <w:r w:rsidR="0007478D" w:rsidRPr="008A0228">
        <w:rPr>
          <w:rFonts w:ascii="Book Antiqua" w:eastAsia="Book Antiqua" w:hAnsi="Book Antiqua" w:cs="Book Antiqua"/>
          <w:color w:val="000000"/>
        </w:rPr>
        <w:t>’</w:t>
      </w:r>
      <w:r w:rsidRPr="008A0228">
        <w:rPr>
          <w:rFonts w:ascii="Book Antiqua" w:eastAsia="Book Antiqua" w:hAnsi="Book Antiqua" w:cs="Book Antiqua"/>
          <w:color w:val="000000"/>
        </w:rPr>
        <w:t>s Hospital (No. LL-KY-2020238). </w:t>
      </w:r>
    </w:p>
    <w:p w14:paraId="58F0FFB0" w14:textId="77777777" w:rsidR="00A77B3E" w:rsidRPr="008A0228" w:rsidRDefault="00A77B3E" w:rsidP="00FE4D0F">
      <w:pPr>
        <w:snapToGrid w:val="0"/>
        <w:spacing w:line="360" w:lineRule="auto"/>
        <w:jc w:val="both"/>
        <w:rPr>
          <w:rFonts w:ascii="Book Antiqua" w:hAnsi="Book Antiqua"/>
        </w:rPr>
      </w:pPr>
    </w:p>
    <w:p w14:paraId="308DEA1D"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Informed consent statement: </w:t>
      </w:r>
      <w:r w:rsidR="00BA527B" w:rsidRPr="008A0228">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r w:rsidRPr="008A0228">
        <w:rPr>
          <w:rFonts w:ascii="Book Antiqua" w:eastAsia="Book Antiqua" w:hAnsi="Book Antiqua" w:cs="Book Antiqua"/>
          <w:color w:val="000000"/>
        </w:rPr>
        <w:t>.</w:t>
      </w:r>
    </w:p>
    <w:p w14:paraId="4F5B38F2" w14:textId="77777777" w:rsidR="00A77B3E" w:rsidRPr="008A0228" w:rsidRDefault="00A77B3E" w:rsidP="00FE4D0F">
      <w:pPr>
        <w:snapToGrid w:val="0"/>
        <w:spacing w:line="360" w:lineRule="auto"/>
        <w:jc w:val="both"/>
        <w:rPr>
          <w:rFonts w:ascii="Book Antiqua" w:hAnsi="Book Antiqua"/>
        </w:rPr>
      </w:pPr>
    </w:p>
    <w:p w14:paraId="79A470A8"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Conflict-of-interest statement: </w:t>
      </w:r>
      <w:r w:rsidRPr="008A0228">
        <w:rPr>
          <w:rFonts w:ascii="Book Antiqua" w:eastAsia="Book Antiqua" w:hAnsi="Book Antiqua" w:cs="Book Antiqua"/>
          <w:color w:val="000000"/>
        </w:rPr>
        <w:t>The authors declare that they have no competing interests.</w:t>
      </w:r>
    </w:p>
    <w:p w14:paraId="3482C795" w14:textId="77777777" w:rsidR="00A77B3E" w:rsidRPr="008A0228" w:rsidRDefault="00A77B3E" w:rsidP="00FE4D0F">
      <w:pPr>
        <w:snapToGrid w:val="0"/>
        <w:spacing w:line="360" w:lineRule="auto"/>
        <w:jc w:val="both"/>
        <w:rPr>
          <w:rFonts w:ascii="Book Antiqua" w:hAnsi="Book Antiqua"/>
        </w:rPr>
      </w:pPr>
    </w:p>
    <w:p w14:paraId="182F5DFF" w14:textId="77777777" w:rsidR="00A77B3E" w:rsidRPr="008A0228" w:rsidRDefault="003C42F5" w:rsidP="00FE4D0F">
      <w:pPr>
        <w:snapToGrid w:val="0"/>
        <w:spacing w:line="360" w:lineRule="auto"/>
        <w:jc w:val="both"/>
        <w:rPr>
          <w:rFonts w:ascii="Book Antiqua" w:hAnsi="Book Antiqua"/>
          <w:lang w:eastAsia="zh-CN"/>
        </w:rPr>
      </w:pPr>
      <w:r w:rsidRPr="008A0228">
        <w:rPr>
          <w:rFonts w:ascii="Book Antiqua" w:eastAsia="Book Antiqua" w:hAnsi="Book Antiqua" w:cs="Book Antiqua"/>
          <w:b/>
          <w:bCs/>
          <w:color w:val="000000"/>
        </w:rPr>
        <w:t xml:space="preserve">Data sharing statement: </w:t>
      </w:r>
      <w:r w:rsidRPr="008A0228">
        <w:rPr>
          <w:rFonts w:ascii="Book Antiqua" w:eastAsia="Book Antiqua" w:hAnsi="Book Antiqua" w:cs="Book Antiqua"/>
          <w:color w:val="000000"/>
        </w:rPr>
        <w:t>Not applicable</w:t>
      </w:r>
      <w:r w:rsidR="00093B05" w:rsidRPr="008A0228">
        <w:rPr>
          <w:rFonts w:ascii="Book Antiqua" w:hAnsi="Book Antiqua" w:cs="Book Antiqua"/>
          <w:color w:val="000000"/>
          <w:lang w:eastAsia="zh-CN"/>
        </w:rPr>
        <w:t>.</w:t>
      </w:r>
    </w:p>
    <w:p w14:paraId="6C35C252" w14:textId="77777777" w:rsidR="00A77B3E" w:rsidRPr="008A0228" w:rsidRDefault="00A77B3E" w:rsidP="00FE4D0F">
      <w:pPr>
        <w:snapToGrid w:val="0"/>
        <w:spacing w:line="360" w:lineRule="auto"/>
        <w:jc w:val="both"/>
        <w:rPr>
          <w:rFonts w:ascii="Book Antiqua" w:hAnsi="Book Antiqua"/>
        </w:rPr>
      </w:pPr>
    </w:p>
    <w:p w14:paraId="656CB6F4"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Open-Access: </w:t>
      </w:r>
      <w:r w:rsidRPr="008A022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B38F87" w14:textId="77777777" w:rsidR="00A77B3E" w:rsidRPr="008A0228" w:rsidRDefault="00A77B3E" w:rsidP="00FE4D0F">
      <w:pPr>
        <w:snapToGrid w:val="0"/>
        <w:spacing w:line="360" w:lineRule="auto"/>
        <w:jc w:val="both"/>
        <w:rPr>
          <w:rFonts w:ascii="Book Antiqua" w:hAnsi="Book Antiqua"/>
        </w:rPr>
      </w:pPr>
    </w:p>
    <w:p w14:paraId="0195DC34"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Manuscript source: </w:t>
      </w:r>
      <w:r w:rsidRPr="008A0228">
        <w:rPr>
          <w:rFonts w:ascii="Book Antiqua" w:eastAsia="Book Antiqua" w:hAnsi="Book Antiqua" w:cs="Book Antiqua"/>
          <w:color w:val="000000"/>
        </w:rPr>
        <w:t xml:space="preserve">Unsolicited </w:t>
      </w:r>
      <w:r w:rsidR="00DA5ECE" w:rsidRPr="008A0228">
        <w:rPr>
          <w:rFonts w:ascii="Book Antiqua" w:eastAsia="Book Antiqua" w:hAnsi="Book Antiqua" w:cs="Book Antiqua"/>
          <w:color w:val="000000"/>
        </w:rPr>
        <w:t>m</w:t>
      </w:r>
      <w:r w:rsidRPr="008A0228">
        <w:rPr>
          <w:rFonts w:ascii="Book Antiqua" w:eastAsia="Book Antiqua" w:hAnsi="Book Antiqua" w:cs="Book Antiqua"/>
          <w:color w:val="000000"/>
        </w:rPr>
        <w:t>anuscript</w:t>
      </w:r>
    </w:p>
    <w:p w14:paraId="6D2D662B" w14:textId="77777777" w:rsidR="00A77B3E" w:rsidRPr="008A0228" w:rsidRDefault="00A77B3E" w:rsidP="00FE4D0F">
      <w:pPr>
        <w:snapToGrid w:val="0"/>
        <w:spacing w:line="360" w:lineRule="auto"/>
        <w:jc w:val="both"/>
        <w:rPr>
          <w:rFonts w:ascii="Book Antiqua" w:hAnsi="Book Antiqua"/>
        </w:rPr>
      </w:pPr>
    </w:p>
    <w:p w14:paraId="01B57111"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Peer-review started: </w:t>
      </w:r>
      <w:r w:rsidRPr="008A0228">
        <w:rPr>
          <w:rFonts w:ascii="Book Antiqua" w:eastAsia="Book Antiqua" w:hAnsi="Book Antiqua" w:cs="Book Antiqua"/>
          <w:color w:val="000000"/>
        </w:rPr>
        <w:t>August 4, 2020</w:t>
      </w:r>
    </w:p>
    <w:p w14:paraId="28BF5858"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First decision: </w:t>
      </w:r>
      <w:r w:rsidRPr="008A0228">
        <w:rPr>
          <w:rFonts w:ascii="Book Antiqua" w:eastAsia="Book Antiqua" w:hAnsi="Book Antiqua" w:cs="Book Antiqua"/>
          <w:color w:val="000000"/>
        </w:rPr>
        <w:t>August 21, 2020</w:t>
      </w:r>
    </w:p>
    <w:p w14:paraId="4FACE02B" w14:textId="1DB998B8"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Article in press: </w:t>
      </w:r>
      <w:r w:rsidR="007A5B0F" w:rsidRPr="008A0228">
        <w:rPr>
          <w:rFonts w:ascii="Book Antiqua" w:eastAsia="Book Antiqua" w:hAnsi="Book Antiqua" w:cs="Book Antiqua"/>
          <w:color w:val="000000"/>
        </w:rPr>
        <w:t>November 2, 2020</w:t>
      </w:r>
    </w:p>
    <w:p w14:paraId="3620A4F1" w14:textId="77777777" w:rsidR="00A77B3E" w:rsidRPr="008A0228" w:rsidRDefault="00A77B3E" w:rsidP="00FE4D0F">
      <w:pPr>
        <w:snapToGrid w:val="0"/>
        <w:spacing w:line="360" w:lineRule="auto"/>
        <w:jc w:val="both"/>
        <w:rPr>
          <w:rFonts w:ascii="Book Antiqua" w:hAnsi="Book Antiqua"/>
        </w:rPr>
      </w:pPr>
    </w:p>
    <w:p w14:paraId="1D648ACB"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Specialty type: </w:t>
      </w:r>
      <w:r w:rsidR="002B04A4" w:rsidRPr="008A0228">
        <w:rPr>
          <w:rFonts w:ascii="Book Antiqua" w:eastAsia="Book Antiqua" w:hAnsi="Book Antiqua" w:cs="Book Antiqua"/>
          <w:color w:val="000000"/>
        </w:rPr>
        <w:t>Medicine, research and experimental</w:t>
      </w:r>
    </w:p>
    <w:p w14:paraId="352D4E09"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Country/Territory of origin: </w:t>
      </w:r>
      <w:r w:rsidRPr="008A0228">
        <w:rPr>
          <w:rFonts w:ascii="Book Antiqua" w:eastAsia="Book Antiqua" w:hAnsi="Book Antiqua" w:cs="Book Antiqua"/>
          <w:color w:val="000000"/>
        </w:rPr>
        <w:t>China</w:t>
      </w:r>
    </w:p>
    <w:p w14:paraId="26178344"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Peer-review report’s scientific quality classification</w:t>
      </w:r>
    </w:p>
    <w:p w14:paraId="6F1392EE"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A (Excellent): 0</w:t>
      </w:r>
    </w:p>
    <w:p w14:paraId="5CF89C63"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B (Very good): B</w:t>
      </w:r>
    </w:p>
    <w:p w14:paraId="48945968"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C (Good): C</w:t>
      </w:r>
    </w:p>
    <w:p w14:paraId="7E36C3A5"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D (Fair): 0</w:t>
      </w:r>
    </w:p>
    <w:p w14:paraId="15FC7B1E"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E (Poor): 0</w:t>
      </w:r>
    </w:p>
    <w:p w14:paraId="120BF037" w14:textId="77777777" w:rsidR="00A77B3E" w:rsidRPr="008A0228" w:rsidRDefault="00A77B3E" w:rsidP="00FE4D0F">
      <w:pPr>
        <w:snapToGrid w:val="0"/>
        <w:spacing w:line="360" w:lineRule="auto"/>
        <w:jc w:val="both"/>
        <w:rPr>
          <w:rFonts w:ascii="Book Antiqua" w:hAnsi="Book Antiqua"/>
        </w:rPr>
      </w:pPr>
    </w:p>
    <w:p w14:paraId="564A0119" w14:textId="115C4B85" w:rsidR="00E25C01" w:rsidRPr="00E25C01" w:rsidRDefault="003C42F5" w:rsidP="00FE4D0F">
      <w:pPr>
        <w:snapToGrid w:val="0"/>
        <w:spacing w:line="360" w:lineRule="auto"/>
        <w:jc w:val="both"/>
        <w:rPr>
          <w:rFonts w:ascii="Book Antiqua" w:hAnsi="Book Antiqua" w:cs="Book Antiqua"/>
          <w:color w:val="000000"/>
          <w:lang w:eastAsia="zh-CN"/>
        </w:rPr>
      </w:pPr>
      <w:r w:rsidRPr="008A0228">
        <w:rPr>
          <w:rFonts w:ascii="Book Antiqua" w:eastAsia="Book Antiqua" w:hAnsi="Book Antiqua" w:cs="Book Antiqua"/>
          <w:b/>
          <w:color w:val="000000"/>
        </w:rPr>
        <w:t xml:space="preserve">P-Reviewer: </w:t>
      </w:r>
      <w:r w:rsidRPr="008A0228">
        <w:rPr>
          <w:rFonts w:ascii="Book Antiqua" w:eastAsia="Book Antiqua" w:hAnsi="Book Antiqua" w:cs="Book Antiqua"/>
          <w:color w:val="000000"/>
        </w:rPr>
        <w:t>Buchaim RL, Mehdipour P</w:t>
      </w:r>
      <w:r w:rsidRPr="008A0228">
        <w:rPr>
          <w:rFonts w:ascii="Book Antiqua" w:eastAsia="Book Antiqua" w:hAnsi="Book Antiqua" w:cs="Book Antiqua"/>
          <w:b/>
          <w:color w:val="000000"/>
        </w:rPr>
        <w:t xml:space="preserve"> S-Editor: </w:t>
      </w:r>
      <w:r w:rsidR="00213707" w:rsidRPr="008A0228">
        <w:rPr>
          <w:rFonts w:ascii="Book Antiqua" w:hAnsi="Book Antiqua" w:cs="Book Antiqua"/>
          <w:color w:val="000000"/>
          <w:lang w:eastAsia="zh-CN"/>
        </w:rPr>
        <w:t>Zhang H</w:t>
      </w:r>
      <w:r w:rsidR="00213707" w:rsidRPr="008A0228">
        <w:rPr>
          <w:rFonts w:ascii="Book Antiqua" w:eastAsia="Book Antiqua" w:hAnsi="Book Antiqua" w:cs="Book Antiqua"/>
          <w:b/>
          <w:color w:val="000000"/>
        </w:rPr>
        <w:t xml:space="preserve"> L-Editor:</w:t>
      </w:r>
      <w:r w:rsidRPr="008A0228">
        <w:rPr>
          <w:rFonts w:ascii="Book Antiqua" w:eastAsia="Book Antiqua" w:hAnsi="Book Antiqua" w:cs="Book Antiqua"/>
          <w:b/>
          <w:color w:val="000000"/>
        </w:rPr>
        <w:t xml:space="preserve"> </w:t>
      </w:r>
      <w:r w:rsidR="00EB42AE" w:rsidRPr="008A0228">
        <w:rPr>
          <w:rFonts w:ascii="Book Antiqua" w:eastAsia="Book Antiqua" w:hAnsi="Book Antiqua" w:cs="Book Antiqua"/>
          <w:bCs/>
          <w:color w:val="000000"/>
        </w:rPr>
        <w:t xml:space="preserve">Filipodia </w:t>
      </w:r>
      <w:r w:rsidRPr="008A0228">
        <w:rPr>
          <w:rFonts w:ascii="Book Antiqua" w:eastAsia="Book Antiqua" w:hAnsi="Book Antiqua" w:cs="Book Antiqua"/>
          <w:b/>
          <w:color w:val="000000"/>
        </w:rPr>
        <w:t>P-Editor:</w:t>
      </w:r>
      <w:r w:rsidR="00E25C01">
        <w:rPr>
          <w:rFonts w:ascii="Book Antiqua" w:hAnsi="Book Antiqua" w:cs="Book Antiqua" w:hint="eastAsia"/>
          <w:b/>
          <w:color w:val="000000"/>
          <w:lang w:eastAsia="zh-CN"/>
        </w:rPr>
        <w:t xml:space="preserve"> </w:t>
      </w:r>
      <w:r w:rsidR="00E25C01" w:rsidRPr="00E25C01">
        <w:rPr>
          <w:rFonts w:ascii="Book Antiqua" w:hAnsi="Book Antiqua" w:cs="Book Antiqua" w:hint="eastAsia"/>
          <w:color w:val="000000"/>
          <w:lang w:eastAsia="zh-CN"/>
        </w:rPr>
        <w:t>Liu JH</w:t>
      </w:r>
    </w:p>
    <w:p w14:paraId="6F0B17F0" w14:textId="70190A60" w:rsidR="00A77B3E" w:rsidRPr="008A0228" w:rsidRDefault="003C42F5" w:rsidP="00FE4D0F">
      <w:pPr>
        <w:snapToGrid w:val="0"/>
        <w:spacing w:line="360" w:lineRule="auto"/>
        <w:jc w:val="both"/>
        <w:rPr>
          <w:rFonts w:ascii="Book Antiqua" w:eastAsia="Book Antiqua" w:hAnsi="Book Antiqua" w:cs="Book Antiqua"/>
          <w:b/>
          <w:color w:val="000000"/>
        </w:rPr>
      </w:pPr>
      <w:r w:rsidRPr="008A0228">
        <w:rPr>
          <w:rFonts w:ascii="Book Antiqua" w:eastAsia="Book Antiqua" w:hAnsi="Book Antiqua" w:cs="Book Antiqua"/>
          <w:b/>
          <w:color w:val="000000"/>
        </w:rPr>
        <w:t xml:space="preserve"> </w:t>
      </w:r>
    </w:p>
    <w:p w14:paraId="17A2479A" w14:textId="77777777" w:rsidR="00BF49CA" w:rsidRPr="008A0228" w:rsidRDefault="00BF49CA" w:rsidP="00FE4D0F">
      <w:pPr>
        <w:snapToGrid w:val="0"/>
        <w:spacing w:line="360" w:lineRule="auto"/>
        <w:jc w:val="both"/>
        <w:rPr>
          <w:rFonts w:ascii="Book Antiqua" w:hAnsi="Book Antiqua"/>
        </w:rPr>
        <w:sectPr w:rsidR="00BF49CA" w:rsidRPr="008A0228" w:rsidSect="00BA66F0">
          <w:type w:val="continuous"/>
          <w:pgSz w:w="12240" w:h="15840"/>
          <w:pgMar w:top="1440" w:right="1440" w:bottom="1440" w:left="1440" w:header="720" w:footer="720" w:gutter="0"/>
          <w:cols w:space="720"/>
          <w:docGrid w:linePitch="360"/>
        </w:sectPr>
      </w:pPr>
    </w:p>
    <w:p w14:paraId="582B37D0" w14:textId="77777777" w:rsidR="00844417" w:rsidRPr="008A0228" w:rsidRDefault="00844417" w:rsidP="00FE4D0F">
      <w:pPr>
        <w:snapToGrid w:val="0"/>
        <w:spacing w:line="360" w:lineRule="auto"/>
        <w:jc w:val="both"/>
        <w:rPr>
          <w:rFonts w:ascii="Book Antiqua" w:eastAsia="Book Antiqua" w:hAnsi="Book Antiqua" w:cs="Book Antiqua"/>
          <w:b/>
          <w:color w:val="000000"/>
        </w:rPr>
      </w:pPr>
      <w:r w:rsidRPr="008A0228">
        <w:rPr>
          <w:rFonts w:ascii="Book Antiqua" w:eastAsia="Book Antiqua" w:hAnsi="Book Antiqua" w:cs="Book Antiqua"/>
          <w:b/>
          <w:color w:val="000000"/>
        </w:rPr>
        <w:br w:type="page"/>
      </w:r>
    </w:p>
    <w:p w14:paraId="47A1AAB3" w14:textId="2DA2C34D"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Figure Legends</w:t>
      </w:r>
    </w:p>
    <w:p w14:paraId="201E6102" w14:textId="77777777" w:rsidR="005631D1" w:rsidRPr="00FE4D0F" w:rsidRDefault="00865028" w:rsidP="00FE4D0F">
      <w:pPr>
        <w:snapToGrid w:val="0"/>
        <w:spacing w:line="360" w:lineRule="auto"/>
        <w:jc w:val="both"/>
        <w:rPr>
          <w:rFonts w:ascii="Book Antiqua" w:hAnsi="Book Antiqua" w:cs="Book Antiqua"/>
          <w:b/>
          <w:bCs/>
          <w:color w:val="000000" w:themeColor="text1"/>
          <w:lang w:eastAsia="zh-CN"/>
        </w:rPr>
      </w:pPr>
      <w:r w:rsidRPr="00FE4D0F">
        <w:rPr>
          <w:rFonts w:ascii="Book Antiqua" w:hAnsi="Book Antiqua"/>
          <w:noProof/>
          <w:color w:val="000000" w:themeColor="text1"/>
          <w:lang w:eastAsia="zh-CN"/>
        </w:rPr>
        <w:drawing>
          <wp:inline distT="0" distB="0" distL="0" distR="0" wp14:anchorId="61DAEABD" wp14:editId="266C42E2">
            <wp:extent cx="5943600" cy="2192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92655"/>
                    </a:xfrm>
                    <a:prstGeom prst="rect">
                      <a:avLst/>
                    </a:prstGeom>
                  </pic:spPr>
                </pic:pic>
              </a:graphicData>
            </a:graphic>
          </wp:inline>
        </w:drawing>
      </w:r>
    </w:p>
    <w:p w14:paraId="487C443F" w14:textId="77777777" w:rsidR="00A77B3E" w:rsidRPr="00FE4D0F" w:rsidRDefault="005631D1" w:rsidP="00FE4D0F">
      <w:pPr>
        <w:snapToGrid w:val="0"/>
        <w:spacing w:line="360" w:lineRule="auto"/>
        <w:jc w:val="both"/>
        <w:rPr>
          <w:rFonts w:ascii="Book Antiqua" w:hAnsi="Book Antiqua"/>
          <w:color w:val="000000" w:themeColor="text1"/>
          <w:lang w:eastAsia="zh-CN"/>
        </w:rPr>
      </w:pPr>
      <w:r w:rsidRPr="00FE4D0F">
        <w:rPr>
          <w:rFonts w:ascii="Book Antiqua" w:eastAsia="Book Antiqua" w:hAnsi="Book Antiqua" w:cs="Book Antiqua"/>
          <w:b/>
          <w:bCs/>
          <w:color w:val="000000" w:themeColor="text1"/>
        </w:rPr>
        <w:t>Figure 1</w:t>
      </w:r>
      <w:r w:rsidR="003C42F5" w:rsidRPr="00FE4D0F">
        <w:rPr>
          <w:rFonts w:ascii="Book Antiqua" w:eastAsia="Book Antiqua" w:hAnsi="Book Antiqua" w:cs="Book Antiqua"/>
          <w:b/>
          <w:bCs/>
          <w:color w:val="000000" w:themeColor="text1"/>
        </w:rPr>
        <w:t xml:space="preserve"> Mean increase in the </w:t>
      </w:r>
      <w:bookmarkStart w:id="50" w:name="OLE_LINK73"/>
      <w:bookmarkStart w:id="51" w:name="OLE_LINK74"/>
      <w:r w:rsidR="003C42F5" w:rsidRPr="00FE4D0F">
        <w:rPr>
          <w:rFonts w:ascii="Book Antiqua" w:eastAsia="Book Antiqua" w:hAnsi="Book Antiqua" w:cs="Book Antiqua"/>
          <w:b/>
          <w:bCs/>
          <w:color w:val="000000" w:themeColor="text1"/>
        </w:rPr>
        <w:t>best-corrected visual acuity</w:t>
      </w:r>
      <w:bookmarkEnd w:id="50"/>
      <w:bookmarkEnd w:id="51"/>
      <w:r w:rsidR="003C42F5" w:rsidRPr="00FE4D0F">
        <w:rPr>
          <w:rFonts w:ascii="Book Antiqua" w:eastAsia="Book Antiqua" w:hAnsi="Book Antiqua" w:cs="Book Antiqua"/>
          <w:b/>
          <w:bCs/>
          <w:color w:val="000000" w:themeColor="text1"/>
        </w:rPr>
        <w:t xml:space="preserve"> from the pretreatment value.</w:t>
      </w:r>
      <w:r w:rsidRPr="00FE4D0F">
        <w:rPr>
          <w:rFonts w:ascii="Book Antiqua" w:eastAsia="Book Antiqua" w:hAnsi="Book Antiqua" w:cs="Book Antiqua"/>
          <w:b/>
          <w:bCs/>
          <w:color w:val="000000" w:themeColor="text1"/>
        </w:rPr>
        <w:t xml:space="preserve"> </w:t>
      </w:r>
      <w:r w:rsidRPr="00FE4D0F">
        <w:rPr>
          <w:rFonts w:ascii="Book Antiqua" w:eastAsia="Book Antiqua" w:hAnsi="Book Antiqua" w:cs="Book Antiqua"/>
          <w:bCs/>
          <w:color w:val="000000" w:themeColor="text1"/>
        </w:rPr>
        <w:t>BCVA</w:t>
      </w:r>
      <w:r w:rsidRPr="00FE4D0F">
        <w:rPr>
          <w:rFonts w:ascii="Book Antiqua" w:hAnsi="Book Antiqua" w:cs="Book Antiqua"/>
          <w:bCs/>
          <w:color w:val="000000" w:themeColor="text1"/>
          <w:lang w:eastAsia="zh-CN"/>
        </w:rPr>
        <w:t>: B</w:t>
      </w:r>
      <w:r w:rsidRPr="00FE4D0F">
        <w:rPr>
          <w:rFonts w:ascii="Book Antiqua" w:eastAsia="Book Antiqua" w:hAnsi="Book Antiqua" w:cs="Book Antiqua"/>
          <w:bCs/>
          <w:color w:val="000000" w:themeColor="text1"/>
        </w:rPr>
        <w:t>est-corrected visual acuity</w:t>
      </w:r>
      <w:r w:rsidRPr="00FE4D0F">
        <w:rPr>
          <w:rFonts w:ascii="Book Antiqua" w:hAnsi="Book Antiqua" w:cs="Book Antiqua"/>
          <w:bCs/>
          <w:color w:val="000000" w:themeColor="text1"/>
          <w:lang w:eastAsia="zh-CN"/>
        </w:rPr>
        <w:t>.</w:t>
      </w:r>
    </w:p>
    <w:p w14:paraId="6252F967" w14:textId="77777777" w:rsidR="00384DC5" w:rsidRPr="00FE4D0F" w:rsidRDefault="00654774" w:rsidP="00FE4D0F">
      <w:pPr>
        <w:snapToGrid w:val="0"/>
        <w:spacing w:line="360" w:lineRule="auto"/>
        <w:jc w:val="both"/>
        <w:rPr>
          <w:rFonts w:ascii="Book Antiqua" w:hAnsi="Book Antiqua" w:cs="Book Antiqua"/>
          <w:b/>
          <w:bCs/>
          <w:color w:val="000000" w:themeColor="text1"/>
          <w:lang w:eastAsia="zh-CN"/>
        </w:rPr>
      </w:pPr>
      <w:r w:rsidRPr="00FE4D0F">
        <w:rPr>
          <w:rFonts w:ascii="Book Antiqua" w:eastAsia="Book Antiqua" w:hAnsi="Book Antiqua" w:cs="Book Antiqua"/>
          <w:b/>
          <w:bCs/>
          <w:color w:val="000000" w:themeColor="text1"/>
        </w:rPr>
        <w:br w:type="page"/>
      </w:r>
      <w:r w:rsidR="00384DC5" w:rsidRPr="00FE4D0F">
        <w:rPr>
          <w:rFonts w:ascii="Book Antiqua" w:eastAsia="Book Antiqua" w:hAnsi="Book Antiqua" w:cs="Book Antiqua"/>
          <w:b/>
          <w:bCs/>
          <w:noProof/>
          <w:color w:val="000000" w:themeColor="text1"/>
          <w:lang w:eastAsia="zh-CN"/>
        </w:rPr>
        <w:drawing>
          <wp:inline distT="0" distB="0" distL="0" distR="0" wp14:anchorId="224E92FF" wp14:editId="3B6A11A3">
            <wp:extent cx="5936306" cy="3733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070" cy="3734910"/>
                    </a:xfrm>
                    <a:prstGeom prst="rect">
                      <a:avLst/>
                    </a:prstGeom>
                    <a:noFill/>
                  </pic:spPr>
                </pic:pic>
              </a:graphicData>
            </a:graphic>
          </wp:inline>
        </w:drawing>
      </w:r>
    </w:p>
    <w:p w14:paraId="2436E06D" w14:textId="4B115763" w:rsidR="00BD60C8" w:rsidRPr="00FE4D0F" w:rsidRDefault="00384DC5" w:rsidP="00FE4D0F">
      <w:pPr>
        <w:snapToGrid w:val="0"/>
        <w:spacing w:line="360" w:lineRule="auto"/>
        <w:jc w:val="both"/>
        <w:rPr>
          <w:rFonts w:ascii="Book Antiqua" w:eastAsia="Book Antiqua" w:hAnsi="Book Antiqua" w:cs="Book Antiqua"/>
          <w:color w:val="000000" w:themeColor="text1"/>
        </w:rPr>
        <w:sectPr w:rsidR="00BD60C8" w:rsidRPr="00FE4D0F" w:rsidSect="00BA66F0">
          <w:type w:val="continuous"/>
          <w:pgSz w:w="12240" w:h="15840"/>
          <w:pgMar w:top="1440" w:right="1440" w:bottom="1440" w:left="1440" w:header="720" w:footer="720" w:gutter="0"/>
          <w:cols w:space="720"/>
          <w:docGrid w:linePitch="360"/>
        </w:sectPr>
      </w:pPr>
      <w:r w:rsidRPr="00FE4D0F">
        <w:rPr>
          <w:rFonts w:ascii="Book Antiqua" w:eastAsia="Book Antiqua" w:hAnsi="Book Antiqua" w:cs="Book Antiqua"/>
          <w:b/>
          <w:bCs/>
          <w:color w:val="000000" w:themeColor="text1"/>
        </w:rPr>
        <w:t>Figure 2</w:t>
      </w:r>
      <w:r w:rsidR="003C42F5" w:rsidRPr="00FE4D0F">
        <w:rPr>
          <w:rFonts w:ascii="Book Antiqua" w:eastAsia="Book Antiqua" w:hAnsi="Book Antiqua" w:cs="Book Antiqua"/>
          <w:b/>
          <w:bCs/>
          <w:color w:val="000000" w:themeColor="text1"/>
        </w:rPr>
        <w:t xml:space="preserve"> Coats disease of the left eye treated with conbercept combined with 532-laser photocoagulation.</w:t>
      </w:r>
      <w:r w:rsidR="003D4DD4" w:rsidRPr="00FE4D0F">
        <w:rPr>
          <w:rFonts w:ascii="Book Antiqua" w:eastAsia="Book Antiqua" w:hAnsi="Book Antiqua" w:cs="Book Antiqua"/>
          <w:color w:val="000000" w:themeColor="text1"/>
        </w:rPr>
        <w:t xml:space="preserve"> A</w:t>
      </w:r>
      <w:r w:rsidR="003D4DD4" w:rsidRPr="00FE4D0F">
        <w:rPr>
          <w:rFonts w:ascii="Book Antiqua" w:hAnsi="Book Antiqua" w:cs="Book Antiqua"/>
          <w:color w:val="000000" w:themeColor="text1"/>
          <w:lang w:eastAsia="zh-CN"/>
        </w:rPr>
        <w:t>:</w:t>
      </w:r>
      <w:r w:rsidR="003C42F5" w:rsidRPr="00FE4D0F">
        <w:rPr>
          <w:rFonts w:ascii="Book Antiqua" w:eastAsia="Book Antiqua" w:hAnsi="Book Antiqua" w:cs="Book Antiqua"/>
          <w:color w:val="000000" w:themeColor="text1"/>
        </w:rPr>
        <w:t xml:space="preserve"> Fundus photographs of the patient’s eye before treatment and at 1 mo, 1 yr and 2 yrs after treatment a</w:t>
      </w:r>
      <w:r w:rsidR="003D4DD4" w:rsidRPr="00FE4D0F">
        <w:rPr>
          <w:rFonts w:ascii="Book Antiqua" w:eastAsia="Book Antiqua" w:hAnsi="Book Antiqua" w:cs="Book Antiqua"/>
          <w:color w:val="000000" w:themeColor="text1"/>
        </w:rPr>
        <w:t>s well as at the last follow-up</w:t>
      </w:r>
      <w:r w:rsidR="003D4DD4" w:rsidRPr="00FE4D0F">
        <w:rPr>
          <w:rFonts w:ascii="Book Antiqua" w:hAnsi="Book Antiqua" w:cs="Book Antiqua"/>
          <w:color w:val="000000" w:themeColor="text1"/>
          <w:lang w:eastAsia="zh-CN"/>
        </w:rPr>
        <w:t>;</w:t>
      </w:r>
      <w:r w:rsidR="003D4DD4" w:rsidRPr="00FE4D0F">
        <w:rPr>
          <w:rFonts w:ascii="Book Antiqua" w:eastAsia="Book Antiqua" w:hAnsi="Book Antiqua" w:cs="Book Antiqua"/>
          <w:color w:val="000000" w:themeColor="text1"/>
        </w:rPr>
        <w:t xml:space="preserve"> B</w:t>
      </w:r>
      <w:r w:rsidR="003D4DD4" w:rsidRPr="00FE4D0F">
        <w:rPr>
          <w:rFonts w:ascii="Book Antiqua" w:hAnsi="Book Antiqua" w:cs="Book Antiqua"/>
          <w:color w:val="000000" w:themeColor="text1"/>
          <w:lang w:eastAsia="zh-CN"/>
        </w:rPr>
        <w:t>:</w:t>
      </w:r>
      <w:r w:rsidR="003C42F5" w:rsidRPr="00FE4D0F">
        <w:rPr>
          <w:rFonts w:ascii="Book Antiqua" w:eastAsia="Book Antiqua" w:hAnsi="Book Antiqua" w:cs="Book Antiqua"/>
          <w:color w:val="000000" w:themeColor="text1"/>
        </w:rPr>
        <w:t xml:space="preserve"> Changes in central retinal thickness and subretinal fluid before treatment and at 1 wk, 1 mo, 3 mo, 1 yr and 2 yrs after treatment as well as at the final follow-up. The retinal interstitial layer and subretinal regions showed gradual reductions in edema and exudation.</w:t>
      </w:r>
    </w:p>
    <w:p w14:paraId="684C80AC" w14:textId="77777777" w:rsidR="0031311E" w:rsidRPr="00FE4D0F" w:rsidRDefault="00EF6E27" w:rsidP="00FE4D0F">
      <w:pPr>
        <w:autoSpaceDE w:val="0"/>
        <w:autoSpaceDN w:val="0"/>
        <w:adjustRightInd w:val="0"/>
        <w:snapToGrid w:val="0"/>
        <w:spacing w:line="360" w:lineRule="auto"/>
        <w:jc w:val="both"/>
        <w:rPr>
          <w:rFonts w:ascii="Book Antiqua" w:hAnsi="Book Antiqua"/>
          <w:b/>
          <w:bCs/>
          <w:color w:val="000000" w:themeColor="text1"/>
          <w:lang w:eastAsia="zh-CN"/>
        </w:rPr>
      </w:pPr>
      <w:r w:rsidRPr="00FE4D0F">
        <w:rPr>
          <w:rFonts w:ascii="Book Antiqua" w:hAnsi="Book Antiqua"/>
          <w:b/>
          <w:bCs/>
          <w:color w:val="000000" w:themeColor="text1"/>
        </w:rPr>
        <w:t>Table 1</w:t>
      </w:r>
      <w:r w:rsidR="0031311E" w:rsidRPr="00FE4D0F">
        <w:rPr>
          <w:rFonts w:ascii="Book Antiqua" w:hAnsi="Book Antiqua"/>
          <w:b/>
          <w:bCs/>
          <w:color w:val="000000" w:themeColor="text1"/>
        </w:rPr>
        <w:t xml:space="preserve"> Clinical characteri</w:t>
      </w:r>
      <w:r w:rsidRPr="00FE4D0F">
        <w:rPr>
          <w:rFonts w:ascii="Book Antiqua" w:hAnsi="Book Antiqua"/>
          <w:b/>
          <w:bCs/>
          <w:color w:val="000000" w:themeColor="text1"/>
        </w:rPr>
        <w:t>stics of the study participants</w:t>
      </w:r>
    </w:p>
    <w:tbl>
      <w:tblPr>
        <w:tblStyle w:val="aa"/>
        <w:tblW w:w="15792"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93"/>
        <w:gridCol w:w="709"/>
        <w:gridCol w:w="1276"/>
        <w:gridCol w:w="992"/>
        <w:gridCol w:w="1276"/>
        <w:gridCol w:w="992"/>
        <w:gridCol w:w="1219"/>
        <w:gridCol w:w="882"/>
        <w:gridCol w:w="709"/>
        <w:gridCol w:w="709"/>
        <w:gridCol w:w="709"/>
        <w:gridCol w:w="708"/>
        <w:gridCol w:w="709"/>
        <w:gridCol w:w="851"/>
        <w:gridCol w:w="850"/>
        <w:gridCol w:w="851"/>
        <w:gridCol w:w="733"/>
      </w:tblGrid>
      <w:tr w:rsidR="000849D0" w:rsidRPr="006C4D95" w14:paraId="7D100E6F" w14:textId="77777777" w:rsidTr="00CF3CBE">
        <w:trPr>
          <w:trHeight w:val="1328"/>
          <w:jc w:val="center"/>
        </w:trPr>
        <w:tc>
          <w:tcPr>
            <w:tcW w:w="624" w:type="dxa"/>
            <w:tcBorders>
              <w:top w:val="single" w:sz="4" w:space="0" w:color="000000" w:themeColor="text1"/>
              <w:bottom w:val="single" w:sz="4" w:space="0" w:color="000000" w:themeColor="text1"/>
            </w:tcBorders>
            <w:vAlign w:val="center"/>
          </w:tcPr>
          <w:p w14:paraId="59F146D6"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Case no.</w:t>
            </w:r>
          </w:p>
        </w:tc>
        <w:tc>
          <w:tcPr>
            <w:tcW w:w="993" w:type="dxa"/>
            <w:tcBorders>
              <w:top w:val="single" w:sz="4" w:space="0" w:color="000000" w:themeColor="text1"/>
              <w:bottom w:val="single" w:sz="4" w:space="0" w:color="000000" w:themeColor="text1"/>
            </w:tcBorders>
            <w:vAlign w:val="center"/>
          </w:tcPr>
          <w:p w14:paraId="18375F5A" w14:textId="38C73E98"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 xml:space="preserve">Sex/age </w:t>
            </w:r>
            <w:r w:rsidR="008A0228">
              <w:rPr>
                <w:rFonts w:ascii="Book Antiqua" w:hAnsi="Book Antiqua"/>
                <w:b/>
                <w:color w:val="000000" w:themeColor="text1"/>
              </w:rPr>
              <w:t xml:space="preserve">in </w:t>
            </w:r>
            <w:r w:rsidRPr="00FE4D0F">
              <w:rPr>
                <w:rFonts w:ascii="Book Antiqua" w:hAnsi="Book Antiqua"/>
                <w:b/>
                <w:color w:val="000000" w:themeColor="text1"/>
              </w:rPr>
              <w:t>y</w:t>
            </w:r>
            <w:r w:rsidR="000A2370" w:rsidRPr="00FE4D0F">
              <w:rPr>
                <w:rFonts w:ascii="Book Antiqua" w:hAnsi="Book Antiqua"/>
                <w:b/>
                <w:color w:val="000000" w:themeColor="text1"/>
              </w:rPr>
              <w:t>r</w:t>
            </w:r>
            <w:r w:rsidRPr="00FE4D0F">
              <w:rPr>
                <w:rFonts w:ascii="Book Antiqua" w:hAnsi="Book Antiqua"/>
                <w:b/>
                <w:color w:val="000000" w:themeColor="text1"/>
              </w:rPr>
              <w:t>/eye</w:t>
            </w:r>
          </w:p>
        </w:tc>
        <w:tc>
          <w:tcPr>
            <w:tcW w:w="709" w:type="dxa"/>
            <w:tcBorders>
              <w:top w:val="single" w:sz="4" w:space="0" w:color="000000" w:themeColor="text1"/>
              <w:bottom w:val="single" w:sz="4" w:space="0" w:color="000000" w:themeColor="text1"/>
            </w:tcBorders>
            <w:vAlign w:val="center"/>
          </w:tcPr>
          <w:p w14:paraId="1F51D0D8"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Stage</w:t>
            </w:r>
          </w:p>
        </w:tc>
        <w:tc>
          <w:tcPr>
            <w:tcW w:w="1276" w:type="dxa"/>
            <w:tcBorders>
              <w:top w:val="single" w:sz="4" w:space="0" w:color="000000" w:themeColor="text1"/>
              <w:bottom w:val="single" w:sz="4" w:space="0" w:color="000000" w:themeColor="text1"/>
            </w:tcBorders>
            <w:vAlign w:val="center"/>
          </w:tcPr>
          <w:p w14:paraId="20C5BD72"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Comorbidity</w:t>
            </w:r>
          </w:p>
        </w:tc>
        <w:tc>
          <w:tcPr>
            <w:tcW w:w="992" w:type="dxa"/>
            <w:tcBorders>
              <w:top w:val="single" w:sz="4" w:space="0" w:color="000000" w:themeColor="text1"/>
              <w:bottom w:val="single" w:sz="4" w:space="0" w:color="000000" w:themeColor="text1"/>
            </w:tcBorders>
            <w:vAlign w:val="center"/>
          </w:tcPr>
          <w:p w14:paraId="5D01831F"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Alcohol/smoking status</w:t>
            </w:r>
          </w:p>
        </w:tc>
        <w:tc>
          <w:tcPr>
            <w:tcW w:w="1276" w:type="dxa"/>
            <w:tcBorders>
              <w:top w:val="single" w:sz="4" w:space="0" w:color="000000" w:themeColor="text1"/>
              <w:bottom w:val="single" w:sz="4" w:space="0" w:color="000000" w:themeColor="text1"/>
            </w:tcBorders>
            <w:vAlign w:val="center"/>
          </w:tcPr>
          <w:p w14:paraId="1E102BC2" w14:textId="2BAA3625"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Quadrants of telang</w:t>
            </w:r>
            <w:r w:rsidR="00243CDB" w:rsidRPr="00FE4D0F">
              <w:rPr>
                <w:rFonts w:ascii="Book Antiqua" w:hAnsi="Book Antiqua"/>
                <w:b/>
                <w:color w:val="000000" w:themeColor="text1"/>
              </w:rPr>
              <w:t>i</w:t>
            </w:r>
            <w:r w:rsidRPr="00FE4D0F">
              <w:rPr>
                <w:rFonts w:ascii="Book Antiqua" w:hAnsi="Book Antiqua"/>
                <w:b/>
                <w:color w:val="000000" w:themeColor="text1"/>
              </w:rPr>
              <w:t>ectasia</w:t>
            </w:r>
          </w:p>
        </w:tc>
        <w:tc>
          <w:tcPr>
            <w:tcW w:w="992" w:type="dxa"/>
            <w:tcBorders>
              <w:top w:val="single" w:sz="4" w:space="0" w:color="000000" w:themeColor="text1"/>
              <w:bottom w:val="single" w:sz="4" w:space="0" w:color="000000" w:themeColor="text1"/>
            </w:tcBorders>
            <w:vAlign w:val="center"/>
          </w:tcPr>
          <w:p w14:paraId="6D6B6FBD"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No. of</w:t>
            </w:r>
            <w:r w:rsidR="000C5750" w:rsidRPr="00FE4D0F">
              <w:rPr>
                <w:rFonts w:ascii="Book Antiqua" w:hAnsi="Book Antiqua"/>
                <w:b/>
                <w:color w:val="000000" w:themeColor="text1"/>
              </w:rPr>
              <w:t xml:space="preserve"> </w:t>
            </w:r>
            <w:r w:rsidRPr="00FE4D0F">
              <w:rPr>
                <w:rFonts w:ascii="Book Antiqua" w:hAnsi="Book Antiqua"/>
                <w:b/>
                <w:color w:val="000000" w:themeColor="text1"/>
              </w:rPr>
              <w:t>injections</w:t>
            </w:r>
          </w:p>
        </w:tc>
        <w:tc>
          <w:tcPr>
            <w:tcW w:w="1219" w:type="dxa"/>
            <w:tcBorders>
              <w:top w:val="single" w:sz="4" w:space="0" w:color="000000" w:themeColor="text1"/>
              <w:bottom w:val="single" w:sz="4" w:space="0" w:color="000000" w:themeColor="text1"/>
            </w:tcBorders>
            <w:vAlign w:val="center"/>
          </w:tcPr>
          <w:p w14:paraId="4DAAA3B0"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No. of</w:t>
            </w:r>
            <w:r w:rsidR="000C5750" w:rsidRPr="00FE4D0F">
              <w:rPr>
                <w:rFonts w:ascii="Book Antiqua" w:hAnsi="Book Antiqua"/>
                <w:b/>
                <w:color w:val="000000" w:themeColor="text1"/>
              </w:rPr>
              <w:t xml:space="preserve"> </w:t>
            </w:r>
            <w:r w:rsidRPr="00FE4D0F">
              <w:rPr>
                <w:rFonts w:ascii="Book Antiqua" w:hAnsi="Book Antiqua"/>
                <w:b/>
                <w:color w:val="000000" w:themeColor="text1"/>
              </w:rPr>
              <w:t>laser therapies</w:t>
            </w:r>
          </w:p>
        </w:tc>
        <w:tc>
          <w:tcPr>
            <w:tcW w:w="882" w:type="dxa"/>
            <w:tcBorders>
              <w:top w:val="single" w:sz="4" w:space="0" w:color="000000" w:themeColor="text1"/>
              <w:bottom w:val="single" w:sz="4" w:space="0" w:color="000000" w:themeColor="text1"/>
            </w:tcBorders>
            <w:vAlign w:val="center"/>
          </w:tcPr>
          <w:p w14:paraId="265684DC"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p>
          <w:p w14:paraId="6033B14E" w14:textId="77777777" w:rsidR="0031311E" w:rsidRPr="00FE4D0F" w:rsidDel="00EC2CCA"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baseline</w:t>
            </w:r>
          </w:p>
        </w:tc>
        <w:tc>
          <w:tcPr>
            <w:tcW w:w="709" w:type="dxa"/>
            <w:tcBorders>
              <w:top w:val="single" w:sz="4" w:space="0" w:color="000000" w:themeColor="text1"/>
              <w:bottom w:val="single" w:sz="4" w:space="0" w:color="000000" w:themeColor="text1"/>
            </w:tcBorders>
            <w:vAlign w:val="center"/>
          </w:tcPr>
          <w:p w14:paraId="3A25DED1"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1 w</w:t>
            </w:r>
            <w:r w:rsidR="00804321" w:rsidRPr="00FE4D0F">
              <w:rPr>
                <w:rFonts w:ascii="Book Antiqua" w:hAnsi="Book Antiqua"/>
                <w:b/>
                <w:color w:val="000000" w:themeColor="text1"/>
              </w:rPr>
              <w:t>k</w:t>
            </w:r>
          </w:p>
        </w:tc>
        <w:tc>
          <w:tcPr>
            <w:tcW w:w="709" w:type="dxa"/>
            <w:tcBorders>
              <w:top w:val="single" w:sz="4" w:space="0" w:color="000000" w:themeColor="text1"/>
              <w:bottom w:val="single" w:sz="4" w:space="0" w:color="000000" w:themeColor="text1"/>
            </w:tcBorders>
            <w:vAlign w:val="center"/>
          </w:tcPr>
          <w:p w14:paraId="59E1DDD4"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1 m</w:t>
            </w:r>
            <w:r w:rsidR="00804321" w:rsidRPr="00FE4D0F">
              <w:rPr>
                <w:rFonts w:ascii="Book Antiqua" w:hAnsi="Book Antiqua"/>
                <w:b/>
                <w:color w:val="000000" w:themeColor="text1"/>
              </w:rPr>
              <w:t>o</w:t>
            </w:r>
          </w:p>
        </w:tc>
        <w:tc>
          <w:tcPr>
            <w:tcW w:w="709" w:type="dxa"/>
            <w:tcBorders>
              <w:top w:val="single" w:sz="4" w:space="0" w:color="000000" w:themeColor="text1"/>
              <w:bottom w:val="single" w:sz="4" w:space="0" w:color="000000" w:themeColor="text1"/>
            </w:tcBorders>
            <w:vAlign w:val="center"/>
          </w:tcPr>
          <w:p w14:paraId="4907E90E"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3 m</w:t>
            </w:r>
            <w:r w:rsidR="00804321" w:rsidRPr="00FE4D0F">
              <w:rPr>
                <w:rFonts w:ascii="Book Antiqua" w:hAnsi="Book Antiqua"/>
                <w:b/>
                <w:color w:val="000000" w:themeColor="text1"/>
              </w:rPr>
              <w:t>o</w:t>
            </w:r>
          </w:p>
        </w:tc>
        <w:tc>
          <w:tcPr>
            <w:tcW w:w="708" w:type="dxa"/>
            <w:tcBorders>
              <w:top w:val="single" w:sz="4" w:space="0" w:color="000000" w:themeColor="text1"/>
              <w:bottom w:val="single" w:sz="4" w:space="0" w:color="000000" w:themeColor="text1"/>
            </w:tcBorders>
            <w:vAlign w:val="center"/>
          </w:tcPr>
          <w:p w14:paraId="4F848C29"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6 m</w:t>
            </w:r>
            <w:r w:rsidR="00804321" w:rsidRPr="00FE4D0F">
              <w:rPr>
                <w:rFonts w:ascii="Book Antiqua" w:hAnsi="Book Antiqua"/>
                <w:b/>
                <w:color w:val="000000" w:themeColor="text1"/>
              </w:rPr>
              <w:t>o</w:t>
            </w:r>
          </w:p>
        </w:tc>
        <w:tc>
          <w:tcPr>
            <w:tcW w:w="709" w:type="dxa"/>
            <w:tcBorders>
              <w:top w:val="single" w:sz="4" w:space="0" w:color="000000" w:themeColor="text1"/>
              <w:bottom w:val="single" w:sz="4" w:space="0" w:color="000000" w:themeColor="text1"/>
            </w:tcBorders>
            <w:vAlign w:val="center"/>
          </w:tcPr>
          <w:p w14:paraId="2B01E513"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9 m</w:t>
            </w:r>
            <w:r w:rsidR="00804321" w:rsidRPr="00FE4D0F">
              <w:rPr>
                <w:rFonts w:ascii="Book Antiqua" w:hAnsi="Book Antiqua"/>
                <w:b/>
                <w:color w:val="000000" w:themeColor="text1"/>
              </w:rPr>
              <w:t>o</w:t>
            </w:r>
          </w:p>
        </w:tc>
        <w:tc>
          <w:tcPr>
            <w:tcW w:w="851" w:type="dxa"/>
            <w:tcBorders>
              <w:top w:val="single" w:sz="4" w:space="0" w:color="000000" w:themeColor="text1"/>
              <w:bottom w:val="single" w:sz="4" w:space="0" w:color="000000" w:themeColor="text1"/>
            </w:tcBorders>
            <w:vAlign w:val="center"/>
          </w:tcPr>
          <w:p w14:paraId="02BDDE20"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12 m</w:t>
            </w:r>
            <w:r w:rsidR="00804321" w:rsidRPr="00FE4D0F">
              <w:rPr>
                <w:rFonts w:ascii="Book Antiqua" w:hAnsi="Book Antiqua"/>
                <w:b/>
                <w:color w:val="000000" w:themeColor="text1"/>
              </w:rPr>
              <w:t>o</w:t>
            </w:r>
          </w:p>
        </w:tc>
        <w:tc>
          <w:tcPr>
            <w:tcW w:w="850" w:type="dxa"/>
            <w:tcBorders>
              <w:top w:val="single" w:sz="4" w:space="0" w:color="000000" w:themeColor="text1"/>
              <w:bottom w:val="single" w:sz="4" w:space="0" w:color="000000" w:themeColor="text1"/>
            </w:tcBorders>
            <w:vAlign w:val="center"/>
          </w:tcPr>
          <w:p w14:paraId="48FF2B65"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24 m</w:t>
            </w:r>
            <w:r w:rsidR="00804321" w:rsidRPr="00FE4D0F">
              <w:rPr>
                <w:rFonts w:ascii="Book Antiqua" w:hAnsi="Book Antiqua"/>
                <w:b/>
                <w:color w:val="000000" w:themeColor="text1"/>
              </w:rPr>
              <w:t>o</w:t>
            </w:r>
          </w:p>
        </w:tc>
        <w:tc>
          <w:tcPr>
            <w:tcW w:w="851" w:type="dxa"/>
            <w:tcBorders>
              <w:top w:val="single" w:sz="4" w:space="0" w:color="000000" w:themeColor="text1"/>
              <w:bottom w:val="single" w:sz="4" w:space="0" w:color="000000" w:themeColor="text1"/>
            </w:tcBorders>
            <w:vAlign w:val="center"/>
          </w:tcPr>
          <w:p w14:paraId="00309D43"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36 m</w:t>
            </w:r>
            <w:r w:rsidR="00804321" w:rsidRPr="00FE4D0F">
              <w:rPr>
                <w:rFonts w:ascii="Book Antiqua" w:hAnsi="Book Antiqua"/>
                <w:b/>
                <w:color w:val="000000" w:themeColor="text1"/>
              </w:rPr>
              <w:t>o</w:t>
            </w:r>
          </w:p>
        </w:tc>
        <w:tc>
          <w:tcPr>
            <w:tcW w:w="733" w:type="dxa"/>
            <w:tcBorders>
              <w:top w:val="single" w:sz="4" w:space="0" w:color="000000" w:themeColor="text1"/>
              <w:bottom w:val="single" w:sz="4" w:space="0" w:color="000000" w:themeColor="text1"/>
            </w:tcBorders>
            <w:vAlign w:val="center"/>
          </w:tcPr>
          <w:p w14:paraId="640DB61B"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Termination</w:t>
            </w:r>
          </w:p>
        </w:tc>
      </w:tr>
      <w:tr w:rsidR="000849D0" w:rsidRPr="006C4D95" w14:paraId="0AE1DADE" w14:textId="77777777" w:rsidTr="00CF3CBE">
        <w:trPr>
          <w:trHeight w:val="335"/>
          <w:jc w:val="center"/>
        </w:trPr>
        <w:tc>
          <w:tcPr>
            <w:tcW w:w="624" w:type="dxa"/>
            <w:tcBorders>
              <w:top w:val="single" w:sz="4" w:space="0" w:color="000000" w:themeColor="text1"/>
            </w:tcBorders>
            <w:vAlign w:val="center"/>
          </w:tcPr>
          <w:p w14:paraId="6C06C4B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993" w:type="dxa"/>
            <w:tcBorders>
              <w:top w:val="single" w:sz="4" w:space="0" w:color="000000" w:themeColor="text1"/>
            </w:tcBorders>
            <w:vAlign w:val="center"/>
          </w:tcPr>
          <w:p w14:paraId="5AB66FC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M/31/os</w:t>
            </w:r>
          </w:p>
        </w:tc>
        <w:tc>
          <w:tcPr>
            <w:tcW w:w="709" w:type="dxa"/>
            <w:tcBorders>
              <w:top w:val="single" w:sz="4" w:space="0" w:color="000000" w:themeColor="text1"/>
            </w:tcBorders>
            <w:vAlign w:val="center"/>
          </w:tcPr>
          <w:p w14:paraId="23EB45D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tcBorders>
              <w:top w:val="single" w:sz="4" w:space="0" w:color="000000" w:themeColor="text1"/>
            </w:tcBorders>
            <w:vAlign w:val="center"/>
          </w:tcPr>
          <w:p w14:paraId="13E412F1"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tcBorders>
              <w:top w:val="single" w:sz="4" w:space="0" w:color="000000" w:themeColor="text1"/>
            </w:tcBorders>
            <w:vAlign w:val="center"/>
          </w:tcPr>
          <w:p w14:paraId="2FB7715B"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Smoker</w:t>
            </w:r>
          </w:p>
        </w:tc>
        <w:tc>
          <w:tcPr>
            <w:tcW w:w="1276" w:type="dxa"/>
            <w:tcBorders>
              <w:top w:val="single" w:sz="4" w:space="0" w:color="000000" w:themeColor="text1"/>
            </w:tcBorders>
            <w:vAlign w:val="center"/>
          </w:tcPr>
          <w:p w14:paraId="2B8486A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tcBorders>
              <w:top w:val="single" w:sz="4" w:space="0" w:color="000000" w:themeColor="text1"/>
            </w:tcBorders>
            <w:vAlign w:val="center"/>
          </w:tcPr>
          <w:p w14:paraId="162F73CA"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1219" w:type="dxa"/>
            <w:tcBorders>
              <w:top w:val="single" w:sz="4" w:space="0" w:color="000000" w:themeColor="text1"/>
            </w:tcBorders>
            <w:vAlign w:val="center"/>
          </w:tcPr>
          <w:p w14:paraId="3579D72A"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882" w:type="dxa"/>
            <w:tcBorders>
              <w:top w:val="single" w:sz="4" w:space="0" w:color="000000" w:themeColor="text1"/>
            </w:tcBorders>
            <w:vAlign w:val="center"/>
          </w:tcPr>
          <w:p w14:paraId="1E402460"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60</w:t>
            </w:r>
          </w:p>
        </w:tc>
        <w:tc>
          <w:tcPr>
            <w:tcW w:w="709" w:type="dxa"/>
            <w:tcBorders>
              <w:top w:val="single" w:sz="4" w:space="0" w:color="000000" w:themeColor="text1"/>
            </w:tcBorders>
            <w:vAlign w:val="center"/>
          </w:tcPr>
          <w:p w14:paraId="1DC0409B"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tcBorders>
              <w:top w:val="single" w:sz="4" w:space="0" w:color="000000" w:themeColor="text1"/>
            </w:tcBorders>
            <w:vAlign w:val="center"/>
          </w:tcPr>
          <w:p w14:paraId="737B49F4"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68</w:t>
            </w:r>
          </w:p>
        </w:tc>
        <w:tc>
          <w:tcPr>
            <w:tcW w:w="709" w:type="dxa"/>
            <w:tcBorders>
              <w:top w:val="single" w:sz="4" w:space="0" w:color="000000" w:themeColor="text1"/>
            </w:tcBorders>
            <w:vAlign w:val="center"/>
          </w:tcPr>
          <w:p w14:paraId="5BD1191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8" w:type="dxa"/>
            <w:tcBorders>
              <w:top w:val="single" w:sz="4" w:space="0" w:color="000000" w:themeColor="text1"/>
            </w:tcBorders>
            <w:vAlign w:val="center"/>
          </w:tcPr>
          <w:p w14:paraId="7FBB6BB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tcBorders>
              <w:top w:val="single" w:sz="4" w:space="0" w:color="000000" w:themeColor="text1"/>
            </w:tcBorders>
            <w:vAlign w:val="center"/>
          </w:tcPr>
          <w:p w14:paraId="5420B482"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74</w:t>
            </w:r>
          </w:p>
        </w:tc>
        <w:tc>
          <w:tcPr>
            <w:tcW w:w="851" w:type="dxa"/>
            <w:tcBorders>
              <w:top w:val="single" w:sz="4" w:space="0" w:color="000000" w:themeColor="text1"/>
            </w:tcBorders>
            <w:vAlign w:val="center"/>
          </w:tcPr>
          <w:p w14:paraId="05B9B57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72</w:t>
            </w:r>
          </w:p>
        </w:tc>
        <w:tc>
          <w:tcPr>
            <w:tcW w:w="850" w:type="dxa"/>
            <w:tcBorders>
              <w:top w:val="single" w:sz="4" w:space="0" w:color="000000" w:themeColor="text1"/>
            </w:tcBorders>
            <w:vAlign w:val="center"/>
          </w:tcPr>
          <w:p w14:paraId="4073990E"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66</w:t>
            </w:r>
          </w:p>
        </w:tc>
        <w:tc>
          <w:tcPr>
            <w:tcW w:w="851" w:type="dxa"/>
            <w:tcBorders>
              <w:top w:val="single" w:sz="4" w:space="0" w:color="000000" w:themeColor="text1"/>
            </w:tcBorders>
            <w:vAlign w:val="center"/>
          </w:tcPr>
          <w:p w14:paraId="2DC38D7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65</w:t>
            </w:r>
          </w:p>
        </w:tc>
        <w:tc>
          <w:tcPr>
            <w:tcW w:w="733" w:type="dxa"/>
            <w:tcBorders>
              <w:top w:val="single" w:sz="4" w:space="0" w:color="000000" w:themeColor="text1"/>
            </w:tcBorders>
            <w:vAlign w:val="center"/>
          </w:tcPr>
          <w:p w14:paraId="42171733"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65</w:t>
            </w:r>
          </w:p>
        </w:tc>
      </w:tr>
      <w:tr w:rsidR="000849D0" w:rsidRPr="006C4D95" w14:paraId="6806F93E" w14:textId="77777777" w:rsidTr="00CF3CBE">
        <w:trPr>
          <w:trHeight w:val="323"/>
          <w:jc w:val="center"/>
        </w:trPr>
        <w:tc>
          <w:tcPr>
            <w:tcW w:w="624" w:type="dxa"/>
            <w:vAlign w:val="center"/>
          </w:tcPr>
          <w:p w14:paraId="15963A3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993" w:type="dxa"/>
            <w:vAlign w:val="center"/>
          </w:tcPr>
          <w:p w14:paraId="3F44E37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M/35/os</w:t>
            </w:r>
          </w:p>
        </w:tc>
        <w:tc>
          <w:tcPr>
            <w:tcW w:w="709" w:type="dxa"/>
            <w:vAlign w:val="center"/>
          </w:tcPr>
          <w:p w14:paraId="50D82E7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vAlign w:val="center"/>
          </w:tcPr>
          <w:p w14:paraId="107C69D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0FF4732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Drinker</w:t>
            </w:r>
          </w:p>
        </w:tc>
        <w:tc>
          <w:tcPr>
            <w:tcW w:w="1276" w:type="dxa"/>
            <w:vAlign w:val="center"/>
          </w:tcPr>
          <w:p w14:paraId="2FF2A584"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992" w:type="dxa"/>
            <w:vAlign w:val="center"/>
          </w:tcPr>
          <w:p w14:paraId="0AC48695"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1219" w:type="dxa"/>
            <w:vAlign w:val="center"/>
          </w:tcPr>
          <w:p w14:paraId="306BBC80"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882" w:type="dxa"/>
            <w:vAlign w:val="center"/>
          </w:tcPr>
          <w:p w14:paraId="302B4115"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55</w:t>
            </w:r>
          </w:p>
        </w:tc>
        <w:tc>
          <w:tcPr>
            <w:tcW w:w="709" w:type="dxa"/>
            <w:vAlign w:val="center"/>
          </w:tcPr>
          <w:p w14:paraId="066CA08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1056B24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6902553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8" w:type="dxa"/>
            <w:vAlign w:val="center"/>
          </w:tcPr>
          <w:p w14:paraId="198AF4E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02E1C29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851" w:type="dxa"/>
            <w:vAlign w:val="center"/>
          </w:tcPr>
          <w:p w14:paraId="29F30D0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0" w:type="dxa"/>
            <w:vAlign w:val="center"/>
          </w:tcPr>
          <w:p w14:paraId="6C48584E"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80</w:t>
            </w:r>
          </w:p>
        </w:tc>
        <w:tc>
          <w:tcPr>
            <w:tcW w:w="851" w:type="dxa"/>
            <w:vAlign w:val="center"/>
          </w:tcPr>
          <w:p w14:paraId="2E709C1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76</w:t>
            </w:r>
          </w:p>
        </w:tc>
        <w:tc>
          <w:tcPr>
            <w:tcW w:w="733" w:type="dxa"/>
            <w:vAlign w:val="center"/>
          </w:tcPr>
          <w:p w14:paraId="31215D5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76</w:t>
            </w:r>
          </w:p>
        </w:tc>
      </w:tr>
      <w:tr w:rsidR="000849D0" w:rsidRPr="006C4D95" w14:paraId="12A0605B" w14:textId="77777777" w:rsidTr="00CF3CBE">
        <w:trPr>
          <w:trHeight w:val="335"/>
          <w:jc w:val="center"/>
        </w:trPr>
        <w:tc>
          <w:tcPr>
            <w:tcW w:w="624" w:type="dxa"/>
            <w:vAlign w:val="center"/>
          </w:tcPr>
          <w:p w14:paraId="6E94BE86"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3" w:type="dxa"/>
            <w:vAlign w:val="center"/>
          </w:tcPr>
          <w:p w14:paraId="5B5E164F"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M/45/od</w:t>
            </w:r>
          </w:p>
        </w:tc>
        <w:tc>
          <w:tcPr>
            <w:tcW w:w="709" w:type="dxa"/>
            <w:vAlign w:val="center"/>
          </w:tcPr>
          <w:p w14:paraId="438AC9D0"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vAlign w:val="center"/>
          </w:tcPr>
          <w:p w14:paraId="3E6D06BB"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HT</w:t>
            </w:r>
          </w:p>
        </w:tc>
        <w:tc>
          <w:tcPr>
            <w:tcW w:w="992" w:type="dxa"/>
            <w:vAlign w:val="center"/>
          </w:tcPr>
          <w:p w14:paraId="77A8096C"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Drinker</w:t>
            </w:r>
          </w:p>
        </w:tc>
        <w:tc>
          <w:tcPr>
            <w:tcW w:w="1276" w:type="dxa"/>
            <w:vAlign w:val="center"/>
          </w:tcPr>
          <w:p w14:paraId="047E7E1B"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992" w:type="dxa"/>
            <w:vAlign w:val="center"/>
          </w:tcPr>
          <w:p w14:paraId="03B88DA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1219" w:type="dxa"/>
            <w:vAlign w:val="center"/>
          </w:tcPr>
          <w:p w14:paraId="5A2004B5"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882" w:type="dxa"/>
            <w:vAlign w:val="center"/>
          </w:tcPr>
          <w:p w14:paraId="19616BF2"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28</w:t>
            </w:r>
          </w:p>
        </w:tc>
        <w:tc>
          <w:tcPr>
            <w:tcW w:w="709" w:type="dxa"/>
            <w:vAlign w:val="center"/>
          </w:tcPr>
          <w:p w14:paraId="4976F4B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40</w:t>
            </w:r>
          </w:p>
        </w:tc>
        <w:tc>
          <w:tcPr>
            <w:tcW w:w="709" w:type="dxa"/>
            <w:vAlign w:val="center"/>
          </w:tcPr>
          <w:p w14:paraId="7397B79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45</w:t>
            </w:r>
          </w:p>
        </w:tc>
        <w:tc>
          <w:tcPr>
            <w:tcW w:w="709" w:type="dxa"/>
            <w:vAlign w:val="center"/>
          </w:tcPr>
          <w:p w14:paraId="1E6C3B1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50</w:t>
            </w:r>
          </w:p>
        </w:tc>
        <w:tc>
          <w:tcPr>
            <w:tcW w:w="708" w:type="dxa"/>
            <w:vAlign w:val="center"/>
          </w:tcPr>
          <w:p w14:paraId="39246DD3"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53</w:t>
            </w:r>
          </w:p>
        </w:tc>
        <w:tc>
          <w:tcPr>
            <w:tcW w:w="709" w:type="dxa"/>
            <w:vAlign w:val="center"/>
          </w:tcPr>
          <w:p w14:paraId="45960A8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c>
          <w:tcPr>
            <w:tcW w:w="851" w:type="dxa"/>
            <w:vAlign w:val="center"/>
          </w:tcPr>
          <w:p w14:paraId="281E8C7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c>
          <w:tcPr>
            <w:tcW w:w="850" w:type="dxa"/>
            <w:vAlign w:val="center"/>
          </w:tcPr>
          <w:p w14:paraId="36FFD6F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53</w:t>
            </w:r>
          </w:p>
        </w:tc>
        <w:tc>
          <w:tcPr>
            <w:tcW w:w="851" w:type="dxa"/>
            <w:vAlign w:val="center"/>
          </w:tcPr>
          <w:p w14:paraId="0FE6E03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c>
          <w:tcPr>
            <w:tcW w:w="733" w:type="dxa"/>
            <w:vAlign w:val="center"/>
          </w:tcPr>
          <w:p w14:paraId="27340B4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r>
      <w:tr w:rsidR="000849D0" w:rsidRPr="006C4D95" w14:paraId="4DEEEFF6" w14:textId="77777777" w:rsidTr="00CF3CBE">
        <w:trPr>
          <w:trHeight w:val="335"/>
          <w:jc w:val="center"/>
        </w:trPr>
        <w:tc>
          <w:tcPr>
            <w:tcW w:w="624" w:type="dxa"/>
            <w:vAlign w:val="center"/>
          </w:tcPr>
          <w:p w14:paraId="2D9D4F30"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4</w:t>
            </w:r>
          </w:p>
        </w:tc>
        <w:tc>
          <w:tcPr>
            <w:tcW w:w="993" w:type="dxa"/>
            <w:vAlign w:val="center"/>
          </w:tcPr>
          <w:p w14:paraId="06F3ACE6"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M/29/os</w:t>
            </w:r>
          </w:p>
        </w:tc>
        <w:tc>
          <w:tcPr>
            <w:tcW w:w="709" w:type="dxa"/>
            <w:vAlign w:val="center"/>
          </w:tcPr>
          <w:p w14:paraId="4D3C9978"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vAlign w:val="center"/>
          </w:tcPr>
          <w:p w14:paraId="28D866F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10F3BBF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1276" w:type="dxa"/>
            <w:vAlign w:val="center"/>
          </w:tcPr>
          <w:p w14:paraId="717E0A0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vAlign w:val="center"/>
          </w:tcPr>
          <w:p w14:paraId="0B549E7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1219" w:type="dxa"/>
            <w:vAlign w:val="center"/>
          </w:tcPr>
          <w:p w14:paraId="484F297F"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882" w:type="dxa"/>
            <w:vAlign w:val="center"/>
          </w:tcPr>
          <w:p w14:paraId="1FF7BBD0"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39</w:t>
            </w:r>
          </w:p>
        </w:tc>
        <w:tc>
          <w:tcPr>
            <w:tcW w:w="709" w:type="dxa"/>
            <w:vAlign w:val="center"/>
          </w:tcPr>
          <w:p w14:paraId="7DECE9C2"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c>
          <w:tcPr>
            <w:tcW w:w="709" w:type="dxa"/>
            <w:vAlign w:val="center"/>
          </w:tcPr>
          <w:p w14:paraId="04D0B77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65</w:t>
            </w:r>
          </w:p>
        </w:tc>
        <w:tc>
          <w:tcPr>
            <w:tcW w:w="709" w:type="dxa"/>
            <w:vAlign w:val="center"/>
          </w:tcPr>
          <w:p w14:paraId="561AC04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60</w:t>
            </w:r>
          </w:p>
        </w:tc>
        <w:tc>
          <w:tcPr>
            <w:tcW w:w="708" w:type="dxa"/>
            <w:vAlign w:val="center"/>
          </w:tcPr>
          <w:p w14:paraId="5B4EFCD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58</w:t>
            </w:r>
          </w:p>
        </w:tc>
        <w:tc>
          <w:tcPr>
            <w:tcW w:w="709" w:type="dxa"/>
            <w:vAlign w:val="center"/>
          </w:tcPr>
          <w:p w14:paraId="0045D16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60</w:t>
            </w:r>
          </w:p>
        </w:tc>
        <w:tc>
          <w:tcPr>
            <w:tcW w:w="851" w:type="dxa"/>
            <w:vAlign w:val="center"/>
          </w:tcPr>
          <w:p w14:paraId="117EBFA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60</w:t>
            </w:r>
          </w:p>
        </w:tc>
        <w:tc>
          <w:tcPr>
            <w:tcW w:w="850" w:type="dxa"/>
            <w:vAlign w:val="center"/>
          </w:tcPr>
          <w:p w14:paraId="468B005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58</w:t>
            </w:r>
          </w:p>
        </w:tc>
        <w:tc>
          <w:tcPr>
            <w:tcW w:w="851" w:type="dxa"/>
            <w:vAlign w:val="center"/>
          </w:tcPr>
          <w:p w14:paraId="5D9A2624"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62</w:t>
            </w:r>
          </w:p>
        </w:tc>
        <w:tc>
          <w:tcPr>
            <w:tcW w:w="733" w:type="dxa"/>
            <w:vAlign w:val="center"/>
          </w:tcPr>
          <w:p w14:paraId="7DB6192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62</w:t>
            </w:r>
          </w:p>
        </w:tc>
      </w:tr>
      <w:tr w:rsidR="000849D0" w:rsidRPr="006C4D95" w14:paraId="388CC13E" w14:textId="77777777" w:rsidTr="00CF3CBE">
        <w:trPr>
          <w:trHeight w:val="335"/>
          <w:jc w:val="center"/>
        </w:trPr>
        <w:tc>
          <w:tcPr>
            <w:tcW w:w="624" w:type="dxa"/>
            <w:vAlign w:val="center"/>
          </w:tcPr>
          <w:p w14:paraId="62789CA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5</w:t>
            </w:r>
          </w:p>
        </w:tc>
        <w:tc>
          <w:tcPr>
            <w:tcW w:w="993" w:type="dxa"/>
            <w:vAlign w:val="center"/>
          </w:tcPr>
          <w:p w14:paraId="481E051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M/33/od</w:t>
            </w:r>
          </w:p>
        </w:tc>
        <w:tc>
          <w:tcPr>
            <w:tcW w:w="709" w:type="dxa"/>
            <w:vAlign w:val="center"/>
          </w:tcPr>
          <w:p w14:paraId="42B6F297"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2B</w:t>
            </w:r>
          </w:p>
        </w:tc>
        <w:tc>
          <w:tcPr>
            <w:tcW w:w="1276" w:type="dxa"/>
            <w:vAlign w:val="center"/>
          </w:tcPr>
          <w:p w14:paraId="7F85688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3C076BB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1276" w:type="dxa"/>
            <w:vAlign w:val="center"/>
          </w:tcPr>
          <w:p w14:paraId="03BD1F2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vAlign w:val="center"/>
          </w:tcPr>
          <w:p w14:paraId="09601D4B"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1219" w:type="dxa"/>
            <w:vAlign w:val="center"/>
          </w:tcPr>
          <w:p w14:paraId="475073BA"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882" w:type="dxa"/>
            <w:vAlign w:val="center"/>
          </w:tcPr>
          <w:p w14:paraId="74748A39"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55</w:t>
            </w:r>
          </w:p>
        </w:tc>
        <w:tc>
          <w:tcPr>
            <w:tcW w:w="709" w:type="dxa"/>
            <w:vAlign w:val="center"/>
          </w:tcPr>
          <w:p w14:paraId="35E79CE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117A1412"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1360B01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8" w:type="dxa"/>
            <w:vAlign w:val="center"/>
          </w:tcPr>
          <w:p w14:paraId="7F5002A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3B827F2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1" w:type="dxa"/>
            <w:vAlign w:val="center"/>
          </w:tcPr>
          <w:p w14:paraId="18550E4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850" w:type="dxa"/>
            <w:vAlign w:val="center"/>
          </w:tcPr>
          <w:p w14:paraId="12109C9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1" w:type="dxa"/>
            <w:vAlign w:val="center"/>
          </w:tcPr>
          <w:p w14:paraId="225449E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33" w:type="dxa"/>
            <w:vAlign w:val="center"/>
          </w:tcPr>
          <w:p w14:paraId="16A44F8E"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r>
      <w:tr w:rsidR="000849D0" w:rsidRPr="006C4D95" w14:paraId="52A8148C" w14:textId="77777777" w:rsidTr="00CF3CBE">
        <w:trPr>
          <w:trHeight w:val="335"/>
          <w:jc w:val="center"/>
        </w:trPr>
        <w:tc>
          <w:tcPr>
            <w:tcW w:w="624" w:type="dxa"/>
            <w:vAlign w:val="center"/>
          </w:tcPr>
          <w:p w14:paraId="0ADE4C61"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6</w:t>
            </w:r>
          </w:p>
        </w:tc>
        <w:tc>
          <w:tcPr>
            <w:tcW w:w="993" w:type="dxa"/>
            <w:vAlign w:val="center"/>
          </w:tcPr>
          <w:p w14:paraId="0D24EB7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F/32/od</w:t>
            </w:r>
          </w:p>
        </w:tc>
        <w:tc>
          <w:tcPr>
            <w:tcW w:w="709" w:type="dxa"/>
            <w:vAlign w:val="center"/>
          </w:tcPr>
          <w:p w14:paraId="5C6955D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2B</w:t>
            </w:r>
          </w:p>
        </w:tc>
        <w:tc>
          <w:tcPr>
            <w:tcW w:w="1276" w:type="dxa"/>
            <w:vAlign w:val="center"/>
          </w:tcPr>
          <w:p w14:paraId="500E383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4C8FC1D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1276" w:type="dxa"/>
            <w:vAlign w:val="center"/>
          </w:tcPr>
          <w:p w14:paraId="420D2F5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vAlign w:val="center"/>
          </w:tcPr>
          <w:p w14:paraId="0EDE510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1219" w:type="dxa"/>
            <w:vAlign w:val="center"/>
          </w:tcPr>
          <w:p w14:paraId="01D788BC"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882" w:type="dxa"/>
            <w:vAlign w:val="center"/>
          </w:tcPr>
          <w:p w14:paraId="44A54C32"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70</w:t>
            </w:r>
          </w:p>
        </w:tc>
        <w:tc>
          <w:tcPr>
            <w:tcW w:w="709" w:type="dxa"/>
            <w:vAlign w:val="center"/>
          </w:tcPr>
          <w:p w14:paraId="1468E0F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709" w:type="dxa"/>
            <w:vAlign w:val="center"/>
          </w:tcPr>
          <w:p w14:paraId="168B93E4"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03B546BB"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708" w:type="dxa"/>
            <w:vAlign w:val="center"/>
          </w:tcPr>
          <w:p w14:paraId="5C67308D"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709" w:type="dxa"/>
            <w:vAlign w:val="center"/>
          </w:tcPr>
          <w:p w14:paraId="7DBE690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80</w:t>
            </w:r>
          </w:p>
        </w:tc>
        <w:tc>
          <w:tcPr>
            <w:tcW w:w="851" w:type="dxa"/>
            <w:vAlign w:val="center"/>
          </w:tcPr>
          <w:p w14:paraId="0CD079FB"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80</w:t>
            </w:r>
          </w:p>
        </w:tc>
        <w:tc>
          <w:tcPr>
            <w:tcW w:w="850" w:type="dxa"/>
            <w:vAlign w:val="center"/>
          </w:tcPr>
          <w:p w14:paraId="34E44177"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851" w:type="dxa"/>
            <w:vAlign w:val="center"/>
          </w:tcPr>
          <w:p w14:paraId="33B03D4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33" w:type="dxa"/>
            <w:vAlign w:val="center"/>
          </w:tcPr>
          <w:p w14:paraId="0B2CD9B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r>
      <w:tr w:rsidR="000849D0" w:rsidRPr="006C4D95" w14:paraId="284D0C73" w14:textId="77777777" w:rsidTr="00CF3CBE">
        <w:trPr>
          <w:trHeight w:val="323"/>
          <w:jc w:val="center"/>
        </w:trPr>
        <w:tc>
          <w:tcPr>
            <w:tcW w:w="624" w:type="dxa"/>
            <w:vAlign w:val="center"/>
          </w:tcPr>
          <w:p w14:paraId="1529100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7</w:t>
            </w:r>
          </w:p>
        </w:tc>
        <w:tc>
          <w:tcPr>
            <w:tcW w:w="993" w:type="dxa"/>
            <w:vAlign w:val="center"/>
          </w:tcPr>
          <w:p w14:paraId="6357EBB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M/35/os</w:t>
            </w:r>
          </w:p>
        </w:tc>
        <w:tc>
          <w:tcPr>
            <w:tcW w:w="709" w:type="dxa"/>
            <w:vAlign w:val="center"/>
          </w:tcPr>
          <w:p w14:paraId="3EFA1D1A"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2B</w:t>
            </w:r>
          </w:p>
        </w:tc>
        <w:tc>
          <w:tcPr>
            <w:tcW w:w="1276" w:type="dxa"/>
            <w:vAlign w:val="center"/>
          </w:tcPr>
          <w:p w14:paraId="1C3B3794"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26CFE708"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Drinker</w:t>
            </w:r>
          </w:p>
        </w:tc>
        <w:tc>
          <w:tcPr>
            <w:tcW w:w="1276" w:type="dxa"/>
            <w:vAlign w:val="center"/>
          </w:tcPr>
          <w:p w14:paraId="10DEF59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vAlign w:val="center"/>
          </w:tcPr>
          <w:p w14:paraId="547FCFCF"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1219" w:type="dxa"/>
            <w:vAlign w:val="center"/>
          </w:tcPr>
          <w:p w14:paraId="46541602"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882" w:type="dxa"/>
            <w:vAlign w:val="center"/>
          </w:tcPr>
          <w:p w14:paraId="22DD3474"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56</w:t>
            </w:r>
          </w:p>
        </w:tc>
        <w:tc>
          <w:tcPr>
            <w:tcW w:w="709" w:type="dxa"/>
            <w:vAlign w:val="center"/>
          </w:tcPr>
          <w:p w14:paraId="1B3204E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68F4008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73C5A56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708" w:type="dxa"/>
            <w:vAlign w:val="center"/>
          </w:tcPr>
          <w:p w14:paraId="0067DA4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2B2EB37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1" w:type="dxa"/>
            <w:vAlign w:val="center"/>
          </w:tcPr>
          <w:p w14:paraId="39A86B0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850" w:type="dxa"/>
            <w:vAlign w:val="center"/>
          </w:tcPr>
          <w:p w14:paraId="0D1E9847"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1" w:type="dxa"/>
            <w:vAlign w:val="center"/>
          </w:tcPr>
          <w:p w14:paraId="69C4A02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33" w:type="dxa"/>
            <w:vAlign w:val="center"/>
          </w:tcPr>
          <w:p w14:paraId="373FDEA4"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r>
      <w:tr w:rsidR="000849D0" w:rsidRPr="006C4D95" w14:paraId="2371C070" w14:textId="77777777" w:rsidTr="00CF3CBE">
        <w:trPr>
          <w:trHeight w:val="670"/>
          <w:jc w:val="center"/>
        </w:trPr>
        <w:tc>
          <w:tcPr>
            <w:tcW w:w="624" w:type="dxa"/>
            <w:vAlign w:val="center"/>
          </w:tcPr>
          <w:p w14:paraId="2EE36D9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8</w:t>
            </w:r>
          </w:p>
        </w:tc>
        <w:tc>
          <w:tcPr>
            <w:tcW w:w="993" w:type="dxa"/>
            <w:vAlign w:val="center"/>
          </w:tcPr>
          <w:p w14:paraId="65EF530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M/37/od</w:t>
            </w:r>
          </w:p>
        </w:tc>
        <w:tc>
          <w:tcPr>
            <w:tcW w:w="709" w:type="dxa"/>
            <w:vAlign w:val="center"/>
          </w:tcPr>
          <w:p w14:paraId="295211D6"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vAlign w:val="center"/>
          </w:tcPr>
          <w:p w14:paraId="4C82F8BC"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Cervical spondylosis</w:t>
            </w:r>
          </w:p>
        </w:tc>
        <w:tc>
          <w:tcPr>
            <w:tcW w:w="992" w:type="dxa"/>
            <w:vAlign w:val="center"/>
          </w:tcPr>
          <w:p w14:paraId="578D34C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Smoker</w:t>
            </w:r>
          </w:p>
        </w:tc>
        <w:tc>
          <w:tcPr>
            <w:tcW w:w="1276" w:type="dxa"/>
            <w:vAlign w:val="center"/>
          </w:tcPr>
          <w:p w14:paraId="5F2E0F54"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992" w:type="dxa"/>
            <w:vAlign w:val="center"/>
          </w:tcPr>
          <w:p w14:paraId="050EF857"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1219" w:type="dxa"/>
            <w:vAlign w:val="center"/>
          </w:tcPr>
          <w:p w14:paraId="2A59C785" w14:textId="77777777" w:rsidR="0031311E" w:rsidRPr="00FE4D0F" w:rsidRDefault="0031311E" w:rsidP="00FE4D0F">
            <w:pPr>
              <w:snapToGrid w:val="0"/>
              <w:spacing w:line="360" w:lineRule="auto"/>
              <w:jc w:val="both"/>
              <w:rPr>
                <w:rFonts w:ascii="Book Antiqua" w:hAnsi="Book Antiqua"/>
                <w:color w:val="000000" w:themeColor="text1"/>
              </w:rPr>
            </w:pPr>
          </w:p>
          <w:p w14:paraId="51480FB5"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p w14:paraId="548F7D27" w14:textId="77777777" w:rsidR="0031311E" w:rsidRPr="00FE4D0F" w:rsidRDefault="0031311E" w:rsidP="00FE4D0F">
            <w:pPr>
              <w:snapToGrid w:val="0"/>
              <w:spacing w:line="360" w:lineRule="auto"/>
              <w:jc w:val="both"/>
              <w:rPr>
                <w:rFonts w:ascii="Book Antiqua" w:hAnsi="Book Antiqua"/>
                <w:color w:val="000000" w:themeColor="text1"/>
              </w:rPr>
            </w:pPr>
          </w:p>
        </w:tc>
        <w:tc>
          <w:tcPr>
            <w:tcW w:w="882" w:type="dxa"/>
            <w:vAlign w:val="center"/>
          </w:tcPr>
          <w:p w14:paraId="1FC11850"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54</w:t>
            </w:r>
          </w:p>
        </w:tc>
        <w:tc>
          <w:tcPr>
            <w:tcW w:w="709" w:type="dxa"/>
            <w:vAlign w:val="center"/>
          </w:tcPr>
          <w:p w14:paraId="4DCE720E"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72</w:t>
            </w:r>
          </w:p>
        </w:tc>
        <w:tc>
          <w:tcPr>
            <w:tcW w:w="709" w:type="dxa"/>
            <w:vAlign w:val="center"/>
          </w:tcPr>
          <w:p w14:paraId="03FA5762"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74</w:t>
            </w:r>
          </w:p>
        </w:tc>
        <w:tc>
          <w:tcPr>
            <w:tcW w:w="709" w:type="dxa"/>
            <w:vAlign w:val="center"/>
          </w:tcPr>
          <w:p w14:paraId="35F70B57"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708" w:type="dxa"/>
            <w:vAlign w:val="center"/>
          </w:tcPr>
          <w:p w14:paraId="617AE00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709" w:type="dxa"/>
            <w:vAlign w:val="center"/>
          </w:tcPr>
          <w:p w14:paraId="41F2053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851" w:type="dxa"/>
            <w:vAlign w:val="center"/>
          </w:tcPr>
          <w:p w14:paraId="7CBF45E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850" w:type="dxa"/>
            <w:vAlign w:val="center"/>
          </w:tcPr>
          <w:p w14:paraId="50E8B15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851" w:type="dxa"/>
            <w:vAlign w:val="center"/>
          </w:tcPr>
          <w:p w14:paraId="09E81FF7"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733" w:type="dxa"/>
            <w:vAlign w:val="center"/>
          </w:tcPr>
          <w:p w14:paraId="291EF38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r>
    </w:tbl>
    <w:p w14:paraId="5DF05137" w14:textId="4302BD4F"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 xml:space="preserve">BCVA: </w:t>
      </w:r>
      <w:r w:rsidRPr="00EF231C">
        <w:rPr>
          <w:rFonts w:ascii="Book Antiqua" w:hAnsi="Book Antiqua"/>
          <w:color w:val="000000" w:themeColor="text1"/>
        </w:rPr>
        <w:t>B</w:t>
      </w:r>
      <w:r w:rsidRPr="00FE4D0F">
        <w:rPr>
          <w:rFonts w:ascii="Book Antiqua" w:hAnsi="Book Antiqua"/>
          <w:color w:val="000000" w:themeColor="text1"/>
        </w:rPr>
        <w:t>est-corrected visual acuity</w:t>
      </w:r>
      <w:r w:rsidR="00243CDB" w:rsidRPr="00FE4D0F">
        <w:rPr>
          <w:rFonts w:ascii="Book Antiqua" w:hAnsi="Book Antiqua"/>
          <w:color w:val="000000" w:themeColor="text1"/>
        </w:rPr>
        <w:t xml:space="preserve">; </w:t>
      </w:r>
      <w:commentRangeStart w:id="52"/>
      <w:r w:rsidR="008A0228" w:rsidRPr="00955406">
        <w:rPr>
          <w:rFonts w:ascii="Book Antiqua" w:hAnsi="Book Antiqua"/>
          <w:color w:val="000000" w:themeColor="text1"/>
        </w:rPr>
        <w:t>HT</w:t>
      </w:r>
      <w:commentRangeEnd w:id="52"/>
      <w:r w:rsidR="008A0228" w:rsidRPr="00955406">
        <w:rPr>
          <w:rStyle w:val="a7"/>
          <w:color w:val="000000" w:themeColor="text1"/>
          <w:sz w:val="24"/>
          <w:szCs w:val="24"/>
        </w:rPr>
        <w:commentReference w:id="52"/>
      </w:r>
      <w:r w:rsidR="008A0228" w:rsidRPr="00955406">
        <w:rPr>
          <w:rFonts w:ascii="Book Antiqua" w:hAnsi="Book Antiqua"/>
          <w:color w:val="000000" w:themeColor="text1"/>
        </w:rPr>
        <w:t>: Hypertension</w:t>
      </w:r>
      <w:r w:rsidR="008A0228">
        <w:rPr>
          <w:rFonts w:ascii="Book Antiqua" w:hAnsi="Book Antiqua"/>
          <w:color w:val="000000" w:themeColor="text1"/>
        </w:rPr>
        <w:t>;</w:t>
      </w:r>
      <w:r w:rsidR="008A0228" w:rsidRPr="008A0228">
        <w:rPr>
          <w:rFonts w:ascii="Book Antiqua" w:hAnsi="Book Antiqua"/>
          <w:color w:val="000000" w:themeColor="text1"/>
        </w:rPr>
        <w:t xml:space="preserve"> </w:t>
      </w:r>
      <w:r w:rsidR="00243CDB" w:rsidRPr="00FE4D0F">
        <w:rPr>
          <w:rFonts w:ascii="Book Antiqua" w:hAnsi="Book Antiqua"/>
          <w:color w:val="000000" w:themeColor="text1"/>
        </w:rPr>
        <w:t>os: Oculus sinister; od: Oculus dexter</w:t>
      </w:r>
      <w:r w:rsidRPr="00FE4D0F">
        <w:rPr>
          <w:rFonts w:ascii="Book Antiqua" w:hAnsi="Book Antiqua"/>
          <w:color w:val="000000" w:themeColor="text1"/>
        </w:rPr>
        <w:t>.</w:t>
      </w:r>
    </w:p>
    <w:p w14:paraId="6768A496" w14:textId="77777777" w:rsidR="00BD60C8" w:rsidRPr="00FE4D0F" w:rsidRDefault="00BD60C8" w:rsidP="00FE4D0F">
      <w:pPr>
        <w:snapToGrid w:val="0"/>
        <w:spacing w:line="360" w:lineRule="auto"/>
        <w:jc w:val="both"/>
        <w:rPr>
          <w:rFonts w:ascii="Book Antiqua" w:hAnsi="Book Antiqua"/>
          <w:color w:val="000000" w:themeColor="text1"/>
        </w:rPr>
        <w:sectPr w:rsidR="00BD60C8" w:rsidRPr="00FE4D0F" w:rsidSect="00BA66F0">
          <w:type w:val="continuous"/>
          <w:pgSz w:w="15840" w:h="12240" w:orient="landscape"/>
          <w:pgMar w:top="1440" w:right="1440" w:bottom="1440" w:left="1440" w:header="720" w:footer="720" w:gutter="0"/>
          <w:cols w:space="720"/>
          <w:docGrid w:linePitch="360"/>
        </w:sectPr>
      </w:pPr>
    </w:p>
    <w:p w14:paraId="347F0721" w14:textId="77777777" w:rsidR="0031311E" w:rsidRPr="00FE4D0F" w:rsidRDefault="00EF6E27" w:rsidP="00FE4D0F">
      <w:pPr>
        <w:autoSpaceDE w:val="0"/>
        <w:autoSpaceDN w:val="0"/>
        <w:adjustRightInd w:val="0"/>
        <w:snapToGrid w:val="0"/>
        <w:spacing w:line="360" w:lineRule="auto"/>
        <w:jc w:val="both"/>
        <w:rPr>
          <w:rFonts w:ascii="Book Antiqua" w:hAnsi="Book Antiqua"/>
          <w:b/>
          <w:bCs/>
          <w:color w:val="000000" w:themeColor="text1"/>
          <w:lang w:eastAsia="zh-CN"/>
        </w:rPr>
      </w:pPr>
      <w:r w:rsidRPr="00FE4D0F">
        <w:rPr>
          <w:rFonts w:ascii="Book Antiqua" w:hAnsi="Book Antiqua"/>
          <w:b/>
          <w:bCs/>
          <w:color w:val="000000" w:themeColor="text1"/>
        </w:rPr>
        <w:t>Table 2 Best-corrected visual acuity</w:t>
      </w:r>
    </w:p>
    <w:tbl>
      <w:tblPr>
        <w:tblW w:w="5000"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120"/>
        <w:gridCol w:w="3219"/>
        <w:gridCol w:w="3021"/>
      </w:tblGrid>
      <w:tr w:rsidR="000849D0" w:rsidRPr="006C4D95" w14:paraId="5CC3F3C0" w14:textId="77777777" w:rsidTr="00C61214">
        <w:trPr>
          <w:cantSplit/>
          <w:trHeight w:val="567"/>
          <w:tblHeader/>
          <w:jc w:val="center"/>
        </w:trPr>
        <w:tc>
          <w:tcPr>
            <w:tcW w:w="1666" w:type="pct"/>
            <w:tcBorders>
              <w:top w:val="single" w:sz="4" w:space="0" w:color="auto"/>
              <w:bottom w:val="single" w:sz="4" w:space="0" w:color="auto"/>
            </w:tcBorders>
            <w:shd w:val="clear" w:color="auto" w:fill="FFFFFF"/>
            <w:vAlign w:val="center"/>
          </w:tcPr>
          <w:p w14:paraId="08414167" w14:textId="77777777" w:rsidR="0031311E" w:rsidRPr="00FE4D0F" w:rsidRDefault="0031311E" w:rsidP="00FE4D0F">
            <w:pPr>
              <w:snapToGrid w:val="0"/>
              <w:spacing w:line="360" w:lineRule="auto"/>
              <w:jc w:val="both"/>
              <w:rPr>
                <w:rFonts w:ascii="Book Antiqua" w:hAnsi="Book Antiqua"/>
                <w:b/>
                <w:color w:val="000000" w:themeColor="text1"/>
              </w:rPr>
            </w:pPr>
            <w:r w:rsidRPr="00FE4D0F">
              <w:rPr>
                <w:rFonts w:ascii="Book Antiqua" w:hAnsi="Book Antiqua"/>
                <w:b/>
                <w:color w:val="000000" w:themeColor="text1"/>
              </w:rPr>
              <w:t>Time of measurement</w:t>
            </w:r>
          </w:p>
        </w:tc>
        <w:tc>
          <w:tcPr>
            <w:tcW w:w="1719" w:type="pct"/>
            <w:tcBorders>
              <w:top w:val="single" w:sz="4" w:space="0" w:color="auto"/>
              <w:bottom w:val="single" w:sz="4" w:space="0" w:color="auto"/>
            </w:tcBorders>
            <w:shd w:val="clear" w:color="auto" w:fill="FFFFFF"/>
            <w:vAlign w:val="center"/>
          </w:tcPr>
          <w:p w14:paraId="4A76B9AD" w14:textId="77777777" w:rsidR="0031311E" w:rsidRPr="00FE4D0F" w:rsidRDefault="0031311E" w:rsidP="00FE4D0F">
            <w:pPr>
              <w:snapToGrid w:val="0"/>
              <w:spacing w:line="360" w:lineRule="auto"/>
              <w:ind w:left="60" w:right="60"/>
              <w:jc w:val="both"/>
              <w:rPr>
                <w:rFonts w:ascii="Book Antiqua" w:hAnsi="Book Antiqua"/>
                <w:b/>
                <w:color w:val="000000" w:themeColor="text1"/>
              </w:rPr>
            </w:pPr>
            <w:r w:rsidRPr="00FE4D0F">
              <w:rPr>
                <w:rFonts w:ascii="Book Antiqua" w:hAnsi="Book Antiqua"/>
                <w:b/>
                <w:color w:val="000000" w:themeColor="text1"/>
              </w:rPr>
              <w:t>Best-corrected visual acuity</w:t>
            </w:r>
          </w:p>
        </w:tc>
        <w:tc>
          <w:tcPr>
            <w:tcW w:w="1614" w:type="pct"/>
            <w:tcBorders>
              <w:top w:val="single" w:sz="4" w:space="0" w:color="auto"/>
              <w:bottom w:val="single" w:sz="4" w:space="0" w:color="auto"/>
            </w:tcBorders>
            <w:shd w:val="clear" w:color="auto" w:fill="FFFFFF"/>
            <w:vAlign w:val="center"/>
          </w:tcPr>
          <w:p w14:paraId="47BDF099" w14:textId="77777777" w:rsidR="0031311E" w:rsidRPr="00FE4D0F" w:rsidRDefault="0031311E" w:rsidP="00FE4D0F">
            <w:pPr>
              <w:snapToGrid w:val="0"/>
              <w:spacing w:line="360" w:lineRule="auto"/>
              <w:ind w:left="60" w:right="60"/>
              <w:jc w:val="both"/>
              <w:rPr>
                <w:rFonts w:ascii="Book Antiqua" w:hAnsi="Book Antiqua"/>
                <w:b/>
                <w:color w:val="000000" w:themeColor="text1"/>
              </w:rPr>
            </w:pPr>
            <w:r w:rsidRPr="00FE4D0F">
              <w:rPr>
                <w:rFonts w:ascii="Book Antiqua" w:hAnsi="Book Antiqua"/>
                <w:b/>
                <w:i/>
                <w:iCs/>
                <w:color w:val="000000" w:themeColor="text1"/>
              </w:rPr>
              <w:t>P</w:t>
            </w:r>
            <w:r w:rsidR="00194248" w:rsidRPr="00FE4D0F">
              <w:rPr>
                <w:rFonts w:ascii="Book Antiqua" w:hAnsi="Book Antiqua"/>
                <w:b/>
                <w:color w:val="000000" w:themeColor="text1"/>
              </w:rPr>
              <w:t xml:space="preserve"> (</w:t>
            </w:r>
            <w:r w:rsidR="00194248" w:rsidRPr="00FE4D0F">
              <w:rPr>
                <w:rFonts w:ascii="Book Antiqua" w:hAnsi="Book Antiqua"/>
                <w:b/>
                <w:i/>
                <w:color w:val="000000" w:themeColor="text1"/>
              </w:rPr>
              <w:t>vs</w:t>
            </w:r>
            <w:r w:rsidRPr="00FE4D0F">
              <w:rPr>
                <w:rFonts w:ascii="Book Antiqua" w:hAnsi="Book Antiqua"/>
                <w:b/>
                <w:color w:val="000000" w:themeColor="text1"/>
              </w:rPr>
              <w:t xml:space="preserve"> pretreatment value)</w:t>
            </w:r>
          </w:p>
        </w:tc>
      </w:tr>
      <w:tr w:rsidR="000849D0" w:rsidRPr="006C4D95" w14:paraId="339488DD" w14:textId="77777777" w:rsidTr="00C61214">
        <w:trPr>
          <w:cantSplit/>
          <w:trHeight w:val="567"/>
          <w:tblHeader/>
          <w:jc w:val="center"/>
        </w:trPr>
        <w:tc>
          <w:tcPr>
            <w:tcW w:w="1666" w:type="pct"/>
            <w:tcBorders>
              <w:top w:val="single" w:sz="4" w:space="0" w:color="auto"/>
            </w:tcBorders>
            <w:shd w:val="clear" w:color="auto" w:fill="FFFFFF"/>
            <w:vAlign w:val="center"/>
          </w:tcPr>
          <w:p w14:paraId="646AE23E"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Pretreatment</w:t>
            </w:r>
          </w:p>
        </w:tc>
        <w:tc>
          <w:tcPr>
            <w:tcW w:w="1719" w:type="pct"/>
            <w:tcBorders>
              <w:top w:val="single" w:sz="4" w:space="0" w:color="auto"/>
            </w:tcBorders>
            <w:shd w:val="clear" w:color="auto" w:fill="FFFFFF"/>
            <w:vAlign w:val="center"/>
          </w:tcPr>
          <w:p w14:paraId="73764807"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52.12 ± 12.93</w:t>
            </w:r>
          </w:p>
        </w:tc>
        <w:tc>
          <w:tcPr>
            <w:tcW w:w="1614" w:type="pct"/>
            <w:tcBorders>
              <w:top w:val="single" w:sz="4" w:space="0" w:color="auto"/>
            </w:tcBorders>
            <w:shd w:val="clear" w:color="auto" w:fill="FFFFFF"/>
            <w:vAlign w:val="center"/>
          </w:tcPr>
          <w:p w14:paraId="1BB616C7" w14:textId="77777777" w:rsidR="0031311E" w:rsidRPr="00FE4D0F" w:rsidRDefault="0031311E" w:rsidP="00FE4D0F">
            <w:pPr>
              <w:snapToGrid w:val="0"/>
              <w:spacing w:line="360" w:lineRule="auto"/>
              <w:ind w:left="60" w:right="60"/>
              <w:jc w:val="both"/>
              <w:rPr>
                <w:rFonts w:ascii="Book Antiqua" w:hAnsi="Book Antiqua"/>
                <w:color w:val="000000" w:themeColor="text1"/>
              </w:rPr>
            </w:pPr>
          </w:p>
        </w:tc>
      </w:tr>
      <w:tr w:rsidR="000849D0" w:rsidRPr="006C4D95" w14:paraId="13715AA0" w14:textId="77777777" w:rsidTr="00C61214">
        <w:trPr>
          <w:cantSplit/>
          <w:trHeight w:val="567"/>
          <w:tblHeader/>
          <w:jc w:val="center"/>
        </w:trPr>
        <w:tc>
          <w:tcPr>
            <w:tcW w:w="1666" w:type="pct"/>
            <w:shd w:val="clear" w:color="auto" w:fill="FFFFFF"/>
            <w:vAlign w:val="center"/>
          </w:tcPr>
          <w:p w14:paraId="64536571"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1 w</w:t>
            </w:r>
            <w:r w:rsidR="0031311E" w:rsidRPr="00FE4D0F">
              <w:rPr>
                <w:rFonts w:ascii="Book Antiqua" w:hAnsi="Book Antiqua"/>
                <w:color w:val="000000" w:themeColor="text1"/>
              </w:rPr>
              <w:t>k after treatment</w:t>
            </w:r>
          </w:p>
        </w:tc>
        <w:tc>
          <w:tcPr>
            <w:tcW w:w="1719" w:type="pct"/>
            <w:shd w:val="clear" w:color="auto" w:fill="FFFFFF"/>
            <w:vAlign w:val="center"/>
          </w:tcPr>
          <w:p w14:paraId="6E67941D"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65.63 ± 12.19</w:t>
            </w:r>
          </w:p>
        </w:tc>
        <w:tc>
          <w:tcPr>
            <w:tcW w:w="1614" w:type="pct"/>
            <w:shd w:val="clear" w:color="auto" w:fill="FFFFFF"/>
            <w:vAlign w:val="center"/>
          </w:tcPr>
          <w:p w14:paraId="16AA043D"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50CCC572" w14:textId="77777777" w:rsidTr="00C61214">
        <w:trPr>
          <w:cantSplit/>
          <w:trHeight w:val="567"/>
          <w:tblHeader/>
          <w:jc w:val="center"/>
        </w:trPr>
        <w:tc>
          <w:tcPr>
            <w:tcW w:w="1666" w:type="pct"/>
            <w:shd w:val="clear" w:color="auto" w:fill="FFFFFF"/>
            <w:vAlign w:val="center"/>
          </w:tcPr>
          <w:p w14:paraId="7EAE6405"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1 mo after treatment</w:t>
            </w:r>
          </w:p>
        </w:tc>
        <w:tc>
          <w:tcPr>
            <w:tcW w:w="1719" w:type="pct"/>
            <w:shd w:val="clear" w:color="auto" w:fill="FFFFFF"/>
            <w:vAlign w:val="center"/>
          </w:tcPr>
          <w:p w14:paraId="034000FE"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68.38 ± 10.17</w:t>
            </w:r>
          </w:p>
        </w:tc>
        <w:tc>
          <w:tcPr>
            <w:tcW w:w="1614" w:type="pct"/>
            <w:shd w:val="clear" w:color="auto" w:fill="FFFFFF"/>
            <w:vAlign w:val="center"/>
          </w:tcPr>
          <w:p w14:paraId="4972B669"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0E45D6A9" w14:textId="77777777" w:rsidTr="00C61214">
        <w:trPr>
          <w:cantSplit/>
          <w:trHeight w:val="567"/>
          <w:tblHeader/>
          <w:jc w:val="center"/>
        </w:trPr>
        <w:tc>
          <w:tcPr>
            <w:tcW w:w="1666" w:type="pct"/>
            <w:shd w:val="clear" w:color="auto" w:fill="FFFFFF"/>
            <w:vAlign w:val="center"/>
          </w:tcPr>
          <w:p w14:paraId="5ABF7516"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3 mo after treatment</w:t>
            </w:r>
          </w:p>
        </w:tc>
        <w:tc>
          <w:tcPr>
            <w:tcW w:w="1719" w:type="pct"/>
            <w:shd w:val="clear" w:color="auto" w:fill="FFFFFF"/>
            <w:vAlign w:val="center"/>
          </w:tcPr>
          <w:p w14:paraId="7DFBC28D"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70.38 ± 10.18</w:t>
            </w:r>
          </w:p>
        </w:tc>
        <w:tc>
          <w:tcPr>
            <w:tcW w:w="1614" w:type="pct"/>
            <w:shd w:val="clear" w:color="auto" w:fill="FFFFFF"/>
            <w:vAlign w:val="center"/>
          </w:tcPr>
          <w:p w14:paraId="3E639B33"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3D9A1C32" w14:textId="77777777" w:rsidTr="00C61214">
        <w:trPr>
          <w:cantSplit/>
          <w:trHeight w:val="567"/>
          <w:tblHeader/>
          <w:jc w:val="center"/>
        </w:trPr>
        <w:tc>
          <w:tcPr>
            <w:tcW w:w="1666" w:type="pct"/>
            <w:shd w:val="clear" w:color="auto" w:fill="FFFFFF"/>
            <w:vAlign w:val="center"/>
          </w:tcPr>
          <w:p w14:paraId="2848D0C9"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6 mo after treatment</w:t>
            </w:r>
          </w:p>
        </w:tc>
        <w:tc>
          <w:tcPr>
            <w:tcW w:w="1719" w:type="pct"/>
            <w:shd w:val="clear" w:color="auto" w:fill="FFFFFF"/>
            <w:vAlign w:val="center"/>
          </w:tcPr>
          <w:p w14:paraId="0C7E7C20"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70.13 ± 9.42</w:t>
            </w:r>
          </w:p>
        </w:tc>
        <w:tc>
          <w:tcPr>
            <w:tcW w:w="1614" w:type="pct"/>
            <w:shd w:val="clear" w:color="auto" w:fill="FFFFFF"/>
            <w:vAlign w:val="center"/>
          </w:tcPr>
          <w:p w14:paraId="6B6C8794"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6531DBBF" w14:textId="77777777" w:rsidTr="00C61214">
        <w:trPr>
          <w:cantSplit/>
          <w:trHeight w:val="567"/>
          <w:tblHeader/>
          <w:jc w:val="center"/>
        </w:trPr>
        <w:tc>
          <w:tcPr>
            <w:tcW w:w="1666" w:type="pct"/>
            <w:shd w:val="clear" w:color="auto" w:fill="FFFFFF"/>
            <w:vAlign w:val="center"/>
          </w:tcPr>
          <w:p w14:paraId="5C388580"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9 mo</w:t>
            </w:r>
            <w:r w:rsidR="0031311E" w:rsidRPr="00FE4D0F">
              <w:rPr>
                <w:rFonts w:ascii="Book Antiqua" w:hAnsi="Book Antiqua"/>
                <w:color w:val="000000" w:themeColor="text1"/>
              </w:rPr>
              <w:t xml:space="preserve"> after treatment</w:t>
            </w:r>
          </w:p>
        </w:tc>
        <w:tc>
          <w:tcPr>
            <w:tcW w:w="1719" w:type="pct"/>
            <w:shd w:val="clear" w:color="auto" w:fill="FFFFFF"/>
            <w:vAlign w:val="center"/>
          </w:tcPr>
          <w:p w14:paraId="7F666972"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70.75 ± 8.75</w:t>
            </w:r>
          </w:p>
        </w:tc>
        <w:tc>
          <w:tcPr>
            <w:tcW w:w="1614" w:type="pct"/>
            <w:shd w:val="clear" w:color="auto" w:fill="FFFFFF"/>
            <w:vAlign w:val="center"/>
          </w:tcPr>
          <w:p w14:paraId="16E8347A"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68A9AA51" w14:textId="77777777" w:rsidTr="00C61214">
        <w:trPr>
          <w:cantSplit/>
          <w:trHeight w:val="567"/>
          <w:jc w:val="center"/>
        </w:trPr>
        <w:tc>
          <w:tcPr>
            <w:tcW w:w="1666" w:type="pct"/>
            <w:shd w:val="clear" w:color="auto" w:fill="FFFFFF"/>
            <w:vAlign w:val="center"/>
          </w:tcPr>
          <w:p w14:paraId="44C82DC4"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12 mo</w:t>
            </w:r>
            <w:r w:rsidR="0031311E" w:rsidRPr="00FE4D0F">
              <w:rPr>
                <w:rFonts w:ascii="Book Antiqua" w:hAnsi="Book Antiqua"/>
                <w:color w:val="000000" w:themeColor="text1"/>
              </w:rPr>
              <w:t xml:space="preserve"> after treatment</w:t>
            </w:r>
          </w:p>
        </w:tc>
        <w:tc>
          <w:tcPr>
            <w:tcW w:w="1719" w:type="pct"/>
            <w:shd w:val="clear" w:color="auto" w:fill="FFFFFF"/>
            <w:vAlign w:val="center"/>
          </w:tcPr>
          <w:p w14:paraId="4E9089F3"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71.88 ± 9.28</w:t>
            </w:r>
          </w:p>
        </w:tc>
        <w:tc>
          <w:tcPr>
            <w:tcW w:w="1614" w:type="pct"/>
            <w:shd w:val="clear" w:color="auto" w:fill="FFFFFF"/>
            <w:vAlign w:val="center"/>
          </w:tcPr>
          <w:p w14:paraId="1A090FA3"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05902ACB" w14:textId="77777777" w:rsidTr="00C61214">
        <w:trPr>
          <w:cantSplit/>
          <w:trHeight w:val="567"/>
          <w:jc w:val="center"/>
        </w:trPr>
        <w:tc>
          <w:tcPr>
            <w:tcW w:w="1666" w:type="pct"/>
            <w:shd w:val="clear" w:color="auto" w:fill="FFFFFF"/>
            <w:vAlign w:val="center"/>
          </w:tcPr>
          <w:p w14:paraId="4FF7D7EA"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24 mo</w:t>
            </w:r>
            <w:r w:rsidR="0031311E" w:rsidRPr="00FE4D0F">
              <w:rPr>
                <w:rFonts w:ascii="Book Antiqua" w:hAnsi="Book Antiqua"/>
                <w:color w:val="000000" w:themeColor="text1"/>
              </w:rPr>
              <w:t xml:space="preserve"> after treatment</w:t>
            </w:r>
          </w:p>
        </w:tc>
        <w:tc>
          <w:tcPr>
            <w:tcW w:w="1719" w:type="pct"/>
            <w:shd w:val="clear" w:color="auto" w:fill="FFFFFF"/>
            <w:vAlign w:val="center"/>
          </w:tcPr>
          <w:p w14:paraId="72231AD3"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70.13 ± 9.98</w:t>
            </w:r>
          </w:p>
        </w:tc>
        <w:tc>
          <w:tcPr>
            <w:tcW w:w="1614" w:type="pct"/>
            <w:shd w:val="clear" w:color="auto" w:fill="FFFFFF"/>
            <w:vAlign w:val="center"/>
          </w:tcPr>
          <w:p w14:paraId="47C9034B"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67AFC46C" w14:textId="77777777" w:rsidTr="00C61214">
        <w:trPr>
          <w:cantSplit/>
          <w:trHeight w:val="567"/>
          <w:jc w:val="center"/>
        </w:trPr>
        <w:tc>
          <w:tcPr>
            <w:tcW w:w="1666" w:type="pct"/>
            <w:shd w:val="clear" w:color="auto" w:fill="FFFFFF"/>
            <w:vAlign w:val="center"/>
          </w:tcPr>
          <w:p w14:paraId="06C6595C"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36 mo</w:t>
            </w:r>
            <w:r w:rsidR="0031311E" w:rsidRPr="00FE4D0F">
              <w:rPr>
                <w:rFonts w:ascii="Book Antiqua" w:hAnsi="Book Antiqua"/>
                <w:color w:val="000000" w:themeColor="text1"/>
              </w:rPr>
              <w:t xml:space="preserve"> after treatment</w:t>
            </w:r>
          </w:p>
        </w:tc>
        <w:tc>
          <w:tcPr>
            <w:tcW w:w="1719" w:type="pct"/>
            <w:shd w:val="clear" w:color="auto" w:fill="FFFFFF"/>
            <w:vAlign w:val="center"/>
          </w:tcPr>
          <w:p w14:paraId="025EC6F6"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70.01 ± 8.23</w:t>
            </w:r>
          </w:p>
        </w:tc>
        <w:tc>
          <w:tcPr>
            <w:tcW w:w="1614" w:type="pct"/>
            <w:shd w:val="clear" w:color="auto" w:fill="FFFFFF"/>
            <w:vAlign w:val="center"/>
          </w:tcPr>
          <w:p w14:paraId="0903891D"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0F090DAD" w14:textId="77777777" w:rsidTr="00C61214">
        <w:trPr>
          <w:cantSplit/>
          <w:trHeight w:val="567"/>
          <w:jc w:val="center"/>
        </w:trPr>
        <w:tc>
          <w:tcPr>
            <w:tcW w:w="1666" w:type="pct"/>
            <w:shd w:val="clear" w:color="auto" w:fill="FFFFFF"/>
            <w:vAlign w:val="center"/>
          </w:tcPr>
          <w:p w14:paraId="5D0F5E7B" w14:textId="77777777" w:rsidR="0031311E" w:rsidRPr="00FE4D0F" w:rsidRDefault="0031311E" w:rsidP="00FE4D0F">
            <w:pPr>
              <w:snapToGrid w:val="0"/>
              <w:spacing w:line="360" w:lineRule="auto"/>
              <w:ind w:left="60" w:right="60"/>
              <w:jc w:val="both"/>
              <w:rPr>
                <w:rFonts w:ascii="Book Antiqua" w:hAnsi="Book Antiqua"/>
                <w:color w:val="000000" w:themeColor="text1"/>
              </w:rPr>
            </w:pPr>
          </w:p>
        </w:tc>
        <w:tc>
          <w:tcPr>
            <w:tcW w:w="1719" w:type="pct"/>
            <w:shd w:val="clear" w:color="auto" w:fill="FFFFFF"/>
            <w:vAlign w:val="center"/>
          </w:tcPr>
          <w:p w14:paraId="31A87DE2"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i/>
                <w:color w:val="000000" w:themeColor="text1"/>
              </w:rPr>
              <w:t>P</w:t>
            </w:r>
            <w:r w:rsidRPr="00FE4D0F">
              <w:rPr>
                <w:rFonts w:ascii="Book Antiqua" w:hAnsi="Book Antiqua"/>
                <w:color w:val="000000" w:themeColor="text1"/>
              </w:rPr>
              <w:t>-trend</w:t>
            </w:r>
            <w:r w:rsidRPr="00FE4D0F">
              <w:rPr>
                <w:rFonts w:ascii="Book Antiqua" w:hAnsi="Book Antiqua"/>
                <w:color w:val="000000" w:themeColor="text1"/>
                <w:vertAlign w:val="subscript"/>
              </w:rPr>
              <w:t>linear</w:t>
            </w:r>
            <w:r w:rsidRPr="00FE4D0F">
              <w:rPr>
                <w:rFonts w:ascii="Book Antiqua" w:hAnsi="Book Antiqua"/>
                <w:color w:val="000000" w:themeColor="text1"/>
              </w:rPr>
              <w:t xml:space="preserve"> &lt; 0.001</w:t>
            </w:r>
          </w:p>
        </w:tc>
        <w:tc>
          <w:tcPr>
            <w:tcW w:w="1614" w:type="pct"/>
            <w:shd w:val="clear" w:color="auto" w:fill="FFFFFF"/>
            <w:vAlign w:val="center"/>
          </w:tcPr>
          <w:p w14:paraId="27F221D7" w14:textId="77777777" w:rsidR="0031311E" w:rsidRPr="00FE4D0F" w:rsidRDefault="0031311E" w:rsidP="00FE4D0F">
            <w:pPr>
              <w:snapToGrid w:val="0"/>
              <w:spacing w:line="360" w:lineRule="auto"/>
              <w:ind w:left="60" w:right="60"/>
              <w:jc w:val="both"/>
              <w:rPr>
                <w:rFonts w:ascii="Book Antiqua" w:hAnsi="Book Antiqua"/>
                <w:color w:val="000000" w:themeColor="text1"/>
              </w:rPr>
            </w:pPr>
          </w:p>
        </w:tc>
      </w:tr>
    </w:tbl>
    <w:p w14:paraId="695E4DC8" w14:textId="5B254E26" w:rsidR="00A77B3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 xml:space="preserve">Data are presented as mean ± </w:t>
      </w:r>
      <w:r w:rsidR="00844417" w:rsidRPr="00FE4D0F">
        <w:rPr>
          <w:rFonts w:ascii="Book Antiqua" w:hAnsi="Book Antiqua"/>
          <w:color w:val="000000" w:themeColor="text1"/>
          <w:lang w:eastAsia="zh-CN"/>
        </w:rPr>
        <w:t>standard deviation</w:t>
      </w:r>
      <w:r w:rsidRPr="00FE4D0F">
        <w:rPr>
          <w:rFonts w:ascii="Book Antiqua" w:hAnsi="Book Antiqua"/>
          <w:color w:val="000000" w:themeColor="text1"/>
        </w:rPr>
        <w:t>.</w:t>
      </w:r>
    </w:p>
    <w:sectPr w:rsidR="00A77B3E" w:rsidRPr="00FE4D0F" w:rsidSect="00BA66F0">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2" w:author="作者" w:initials="A">
    <w:p w14:paraId="09BEC111" w14:textId="77777777" w:rsidR="008A0228" w:rsidRDefault="008A0228" w:rsidP="008A0228">
      <w:pPr>
        <w:pStyle w:val="a8"/>
      </w:pPr>
      <w:r>
        <w:rPr>
          <w:rStyle w:val="a7"/>
        </w:rPr>
        <w:annotationRef/>
      </w:r>
      <w:r>
        <w:t>I’m assuming this is what HT stands for. Please correct if 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BEC1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BEC111" w16cid:durableId="234D5C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76128" w14:textId="77777777" w:rsidR="00923C33" w:rsidRDefault="00923C33" w:rsidP="009572AD">
      <w:r>
        <w:separator/>
      </w:r>
    </w:p>
  </w:endnote>
  <w:endnote w:type="continuationSeparator" w:id="0">
    <w:p w14:paraId="7DD1D058" w14:textId="77777777" w:rsidR="00923C33" w:rsidRDefault="00923C33" w:rsidP="00957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7870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D2B122C" w14:textId="77777777" w:rsidR="00243CDB" w:rsidRPr="00FE4D0F" w:rsidRDefault="00243CDB">
            <w:pPr>
              <w:pStyle w:val="a4"/>
              <w:jc w:val="right"/>
              <w:rPr>
                <w:rFonts w:ascii="Book Antiqua" w:hAnsi="Book Antiqua"/>
                <w:sz w:val="24"/>
                <w:szCs w:val="24"/>
              </w:rPr>
            </w:pPr>
            <w:r>
              <w:rPr>
                <w:lang w:val="zh-CN" w:eastAsia="zh-CN"/>
              </w:rPr>
              <w:t xml:space="preserve"> </w:t>
            </w:r>
            <w:r w:rsidRPr="00FE4D0F">
              <w:rPr>
                <w:rFonts w:ascii="Book Antiqua" w:hAnsi="Book Antiqua"/>
                <w:sz w:val="24"/>
                <w:szCs w:val="24"/>
              </w:rPr>
              <w:fldChar w:fldCharType="begin"/>
            </w:r>
            <w:r w:rsidRPr="00FE4D0F">
              <w:rPr>
                <w:rFonts w:ascii="Book Antiqua" w:hAnsi="Book Antiqua"/>
                <w:sz w:val="24"/>
                <w:szCs w:val="24"/>
              </w:rPr>
              <w:instrText>PAGE</w:instrText>
            </w:r>
            <w:r w:rsidRPr="00FE4D0F">
              <w:rPr>
                <w:rFonts w:ascii="Book Antiqua" w:hAnsi="Book Antiqua"/>
                <w:sz w:val="24"/>
                <w:szCs w:val="24"/>
              </w:rPr>
              <w:fldChar w:fldCharType="separate"/>
            </w:r>
            <w:r w:rsidR="00923C33">
              <w:rPr>
                <w:rFonts w:ascii="Book Antiqua" w:hAnsi="Book Antiqua"/>
                <w:noProof/>
                <w:sz w:val="24"/>
                <w:szCs w:val="24"/>
              </w:rPr>
              <w:t>1</w:t>
            </w:r>
            <w:r w:rsidRPr="00FE4D0F">
              <w:rPr>
                <w:rFonts w:ascii="Book Antiqua" w:hAnsi="Book Antiqua"/>
                <w:sz w:val="24"/>
                <w:szCs w:val="24"/>
              </w:rPr>
              <w:fldChar w:fldCharType="end"/>
            </w:r>
            <w:r w:rsidRPr="00FE4D0F">
              <w:rPr>
                <w:rFonts w:ascii="Book Antiqua" w:hAnsi="Book Antiqua"/>
                <w:sz w:val="24"/>
                <w:szCs w:val="24"/>
                <w:lang w:val="zh-CN" w:eastAsia="zh-CN"/>
              </w:rPr>
              <w:t xml:space="preserve"> / </w:t>
            </w:r>
            <w:r w:rsidRPr="00FE4D0F">
              <w:rPr>
                <w:rFonts w:ascii="Book Antiqua" w:hAnsi="Book Antiqua"/>
                <w:sz w:val="24"/>
                <w:szCs w:val="24"/>
              </w:rPr>
              <w:fldChar w:fldCharType="begin"/>
            </w:r>
            <w:r w:rsidRPr="00FE4D0F">
              <w:rPr>
                <w:rFonts w:ascii="Book Antiqua" w:hAnsi="Book Antiqua"/>
                <w:sz w:val="24"/>
                <w:szCs w:val="24"/>
              </w:rPr>
              <w:instrText>NUMPAGES</w:instrText>
            </w:r>
            <w:r w:rsidRPr="00FE4D0F">
              <w:rPr>
                <w:rFonts w:ascii="Book Antiqua" w:hAnsi="Book Antiqua"/>
                <w:sz w:val="24"/>
                <w:szCs w:val="24"/>
              </w:rPr>
              <w:fldChar w:fldCharType="separate"/>
            </w:r>
            <w:r w:rsidR="00923C33">
              <w:rPr>
                <w:rFonts w:ascii="Book Antiqua" w:hAnsi="Book Antiqua"/>
                <w:noProof/>
                <w:sz w:val="24"/>
                <w:szCs w:val="24"/>
              </w:rPr>
              <w:t>1</w:t>
            </w:r>
            <w:r w:rsidRPr="00FE4D0F">
              <w:rPr>
                <w:rFonts w:ascii="Book Antiqua" w:hAnsi="Book Antiqua"/>
                <w:sz w:val="24"/>
                <w:szCs w:val="24"/>
              </w:rPr>
              <w:fldChar w:fldCharType="end"/>
            </w:r>
          </w:p>
        </w:sdtContent>
      </w:sdt>
    </w:sdtContent>
  </w:sdt>
  <w:p w14:paraId="086504F8" w14:textId="77777777" w:rsidR="00243CDB" w:rsidRDefault="00243CD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5B14E" w14:textId="77777777" w:rsidR="00923C33" w:rsidRDefault="00923C33" w:rsidP="009572AD">
      <w:r>
        <w:separator/>
      </w:r>
    </w:p>
  </w:footnote>
  <w:footnote w:type="continuationSeparator" w:id="0">
    <w:p w14:paraId="6F4F6376" w14:textId="77777777" w:rsidR="00923C33" w:rsidRDefault="00923C33" w:rsidP="00957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35C"/>
    <w:rsid w:val="00013AED"/>
    <w:rsid w:val="00015896"/>
    <w:rsid w:val="00027DC6"/>
    <w:rsid w:val="00032BDA"/>
    <w:rsid w:val="00037D74"/>
    <w:rsid w:val="00046A8E"/>
    <w:rsid w:val="00072FCA"/>
    <w:rsid w:val="000743A5"/>
    <w:rsid w:val="0007478D"/>
    <w:rsid w:val="000849D0"/>
    <w:rsid w:val="00093B05"/>
    <w:rsid w:val="00095BAB"/>
    <w:rsid w:val="000A2370"/>
    <w:rsid w:val="000A5F97"/>
    <w:rsid w:val="000C5750"/>
    <w:rsid w:val="000C6768"/>
    <w:rsid w:val="000F0B80"/>
    <w:rsid w:val="00136CDD"/>
    <w:rsid w:val="001916ED"/>
    <w:rsid w:val="00194248"/>
    <w:rsid w:val="0019741C"/>
    <w:rsid w:val="001B11CA"/>
    <w:rsid w:val="001B2C6D"/>
    <w:rsid w:val="001B2D21"/>
    <w:rsid w:val="001B3A3B"/>
    <w:rsid w:val="001F2756"/>
    <w:rsid w:val="001F3F11"/>
    <w:rsid w:val="001F5C5B"/>
    <w:rsid w:val="001F689F"/>
    <w:rsid w:val="0021309F"/>
    <w:rsid w:val="00213707"/>
    <w:rsid w:val="00221156"/>
    <w:rsid w:val="00243CDB"/>
    <w:rsid w:val="0024455B"/>
    <w:rsid w:val="00273258"/>
    <w:rsid w:val="002A716D"/>
    <w:rsid w:val="002B04A4"/>
    <w:rsid w:val="002C14C8"/>
    <w:rsid w:val="002C6FF1"/>
    <w:rsid w:val="002E638C"/>
    <w:rsid w:val="00311A71"/>
    <w:rsid w:val="0031311E"/>
    <w:rsid w:val="00316AD6"/>
    <w:rsid w:val="0033080A"/>
    <w:rsid w:val="00343E67"/>
    <w:rsid w:val="003547E9"/>
    <w:rsid w:val="003621E9"/>
    <w:rsid w:val="003703DE"/>
    <w:rsid w:val="00371595"/>
    <w:rsid w:val="003743AB"/>
    <w:rsid w:val="00384DC5"/>
    <w:rsid w:val="003C42F5"/>
    <w:rsid w:val="003D4DD4"/>
    <w:rsid w:val="003D56AF"/>
    <w:rsid w:val="003E31E4"/>
    <w:rsid w:val="00402F5F"/>
    <w:rsid w:val="004123A0"/>
    <w:rsid w:val="0042564B"/>
    <w:rsid w:val="00452B23"/>
    <w:rsid w:val="0046466F"/>
    <w:rsid w:val="004703F1"/>
    <w:rsid w:val="0047196A"/>
    <w:rsid w:val="004900BD"/>
    <w:rsid w:val="00497A75"/>
    <w:rsid w:val="004A0389"/>
    <w:rsid w:val="004B2F1C"/>
    <w:rsid w:val="004E279B"/>
    <w:rsid w:val="005162BE"/>
    <w:rsid w:val="00516E81"/>
    <w:rsid w:val="005209EA"/>
    <w:rsid w:val="005459A9"/>
    <w:rsid w:val="005631D1"/>
    <w:rsid w:val="00564499"/>
    <w:rsid w:val="005F2CA7"/>
    <w:rsid w:val="00605FE9"/>
    <w:rsid w:val="00654774"/>
    <w:rsid w:val="006A2C42"/>
    <w:rsid w:val="006C4D95"/>
    <w:rsid w:val="00710DF1"/>
    <w:rsid w:val="00716763"/>
    <w:rsid w:val="00717A89"/>
    <w:rsid w:val="007252FC"/>
    <w:rsid w:val="0073609F"/>
    <w:rsid w:val="007428CF"/>
    <w:rsid w:val="00761299"/>
    <w:rsid w:val="00767D63"/>
    <w:rsid w:val="0079117B"/>
    <w:rsid w:val="007A5B0F"/>
    <w:rsid w:val="007D342B"/>
    <w:rsid w:val="007E1218"/>
    <w:rsid w:val="007E62D3"/>
    <w:rsid w:val="00804321"/>
    <w:rsid w:val="008148E8"/>
    <w:rsid w:val="00844417"/>
    <w:rsid w:val="008508A4"/>
    <w:rsid w:val="0085773A"/>
    <w:rsid w:val="00865028"/>
    <w:rsid w:val="00883B6D"/>
    <w:rsid w:val="00885647"/>
    <w:rsid w:val="00893999"/>
    <w:rsid w:val="00893C2C"/>
    <w:rsid w:val="008A0228"/>
    <w:rsid w:val="008A4E3E"/>
    <w:rsid w:val="008B09C1"/>
    <w:rsid w:val="008B20AE"/>
    <w:rsid w:val="008D744A"/>
    <w:rsid w:val="008E4BEA"/>
    <w:rsid w:val="008F2543"/>
    <w:rsid w:val="00900CD2"/>
    <w:rsid w:val="0091659E"/>
    <w:rsid w:val="00923C33"/>
    <w:rsid w:val="009572AD"/>
    <w:rsid w:val="009A1EB6"/>
    <w:rsid w:val="009C0BBA"/>
    <w:rsid w:val="009C48B9"/>
    <w:rsid w:val="009D14EE"/>
    <w:rsid w:val="00A24BF5"/>
    <w:rsid w:val="00A27FF8"/>
    <w:rsid w:val="00A709E9"/>
    <w:rsid w:val="00A77B3E"/>
    <w:rsid w:val="00A92C73"/>
    <w:rsid w:val="00AA5303"/>
    <w:rsid w:val="00AB03C4"/>
    <w:rsid w:val="00AB64A9"/>
    <w:rsid w:val="00AD1177"/>
    <w:rsid w:val="00B61A51"/>
    <w:rsid w:val="00B84890"/>
    <w:rsid w:val="00B91A16"/>
    <w:rsid w:val="00BA05CC"/>
    <w:rsid w:val="00BA2975"/>
    <w:rsid w:val="00BA527B"/>
    <w:rsid w:val="00BA66F0"/>
    <w:rsid w:val="00BB590D"/>
    <w:rsid w:val="00BC67CA"/>
    <w:rsid w:val="00BD0258"/>
    <w:rsid w:val="00BD3AB0"/>
    <w:rsid w:val="00BD3FBA"/>
    <w:rsid w:val="00BD60C8"/>
    <w:rsid w:val="00BE06BE"/>
    <w:rsid w:val="00BE6529"/>
    <w:rsid w:val="00BF49CA"/>
    <w:rsid w:val="00C06D9C"/>
    <w:rsid w:val="00C14FAF"/>
    <w:rsid w:val="00C22380"/>
    <w:rsid w:val="00C33651"/>
    <w:rsid w:val="00C3607A"/>
    <w:rsid w:val="00C5687C"/>
    <w:rsid w:val="00C61214"/>
    <w:rsid w:val="00C65B2A"/>
    <w:rsid w:val="00C66558"/>
    <w:rsid w:val="00C6787F"/>
    <w:rsid w:val="00C67DAD"/>
    <w:rsid w:val="00C82067"/>
    <w:rsid w:val="00C919A5"/>
    <w:rsid w:val="00CA2A55"/>
    <w:rsid w:val="00CA3EB8"/>
    <w:rsid w:val="00CB6A70"/>
    <w:rsid w:val="00CB6EF7"/>
    <w:rsid w:val="00CC482D"/>
    <w:rsid w:val="00CD1DDF"/>
    <w:rsid w:val="00CE0F56"/>
    <w:rsid w:val="00CF3CBE"/>
    <w:rsid w:val="00D355AE"/>
    <w:rsid w:val="00DA5ECE"/>
    <w:rsid w:val="00DC0392"/>
    <w:rsid w:val="00DC79F6"/>
    <w:rsid w:val="00DF18DE"/>
    <w:rsid w:val="00E040E7"/>
    <w:rsid w:val="00E05570"/>
    <w:rsid w:val="00E20688"/>
    <w:rsid w:val="00E20A68"/>
    <w:rsid w:val="00E20B1B"/>
    <w:rsid w:val="00E25C01"/>
    <w:rsid w:val="00E35CFD"/>
    <w:rsid w:val="00E437E6"/>
    <w:rsid w:val="00E46C8B"/>
    <w:rsid w:val="00E53413"/>
    <w:rsid w:val="00E65CAD"/>
    <w:rsid w:val="00E747D0"/>
    <w:rsid w:val="00EA5274"/>
    <w:rsid w:val="00EB3BB6"/>
    <w:rsid w:val="00EB42AE"/>
    <w:rsid w:val="00EC2081"/>
    <w:rsid w:val="00EC2D50"/>
    <w:rsid w:val="00EC484A"/>
    <w:rsid w:val="00EE1C00"/>
    <w:rsid w:val="00EE7694"/>
    <w:rsid w:val="00EF0D4C"/>
    <w:rsid w:val="00EF231C"/>
    <w:rsid w:val="00EF3D25"/>
    <w:rsid w:val="00EF5641"/>
    <w:rsid w:val="00EF6E27"/>
    <w:rsid w:val="00F21DDF"/>
    <w:rsid w:val="00F572FD"/>
    <w:rsid w:val="00F57732"/>
    <w:rsid w:val="00F63C11"/>
    <w:rsid w:val="00F937CC"/>
    <w:rsid w:val="00FA35CD"/>
    <w:rsid w:val="00FA491A"/>
    <w:rsid w:val="00FC2C01"/>
    <w:rsid w:val="00FE0410"/>
    <w:rsid w:val="00FE4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E6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7C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572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72AD"/>
    <w:rPr>
      <w:sz w:val="18"/>
      <w:szCs w:val="18"/>
    </w:rPr>
  </w:style>
  <w:style w:type="paragraph" w:styleId="a4">
    <w:name w:val="footer"/>
    <w:basedOn w:val="a"/>
    <w:link w:val="Char0"/>
    <w:uiPriority w:val="99"/>
    <w:rsid w:val="009572AD"/>
    <w:pPr>
      <w:tabs>
        <w:tab w:val="center" w:pos="4153"/>
        <w:tab w:val="right" w:pos="8306"/>
      </w:tabs>
      <w:snapToGrid w:val="0"/>
    </w:pPr>
    <w:rPr>
      <w:sz w:val="18"/>
      <w:szCs w:val="18"/>
    </w:rPr>
  </w:style>
  <w:style w:type="character" w:customStyle="1" w:styleId="Char0">
    <w:name w:val="页脚 Char"/>
    <w:basedOn w:val="a0"/>
    <w:link w:val="a4"/>
    <w:uiPriority w:val="99"/>
    <w:rsid w:val="009572AD"/>
    <w:rPr>
      <w:sz w:val="18"/>
      <w:szCs w:val="18"/>
    </w:rPr>
  </w:style>
  <w:style w:type="paragraph" w:styleId="a5">
    <w:name w:val="Normal (Web)"/>
    <w:basedOn w:val="a"/>
    <w:uiPriority w:val="99"/>
    <w:unhideWhenUsed/>
    <w:rsid w:val="007E1218"/>
    <w:pPr>
      <w:spacing w:before="100" w:beforeAutospacing="1" w:after="100" w:afterAutospacing="1"/>
    </w:pPr>
    <w:rPr>
      <w:rFonts w:ascii="宋体" w:eastAsia="宋体" w:hAnsi="宋体" w:cs="宋体"/>
      <w:lang w:eastAsia="zh-CN"/>
    </w:rPr>
  </w:style>
  <w:style w:type="paragraph" w:styleId="a6">
    <w:name w:val="Balloon Text"/>
    <w:basedOn w:val="a"/>
    <w:link w:val="Char1"/>
    <w:rsid w:val="005631D1"/>
    <w:rPr>
      <w:sz w:val="18"/>
      <w:szCs w:val="18"/>
    </w:rPr>
  </w:style>
  <w:style w:type="character" w:customStyle="1" w:styleId="Char1">
    <w:name w:val="批注框文本 Char"/>
    <w:basedOn w:val="a0"/>
    <w:link w:val="a6"/>
    <w:rsid w:val="005631D1"/>
    <w:rPr>
      <w:sz w:val="18"/>
      <w:szCs w:val="18"/>
    </w:rPr>
  </w:style>
  <w:style w:type="character" w:styleId="a7">
    <w:name w:val="annotation reference"/>
    <w:basedOn w:val="a0"/>
    <w:rsid w:val="00E65CAD"/>
    <w:rPr>
      <w:sz w:val="21"/>
      <w:szCs w:val="21"/>
    </w:rPr>
  </w:style>
  <w:style w:type="paragraph" w:styleId="a8">
    <w:name w:val="annotation text"/>
    <w:basedOn w:val="a"/>
    <w:link w:val="Char2"/>
    <w:rsid w:val="00E65CAD"/>
  </w:style>
  <w:style w:type="character" w:customStyle="1" w:styleId="Char2">
    <w:name w:val="批注文字 Char"/>
    <w:basedOn w:val="a0"/>
    <w:link w:val="a8"/>
    <w:rsid w:val="00E65CAD"/>
    <w:rPr>
      <w:sz w:val="24"/>
      <w:szCs w:val="24"/>
    </w:rPr>
  </w:style>
  <w:style w:type="paragraph" w:styleId="a9">
    <w:name w:val="annotation subject"/>
    <w:basedOn w:val="a8"/>
    <w:next w:val="a8"/>
    <w:link w:val="Char3"/>
    <w:rsid w:val="00E65CAD"/>
    <w:rPr>
      <w:b/>
      <w:bCs/>
    </w:rPr>
  </w:style>
  <w:style w:type="character" w:customStyle="1" w:styleId="Char3">
    <w:name w:val="批注主题 Char"/>
    <w:basedOn w:val="Char2"/>
    <w:link w:val="a9"/>
    <w:rsid w:val="00E65CAD"/>
    <w:rPr>
      <w:b/>
      <w:bCs/>
      <w:sz w:val="24"/>
      <w:szCs w:val="24"/>
    </w:rPr>
  </w:style>
  <w:style w:type="table" w:styleId="aa">
    <w:name w:val="Table Grid"/>
    <w:basedOn w:val="a1"/>
    <w:uiPriority w:val="59"/>
    <w:rsid w:val="0031311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7C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572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72AD"/>
    <w:rPr>
      <w:sz w:val="18"/>
      <w:szCs w:val="18"/>
    </w:rPr>
  </w:style>
  <w:style w:type="paragraph" w:styleId="a4">
    <w:name w:val="footer"/>
    <w:basedOn w:val="a"/>
    <w:link w:val="Char0"/>
    <w:uiPriority w:val="99"/>
    <w:rsid w:val="009572AD"/>
    <w:pPr>
      <w:tabs>
        <w:tab w:val="center" w:pos="4153"/>
        <w:tab w:val="right" w:pos="8306"/>
      </w:tabs>
      <w:snapToGrid w:val="0"/>
    </w:pPr>
    <w:rPr>
      <w:sz w:val="18"/>
      <w:szCs w:val="18"/>
    </w:rPr>
  </w:style>
  <w:style w:type="character" w:customStyle="1" w:styleId="Char0">
    <w:name w:val="页脚 Char"/>
    <w:basedOn w:val="a0"/>
    <w:link w:val="a4"/>
    <w:uiPriority w:val="99"/>
    <w:rsid w:val="009572AD"/>
    <w:rPr>
      <w:sz w:val="18"/>
      <w:szCs w:val="18"/>
    </w:rPr>
  </w:style>
  <w:style w:type="paragraph" w:styleId="a5">
    <w:name w:val="Normal (Web)"/>
    <w:basedOn w:val="a"/>
    <w:uiPriority w:val="99"/>
    <w:unhideWhenUsed/>
    <w:rsid w:val="007E1218"/>
    <w:pPr>
      <w:spacing w:before="100" w:beforeAutospacing="1" w:after="100" w:afterAutospacing="1"/>
    </w:pPr>
    <w:rPr>
      <w:rFonts w:ascii="宋体" w:eastAsia="宋体" w:hAnsi="宋体" w:cs="宋体"/>
      <w:lang w:eastAsia="zh-CN"/>
    </w:rPr>
  </w:style>
  <w:style w:type="paragraph" w:styleId="a6">
    <w:name w:val="Balloon Text"/>
    <w:basedOn w:val="a"/>
    <w:link w:val="Char1"/>
    <w:rsid w:val="005631D1"/>
    <w:rPr>
      <w:sz w:val="18"/>
      <w:szCs w:val="18"/>
    </w:rPr>
  </w:style>
  <w:style w:type="character" w:customStyle="1" w:styleId="Char1">
    <w:name w:val="批注框文本 Char"/>
    <w:basedOn w:val="a0"/>
    <w:link w:val="a6"/>
    <w:rsid w:val="005631D1"/>
    <w:rPr>
      <w:sz w:val="18"/>
      <w:szCs w:val="18"/>
    </w:rPr>
  </w:style>
  <w:style w:type="character" w:styleId="a7">
    <w:name w:val="annotation reference"/>
    <w:basedOn w:val="a0"/>
    <w:rsid w:val="00E65CAD"/>
    <w:rPr>
      <w:sz w:val="21"/>
      <w:szCs w:val="21"/>
    </w:rPr>
  </w:style>
  <w:style w:type="paragraph" w:styleId="a8">
    <w:name w:val="annotation text"/>
    <w:basedOn w:val="a"/>
    <w:link w:val="Char2"/>
    <w:rsid w:val="00E65CAD"/>
  </w:style>
  <w:style w:type="character" w:customStyle="1" w:styleId="Char2">
    <w:name w:val="批注文字 Char"/>
    <w:basedOn w:val="a0"/>
    <w:link w:val="a8"/>
    <w:rsid w:val="00E65CAD"/>
    <w:rPr>
      <w:sz w:val="24"/>
      <w:szCs w:val="24"/>
    </w:rPr>
  </w:style>
  <w:style w:type="paragraph" w:styleId="a9">
    <w:name w:val="annotation subject"/>
    <w:basedOn w:val="a8"/>
    <w:next w:val="a8"/>
    <w:link w:val="Char3"/>
    <w:rsid w:val="00E65CAD"/>
    <w:rPr>
      <w:b/>
      <w:bCs/>
    </w:rPr>
  </w:style>
  <w:style w:type="character" w:customStyle="1" w:styleId="Char3">
    <w:name w:val="批注主题 Char"/>
    <w:basedOn w:val="Char2"/>
    <w:link w:val="a9"/>
    <w:rsid w:val="00E65CAD"/>
    <w:rPr>
      <w:b/>
      <w:bCs/>
      <w:sz w:val="24"/>
      <w:szCs w:val="24"/>
    </w:rPr>
  </w:style>
  <w:style w:type="table" w:styleId="aa">
    <w:name w:val="Table Grid"/>
    <w:basedOn w:val="a1"/>
    <w:uiPriority w:val="59"/>
    <w:rsid w:val="0031311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86879">
      <w:bodyDiv w:val="1"/>
      <w:marLeft w:val="0"/>
      <w:marRight w:val="0"/>
      <w:marTop w:val="0"/>
      <w:marBottom w:val="0"/>
      <w:divBdr>
        <w:top w:val="none" w:sz="0" w:space="0" w:color="auto"/>
        <w:left w:val="none" w:sz="0" w:space="0" w:color="auto"/>
        <w:bottom w:val="none" w:sz="0" w:space="0" w:color="auto"/>
        <w:right w:val="none" w:sz="0" w:space="0" w:color="auto"/>
      </w:divBdr>
    </w:div>
    <w:div w:id="1363165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4965</Words>
  <Characters>28303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2020-11-02T02:15:00Z</dcterms:created>
  <dcterms:modified xsi:type="dcterms:W3CDTF">2020-12-15T06:33:00Z</dcterms:modified>
</cp:coreProperties>
</file>