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CA9867" w14:textId="77777777" w:rsidR="00A77B3E" w:rsidRDefault="00FC055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454560BD" w14:textId="77777777" w:rsidR="00A77B3E" w:rsidRDefault="00FC055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58527</w:t>
      </w:r>
    </w:p>
    <w:p w14:paraId="119D0AC7" w14:textId="77777777" w:rsidR="00A77B3E" w:rsidRDefault="00FC055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0B33F25" w14:textId="77777777" w:rsidR="00A77B3E" w:rsidRDefault="00A77B3E">
      <w:pPr>
        <w:spacing w:line="360" w:lineRule="auto"/>
        <w:jc w:val="both"/>
      </w:pPr>
    </w:p>
    <w:p w14:paraId="078A59E4" w14:textId="77777777" w:rsidR="00A77B3E" w:rsidRDefault="00FC055D">
      <w:pPr>
        <w:spacing w:line="360" w:lineRule="auto"/>
        <w:jc w:val="both"/>
      </w:pPr>
      <w:r>
        <w:rPr>
          <w:rFonts w:ascii="Book Antiqua" w:eastAsia="Book Antiqua" w:hAnsi="Book Antiqua" w:cs="Book Antiqua"/>
          <w:b/>
          <w:i/>
          <w:color w:val="000000"/>
        </w:rPr>
        <w:t>Retrospective Study</w:t>
      </w:r>
    </w:p>
    <w:p w14:paraId="61A7456F" w14:textId="77777777" w:rsidR="00A77B3E" w:rsidRDefault="00FC055D">
      <w:pPr>
        <w:spacing w:line="360" w:lineRule="auto"/>
        <w:jc w:val="both"/>
      </w:pPr>
      <w:bookmarkStart w:id="0" w:name="OLE_LINK146"/>
      <w:bookmarkStart w:id="1" w:name="OLE_LINK147"/>
      <w:r>
        <w:rPr>
          <w:rFonts w:ascii="Book Antiqua" w:eastAsia="Book Antiqua" w:hAnsi="Book Antiqua" w:cs="Book Antiqua"/>
          <w:b/>
          <w:color w:val="000000"/>
          <w:szCs w:val="22"/>
        </w:rPr>
        <w:t xml:space="preserve">Outcome of </w:t>
      </w:r>
      <w:r w:rsidR="002A023F">
        <w:rPr>
          <w:rFonts w:ascii="Book Antiqua" w:eastAsia="Book Antiqua" w:hAnsi="Book Antiqua" w:cs="Book Antiqua"/>
          <w:b/>
          <w:color w:val="000000"/>
          <w:szCs w:val="22"/>
        </w:rPr>
        <w:t>gastric antral vascular ectasia and related anemia after orthotopic liver transplantat</w:t>
      </w:r>
      <w:r>
        <w:rPr>
          <w:rFonts w:ascii="Book Antiqua" w:eastAsia="Book Antiqua" w:hAnsi="Book Antiqua" w:cs="Book Antiqua"/>
          <w:b/>
          <w:color w:val="000000"/>
          <w:szCs w:val="22"/>
        </w:rPr>
        <w:t>ion</w:t>
      </w:r>
    </w:p>
    <w:bookmarkEnd w:id="0"/>
    <w:bookmarkEnd w:id="1"/>
    <w:p w14:paraId="691FA9B5" w14:textId="77777777" w:rsidR="00A77B3E" w:rsidRDefault="00A77B3E">
      <w:pPr>
        <w:spacing w:line="360" w:lineRule="auto"/>
        <w:jc w:val="both"/>
      </w:pPr>
    </w:p>
    <w:p w14:paraId="7EBE84A7" w14:textId="77777777" w:rsidR="00A77B3E" w:rsidRDefault="00A350A0">
      <w:pPr>
        <w:spacing w:line="360" w:lineRule="auto"/>
        <w:jc w:val="both"/>
      </w:pPr>
      <w:r>
        <w:rPr>
          <w:rFonts w:ascii="Book Antiqua" w:eastAsia="Book Antiqua" w:hAnsi="Book Antiqua" w:cs="Book Antiqua"/>
          <w:color w:val="000000"/>
          <w:szCs w:val="22"/>
        </w:rPr>
        <w:t>Emhmed Ali S</w:t>
      </w:r>
      <w:r w:rsidR="00B57146">
        <w:rPr>
          <w:rFonts w:ascii="Book Antiqua" w:hAnsi="Book Antiqua" w:cs="Book Antiqua" w:hint="eastAsia"/>
          <w:color w:val="000000"/>
          <w:szCs w:val="22"/>
          <w:lang w:eastAsia="zh-CN"/>
        </w:rPr>
        <w:t xml:space="preserve"> </w:t>
      </w:r>
      <w:r w:rsidR="00B57146" w:rsidRPr="00B57146">
        <w:rPr>
          <w:rFonts w:ascii="Book Antiqua" w:hAnsi="Book Antiqua" w:cs="Book Antiqua" w:hint="eastAsia"/>
          <w:i/>
          <w:color w:val="000000"/>
          <w:szCs w:val="22"/>
          <w:lang w:eastAsia="zh-CN"/>
        </w:rPr>
        <w:t>et al</w:t>
      </w:r>
      <w:r w:rsidR="00B57146">
        <w:rPr>
          <w:rFonts w:ascii="Book Antiqua" w:hAnsi="Book Antiqua" w:cs="Book Antiqua" w:hint="eastAsia"/>
          <w:color w:val="000000"/>
          <w:szCs w:val="22"/>
          <w:lang w:eastAsia="zh-CN"/>
        </w:rPr>
        <w:t xml:space="preserve">. </w:t>
      </w:r>
      <w:r w:rsidR="00FC055D">
        <w:rPr>
          <w:rFonts w:ascii="Book Antiqua" w:eastAsia="Book Antiqua" w:hAnsi="Book Antiqua" w:cs="Book Antiqua"/>
          <w:color w:val="000000"/>
          <w:szCs w:val="22"/>
        </w:rPr>
        <w:t>Impact of OLT on GAVE </w:t>
      </w:r>
    </w:p>
    <w:p w14:paraId="6DF3FD31" w14:textId="77777777" w:rsidR="00A77B3E" w:rsidRDefault="00A77B3E">
      <w:pPr>
        <w:spacing w:line="360" w:lineRule="auto"/>
        <w:jc w:val="both"/>
      </w:pPr>
    </w:p>
    <w:p w14:paraId="44452AD3" w14:textId="77777777" w:rsidR="00A77B3E" w:rsidRDefault="00FC055D">
      <w:pPr>
        <w:spacing w:line="360" w:lineRule="auto"/>
        <w:jc w:val="both"/>
      </w:pPr>
      <w:proofErr w:type="spellStart"/>
      <w:r>
        <w:rPr>
          <w:rFonts w:ascii="Book Antiqua" w:eastAsia="Book Antiqua" w:hAnsi="Book Antiqua" w:cs="Book Antiqua"/>
          <w:color w:val="000000"/>
        </w:rPr>
        <w:t>Saad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Emhmed</w:t>
      </w:r>
      <w:proofErr w:type="spellEnd"/>
      <w:r>
        <w:rPr>
          <w:rFonts w:ascii="Book Antiqua" w:eastAsia="Book Antiqua" w:hAnsi="Book Antiqua" w:cs="Book Antiqua"/>
          <w:color w:val="000000"/>
        </w:rPr>
        <w:t xml:space="preserve"> </w:t>
      </w:r>
      <w:bookmarkStart w:id="2" w:name="OLE_LINK78"/>
      <w:bookmarkStart w:id="3" w:name="OLE_LINK79"/>
      <w:r>
        <w:rPr>
          <w:rFonts w:ascii="Book Antiqua" w:eastAsia="Book Antiqua" w:hAnsi="Book Antiqua" w:cs="Book Antiqua"/>
          <w:color w:val="000000"/>
        </w:rPr>
        <w:t>Ali</w:t>
      </w:r>
      <w:bookmarkEnd w:id="2"/>
      <w:bookmarkEnd w:id="3"/>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Karim</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Benrajab</w:t>
      </w:r>
      <w:proofErr w:type="spellEnd"/>
      <w:r>
        <w:rPr>
          <w:rFonts w:ascii="Book Antiqua" w:eastAsia="Book Antiqua" w:hAnsi="Book Antiqua" w:cs="Book Antiqua"/>
          <w:color w:val="000000"/>
        </w:rPr>
        <w:t xml:space="preserve">, Anna Christina </w:t>
      </w:r>
      <w:proofErr w:type="spellStart"/>
      <w:r>
        <w:rPr>
          <w:rFonts w:ascii="Book Antiqua" w:eastAsia="Book Antiqua" w:hAnsi="Book Antiqua" w:cs="Book Antiqua"/>
          <w:color w:val="000000"/>
        </w:rPr>
        <w:t>Dela</w:t>
      </w:r>
      <w:proofErr w:type="spellEnd"/>
      <w:r>
        <w:rPr>
          <w:rFonts w:ascii="Book Antiqua" w:eastAsia="Book Antiqua" w:hAnsi="Book Antiqua" w:cs="Book Antiqua"/>
          <w:color w:val="000000"/>
        </w:rPr>
        <w:t xml:space="preserve"> Cruz</w:t>
      </w:r>
    </w:p>
    <w:p w14:paraId="2C88BB64" w14:textId="77777777" w:rsidR="00A77B3E" w:rsidRDefault="00A77B3E">
      <w:pPr>
        <w:spacing w:line="360" w:lineRule="auto"/>
        <w:jc w:val="both"/>
      </w:pPr>
    </w:p>
    <w:p w14:paraId="1489C3E5" w14:textId="77777777" w:rsidR="00A77B3E" w:rsidRDefault="00FC055D">
      <w:pPr>
        <w:spacing w:line="360" w:lineRule="auto"/>
        <w:jc w:val="both"/>
      </w:pPr>
      <w:proofErr w:type="spellStart"/>
      <w:r>
        <w:rPr>
          <w:rFonts w:ascii="Book Antiqua" w:eastAsia="Book Antiqua" w:hAnsi="Book Antiqua" w:cs="Book Antiqua"/>
          <w:b/>
          <w:bCs/>
          <w:color w:val="000000"/>
        </w:rPr>
        <w:t>Saad</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Emhmed</w:t>
      </w:r>
      <w:proofErr w:type="spellEnd"/>
      <w:r>
        <w:rPr>
          <w:rFonts w:ascii="Book Antiqua" w:eastAsia="Book Antiqua" w:hAnsi="Book Antiqua" w:cs="Book Antiqua"/>
          <w:b/>
          <w:bCs/>
          <w:color w:val="000000"/>
        </w:rPr>
        <w:t xml:space="preserve"> Ali, </w:t>
      </w:r>
      <w:r w:rsidR="00715026">
        <w:rPr>
          <w:rFonts w:ascii="Book Antiqua" w:eastAsia="Times New Roman" w:hAnsi="Book Antiqua" w:cstheme="majorBidi"/>
          <w:color w:val="000000" w:themeColor="text1"/>
          <w:spacing w:val="2"/>
          <w:shd w:val="clear" w:color="auto" w:fill="FFFFFF"/>
        </w:rPr>
        <w:t>Division of Hospital Medicine, Department of Internal Medicine</w:t>
      </w:r>
      <w:r>
        <w:rPr>
          <w:rFonts w:ascii="Book Antiqua" w:eastAsia="Book Antiqua" w:hAnsi="Book Antiqua" w:cs="Book Antiqua"/>
          <w:color w:val="000000"/>
        </w:rPr>
        <w:t>, University of Kentucky College of Medicine, Lexington, KY 40536, United States</w:t>
      </w:r>
    </w:p>
    <w:p w14:paraId="042CF67F" w14:textId="77777777" w:rsidR="00A77B3E" w:rsidRDefault="00A77B3E">
      <w:pPr>
        <w:spacing w:line="360" w:lineRule="auto"/>
        <w:jc w:val="both"/>
      </w:pPr>
    </w:p>
    <w:p w14:paraId="4BF9127E" w14:textId="5493B57F" w:rsidR="00A77B3E" w:rsidRDefault="00FC055D">
      <w:pPr>
        <w:spacing w:line="360" w:lineRule="auto"/>
        <w:jc w:val="both"/>
      </w:pPr>
      <w:proofErr w:type="spellStart"/>
      <w:r>
        <w:rPr>
          <w:rFonts w:ascii="Book Antiqua" w:eastAsia="Book Antiqua" w:hAnsi="Book Antiqua" w:cs="Book Antiqua"/>
          <w:b/>
          <w:bCs/>
          <w:color w:val="000000"/>
        </w:rPr>
        <w:t>Karim</w:t>
      </w:r>
      <w:proofErr w:type="spellEnd"/>
      <w:r>
        <w:rPr>
          <w:rFonts w:ascii="Book Antiqua" w:eastAsia="Book Antiqua" w:hAnsi="Book Antiqua" w:cs="Book Antiqua"/>
          <w:b/>
          <w:bCs/>
          <w:color w:val="000000"/>
        </w:rPr>
        <w:t xml:space="preserve"> M </w:t>
      </w:r>
      <w:proofErr w:type="spellStart"/>
      <w:r>
        <w:rPr>
          <w:rFonts w:ascii="Book Antiqua" w:eastAsia="Book Antiqua" w:hAnsi="Book Antiqua" w:cs="Book Antiqua"/>
          <w:b/>
          <w:bCs/>
          <w:color w:val="000000"/>
        </w:rPr>
        <w:t>Benrajab</w:t>
      </w:r>
      <w:proofErr w:type="spellEnd"/>
      <w:r>
        <w:rPr>
          <w:rFonts w:ascii="Book Antiqua" w:eastAsia="Book Antiqua" w:hAnsi="Book Antiqua" w:cs="Book Antiqua"/>
          <w:b/>
          <w:bCs/>
          <w:color w:val="000000"/>
        </w:rPr>
        <w:t xml:space="preserve">, </w:t>
      </w:r>
      <w:r w:rsidR="00715026">
        <w:rPr>
          <w:rFonts w:ascii="Book Antiqua" w:eastAsia="Book Antiqua" w:hAnsi="Book Antiqua" w:cs="Book Antiqua"/>
          <w:b/>
          <w:bCs/>
          <w:color w:val="000000"/>
        </w:rPr>
        <w:t xml:space="preserve">Anna Christina </w:t>
      </w:r>
      <w:proofErr w:type="spellStart"/>
      <w:r w:rsidR="00715026">
        <w:rPr>
          <w:rFonts w:ascii="Book Antiqua" w:eastAsia="Book Antiqua" w:hAnsi="Book Antiqua" w:cs="Book Antiqua"/>
          <w:b/>
          <w:bCs/>
          <w:color w:val="000000"/>
        </w:rPr>
        <w:t>Dela</w:t>
      </w:r>
      <w:proofErr w:type="spellEnd"/>
      <w:r w:rsidR="00715026">
        <w:rPr>
          <w:rFonts w:ascii="Book Antiqua" w:eastAsia="Book Antiqua" w:hAnsi="Book Antiqua" w:cs="Book Antiqua"/>
          <w:b/>
          <w:bCs/>
          <w:color w:val="000000"/>
        </w:rPr>
        <w:t xml:space="preserve"> Cruz, </w:t>
      </w:r>
      <w:bookmarkStart w:id="4" w:name="OLE_LINK86"/>
      <w:bookmarkStart w:id="5" w:name="OLE_LINK87"/>
      <w:r>
        <w:rPr>
          <w:rFonts w:ascii="Book Antiqua" w:eastAsia="Book Antiqua" w:hAnsi="Book Antiqua" w:cs="Book Antiqua"/>
          <w:color w:val="000000"/>
        </w:rPr>
        <w:t xml:space="preserve">Division of Digestive </w:t>
      </w:r>
      <w:r w:rsidR="00715026">
        <w:rPr>
          <w:rFonts w:ascii="Book Antiqua" w:eastAsia="Book Antiqua" w:hAnsi="Book Antiqua" w:cs="Book Antiqua"/>
          <w:color w:val="000000"/>
        </w:rPr>
        <w:t>Dis</w:t>
      </w:r>
      <w:r>
        <w:rPr>
          <w:rFonts w:ascii="Book Antiqua" w:eastAsia="Book Antiqua" w:hAnsi="Book Antiqua" w:cs="Book Antiqua"/>
          <w:color w:val="000000"/>
        </w:rPr>
        <w:t>ease</w:t>
      </w:r>
      <w:r w:rsidR="00BF6F40">
        <w:rPr>
          <w:rFonts w:ascii="Book Antiqua" w:eastAsia="Book Antiqua" w:hAnsi="Book Antiqua" w:cs="Book Antiqua"/>
          <w:color w:val="000000"/>
        </w:rPr>
        <w:t>s</w:t>
      </w:r>
      <w:r>
        <w:rPr>
          <w:rFonts w:ascii="Book Antiqua" w:eastAsia="Book Antiqua" w:hAnsi="Book Antiqua" w:cs="Book Antiqua"/>
          <w:color w:val="000000"/>
        </w:rPr>
        <w:t xml:space="preserve"> and </w:t>
      </w:r>
      <w:r w:rsidR="00715026">
        <w:rPr>
          <w:rFonts w:ascii="Book Antiqua" w:eastAsia="Book Antiqua" w:hAnsi="Book Antiqua" w:cs="Book Antiqua"/>
          <w:color w:val="000000"/>
        </w:rPr>
        <w:t>Nutrition</w:t>
      </w:r>
      <w:r w:rsidR="00715026">
        <w:rPr>
          <w:rFonts w:ascii="Book Antiqua" w:hAnsi="Book Antiqua" w:cs="Book Antiqua" w:hint="eastAsia"/>
          <w:color w:val="000000"/>
          <w:lang w:eastAsia="zh-CN"/>
        </w:rPr>
        <w:t xml:space="preserve">, </w:t>
      </w:r>
      <w:r>
        <w:rPr>
          <w:rFonts w:ascii="Book Antiqua" w:eastAsia="Book Antiqua" w:hAnsi="Book Antiqua" w:cs="Book Antiqua"/>
          <w:color w:val="000000"/>
        </w:rPr>
        <w:t>Department of Internal Medicine, University of Kentucky College of Medicine</w:t>
      </w:r>
      <w:bookmarkEnd w:id="4"/>
      <w:bookmarkEnd w:id="5"/>
      <w:r>
        <w:rPr>
          <w:rFonts w:ascii="Book Antiqua" w:eastAsia="Book Antiqua" w:hAnsi="Book Antiqua" w:cs="Book Antiqua"/>
          <w:color w:val="000000"/>
        </w:rPr>
        <w:t>, Lexington, KY 40536, United States</w:t>
      </w:r>
    </w:p>
    <w:p w14:paraId="2D4759FF" w14:textId="77777777" w:rsidR="00A77B3E" w:rsidRDefault="00A77B3E">
      <w:pPr>
        <w:spacing w:line="360" w:lineRule="auto"/>
        <w:jc w:val="both"/>
      </w:pPr>
    </w:p>
    <w:p w14:paraId="25544688" w14:textId="77777777" w:rsidR="00A77B3E" w:rsidRDefault="00FC055D">
      <w:pPr>
        <w:spacing w:line="360" w:lineRule="auto"/>
        <w:jc w:val="both"/>
      </w:pPr>
      <w:r>
        <w:rPr>
          <w:rFonts w:ascii="Book Antiqua" w:eastAsia="Book Antiqua" w:hAnsi="Book Antiqua" w:cs="Book Antiqua"/>
          <w:b/>
          <w:bCs/>
          <w:color w:val="000000"/>
          <w:szCs w:val="22"/>
        </w:rPr>
        <w:t xml:space="preserve">Author contributions: </w:t>
      </w:r>
      <w:bookmarkStart w:id="6" w:name="OLE_LINK84"/>
      <w:bookmarkStart w:id="7" w:name="OLE_LINK85"/>
      <w:proofErr w:type="spellStart"/>
      <w:r>
        <w:rPr>
          <w:rFonts w:ascii="Book Antiqua" w:eastAsia="Book Antiqua" w:hAnsi="Book Antiqua" w:cs="Book Antiqua"/>
          <w:color w:val="000000"/>
          <w:szCs w:val="22"/>
        </w:rPr>
        <w:t>Emhmed</w:t>
      </w:r>
      <w:proofErr w:type="spellEnd"/>
      <w:r>
        <w:rPr>
          <w:rFonts w:ascii="Book Antiqua" w:eastAsia="Book Antiqua" w:hAnsi="Book Antiqua" w:cs="Book Antiqua"/>
          <w:color w:val="000000"/>
          <w:szCs w:val="22"/>
        </w:rPr>
        <w:t xml:space="preserve"> Ali S</w:t>
      </w:r>
      <w:bookmarkEnd w:id="6"/>
      <w:bookmarkEnd w:id="7"/>
      <w:r>
        <w:rPr>
          <w:rFonts w:ascii="Book Antiqua" w:eastAsia="Book Antiqua" w:hAnsi="Book Antiqua" w:cs="Book Antiqua"/>
          <w:color w:val="000000"/>
          <w:szCs w:val="22"/>
        </w:rPr>
        <w:t xml:space="preserve"> and Dela Cruz AC provided the conception and designed the study;</w:t>
      </w:r>
      <w:r>
        <w:rPr>
          <w:rFonts w:ascii="Book Antiqua" w:eastAsia="Book Antiqua" w:hAnsi="Book Antiqua" w:cs="Book Antiqua"/>
          <w:b/>
          <w:bCs/>
          <w:color w:val="000000"/>
          <w:szCs w:val="22"/>
        </w:rPr>
        <w:t> </w:t>
      </w:r>
      <w:proofErr w:type="spellStart"/>
      <w:r>
        <w:rPr>
          <w:rFonts w:ascii="Book Antiqua" w:eastAsia="Book Antiqua" w:hAnsi="Book Antiqua" w:cs="Book Antiqua"/>
          <w:color w:val="000000"/>
          <w:szCs w:val="22"/>
        </w:rPr>
        <w:t>Emhmed</w:t>
      </w:r>
      <w:proofErr w:type="spellEnd"/>
      <w:r>
        <w:rPr>
          <w:rFonts w:ascii="Book Antiqua" w:eastAsia="Book Antiqua" w:hAnsi="Book Antiqua" w:cs="Book Antiqua"/>
          <w:color w:val="000000"/>
          <w:szCs w:val="22"/>
        </w:rPr>
        <w:t xml:space="preserve"> Ali S, </w:t>
      </w:r>
      <w:proofErr w:type="spellStart"/>
      <w:r>
        <w:rPr>
          <w:rFonts w:ascii="Book Antiqua" w:eastAsia="Book Antiqua" w:hAnsi="Book Antiqua" w:cs="Book Antiqua"/>
          <w:color w:val="000000"/>
          <w:szCs w:val="22"/>
        </w:rPr>
        <w:t>Benrajab</w:t>
      </w:r>
      <w:proofErr w:type="spellEnd"/>
      <w:r>
        <w:rPr>
          <w:rFonts w:ascii="Book Antiqua" w:eastAsia="Book Antiqua" w:hAnsi="Book Antiqua" w:cs="Book Antiqua"/>
          <w:color w:val="000000"/>
          <w:szCs w:val="22"/>
        </w:rPr>
        <w:t xml:space="preserve"> K and Dela Cruz AC analyzed and interpreted the data and wrote the manuscript; all authors have read and approved the final manuscript. </w:t>
      </w:r>
    </w:p>
    <w:p w14:paraId="2D22A068" w14:textId="77777777" w:rsidR="00A77B3E" w:rsidRDefault="00A77B3E">
      <w:pPr>
        <w:spacing w:line="360" w:lineRule="auto"/>
        <w:jc w:val="both"/>
      </w:pPr>
    </w:p>
    <w:p w14:paraId="247076D2" w14:textId="4FDE5956" w:rsidR="00A77B3E" w:rsidRDefault="00FC055D">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Karim</w:t>
      </w:r>
      <w:proofErr w:type="spellEnd"/>
      <w:r>
        <w:rPr>
          <w:rFonts w:ascii="Book Antiqua" w:eastAsia="Book Antiqua" w:hAnsi="Book Antiqua" w:cs="Book Antiqua"/>
          <w:b/>
          <w:bCs/>
          <w:color w:val="000000"/>
        </w:rPr>
        <w:t xml:space="preserve"> M </w:t>
      </w:r>
      <w:proofErr w:type="spellStart"/>
      <w:r>
        <w:rPr>
          <w:rFonts w:ascii="Book Antiqua" w:eastAsia="Book Antiqua" w:hAnsi="Book Antiqua" w:cs="Book Antiqua"/>
          <w:b/>
          <w:bCs/>
          <w:color w:val="000000"/>
        </w:rPr>
        <w:t>Benrajab</w:t>
      </w:r>
      <w:proofErr w:type="spellEnd"/>
      <w:r>
        <w:rPr>
          <w:rFonts w:ascii="Book Antiqua" w:eastAsia="Book Antiqua" w:hAnsi="Book Antiqua" w:cs="Book Antiqua"/>
          <w:b/>
          <w:bCs/>
          <w:color w:val="000000"/>
        </w:rPr>
        <w:t xml:space="preserve">, MD, Assistant Professor, </w:t>
      </w:r>
      <w:r w:rsidR="005062FB">
        <w:rPr>
          <w:rFonts w:ascii="Book Antiqua" w:eastAsia="Book Antiqua" w:hAnsi="Book Antiqua" w:cs="Book Antiqua"/>
          <w:color w:val="000000"/>
        </w:rPr>
        <w:t>Division of Digestive Disease</w:t>
      </w:r>
      <w:r w:rsidR="00BF6F40">
        <w:rPr>
          <w:rFonts w:ascii="Book Antiqua" w:eastAsia="Book Antiqua" w:hAnsi="Book Antiqua" w:cs="Book Antiqua"/>
          <w:color w:val="000000"/>
        </w:rPr>
        <w:t>s</w:t>
      </w:r>
      <w:r w:rsidR="005062FB">
        <w:rPr>
          <w:rFonts w:ascii="Book Antiqua" w:eastAsia="Book Antiqua" w:hAnsi="Book Antiqua" w:cs="Book Antiqua"/>
          <w:color w:val="000000"/>
        </w:rPr>
        <w:t xml:space="preserve"> and Nutrition</w:t>
      </w:r>
      <w:r w:rsidR="005062FB">
        <w:rPr>
          <w:rFonts w:ascii="Book Antiqua" w:hAnsi="Book Antiqua" w:cs="Book Antiqua"/>
          <w:color w:val="000000"/>
          <w:lang w:eastAsia="zh-CN"/>
        </w:rPr>
        <w:t xml:space="preserve">, </w:t>
      </w:r>
      <w:r w:rsidR="005062FB">
        <w:rPr>
          <w:rFonts w:ascii="Book Antiqua" w:eastAsia="Book Antiqua" w:hAnsi="Book Antiqua" w:cs="Book Antiqua"/>
          <w:color w:val="000000"/>
        </w:rPr>
        <w:t>Department of Internal Medicine, University of Kentucky College of Medicine</w:t>
      </w:r>
      <w:r>
        <w:rPr>
          <w:rFonts w:ascii="Book Antiqua" w:eastAsia="Book Antiqua" w:hAnsi="Book Antiqua" w:cs="Book Antiqua"/>
          <w:color w:val="000000"/>
        </w:rPr>
        <w:t>,</w:t>
      </w:r>
      <w:r w:rsidR="004E02DA">
        <w:rPr>
          <w:rFonts w:ascii="Book Antiqua" w:hAnsi="Book Antiqua" w:cs="Book Antiqua"/>
          <w:color w:val="000000"/>
          <w:lang w:eastAsia="zh-CN"/>
        </w:rPr>
        <w:t xml:space="preserve"> </w:t>
      </w:r>
      <w:r>
        <w:rPr>
          <w:rFonts w:ascii="Book Antiqua" w:eastAsia="Book Antiqua" w:hAnsi="Book Antiqua" w:cs="Book Antiqua"/>
          <w:color w:val="000000"/>
        </w:rPr>
        <w:t>800</w:t>
      </w:r>
      <w:r w:rsidR="004E02DA">
        <w:rPr>
          <w:rFonts w:ascii="Book Antiqua" w:hAnsi="Book Antiqua" w:cs="Book Antiqua"/>
          <w:color w:val="000000"/>
          <w:lang w:eastAsia="zh-CN"/>
        </w:rPr>
        <w:t xml:space="preserve"> </w:t>
      </w:r>
      <w:r>
        <w:rPr>
          <w:rFonts w:ascii="Book Antiqua" w:eastAsia="Book Antiqua" w:hAnsi="Book Antiqua" w:cs="Book Antiqua"/>
          <w:color w:val="000000"/>
        </w:rPr>
        <w:t>Rose Street, MN649, Lexington, KY 40536, United States. karimbenrajab@gmail.com</w:t>
      </w:r>
    </w:p>
    <w:p w14:paraId="098B233E" w14:textId="77777777" w:rsidR="00A77B3E" w:rsidRDefault="00A77B3E">
      <w:pPr>
        <w:spacing w:line="360" w:lineRule="auto"/>
        <w:jc w:val="both"/>
      </w:pPr>
    </w:p>
    <w:p w14:paraId="39D3C9E8" w14:textId="77777777" w:rsidR="00A77B3E" w:rsidRDefault="00FC055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27, 2020</w:t>
      </w:r>
    </w:p>
    <w:p w14:paraId="0CF58E98" w14:textId="77777777" w:rsidR="00A77B3E" w:rsidRDefault="00FC055D">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October 4, 2020</w:t>
      </w:r>
    </w:p>
    <w:p w14:paraId="436C115E" w14:textId="3C438871" w:rsidR="00A77B3E" w:rsidRDefault="00FC055D">
      <w:pPr>
        <w:spacing w:line="360" w:lineRule="auto"/>
        <w:jc w:val="both"/>
      </w:pPr>
      <w:r>
        <w:rPr>
          <w:rFonts w:ascii="Book Antiqua" w:eastAsia="Book Antiqua" w:hAnsi="Book Antiqua" w:cs="Book Antiqua"/>
          <w:b/>
          <w:bCs/>
          <w:color w:val="000000"/>
        </w:rPr>
        <w:t xml:space="preserve">Accepted: </w:t>
      </w:r>
      <w:r w:rsidR="0005269C" w:rsidRPr="0005269C">
        <w:rPr>
          <w:rFonts w:ascii="Book Antiqua" w:eastAsia="Book Antiqua" w:hAnsi="Book Antiqua" w:cs="Book Antiqua"/>
          <w:bCs/>
          <w:color w:val="000000"/>
        </w:rPr>
        <w:t>October 26, 2020</w:t>
      </w:r>
    </w:p>
    <w:p w14:paraId="70DD12AF" w14:textId="77777777" w:rsidR="00502F83" w:rsidRPr="00876579" w:rsidRDefault="00FC055D" w:rsidP="00502F83">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502F83" w:rsidRPr="00876579">
        <w:rPr>
          <w:rFonts w:ascii="Book Antiqua" w:eastAsia="Book Antiqua" w:hAnsi="Book Antiqua"/>
          <w:bCs/>
          <w:color w:val="000000"/>
        </w:rPr>
        <w:t>November 27, 2020</w:t>
      </w:r>
    </w:p>
    <w:p w14:paraId="23E32D2D" w14:textId="77777777" w:rsidR="00A77B3E" w:rsidRDefault="00A77B3E">
      <w:pPr>
        <w:spacing w:line="360" w:lineRule="auto"/>
        <w:jc w:val="both"/>
      </w:pPr>
    </w:p>
    <w:p w14:paraId="5D48CBA5"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CB970E7" w14:textId="77777777" w:rsidR="00A77B3E" w:rsidRDefault="00FC055D">
      <w:pPr>
        <w:spacing w:line="360" w:lineRule="auto"/>
        <w:jc w:val="both"/>
      </w:pPr>
      <w:r>
        <w:rPr>
          <w:rFonts w:ascii="Book Antiqua" w:eastAsia="Book Antiqua" w:hAnsi="Book Antiqua" w:cs="Book Antiqua"/>
          <w:b/>
          <w:color w:val="000000"/>
        </w:rPr>
        <w:lastRenderedPageBreak/>
        <w:t>Abstract</w:t>
      </w:r>
    </w:p>
    <w:p w14:paraId="012D2058" w14:textId="77777777" w:rsidR="00A77B3E" w:rsidRDefault="00FC055D">
      <w:pPr>
        <w:spacing w:line="360" w:lineRule="auto"/>
        <w:jc w:val="both"/>
      </w:pPr>
      <w:r>
        <w:rPr>
          <w:rFonts w:ascii="Book Antiqua" w:eastAsia="Book Antiqua" w:hAnsi="Book Antiqua" w:cs="Book Antiqua"/>
          <w:color w:val="000000"/>
        </w:rPr>
        <w:t>BACKGROUND</w:t>
      </w:r>
    </w:p>
    <w:p w14:paraId="3B3E7BF4" w14:textId="77777777" w:rsidR="00A77B3E" w:rsidRDefault="00FC055D">
      <w:pPr>
        <w:spacing w:line="360" w:lineRule="auto"/>
        <w:jc w:val="both"/>
      </w:pPr>
      <w:r>
        <w:rPr>
          <w:rFonts w:ascii="Book Antiqua" w:eastAsia="Book Antiqua" w:hAnsi="Book Antiqua" w:cs="Book Antiqua"/>
          <w:color w:val="000000"/>
          <w:szCs w:val="22"/>
        </w:rPr>
        <w:t>Gastric antral vascular ectasia (GAVE) is a significant complication of cirrhosis.</w:t>
      </w:r>
      <w:r>
        <w:rPr>
          <w:rFonts w:ascii="Book Antiqua" w:eastAsia="Book Antiqua" w:hAnsi="Book Antiqua" w:cs="Book Antiqua"/>
          <w:color w:val="000000"/>
          <w:szCs w:val="22"/>
          <w:shd w:val="clear" w:color="auto" w:fill="FFFFFF"/>
        </w:rPr>
        <w:t> Numerous medical, surgical, and endoscopic treatment modalities have been proposed with varied satisfactory results. </w:t>
      </w:r>
      <w:r>
        <w:rPr>
          <w:rFonts w:ascii="Book Antiqua" w:eastAsia="Book Antiqua" w:hAnsi="Book Antiqua" w:cs="Book Antiqua"/>
          <w:color w:val="000000"/>
          <w:szCs w:val="22"/>
        </w:rPr>
        <w:t>In a few small studies, GAVE and associated anemia have resolved after orthotopic liver transplantation (OLT). </w:t>
      </w:r>
    </w:p>
    <w:p w14:paraId="67260B05" w14:textId="77777777" w:rsidR="00A77B3E" w:rsidRDefault="00A77B3E">
      <w:pPr>
        <w:spacing w:line="360" w:lineRule="auto"/>
        <w:jc w:val="both"/>
      </w:pPr>
    </w:p>
    <w:p w14:paraId="398199C8" w14:textId="77777777" w:rsidR="00A77B3E" w:rsidRDefault="00FC055D">
      <w:pPr>
        <w:spacing w:line="360" w:lineRule="auto"/>
        <w:jc w:val="both"/>
      </w:pPr>
      <w:r>
        <w:rPr>
          <w:rFonts w:ascii="Book Antiqua" w:eastAsia="Book Antiqua" w:hAnsi="Book Antiqua" w:cs="Book Antiqua"/>
          <w:color w:val="000000"/>
        </w:rPr>
        <w:t>AIM</w:t>
      </w:r>
    </w:p>
    <w:p w14:paraId="3BF554C4" w14:textId="77777777" w:rsidR="00A77B3E" w:rsidRDefault="00FC055D">
      <w:pPr>
        <w:spacing w:line="360" w:lineRule="auto"/>
        <w:jc w:val="both"/>
      </w:pPr>
      <w:r>
        <w:rPr>
          <w:rFonts w:ascii="Book Antiqua" w:eastAsia="Book Antiqua" w:hAnsi="Book Antiqua" w:cs="Book Antiqua"/>
          <w:color w:val="000000"/>
          <w:szCs w:val="22"/>
        </w:rPr>
        <w:t>To assess the impact of OLT on the resolution of GAVE and related anemia.</w:t>
      </w:r>
    </w:p>
    <w:p w14:paraId="4DC1A524" w14:textId="77777777" w:rsidR="00A77B3E" w:rsidRDefault="00A77B3E">
      <w:pPr>
        <w:spacing w:line="360" w:lineRule="auto"/>
        <w:jc w:val="both"/>
      </w:pPr>
    </w:p>
    <w:p w14:paraId="18E929ED" w14:textId="77777777" w:rsidR="00A77B3E" w:rsidRDefault="00FC055D">
      <w:pPr>
        <w:spacing w:line="360" w:lineRule="auto"/>
        <w:jc w:val="both"/>
      </w:pPr>
      <w:r>
        <w:rPr>
          <w:rFonts w:ascii="Book Antiqua" w:eastAsia="Book Antiqua" w:hAnsi="Book Antiqua" w:cs="Book Antiqua"/>
          <w:color w:val="000000"/>
        </w:rPr>
        <w:t>METHODS</w:t>
      </w:r>
    </w:p>
    <w:p w14:paraId="43FA2664" w14:textId="77777777" w:rsidR="00A77B3E" w:rsidRDefault="00FC055D">
      <w:pPr>
        <w:spacing w:line="360" w:lineRule="auto"/>
        <w:jc w:val="both"/>
      </w:pPr>
      <w:r>
        <w:rPr>
          <w:rFonts w:ascii="Book Antiqua" w:eastAsia="Book Antiqua" w:hAnsi="Book Antiqua" w:cs="Book Antiqua"/>
          <w:color w:val="000000"/>
          <w:szCs w:val="22"/>
        </w:rPr>
        <w:t>We retrospectively reviewed clinical records of adult patients with GAVE who underwent OLT between September 2012 and September 2019. Demographics and other relevant clinical findings were collected, including hemoglobin levels and upper endoscopy findings before and after OLT. The primary outcome was the resolution of GAVE and its related anemia after OLT.</w:t>
      </w:r>
    </w:p>
    <w:p w14:paraId="6E9F9421" w14:textId="77777777" w:rsidR="00A77B3E" w:rsidRDefault="00A77B3E">
      <w:pPr>
        <w:spacing w:line="360" w:lineRule="auto"/>
        <w:jc w:val="both"/>
      </w:pPr>
    </w:p>
    <w:p w14:paraId="7B02B2F7" w14:textId="77777777" w:rsidR="00A77B3E" w:rsidRDefault="00FC055D">
      <w:pPr>
        <w:spacing w:line="360" w:lineRule="auto"/>
        <w:jc w:val="both"/>
      </w:pPr>
      <w:r>
        <w:rPr>
          <w:rFonts w:ascii="Book Antiqua" w:eastAsia="Book Antiqua" w:hAnsi="Book Antiqua" w:cs="Book Antiqua"/>
          <w:color w:val="000000"/>
        </w:rPr>
        <w:t>RESULTS</w:t>
      </w:r>
    </w:p>
    <w:p w14:paraId="3198AD09" w14:textId="77777777" w:rsidR="00A77B3E" w:rsidRDefault="00FC055D">
      <w:pPr>
        <w:spacing w:line="360" w:lineRule="auto"/>
        <w:jc w:val="both"/>
      </w:pPr>
      <w:r>
        <w:rPr>
          <w:rFonts w:ascii="Book Antiqua" w:eastAsia="Book Antiqua" w:hAnsi="Book Antiqua" w:cs="Book Antiqua"/>
          <w:color w:val="000000"/>
          <w:szCs w:val="22"/>
        </w:rPr>
        <w:t xml:space="preserve">Sixteen patients were identified. Mean pre-OLT Hgb was 7.7 g/dL and mean 12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post-OLT </w:t>
      </w:r>
      <w:proofErr w:type="spellStart"/>
      <w:r>
        <w:rPr>
          <w:rFonts w:ascii="Book Antiqua" w:eastAsia="Book Antiqua" w:hAnsi="Book Antiqua" w:cs="Book Antiqua"/>
          <w:color w:val="000000"/>
          <w:szCs w:val="22"/>
        </w:rPr>
        <w:t>Hgb</w:t>
      </w:r>
      <w:proofErr w:type="spellEnd"/>
      <w:r>
        <w:rPr>
          <w:rFonts w:ascii="Book Antiqua" w:eastAsia="Book Antiqua" w:hAnsi="Book Antiqua" w:cs="Book Antiqua"/>
          <w:color w:val="000000"/>
          <w:szCs w:val="22"/>
        </w:rPr>
        <w:t xml:space="preserve"> was 11.9 g/dL,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 Anemia improved (defined as Hgb increased by 2g) in 87.5% of patients within 6 to 12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after OLT and resolved completely in half of the patients. Post-OLT </w:t>
      </w:r>
      <w:r w:rsidR="005622F1" w:rsidRPr="005622F1">
        <w:rPr>
          <w:rFonts w:ascii="Book Antiqua" w:eastAsia="Book Antiqua" w:hAnsi="Book Antiqua" w:cs="Book Antiqua"/>
          <w:color w:val="000000"/>
          <w:szCs w:val="22"/>
        </w:rPr>
        <w:t>esophagogastroduodenoscopy</w:t>
      </w:r>
      <w:r>
        <w:rPr>
          <w:rFonts w:ascii="Book Antiqua" w:eastAsia="Book Antiqua" w:hAnsi="Book Antiqua" w:cs="Book Antiqua"/>
          <w:color w:val="000000"/>
          <w:szCs w:val="22"/>
        </w:rPr>
        <w:t xml:space="preserve"> was performed in 10 patients, and GAVE was found to have resolved entirely in 6 of those patients (60%). </w:t>
      </w:r>
    </w:p>
    <w:p w14:paraId="4932FD1F" w14:textId="77777777" w:rsidR="00A77B3E" w:rsidRDefault="00A77B3E">
      <w:pPr>
        <w:spacing w:line="360" w:lineRule="auto"/>
        <w:jc w:val="both"/>
      </w:pPr>
    </w:p>
    <w:p w14:paraId="442579B5" w14:textId="77777777" w:rsidR="00A77B3E" w:rsidRDefault="00FC055D">
      <w:pPr>
        <w:spacing w:line="360" w:lineRule="auto"/>
        <w:jc w:val="both"/>
      </w:pPr>
      <w:r>
        <w:rPr>
          <w:rFonts w:ascii="Book Antiqua" w:eastAsia="Book Antiqua" w:hAnsi="Book Antiqua" w:cs="Book Antiqua"/>
          <w:color w:val="000000"/>
        </w:rPr>
        <w:t>CONCLUSION</w:t>
      </w:r>
    </w:p>
    <w:p w14:paraId="6CBB00B9" w14:textId="6614BAF3" w:rsidR="00A77B3E" w:rsidRDefault="00FC055D">
      <w:pPr>
        <w:spacing w:line="360" w:lineRule="auto"/>
        <w:jc w:val="both"/>
      </w:pPr>
      <w:r>
        <w:rPr>
          <w:rFonts w:ascii="Book Antiqua" w:eastAsia="Book Antiqua" w:hAnsi="Book Antiqua" w:cs="Book Antiqua"/>
          <w:color w:val="000000"/>
          <w:szCs w:val="22"/>
        </w:rPr>
        <w:t xml:space="preserve">Although GAVE and associated anemia completely resolved in the majority of our patients after OLT, GAVE persisted in a few patients after transplant. Further studies in a large group of patients are necessary to understand the causality of disease and to </w:t>
      </w:r>
      <w:r w:rsidR="00BF6F40">
        <w:rPr>
          <w:rFonts w:ascii="Book Antiqua" w:eastAsia="Book Antiqua" w:hAnsi="Book Antiqua" w:cs="Book Antiqua"/>
          <w:color w:val="000000"/>
          <w:szCs w:val="22"/>
        </w:rPr>
        <w:t xml:space="preserve">better </w:t>
      </w:r>
      <w:r>
        <w:rPr>
          <w:rFonts w:ascii="Book Antiqua" w:eastAsia="Book Antiqua" w:hAnsi="Book Antiqua" w:cs="Book Antiqua"/>
          <w:color w:val="000000"/>
          <w:szCs w:val="22"/>
        </w:rPr>
        <w:t>understand the factors associated with the persistence of GAVE post-transplant.</w:t>
      </w:r>
    </w:p>
    <w:p w14:paraId="5D17AF98" w14:textId="77777777" w:rsidR="00A77B3E" w:rsidRDefault="00A77B3E">
      <w:pPr>
        <w:spacing w:line="360" w:lineRule="auto"/>
        <w:jc w:val="both"/>
      </w:pPr>
    </w:p>
    <w:p w14:paraId="70B833C1" w14:textId="5E346E47" w:rsidR="00A77B3E" w:rsidRPr="00B81CBC" w:rsidRDefault="00FC055D">
      <w:pPr>
        <w:spacing w:line="360" w:lineRule="auto"/>
        <w:jc w:val="both"/>
        <w:rPr>
          <w:lang w:eastAsia="zh-CN"/>
        </w:rPr>
      </w:pPr>
      <w:r>
        <w:rPr>
          <w:rFonts w:ascii="Book Antiqua" w:eastAsia="Book Antiqua" w:hAnsi="Book Antiqua" w:cs="Book Antiqua"/>
          <w:b/>
          <w:bCs/>
          <w:color w:val="000000"/>
          <w:szCs w:val="22"/>
        </w:rPr>
        <w:t xml:space="preserve">Key Words: </w:t>
      </w:r>
      <w:r>
        <w:rPr>
          <w:rFonts w:ascii="Book Antiqua" w:eastAsia="Book Antiqua" w:hAnsi="Book Antiqua" w:cs="Book Antiqua"/>
          <w:color w:val="000000"/>
          <w:szCs w:val="22"/>
        </w:rPr>
        <w:t>Liver cirrhosis; Iron deficiency anemia; End-</w:t>
      </w:r>
      <w:r w:rsidR="001425D8">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tage </w:t>
      </w:r>
      <w:r w:rsidR="00222E8F">
        <w:rPr>
          <w:rFonts w:ascii="Book Antiqua" w:eastAsia="Book Antiqua" w:hAnsi="Book Antiqua" w:cs="Book Antiqua"/>
          <w:color w:val="000000"/>
          <w:szCs w:val="22"/>
        </w:rPr>
        <w:t>liver dise</w:t>
      </w:r>
      <w:r>
        <w:rPr>
          <w:rFonts w:ascii="Book Antiqua" w:eastAsia="Book Antiqua" w:hAnsi="Book Antiqua" w:cs="Book Antiqua"/>
          <w:color w:val="000000"/>
          <w:szCs w:val="22"/>
        </w:rPr>
        <w:t xml:space="preserve">ase; Gastroscopy; Gastrointestinal </w:t>
      </w:r>
      <w:r w:rsidR="003B19C5">
        <w:rPr>
          <w:rFonts w:ascii="Book Antiqua" w:eastAsia="Book Antiqua" w:hAnsi="Book Antiqua" w:cs="Book Antiqua"/>
          <w:color w:val="000000"/>
          <w:szCs w:val="22"/>
        </w:rPr>
        <w:t>hemorrhage</w:t>
      </w:r>
      <w:r>
        <w:rPr>
          <w:rFonts w:ascii="Book Antiqua" w:eastAsia="Book Antiqua" w:hAnsi="Book Antiqua" w:cs="Book Antiqua"/>
          <w:color w:val="000000"/>
          <w:szCs w:val="22"/>
        </w:rPr>
        <w:t>; Liver transplantation</w:t>
      </w:r>
    </w:p>
    <w:p w14:paraId="65A675A3" w14:textId="77777777" w:rsidR="00A77B3E" w:rsidRDefault="00A77B3E">
      <w:pPr>
        <w:spacing w:line="360" w:lineRule="auto"/>
        <w:jc w:val="both"/>
      </w:pPr>
    </w:p>
    <w:p w14:paraId="50D5F60A" w14:textId="544D63F0" w:rsidR="002F6817" w:rsidRDefault="002F6817">
      <w:pPr>
        <w:spacing w:line="360" w:lineRule="auto"/>
        <w:jc w:val="both"/>
        <w:rPr>
          <w:rFonts w:ascii="Book Antiqua" w:hAnsi="Book Antiqua" w:cs="Book Antiqua" w:hint="eastAsia"/>
          <w:color w:val="000000"/>
          <w:lang w:eastAsia="zh-CN"/>
        </w:rPr>
      </w:pPr>
      <w:r w:rsidRPr="002F6817">
        <w:rPr>
          <w:rFonts w:ascii="Book Antiqua" w:hAnsi="Book Antiqua" w:cs="Book Antiqua" w:hint="eastAsia"/>
          <w:b/>
          <w:color w:val="000000"/>
          <w:lang w:eastAsia="zh-CN"/>
        </w:rPr>
        <w:t xml:space="preserve">Citation: </w:t>
      </w:r>
      <w:proofErr w:type="spellStart"/>
      <w:r w:rsidR="00FC055D">
        <w:rPr>
          <w:rFonts w:ascii="Book Antiqua" w:eastAsia="Book Antiqua" w:hAnsi="Book Antiqua" w:cs="Book Antiqua"/>
          <w:color w:val="000000"/>
        </w:rPr>
        <w:t>Emhmed</w:t>
      </w:r>
      <w:proofErr w:type="spellEnd"/>
      <w:r w:rsidR="00FC055D">
        <w:rPr>
          <w:rFonts w:ascii="Book Antiqua" w:eastAsia="Book Antiqua" w:hAnsi="Book Antiqua" w:cs="Book Antiqua"/>
          <w:color w:val="000000"/>
        </w:rPr>
        <w:t xml:space="preserve"> Ali S, </w:t>
      </w:r>
      <w:proofErr w:type="spellStart"/>
      <w:r w:rsidR="00FC055D">
        <w:rPr>
          <w:rFonts w:ascii="Book Antiqua" w:eastAsia="Book Antiqua" w:hAnsi="Book Antiqua" w:cs="Book Antiqua"/>
          <w:color w:val="000000"/>
        </w:rPr>
        <w:t>Benrajab</w:t>
      </w:r>
      <w:proofErr w:type="spellEnd"/>
      <w:r w:rsidR="00FC055D">
        <w:rPr>
          <w:rFonts w:ascii="Book Antiqua" w:eastAsia="Book Antiqua" w:hAnsi="Book Antiqua" w:cs="Book Antiqua"/>
          <w:color w:val="000000"/>
        </w:rPr>
        <w:t xml:space="preserve"> KM, Dela Cruz AC. Outcome of </w:t>
      </w:r>
      <w:r w:rsidR="00F577D3">
        <w:rPr>
          <w:rFonts w:ascii="Book Antiqua" w:eastAsia="Book Antiqua" w:hAnsi="Book Antiqua" w:cs="Book Antiqua"/>
          <w:color w:val="000000"/>
        </w:rPr>
        <w:t>gastric antral vascular ectasia and related anemia after orthotopic liver transplant</w:t>
      </w:r>
      <w:r w:rsidR="00FC055D">
        <w:rPr>
          <w:rFonts w:ascii="Book Antiqua" w:eastAsia="Book Antiqua" w:hAnsi="Book Antiqua" w:cs="Book Antiqua"/>
          <w:color w:val="000000"/>
        </w:rPr>
        <w:t xml:space="preserve">ation. </w:t>
      </w:r>
      <w:r w:rsidR="00FC055D">
        <w:rPr>
          <w:rFonts w:ascii="Book Antiqua" w:eastAsia="Book Antiqua" w:hAnsi="Book Antiqua" w:cs="Book Antiqua"/>
          <w:i/>
          <w:iCs/>
          <w:color w:val="000000"/>
        </w:rPr>
        <w:t xml:space="preserve">World J </w:t>
      </w:r>
      <w:proofErr w:type="spellStart"/>
      <w:r w:rsidR="00FC055D">
        <w:rPr>
          <w:rFonts w:ascii="Book Antiqua" w:eastAsia="Book Antiqua" w:hAnsi="Book Antiqua" w:cs="Book Antiqua"/>
          <w:i/>
          <w:iCs/>
          <w:color w:val="000000"/>
        </w:rPr>
        <w:t>Hepatol</w:t>
      </w:r>
      <w:proofErr w:type="spellEnd"/>
      <w:r w:rsidR="00FC055D">
        <w:rPr>
          <w:rFonts w:ascii="Book Antiqua" w:eastAsia="Book Antiqua" w:hAnsi="Book Antiqua" w:cs="Book Antiqua"/>
          <w:color w:val="000000"/>
        </w:rPr>
        <w:t xml:space="preserve"> 2020; </w:t>
      </w:r>
      <w:r w:rsidR="00F06B63" w:rsidRPr="00F06B63">
        <w:rPr>
          <w:rFonts w:ascii="Book Antiqua" w:eastAsia="Book Antiqua" w:hAnsi="Book Antiqua" w:cs="Book Antiqua"/>
          <w:color w:val="000000"/>
        </w:rPr>
        <w:t xml:space="preserve">12(11): </w:t>
      </w:r>
      <w:r>
        <w:rPr>
          <w:rFonts w:ascii="Book Antiqua" w:hAnsi="Book Antiqua" w:cs="Book Antiqua" w:hint="eastAsia"/>
          <w:color w:val="000000"/>
          <w:lang w:eastAsia="zh-CN"/>
        </w:rPr>
        <w:t>1067</w:t>
      </w:r>
      <w:r w:rsidR="00F06B63" w:rsidRPr="00F06B63">
        <w:rPr>
          <w:rFonts w:ascii="Book Antiqua" w:eastAsia="Book Antiqua" w:hAnsi="Book Antiqua" w:cs="Book Antiqua"/>
          <w:color w:val="000000"/>
        </w:rPr>
        <w:t>-</w:t>
      </w:r>
      <w:r>
        <w:rPr>
          <w:rFonts w:ascii="Book Antiqua" w:hAnsi="Book Antiqua" w:cs="Book Antiqua" w:hint="eastAsia"/>
          <w:color w:val="000000"/>
          <w:lang w:eastAsia="zh-CN"/>
        </w:rPr>
        <w:t>1075</w:t>
      </w:r>
      <w:bookmarkStart w:id="8" w:name="_GoBack"/>
      <w:bookmarkEnd w:id="8"/>
      <w:r w:rsidR="00F06B63" w:rsidRPr="00F06B63">
        <w:rPr>
          <w:rFonts w:ascii="Book Antiqua" w:eastAsia="Book Antiqua" w:hAnsi="Book Antiqua" w:cs="Book Antiqua"/>
          <w:color w:val="000000"/>
        </w:rPr>
        <w:t xml:space="preserve"> </w:t>
      </w:r>
    </w:p>
    <w:p w14:paraId="0A46E1B3" w14:textId="0789CD05" w:rsidR="002F6817" w:rsidRDefault="00F06B63">
      <w:pPr>
        <w:spacing w:line="360" w:lineRule="auto"/>
        <w:jc w:val="both"/>
        <w:rPr>
          <w:rFonts w:ascii="Book Antiqua" w:hAnsi="Book Antiqua" w:cs="Book Antiqua" w:hint="eastAsia"/>
          <w:color w:val="000000"/>
          <w:lang w:eastAsia="zh-CN"/>
        </w:rPr>
      </w:pPr>
      <w:r w:rsidRPr="002F6817">
        <w:rPr>
          <w:rFonts w:ascii="Book Antiqua" w:hAnsi="Book Antiqua" w:cs="Book Antiqua"/>
          <w:b/>
          <w:color w:val="000000"/>
          <w:lang w:eastAsia="zh-CN"/>
        </w:rPr>
        <w:t>URL:</w:t>
      </w:r>
      <w:r w:rsidRPr="00F06B63">
        <w:rPr>
          <w:rFonts w:ascii="Book Antiqua" w:eastAsia="Book Antiqua" w:hAnsi="Book Antiqua" w:cs="Book Antiqua"/>
          <w:color w:val="000000"/>
        </w:rPr>
        <w:t xml:space="preserve"> </w:t>
      </w:r>
      <w:r w:rsidR="002F6817" w:rsidRPr="002F6817">
        <w:rPr>
          <w:rFonts w:ascii="Book Antiqua" w:eastAsia="Book Antiqua" w:hAnsi="Book Antiqua" w:cs="Book Antiqua"/>
          <w:color w:val="000000"/>
        </w:rPr>
        <w:t>https://www.wjgnet.com/1948-5182/full/v12/i11/</w:t>
      </w:r>
      <w:r w:rsidR="002F6817">
        <w:rPr>
          <w:rFonts w:ascii="Book Antiqua" w:hAnsi="Book Antiqua" w:cs="Book Antiqua" w:hint="eastAsia"/>
          <w:color w:val="000000"/>
          <w:lang w:eastAsia="zh-CN"/>
        </w:rPr>
        <w:t>1067</w:t>
      </w:r>
      <w:r w:rsidR="002F6817" w:rsidRPr="002F6817">
        <w:rPr>
          <w:rFonts w:ascii="Book Antiqua" w:eastAsia="Book Antiqua" w:hAnsi="Book Antiqua" w:cs="Book Antiqua"/>
          <w:color w:val="000000"/>
        </w:rPr>
        <w:t>.htm</w:t>
      </w:r>
      <w:r w:rsidRPr="00F06B63">
        <w:rPr>
          <w:rFonts w:ascii="Book Antiqua" w:eastAsia="Book Antiqua" w:hAnsi="Book Antiqua" w:cs="Book Antiqua"/>
          <w:color w:val="000000"/>
        </w:rPr>
        <w:t xml:space="preserve"> </w:t>
      </w:r>
    </w:p>
    <w:p w14:paraId="3DFBD83D" w14:textId="34E11935" w:rsidR="00A77B3E" w:rsidRDefault="00F06B63">
      <w:pPr>
        <w:spacing w:line="360" w:lineRule="auto"/>
        <w:jc w:val="both"/>
      </w:pPr>
      <w:r w:rsidRPr="002F6817">
        <w:rPr>
          <w:rFonts w:ascii="Book Antiqua" w:hAnsi="Book Antiqua" w:cs="Book Antiqua"/>
          <w:b/>
          <w:color w:val="000000"/>
          <w:lang w:eastAsia="zh-CN"/>
        </w:rPr>
        <w:t>DOI:</w:t>
      </w:r>
      <w:r w:rsidRPr="00F06B63">
        <w:rPr>
          <w:rFonts w:ascii="Book Antiqua" w:eastAsia="Book Antiqua" w:hAnsi="Book Antiqua" w:cs="Book Antiqua"/>
          <w:color w:val="000000"/>
        </w:rPr>
        <w:t xml:space="preserve"> https://dx.doi.org/10.4254/wjh.v12.i11.</w:t>
      </w:r>
      <w:r w:rsidR="002F6817" w:rsidRPr="002F6817">
        <w:rPr>
          <w:rFonts w:ascii="Book Antiqua" w:hAnsi="Book Antiqua" w:cs="Book Antiqua" w:hint="eastAsia"/>
          <w:color w:val="000000"/>
          <w:lang w:eastAsia="zh-CN"/>
        </w:rPr>
        <w:t xml:space="preserve"> </w:t>
      </w:r>
      <w:r w:rsidR="002F6817">
        <w:rPr>
          <w:rFonts w:ascii="Book Antiqua" w:hAnsi="Book Antiqua" w:cs="Book Antiqua" w:hint="eastAsia"/>
          <w:color w:val="000000"/>
          <w:lang w:eastAsia="zh-CN"/>
        </w:rPr>
        <w:t>1067</w:t>
      </w:r>
    </w:p>
    <w:p w14:paraId="01A376D4" w14:textId="77777777" w:rsidR="00A77B3E" w:rsidRDefault="00A77B3E">
      <w:pPr>
        <w:spacing w:line="360" w:lineRule="auto"/>
        <w:jc w:val="both"/>
      </w:pPr>
    </w:p>
    <w:p w14:paraId="77124E3F" w14:textId="77777777" w:rsidR="00A77B3E" w:rsidRDefault="00FC055D">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szCs w:val="22"/>
        </w:rPr>
        <w:t xml:space="preserve">In this retrospective study, cirrhotic patients who had gastric antral vascular ectasia (GAVE) with anemia and underwent orthotopic liver transplant (OLT) between September 2012 and September 2019 were reviewed to evaluate the impact of OLT on resolution of GAVE and associated anemia. A total of 296 patients underwent OLT during the study period; sixteen patients had GAVE. Anemia improved in the majority of patients in 6 to 12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post-OLT, and of the 10 patients who had a post-OLT </w:t>
      </w:r>
      <w:r w:rsidR="005622F1">
        <w:rPr>
          <w:rFonts w:ascii="Book Antiqua" w:eastAsia="Book Antiqua" w:hAnsi="Book Antiqua" w:cs="Book Antiqua"/>
          <w:color w:val="000000"/>
          <w:szCs w:val="22"/>
          <w:shd w:val="clear" w:color="auto" w:fill="FFFFFF"/>
        </w:rPr>
        <w:t>esophagogastroduodenoscopy</w:t>
      </w:r>
      <w:r>
        <w:rPr>
          <w:rFonts w:ascii="Book Antiqua" w:eastAsia="Book Antiqua" w:hAnsi="Book Antiqua" w:cs="Book Antiqua"/>
          <w:color w:val="000000"/>
          <w:szCs w:val="22"/>
        </w:rPr>
        <w:t xml:space="preserve">, GAVE was found to have completely resolved in 6 of those patients. We concluded that GAVE and associated anemia completely resolved in the majority of our </w:t>
      </w:r>
      <w:proofErr w:type="gramStart"/>
      <w:r>
        <w:rPr>
          <w:rFonts w:ascii="Book Antiqua" w:eastAsia="Book Antiqua" w:hAnsi="Book Antiqua" w:cs="Book Antiqua"/>
          <w:color w:val="000000"/>
          <w:szCs w:val="22"/>
        </w:rPr>
        <w:t>patients</w:t>
      </w:r>
      <w:proofErr w:type="gramEnd"/>
      <w:r>
        <w:rPr>
          <w:rFonts w:ascii="Book Antiqua" w:eastAsia="Book Antiqua" w:hAnsi="Book Antiqua" w:cs="Book Antiqua"/>
          <w:color w:val="000000"/>
          <w:szCs w:val="22"/>
        </w:rPr>
        <w:t xml:space="preserve"> post-OLT.</w:t>
      </w:r>
    </w:p>
    <w:p w14:paraId="1450BFAD" w14:textId="77777777" w:rsidR="00A77B3E" w:rsidRDefault="00A77B3E">
      <w:pPr>
        <w:spacing w:line="360" w:lineRule="auto"/>
        <w:jc w:val="both"/>
      </w:pPr>
    </w:p>
    <w:p w14:paraId="78D6075E" w14:textId="77777777" w:rsidR="00A77B3E" w:rsidRDefault="00E82C26">
      <w:pPr>
        <w:spacing w:line="360" w:lineRule="auto"/>
        <w:jc w:val="both"/>
      </w:pPr>
      <w:r>
        <w:rPr>
          <w:rFonts w:ascii="Book Antiqua" w:eastAsia="Book Antiqua" w:hAnsi="Book Antiqua" w:cs="Book Antiqua"/>
          <w:b/>
          <w:caps/>
          <w:color w:val="000000"/>
          <w:u w:val="single"/>
        </w:rPr>
        <w:br w:type="page"/>
      </w:r>
      <w:r w:rsidR="00FC055D">
        <w:rPr>
          <w:rFonts w:ascii="Book Antiqua" w:eastAsia="Book Antiqua" w:hAnsi="Book Antiqua" w:cs="Book Antiqua"/>
          <w:b/>
          <w:caps/>
          <w:color w:val="000000"/>
          <w:u w:val="single"/>
        </w:rPr>
        <w:lastRenderedPageBreak/>
        <w:t>INTRODUCTION</w:t>
      </w:r>
    </w:p>
    <w:p w14:paraId="45E591D7" w14:textId="77777777" w:rsidR="00A77B3E" w:rsidRDefault="00FC055D">
      <w:pPr>
        <w:spacing w:line="360" w:lineRule="auto"/>
        <w:jc w:val="both"/>
      </w:pPr>
      <w:r>
        <w:rPr>
          <w:rFonts w:ascii="Book Antiqua" w:eastAsia="Book Antiqua" w:hAnsi="Book Antiqua" w:cs="Book Antiqua"/>
          <w:color w:val="000000"/>
          <w:szCs w:val="22"/>
        </w:rPr>
        <w:t xml:space="preserve">Gastric antral vascular ectasia (GAVE) is frequently found in patients with cirrhosis. The estimated prevalence in cirrhotic patients with upper </w:t>
      </w:r>
      <w:r w:rsidR="00241C0F" w:rsidRPr="00241C0F">
        <w:rPr>
          <w:rFonts w:ascii="Book Antiqua" w:eastAsia="Book Antiqua" w:hAnsi="Book Antiqua" w:cs="Book Antiqua"/>
          <w:color w:val="000000"/>
          <w:szCs w:val="22"/>
        </w:rPr>
        <w:t>gastrointestinal</w:t>
      </w:r>
      <w:r w:rsidR="00241C0F">
        <w:rPr>
          <w:rFonts w:ascii="Book Antiqua" w:hAnsi="Book Antiqua" w:cs="Book Antiqua" w:hint="eastAsia"/>
          <w:color w:val="000000"/>
          <w:szCs w:val="22"/>
          <w:lang w:eastAsia="zh-CN"/>
        </w:rPr>
        <w:t xml:space="preserve"> (GI)</w:t>
      </w:r>
      <w:r w:rsidR="00241C0F" w:rsidRPr="00241C0F">
        <w:rPr>
          <w:rFonts w:ascii="Book Antiqua" w:eastAsia="Book Antiqua" w:hAnsi="Book Antiqua" w:cs="Book Antiqua"/>
          <w:color w:val="000000"/>
          <w:szCs w:val="22"/>
        </w:rPr>
        <w:t xml:space="preserve"> </w:t>
      </w:r>
      <w:r w:rsidR="00746576">
        <w:rPr>
          <w:rFonts w:ascii="Book Antiqua" w:eastAsia="Book Antiqua" w:hAnsi="Book Antiqua" w:cs="Book Antiqua"/>
          <w:color w:val="000000"/>
          <w:szCs w:val="22"/>
        </w:rPr>
        <w:t>bleeding is around 6</w:t>
      </w:r>
      <w:r>
        <w:rPr>
          <w:rFonts w:ascii="Book Antiqua" w:eastAsia="Book Antiqua" w:hAnsi="Book Antiqua" w:cs="Book Antiqua"/>
          <w:color w:val="000000"/>
          <w:szCs w:val="22"/>
        </w:rPr>
        <w:t>%, and in cirrhotic patients without apparent upper GI bleeding is about 12</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2"/>
          <w:shd w:val="clear" w:color="auto" w:fill="FFFFFF"/>
        </w:rPr>
        <w:t xml:space="preserve">. Another study found that GAVE was present in 1 in 40 of cirrhotic patients who underwent screening </w:t>
      </w:r>
      <w:bookmarkStart w:id="9" w:name="OLE_LINK88"/>
      <w:bookmarkStart w:id="10" w:name="OLE_LINK89"/>
      <w:bookmarkStart w:id="11" w:name="OLE_LINK92"/>
      <w:bookmarkStart w:id="12" w:name="OLE_LINK130"/>
      <w:bookmarkStart w:id="13" w:name="OLE_LINK90"/>
      <w:bookmarkStart w:id="14" w:name="OLE_LINK91"/>
      <w:r>
        <w:rPr>
          <w:rFonts w:ascii="Book Antiqua" w:eastAsia="Book Antiqua" w:hAnsi="Book Antiqua" w:cs="Book Antiqua"/>
          <w:color w:val="000000"/>
          <w:szCs w:val="22"/>
          <w:shd w:val="clear" w:color="auto" w:fill="FFFFFF"/>
        </w:rPr>
        <w:t>esophagogastroduodenoscopy</w:t>
      </w:r>
      <w:bookmarkEnd w:id="9"/>
      <w:bookmarkEnd w:id="10"/>
      <w:bookmarkEnd w:id="11"/>
      <w:bookmarkEnd w:id="12"/>
      <w:r>
        <w:rPr>
          <w:rFonts w:ascii="Book Antiqua" w:eastAsia="Book Antiqua" w:hAnsi="Book Antiqua" w:cs="Book Antiqua"/>
          <w:color w:val="000000"/>
          <w:szCs w:val="22"/>
          <w:shd w:val="clear" w:color="auto" w:fill="FFFFFF"/>
        </w:rPr>
        <w:t xml:space="preserve"> (EGD)</w:t>
      </w:r>
      <w:bookmarkEnd w:id="13"/>
      <w:bookmarkEnd w:id="14"/>
      <w:r>
        <w:rPr>
          <w:rFonts w:ascii="Book Antiqua" w:eastAsia="Book Antiqua" w:hAnsi="Book Antiqua" w:cs="Book Antiqua"/>
          <w:color w:val="000000"/>
          <w:szCs w:val="22"/>
          <w:shd w:val="clear" w:color="auto" w:fill="FFFFFF"/>
        </w:rPr>
        <w:t xml:space="preserve"> during liver transplant </w:t>
      </w:r>
      <w:proofErr w:type="gramStart"/>
      <w:r>
        <w:rPr>
          <w:rFonts w:ascii="Book Antiqua" w:eastAsia="Book Antiqua" w:hAnsi="Book Antiqua" w:cs="Book Antiqua"/>
          <w:color w:val="000000"/>
          <w:szCs w:val="22"/>
          <w:shd w:val="clear" w:color="auto" w:fill="FFFFFF"/>
        </w:rPr>
        <w:t>evaluation</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2]</w:t>
      </w:r>
      <w:r>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2"/>
        </w:rPr>
        <w:t> The clinical presentation extends from occult hemorrhage to transfusion-dependent chronic iron deficiency anemia. </w:t>
      </w:r>
    </w:p>
    <w:p w14:paraId="1318C624" w14:textId="77777777" w:rsidR="00A77B3E" w:rsidRDefault="00FC055D" w:rsidP="00164E89">
      <w:pPr>
        <w:spacing w:line="360" w:lineRule="auto"/>
        <w:ind w:firstLineChars="100" w:firstLine="240"/>
        <w:jc w:val="both"/>
      </w:pPr>
      <w:r>
        <w:rPr>
          <w:rFonts w:ascii="Book Antiqua" w:eastAsia="Book Antiqua" w:hAnsi="Book Antiqua" w:cs="Book Antiqua"/>
          <w:color w:val="000000"/>
          <w:szCs w:val="22"/>
          <w:shd w:val="clear" w:color="auto" w:fill="FFFFFF"/>
        </w:rPr>
        <w:t>Diagnosed endoscopically, GAVE lesions are located primarily in the antrum of the stomach</w:t>
      </w:r>
      <w:r>
        <w:rPr>
          <w:rFonts w:ascii="Book Antiqua" w:eastAsia="Book Antiqua" w:hAnsi="Book Antiqua" w:cs="Book Antiqua"/>
          <w:color w:val="000000"/>
          <w:szCs w:val="28"/>
          <w:shd w:val="clear" w:color="auto" w:fill="FFFFFF"/>
          <w:vertAlign w:val="superscript"/>
        </w:rPr>
        <w:t>[3]</w:t>
      </w:r>
      <w:r>
        <w:rPr>
          <w:rFonts w:ascii="Book Antiqua" w:eastAsia="Book Antiqua" w:hAnsi="Book Antiqua" w:cs="Book Antiqua"/>
          <w:color w:val="000000"/>
          <w:szCs w:val="22"/>
          <w:shd w:val="clear" w:color="auto" w:fill="FFFFFF"/>
        </w:rPr>
        <w:t> and appear as red spots that are either organized in stripes that project radially from the pylorus (“watermelon stomach”)</w:t>
      </w:r>
      <w:r>
        <w:rPr>
          <w:rFonts w:ascii="Book Antiqua" w:eastAsia="Book Antiqua" w:hAnsi="Book Antiqua" w:cs="Book Antiqua"/>
          <w:color w:val="000000"/>
          <w:szCs w:val="28"/>
          <w:shd w:val="clear" w:color="auto" w:fill="FFFFFF"/>
          <w:vertAlign w:val="superscript"/>
        </w:rPr>
        <w:t>[4,5]</w:t>
      </w:r>
      <w:r>
        <w:rPr>
          <w:rFonts w:ascii="Book Antiqua" w:eastAsia="Book Antiqua" w:hAnsi="Book Antiqua" w:cs="Book Antiqua"/>
          <w:color w:val="000000"/>
          <w:szCs w:val="22"/>
          <w:shd w:val="clear" w:color="auto" w:fill="FFFFFF"/>
        </w:rPr>
        <w:t>, or organized in a diffuse punctate (“honeycomb”) pattern</w:t>
      </w:r>
      <w:r>
        <w:rPr>
          <w:rFonts w:ascii="Book Antiqua" w:eastAsia="Book Antiqua" w:hAnsi="Book Antiqua" w:cs="Book Antiqua"/>
          <w:color w:val="000000"/>
          <w:szCs w:val="28"/>
          <w:shd w:val="clear" w:color="auto" w:fill="FFFFFF"/>
          <w:vertAlign w:val="superscript"/>
        </w:rPr>
        <w:t>[6]</w:t>
      </w:r>
      <w:r>
        <w:rPr>
          <w:rFonts w:ascii="Book Antiqua" w:eastAsia="Book Antiqua" w:hAnsi="Book Antiqua" w:cs="Book Antiqua"/>
          <w:color w:val="000000"/>
          <w:szCs w:val="22"/>
          <w:shd w:val="clear" w:color="auto" w:fill="FFFFFF"/>
        </w:rPr>
        <w:t xml:space="preserve">. The exact etiology of GAVE remains unclear, although several hypotheses have been proposed, including mechanical stress, hemodynamic alterations, and humoral and autoimmune </w:t>
      </w:r>
      <w:proofErr w:type="gramStart"/>
      <w:r>
        <w:rPr>
          <w:rFonts w:ascii="Book Antiqua" w:eastAsia="Book Antiqua" w:hAnsi="Book Antiqua" w:cs="Book Antiqua"/>
          <w:color w:val="000000"/>
          <w:szCs w:val="22"/>
          <w:shd w:val="clear" w:color="auto" w:fill="FFFFFF"/>
        </w:rPr>
        <w:t>factors</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7–9]</w:t>
      </w:r>
      <w:r>
        <w:rPr>
          <w:rFonts w:ascii="Book Antiqua" w:eastAsia="Book Antiqua" w:hAnsi="Book Antiqua" w:cs="Book Antiqua"/>
          <w:color w:val="000000"/>
          <w:szCs w:val="22"/>
          <w:shd w:val="clear" w:color="auto" w:fill="FFFFFF"/>
        </w:rPr>
        <w:t xml:space="preserve">. Numerous medical, surgical, and endoscopic treatment modalities such as endoscopic band ligation, endoscopic thermal therapy with argon plasma coagulation (APC), and radiofrequency ablation have been proposed with varying satisfactory </w:t>
      </w:r>
      <w:proofErr w:type="gramStart"/>
      <w:r>
        <w:rPr>
          <w:rFonts w:ascii="Book Antiqua" w:eastAsia="Book Antiqua" w:hAnsi="Book Antiqua" w:cs="Book Antiqua"/>
          <w:color w:val="000000"/>
          <w:szCs w:val="22"/>
          <w:shd w:val="clear" w:color="auto" w:fill="FFFFFF"/>
        </w:rPr>
        <w:t>results</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10–15]</w:t>
      </w:r>
      <w:r>
        <w:rPr>
          <w:rFonts w:ascii="Book Antiqua" w:eastAsia="Book Antiqua" w:hAnsi="Book Antiqua" w:cs="Book Antiqua"/>
          <w:color w:val="000000"/>
          <w:szCs w:val="22"/>
          <w:shd w:val="clear" w:color="auto" w:fill="FFFFFF"/>
        </w:rPr>
        <w:t>. </w:t>
      </w:r>
      <w:r>
        <w:rPr>
          <w:rFonts w:ascii="Book Antiqua" w:eastAsia="Book Antiqua" w:hAnsi="Book Antiqua" w:cs="Book Antiqua"/>
          <w:color w:val="000000"/>
          <w:szCs w:val="22"/>
        </w:rPr>
        <w:t>In a few small studies, GAVE and associated anemia have resolved after orthotopic liver transplantation (OLT</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2,16,17]</w:t>
      </w:r>
      <w:r>
        <w:rPr>
          <w:rFonts w:ascii="Book Antiqua" w:eastAsia="Book Antiqua" w:hAnsi="Book Antiqua" w:cs="Book Antiqua"/>
          <w:color w:val="000000"/>
          <w:szCs w:val="22"/>
        </w:rPr>
        <w:t>. </w:t>
      </w:r>
    </w:p>
    <w:p w14:paraId="38760F2C" w14:textId="77777777" w:rsidR="00A77B3E" w:rsidRDefault="00FC055D" w:rsidP="00C76421">
      <w:pPr>
        <w:spacing w:line="360" w:lineRule="auto"/>
        <w:ind w:firstLineChars="100" w:firstLine="240"/>
        <w:jc w:val="both"/>
      </w:pPr>
      <w:r>
        <w:rPr>
          <w:rFonts w:ascii="Book Antiqua" w:eastAsia="Book Antiqua" w:hAnsi="Book Antiqua" w:cs="Book Antiqua"/>
          <w:color w:val="000000"/>
          <w:szCs w:val="22"/>
        </w:rPr>
        <w:t>This aim of this study was to further investigate the influence of OLT on the resolution of GAVE and associated anemia.</w:t>
      </w:r>
    </w:p>
    <w:p w14:paraId="2430D863" w14:textId="77777777" w:rsidR="00A77B3E" w:rsidRDefault="00A77B3E">
      <w:pPr>
        <w:spacing w:line="360" w:lineRule="auto"/>
        <w:jc w:val="both"/>
      </w:pPr>
    </w:p>
    <w:p w14:paraId="00EA19CC" w14:textId="77777777" w:rsidR="00A77B3E" w:rsidRDefault="00FC055D">
      <w:pPr>
        <w:spacing w:line="360" w:lineRule="auto"/>
        <w:jc w:val="both"/>
      </w:pPr>
      <w:r>
        <w:rPr>
          <w:rFonts w:ascii="Book Antiqua" w:eastAsia="Book Antiqua" w:hAnsi="Book Antiqua" w:cs="Book Antiqua"/>
          <w:b/>
          <w:caps/>
          <w:color w:val="000000"/>
          <w:u w:val="single"/>
        </w:rPr>
        <w:t>MATERIALS AND METHODS</w:t>
      </w:r>
    </w:p>
    <w:p w14:paraId="2FEC53B1" w14:textId="77777777" w:rsidR="00A77B3E" w:rsidRDefault="00FC055D">
      <w:pPr>
        <w:spacing w:line="360" w:lineRule="auto"/>
        <w:jc w:val="both"/>
      </w:pPr>
      <w:r>
        <w:rPr>
          <w:rFonts w:ascii="Book Antiqua" w:eastAsia="Book Antiqua" w:hAnsi="Book Antiqua" w:cs="Book Antiqua"/>
          <w:color w:val="000000"/>
          <w:szCs w:val="22"/>
        </w:rPr>
        <w:t xml:space="preserve">A retrospective chart review was conducted of all adult patients with diagnosis of cirrhosis and GAVE who underwent OLT at the University </w:t>
      </w:r>
      <w:proofErr w:type="gramStart"/>
      <w:r>
        <w:rPr>
          <w:rFonts w:ascii="Book Antiqua" w:eastAsia="Book Antiqua" w:hAnsi="Book Antiqua" w:cs="Book Antiqua"/>
          <w:color w:val="000000"/>
          <w:szCs w:val="22"/>
        </w:rPr>
        <w:t>of</w:t>
      </w:r>
      <w:proofErr w:type="gramEnd"/>
      <w:r>
        <w:rPr>
          <w:rFonts w:ascii="Book Antiqua" w:eastAsia="Book Antiqua" w:hAnsi="Book Antiqua" w:cs="Book Antiqua"/>
          <w:color w:val="000000"/>
          <w:szCs w:val="22"/>
        </w:rPr>
        <w:t xml:space="preserve"> Kentucky Medical Center (UKMC) between September 2012 and September 2019. Patient demographics; body mass index (BMI); co-morbidities; </w:t>
      </w:r>
      <w:bookmarkStart w:id="15" w:name="OLE_LINK124"/>
      <w:bookmarkStart w:id="16" w:name="OLE_LINK125"/>
      <w:bookmarkStart w:id="17" w:name="OLE_LINK126"/>
      <w:bookmarkStart w:id="18" w:name="OLE_LINK127"/>
      <w:bookmarkStart w:id="19" w:name="OLE_LINK128"/>
      <w:r>
        <w:rPr>
          <w:rFonts w:ascii="Book Antiqua" w:eastAsia="Book Antiqua" w:hAnsi="Book Antiqua" w:cs="Book Antiqua"/>
          <w:color w:val="000000"/>
          <w:szCs w:val="22"/>
        </w:rPr>
        <w:t>Model of End-stage Liver Disease-sodium</w:t>
      </w:r>
      <w:bookmarkEnd w:id="15"/>
      <w:bookmarkEnd w:id="16"/>
      <w:bookmarkEnd w:id="17"/>
      <w:bookmarkEnd w:id="18"/>
      <w:bookmarkEnd w:id="19"/>
      <w:r>
        <w:rPr>
          <w:rFonts w:ascii="Book Antiqua" w:eastAsia="Book Antiqua" w:hAnsi="Book Antiqua" w:cs="Book Antiqua"/>
          <w:color w:val="000000"/>
          <w:szCs w:val="22"/>
        </w:rPr>
        <w:t xml:space="preserve"> (MELD-Na) score at the time of GAVE diagnosis; etiology of cirrhosis; use of proton pump inhibitors (PPI); GAVE presentation; type of endoscopic treatment utilized; lowest </w:t>
      </w:r>
      <w:r>
        <w:rPr>
          <w:rFonts w:ascii="Book Antiqua" w:eastAsia="Book Antiqua" w:hAnsi="Book Antiqua" w:cs="Book Antiqua"/>
          <w:color w:val="000000"/>
          <w:szCs w:val="22"/>
        </w:rPr>
        <w:lastRenderedPageBreak/>
        <w:t>hemoglobin (Hgb) pre-OLT; hemoglobin at 3</w:t>
      </w:r>
      <w:r w:rsidR="007C0A16" w:rsidRPr="007C0A16">
        <w:rPr>
          <w:rFonts w:ascii="Book Antiqua" w:eastAsia="Book Antiqua" w:hAnsi="Book Antiqua" w:cs="Book Antiqua"/>
          <w:color w:val="000000"/>
          <w:szCs w:val="22"/>
        </w:rPr>
        <w:t xml:space="preserve"> </w:t>
      </w:r>
      <w:proofErr w:type="spellStart"/>
      <w:r w:rsidR="007C0A16">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6</w:t>
      </w:r>
      <w:r w:rsidR="007C0A16" w:rsidRPr="007C0A16">
        <w:rPr>
          <w:rFonts w:ascii="Book Antiqua" w:eastAsia="Book Antiqua" w:hAnsi="Book Antiqua" w:cs="Book Antiqua"/>
          <w:color w:val="000000"/>
          <w:szCs w:val="22"/>
        </w:rPr>
        <w:t xml:space="preserve"> </w:t>
      </w:r>
      <w:proofErr w:type="spellStart"/>
      <w:r w:rsidR="007C0A16">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9</w:t>
      </w:r>
      <w:r w:rsidR="007C0A16" w:rsidRPr="007C0A16">
        <w:rPr>
          <w:rFonts w:ascii="Book Antiqua" w:eastAsia="Book Antiqua" w:hAnsi="Book Antiqua" w:cs="Book Antiqua"/>
          <w:color w:val="000000"/>
          <w:szCs w:val="22"/>
        </w:rPr>
        <w:t xml:space="preserve"> </w:t>
      </w:r>
      <w:proofErr w:type="spellStart"/>
      <w:r w:rsidR="007C0A16">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and 12 </w:t>
      </w:r>
      <w:bookmarkStart w:id="20" w:name="OLE_LINK95"/>
      <w:bookmarkStart w:id="21" w:name="OLE_LINK96"/>
      <w:bookmarkStart w:id="22" w:name="OLE_LINK97"/>
      <w:proofErr w:type="spellStart"/>
      <w:r>
        <w:rPr>
          <w:rFonts w:ascii="Book Antiqua" w:eastAsia="Book Antiqua" w:hAnsi="Book Antiqua" w:cs="Book Antiqua"/>
          <w:color w:val="000000"/>
          <w:szCs w:val="22"/>
        </w:rPr>
        <w:t>mo</w:t>
      </w:r>
      <w:bookmarkEnd w:id="20"/>
      <w:bookmarkEnd w:id="21"/>
      <w:bookmarkEnd w:id="22"/>
      <w:proofErr w:type="spellEnd"/>
      <w:r>
        <w:rPr>
          <w:rFonts w:ascii="Book Antiqua" w:eastAsia="Book Antiqua" w:hAnsi="Book Antiqua" w:cs="Book Antiqua"/>
          <w:color w:val="000000"/>
          <w:szCs w:val="22"/>
        </w:rPr>
        <w:t xml:space="preserve"> post-OLT; and post-OLT EGD findings were collected. </w:t>
      </w:r>
    </w:p>
    <w:p w14:paraId="18538A11" w14:textId="77777777" w:rsidR="00A77B3E" w:rsidRDefault="00FC055D" w:rsidP="007C0A16">
      <w:pPr>
        <w:spacing w:line="360" w:lineRule="auto"/>
        <w:ind w:firstLineChars="100" w:firstLine="240"/>
        <w:jc w:val="both"/>
      </w:pPr>
      <w:r>
        <w:rPr>
          <w:rFonts w:ascii="Book Antiqua" w:eastAsia="Book Antiqua" w:hAnsi="Book Antiqua" w:cs="Book Antiqua"/>
          <w:color w:val="000000"/>
          <w:szCs w:val="22"/>
        </w:rPr>
        <w:t>All the data mentioned above were collected from the patient's electronic medical records and stored in a password-protected excel sheet for analysis. The diagnosis of GAVE was obtained from the endoscopy reports. A single endoscopist/hepatologist independently reviewed all endoscopic images to confirm report findings. The primary outcome was the resolution of GAVE and associated anemia post-OLT. </w:t>
      </w:r>
    </w:p>
    <w:p w14:paraId="57E46835" w14:textId="77777777" w:rsidR="00A77B3E" w:rsidRDefault="00FC055D" w:rsidP="007837C6">
      <w:pPr>
        <w:spacing w:line="360" w:lineRule="auto"/>
        <w:ind w:firstLineChars="100" w:firstLine="240"/>
        <w:jc w:val="both"/>
      </w:pPr>
      <w:r>
        <w:rPr>
          <w:rFonts w:ascii="Book Antiqua" w:eastAsia="Book Antiqua" w:hAnsi="Book Antiqua" w:cs="Book Antiqua"/>
          <w:color w:val="000000"/>
          <w:szCs w:val="22"/>
        </w:rPr>
        <w:t>This study was approved by the UKMC Institutional Review Board. No organs from executed prisoners were used.</w:t>
      </w:r>
    </w:p>
    <w:p w14:paraId="707E9A05" w14:textId="77777777" w:rsidR="00A77B3E" w:rsidRDefault="00A77B3E">
      <w:pPr>
        <w:spacing w:line="360" w:lineRule="auto"/>
        <w:jc w:val="both"/>
      </w:pPr>
    </w:p>
    <w:p w14:paraId="43E7B564" w14:textId="77777777" w:rsidR="00A77B3E" w:rsidRDefault="00FC055D">
      <w:pPr>
        <w:spacing w:line="360" w:lineRule="auto"/>
        <w:jc w:val="both"/>
      </w:pPr>
      <w:r>
        <w:rPr>
          <w:rFonts w:ascii="Book Antiqua" w:eastAsia="Book Antiqua" w:hAnsi="Book Antiqua" w:cs="Book Antiqua"/>
          <w:b/>
          <w:caps/>
          <w:color w:val="000000"/>
          <w:u w:val="single"/>
        </w:rPr>
        <w:t>RESULTS</w:t>
      </w:r>
    </w:p>
    <w:p w14:paraId="2B2695AC" w14:textId="77777777" w:rsidR="00A77B3E" w:rsidRDefault="00FC055D">
      <w:pPr>
        <w:spacing w:line="360" w:lineRule="auto"/>
        <w:jc w:val="both"/>
      </w:pPr>
      <w:r>
        <w:rPr>
          <w:rFonts w:ascii="Book Antiqua" w:eastAsia="Book Antiqua" w:hAnsi="Book Antiqua" w:cs="Book Antiqua"/>
          <w:color w:val="000000"/>
          <w:szCs w:val="22"/>
        </w:rPr>
        <w:t>Of 296 patients who underwent OLT during the study period, 16 (5.4%) had diagnosis of GAVE.</w:t>
      </w:r>
    </w:p>
    <w:p w14:paraId="0248A0E2" w14:textId="77777777" w:rsidR="00A77B3E" w:rsidRDefault="00FC055D" w:rsidP="00FD24E9">
      <w:pPr>
        <w:spacing w:line="360" w:lineRule="auto"/>
        <w:ind w:firstLineChars="100" w:firstLine="240"/>
        <w:jc w:val="both"/>
      </w:pPr>
      <w:r>
        <w:rPr>
          <w:rFonts w:ascii="Book Antiqua" w:eastAsia="Book Antiqua" w:hAnsi="Book Antiqua" w:cs="Book Antiqua"/>
          <w:color w:val="000000"/>
          <w:szCs w:val="22"/>
        </w:rPr>
        <w:t>The individual p</w:t>
      </w:r>
      <w:r w:rsidR="00790A2E">
        <w:rPr>
          <w:rFonts w:ascii="Book Antiqua" w:eastAsia="Book Antiqua" w:hAnsi="Book Antiqua" w:cs="Book Antiqua"/>
          <w:color w:val="000000"/>
          <w:szCs w:val="22"/>
        </w:rPr>
        <w:t xml:space="preserve">atient cases are summarized in </w:t>
      </w:r>
      <w:r w:rsidR="00790A2E">
        <w:rPr>
          <w:rFonts w:ascii="Book Antiqua" w:hAnsi="Book Antiqua" w:cs="Book Antiqua" w:hint="eastAsia"/>
          <w:color w:val="000000"/>
          <w:szCs w:val="22"/>
          <w:lang w:eastAsia="zh-CN"/>
        </w:rPr>
        <w:t>T</w:t>
      </w:r>
      <w:r>
        <w:rPr>
          <w:rFonts w:ascii="Book Antiqua" w:eastAsia="Book Antiqua" w:hAnsi="Book Antiqua" w:cs="Book Antiqua"/>
          <w:color w:val="000000"/>
          <w:szCs w:val="22"/>
        </w:rPr>
        <w:t xml:space="preserve">able 1. </w:t>
      </w:r>
      <w:proofErr w:type="gramStart"/>
      <w:r>
        <w:rPr>
          <w:rFonts w:ascii="Book Antiqua" w:eastAsia="Book Antiqua" w:hAnsi="Book Antiqua" w:cs="Book Antiqua"/>
          <w:color w:val="000000"/>
          <w:szCs w:val="22"/>
        </w:rPr>
        <w:t>All Caucasians, with the majority being female (62.5%) with a mean age of 56</w:t>
      </w:r>
      <w:r w:rsidR="003B6DAB">
        <w:rPr>
          <w:rFonts w:ascii="Book Antiqua" w:eastAsia="Book Antiqua" w:hAnsi="Book Antiqua" w:cs="Book Antiqua"/>
          <w:color w:val="000000"/>
          <w:szCs w:val="22"/>
        </w:rPr>
        <w:t>.5 years and mean BMI of 31.6.</w:t>
      </w:r>
      <w:proofErr w:type="gramEnd"/>
      <w:r w:rsidR="003B6DAB">
        <w:rPr>
          <w:rFonts w:ascii="Book Antiqua" w:eastAsia="Book Antiqua" w:hAnsi="Book Antiqua" w:cs="Book Antiqua"/>
          <w:color w:val="000000"/>
          <w:szCs w:val="22"/>
        </w:rPr>
        <w:t> </w:t>
      </w:r>
      <w:r>
        <w:rPr>
          <w:rFonts w:ascii="Book Antiqua" w:eastAsia="Book Antiqua" w:hAnsi="Book Antiqua" w:cs="Book Antiqua"/>
          <w:color w:val="000000"/>
          <w:szCs w:val="22"/>
        </w:rPr>
        <w:t xml:space="preserve">The average MELD-Na score at the time of GAVE diagnosis was 20.4. The most common etiology of cirrhosis was </w:t>
      </w:r>
      <w:r w:rsidR="00DE1637" w:rsidRPr="00DE1637">
        <w:rPr>
          <w:rFonts w:ascii="Book Antiqua" w:eastAsia="Book Antiqua" w:hAnsi="Book Antiqua" w:cs="Book Antiqua"/>
          <w:color w:val="000000"/>
          <w:szCs w:val="22"/>
        </w:rPr>
        <w:t>Non-alcoholic steatohepatitis (NASH</w:t>
      </w:r>
      <w:r w:rsidR="00DE163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44%). </w:t>
      </w:r>
    </w:p>
    <w:p w14:paraId="3750B6D3" w14:textId="77777777" w:rsidR="00A77B3E" w:rsidRDefault="00FC055D" w:rsidP="006C4FA0">
      <w:pPr>
        <w:spacing w:line="360" w:lineRule="auto"/>
        <w:ind w:firstLineChars="100" w:firstLine="240"/>
        <w:jc w:val="both"/>
      </w:pPr>
      <w:r>
        <w:rPr>
          <w:rFonts w:ascii="Book Antiqua" w:eastAsia="Book Antiqua" w:hAnsi="Book Antiqua" w:cs="Book Antiqua"/>
          <w:color w:val="000000"/>
          <w:szCs w:val="22"/>
        </w:rPr>
        <w:t>Twelve patients (75%) had concomitant portal hypertensive gastropathy, and 13 (81%) had chronic kidney disease (defined as a GFR &lt;</w:t>
      </w:r>
      <w:r w:rsidR="0062037E">
        <w:rPr>
          <w:rFonts w:ascii="Book Antiqua" w:hAnsi="Book Antiqua" w:cs="Book Antiqua" w:hint="eastAsia"/>
          <w:color w:val="000000"/>
          <w:szCs w:val="22"/>
          <w:lang w:eastAsia="zh-CN"/>
        </w:rPr>
        <w:t xml:space="preserve"> </w:t>
      </w:r>
      <w:r w:rsidR="0062037E">
        <w:rPr>
          <w:rFonts w:ascii="Book Antiqua" w:eastAsia="Book Antiqua" w:hAnsi="Book Antiqua" w:cs="Book Antiqua"/>
          <w:color w:val="000000"/>
          <w:szCs w:val="22"/>
        </w:rPr>
        <w:t>60</w:t>
      </w:r>
      <w:r w:rsidR="0062037E">
        <w:rPr>
          <w:rFonts w:ascii="Book Antiqua" w:hAnsi="Book Antiqua" w:cs="Book Antiqua" w:hint="eastAsia"/>
          <w:color w:val="000000"/>
          <w:szCs w:val="22"/>
          <w:lang w:eastAsia="zh-CN"/>
        </w:rPr>
        <w:t xml:space="preserve"> </w:t>
      </w:r>
      <w:r w:rsidR="0062037E">
        <w:rPr>
          <w:rFonts w:ascii="Book Antiqua" w:eastAsia="Book Antiqua" w:hAnsi="Book Antiqua" w:cs="Book Antiqua"/>
          <w:color w:val="000000"/>
          <w:szCs w:val="22"/>
        </w:rPr>
        <w:t>m</w:t>
      </w:r>
      <w:r w:rsidR="0062037E">
        <w:rPr>
          <w:rFonts w:ascii="Book Antiqua" w:hAnsi="Book Antiqua" w:cs="Book Antiqua" w:hint="eastAsia"/>
          <w:color w:val="000000"/>
          <w:szCs w:val="22"/>
          <w:lang w:eastAsia="zh-CN"/>
        </w:rPr>
        <w:t>L</w:t>
      </w:r>
      <w:r w:rsidR="0062037E">
        <w:rPr>
          <w:rFonts w:ascii="Book Antiqua" w:eastAsia="Book Antiqua" w:hAnsi="Book Antiqua" w:cs="Book Antiqua"/>
          <w:color w:val="000000"/>
          <w:szCs w:val="22"/>
        </w:rPr>
        <w:t>/min/1.73</w:t>
      </w:r>
      <w:r w:rsidR="0062037E">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m</w:t>
      </w:r>
      <w:r>
        <w:rPr>
          <w:rFonts w:ascii="Book Antiqua" w:eastAsia="Book Antiqua" w:hAnsi="Book Antiqua" w:cs="Book Antiqua"/>
          <w:color w:val="000000"/>
          <w:szCs w:val="28"/>
          <w:vertAlign w:val="superscript"/>
        </w:rPr>
        <w:t>2</w:t>
      </w:r>
      <w:r>
        <w:rPr>
          <w:rFonts w:ascii="Book Antiqua" w:eastAsia="Book Antiqua" w:hAnsi="Book Antiqua" w:cs="Book Antiqua"/>
          <w:color w:val="000000"/>
          <w:szCs w:val="22"/>
        </w:rPr>
        <w:t xml:space="preserve"> for &gt; 3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w:t>
      </w:r>
    </w:p>
    <w:p w14:paraId="2E828363" w14:textId="77777777" w:rsidR="00A77B3E" w:rsidRDefault="00FC055D" w:rsidP="00D06683">
      <w:pPr>
        <w:spacing w:line="360" w:lineRule="auto"/>
        <w:ind w:firstLineChars="100" w:firstLine="240"/>
        <w:jc w:val="both"/>
      </w:pPr>
      <w:r>
        <w:rPr>
          <w:rFonts w:ascii="Book Antiqua" w:eastAsia="Book Antiqua" w:hAnsi="Book Antiqua" w:cs="Book Antiqua"/>
          <w:color w:val="000000"/>
          <w:szCs w:val="22"/>
        </w:rPr>
        <w:t>Thirteen patients (81%) were on a PPI. All patients presented with anemia, with 50% have at least one episode of overt bleeding requiring a blood transfusion prior to transplant. Five of those without overt bleed had iron deficiency anemia. Half of the patients were treated endoscopically, with APC being the most common treatment (31%), and 25 % of patients underwent banding. </w:t>
      </w:r>
    </w:p>
    <w:p w14:paraId="5FF7496D" w14:textId="77777777" w:rsidR="00A77B3E" w:rsidRDefault="00FC055D" w:rsidP="000908F3">
      <w:pPr>
        <w:spacing w:line="360" w:lineRule="auto"/>
        <w:ind w:firstLineChars="100" w:firstLine="240"/>
        <w:jc w:val="both"/>
      </w:pPr>
      <w:r>
        <w:rPr>
          <w:rFonts w:ascii="Book Antiqua" w:eastAsia="Book Antiqua" w:hAnsi="Book Antiqua" w:cs="Book Antiqua"/>
          <w:color w:val="000000"/>
          <w:szCs w:val="22"/>
        </w:rPr>
        <w:t>The pattern of GAVE varied in our patient cohort: six patients ha</w:t>
      </w:r>
      <w:r w:rsidR="008C301C">
        <w:rPr>
          <w:rFonts w:ascii="Book Antiqua" w:eastAsia="Book Antiqua" w:hAnsi="Book Antiqua" w:cs="Book Antiqua"/>
          <w:color w:val="000000"/>
          <w:szCs w:val="22"/>
        </w:rPr>
        <w:t>d diffuse punctate GAVE (Figure</w:t>
      </w:r>
      <w:r w:rsidR="008C301C">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 five patients had</w:t>
      </w:r>
      <w:r w:rsidR="008C301C">
        <w:rPr>
          <w:rFonts w:ascii="Book Antiqua" w:eastAsia="Book Antiqua" w:hAnsi="Book Antiqua" w:cs="Book Antiqua"/>
          <w:color w:val="000000"/>
          <w:szCs w:val="22"/>
        </w:rPr>
        <w:t xml:space="preserve"> linear/striped pattern (Figure</w:t>
      </w:r>
      <w:r w:rsidR="008C301C">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2), </w:t>
      </w:r>
      <w:r w:rsidR="008C301C">
        <w:rPr>
          <w:rFonts w:ascii="Book Antiqua" w:eastAsia="Book Antiqua" w:hAnsi="Book Antiqua" w:cs="Book Antiqua"/>
          <w:color w:val="000000"/>
          <w:szCs w:val="22"/>
        </w:rPr>
        <w:t>and two</w:t>
      </w:r>
      <w:r>
        <w:rPr>
          <w:rFonts w:ascii="Book Antiqua" w:eastAsia="Book Antiqua" w:hAnsi="Book Antiqua" w:cs="Book Antiqua"/>
          <w:color w:val="000000"/>
          <w:szCs w:val="22"/>
        </w:rPr>
        <w:t xml:space="preserve"> had patchy mild punctate GAVE, two patients had nodular polypoid GAVE characterized by polypo</w:t>
      </w:r>
      <w:r w:rsidR="000908F3">
        <w:rPr>
          <w:rFonts w:ascii="Book Antiqua" w:eastAsia="Book Antiqua" w:hAnsi="Book Antiqua" w:cs="Book Antiqua"/>
          <w:color w:val="000000"/>
          <w:szCs w:val="22"/>
        </w:rPr>
        <w:t>id lesions with exudate (Figure</w:t>
      </w:r>
      <w:r w:rsidR="000908F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3), one h</w:t>
      </w:r>
      <w:r w:rsidR="003C2371">
        <w:rPr>
          <w:rFonts w:ascii="Book Antiqua" w:eastAsia="Book Antiqua" w:hAnsi="Book Antiqua" w:cs="Book Antiqua"/>
          <w:color w:val="000000"/>
          <w:szCs w:val="22"/>
        </w:rPr>
        <w:t>ad nodular striped GAVE (Figure</w:t>
      </w:r>
      <w:r w:rsidR="003C2371">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4). </w:t>
      </w:r>
      <w:r>
        <w:rPr>
          <w:rFonts w:ascii="Book Antiqua" w:eastAsia="Book Antiqua" w:hAnsi="Book Antiqua" w:cs="Book Antiqua"/>
          <w:color w:val="000000"/>
          <w:szCs w:val="22"/>
        </w:rPr>
        <w:lastRenderedPageBreak/>
        <w:t>The patterns evolved in two patients, with the initial EGD showing a linear pattern and subsequent EGD showing a nodular/polypoid GAVE.</w:t>
      </w:r>
    </w:p>
    <w:p w14:paraId="2CC8B9FC" w14:textId="77777777" w:rsidR="00A77B3E" w:rsidRDefault="00FC055D" w:rsidP="00EB380C">
      <w:pPr>
        <w:spacing w:line="360" w:lineRule="auto"/>
        <w:ind w:firstLineChars="100" w:firstLine="240"/>
        <w:jc w:val="both"/>
      </w:pPr>
      <w:r>
        <w:rPr>
          <w:rFonts w:ascii="Book Antiqua" w:eastAsia="Book Antiqua" w:hAnsi="Book Antiqua" w:cs="Book Antiqua"/>
          <w:color w:val="000000"/>
          <w:szCs w:val="22"/>
        </w:rPr>
        <w:t>Mean pre-OLT Hgb was 7.7 g/dL compared to 11.9 g/</w:t>
      </w:r>
      <w:proofErr w:type="spellStart"/>
      <w:r>
        <w:rPr>
          <w:rFonts w:ascii="Book Antiqua" w:eastAsia="Book Antiqua" w:hAnsi="Book Antiqua" w:cs="Book Antiqua"/>
          <w:color w:val="000000"/>
          <w:szCs w:val="22"/>
        </w:rPr>
        <w:t>dL</w:t>
      </w:r>
      <w:proofErr w:type="spellEnd"/>
      <w:r>
        <w:rPr>
          <w:rFonts w:ascii="Book Antiqua" w:eastAsia="Book Antiqua" w:hAnsi="Book Antiqua" w:cs="Book Antiqua"/>
          <w:color w:val="000000"/>
          <w:szCs w:val="22"/>
        </w:rPr>
        <w:t xml:space="preserve"> at 12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post-OLT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 Anemia improved in 87.5 % (defined as Hgb increase by 2g) of patients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14) &amp; resolved entirely in 50 % of patients within 6 to 12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after OLT. </w:t>
      </w:r>
    </w:p>
    <w:p w14:paraId="2B93B4CA" w14:textId="77777777" w:rsidR="00A77B3E" w:rsidRDefault="00FC055D" w:rsidP="00EB380C">
      <w:pPr>
        <w:spacing w:line="360" w:lineRule="auto"/>
        <w:ind w:firstLineChars="100" w:firstLine="240"/>
        <w:jc w:val="both"/>
      </w:pPr>
      <w:r>
        <w:rPr>
          <w:rFonts w:ascii="Book Antiqua" w:eastAsia="Book Antiqua" w:hAnsi="Book Antiqua" w:cs="Book Antiqua"/>
          <w:color w:val="000000"/>
          <w:szCs w:val="22"/>
        </w:rPr>
        <w:t>Only two patients required blood transfusion after three months post-transplant. One patient was five months, and the other patient was three years post-OLT; however, neither had evidence of bleeding.</w:t>
      </w:r>
    </w:p>
    <w:p w14:paraId="5C8B84B8" w14:textId="77777777" w:rsidR="00A77B3E" w:rsidRDefault="00FC055D" w:rsidP="00EB380C">
      <w:pPr>
        <w:spacing w:line="360" w:lineRule="auto"/>
        <w:ind w:firstLineChars="100" w:firstLine="240"/>
        <w:jc w:val="both"/>
      </w:pPr>
      <w:r>
        <w:rPr>
          <w:rFonts w:ascii="Book Antiqua" w:eastAsia="Book Antiqua" w:hAnsi="Book Antiqua" w:cs="Book Antiqua"/>
          <w:color w:val="000000"/>
          <w:szCs w:val="22"/>
        </w:rPr>
        <w:t xml:space="preserve">Post-OLT EGD was performed in 10 patients. The mean time between OLT and post-OLT EGD was 27.9 </w:t>
      </w:r>
      <w:proofErr w:type="gramStart"/>
      <w:r>
        <w:rPr>
          <w:rFonts w:ascii="Book Antiqua" w:eastAsia="Book Antiqua" w:hAnsi="Book Antiqua" w:cs="Book Antiqua"/>
          <w:color w:val="000000"/>
          <w:szCs w:val="22"/>
        </w:rPr>
        <w:t>mo</w:t>
      </w:r>
      <w:proofErr w:type="gramEnd"/>
      <w:r>
        <w:rPr>
          <w:rFonts w:ascii="Book Antiqua" w:eastAsia="Book Antiqua" w:hAnsi="Book Antiqua" w:cs="Book Antiqua"/>
          <w:color w:val="000000"/>
          <w:szCs w:val="22"/>
        </w:rPr>
        <w:t>. Among the 10 patients who underwent post-OLT EGD, GAVE was found to have resolved entirely in six patients (60%).</w:t>
      </w:r>
    </w:p>
    <w:p w14:paraId="6F6F70CA" w14:textId="77777777" w:rsidR="00A77B3E" w:rsidRDefault="00FC055D" w:rsidP="00EB380C">
      <w:pPr>
        <w:spacing w:line="360" w:lineRule="auto"/>
        <w:ind w:firstLineChars="100" w:firstLine="240"/>
        <w:jc w:val="both"/>
      </w:pPr>
      <w:r>
        <w:rPr>
          <w:rFonts w:ascii="Book Antiqua" w:eastAsia="Book Antiqua" w:hAnsi="Book Antiqua" w:cs="Book Antiqua"/>
          <w:color w:val="000000"/>
          <w:szCs w:val="22"/>
        </w:rPr>
        <w:t xml:space="preserve">It is unclear why GAVE persisted in four out of ten patients who underwent post-OLT EGD. The first patient had psoriatic arthropathy. The second patient had GAVE sixteen years after transplant and had underlying polycythemia </w:t>
      </w:r>
      <w:proofErr w:type="gramStart"/>
      <w:r>
        <w:rPr>
          <w:rFonts w:ascii="Book Antiqua" w:eastAsia="Book Antiqua" w:hAnsi="Book Antiqua" w:cs="Book Antiqua"/>
          <w:color w:val="000000"/>
          <w:szCs w:val="22"/>
        </w:rPr>
        <w:t>vera</w:t>
      </w:r>
      <w:proofErr w:type="gramEnd"/>
      <w:r>
        <w:rPr>
          <w:rFonts w:ascii="Book Antiqua" w:eastAsia="Book Antiqua" w:hAnsi="Book Antiqua" w:cs="Book Antiqua"/>
          <w:color w:val="000000"/>
          <w:szCs w:val="22"/>
        </w:rPr>
        <w:t xml:space="preserve"> and chronic splenic thrombosis post-transplant with varices. The third patient had recurrent biopsy-proven cirrhosis. The fourth patient had persistent nodular GAVE, which required two endoscopic band ligations at two and ten weeks post-OLT with an endoscopic resolution of GAVE and associated anemia at six months post-OLT. The pattern of post-transplant GAVE varied in these four patients. Two patients had polypoid GAVE, one patient had linear GAVE, which later evolved into polypoid GAVE, and one patient had patchy mild punctate GAVE. </w:t>
      </w:r>
    </w:p>
    <w:p w14:paraId="2146EF71" w14:textId="77777777" w:rsidR="00A77B3E" w:rsidRDefault="00A77B3E">
      <w:pPr>
        <w:spacing w:line="360" w:lineRule="auto"/>
        <w:jc w:val="both"/>
      </w:pPr>
    </w:p>
    <w:p w14:paraId="395C97D8" w14:textId="77777777" w:rsidR="00A77B3E" w:rsidRDefault="00FC055D">
      <w:pPr>
        <w:spacing w:line="360" w:lineRule="auto"/>
        <w:jc w:val="both"/>
      </w:pPr>
      <w:r>
        <w:rPr>
          <w:rFonts w:ascii="Book Antiqua" w:eastAsia="Book Antiqua" w:hAnsi="Book Antiqua" w:cs="Book Antiqua"/>
          <w:b/>
          <w:caps/>
          <w:color w:val="000000"/>
          <w:u w:val="single"/>
        </w:rPr>
        <w:t>DISCUSSION</w:t>
      </w:r>
    </w:p>
    <w:p w14:paraId="303A127C" w14:textId="77777777" w:rsidR="00A77B3E" w:rsidRDefault="00FC055D">
      <w:pPr>
        <w:spacing w:line="360" w:lineRule="auto"/>
        <w:jc w:val="both"/>
      </w:pPr>
      <w:r>
        <w:rPr>
          <w:rFonts w:ascii="Book Antiqua" w:eastAsia="Book Antiqua" w:hAnsi="Book Antiqua" w:cs="Book Antiqua"/>
          <w:color w:val="000000"/>
          <w:szCs w:val="22"/>
        </w:rPr>
        <w:t xml:space="preserve">Gastric antral vascular ectasia is a common finding in patients with cirrhosis and often presents as chronic anemia. The endoscopic pathognomonic feature of GAVE is columns of red tortuous </w:t>
      </w:r>
      <w:proofErr w:type="spellStart"/>
      <w:r>
        <w:rPr>
          <w:rFonts w:ascii="Book Antiqua" w:eastAsia="Book Antiqua" w:hAnsi="Book Antiqua" w:cs="Book Antiqua"/>
          <w:color w:val="000000"/>
          <w:szCs w:val="22"/>
        </w:rPr>
        <w:t>ectatic</w:t>
      </w:r>
      <w:proofErr w:type="spellEnd"/>
      <w:r>
        <w:rPr>
          <w:rFonts w:ascii="Book Antiqua" w:eastAsia="Book Antiqua" w:hAnsi="Book Antiqua" w:cs="Book Antiqua"/>
          <w:color w:val="000000"/>
          <w:szCs w:val="22"/>
        </w:rPr>
        <w:t xml:space="preserve"> vessels along the folds of the </w:t>
      </w:r>
      <w:proofErr w:type="gramStart"/>
      <w:r>
        <w:rPr>
          <w:rFonts w:ascii="Book Antiqua" w:eastAsia="Book Antiqua" w:hAnsi="Book Antiqua" w:cs="Book Antiqua"/>
          <w:color w:val="000000"/>
          <w:szCs w:val="22"/>
        </w:rPr>
        <w:t>antrum</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18]</w:t>
      </w:r>
      <w:r>
        <w:rPr>
          <w:rFonts w:ascii="Book Antiqua" w:eastAsia="Book Antiqua" w:hAnsi="Book Antiqua" w:cs="Book Antiqua"/>
          <w:color w:val="000000"/>
          <w:szCs w:val="22"/>
        </w:rPr>
        <w:t xml:space="preserve">. Histologically, GAVE is characterized by mucosal vascular ectasia, spindle cell proliferation, </w:t>
      </w:r>
      <w:proofErr w:type="spellStart"/>
      <w:r>
        <w:rPr>
          <w:rFonts w:ascii="Book Antiqua" w:eastAsia="Book Antiqua" w:hAnsi="Book Antiqua" w:cs="Book Antiqua"/>
          <w:color w:val="000000"/>
          <w:szCs w:val="22"/>
        </w:rPr>
        <w:t>fibrohyalinosis</w:t>
      </w:r>
      <w:proofErr w:type="spellEnd"/>
      <w:r>
        <w:rPr>
          <w:rFonts w:ascii="Book Antiqua" w:eastAsia="Book Antiqua" w:hAnsi="Book Antiqua" w:cs="Book Antiqua"/>
          <w:color w:val="000000"/>
          <w:szCs w:val="22"/>
        </w:rPr>
        <w:t xml:space="preserve">, and fibrin </w:t>
      </w:r>
      <w:proofErr w:type="gramStart"/>
      <w:r>
        <w:rPr>
          <w:rFonts w:ascii="Book Antiqua" w:eastAsia="Book Antiqua" w:hAnsi="Book Antiqua" w:cs="Book Antiqua"/>
          <w:color w:val="000000"/>
          <w:szCs w:val="22"/>
        </w:rPr>
        <w:t>thrombi</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19]</w:t>
      </w:r>
      <w:r>
        <w:rPr>
          <w:rFonts w:ascii="Book Antiqua" w:eastAsia="Book Antiqua" w:hAnsi="Book Antiqua" w:cs="Book Antiqua"/>
          <w:color w:val="000000"/>
          <w:szCs w:val="22"/>
        </w:rPr>
        <w:t xml:space="preserve">. It is a disease with focal </w:t>
      </w:r>
      <w:proofErr w:type="gramStart"/>
      <w:r>
        <w:rPr>
          <w:rFonts w:ascii="Book Antiqua" w:eastAsia="Book Antiqua" w:hAnsi="Book Antiqua" w:cs="Book Antiqua"/>
          <w:color w:val="000000"/>
          <w:szCs w:val="22"/>
        </w:rPr>
        <w:t>distribution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20]</w:t>
      </w:r>
      <w:r>
        <w:rPr>
          <w:rFonts w:ascii="Book Antiqua" w:eastAsia="Book Antiqua" w:hAnsi="Book Antiqua" w:cs="Book Antiqua"/>
          <w:color w:val="000000"/>
          <w:szCs w:val="22"/>
        </w:rPr>
        <w:t xml:space="preserve">. Therefore, a negative biopsy does not rule out </w:t>
      </w:r>
      <w:proofErr w:type="gramStart"/>
      <w:r>
        <w:rPr>
          <w:rFonts w:ascii="Book Antiqua" w:eastAsia="Book Antiqua" w:hAnsi="Book Antiqua" w:cs="Book Antiqua"/>
          <w:color w:val="000000"/>
          <w:szCs w:val="22"/>
        </w:rPr>
        <w:t>GAVE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20]</w:t>
      </w:r>
      <w:r>
        <w:rPr>
          <w:rFonts w:ascii="Book Antiqua" w:eastAsia="Book Antiqua" w:hAnsi="Book Antiqua" w:cs="Book Antiqua"/>
          <w:color w:val="000000"/>
          <w:szCs w:val="22"/>
        </w:rPr>
        <w:t>.</w:t>
      </w:r>
    </w:p>
    <w:p w14:paraId="3EE3F0CB" w14:textId="77777777" w:rsidR="00A77B3E" w:rsidRDefault="00FC055D" w:rsidP="00976A88">
      <w:pPr>
        <w:spacing w:line="360" w:lineRule="auto"/>
        <w:ind w:firstLineChars="100" w:firstLine="240"/>
        <w:jc w:val="both"/>
      </w:pPr>
      <w:r>
        <w:rPr>
          <w:rFonts w:ascii="Book Antiqua" w:eastAsia="Book Antiqua" w:hAnsi="Book Antiqua" w:cs="Book Antiqua"/>
          <w:color w:val="000000"/>
          <w:szCs w:val="22"/>
        </w:rPr>
        <w:lastRenderedPageBreak/>
        <w:t xml:space="preserve">Although GAVE has been historically described as a "watermelon stomach," the diffuse pattern of GAVE endoscopically was found to be more frequent in cirrhotic patients in one </w:t>
      </w:r>
      <w:proofErr w:type="gramStart"/>
      <w:r>
        <w:rPr>
          <w:rFonts w:ascii="Book Antiqua" w:eastAsia="Book Antiqua" w:hAnsi="Book Antiqua" w:cs="Book Antiqua"/>
          <w:color w:val="000000"/>
          <w:szCs w:val="22"/>
        </w:rPr>
        <w:t>study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w:t>
      </w:r>
      <w:r>
        <w:rPr>
          <w:rFonts w:ascii="Book Antiqua" w:eastAsia="Book Antiqua" w:hAnsi="Book Antiqua" w:cs="Book Antiqua"/>
          <w:color w:val="000000"/>
          <w:szCs w:val="22"/>
        </w:rPr>
        <w:t xml:space="preserve">. In contrast, the classic watermelon form was found to be more common in non-cirrhotic </w:t>
      </w:r>
      <w:proofErr w:type="gramStart"/>
      <w:r>
        <w:rPr>
          <w:rFonts w:ascii="Book Antiqua" w:eastAsia="Book Antiqua" w:hAnsi="Book Antiqua" w:cs="Book Antiqua"/>
          <w:color w:val="000000"/>
          <w:szCs w:val="22"/>
        </w:rPr>
        <w:t>patients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21]</w:t>
      </w:r>
      <w:r>
        <w:rPr>
          <w:rFonts w:ascii="Book Antiqua" w:eastAsia="Book Antiqua" w:hAnsi="Book Antiqua" w:cs="Book Antiqua"/>
          <w:color w:val="000000"/>
          <w:szCs w:val="22"/>
        </w:rPr>
        <w:t>.</w:t>
      </w:r>
      <w:r w:rsidR="003B6DAB">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In our cohort, 50% of patients were found to have diffuse punctate GAVE,</w:t>
      </w:r>
      <w:r w:rsidR="003B6DAB">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31% had a linear/striped pattern, and 19% with nodular type. The gender distribution in our study seems to be similar to other studies.</w:t>
      </w:r>
      <w:r w:rsidR="003B6DAB">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In our study, the cirrhotic GAVE patients were predominately female (62.5%) with a mean age of 56.2 years. Other studies have shown a female predominance (71%) of GAVE in cirrhotic patients with a mean age of 73 years, and a male predominance (75%) in non-cirrhotic GAVE patients, with a mean age of 65 </w:t>
      </w:r>
      <w:proofErr w:type="gramStart"/>
      <w:r>
        <w:rPr>
          <w:rFonts w:ascii="Book Antiqua" w:eastAsia="Book Antiqua" w:hAnsi="Book Antiqua" w:cs="Book Antiqua"/>
          <w:color w:val="000000"/>
          <w:szCs w:val="22"/>
        </w:rPr>
        <w:t>years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22,23]</w:t>
      </w:r>
      <w:r>
        <w:rPr>
          <w:rFonts w:ascii="Book Antiqua" w:eastAsia="Book Antiqua" w:hAnsi="Book Antiqua" w:cs="Book Antiqua"/>
          <w:color w:val="000000"/>
          <w:szCs w:val="22"/>
        </w:rPr>
        <w:t>.</w:t>
      </w:r>
    </w:p>
    <w:p w14:paraId="49997C1B" w14:textId="53CAF9CC" w:rsidR="00A77B3E" w:rsidRDefault="00FC055D" w:rsidP="00976A88">
      <w:pPr>
        <w:spacing w:line="360" w:lineRule="auto"/>
        <w:ind w:firstLineChars="100" w:firstLine="240"/>
        <w:jc w:val="both"/>
      </w:pPr>
      <w:r>
        <w:rPr>
          <w:rFonts w:ascii="Book Antiqua" w:eastAsia="Book Antiqua" w:hAnsi="Book Antiqua" w:cs="Book Antiqua"/>
          <w:color w:val="000000"/>
          <w:szCs w:val="22"/>
        </w:rPr>
        <w:t xml:space="preserve">The exact pathophysiological mechanism that leads to GAVE remains unclear. It is highly essential to differentiate GAVE from portal hypertensive gastropathy (PHG) because they are treated differently. PHG mainly causes mucosal changes in the fundus and </w:t>
      </w:r>
      <w:proofErr w:type="gramStart"/>
      <w:r>
        <w:rPr>
          <w:rFonts w:ascii="Book Antiqua" w:eastAsia="Book Antiqua" w:hAnsi="Book Antiqua" w:cs="Book Antiqua"/>
          <w:color w:val="000000"/>
          <w:szCs w:val="22"/>
        </w:rPr>
        <w:t>corpus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20]</w:t>
      </w:r>
      <w:r>
        <w:rPr>
          <w:rFonts w:ascii="Book Antiqua" w:eastAsia="Book Antiqua" w:hAnsi="Book Antiqua" w:cs="Book Antiqua"/>
          <w:color w:val="000000"/>
          <w:szCs w:val="22"/>
        </w:rPr>
        <w:t>, whereas GAVE is limited to antrum</w:t>
      </w:r>
      <w:r>
        <w:rPr>
          <w:rFonts w:ascii="Book Antiqua" w:eastAsia="Book Antiqua" w:hAnsi="Book Antiqua" w:cs="Book Antiqua"/>
          <w:color w:val="000000"/>
          <w:szCs w:val="28"/>
          <w:vertAlign w:val="superscript"/>
        </w:rPr>
        <w:t>[18]</w:t>
      </w:r>
      <w:r>
        <w:rPr>
          <w:rFonts w:ascii="Book Antiqua" w:eastAsia="Book Antiqua" w:hAnsi="Book Antiqua" w:cs="Book Antiqua"/>
          <w:color w:val="000000"/>
          <w:szCs w:val="22"/>
        </w:rPr>
        <w:t xml:space="preserve">. It is possible that portal hypertension has no significant role in the development of GAVE for several reasons, such as </w:t>
      </w:r>
      <w:r w:rsidR="00BF6F40">
        <w:rPr>
          <w:rFonts w:ascii="Book Antiqua" w:eastAsia="Book Antiqua" w:hAnsi="Book Antiqua" w:cs="Book Antiqua"/>
          <w:color w:val="000000"/>
          <w:szCs w:val="22"/>
        </w:rPr>
        <w:t>absence of</w:t>
      </w:r>
      <w:r>
        <w:rPr>
          <w:rFonts w:ascii="Book Antiqua" w:eastAsia="Book Antiqua" w:hAnsi="Book Antiqua" w:cs="Book Antiqua"/>
          <w:color w:val="000000"/>
          <w:szCs w:val="22"/>
        </w:rPr>
        <w:t xml:space="preserve"> correlation between the severity of portal hypertension and degree of vascular </w:t>
      </w:r>
      <w:proofErr w:type="gramStart"/>
      <w:r>
        <w:rPr>
          <w:rFonts w:ascii="Book Antiqua" w:eastAsia="Book Antiqua" w:hAnsi="Book Antiqua" w:cs="Book Antiqua"/>
          <w:color w:val="000000"/>
          <w:szCs w:val="22"/>
        </w:rPr>
        <w:t>ectasia</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6]</w:t>
      </w:r>
      <w:r>
        <w:rPr>
          <w:rFonts w:ascii="Book Antiqua" w:eastAsia="Book Antiqua" w:hAnsi="Book Antiqua" w:cs="Book Antiqua"/>
          <w:color w:val="000000"/>
          <w:szCs w:val="22"/>
        </w:rPr>
        <w:t>, and no</w:t>
      </w:r>
      <w:r w:rsidR="00BF6F40">
        <w:rPr>
          <w:rFonts w:ascii="Book Antiqua" w:eastAsia="Book Antiqua" w:hAnsi="Book Antiqua" w:cs="Book Antiqua"/>
          <w:color w:val="000000"/>
          <w:szCs w:val="22"/>
        </w:rPr>
        <w:t>n-</w:t>
      </w:r>
      <w:r>
        <w:rPr>
          <w:rFonts w:ascii="Book Antiqua" w:eastAsia="Book Antiqua" w:hAnsi="Book Antiqua" w:cs="Book Antiqua"/>
          <w:color w:val="000000"/>
          <w:szCs w:val="22"/>
        </w:rPr>
        <w:t>resolution of GAVE after reduction in portal pressure</w:t>
      </w:r>
      <w:r>
        <w:rPr>
          <w:rFonts w:ascii="Book Antiqua" w:eastAsia="Book Antiqua" w:hAnsi="Book Antiqua" w:cs="Book Antiqua"/>
          <w:color w:val="000000"/>
          <w:szCs w:val="28"/>
          <w:vertAlign w:val="superscript"/>
        </w:rPr>
        <w:t>[23,24]</w:t>
      </w:r>
      <w:r>
        <w:rPr>
          <w:rFonts w:ascii="Book Antiqua" w:eastAsia="Book Antiqua" w:hAnsi="Book Antiqua" w:cs="Book Antiqua"/>
          <w:color w:val="000000"/>
          <w:szCs w:val="22"/>
        </w:rPr>
        <w:t xml:space="preserve">. Quintero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6]</w:t>
      </w:r>
      <w:r>
        <w:rPr>
          <w:rFonts w:ascii="Book Antiqua" w:eastAsia="Book Antiqua" w:hAnsi="Book Antiqua" w:cs="Book Antiqua"/>
          <w:color w:val="000000"/>
          <w:szCs w:val="22"/>
        </w:rPr>
        <w:t> linked low levels of pepsinogen, high levels of gastrin, and achlorhydria, with GAVE, and other studies have reported improvement in GAVE and reduction in gastrin levels after cessation of proton pump inhibitor</w:t>
      </w:r>
      <w:r>
        <w:rPr>
          <w:rFonts w:ascii="Book Antiqua" w:eastAsia="Book Antiqua" w:hAnsi="Book Antiqua" w:cs="Book Antiqua"/>
          <w:color w:val="000000"/>
          <w:szCs w:val="28"/>
          <w:vertAlign w:val="superscript"/>
        </w:rPr>
        <w:t>[25]</w:t>
      </w:r>
      <w:r>
        <w:rPr>
          <w:rFonts w:ascii="Book Antiqua" w:eastAsia="Book Antiqua" w:hAnsi="Book Antiqua" w:cs="Book Antiqua"/>
          <w:color w:val="000000"/>
          <w:szCs w:val="22"/>
        </w:rPr>
        <w:t>.</w:t>
      </w:r>
      <w:r w:rsidR="003B6DAB">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In our study, 13 patients (81%) were taking proton pump inhibitors before and after OLT. Prostaglandin E2 has a gastric vasodilator effect and has been considered to play a role in the development of </w:t>
      </w:r>
      <w:proofErr w:type="gramStart"/>
      <w:r>
        <w:rPr>
          <w:rFonts w:ascii="Book Antiqua" w:eastAsia="Book Antiqua" w:hAnsi="Book Antiqua" w:cs="Book Antiqua"/>
          <w:color w:val="000000"/>
          <w:szCs w:val="22"/>
        </w:rPr>
        <w:t>GAVE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w:t>
      </w:r>
      <w:r>
        <w:rPr>
          <w:rFonts w:ascii="Book Antiqua" w:eastAsia="Book Antiqua" w:hAnsi="Book Antiqua" w:cs="Book Antiqua"/>
          <w:color w:val="000000"/>
          <w:szCs w:val="22"/>
        </w:rPr>
        <w:t xml:space="preserve">. Another study by Lowes </w:t>
      </w:r>
      <w:r w:rsidR="000D633D" w:rsidRPr="000D633D">
        <w:rPr>
          <w:rFonts w:ascii="Book Antiqua" w:hAnsi="Book Antiqua" w:cs="Book Antiqua" w:hint="eastAsia"/>
          <w:i/>
          <w:color w:val="000000"/>
          <w:szCs w:val="22"/>
          <w:lang w:eastAsia="zh-CN"/>
        </w:rPr>
        <w:t xml:space="preserve">et </w:t>
      </w:r>
      <w:proofErr w:type="gramStart"/>
      <w:r w:rsidR="000D633D" w:rsidRPr="000D633D">
        <w:rPr>
          <w:rFonts w:ascii="Book Antiqua" w:hAnsi="Book Antiqua" w:cs="Book Antiqua" w:hint="eastAsia"/>
          <w:i/>
          <w:color w:val="000000"/>
          <w:szCs w:val="22"/>
          <w:lang w:eastAsia="zh-CN"/>
        </w:rPr>
        <w:t>al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7]</w:t>
      </w:r>
      <w:r>
        <w:rPr>
          <w:rFonts w:ascii="Book Antiqua" w:eastAsia="Book Antiqua" w:hAnsi="Book Antiqua" w:cs="Book Antiqua"/>
          <w:color w:val="000000"/>
          <w:szCs w:val="22"/>
        </w:rPr>
        <w:t xml:space="preserve"> found a proliferation of neuroendocrine cells that secretes 5-hydroxytryptamine and vasoactive peptide close to the </w:t>
      </w:r>
      <w:proofErr w:type="spellStart"/>
      <w:r>
        <w:rPr>
          <w:rFonts w:ascii="Book Antiqua" w:eastAsia="Book Antiqua" w:hAnsi="Book Antiqua" w:cs="Book Antiqua"/>
          <w:color w:val="000000"/>
          <w:szCs w:val="22"/>
        </w:rPr>
        <w:t>ectatic</w:t>
      </w:r>
      <w:proofErr w:type="spellEnd"/>
      <w:r>
        <w:rPr>
          <w:rFonts w:ascii="Book Antiqua" w:eastAsia="Book Antiqua" w:hAnsi="Book Antiqua" w:cs="Book Antiqua"/>
          <w:color w:val="000000"/>
          <w:szCs w:val="22"/>
        </w:rPr>
        <w:t xml:space="preserve"> blood vessels. Mechanical stress theory has been suggested by </w:t>
      </w:r>
      <w:proofErr w:type="spellStart"/>
      <w:r>
        <w:rPr>
          <w:rFonts w:ascii="Book Antiqua" w:eastAsia="Book Antiqua" w:hAnsi="Book Antiqua" w:cs="Book Antiqua"/>
          <w:color w:val="000000"/>
          <w:szCs w:val="22"/>
        </w:rPr>
        <w:t>Charneua</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9]</w:t>
      </w:r>
      <w:r>
        <w:rPr>
          <w:rFonts w:ascii="Book Antiqua" w:eastAsia="Book Antiqua" w:hAnsi="Book Antiqua" w:cs="Book Antiqua"/>
          <w:color w:val="000000"/>
          <w:szCs w:val="22"/>
        </w:rPr>
        <w:t>to be playing a role in cirrhotic GAVE patients after they found abnormal motility patterns on antral motility studies. In non-cirrhotic GAVE patients, many other medical conditions have been described</w:t>
      </w:r>
      <w:r w:rsidR="00BF6F4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BF6F40">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uch as autoimmune disease, acute myeloid leukemia, hypertension, chronic renal failure, ischemic heart disease, bone marrow transplantation, scleroderma, </w:t>
      </w:r>
      <w:r>
        <w:rPr>
          <w:rFonts w:ascii="Book Antiqua" w:eastAsia="Book Antiqua" w:hAnsi="Book Antiqua" w:cs="Book Antiqua"/>
          <w:color w:val="000000"/>
          <w:szCs w:val="22"/>
        </w:rPr>
        <w:lastRenderedPageBreak/>
        <w:t>and familial Mediterranean fever</w:t>
      </w:r>
      <w:r>
        <w:rPr>
          <w:rFonts w:ascii="Book Antiqua" w:eastAsia="Book Antiqua" w:hAnsi="Book Antiqua" w:cs="Book Antiqua"/>
          <w:color w:val="000000"/>
          <w:szCs w:val="28"/>
          <w:vertAlign w:val="superscript"/>
        </w:rPr>
        <w:t>[22,26–28]</w:t>
      </w:r>
      <w:r>
        <w:rPr>
          <w:rFonts w:ascii="Book Antiqua" w:eastAsia="Book Antiqua" w:hAnsi="Book Antiqua" w:cs="Book Antiqua"/>
          <w:color w:val="000000"/>
          <w:szCs w:val="22"/>
        </w:rPr>
        <w:t xml:space="preserve">. The most frequent associated autoimmune conditions are connective tissue diseases followed by Raynaud’s phenomenon and </w:t>
      </w:r>
      <w:proofErr w:type="gramStart"/>
      <w:r>
        <w:rPr>
          <w:rFonts w:ascii="Book Antiqua" w:eastAsia="Book Antiqua" w:hAnsi="Book Antiqua" w:cs="Book Antiqua"/>
          <w:color w:val="000000"/>
          <w:szCs w:val="22"/>
        </w:rPr>
        <w:t>sclerodactyly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22]</w:t>
      </w:r>
      <w:r>
        <w:rPr>
          <w:rFonts w:ascii="Book Antiqua" w:eastAsia="Book Antiqua" w:hAnsi="Book Antiqua" w:cs="Book Antiqua"/>
          <w:color w:val="000000"/>
          <w:szCs w:val="22"/>
        </w:rPr>
        <w:t>.</w:t>
      </w:r>
    </w:p>
    <w:p w14:paraId="203AE1EA" w14:textId="77777777" w:rsidR="00A77B3E" w:rsidRDefault="00FC055D" w:rsidP="00207E82">
      <w:pPr>
        <w:spacing w:line="360" w:lineRule="auto"/>
        <w:ind w:firstLineChars="100" w:firstLine="240"/>
        <w:jc w:val="both"/>
      </w:pPr>
      <w:r>
        <w:rPr>
          <w:rFonts w:ascii="Book Antiqua" w:eastAsia="Book Antiqua" w:hAnsi="Book Antiqua" w:cs="Book Antiqua"/>
          <w:color w:val="000000"/>
          <w:szCs w:val="22"/>
        </w:rPr>
        <w:t xml:space="preserve">Bleeding GAVE can be very problematic and challenging to manage. Several endoscopic interventions and medications are </w:t>
      </w:r>
      <w:proofErr w:type="gramStart"/>
      <w:r>
        <w:rPr>
          <w:rFonts w:ascii="Book Antiqua" w:eastAsia="Book Antiqua" w:hAnsi="Book Antiqua" w:cs="Book Antiqua"/>
          <w:color w:val="000000"/>
          <w:szCs w:val="22"/>
        </w:rPr>
        <w:t>available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10–15]</w:t>
      </w:r>
      <w:r>
        <w:rPr>
          <w:rFonts w:ascii="Book Antiqua" w:eastAsia="Book Antiqua" w:hAnsi="Book Antiqua" w:cs="Book Antiqua"/>
          <w:color w:val="000000"/>
          <w:szCs w:val="22"/>
        </w:rPr>
        <w:t xml:space="preserve">. In three previous small studies, GAVE and associated anemia resolved after liver </w:t>
      </w:r>
      <w:proofErr w:type="gramStart"/>
      <w:r>
        <w:rPr>
          <w:rFonts w:ascii="Book Antiqua" w:eastAsia="Book Antiqua" w:hAnsi="Book Antiqua" w:cs="Book Antiqua"/>
          <w:color w:val="000000"/>
          <w:szCs w:val="22"/>
        </w:rPr>
        <w:t>transplantation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2,16,17]</w:t>
      </w:r>
      <w:r>
        <w:rPr>
          <w:rFonts w:ascii="Book Antiqua" w:eastAsia="Book Antiqua" w:hAnsi="Book Antiqua" w:cs="Book Antiqua"/>
          <w:color w:val="000000"/>
          <w:szCs w:val="22"/>
        </w:rPr>
        <w:t xml:space="preserve">. Reduction in portal hypertension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medical use of beta-blockers or </w:t>
      </w:r>
      <w:proofErr w:type="spellStart"/>
      <w:r>
        <w:rPr>
          <w:rFonts w:ascii="Book Antiqua" w:eastAsia="Book Antiqua" w:hAnsi="Book Antiqua" w:cs="Book Antiqua"/>
          <w:color w:val="000000"/>
          <w:szCs w:val="22"/>
        </w:rPr>
        <w:t>transjugular</w:t>
      </w:r>
      <w:proofErr w:type="spellEnd"/>
      <w:r>
        <w:rPr>
          <w:rFonts w:ascii="Book Antiqua" w:eastAsia="Book Antiqua" w:hAnsi="Book Antiqua" w:cs="Book Antiqua"/>
          <w:color w:val="000000"/>
          <w:szCs w:val="22"/>
        </w:rPr>
        <w:t xml:space="preserve"> intrahepatic </w:t>
      </w:r>
      <w:proofErr w:type="spellStart"/>
      <w:r>
        <w:rPr>
          <w:rFonts w:ascii="Book Antiqua" w:eastAsia="Book Antiqua" w:hAnsi="Book Antiqua" w:cs="Book Antiqua"/>
          <w:color w:val="000000"/>
          <w:szCs w:val="22"/>
        </w:rPr>
        <w:t>portosystemic</w:t>
      </w:r>
      <w:proofErr w:type="spellEnd"/>
      <w:r>
        <w:rPr>
          <w:rFonts w:ascii="Book Antiqua" w:eastAsia="Book Antiqua" w:hAnsi="Book Antiqua" w:cs="Book Antiqua"/>
          <w:color w:val="000000"/>
          <w:szCs w:val="22"/>
        </w:rPr>
        <w:t xml:space="preserve"> shunt (TIPS) placement has failed to accomplish resolution of GAVE or associated anemia in cirrhotic patients with portal </w:t>
      </w:r>
      <w:proofErr w:type="gramStart"/>
      <w:r>
        <w:rPr>
          <w:rFonts w:ascii="Book Antiqua" w:eastAsia="Book Antiqua" w:hAnsi="Book Antiqua" w:cs="Book Antiqua"/>
          <w:color w:val="000000"/>
          <w:szCs w:val="22"/>
        </w:rPr>
        <w:t>hypertension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23,24]</w:t>
      </w:r>
      <w:r>
        <w:rPr>
          <w:rFonts w:ascii="Book Antiqua" w:eastAsia="Book Antiqua" w:hAnsi="Book Antiqua" w:cs="Book Antiqua"/>
          <w:color w:val="000000"/>
          <w:szCs w:val="22"/>
        </w:rPr>
        <w:t>. None of our patients had TIPS before the diagnosis of GAVE. One patient had TIPS a month just before the transplant, and TIPS was done eighteen months after diagnosis of GAVE for refractory ascites. Before the transplant, eight of our patients underwent endoscopic treatment with APC as the most commonly used method. None of our patients received medical treatment, such as Tranexamic acid.</w:t>
      </w:r>
    </w:p>
    <w:p w14:paraId="0DF99A23" w14:textId="77777777" w:rsidR="00A77B3E" w:rsidRDefault="00FC055D" w:rsidP="001005AB">
      <w:pPr>
        <w:spacing w:line="360" w:lineRule="auto"/>
        <w:ind w:firstLineChars="100" w:firstLine="240"/>
        <w:jc w:val="both"/>
      </w:pPr>
      <w:r>
        <w:rPr>
          <w:rFonts w:ascii="Book Antiqua" w:eastAsia="Book Antiqua" w:hAnsi="Book Antiqua" w:cs="Book Antiqua"/>
          <w:color w:val="000000"/>
          <w:szCs w:val="22"/>
        </w:rPr>
        <w:t>Our study further supports that GAVE in cirrhotic patients may resolve after OLT. Six out of ten patients who underwent post-OLT EGD have complete resolution of GAVE. The potential explanations for persistent GAVE among the other four patients include an underlying rheumatologic condition which can also cause non-cirrhotic GAVE in the first patient, underlying chronic splenic vein thrombosis in the second patient, recurrent cirrhosis in the third patient, and delayed resolution of GAVE after transplant since GAVE was seen fairly recently post-transplant, noted at two and ten weeks post-transplant with the resolution of anemia in the fourth patient.</w:t>
      </w:r>
    </w:p>
    <w:p w14:paraId="3B9AF92C" w14:textId="2CDDF69B" w:rsidR="00A77B3E" w:rsidRDefault="00FC055D" w:rsidP="001005AB">
      <w:pPr>
        <w:spacing w:line="360" w:lineRule="auto"/>
        <w:ind w:firstLineChars="100" w:firstLine="240"/>
        <w:jc w:val="both"/>
      </w:pPr>
      <w:r>
        <w:rPr>
          <w:rFonts w:ascii="Book Antiqua" w:eastAsia="Book Antiqua" w:hAnsi="Book Antiqua" w:cs="Book Antiqua"/>
          <w:color w:val="000000"/>
          <w:szCs w:val="22"/>
        </w:rPr>
        <w:t xml:space="preserve">The associated anemia entirely resolved in half of our patients and improved in 87.5% of patients six to twelve months after OLT. Anemia is common in cirrhotic patients; however, it is usually complex, and may be influenced by several factors, including etiology of cirrhosis and degree of portal </w:t>
      </w:r>
      <w:proofErr w:type="gramStart"/>
      <w:r>
        <w:rPr>
          <w:rFonts w:ascii="Book Antiqua" w:eastAsia="Book Antiqua" w:hAnsi="Book Antiqua" w:cs="Book Antiqua"/>
          <w:color w:val="000000"/>
          <w:szCs w:val="22"/>
        </w:rPr>
        <w:t>hypertension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29,30]</w:t>
      </w:r>
      <w:r w:rsidR="00BF6F40">
        <w:rPr>
          <w:rFonts w:ascii="Book Antiqua" w:eastAsia="Book Antiqua" w:hAnsi="Book Antiqua" w:cs="Book Antiqua"/>
          <w:color w:val="000000"/>
          <w:szCs w:val="28"/>
          <w:vertAlign w:val="subscript"/>
        </w:rPr>
        <w:t>.</w:t>
      </w:r>
      <w:r w:rsidR="00B4348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Portal hypertension and hypersplenism can be contributing factors to anemia in cirrhosis; however, the magnitude of the effect is </w:t>
      </w:r>
      <w:proofErr w:type="gramStart"/>
      <w:r>
        <w:rPr>
          <w:rFonts w:ascii="Book Antiqua" w:eastAsia="Book Antiqua" w:hAnsi="Book Antiqua" w:cs="Book Antiqua"/>
          <w:color w:val="000000"/>
          <w:szCs w:val="22"/>
        </w:rPr>
        <w:t>unclear</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31,32]</w:t>
      </w:r>
      <w:r>
        <w:rPr>
          <w:rFonts w:ascii="Book Antiqua" w:eastAsia="Book Antiqua" w:hAnsi="Book Antiqua" w:cs="Book Antiqua"/>
          <w:color w:val="000000"/>
          <w:szCs w:val="22"/>
        </w:rPr>
        <w:t xml:space="preserve">. Furthermore, Vincent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17]</w:t>
      </w:r>
      <w:r>
        <w:rPr>
          <w:rFonts w:ascii="Book Antiqua" w:eastAsia="Book Antiqua" w:hAnsi="Book Antiqua" w:cs="Book Antiqua"/>
          <w:color w:val="000000"/>
          <w:szCs w:val="22"/>
        </w:rPr>
        <w:t xml:space="preserve"> reported resolution </w:t>
      </w:r>
      <w:r>
        <w:rPr>
          <w:rFonts w:ascii="Book Antiqua" w:eastAsia="Book Antiqua" w:hAnsi="Book Antiqua" w:cs="Book Antiqua"/>
          <w:color w:val="000000"/>
          <w:szCs w:val="22"/>
        </w:rPr>
        <w:lastRenderedPageBreak/>
        <w:t>of GAVE and anemia in 2 patients post OLT even with persistent evidence of portal hypertension.</w:t>
      </w:r>
    </w:p>
    <w:p w14:paraId="4355D943" w14:textId="77777777" w:rsidR="00A77B3E" w:rsidRDefault="00FC055D" w:rsidP="00F34892">
      <w:pPr>
        <w:spacing w:line="360" w:lineRule="auto"/>
        <w:ind w:firstLineChars="100" w:firstLine="240"/>
        <w:jc w:val="both"/>
      </w:pPr>
      <w:r>
        <w:rPr>
          <w:rFonts w:ascii="Book Antiqua" w:eastAsia="Book Antiqua" w:hAnsi="Book Antiqua" w:cs="Book Antiqua"/>
          <w:color w:val="000000"/>
          <w:szCs w:val="22"/>
        </w:rPr>
        <w:t xml:space="preserve">One would speculate that the associated resolution of liver dysfunction would lead to the resolution of GAVE after transplant. GAVE was frequently found in patients with more advanced liver disease and has been reported to resolve after liver </w:t>
      </w:r>
      <w:proofErr w:type="gramStart"/>
      <w:r>
        <w:rPr>
          <w:rFonts w:ascii="Book Antiqua" w:eastAsia="Book Antiqua" w:hAnsi="Book Antiqua" w:cs="Book Antiqua"/>
          <w:color w:val="000000"/>
          <w:szCs w:val="22"/>
        </w:rPr>
        <w:t>transplantation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2,16,17]</w:t>
      </w:r>
      <w:r>
        <w:rPr>
          <w:rFonts w:ascii="Book Antiqua" w:eastAsia="Book Antiqua" w:hAnsi="Book Antiqua" w:cs="Book Antiqua"/>
          <w:color w:val="000000"/>
          <w:szCs w:val="22"/>
        </w:rPr>
        <w:t>. In our cohort at the time of GAVE diagnosis, the </w:t>
      </w:r>
      <w:r>
        <w:rPr>
          <w:rFonts w:ascii="Book Antiqua" w:eastAsia="Book Antiqua" w:hAnsi="Book Antiqua" w:cs="Book Antiqua"/>
          <w:color w:val="000000"/>
          <w:szCs w:val="22"/>
          <w:shd w:val="clear" w:color="auto" w:fill="FFFFFF"/>
        </w:rPr>
        <w:t>mean MELD-NA score was 20.4</w:t>
      </w:r>
      <w:r>
        <w:rPr>
          <w:rFonts w:ascii="Book Antiqua" w:eastAsia="Book Antiqua" w:hAnsi="Book Antiqua" w:cs="Book Antiqua"/>
          <w:color w:val="000000"/>
          <w:szCs w:val="22"/>
        </w:rPr>
        <w:t>.</w:t>
      </w:r>
    </w:p>
    <w:p w14:paraId="4F7CB5BB" w14:textId="77777777" w:rsidR="00A77B3E" w:rsidRPr="003B6DAB" w:rsidRDefault="00FC055D" w:rsidP="00F34892">
      <w:pPr>
        <w:spacing w:line="360" w:lineRule="auto"/>
        <w:ind w:firstLineChars="100" w:firstLine="240"/>
        <w:jc w:val="both"/>
        <w:rPr>
          <w:lang w:eastAsia="zh-CN"/>
        </w:rPr>
      </w:pPr>
      <w:r>
        <w:rPr>
          <w:rFonts w:ascii="Book Antiqua" w:eastAsia="Book Antiqua" w:hAnsi="Book Antiqua" w:cs="Book Antiqua"/>
          <w:color w:val="000000"/>
          <w:szCs w:val="22"/>
        </w:rPr>
        <w:t>The limitations of the current study include retrospective design with a small sample size. EGDs were also performed by several different endoscopists performed EGDs; however, we attempted to control for this by having one endoscopist/hepatologist review all endoscopic images. Also, only 10 patients had undergone EGD post-OLT. The patients were not treated with the same endoscopic modality, and there was no established endoscopic protocol to eradicate GAVE. Indeed, there is usually no standard treatment modality since the type of endoscopic treatment will depend on the pattern of GAVE and previous endoscopic therapies, with the preferable use of banding for most patients with nodular GAVE and APC in all other patterns of GAVE (linear and punctate GAVE). Not all patients in our cohort had histologic confirmation of GAVE, and this could raise the possibility of overlap between GAVE and PHG. Despite these limitations, this study offers the largest number of patients with GAVE who underwent liver transplantation, and our findings corroborate those from previous studies showing that GAVE and associated anemia resolve in the majority of patients who underwent liver transplantation. It also further explored the possible underlying mechanisms for persistent GAVE after OLT in four out of ten patients who had post-OLT EGD.</w:t>
      </w:r>
      <w:r w:rsidR="003B6DAB">
        <w:rPr>
          <w:rFonts w:ascii="Book Antiqua" w:hAnsi="Book Antiqua" w:cs="Book Antiqua" w:hint="eastAsia"/>
          <w:color w:val="000000"/>
          <w:szCs w:val="22"/>
          <w:lang w:eastAsia="zh-CN"/>
        </w:rPr>
        <w:t xml:space="preserve"> </w:t>
      </w:r>
    </w:p>
    <w:p w14:paraId="7E54B154" w14:textId="77777777" w:rsidR="00A77B3E" w:rsidRDefault="00A77B3E">
      <w:pPr>
        <w:spacing w:line="360" w:lineRule="auto"/>
        <w:jc w:val="both"/>
      </w:pPr>
    </w:p>
    <w:p w14:paraId="1223E106" w14:textId="77777777" w:rsidR="00A77B3E" w:rsidRDefault="00FC055D">
      <w:pPr>
        <w:spacing w:line="360" w:lineRule="auto"/>
        <w:jc w:val="both"/>
      </w:pPr>
      <w:r>
        <w:rPr>
          <w:rFonts w:ascii="Book Antiqua" w:eastAsia="Book Antiqua" w:hAnsi="Book Antiqua" w:cs="Book Antiqua"/>
          <w:b/>
          <w:caps/>
          <w:color w:val="000000"/>
          <w:u w:val="single"/>
        </w:rPr>
        <w:t>CONCLUSION</w:t>
      </w:r>
    </w:p>
    <w:p w14:paraId="057C6040" w14:textId="77777777" w:rsidR="00A77B3E" w:rsidRDefault="00FC055D">
      <w:pPr>
        <w:spacing w:line="360" w:lineRule="auto"/>
        <w:jc w:val="both"/>
      </w:pPr>
      <w:r>
        <w:rPr>
          <w:rFonts w:ascii="Book Antiqua" w:eastAsia="Book Antiqua" w:hAnsi="Book Antiqua" w:cs="Book Antiqua"/>
          <w:color w:val="000000"/>
          <w:szCs w:val="22"/>
        </w:rPr>
        <w:t xml:space="preserve">GAVE is a significant cause of morbidity and mortality in patients with cirrhosis. Although GAVE and associated anemia completely resolved in the majority of our patients after liver transplantation, GAVE persisted in a few patients post-OLT. Large, </w:t>
      </w:r>
      <w:r>
        <w:rPr>
          <w:rFonts w:ascii="Book Antiqua" w:eastAsia="Book Antiqua" w:hAnsi="Book Antiqua" w:cs="Book Antiqua"/>
          <w:color w:val="000000"/>
          <w:szCs w:val="22"/>
        </w:rPr>
        <w:lastRenderedPageBreak/>
        <w:t>prospective studies using consistent diagnostic criteria for GAVE and planned follow-up EGDs after OLT are needed to better understand the factors may contribute to persistence of GAVE post-transplant.</w:t>
      </w:r>
    </w:p>
    <w:p w14:paraId="0F852C27" w14:textId="77777777" w:rsidR="00A77B3E" w:rsidRDefault="00A77B3E">
      <w:pPr>
        <w:spacing w:line="360" w:lineRule="auto"/>
        <w:jc w:val="both"/>
      </w:pPr>
    </w:p>
    <w:p w14:paraId="02FB90CA" w14:textId="77777777" w:rsidR="00A77B3E" w:rsidRDefault="00FC055D">
      <w:pPr>
        <w:spacing w:line="360" w:lineRule="auto"/>
        <w:jc w:val="both"/>
      </w:pPr>
      <w:r>
        <w:rPr>
          <w:rFonts w:ascii="Book Antiqua" w:eastAsia="Book Antiqua" w:hAnsi="Book Antiqua" w:cs="Book Antiqua"/>
          <w:b/>
          <w:caps/>
          <w:color w:val="000000"/>
          <w:u w:val="single"/>
        </w:rPr>
        <w:t>ARTICLE HIGHLIGHTS</w:t>
      </w:r>
    </w:p>
    <w:p w14:paraId="07EE46D7" w14:textId="77777777" w:rsidR="00A77B3E" w:rsidRDefault="00FC055D">
      <w:pPr>
        <w:spacing w:line="360" w:lineRule="auto"/>
        <w:jc w:val="both"/>
      </w:pPr>
      <w:r>
        <w:rPr>
          <w:rFonts w:ascii="Book Antiqua" w:eastAsia="Book Antiqua" w:hAnsi="Book Antiqua" w:cs="Book Antiqua"/>
          <w:b/>
          <w:i/>
          <w:color w:val="000000"/>
        </w:rPr>
        <w:t>Research background</w:t>
      </w:r>
    </w:p>
    <w:p w14:paraId="5B205516" w14:textId="77777777" w:rsidR="00A77B3E" w:rsidRDefault="00FC055D">
      <w:pPr>
        <w:spacing w:line="360" w:lineRule="auto"/>
        <w:jc w:val="both"/>
      </w:pPr>
      <w:r>
        <w:rPr>
          <w:rFonts w:ascii="Book Antiqua" w:eastAsia="Book Antiqua" w:hAnsi="Book Antiqua" w:cs="Book Antiqua"/>
          <w:color w:val="000000"/>
          <w:szCs w:val="22"/>
        </w:rPr>
        <w:t>Gastric antral vascular ectasia (GAVE) is a well-recognized cause of gastrointestinal bleeding in cirrhotic patients. The etiology of GAVE remains unclear, although several humoral, autoimmune, mechanical stress, and pharmacological (proton pump inhibitor use) hypotheses have been described. Different treatment modalities have been proposed with varying results. Orthotopic liver transplantation (OLT), which is often recommended for patients with significant complications due to end-stage liver disease, has also been shown to be beneficial treatment for resolution of GAVE and associated anemia in a few small studies. </w:t>
      </w:r>
    </w:p>
    <w:p w14:paraId="026D198F" w14:textId="77777777" w:rsidR="00A77B3E" w:rsidRDefault="00A77B3E">
      <w:pPr>
        <w:spacing w:line="360" w:lineRule="auto"/>
        <w:jc w:val="both"/>
      </w:pPr>
    </w:p>
    <w:p w14:paraId="2E7A2EB5" w14:textId="77777777" w:rsidR="00A77B3E" w:rsidRDefault="00FC055D">
      <w:pPr>
        <w:spacing w:line="360" w:lineRule="auto"/>
        <w:jc w:val="both"/>
      </w:pPr>
      <w:r>
        <w:rPr>
          <w:rFonts w:ascii="Book Antiqua" w:eastAsia="Book Antiqua" w:hAnsi="Book Antiqua" w:cs="Book Antiqua"/>
          <w:b/>
          <w:i/>
          <w:color w:val="000000"/>
        </w:rPr>
        <w:t>Research motivation</w:t>
      </w:r>
    </w:p>
    <w:p w14:paraId="205EB298" w14:textId="77777777" w:rsidR="00A77B3E" w:rsidRDefault="00FC055D">
      <w:pPr>
        <w:spacing w:line="360" w:lineRule="auto"/>
        <w:jc w:val="both"/>
      </w:pPr>
      <w:r>
        <w:rPr>
          <w:rFonts w:ascii="Book Antiqua" w:eastAsia="Book Antiqua" w:hAnsi="Book Antiqua" w:cs="Book Antiqua"/>
          <w:color w:val="000000"/>
          <w:szCs w:val="22"/>
        </w:rPr>
        <w:t>To evaluate the relation between GAVE and associated anemia and OLT.</w:t>
      </w:r>
    </w:p>
    <w:p w14:paraId="6BF63DB8" w14:textId="77777777" w:rsidR="00A77B3E" w:rsidRDefault="00A77B3E">
      <w:pPr>
        <w:spacing w:line="360" w:lineRule="auto"/>
        <w:jc w:val="both"/>
      </w:pPr>
    </w:p>
    <w:p w14:paraId="60AAA724" w14:textId="77777777" w:rsidR="00A77B3E" w:rsidRDefault="00FC055D">
      <w:pPr>
        <w:spacing w:line="360" w:lineRule="auto"/>
        <w:jc w:val="both"/>
      </w:pPr>
      <w:r>
        <w:rPr>
          <w:rFonts w:ascii="Book Antiqua" w:eastAsia="Book Antiqua" w:hAnsi="Book Antiqua" w:cs="Book Antiqua"/>
          <w:b/>
          <w:i/>
          <w:color w:val="000000"/>
        </w:rPr>
        <w:t>Research objectives</w:t>
      </w:r>
    </w:p>
    <w:p w14:paraId="0DDAEE1E" w14:textId="77777777" w:rsidR="00A77B3E" w:rsidRDefault="00FC055D">
      <w:pPr>
        <w:spacing w:line="360" w:lineRule="auto"/>
        <w:jc w:val="both"/>
      </w:pPr>
      <w:r>
        <w:rPr>
          <w:rFonts w:ascii="Book Antiqua" w:eastAsia="Book Antiqua" w:hAnsi="Book Antiqua" w:cs="Book Antiqua"/>
          <w:color w:val="000000"/>
          <w:szCs w:val="22"/>
        </w:rPr>
        <w:t>To assess the impact of OLT on resolution of the natural course of GAVE and associated anemia.</w:t>
      </w:r>
    </w:p>
    <w:p w14:paraId="22EDA6CE" w14:textId="77777777" w:rsidR="00A77B3E" w:rsidRDefault="00A77B3E">
      <w:pPr>
        <w:spacing w:line="360" w:lineRule="auto"/>
        <w:jc w:val="both"/>
      </w:pPr>
    </w:p>
    <w:p w14:paraId="1224DF44" w14:textId="77777777" w:rsidR="00A77B3E" w:rsidRDefault="00FC055D">
      <w:pPr>
        <w:spacing w:line="360" w:lineRule="auto"/>
        <w:jc w:val="both"/>
      </w:pPr>
      <w:r>
        <w:rPr>
          <w:rFonts w:ascii="Book Antiqua" w:eastAsia="Book Antiqua" w:hAnsi="Book Antiqua" w:cs="Book Antiqua"/>
          <w:b/>
          <w:i/>
          <w:color w:val="000000"/>
        </w:rPr>
        <w:t>Research methods</w:t>
      </w:r>
    </w:p>
    <w:p w14:paraId="2B95F08C" w14:textId="77777777" w:rsidR="00A77B3E" w:rsidRDefault="00FC055D">
      <w:pPr>
        <w:spacing w:line="360" w:lineRule="auto"/>
        <w:jc w:val="both"/>
      </w:pPr>
      <w:r>
        <w:rPr>
          <w:rFonts w:ascii="Book Antiqua" w:eastAsia="Book Antiqua" w:hAnsi="Book Antiqua" w:cs="Book Antiqua"/>
          <w:color w:val="000000"/>
          <w:szCs w:val="22"/>
        </w:rPr>
        <w:t xml:space="preserve">A retrospective chart review was conducted of adult patient with GAVE who underwent liver transplant between September 2012 and September 2019. Demographics and other relevant findings, including hemoglobin levels, </w:t>
      </w:r>
      <w:r w:rsidR="00A415BC" w:rsidRPr="00A415BC">
        <w:rPr>
          <w:rFonts w:ascii="Book Antiqua" w:eastAsia="Book Antiqua" w:hAnsi="Book Antiqua" w:cs="Book Antiqua"/>
          <w:color w:val="000000"/>
          <w:szCs w:val="22"/>
        </w:rPr>
        <w:t>Model of End-stage Liver Disease-sodium</w:t>
      </w:r>
      <w:r w:rsidR="00B047A9">
        <w:rPr>
          <w:rFonts w:ascii="Book Antiqua" w:eastAsia="Book Antiqua" w:hAnsi="Book Antiqua" w:cs="Book Antiqua"/>
          <w:color w:val="000000"/>
          <w:szCs w:val="22"/>
        </w:rPr>
        <w:t xml:space="preserve"> score, </w:t>
      </w:r>
      <w:r>
        <w:rPr>
          <w:rFonts w:ascii="Book Antiqua" w:eastAsia="Book Antiqua" w:hAnsi="Book Antiqua" w:cs="Book Antiqua"/>
          <w:color w:val="000000"/>
          <w:szCs w:val="22"/>
        </w:rPr>
        <w:t>GAVE presentation, and upper endoscopy findings before and after OLT were collected. </w:t>
      </w:r>
    </w:p>
    <w:p w14:paraId="3239F138" w14:textId="77777777" w:rsidR="00A77B3E" w:rsidRDefault="00A77B3E">
      <w:pPr>
        <w:spacing w:line="360" w:lineRule="auto"/>
        <w:jc w:val="both"/>
      </w:pPr>
    </w:p>
    <w:p w14:paraId="73E7BA52" w14:textId="77777777" w:rsidR="00A77B3E" w:rsidRDefault="00FC055D">
      <w:pPr>
        <w:spacing w:line="360" w:lineRule="auto"/>
        <w:jc w:val="both"/>
      </w:pPr>
      <w:r>
        <w:rPr>
          <w:rFonts w:ascii="Book Antiqua" w:eastAsia="Book Antiqua" w:hAnsi="Book Antiqua" w:cs="Book Antiqua"/>
          <w:b/>
          <w:i/>
          <w:color w:val="000000"/>
        </w:rPr>
        <w:lastRenderedPageBreak/>
        <w:t>Research results</w:t>
      </w:r>
    </w:p>
    <w:p w14:paraId="1BE3D8D9" w14:textId="77777777" w:rsidR="00A77B3E" w:rsidRDefault="00FC055D">
      <w:pPr>
        <w:spacing w:line="360" w:lineRule="auto"/>
        <w:jc w:val="both"/>
      </w:pPr>
      <w:r>
        <w:rPr>
          <w:rFonts w:ascii="Book Antiqua" w:eastAsia="Book Antiqua" w:hAnsi="Book Antiqua" w:cs="Book Antiqua"/>
          <w:color w:val="000000"/>
          <w:szCs w:val="22"/>
        </w:rPr>
        <w:t xml:space="preserve">Sixteen patients were identified, all Caucasians and predominantly female (62.5%) with a mean age of 56.5 years. The most common etiology for cirrhosis was NASH (44%). All patients presented with anemia, with 50% presenting with overt bleed and required transfusions prior to transplant. Mean pre-OLT Hgb was 7.7, and the mean 12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post-OLT </w:t>
      </w:r>
      <w:proofErr w:type="spellStart"/>
      <w:r>
        <w:rPr>
          <w:rFonts w:ascii="Book Antiqua" w:eastAsia="Book Antiqua" w:hAnsi="Book Antiqua" w:cs="Book Antiqua"/>
          <w:color w:val="000000"/>
          <w:szCs w:val="22"/>
        </w:rPr>
        <w:t>Hgb</w:t>
      </w:r>
      <w:proofErr w:type="spellEnd"/>
      <w:r>
        <w:rPr>
          <w:rFonts w:ascii="Book Antiqua" w:eastAsia="Book Antiqua" w:hAnsi="Book Antiqua" w:cs="Book Antiqua"/>
          <w:color w:val="000000"/>
          <w:szCs w:val="22"/>
        </w:rPr>
        <w:t xml:space="preserve"> was 11.9 (</w:t>
      </w:r>
      <w:r w:rsidR="00897A58" w:rsidRPr="00897A58">
        <w:rPr>
          <w:rFonts w:ascii="Book Antiqua" w:hAnsi="Book Antiqua" w:cs="Book Antiqua" w:hint="eastAsia"/>
          <w:i/>
          <w:color w:val="000000"/>
          <w:szCs w:val="22"/>
          <w:lang w:eastAsia="zh-CN"/>
        </w:rPr>
        <w:t>P</w:t>
      </w:r>
      <w:r w:rsidR="00897A58">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t>
      </w:r>
      <w:r w:rsidR="00897A58">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0.001). Anemia improved in 87.5% of patients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14) within 6 to 12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after OLT and resolved completely in half of the patients. Post-OLT </w:t>
      </w:r>
      <w:r w:rsidR="007F6947" w:rsidRPr="007F6947">
        <w:rPr>
          <w:rFonts w:ascii="Book Antiqua" w:eastAsia="Book Antiqua" w:hAnsi="Book Antiqua" w:cs="Book Antiqua"/>
          <w:color w:val="000000"/>
          <w:szCs w:val="22"/>
        </w:rPr>
        <w:t>esophagogastroduodenoscopy</w:t>
      </w:r>
      <w:r>
        <w:rPr>
          <w:rFonts w:ascii="Book Antiqua" w:eastAsia="Book Antiqua" w:hAnsi="Book Antiqua" w:cs="Book Antiqua"/>
          <w:color w:val="000000"/>
          <w:szCs w:val="22"/>
        </w:rPr>
        <w:t xml:space="preserve"> was performed in 10 patients, and GAVE resolved entirely in 6 of those patients (60%). </w:t>
      </w:r>
    </w:p>
    <w:p w14:paraId="0F02B675" w14:textId="77777777" w:rsidR="00A77B3E" w:rsidRDefault="00A77B3E">
      <w:pPr>
        <w:spacing w:line="360" w:lineRule="auto"/>
        <w:jc w:val="both"/>
      </w:pPr>
    </w:p>
    <w:p w14:paraId="761E4DC3" w14:textId="77777777" w:rsidR="00A77B3E" w:rsidRDefault="00FC055D">
      <w:pPr>
        <w:spacing w:line="360" w:lineRule="auto"/>
        <w:jc w:val="both"/>
      </w:pPr>
      <w:r>
        <w:rPr>
          <w:rFonts w:ascii="Book Antiqua" w:eastAsia="Book Antiqua" w:hAnsi="Book Antiqua" w:cs="Book Antiqua"/>
          <w:b/>
          <w:i/>
          <w:color w:val="000000"/>
        </w:rPr>
        <w:t>Research conclusions</w:t>
      </w:r>
    </w:p>
    <w:p w14:paraId="039A38F1" w14:textId="77777777" w:rsidR="00A77B3E" w:rsidRDefault="00FC055D">
      <w:pPr>
        <w:spacing w:line="360" w:lineRule="auto"/>
        <w:jc w:val="both"/>
      </w:pPr>
      <w:r>
        <w:rPr>
          <w:rFonts w:ascii="Book Antiqua" w:eastAsia="Book Antiqua" w:hAnsi="Book Antiqua" w:cs="Book Antiqua"/>
          <w:color w:val="000000"/>
          <w:szCs w:val="22"/>
        </w:rPr>
        <w:t>Although GAVE and associated anemia completely resolved in the majority of our patients after liver transplantation, GAVE persisted in a few patients after transplant.</w:t>
      </w:r>
    </w:p>
    <w:p w14:paraId="4E8715D8" w14:textId="77777777" w:rsidR="00A77B3E" w:rsidRDefault="00A77B3E">
      <w:pPr>
        <w:spacing w:line="360" w:lineRule="auto"/>
        <w:jc w:val="both"/>
      </w:pPr>
    </w:p>
    <w:p w14:paraId="2F5DE453" w14:textId="77777777" w:rsidR="00A77B3E" w:rsidRDefault="00FC055D">
      <w:pPr>
        <w:spacing w:line="360" w:lineRule="auto"/>
        <w:jc w:val="both"/>
      </w:pPr>
      <w:r>
        <w:rPr>
          <w:rFonts w:ascii="Book Antiqua" w:eastAsia="Book Antiqua" w:hAnsi="Book Antiqua" w:cs="Book Antiqua"/>
          <w:b/>
          <w:i/>
          <w:color w:val="000000"/>
        </w:rPr>
        <w:t>Research perspectives</w:t>
      </w:r>
    </w:p>
    <w:p w14:paraId="400D0A5C" w14:textId="77777777" w:rsidR="00A77B3E" w:rsidRDefault="00FC055D">
      <w:pPr>
        <w:spacing w:line="360" w:lineRule="auto"/>
        <w:jc w:val="both"/>
      </w:pPr>
      <w:r>
        <w:rPr>
          <w:rFonts w:ascii="Book Antiqua" w:eastAsia="Book Antiqua" w:hAnsi="Book Antiqua" w:cs="Book Antiqua"/>
          <w:color w:val="000000"/>
          <w:szCs w:val="22"/>
        </w:rPr>
        <w:t>Large prospective studies are needed to better understand what factors may contribute to persistent GAVE post-liver transplant. </w:t>
      </w:r>
    </w:p>
    <w:p w14:paraId="4F534CD4" w14:textId="77777777" w:rsidR="00A77B3E" w:rsidRPr="008E1879" w:rsidRDefault="00A77B3E" w:rsidP="008E1879">
      <w:pPr>
        <w:adjustRightInd w:val="0"/>
        <w:snapToGrid w:val="0"/>
        <w:spacing w:line="360" w:lineRule="auto"/>
        <w:jc w:val="both"/>
        <w:rPr>
          <w:rFonts w:ascii="Book Antiqua" w:hAnsi="Book Antiqua"/>
        </w:rPr>
      </w:pPr>
    </w:p>
    <w:p w14:paraId="49B73FF3" w14:textId="77777777" w:rsidR="00A77B3E" w:rsidRPr="008E1879" w:rsidRDefault="00FC055D" w:rsidP="008E1879">
      <w:pPr>
        <w:adjustRightInd w:val="0"/>
        <w:snapToGrid w:val="0"/>
        <w:spacing w:line="360" w:lineRule="auto"/>
        <w:jc w:val="both"/>
        <w:rPr>
          <w:rFonts w:ascii="Book Antiqua" w:hAnsi="Book Antiqua"/>
        </w:rPr>
      </w:pPr>
      <w:r w:rsidRPr="008E1879">
        <w:rPr>
          <w:rFonts w:ascii="Book Antiqua" w:eastAsia="Book Antiqua" w:hAnsi="Book Antiqua" w:cs="Book Antiqua"/>
          <w:b/>
        </w:rPr>
        <w:t>REFERENCES</w:t>
      </w:r>
    </w:p>
    <w:p w14:paraId="161D2C70"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1 </w:t>
      </w:r>
      <w:r w:rsidRPr="008E1879">
        <w:rPr>
          <w:rFonts w:ascii="Book Antiqua" w:hAnsi="Book Antiqua"/>
          <w:b/>
          <w:bCs/>
        </w:rPr>
        <w:t>Swanson E</w:t>
      </w:r>
      <w:r w:rsidRPr="008E1879">
        <w:rPr>
          <w:rFonts w:ascii="Book Antiqua" w:hAnsi="Book Antiqua"/>
        </w:rPr>
        <w:t xml:space="preserve">, </w:t>
      </w:r>
      <w:proofErr w:type="spellStart"/>
      <w:r w:rsidRPr="008E1879">
        <w:rPr>
          <w:rFonts w:ascii="Book Antiqua" w:hAnsi="Book Antiqua"/>
        </w:rPr>
        <w:t>Mahgoub</w:t>
      </w:r>
      <w:proofErr w:type="spellEnd"/>
      <w:r w:rsidRPr="008E1879">
        <w:rPr>
          <w:rFonts w:ascii="Book Antiqua" w:hAnsi="Book Antiqua"/>
        </w:rPr>
        <w:t xml:space="preserve"> A, MacDonald R, Shaukat A. Medical and endoscopic therapies for angiodysplasia and gastric antral vascular ectasia: a systematic review. </w:t>
      </w:r>
      <w:r w:rsidRPr="008E1879">
        <w:rPr>
          <w:rFonts w:ascii="Book Antiqua" w:hAnsi="Book Antiqua"/>
          <w:i/>
          <w:iCs/>
        </w:rPr>
        <w:t>Clin Gastroenterol Hepatol</w:t>
      </w:r>
      <w:r w:rsidRPr="008E1879">
        <w:rPr>
          <w:rFonts w:ascii="Book Antiqua" w:hAnsi="Book Antiqua"/>
        </w:rPr>
        <w:t> 2014; </w:t>
      </w:r>
      <w:r w:rsidRPr="008E1879">
        <w:rPr>
          <w:rFonts w:ascii="Book Antiqua" w:hAnsi="Book Antiqua"/>
          <w:b/>
          <w:bCs/>
        </w:rPr>
        <w:t>12</w:t>
      </w:r>
      <w:r w:rsidRPr="008E1879">
        <w:rPr>
          <w:rFonts w:ascii="Book Antiqua" w:hAnsi="Book Antiqua"/>
        </w:rPr>
        <w:t>: 571-582 [PMID: 24013107 DOI: 10.1016/j.cgh.2013.08.038]</w:t>
      </w:r>
    </w:p>
    <w:p w14:paraId="783E9263"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2 </w:t>
      </w:r>
      <w:r w:rsidRPr="008E1879">
        <w:rPr>
          <w:rFonts w:ascii="Book Antiqua" w:hAnsi="Book Antiqua"/>
          <w:b/>
          <w:bCs/>
        </w:rPr>
        <w:t>Ward EM</w:t>
      </w:r>
      <w:r w:rsidRPr="008E1879">
        <w:rPr>
          <w:rFonts w:ascii="Book Antiqua" w:hAnsi="Book Antiqua"/>
        </w:rPr>
        <w:t>, Raimondo M, Rosser BG, Wallace MB, Dickson RD. Prevalence and natural history of gastric antral vascular ectasia in patients undergoing orthotopic liver transplantation. </w:t>
      </w:r>
      <w:r w:rsidRPr="008E1879">
        <w:rPr>
          <w:rFonts w:ascii="Book Antiqua" w:hAnsi="Book Antiqua"/>
          <w:i/>
          <w:iCs/>
        </w:rPr>
        <w:t>J Clin Gastroenterol</w:t>
      </w:r>
      <w:r w:rsidRPr="008E1879">
        <w:rPr>
          <w:rFonts w:ascii="Book Antiqua" w:hAnsi="Book Antiqua"/>
        </w:rPr>
        <w:t> 2004; </w:t>
      </w:r>
      <w:r w:rsidRPr="008E1879">
        <w:rPr>
          <w:rFonts w:ascii="Book Antiqua" w:hAnsi="Book Antiqua"/>
          <w:b/>
          <w:bCs/>
        </w:rPr>
        <w:t>38</w:t>
      </w:r>
      <w:r w:rsidRPr="008E1879">
        <w:rPr>
          <w:rFonts w:ascii="Book Antiqua" w:hAnsi="Book Antiqua"/>
        </w:rPr>
        <w:t>: 898-900 [PMID: 15492609 DOI: 10.1097/00004836-200411000-00013]</w:t>
      </w:r>
    </w:p>
    <w:p w14:paraId="1382C7AB"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8E1879">
        <w:rPr>
          <w:rFonts w:ascii="Book Antiqua" w:hAnsi="Book Antiqua"/>
        </w:rPr>
        <w:t>3 </w:t>
      </w:r>
      <w:proofErr w:type="spellStart"/>
      <w:r w:rsidRPr="008E1879">
        <w:rPr>
          <w:rFonts w:ascii="Book Antiqua" w:hAnsi="Book Antiqua"/>
          <w:b/>
          <w:bCs/>
        </w:rPr>
        <w:t>Stotzer</w:t>
      </w:r>
      <w:proofErr w:type="spellEnd"/>
      <w:r w:rsidRPr="008E1879">
        <w:rPr>
          <w:rFonts w:ascii="Book Antiqua" w:hAnsi="Book Antiqua"/>
          <w:b/>
          <w:bCs/>
        </w:rPr>
        <w:t xml:space="preserve"> PO</w:t>
      </w:r>
      <w:r w:rsidRPr="008E1879">
        <w:rPr>
          <w:rFonts w:ascii="Book Antiqua" w:hAnsi="Book Antiqua"/>
        </w:rPr>
        <w:t xml:space="preserve">, </w:t>
      </w:r>
      <w:proofErr w:type="spellStart"/>
      <w:r w:rsidRPr="008E1879">
        <w:rPr>
          <w:rFonts w:ascii="Book Antiqua" w:hAnsi="Book Antiqua"/>
        </w:rPr>
        <w:t>Willén</w:t>
      </w:r>
      <w:proofErr w:type="spellEnd"/>
      <w:r w:rsidRPr="008E1879">
        <w:rPr>
          <w:rFonts w:ascii="Book Antiqua" w:hAnsi="Book Antiqua"/>
        </w:rPr>
        <w:t xml:space="preserve"> R, </w:t>
      </w:r>
      <w:proofErr w:type="spellStart"/>
      <w:r w:rsidRPr="008E1879">
        <w:rPr>
          <w:rFonts w:ascii="Book Antiqua" w:hAnsi="Book Antiqua"/>
        </w:rPr>
        <w:t>Kilander</w:t>
      </w:r>
      <w:proofErr w:type="spellEnd"/>
      <w:r w:rsidRPr="008E1879">
        <w:rPr>
          <w:rFonts w:ascii="Book Antiqua" w:hAnsi="Book Antiqua"/>
        </w:rPr>
        <w:t xml:space="preserve"> AF.</w:t>
      </w:r>
      <w:proofErr w:type="gramEnd"/>
      <w:r w:rsidRPr="008E1879">
        <w:rPr>
          <w:rFonts w:ascii="Book Antiqua" w:hAnsi="Book Antiqua"/>
        </w:rPr>
        <w:t xml:space="preserve"> Watermelon stomach: not only an antral disease. </w:t>
      </w:r>
      <w:proofErr w:type="spellStart"/>
      <w:r w:rsidRPr="008E1879">
        <w:rPr>
          <w:rFonts w:ascii="Book Antiqua" w:hAnsi="Book Antiqua"/>
          <w:i/>
          <w:iCs/>
        </w:rPr>
        <w:t>Gastrointest</w:t>
      </w:r>
      <w:proofErr w:type="spellEnd"/>
      <w:r w:rsidRPr="008E1879">
        <w:rPr>
          <w:rFonts w:ascii="Book Antiqua" w:hAnsi="Book Antiqua"/>
          <w:i/>
          <w:iCs/>
        </w:rPr>
        <w:t xml:space="preserve"> </w:t>
      </w:r>
      <w:proofErr w:type="spellStart"/>
      <w:r w:rsidRPr="008E1879">
        <w:rPr>
          <w:rFonts w:ascii="Book Antiqua" w:hAnsi="Book Antiqua"/>
          <w:i/>
          <w:iCs/>
        </w:rPr>
        <w:t>Endosc</w:t>
      </w:r>
      <w:proofErr w:type="spellEnd"/>
      <w:r w:rsidRPr="008E1879">
        <w:rPr>
          <w:rFonts w:ascii="Book Antiqua" w:hAnsi="Book Antiqua"/>
        </w:rPr>
        <w:t> 2002; </w:t>
      </w:r>
      <w:r w:rsidRPr="008E1879">
        <w:rPr>
          <w:rFonts w:ascii="Book Antiqua" w:hAnsi="Book Antiqua"/>
          <w:b/>
          <w:bCs/>
        </w:rPr>
        <w:t>55</w:t>
      </w:r>
      <w:r w:rsidRPr="008E1879">
        <w:rPr>
          <w:rFonts w:ascii="Book Antiqua" w:hAnsi="Book Antiqua"/>
        </w:rPr>
        <w:t>: 897-900 [PMID: 12024147 DOI: 10.1067/mge.2002.124558]</w:t>
      </w:r>
    </w:p>
    <w:p w14:paraId="1B32AD96"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8E1879">
        <w:rPr>
          <w:rFonts w:ascii="Book Antiqua" w:hAnsi="Book Antiqua"/>
        </w:rPr>
        <w:lastRenderedPageBreak/>
        <w:t>4 </w:t>
      </w:r>
      <w:r w:rsidRPr="008E1879">
        <w:rPr>
          <w:rFonts w:ascii="Book Antiqua" w:hAnsi="Book Antiqua"/>
          <w:b/>
          <w:bCs/>
        </w:rPr>
        <w:t>Chatterjee S</w:t>
      </w:r>
      <w:r w:rsidRPr="008E1879">
        <w:rPr>
          <w:rFonts w:ascii="Book Antiqua" w:hAnsi="Book Antiqua"/>
        </w:rPr>
        <w:t>. Watermelon stomach.</w:t>
      </w:r>
      <w:proofErr w:type="gramEnd"/>
      <w:r w:rsidRPr="008E1879">
        <w:rPr>
          <w:rFonts w:ascii="Book Antiqua" w:hAnsi="Book Antiqua"/>
        </w:rPr>
        <w:t> </w:t>
      </w:r>
      <w:r w:rsidRPr="008E1879">
        <w:rPr>
          <w:rFonts w:ascii="Book Antiqua" w:hAnsi="Book Antiqua"/>
          <w:i/>
          <w:iCs/>
        </w:rPr>
        <w:t>CMAJ</w:t>
      </w:r>
      <w:r w:rsidRPr="008E1879">
        <w:rPr>
          <w:rFonts w:ascii="Book Antiqua" w:hAnsi="Book Antiqua"/>
        </w:rPr>
        <w:t> 2008; </w:t>
      </w:r>
      <w:r w:rsidRPr="008E1879">
        <w:rPr>
          <w:rFonts w:ascii="Book Antiqua" w:hAnsi="Book Antiqua"/>
          <w:b/>
          <w:bCs/>
        </w:rPr>
        <w:t>179</w:t>
      </w:r>
      <w:r w:rsidRPr="008E1879">
        <w:rPr>
          <w:rFonts w:ascii="Book Antiqua" w:hAnsi="Book Antiqua"/>
        </w:rPr>
        <w:t>: 162 [PMID: 18625989 DOI: 10.1503/cmaj.080461]</w:t>
      </w:r>
    </w:p>
    <w:p w14:paraId="023A0B65"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5 </w:t>
      </w:r>
      <w:r w:rsidRPr="008E1879">
        <w:rPr>
          <w:rFonts w:ascii="Book Antiqua" w:hAnsi="Book Antiqua"/>
          <w:b/>
          <w:bCs/>
        </w:rPr>
        <w:t>Ito M</w:t>
      </w:r>
      <w:r w:rsidRPr="008E1879">
        <w:rPr>
          <w:rFonts w:ascii="Book Antiqua" w:hAnsi="Book Antiqua"/>
        </w:rPr>
        <w:t xml:space="preserve">, Uchida Y, </w:t>
      </w:r>
      <w:proofErr w:type="spellStart"/>
      <w:r w:rsidRPr="008E1879">
        <w:rPr>
          <w:rFonts w:ascii="Book Antiqua" w:hAnsi="Book Antiqua"/>
        </w:rPr>
        <w:t>Kamano</w:t>
      </w:r>
      <w:proofErr w:type="spellEnd"/>
      <w:r w:rsidRPr="008E1879">
        <w:rPr>
          <w:rFonts w:ascii="Book Antiqua" w:hAnsi="Book Antiqua"/>
        </w:rPr>
        <w:t xml:space="preserve"> S, Kawabata H, </w:t>
      </w:r>
      <w:proofErr w:type="spellStart"/>
      <w:r w:rsidRPr="008E1879">
        <w:rPr>
          <w:rFonts w:ascii="Book Antiqua" w:hAnsi="Book Antiqua"/>
        </w:rPr>
        <w:t>Nishioka</w:t>
      </w:r>
      <w:proofErr w:type="spellEnd"/>
      <w:r w:rsidRPr="008E1879">
        <w:rPr>
          <w:rFonts w:ascii="Book Antiqua" w:hAnsi="Book Antiqua"/>
        </w:rPr>
        <w:t xml:space="preserve"> M. Clinical comparisons between two subsets of gastric antral vascular ectasia. </w:t>
      </w:r>
      <w:proofErr w:type="spellStart"/>
      <w:r w:rsidRPr="008E1879">
        <w:rPr>
          <w:rFonts w:ascii="Book Antiqua" w:hAnsi="Book Antiqua"/>
          <w:i/>
          <w:iCs/>
        </w:rPr>
        <w:t>Gastrointest</w:t>
      </w:r>
      <w:proofErr w:type="spellEnd"/>
      <w:r w:rsidRPr="008E1879">
        <w:rPr>
          <w:rFonts w:ascii="Book Antiqua" w:hAnsi="Book Antiqua"/>
          <w:i/>
          <w:iCs/>
        </w:rPr>
        <w:t xml:space="preserve"> </w:t>
      </w:r>
      <w:proofErr w:type="spellStart"/>
      <w:r w:rsidRPr="008E1879">
        <w:rPr>
          <w:rFonts w:ascii="Book Antiqua" w:hAnsi="Book Antiqua"/>
          <w:i/>
          <w:iCs/>
        </w:rPr>
        <w:t>Endosc</w:t>
      </w:r>
      <w:proofErr w:type="spellEnd"/>
      <w:r w:rsidRPr="008E1879">
        <w:rPr>
          <w:rFonts w:ascii="Book Antiqua" w:hAnsi="Book Antiqua"/>
        </w:rPr>
        <w:t> 2001; </w:t>
      </w:r>
      <w:r w:rsidRPr="008E1879">
        <w:rPr>
          <w:rFonts w:ascii="Book Antiqua" w:hAnsi="Book Antiqua"/>
          <w:b/>
          <w:bCs/>
        </w:rPr>
        <w:t>53</w:t>
      </w:r>
      <w:r w:rsidRPr="008E1879">
        <w:rPr>
          <w:rFonts w:ascii="Book Antiqua" w:hAnsi="Book Antiqua"/>
        </w:rPr>
        <w:t>: 764-770 [PMID: 11375585 DOI: 10.1067/mge.2001.113922]</w:t>
      </w:r>
    </w:p>
    <w:p w14:paraId="07D3C224"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6 </w:t>
      </w:r>
      <w:r w:rsidRPr="008E1879">
        <w:rPr>
          <w:rFonts w:ascii="Book Antiqua" w:hAnsi="Book Antiqua"/>
          <w:b/>
          <w:bCs/>
        </w:rPr>
        <w:t>Quintero E</w:t>
      </w:r>
      <w:r w:rsidRPr="008E1879">
        <w:rPr>
          <w:rFonts w:ascii="Book Antiqua" w:hAnsi="Book Antiqua"/>
        </w:rPr>
        <w:t xml:space="preserve">, Pique JM, </w:t>
      </w:r>
      <w:proofErr w:type="spellStart"/>
      <w:r w:rsidRPr="008E1879">
        <w:rPr>
          <w:rFonts w:ascii="Book Antiqua" w:hAnsi="Book Antiqua"/>
        </w:rPr>
        <w:t>Bombi</w:t>
      </w:r>
      <w:proofErr w:type="spellEnd"/>
      <w:r w:rsidRPr="008E1879">
        <w:rPr>
          <w:rFonts w:ascii="Book Antiqua" w:hAnsi="Book Antiqua"/>
        </w:rPr>
        <w:t xml:space="preserve"> JA, </w:t>
      </w:r>
      <w:proofErr w:type="spellStart"/>
      <w:r w:rsidRPr="008E1879">
        <w:rPr>
          <w:rFonts w:ascii="Book Antiqua" w:hAnsi="Book Antiqua"/>
        </w:rPr>
        <w:t>Bordas</w:t>
      </w:r>
      <w:proofErr w:type="spellEnd"/>
      <w:r w:rsidRPr="008E1879">
        <w:rPr>
          <w:rFonts w:ascii="Book Antiqua" w:hAnsi="Book Antiqua"/>
        </w:rPr>
        <w:t xml:space="preserve"> JM, </w:t>
      </w:r>
      <w:proofErr w:type="spellStart"/>
      <w:r w:rsidRPr="008E1879">
        <w:rPr>
          <w:rFonts w:ascii="Book Antiqua" w:hAnsi="Book Antiqua"/>
        </w:rPr>
        <w:t>Sentis</w:t>
      </w:r>
      <w:proofErr w:type="spellEnd"/>
      <w:r w:rsidRPr="008E1879">
        <w:rPr>
          <w:rFonts w:ascii="Book Antiqua" w:hAnsi="Book Antiqua"/>
        </w:rPr>
        <w:t xml:space="preserve"> J, Elena M, Bosch J, </w:t>
      </w:r>
      <w:proofErr w:type="spellStart"/>
      <w:r w:rsidRPr="008E1879">
        <w:rPr>
          <w:rFonts w:ascii="Book Antiqua" w:hAnsi="Book Antiqua"/>
        </w:rPr>
        <w:t>Rodes</w:t>
      </w:r>
      <w:proofErr w:type="spellEnd"/>
      <w:r w:rsidRPr="008E1879">
        <w:rPr>
          <w:rFonts w:ascii="Book Antiqua" w:hAnsi="Book Antiqua"/>
        </w:rPr>
        <w:t xml:space="preserve"> J. Gastric mucosal vascular ectasias causing bleeding in cirrhosis. A distinct entity associated with hypergastrinemia and low serum levels of pepsinogen I. </w:t>
      </w:r>
      <w:r w:rsidRPr="008E1879">
        <w:rPr>
          <w:rFonts w:ascii="Book Antiqua" w:hAnsi="Book Antiqua"/>
          <w:i/>
          <w:iCs/>
        </w:rPr>
        <w:t>Gastroenterology</w:t>
      </w:r>
      <w:r w:rsidRPr="008E1879">
        <w:rPr>
          <w:rFonts w:ascii="Book Antiqua" w:hAnsi="Book Antiqua"/>
        </w:rPr>
        <w:t> 1987; </w:t>
      </w:r>
      <w:r w:rsidRPr="008E1879">
        <w:rPr>
          <w:rFonts w:ascii="Book Antiqua" w:hAnsi="Book Antiqua"/>
          <w:b/>
          <w:bCs/>
        </w:rPr>
        <w:t>93</w:t>
      </w:r>
      <w:r w:rsidRPr="008E1879">
        <w:rPr>
          <w:rFonts w:ascii="Book Antiqua" w:hAnsi="Book Antiqua"/>
        </w:rPr>
        <w:t>: 1054-1061 [PMID: 3498659 DOI: 10.1016/0016-5085(87)90569-5]</w:t>
      </w:r>
    </w:p>
    <w:p w14:paraId="61CB8524"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8E1879">
        <w:rPr>
          <w:rFonts w:ascii="Book Antiqua" w:hAnsi="Book Antiqua"/>
        </w:rPr>
        <w:t>7 </w:t>
      </w:r>
      <w:r w:rsidRPr="008E1879">
        <w:rPr>
          <w:rFonts w:ascii="Book Antiqua" w:hAnsi="Book Antiqua"/>
          <w:b/>
          <w:bCs/>
        </w:rPr>
        <w:t>Lowes JR</w:t>
      </w:r>
      <w:r w:rsidRPr="008E1879">
        <w:rPr>
          <w:rFonts w:ascii="Book Antiqua" w:hAnsi="Book Antiqua"/>
        </w:rPr>
        <w:t>, Rode J. Neuroendocrine cell proliferations in gastric antral vascular ectasia.</w:t>
      </w:r>
      <w:proofErr w:type="gramEnd"/>
      <w:r w:rsidRPr="008E1879">
        <w:rPr>
          <w:rFonts w:ascii="Book Antiqua" w:hAnsi="Book Antiqua"/>
        </w:rPr>
        <w:t> </w:t>
      </w:r>
      <w:r w:rsidRPr="008E1879">
        <w:rPr>
          <w:rFonts w:ascii="Book Antiqua" w:hAnsi="Book Antiqua"/>
          <w:i/>
          <w:iCs/>
        </w:rPr>
        <w:t>Gastroenterology</w:t>
      </w:r>
      <w:r w:rsidRPr="008E1879">
        <w:rPr>
          <w:rFonts w:ascii="Book Antiqua" w:hAnsi="Book Antiqua"/>
        </w:rPr>
        <w:t> 1989; </w:t>
      </w:r>
      <w:r w:rsidRPr="008E1879">
        <w:rPr>
          <w:rFonts w:ascii="Book Antiqua" w:hAnsi="Book Antiqua"/>
          <w:b/>
          <w:bCs/>
        </w:rPr>
        <w:t>97</w:t>
      </w:r>
      <w:r w:rsidRPr="008E1879">
        <w:rPr>
          <w:rFonts w:ascii="Book Antiqua" w:hAnsi="Book Antiqua"/>
        </w:rPr>
        <w:t>: 207-212 [PMID: 2785944 DOI: 10.1016/0016-5085(89)91437-6]</w:t>
      </w:r>
    </w:p>
    <w:p w14:paraId="57BFB166"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8 </w:t>
      </w:r>
      <w:proofErr w:type="spellStart"/>
      <w:r w:rsidRPr="008E1879">
        <w:rPr>
          <w:rFonts w:ascii="Book Antiqua" w:hAnsi="Book Antiqua"/>
          <w:b/>
          <w:bCs/>
        </w:rPr>
        <w:t>Saperas</w:t>
      </w:r>
      <w:proofErr w:type="spellEnd"/>
      <w:r w:rsidRPr="008E1879">
        <w:rPr>
          <w:rFonts w:ascii="Book Antiqua" w:hAnsi="Book Antiqua"/>
          <w:b/>
          <w:bCs/>
        </w:rPr>
        <w:t xml:space="preserve"> E</w:t>
      </w:r>
      <w:r w:rsidRPr="008E1879">
        <w:rPr>
          <w:rFonts w:ascii="Book Antiqua" w:hAnsi="Book Antiqua"/>
        </w:rPr>
        <w:t xml:space="preserve">, Perez </w:t>
      </w:r>
      <w:proofErr w:type="spellStart"/>
      <w:r w:rsidRPr="008E1879">
        <w:rPr>
          <w:rFonts w:ascii="Book Antiqua" w:hAnsi="Book Antiqua"/>
        </w:rPr>
        <w:t>Ayuso</w:t>
      </w:r>
      <w:proofErr w:type="spellEnd"/>
      <w:r w:rsidRPr="008E1879">
        <w:rPr>
          <w:rFonts w:ascii="Book Antiqua" w:hAnsi="Book Antiqua"/>
        </w:rPr>
        <w:t xml:space="preserve"> RM, </w:t>
      </w:r>
      <w:proofErr w:type="spellStart"/>
      <w:r w:rsidRPr="008E1879">
        <w:rPr>
          <w:rFonts w:ascii="Book Antiqua" w:hAnsi="Book Antiqua"/>
        </w:rPr>
        <w:t>Poca</w:t>
      </w:r>
      <w:proofErr w:type="spellEnd"/>
      <w:r w:rsidRPr="008E1879">
        <w:rPr>
          <w:rFonts w:ascii="Book Antiqua" w:hAnsi="Book Antiqua"/>
        </w:rPr>
        <w:t xml:space="preserve"> E, </w:t>
      </w:r>
      <w:proofErr w:type="spellStart"/>
      <w:r w:rsidRPr="008E1879">
        <w:rPr>
          <w:rFonts w:ascii="Book Antiqua" w:hAnsi="Book Antiqua"/>
        </w:rPr>
        <w:t>Bordas</w:t>
      </w:r>
      <w:proofErr w:type="spellEnd"/>
      <w:r w:rsidRPr="008E1879">
        <w:rPr>
          <w:rFonts w:ascii="Book Antiqua" w:hAnsi="Book Antiqua"/>
        </w:rPr>
        <w:t xml:space="preserve"> JM, Gaya J, Pique JM. </w:t>
      </w:r>
      <w:proofErr w:type="gramStart"/>
      <w:r w:rsidRPr="008E1879">
        <w:rPr>
          <w:rFonts w:ascii="Book Antiqua" w:hAnsi="Book Antiqua"/>
        </w:rPr>
        <w:t>Increased gastric PGE2 biosynthesis in cirrhotic patients with gastric vascular ectasia.</w:t>
      </w:r>
      <w:proofErr w:type="gramEnd"/>
      <w:r w:rsidRPr="008E1879">
        <w:rPr>
          <w:rFonts w:ascii="Book Antiqua" w:hAnsi="Book Antiqua"/>
        </w:rPr>
        <w:t> </w:t>
      </w:r>
      <w:r w:rsidRPr="008E1879">
        <w:rPr>
          <w:rFonts w:ascii="Book Antiqua" w:hAnsi="Book Antiqua"/>
          <w:i/>
          <w:iCs/>
        </w:rPr>
        <w:t>Am J Gastroenterol</w:t>
      </w:r>
      <w:r w:rsidRPr="008E1879">
        <w:rPr>
          <w:rFonts w:ascii="Book Antiqua" w:hAnsi="Book Antiqua"/>
        </w:rPr>
        <w:t> 1990; </w:t>
      </w:r>
      <w:r w:rsidRPr="008E1879">
        <w:rPr>
          <w:rFonts w:ascii="Book Antiqua" w:hAnsi="Book Antiqua"/>
          <w:b/>
          <w:bCs/>
        </w:rPr>
        <w:t>85</w:t>
      </w:r>
      <w:r w:rsidRPr="008E1879">
        <w:rPr>
          <w:rFonts w:ascii="Book Antiqua" w:hAnsi="Book Antiqua"/>
        </w:rPr>
        <w:t>: 138-144 [</w:t>
      </w:r>
      <w:bookmarkStart w:id="23" w:name="OLE_LINK133"/>
      <w:bookmarkStart w:id="24" w:name="OLE_LINK134"/>
      <w:r w:rsidRPr="008E1879">
        <w:rPr>
          <w:rFonts w:ascii="Book Antiqua" w:hAnsi="Book Antiqua"/>
        </w:rPr>
        <w:t>PMID: 2301336</w:t>
      </w:r>
      <w:bookmarkEnd w:id="23"/>
      <w:bookmarkEnd w:id="24"/>
      <w:r w:rsidRPr="008E1879">
        <w:rPr>
          <w:rFonts w:ascii="Book Antiqua" w:hAnsi="Book Antiqua"/>
        </w:rPr>
        <w:t>]</w:t>
      </w:r>
    </w:p>
    <w:p w14:paraId="70058638"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9 </w:t>
      </w:r>
      <w:proofErr w:type="spellStart"/>
      <w:r w:rsidRPr="008E1879">
        <w:rPr>
          <w:rFonts w:ascii="Book Antiqua" w:hAnsi="Book Antiqua"/>
          <w:b/>
          <w:bCs/>
        </w:rPr>
        <w:t>Charneau</w:t>
      </w:r>
      <w:proofErr w:type="spellEnd"/>
      <w:r w:rsidRPr="008E1879">
        <w:rPr>
          <w:rFonts w:ascii="Book Antiqua" w:hAnsi="Book Antiqua"/>
          <w:b/>
          <w:bCs/>
        </w:rPr>
        <w:t xml:space="preserve"> J</w:t>
      </w:r>
      <w:r w:rsidRPr="008E1879">
        <w:rPr>
          <w:rFonts w:ascii="Book Antiqua" w:hAnsi="Book Antiqua"/>
        </w:rPr>
        <w:t xml:space="preserve">, Petit R, </w:t>
      </w:r>
      <w:proofErr w:type="spellStart"/>
      <w:r w:rsidRPr="008E1879">
        <w:rPr>
          <w:rFonts w:ascii="Book Antiqua" w:hAnsi="Book Antiqua"/>
        </w:rPr>
        <w:t>Calès</w:t>
      </w:r>
      <w:proofErr w:type="spellEnd"/>
      <w:r w:rsidRPr="008E1879">
        <w:rPr>
          <w:rFonts w:ascii="Book Antiqua" w:hAnsi="Book Antiqua"/>
        </w:rPr>
        <w:t xml:space="preserve"> P, </w:t>
      </w:r>
      <w:proofErr w:type="spellStart"/>
      <w:r w:rsidRPr="008E1879">
        <w:rPr>
          <w:rFonts w:ascii="Book Antiqua" w:hAnsi="Book Antiqua"/>
        </w:rPr>
        <w:t>Dauver</w:t>
      </w:r>
      <w:proofErr w:type="spellEnd"/>
      <w:r w:rsidRPr="008E1879">
        <w:rPr>
          <w:rFonts w:ascii="Book Antiqua" w:hAnsi="Book Antiqua"/>
        </w:rPr>
        <w:t xml:space="preserve"> A, Boyer J. Antral motility in patients with cirrhosis with or without gastric antral vascular ectasia. </w:t>
      </w:r>
      <w:r w:rsidRPr="008E1879">
        <w:rPr>
          <w:rFonts w:ascii="Book Antiqua" w:hAnsi="Book Antiqua"/>
          <w:i/>
          <w:iCs/>
        </w:rPr>
        <w:t>Gut</w:t>
      </w:r>
      <w:r w:rsidRPr="008E1879">
        <w:rPr>
          <w:rFonts w:ascii="Book Antiqua" w:hAnsi="Book Antiqua"/>
        </w:rPr>
        <w:t> 1995; </w:t>
      </w:r>
      <w:r w:rsidRPr="008E1879">
        <w:rPr>
          <w:rFonts w:ascii="Book Antiqua" w:hAnsi="Book Antiqua"/>
          <w:b/>
          <w:bCs/>
        </w:rPr>
        <w:t>37</w:t>
      </w:r>
      <w:r w:rsidRPr="008E1879">
        <w:rPr>
          <w:rFonts w:ascii="Book Antiqua" w:hAnsi="Book Antiqua"/>
        </w:rPr>
        <w:t>: 488-492 [PMID: 7489933 DOI: 10.1136/gut.37.4.488]</w:t>
      </w:r>
    </w:p>
    <w:p w14:paraId="1EFB0F54"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10 </w:t>
      </w:r>
      <w:r w:rsidRPr="008E1879">
        <w:rPr>
          <w:rFonts w:ascii="Book Antiqua" w:hAnsi="Book Antiqua"/>
          <w:b/>
          <w:bCs/>
        </w:rPr>
        <w:t>Hsu WH</w:t>
      </w:r>
      <w:r w:rsidRPr="008E1879">
        <w:rPr>
          <w:rFonts w:ascii="Book Antiqua" w:hAnsi="Book Antiqua"/>
        </w:rPr>
        <w:t xml:space="preserve">, Wang YK, Hsieh MS, </w:t>
      </w:r>
      <w:proofErr w:type="spellStart"/>
      <w:r w:rsidRPr="008E1879">
        <w:rPr>
          <w:rFonts w:ascii="Book Antiqua" w:hAnsi="Book Antiqua"/>
        </w:rPr>
        <w:t>Kuo</w:t>
      </w:r>
      <w:proofErr w:type="spellEnd"/>
      <w:r w:rsidRPr="008E1879">
        <w:rPr>
          <w:rFonts w:ascii="Book Antiqua" w:hAnsi="Book Antiqua"/>
        </w:rPr>
        <w:t xml:space="preserve"> FC, Wu MC, Shih HY, Wu IC, Yu FJ, Hu HM, Su YC, Wu DC. </w:t>
      </w:r>
      <w:proofErr w:type="gramStart"/>
      <w:r w:rsidRPr="008E1879">
        <w:rPr>
          <w:rFonts w:ascii="Book Antiqua" w:hAnsi="Book Antiqua"/>
        </w:rPr>
        <w:t>Insights into the management of gastric antral vascular ectasia (watermelon stomach).</w:t>
      </w:r>
      <w:proofErr w:type="gramEnd"/>
      <w:r w:rsidRPr="008E1879">
        <w:rPr>
          <w:rFonts w:ascii="Book Antiqua" w:hAnsi="Book Antiqua"/>
        </w:rPr>
        <w:t> </w:t>
      </w:r>
      <w:proofErr w:type="spellStart"/>
      <w:r w:rsidRPr="008E1879">
        <w:rPr>
          <w:rFonts w:ascii="Book Antiqua" w:hAnsi="Book Antiqua"/>
          <w:i/>
          <w:iCs/>
        </w:rPr>
        <w:t>Therap</w:t>
      </w:r>
      <w:proofErr w:type="spellEnd"/>
      <w:r w:rsidRPr="008E1879">
        <w:rPr>
          <w:rFonts w:ascii="Book Antiqua" w:hAnsi="Book Antiqua"/>
          <w:i/>
          <w:iCs/>
        </w:rPr>
        <w:t xml:space="preserve"> </w:t>
      </w:r>
      <w:proofErr w:type="spellStart"/>
      <w:r w:rsidRPr="008E1879">
        <w:rPr>
          <w:rFonts w:ascii="Book Antiqua" w:hAnsi="Book Antiqua"/>
          <w:i/>
          <w:iCs/>
        </w:rPr>
        <w:t>Adv</w:t>
      </w:r>
      <w:proofErr w:type="spellEnd"/>
      <w:r w:rsidRPr="008E1879">
        <w:rPr>
          <w:rFonts w:ascii="Book Antiqua" w:hAnsi="Book Antiqua"/>
          <w:i/>
          <w:iCs/>
        </w:rPr>
        <w:t xml:space="preserve"> </w:t>
      </w:r>
      <w:proofErr w:type="spellStart"/>
      <w:r w:rsidRPr="008E1879">
        <w:rPr>
          <w:rFonts w:ascii="Book Antiqua" w:hAnsi="Book Antiqua"/>
          <w:i/>
          <w:iCs/>
        </w:rPr>
        <w:t>Gastroenterol</w:t>
      </w:r>
      <w:proofErr w:type="spellEnd"/>
      <w:r w:rsidRPr="008E1879">
        <w:rPr>
          <w:rFonts w:ascii="Book Antiqua" w:hAnsi="Book Antiqua"/>
        </w:rPr>
        <w:t> 2018; </w:t>
      </w:r>
      <w:r w:rsidRPr="008E1879">
        <w:rPr>
          <w:rFonts w:ascii="Book Antiqua" w:hAnsi="Book Antiqua"/>
          <w:b/>
          <w:bCs/>
        </w:rPr>
        <w:t>11</w:t>
      </w:r>
      <w:r w:rsidRPr="008E1879">
        <w:rPr>
          <w:rFonts w:ascii="Book Antiqua" w:hAnsi="Book Antiqua"/>
        </w:rPr>
        <w:t>: 1756283X17747471 [PMID: 29399041 DOI: 10.1177/1756283X17747471]</w:t>
      </w:r>
    </w:p>
    <w:p w14:paraId="2087BC18"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8E1879">
        <w:rPr>
          <w:rFonts w:ascii="Book Antiqua" w:hAnsi="Book Antiqua"/>
        </w:rPr>
        <w:t>11 </w:t>
      </w:r>
      <w:proofErr w:type="spellStart"/>
      <w:r w:rsidRPr="008E1879">
        <w:rPr>
          <w:rFonts w:ascii="Book Antiqua" w:hAnsi="Book Antiqua"/>
          <w:b/>
          <w:bCs/>
        </w:rPr>
        <w:t>Prachayakul</w:t>
      </w:r>
      <w:proofErr w:type="spellEnd"/>
      <w:r w:rsidRPr="008E1879">
        <w:rPr>
          <w:rFonts w:ascii="Book Antiqua" w:hAnsi="Book Antiqua"/>
          <w:b/>
          <w:bCs/>
        </w:rPr>
        <w:t xml:space="preserve"> V</w:t>
      </w:r>
      <w:r w:rsidRPr="008E1879">
        <w:rPr>
          <w:rFonts w:ascii="Book Antiqua" w:hAnsi="Book Antiqua"/>
        </w:rPr>
        <w:t xml:space="preserve">, </w:t>
      </w:r>
      <w:proofErr w:type="spellStart"/>
      <w:r w:rsidRPr="008E1879">
        <w:rPr>
          <w:rFonts w:ascii="Book Antiqua" w:hAnsi="Book Antiqua"/>
        </w:rPr>
        <w:t>Aswakul</w:t>
      </w:r>
      <w:proofErr w:type="spellEnd"/>
      <w:r w:rsidRPr="008E1879">
        <w:rPr>
          <w:rFonts w:ascii="Book Antiqua" w:hAnsi="Book Antiqua"/>
        </w:rPr>
        <w:t xml:space="preserve"> P, </w:t>
      </w:r>
      <w:proofErr w:type="spellStart"/>
      <w:r w:rsidRPr="008E1879">
        <w:rPr>
          <w:rFonts w:ascii="Book Antiqua" w:hAnsi="Book Antiqua"/>
        </w:rPr>
        <w:t>Leelakusolvong</w:t>
      </w:r>
      <w:proofErr w:type="spellEnd"/>
      <w:r w:rsidRPr="008E1879">
        <w:rPr>
          <w:rFonts w:ascii="Book Antiqua" w:hAnsi="Book Antiqua"/>
        </w:rPr>
        <w:t xml:space="preserve"> S. Massive gastric antral vascular ectasia successfully treated by endoscopic band ligation as the initial therapy.</w:t>
      </w:r>
      <w:proofErr w:type="gramEnd"/>
      <w:r w:rsidRPr="008E1879">
        <w:rPr>
          <w:rFonts w:ascii="Book Antiqua" w:hAnsi="Book Antiqua"/>
        </w:rPr>
        <w:t> </w:t>
      </w:r>
      <w:r w:rsidRPr="008E1879">
        <w:rPr>
          <w:rFonts w:ascii="Book Antiqua" w:hAnsi="Book Antiqua"/>
          <w:i/>
          <w:iCs/>
        </w:rPr>
        <w:t xml:space="preserve">World J </w:t>
      </w:r>
      <w:proofErr w:type="spellStart"/>
      <w:r w:rsidRPr="008E1879">
        <w:rPr>
          <w:rFonts w:ascii="Book Antiqua" w:hAnsi="Book Antiqua"/>
          <w:i/>
          <w:iCs/>
        </w:rPr>
        <w:t>Gastrointest</w:t>
      </w:r>
      <w:proofErr w:type="spellEnd"/>
      <w:r w:rsidRPr="008E1879">
        <w:rPr>
          <w:rFonts w:ascii="Book Antiqua" w:hAnsi="Book Antiqua"/>
          <w:i/>
          <w:iCs/>
        </w:rPr>
        <w:t xml:space="preserve"> </w:t>
      </w:r>
      <w:proofErr w:type="spellStart"/>
      <w:r w:rsidRPr="008E1879">
        <w:rPr>
          <w:rFonts w:ascii="Book Antiqua" w:hAnsi="Book Antiqua"/>
          <w:i/>
          <w:iCs/>
        </w:rPr>
        <w:t>Endosc</w:t>
      </w:r>
      <w:proofErr w:type="spellEnd"/>
      <w:r w:rsidRPr="008E1879">
        <w:rPr>
          <w:rFonts w:ascii="Book Antiqua" w:hAnsi="Book Antiqua"/>
        </w:rPr>
        <w:t> 2013; </w:t>
      </w:r>
      <w:r w:rsidRPr="008E1879">
        <w:rPr>
          <w:rFonts w:ascii="Book Antiqua" w:hAnsi="Book Antiqua"/>
          <w:b/>
          <w:bCs/>
        </w:rPr>
        <w:t>5</w:t>
      </w:r>
      <w:r w:rsidRPr="008E1879">
        <w:rPr>
          <w:rFonts w:ascii="Book Antiqua" w:hAnsi="Book Antiqua"/>
        </w:rPr>
        <w:t>: 135-137 [PMID: 23515642 DOI: 10.4253/wjge.v5.i3.135]</w:t>
      </w:r>
    </w:p>
    <w:p w14:paraId="1247AF80"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12 </w:t>
      </w:r>
      <w:r w:rsidRPr="008E1879">
        <w:rPr>
          <w:rFonts w:ascii="Book Antiqua" w:hAnsi="Book Antiqua"/>
          <w:b/>
          <w:bCs/>
        </w:rPr>
        <w:t>Friedel D</w:t>
      </w:r>
      <w:r w:rsidRPr="008E1879">
        <w:rPr>
          <w:rFonts w:ascii="Book Antiqua" w:hAnsi="Book Antiqua"/>
        </w:rPr>
        <w:t xml:space="preserve">. Potential </w:t>
      </w:r>
      <w:proofErr w:type="gramStart"/>
      <w:r w:rsidRPr="008E1879">
        <w:rPr>
          <w:rFonts w:ascii="Book Antiqua" w:hAnsi="Book Antiqua"/>
        </w:rPr>
        <w:t>role</w:t>
      </w:r>
      <w:proofErr w:type="gramEnd"/>
      <w:r w:rsidRPr="008E1879">
        <w:rPr>
          <w:rFonts w:ascii="Book Antiqua" w:hAnsi="Book Antiqua"/>
        </w:rPr>
        <w:t xml:space="preserve"> of new technological innovations in nonvariceal hemorrhage. </w:t>
      </w:r>
      <w:r w:rsidRPr="008E1879">
        <w:rPr>
          <w:rFonts w:ascii="Book Antiqua" w:hAnsi="Book Antiqua"/>
          <w:i/>
          <w:iCs/>
        </w:rPr>
        <w:t xml:space="preserve">World J </w:t>
      </w:r>
      <w:proofErr w:type="spellStart"/>
      <w:r w:rsidRPr="008E1879">
        <w:rPr>
          <w:rFonts w:ascii="Book Antiqua" w:hAnsi="Book Antiqua"/>
          <w:i/>
          <w:iCs/>
        </w:rPr>
        <w:t>Gastrointest</w:t>
      </w:r>
      <w:proofErr w:type="spellEnd"/>
      <w:r w:rsidRPr="008E1879">
        <w:rPr>
          <w:rFonts w:ascii="Book Antiqua" w:hAnsi="Book Antiqua"/>
          <w:i/>
          <w:iCs/>
        </w:rPr>
        <w:t xml:space="preserve"> </w:t>
      </w:r>
      <w:proofErr w:type="spellStart"/>
      <w:r w:rsidRPr="008E1879">
        <w:rPr>
          <w:rFonts w:ascii="Book Antiqua" w:hAnsi="Book Antiqua"/>
          <w:i/>
          <w:iCs/>
        </w:rPr>
        <w:t>Endosc</w:t>
      </w:r>
      <w:proofErr w:type="spellEnd"/>
      <w:r w:rsidRPr="008E1879">
        <w:rPr>
          <w:rFonts w:ascii="Book Antiqua" w:hAnsi="Book Antiqua"/>
        </w:rPr>
        <w:t> 2019; </w:t>
      </w:r>
      <w:r w:rsidRPr="008E1879">
        <w:rPr>
          <w:rFonts w:ascii="Book Antiqua" w:hAnsi="Book Antiqua"/>
          <w:b/>
          <w:bCs/>
        </w:rPr>
        <w:t>11</w:t>
      </w:r>
      <w:r w:rsidRPr="008E1879">
        <w:rPr>
          <w:rFonts w:ascii="Book Antiqua" w:hAnsi="Book Antiqua"/>
        </w:rPr>
        <w:t>: 443-453 [</w:t>
      </w:r>
      <w:bookmarkStart w:id="25" w:name="OLE_LINK135"/>
      <w:bookmarkStart w:id="26" w:name="OLE_LINK136"/>
      <w:r w:rsidRPr="008E1879">
        <w:rPr>
          <w:rFonts w:ascii="Book Antiqua" w:hAnsi="Book Antiqua"/>
        </w:rPr>
        <w:t>PMID: 31523376</w:t>
      </w:r>
      <w:bookmarkEnd w:id="25"/>
      <w:bookmarkEnd w:id="26"/>
      <w:r w:rsidRPr="008E1879">
        <w:rPr>
          <w:rFonts w:ascii="Book Antiqua" w:hAnsi="Book Antiqua"/>
        </w:rPr>
        <w:t xml:space="preserve"> </w:t>
      </w:r>
      <w:r w:rsidR="004E619B" w:rsidRPr="004E619B">
        <w:rPr>
          <w:rFonts w:ascii="Book Antiqua" w:hAnsi="Book Antiqua"/>
        </w:rPr>
        <w:t>DOI: 10.4253/wjge.v11.i8.443</w:t>
      </w:r>
      <w:r w:rsidRPr="008E1879">
        <w:rPr>
          <w:rFonts w:ascii="Book Antiqua" w:hAnsi="Book Antiqua"/>
        </w:rPr>
        <w:t>]</w:t>
      </w:r>
    </w:p>
    <w:p w14:paraId="63247F9D"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lastRenderedPageBreak/>
        <w:t>13 </w:t>
      </w:r>
      <w:r w:rsidRPr="008E1879">
        <w:rPr>
          <w:rFonts w:ascii="Book Antiqua" w:hAnsi="Book Antiqua"/>
          <w:b/>
          <w:bCs/>
        </w:rPr>
        <w:t>Magee C</w:t>
      </w:r>
      <w:r w:rsidRPr="008E1879">
        <w:rPr>
          <w:rFonts w:ascii="Book Antiqua" w:hAnsi="Book Antiqua"/>
        </w:rPr>
        <w:t xml:space="preserve">, </w:t>
      </w:r>
      <w:proofErr w:type="spellStart"/>
      <w:r w:rsidRPr="008E1879">
        <w:rPr>
          <w:rFonts w:ascii="Book Antiqua" w:hAnsi="Book Antiqua"/>
        </w:rPr>
        <w:t>Lipman</w:t>
      </w:r>
      <w:proofErr w:type="spellEnd"/>
      <w:r w:rsidRPr="008E1879">
        <w:rPr>
          <w:rFonts w:ascii="Book Antiqua" w:hAnsi="Book Antiqua"/>
        </w:rPr>
        <w:t xml:space="preserve"> G, </w:t>
      </w:r>
      <w:proofErr w:type="spellStart"/>
      <w:r w:rsidRPr="008E1879">
        <w:rPr>
          <w:rFonts w:ascii="Book Antiqua" w:hAnsi="Book Antiqua"/>
        </w:rPr>
        <w:t>Alzoubaidi</w:t>
      </w:r>
      <w:proofErr w:type="spellEnd"/>
      <w:r w:rsidRPr="008E1879">
        <w:rPr>
          <w:rFonts w:ascii="Book Antiqua" w:hAnsi="Book Antiqua"/>
        </w:rPr>
        <w:t xml:space="preserve"> D, Everson M, </w:t>
      </w:r>
      <w:proofErr w:type="spellStart"/>
      <w:r w:rsidRPr="008E1879">
        <w:rPr>
          <w:rFonts w:ascii="Book Antiqua" w:hAnsi="Book Antiqua"/>
        </w:rPr>
        <w:t>Sweis</w:t>
      </w:r>
      <w:proofErr w:type="spellEnd"/>
      <w:r w:rsidRPr="008E1879">
        <w:rPr>
          <w:rFonts w:ascii="Book Antiqua" w:hAnsi="Book Antiqua"/>
        </w:rPr>
        <w:t xml:space="preserve"> R, Banks M, Graham D, Gordon C, Lovat L, Murray C, </w:t>
      </w:r>
      <w:proofErr w:type="spellStart"/>
      <w:r w:rsidRPr="008E1879">
        <w:rPr>
          <w:rFonts w:ascii="Book Antiqua" w:hAnsi="Book Antiqua"/>
        </w:rPr>
        <w:t>Haidry</w:t>
      </w:r>
      <w:proofErr w:type="spellEnd"/>
      <w:r w:rsidRPr="008E1879">
        <w:rPr>
          <w:rFonts w:ascii="Book Antiqua" w:hAnsi="Book Antiqua"/>
        </w:rPr>
        <w:t xml:space="preserve"> R. Radiofrequency ablation for patients with refractory symptomatic </w:t>
      </w:r>
      <w:proofErr w:type="spellStart"/>
      <w:r w:rsidRPr="008E1879">
        <w:rPr>
          <w:rFonts w:ascii="Book Antiqua" w:hAnsi="Book Antiqua"/>
        </w:rPr>
        <w:t>anaemia</w:t>
      </w:r>
      <w:proofErr w:type="spellEnd"/>
      <w:r w:rsidRPr="008E1879">
        <w:rPr>
          <w:rFonts w:ascii="Book Antiqua" w:hAnsi="Book Antiqua"/>
        </w:rPr>
        <w:t xml:space="preserve"> secondary to gastric antral vascular ectasia. </w:t>
      </w:r>
      <w:r w:rsidRPr="008E1879">
        <w:rPr>
          <w:rFonts w:ascii="Book Antiqua" w:hAnsi="Book Antiqua"/>
          <w:i/>
          <w:iCs/>
        </w:rPr>
        <w:t>United European Gastroenterol J</w:t>
      </w:r>
      <w:r w:rsidRPr="008E1879">
        <w:rPr>
          <w:rFonts w:ascii="Book Antiqua" w:hAnsi="Book Antiqua"/>
        </w:rPr>
        <w:t> 2019; </w:t>
      </w:r>
      <w:r w:rsidRPr="008E1879">
        <w:rPr>
          <w:rFonts w:ascii="Book Antiqua" w:hAnsi="Book Antiqua"/>
          <w:b/>
          <w:bCs/>
        </w:rPr>
        <w:t>7</w:t>
      </w:r>
      <w:r w:rsidRPr="008E1879">
        <w:rPr>
          <w:rFonts w:ascii="Book Antiqua" w:hAnsi="Book Antiqua"/>
        </w:rPr>
        <w:t>: 217-224 [PMID: 31080606 DOI: 10.1177/2050640618814659]</w:t>
      </w:r>
    </w:p>
    <w:p w14:paraId="0A409A22"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14 </w:t>
      </w:r>
      <w:proofErr w:type="spellStart"/>
      <w:r w:rsidRPr="008E1879">
        <w:rPr>
          <w:rFonts w:ascii="Book Antiqua" w:hAnsi="Book Antiqua"/>
          <w:b/>
          <w:bCs/>
        </w:rPr>
        <w:t>Fuccio</w:t>
      </w:r>
      <w:proofErr w:type="spellEnd"/>
      <w:r w:rsidRPr="008E1879">
        <w:rPr>
          <w:rFonts w:ascii="Book Antiqua" w:hAnsi="Book Antiqua"/>
          <w:b/>
          <w:bCs/>
        </w:rPr>
        <w:t xml:space="preserve"> L</w:t>
      </w:r>
      <w:r w:rsidRPr="008E1879">
        <w:rPr>
          <w:rFonts w:ascii="Book Antiqua" w:hAnsi="Book Antiqua"/>
        </w:rPr>
        <w:t xml:space="preserve">, </w:t>
      </w:r>
      <w:proofErr w:type="spellStart"/>
      <w:r w:rsidRPr="008E1879">
        <w:rPr>
          <w:rFonts w:ascii="Book Antiqua" w:hAnsi="Book Antiqua"/>
        </w:rPr>
        <w:t>Mussetto</w:t>
      </w:r>
      <w:proofErr w:type="spellEnd"/>
      <w:r w:rsidRPr="008E1879">
        <w:rPr>
          <w:rFonts w:ascii="Book Antiqua" w:hAnsi="Book Antiqua"/>
        </w:rPr>
        <w:t xml:space="preserve"> A, </w:t>
      </w:r>
      <w:proofErr w:type="spellStart"/>
      <w:r w:rsidRPr="008E1879">
        <w:rPr>
          <w:rFonts w:ascii="Book Antiqua" w:hAnsi="Book Antiqua"/>
        </w:rPr>
        <w:t>Laterza</w:t>
      </w:r>
      <w:proofErr w:type="spellEnd"/>
      <w:r w:rsidRPr="008E1879">
        <w:rPr>
          <w:rFonts w:ascii="Book Antiqua" w:hAnsi="Book Antiqua"/>
        </w:rPr>
        <w:t xml:space="preserve"> L, </w:t>
      </w:r>
      <w:proofErr w:type="spellStart"/>
      <w:r w:rsidRPr="008E1879">
        <w:rPr>
          <w:rFonts w:ascii="Book Antiqua" w:hAnsi="Book Antiqua"/>
        </w:rPr>
        <w:t>Eusebi</w:t>
      </w:r>
      <w:proofErr w:type="spellEnd"/>
      <w:r w:rsidRPr="008E1879">
        <w:rPr>
          <w:rFonts w:ascii="Book Antiqua" w:hAnsi="Book Antiqua"/>
        </w:rPr>
        <w:t xml:space="preserve"> LH, </w:t>
      </w:r>
      <w:proofErr w:type="spellStart"/>
      <w:r w:rsidRPr="008E1879">
        <w:rPr>
          <w:rFonts w:ascii="Book Antiqua" w:hAnsi="Book Antiqua"/>
        </w:rPr>
        <w:t>Bazzoli</w:t>
      </w:r>
      <w:proofErr w:type="spellEnd"/>
      <w:r w:rsidRPr="008E1879">
        <w:rPr>
          <w:rFonts w:ascii="Book Antiqua" w:hAnsi="Book Antiqua"/>
        </w:rPr>
        <w:t xml:space="preserve"> F. Diagnosis and management of gastric antral vascular ectasia. </w:t>
      </w:r>
      <w:r w:rsidRPr="008E1879">
        <w:rPr>
          <w:rFonts w:ascii="Book Antiqua" w:hAnsi="Book Antiqua"/>
          <w:i/>
          <w:iCs/>
        </w:rPr>
        <w:t xml:space="preserve">World J </w:t>
      </w:r>
      <w:proofErr w:type="spellStart"/>
      <w:r w:rsidRPr="008E1879">
        <w:rPr>
          <w:rFonts w:ascii="Book Antiqua" w:hAnsi="Book Antiqua"/>
          <w:i/>
          <w:iCs/>
        </w:rPr>
        <w:t>Gastrointest</w:t>
      </w:r>
      <w:proofErr w:type="spellEnd"/>
      <w:r w:rsidRPr="008E1879">
        <w:rPr>
          <w:rFonts w:ascii="Book Antiqua" w:hAnsi="Book Antiqua"/>
          <w:i/>
          <w:iCs/>
        </w:rPr>
        <w:t xml:space="preserve"> </w:t>
      </w:r>
      <w:proofErr w:type="spellStart"/>
      <w:r w:rsidRPr="008E1879">
        <w:rPr>
          <w:rFonts w:ascii="Book Antiqua" w:hAnsi="Book Antiqua"/>
          <w:i/>
          <w:iCs/>
        </w:rPr>
        <w:t>Endosc</w:t>
      </w:r>
      <w:proofErr w:type="spellEnd"/>
      <w:r w:rsidRPr="008E1879">
        <w:rPr>
          <w:rFonts w:ascii="Book Antiqua" w:hAnsi="Book Antiqua"/>
        </w:rPr>
        <w:t> 2013; </w:t>
      </w:r>
      <w:r w:rsidRPr="008E1879">
        <w:rPr>
          <w:rFonts w:ascii="Book Antiqua" w:hAnsi="Book Antiqua"/>
          <w:b/>
          <w:bCs/>
        </w:rPr>
        <w:t>5</w:t>
      </w:r>
      <w:r w:rsidRPr="008E1879">
        <w:rPr>
          <w:rFonts w:ascii="Book Antiqua" w:hAnsi="Book Antiqua"/>
        </w:rPr>
        <w:t>: 6-13 [PMID: 23330048 DOI: 10.4253/wjge.v5.i1.6]</w:t>
      </w:r>
    </w:p>
    <w:p w14:paraId="6B65B3A2"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15 </w:t>
      </w:r>
      <w:r w:rsidRPr="008E1879">
        <w:rPr>
          <w:rFonts w:ascii="Book Antiqua" w:hAnsi="Book Antiqua"/>
          <w:b/>
          <w:bCs/>
        </w:rPr>
        <w:t>Chiu YC</w:t>
      </w:r>
      <w:r w:rsidRPr="008E1879">
        <w:rPr>
          <w:rFonts w:ascii="Book Antiqua" w:hAnsi="Book Antiqua"/>
        </w:rPr>
        <w:t xml:space="preserve">, Lu LS, Wu KL, Tam W, Hu ML, Tai WC, Chiu KW, </w:t>
      </w:r>
      <w:proofErr w:type="spellStart"/>
      <w:r w:rsidRPr="008E1879">
        <w:rPr>
          <w:rFonts w:ascii="Book Antiqua" w:hAnsi="Book Antiqua"/>
        </w:rPr>
        <w:t>Chuah</w:t>
      </w:r>
      <w:proofErr w:type="spellEnd"/>
      <w:r w:rsidRPr="008E1879">
        <w:rPr>
          <w:rFonts w:ascii="Book Antiqua" w:hAnsi="Book Antiqua"/>
        </w:rPr>
        <w:t xml:space="preserve"> SK. Comparison of argon plasma coagulation in management of upper gastrointestinal angiodysplasia and gastric antral vascular ectasia hemorrhage. </w:t>
      </w:r>
      <w:r w:rsidRPr="008E1879">
        <w:rPr>
          <w:rFonts w:ascii="Book Antiqua" w:hAnsi="Book Antiqua"/>
          <w:i/>
          <w:iCs/>
        </w:rPr>
        <w:t>BMC Gastroenterol</w:t>
      </w:r>
      <w:r w:rsidRPr="008E1879">
        <w:rPr>
          <w:rFonts w:ascii="Book Antiqua" w:hAnsi="Book Antiqua"/>
        </w:rPr>
        <w:t> 2012; </w:t>
      </w:r>
      <w:r w:rsidRPr="008E1879">
        <w:rPr>
          <w:rFonts w:ascii="Book Antiqua" w:hAnsi="Book Antiqua"/>
          <w:b/>
          <w:bCs/>
        </w:rPr>
        <w:t>12</w:t>
      </w:r>
      <w:r w:rsidRPr="008E1879">
        <w:rPr>
          <w:rFonts w:ascii="Book Antiqua" w:hAnsi="Book Antiqua"/>
        </w:rPr>
        <w:t>: 67 [PMID: 22681987 DOI: 10.1186/1471-230X-12-67]</w:t>
      </w:r>
    </w:p>
    <w:p w14:paraId="37A95147"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16 </w:t>
      </w:r>
      <w:proofErr w:type="spellStart"/>
      <w:r w:rsidRPr="008E1879">
        <w:rPr>
          <w:rFonts w:ascii="Book Antiqua" w:hAnsi="Book Antiqua"/>
          <w:b/>
          <w:bCs/>
        </w:rPr>
        <w:t>Allamneni</w:t>
      </w:r>
      <w:proofErr w:type="spellEnd"/>
      <w:r w:rsidRPr="008E1879">
        <w:rPr>
          <w:rFonts w:ascii="Book Antiqua" w:hAnsi="Book Antiqua"/>
          <w:b/>
          <w:bCs/>
        </w:rPr>
        <w:t xml:space="preserve"> C</w:t>
      </w:r>
      <w:r w:rsidRPr="008E1879">
        <w:rPr>
          <w:rFonts w:ascii="Book Antiqua" w:hAnsi="Book Antiqua"/>
        </w:rPr>
        <w:t xml:space="preserve">, </w:t>
      </w:r>
      <w:proofErr w:type="spellStart"/>
      <w:r w:rsidRPr="008E1879">
        <w:rPr>
          <w:rFonts w:ascii="Book Antiqua" w:hAnsi="Book Antiqua"/>
        </w:rPr>
        <w:t>Alkurdi</w:t>
      </w:r>
      <w:proofErr w:type="spellEnd"/>
      <w:r w:rsidRPr="008E1879">
        <w:rPr>
          <w:rFonts w:ascii="Book Antiqua" w:hAnsi="Book Antiqua"/>
        </w:rPr>
        <w:t xml:space="preserve"> B, </w:t>
      </w:r>
      <w:proofErr w:type="spellStart"/>
      <w:r w:rsidRPr="008E1879">
        <w:rPr>
          <w:rFonts w:ascii="Book Antiqua" w:hAnsi="Book Antiqua"/>
        </w:rPr>
        <w:t>Naseemuddin</w:t>
      </w:r>
      <w:proofErr w:type="spellEnd"/>
      <w:r w:rsidRPr="008E1879">
        <w:rPr>
          <w:rFonts w:ascii="Book Antiqua" w:hAnsi="Book Antiqua"/>
        </w:rPr>
        <w:t xml:space="preserve"> R, McGuire BM, </w:t>
      </w:r>
      <w:proofErr w:type="spellStart"/>
      <w:r w:rsidRPr="008E1879">
        <w:rPr>
          <w:rFonts w:ascii="Book Antiqua" w:hAnsi="Book Antiqua"/>
        </w:rPr>
        <w:t>Shoreibah</w:t>
      </w:r>
      <w:proofErr w:type="spellEnd"/>
      <w:r w:rsidRPr="008E1879">
        <w:rPr>
          <w:rFonts w:ascii="Book Antiqua" w:hAnsi="Book Antiqua"/>
        </w:rPr>
        <w:t xml:space="preserve"> MG, </w:t>
      </w:r>
      <w:proofErr w:type="spellStart"/>
      <w:r w:rsidRPr="008E1879">
        <w:rPr>
          <w:rFonts w:ascii="Book Antiqua" w:hAnsi="Book Antiqua"/>
        </w:rPr>
        <w:t>Eckhoff</w:t>
      </w:r>
      <w:proofErr w:type="spellEnd"/>
      <w:r w:rsidRPr="008E1879">
        <w:rPr>
          <w:rFonts w:ascii="Book Antiqua" w:hAnsi="Book Antiqua"/>
        </w:rPr>
        <w:t xml:space="preserve"> DE, Peter S. Orthotopic liver transplantation changes the course of gastric antral vascular ectasia: a case series from a transplant center. </w:t>
      </w:r>
      <w:r w:rsidRPr="008E1879">
        <w:rPr>
          <w:rFonts w:ascii="Book Antiqua" w:hAnsi="Book Antiqua"/>
          <w:i/>
          <w:iCs/>
        </w:rPr>
        <w:t>Eur J Gastroenterol Hepatol</w:t>
      </w:r>
      <w:r w:rsidRPr="008E1879">
        <w:rPr>
          <w:rFonts w:ascii="Book Antiqua" w:hAnsi="Book Antiqua"/>
        </w:rPr>
        <w:t> 2017; </w:t>
      </w:r>
      <w:r w:rsidRPr="008E1879">
        <w:rPr>
          <w:rFonts w:ascii="Book Antiqua" w:hAnsi="Book Antiqua"/>
          <w:b/>
          <w:bCs/>
        </w:rPr>
        <w:t>29</w:t>
      </w:r>
      <w:r w:rsidRPr="008E1879">
        <w:rPr>
          <w:rFonts w:ascii="Book Antiqua" w:hAnsi="Book Antiqua"/>
        </w:rPr>
        <w:t>: 973-976 [PMID: 28520574 DOI: 10.1097/MEG.0000000000000908]</w:t>
      </w:r>
    </w:p>
    <w:p w14:paraId="759FDB58"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17 </w:t>
      </w:r>
      <w:r w:rsidRPr="008E1879">
        <w:rPr>
          <w:rFonts w:ascii="Book Antiqua" w:hAnsi="Book Antiqua"/>
          <w:b/>
          <w:bCs/>
        </w:rPr>
        <w:t>Vincent C</w:t>
      </w:r>
      <w:r w:rsidRPr="008E1879">
        <w:rPr>
          <w:rFonts w:ascii="Book Antiqua" w:hAnsi="Book Antiqua"/>
        </w:rPr>
        <w:t xml:space="preserve">, </w:t>
      </w:r>
      <w:proofErr w:type="spellStart"/>
      <w:r w:rsidRPr="008E1879">
        <w:rPr>
          <w:rFonts w:ascii="Book Antiqua" w:hAnsi="Book Antiqua"/>
        </w:rPr>
        <w:t>Pomier-Layrargues</w:t>
      </w:r>
      <w:proofErr w:type="spellEnd"/>
      <w:r w:rsidRPr="008E1879">
        <w:rPr>
          <w:rFonts w:ascii="Book Antiqua" w:hAnsi="Book Antiqua"/>
        </w:rPr>
        <w:t xml:space="preserve"> G, </w:t>
      </w:r>
      <w:proofErr w:type="spellStart"/>
      <w:r w:rsidRPr="008E1879">
        <w:rPr>
          <w:rFonts w:ascii="Book Antiqua" w:hAnsi="Book Antiqua"/>
        </w:rPr>
        <w:t>Dagenais</w:t>
      </w:r>
      <w:proofErr w:type="spellEnd"/>
      <w:r w:rsidRPr="008E1879">
        <w:rPr>
          <w:rFonts w:ascii="Book Antiqua" w:hAnsi="Book Antiqua"/>
        </w:rPr>
        <w:t xml:space="preserve"> M, </w:t>
      </w:r>
      <w:proofErr w:type="spellStart"/>
      <w:r w:rsidRPr="008E1879">
        <w:rPr>
          <w:rFonts w:ascii="Book Antiqua" w:hAnsi="Book Antiqua"/>
        </w:rPr>
        <w:t>Lapointe</w:t>
      </w:r>
      <w:proofErr w:type="spellEnd"/>
      <w:r w:rsidRPr="008E1879">
        <w:rPr>
          <w:rFonts w:ascii="Book Antiqua" w:hAnsi="Book Antiqua"/>
        </w:rPr>
        <w:t xml:space="preserve"> R, </w:t>
      </w:r>
      <w:proofErr w:type="spellStart"/>
      <w:r w:rsidRPr="008E1879">
        <w:rPr>
          <w:rFonts w:ascii="Book Antiqua" w:hAnsi="Book Antiqua"/>
        </w:rPr>
        <w:t>Létourneau</w:t>
      </w:r>
      <w:proofErr w:type="spellEnd"/>
      <w:r w:rsidRPr="008E1879">
        <w:rPr>
          <w:rFonts w:ascii="Book Antiqua" w:hAnsi="Book Antiqua"/>
        </w:rPr>
        <w:t xml:space="preserve"> R, Roy A, </w:t>
      </w:r>
      <w:proofErr w:type="spellStart"/>
      <w:r w:rsidRPr="008E1879">
        <w:rPr>
          <w:rFonts w:ascii="Book Antiqua" w:hAnsi="Book Antiqua"/>
        </w:rPr>
        <w:t>Paré</w:t>
      </w:r>
      <w:proofErr w:type="spellEnd"/>
      <w:r w:rsidRPr="008E1879">
        <w:rPr>
          <w:rFonts w:ascii="Book Antiqua" w:hAnsi="Book Antiqua"/>
        </w:rPr>
        <w:t xml:space="preserve"> P, </w:t>
      </w:r>
      <w:proofErr w:type="spellStart"/>
      <w:r w:rsidRPr="008E1879">
        <w:rPr>
          <w:rFonts w:ascii="Book Antiqua" w:hAnsi="Book Antiqua"/>
        </w:rPr>
        <w:t>Huet</w:t>
      </w:r>
      <w:proofErr w:type="spellEnd"/>
      <w:r w:rsidRPr="008E1879">
        <w:rPr>
          <w:rFonts w:ascii="Book Antiqua" w:hAnsi="Book Antiqua"/>
        </w:rPr>
        <w:t xml:space="preserve"> PM. Cure of gastric antral vascular ectasia by liver transplantation despite persistent portal hypertension: a clue for pathogenesis. </w:t>
      </w:r>
      <w:r w:rsidRPr="008E1879">
        <w:rPr>
          <w:rFonts w:ascii="Book Antiqua" w:hAnsi="Book Antiqua"/>
          <w:i/>
          <w:iCs/>
        </w:rPr>
        <w:t xml:space="preserve">Liver </w:t>
      </w:r>
      <w:proofErr w:type="spellStart"/>
      <w:r w:rsidRPr="008E1879">
        <w:rPr>
          <w:rFonts w:ascii="Book Antiqua" w:hAnsi="Book Antiqua"/>
          <w:i/>
          <w:iCs/>
        </w:rPr>
        <w:t>Transpl</w:t>
      </w:r>
      <w:proofErr w:type="spellEnd"/>
      <w:r w:rsidRPr="008E1879">
        <w:rPr>
          <w:rFonts w:ascii="Book Antiqua" w:hAnsi="Book Antiqua"/>
        </w:rPr>
        <w:t> 2002; </w:t>
      </w:r>
      <w:r w:rsidRPr="008E1879">
        <w:rPr>
          <w:rFonts w:ascii="Book Antiqua" w:hAnsi="Book Antiqua"/>
          <w:b/>
          <w:bCs/>
        </w:rPr>
        <w:t>8</w:t>
      </w:r>
      <w:r w:rsidRPr="008E1879">
        <w:rPr>
          <w:rFonts w:ascii="Book Antiqua" w:hAnsi="Book Antiqua"/>
        </w:rPr>
        <w:t>: 717-720 [PMID: 12149766 DOI: 10.1053/jlts.2002.34382]</w:t>
      </w:r>
    </w:p>
    <w:p w14:paraId="10AEB4E9"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18 </w:t>
      </w:r>
      <w:proofErr w:type="spellStart"/>
      <w:r w:rsidRPr="008E1879">
        <w:rPr>
          <w:rFonts w:ascii="Book Antiqua" w:hAnsi="Book Antiqua"/>
          <w:b/>
          <w:bCs/>
        </w:rPr>
        <w:t>Novitsky</w:t>
      </w:r>
      <w:proofErr w:type="spellEnd"/>
      <w:r w:rsidRPr="008E1879">
        <w:rPr>
          <w:rFonts w:ascii="Book Antiqua" w:hAnsi="Book Antiqua"/>
          <w:b/>
          <w:bCs/>
        </w:rPr>
        <w:t xml:space="preserve"> YW</w:t>
      </w:r>
      <w:r w:rsidRPr="008E1879">
        <w:rPr>
          <w:rFonts w:ascii="Book Antiqua" w:hAnsi="Book Antiqua"/>
        </w:rPr>
        <w:t xml:space="preserve">, </w:t>
      </w:r>
      <w:proofErr w:type="spellStart"/>
      <w:r w:rsidRPr="008E1879">
        <w:rPr>
          <w:rFonts w:ascii="Book Antiqua" w:hAnsi="Book Antiqua"/>
        </w:rPr>
        <w:t>Kercher</w:t>
      </w:r>
      <w:proofErr w:type="spellEnd"/>
      <w:r w:rsidRPr="008E1879">
        <w:rPr>
          <w:rFonts w:ascii="Book Antiqua" w:hAnsi="Book Antiqua"/>
        </w:rPr>
        <w:t xml:space="preserve"> KW, </w:t>
      </w:r>
      <w:proofErr w:type="spellStart"/>
      <w:r w:rsidRPr="008E1879">
        <w:rPr>
          <w:rFonts w:ascii="Book Antiqua" w:hAnsi="Book Antiqua"/>
        </w:rPr>
        <w:t>Czerniach</w:t>
      </w:r>
      <w:proofErr w:type="spellEnd"/>
      <w:r w:rsidRPr="008E1879">
        <w:rPr>
          <w:rFonts w:ascii="Book Antiqua" w:hAnsi="Book Antiqua"/>
        </w:rPr>
        <w:t xml:space="preserve"> DR, </w:t>
      </w:r>
      <w:proofErr w:type="spellStart"/>
      <w:r w:rsidRPr="008E1879">
        <w:rPr>
          <w:rFonts w:ascii="Book Antiqua" w:hAnsi="Book Antiqua"/>
        </w:rPr>
        <w:t>Litwin</w:t>
      </w:r>
      <w:proofErr w:type="spellEnd"/>
      <w:r w:rsidRPr="008E1879">
        <w:rPr>
          <w:rFonts w:ascii="Book Antiqua" w:hAnsi="Book Antiqua"/>
        </w:rPr>
        <w:t xml:space="preserve"> DE. Watermelon stomach: pathophysiology, diagnosis, and management. </w:t>
      </w:r>
      <w:r w:rsidRPr="008E1879">
        <w:rPr>
          <w:rFonts w:ascii="Book Antiqua" w:hAnsi="Book Antiqua"/>
          <w:i/>
          <w:iCs/>
        </w:rPr>
        <w:t xml:space="preserve">J </w:t>
      </w:r>
      <w:proofErr w:type="spellStart"/>
      <w:r w:rsidRPr="008E1879">
        <w:rPr>
          <w:rFonts w:ascii="Book Antiqua" w:hAnsi="Book Antiqua"/>
          <w:i/>
          <w:iCs/>
        </w:rPr>
        <w:t>Gastrointest</w:t>
      </w:r>
      <w:proofErr w:type="spellEnd"/>
      <w:r w:rsidRPr="008E1879">
        <w:rPr>
          <w:rFonts w:ascii="Book Antiqua" w:hAnsi="Book Antiqua"/>
          <w:i/>
          <w:iCs/>
        </w:rPr>
        <w:t xml:space="preserve"> </w:t>
      </w:r>
      <w:proofErr w:type="spellStart"/>
      <w:r w:rsidRPr="008E1879">
        <w:rPr>
          <w:rFonts w:ascii="Book Antiqua" w:hAnsi="Book Antiqua"/>
          <w:i/>
          <w:iCs/>
        </w:rPr>
        <w:t>Surg</w:t>
      </w:r>
      <w:proofErr w:type="spellEnd"/>
      <w:r w:rsidRPr="008E1879">
        <w:rPr>
          <w:rFonts w:ascii="Book Antiqua" w:hAnsi="Book Antiqua"/>
        </w:rPr>
        <w:t> 2003; </w:t>
      </w:r>
      <w:r w:rsidRPr="008E1879">
        <w:rPr>
          <w:rFonts w:ascii="Book Antiqua" w:hAnsi="Book Antiqua"/>
          <w:b/>
          <w:bCs/>
        </w:rPr>
        <w:t>7</w:t>
      </w:r>
      <w:r w:rsidRPr="008E1879">
        <w:rPr>
          <w:rFonts w:ascii="Book Antiqua" w:hAnsi="Book Antiqua"/>
        </w:rPr>
        <w:t>: 652-661 [PMID: 12850679 DOI: 10.1016/S1091-</w:t>
      </w:r>
      <w:proofErr w:type="gramStart"/>
      <w:r w:rsidRPr="008E1879">
        <w:rPr>
          <w:rFonts w:ascii="Book Antiqua" w:hAnsi="Book Antiqua"/>
        </w:rPr>
        <w:t>255X(</w:t>
      </w:r>
      <w:proofErr w:type="gramEnd"/>
      <w:r w:rsidRPr="008E1879">
        <w:rPr>
          <w:rFonts w:ascii="Book Antiqua" w:hAnsi="Book Antiqua"/>
        </w:rPr>
        <w:t>02)00435-3]</w:t>
      </w:r>
    </w:p>
    <w:p w14:paraId="195EFE87"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19 </w:t>
      </w:r>
      <w:proofErr w:type="spellStart"/>
      <w:r w:rsidRPr="008E1879">
        <w:rPr>
          <w:rFonts w:ascii="Book Antiqua" w:hAnsi="Book Antiqua"/>
          <w:b/>
          <w:bCs/>
        </w:rPr>
        <w:t>Payen</w:t>
      </w:r>
      <w:proofErr w:type="spellEnd"/>
      <w:r w:rsidRPr="008E1879">
        <w:rPr>
          <w:rFonts w:ascii="Book Antiqua" w:hAnsi="Book Antiqua"/>
          <w:b/>
          <w:bCs/>
        </w:rPr>
        <w:t xml:space="preserve"> JL</w:t>
      </w:r>
      <w:r w:rsidRPr="008E1879">
        <w:rPr>
          <w:rFonts w:ascii="Book Antiqua" w:hAnsi="Book Antiqua"/>
        </w:rPr>
        <w:t xml:space="preserve">, </w:t>
      </w:r>
      <w:proofErr w:type="spellStart"/>
      <w:r w:rsidRPr="008E1879">
        <w:rPr>
          <w:rFonts w:ascii="Book Antiqua" w:hAnsi="Book Antiqua"/>
        </w:rPr>
        <w:t>Calès</w:t>
      </w:r>
      <w:proofErr w:type="spellEnd"/>
      <w:r w:rsidRPr="008E1879">
        <w:rPr>
          <w:rFonts w:ascii="Book Antiqua" w:hAnsi="Book Antiqua"/>
        </w:rPr>
        <w:t xml:space="preserve"> P, Voigt JJ, </w:t>
      </w:r>
      <w:proofErr w:type="spellStart"/>
      <w:r w:rsidRPr="008E1879">
        <w:rPr>
          <w:rFonts w:ascii="Book Antiqua" w:hAnsi="Book Antiqua"/>
        </w:rPr>
        <w:t>Barbe</w:t>
      </w:r>
      <w:proofErr w:type="spellEnd"/>
      <w:r w:rsidRPr="008E1879">
        <w:rPr>
          <w:rFonts w:ascii="Book Antiqua" w:hAnsi="Book Antiqua"/>
        </w:rPr>
        <w:t xml:space="preserve"> S, </w:t>
      </w:r>
      <w:proofErr w:type="spellStart"/>
      <w:r w:rsidRPr="008E1879">
        <w:rPr>
          <w:rFonts w:ascii="Book Antiqua" w:hAnsi="Book Antiqua"/>
        </w:rPr>
        <w:t>Pilette</w:t>
      </w:r>
      <w:proofErr w:type="spellEnd"/>
      <w:r w:rsidRPr="008E1879">
        <w:rPr>
          <w:rFonts w:ascii="Book Antiqua" w:hAnsi="Book Antiqua"/>
        </w:rPr>
        <w:t xml:space="preserve"> C, </w:t>
      </w:r>
      <w:proofErr w:type="spellStart"/>
      <w:r w:rsidRPr="008E1879">
        <w:rPr>
          <w:rFonts w:ascii="Book Antiqua" w:hAnsi="Book Antiqua"/>
        </w:rPr>
        <w:t>Dubuisson</w:t>
      </w:r>
      <w:proofErr w:type="spellEnd"/>
      <w:r w:rsidRPr="008E1879">
        <w:rPr>
          <w:rFonts w:ascii="Book Antiqua" w:hAnsi="Book Antiqua"/>
        </w:rPr>
        <w:t xml:space="preserve"> L, </w:t>
      </w:r>
      <w:proofErr w:type="spellStart"/>
      <w:r w:rsidRPr="008E1879">
        <w:rPr>
          <w:rFonts w:ascii="Book Antiqua" w:hAnsi="Book Antiqua"/>
        </w:rPr>
        <w:t>Desmorat</w:t>
      </w:r>
      <w:proofErr w:type="spellEnd"/>
      <w:r w:rsidRPr="008E1879">
        <w:rPr>
          <w:rFonts w:ascii="Book Antiqua" w:hAnsi="Book Antiqua"/>
        </w:rPr>
        <w:t xml:space="preserve"> H, </w:t>
      </w:r>
      <w:proofErr w:type="spellStart"/>
      <w:r w:rsidRPr="008E1879">
        <w:rPr>
          <w:rFonts w:ascii="Book Antiqua" w:hAnsi="Book Antiqua"/>
        </w:rPr>
        <w:t>Vinel</w:t>
      </w:r>
      <w:proofErr w:type="spellEnd"/>
      <w:r w:rsidRPr="008E1879">
        <w:rPr>
          <w:rFonts w:ascii="Book Antiqua" w:hAnsi="Book Antiqua"/>
        </w:rPr>
        <w:t xml:space="preserve"> JP, </w:t>
      </w:r>
      <w:proofErr w:type="spellStart"/>
      <w:r w:rsidRPr="008E1879">
        <w:rPr>
          <w:rFonts w:ascii="Book Antiqua" w:hAnsi="Book Antiqua"/>
        </w:rPr>
        <w:t>Kervran</w:t>
      </w:r>
      <w:proofErr w:type="spellEnd"/>
      <w:r w:rsidRPr="008E1879">
        <w:rPr>
          <w:rFonts w:ascii="Book Antiqua" w:hAnsi="Book Antiqua"/>
        </w:rPr>
        <w:t xml:space="preserve"> A, </w:t>
      </w:r>
      <w:proofErr w:type="spellStart"/>
      <w:r w:rsidRPr="008E1879">
        <w:rPr>
          <w:rFonts w:ascii="Book Antiqua" w:hAnsi="Book Antiqua"/>
        </w:rPr>
        <w:t>Chayvialle</w:t>
      </w:r>
      <w:proofErr w:type="spellEnd"/>
      <w:r w:rsidRPr="008E1879">
        <w:rPr>
          <w:rFonts w:ascii="Book Antiqua" w:hAnsi="Book Antiqua"/>
        </w:rPr>
        <w:t xml:space="preserve"> JA. Severe portal hypertensive gastropathy and antral vascular ectasia are distinct entities in patients with cirrhosis. </w:t>
      </w:r>
      <w:r w:rsidRPr="008E1879">
        <w:rPr>
          <w:rFonts w:ascii="Book Antiqua" w:hAnsi="Book Antiqua"/>
          <w:i/>
          <w:iCs/>
        </w:rPr>
        <w:t>Gastroenterology</w:t>
      </w:r>
      <w:r w:rsidRPr="008E1879">
        <w:rPr>
          <w:rFonts w:ascii="Book Antiqua" w:hAnsi="Book Antiqua"/>
        </w:rPr>
        <w:t> 1995; </w:t>
      </w:r>
      <w:r w:rsidRPr="008E1879">
        <w:rPr>
          <w:rFonts w:ascii="Book Antiqua" w:hAnsi="Book Antiqua"/>
          <w:b/>
          <w:bCs/>
        </w:rPr>
        <w:t>108</w:t>
      </w:r>
      <w:r w:rsidRPr="008E1879">
        <w:rPr>
          <w:rFonts w:ascii="Book Antiqua" w:hAnsi="Book Antiqua"/>
        </w:rPr>
        <w:t>: 138-144 [PMID: 7806035 DOI: 10.1016/0016-5085(95)90018-7]</w:t>
      </w:r>
    </w:p>
    <w:p w14:paraId="6C573724"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8E1879">
        <w:rPr>
          <w:rFonts w:ascii="Book Antiqua" w:hAnsi="Book Antiqua"/>
        </w:rPr>
        <w:lastRenderedPageBreak/>
        <w:t>20 </w:t>
      </w:r>
      <w:proofErr w:type="spellStart"/>
      <w:r w:rsidRPr="008E1879">
        <w:rPr>
          <w:rFonts w:ascii="Book Antiqua" w:hAnsi="Book Antiqua"/>
          <w:b/>
          <w:bCs/>
        </w:rPr>
        <w:t>Burak</w:t>
      </w:r>
      <w:proofErr w:type="spellEnd"/>
      <w:r w:rsidRPr="008E1879">
        <w:rPr>
          <w:rFonts w:ascii="Book Antiqua" w:hAnsi="Book Antiqua"/>
          <w:b/>
          <w:bCs/>
        </w:rPr>
        <w:t xml:space="preserve"> KW</w:t>
      </w:r>
      <w:r w:rsidRPr="008E1879">
        <w:rPr>
          <w:rFonts w:ascii="Book Antiqua" w:hAnsi="Book Antiqua"/>
        </w:rPr>
        <w:t>, Lee SS, Beck PL. Portal hypertensive gastropathy and gastric antral vascular ectasia (GAVE) syndrome.</w:t>
      </w:r>
      <w:proofErr w:type="gramEnd"/>
      <w:r w:rsidRPr="008E1879">
        <w:rPr>
          <w:rFonts w:ascii="Book Antiqua" w:hAnsi="Book Antiqua"/>
        </w:rPr>
        <w:t> </w:t>
      </w:r>
      <w:r w:rsidRPr="008E1879">
        <w:rPr>
          <w:rFonts w:ascii="Book Antiqua" w:hAnsi="Book Antiqua"/>
          <w:i/>
          <w:iCs/>
        </w:rPr>
        <w:t>Gut</w:t>
      </w:r>
      <w:r w:rsidRPr="008E1879">
        <w:rPr>
          <w:rFonts w:ascii="Book Antiqua" w:hAnsi="Book Antiqua"/>
        </w:rPr>
        <w:t> 2001; </w:t>
      </w:r>
      <w:r w:rsidRPr="008E1879">
        <w:rPr>
          <w:rFonts w:ascii="Book Antiqua" w:hAnsi="Book Antiqua"/>
          <w:b/>
          <w:bCs/>
        </w:rPr>
        <w:t>49</w:t>
      </w:r>
      <w:r w:rsidRPr="008E1879">
        <w:rPr>
          <w:rFonts w:ascii="Book Antiqua" w:hAnsi="Book Antiqua"/>
        </w:rPr>
        <w:t>: 866-872 [PMID: 11709525 DOI: 10.1136/gut.49.6.866]</w:t>
      </w:r>
    </w:p>
    <w:p w14:paraId="68EB3F76"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21 </w:t>
      </w:r>
      <w:r w:rsidRPr="008E1879">
        <w:rPr>
          <w:rFonts w:ascii="Book Antiqua" w:hAnsi="Book Antiqua"/>
          <w:b/>
          <w:bCs/>
        </w:rPr>
        <w:t>Chaves DM</w:t>
      </w:r>
      <w:r w:rsidRPr="008E1879">
        <w:rPr>
          <w:rFonts w:ascii="Book Antiqua" w:hAnsi="Book Antiqua"/>
        </w:rPr>
        <w:t>, Sakai P, Oliveira CV, Cheng S, Ishioka S. Watermelon stomach: clinical aspects and treatment with argon plasma coagulation. </w:t>
      </w:r>
      <w:proofErr w:type="spellStart"/>
      <w:r w:rsidRPr="008E1879">
        <w:rPr>
          <w:rFonts w:ascii="Book Antiqua" w:hAnsi="Book Antiqua"/>
          <w:i/>
          <w:iCs/>
        </w:rPr>
        <w:t>Arq</w:t>
      </w:r>
      <w:proofErr w:type="spellEnd"/>
      <w:r w:rsidRPr="008E1879">
        <w:rPr>
          <w:rFonts w:ascii="Book Antiqua" w:hAnsi="Book Antiqua"/>
          <w:i/>
          <w:iCs/>
        </w:rPr>
        <w:t xml:space="preserve"> </w:t>
      </w:r>
      <w:proofErr w:type="spellStart"/>
      <w:r w:rsidRPr="008E1879">
        <w:rPr>
          <w:rFonts w:ascii="Book Antiqua" w:hAnsi="Book Antiqua"/>
          <w:i/>
          <w:iCs/>
        </w:rPr>
        <w:t>Gastroenterol</w:t>
      </w:r>
      <w:proofErr w:type="spellEnd"/>
      <w:r w:rsidRPr="008E1879">
        <w:rPr>
          <w:rFonts w:ascii="Book Antiqua" w:hAnsi="Book Antiqua"/>
        </w:rPr>
        <w:t> 2006; </w:t>
      </w:r>
      <w:r w:rsidRPr="008E1879">
        <w:rPr>
          <w:rFonts w:ascii="Book Antiqua" w:hAnsi="Book Antiqua"/>
          <w:b/>
          <w:bCs/>
        </w:rPr>
        <w:t>43</w:t>
      </w:r>
      <w:r w:rsidRPr="008E1879">
        <w:rPr>
          <w:rFonts w:ascii="Book Antiqua" w:hAnsi="Book Antiqua"/>
        </w:rPr>
        <w:t>: 191-195 [PMID: 17160233 DOI: 10.1590/S0004-28032006000300007]</w:t>
      </w:r>
    </w:p>
    <w:p w14:paraId="23EE748D"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22 </w:t>
      </w:r>
      <w:proofErr w:type="spellStart"/>
      <w:r w:rsidRPr="008E1879">
        <w:rPr>
          <w:rFonts w:ascii="Book Antiqua" w:hAnsi="Book Antiqua"/>
          <w:b/>
          <w:bCs/>
        </w:rPr>
        <w:t>Gostout</w:t>
      </w:r>
      <w:proofErr w:type="spellEnd"/>
      <w:r w:rsidRPr="008E1879">
        <w:rPr>
          <w:rFonts w:ascii="Book Antiqua" w:hAnsi="Book Antiqua"/>
          <w:b/>
          <w:bCs/>
        </w:rPr>
        <w:t xml:space="preserve"> CJ</w:t>
      </w:r>
      <w:r w:rsidRPr="008E1879">
        <w:rPr>
          <w:rFonts w:ascii="Book Antiqua" w:hAnsi="Book Antiqua"/>
        </w:rPr>
        <w:t xml:space="preserve">, </w:t>
      </w:r>
      <w:proofErr w:type="spellStart"/>
      <w:r w:rsidRPr="008E1879">
        <w:rPr>
          <w:rFonts w:ascii="Book Antiqua" w:hAnsi="Book Antiqua"/>
        </w:rPr>
        <w:t>Viggiano</w:t>
      </w:r>
      <w:proofErr w:type="spellEnd"/>
      <w:r w:rsidRPr="008E1879">
        <w:rPr>
          <w:rFonts w:ascii="Book Antiqua" w:hAnsi="Book Antiqua"/>
        </w:rPr>
        <w:t xml:space="preserve"> TR, Ahlquist DA, Wang KK, Larson MV, Balm R. </w:t>
      </w:r>
      <w:proofErr w:type="gramStart"/>
      <w:r w:rsidRPr="008E1879">
        <w:rPr>
          <w:rFonts w:ascii="Book Antiqua" w:hAnsi="Book Antiqua"/>
        </w:rPr>
        <w:t>The clinical and endoscopic spectrum of the watermelon stomach.</w:t>
      </w:r>
      <w:proofErr w:type="gramEnd"/>
      <w:r w:rsidRPr="008E1879">
        <w:rPr>
          <w:rFonts w:ascii="Book Antiqua" w:hAnsi="Book Antiqua"/>
        </w:rPr>
        <w:t> </w:t>
      </w:r>
      <w:r w:rsidRPr="008E1879">
        <w:rPr>
          <w:rFonts w:ascii="Book Antiqua" w:hAnsi="Book Antiqua"/>
          <w:i/>
          <w:iCs/>
        </w:rPr>
        <w:t>J Clin Gastroenterol</w:t>
      </w:r>
      <w:r w:rsidRPr="008E1879">
        <w:rPr>
          <w:rFonts w:ascii="Book Antiqua" w:hAnsi="Book Antiqua"/>
        </w:rPr>
        <w:t> 1992; </w:t>
      </w:r>
      <w:r w:rsidRPr="008E1879">
        <w:rPr>
          <w:rFonts w:ascii="Book Antiqua" w:hAnsi="Book Antiqua"/>
          <w:b/>
          <w:bCs/>
        </w:rPr>
        <w:t>15</w:t>
      </w:r>
      <w:r w:rsidRPr="008E1879">
        <w:rPr>
          <w:rFonts w:ascii="Book Antiqua" w:hAnsi="Book Antiqua"/>
        </w:rPr>
        <w:t>: 256-263 [PMID: 1479175 DOI: 10.1097/00004836-199210000-00019]</w:t>
      </w:r>
    </w:p>
    <w:p w14:paraId="0DFA012B"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23 </w:t>
      </w:r>
      <w:r w:rsidRPr="008E1879">
        <w:rPr>
          <w:rFonts w:ascii="Book Antiqua" w:hAnsi="Book Antiqua"/>
          <w:b/>
          <w:bCs/>
        </w:rPr>
        <w:t>Spahr L</w:t>
      </w:r>
      <w:r w:rsidRPr="008E1879">
        <w:rPr>
          <w:rFonts w:ascii="Book Antiqua" w:hAnsi="Book Antiqua"/>
        </w:rPr>
        <w:t xml:space="preserve">, Villeneuve JP, </w:t>
      </w:r>
      <w:proofErr w:type="spellStart"/>
      <w:r w:rsidRPr="008E1879">
        <w:rPr>
          <w:rFonts w:ascii="Book Antiqua" w:hAnsi="Book Antiqua"/>
        </w:rPr>
        <w:t>Dufresne</w:t>
      </w:r>
      <w:proofErr w:type="spellEnd"/>
      <w:r w:rsidRPr="008E1879">
        <w:rPr>
          <w:rFonts w:ascii="Book Antiqua" w:hAnsi="Book Antiqua"/>
        </w:rPr>
        <w:t xml:space="preserve"> MP, </w:t>
      </w:r>
      <w:proofErr w:type="spellStart"/>
      <w:r w:rsidRPr="008E1879">
        <w:rPr>
          <w:rFonts w:ascii="Book Antiqua" w:hAnsi="Book Antiqua"/>
        </w:rPr>
        <w:t>Tassé</w:t>
      </w:r>
      <w:proofErr w:type="spellEnd"/>
      <w:r w:rsidRPr="008E1879">
        <w:rPr>
          <w:rFonts w:ascii="Book Antiqua" w:hAnsi="Book Antiqua"/>
        </w:rPr>
        <w:t xml:space="preserve"> D, Bui B, </w:t>
      </w:r>
      <w:proofErr w:type="spellStart"/>
      <w:r w:rsidRPr="008E1879">
        <w:rPr>
          <w:rFonts w:ascii="Book Antiqua" w:hAnsi="Book Antiqua"/>
        </w:rPr>
        <w:t>Willems</w:t>
      </w:r>
      <w:proofErr w:type="spellEnd"/>
      <w:r w:rsidRPr="008E1879">
        <w:rPr>
          <w:rFonts w:ascii="Book Antiqua" w:hAnsi="Book Antiqua"/>
        </w:rPr>
        <w:t xml:space="preserve"> B, </w:t>
      </w:r>
      <w:proofErr w:type="spellStart"/>
      <w:r w:rsidRPr="008E1879">
        <w:rPr>
          <w:rFonts w:ascii="Book Antiqua" w:hAnsi="Book Antiqua"/>
        </w:rPr>
        <w:t>Fenyves</w:t>
      </w:r>
      <w:proofErr w:type="spellEnd"/>
      <w:r w:rsidRPr="008E1879">
        <w:rPr>
          <w:rFonts w:ascii="Book Antiqua" w:hAnsi="Book Antiqua"/>
        </w:rPr>
        <w:t xml:space="preserve"> D, </w:t>
      </w:r>
      <w:proofErr w:type="spellStart"/>
      <w:r w:rsidRPr="008E1879">
        <w:rPr>
          <w:rFonts w:ascii="Book Antiqua" w:hAnsi="Book Antiqua"/>
        </w:rPr>
        <w:t>Pomier-Layrargues</w:t>
      </w:r>
      <w:proofErr w:type="spellEnd"/>
      <w:r w:rsidRPr="008E1879">
        <w:rPr>
          <w:rFonts w:ascii="Book Antiqua" w:hAnsi="Book Antiqua"/>
        </w:rPr>
        <w:t xml:space="preserve"> G. Gastric antral vascular ectasia in cirrhotic patients: absence of relation with portal hypertension. </w:t>
      </w:r>
      <w:r w:rsidRPr="008E1879">
        <w:rPr>
          <w:rFonts w:ascii="Book Antiqua" w:hAnsi="Book Antiqua"/>
          <w:i/>
          <w:iCs/>
        </w:rPr>
        <w:t>Gut</w:t>
      </w:r>
      <w:r w:rsidRPr="008E1879">
        <w:rPr>
          <w:rFonts w:ascii="Book Antiqua" w:hAnsi="Book Antiqua"/>
        </w:rPr>
        <w:t> 1999; </w:t>
      </w:r>
      <w:r w:rsidRPr="008E1879">
        <w:rPr>
          <w:rFonts w:ascii="Book Antiqua" w:hAnsi="Book Antiqua"/>
          <w:b/>
          <w:bCs/>
        </w:rPr>
        <w:t>44</w:t>
      </w:r>
      <w:r w:rsidRPr="008E1879">
        <w:rPr>
          <w:rFonts w:ascii="Book Antiqua" w:hAnsi="Book Antiqua"/>
        </w:rPr>
        <w:t>: 739-742 [PMID: 10205216 DOI: 10.1136/gut.44.5.739]</w:t>
      </w:r>
    </w:p>
    <w:p w14:paraId="4B0B8E16"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24 </w:t>
      </w:r>
      <w:proofErr w:type="spellStart"/>
      <w:r w:rsidRPr="008E1879">
        <w:rPr>
          <w:rFonts w:ascii="Book Antiqua" w:hAnsi="Book Antiqua"/>
          <w:b/>
          <w:bCs/>
        </w:rPr>
        <w:t>Kamath</w:t>
      </w:r>
      <w:proofErr w:type="spellEnd"/>
      <w:r w:rsidRPr="008E1879">
        <w:rPr>
          <w:rFonts w:ascii="Book Antiqua" w:hAnsi="Book Antiqua"/>
          <w:b/>
          <w:bCs/>
        </w:rPr>
        <w:t xml:space="preserve"> PS</w:t>
      </w:r>
      <w:r w:rsidRPr="008E1879">
        <w:rPr>
          <w:rFonts w:ascii="Book Antiqua" w:hAnsi="Book Antiqua"/>
        </w:rPr>
        <w:t xml:space="preserve">, </w:t>
      </w:r>
      <w:proofErr w:type="spellStart"/>
      <w:r w:rsidRPr="008E1879">
        <w:rPr>
          <w:rFonts w:ascii="Book Antiqua" w:hAnsi="Book Antiqua"/>
        </w:rPr>
        <w:t>Lacerda</w:t>
      </w:r>
      <w:proofErr w:type="spellEnd"/>
      <w:r w:rsidRPr="008E1879">
        <w:rPr>
          <w:rFonts w:ascii="Book Antiqua" w:hAnsi="Book Antiqua"/>
        </w:rPr>
        <w:t xml:space="preserve"> M, </w:t>
      </w:r>
      <w:proofErr w:type="spellStart"/>
      <w:r w:rsidRPr="008E1879">
        <w:rPr>
          <w:rFonts w:ascii="Book Antiqua" w:hAnsi="Book Antiqua"/>
        </w:rPr>
        <w:t>Ahlquist</w:t>
      </w:r>
      <w:proofErr w:type="spellEnd"/>
      <w:r w:rsidRPr="008E1879">
        <w:rPr>
          <w:rFonts w:ascii="Book Antiqua" w:hAnsi="Book Antiqua"/>
        </w:rPr>
        <w:t xml:space="preserve"> DA, </w:t>
      </w:r>
      <w:proofErr w:type="spellStart"/>
      <w:r w:rsidRPr="008E1879">
        <w:rPr>
          <w:rFonts w:ascii="Book Antiqua" w:hAnsi="Book Antiqua"/>
        </w:rPr>
        <w:t>McKusick</w:t>
      </w:r>
      <w:proofErr w:type="spellEnd"/>
      <w:r w:rsidRPr="008E1879">
        <w:rPr>
          <w:rFonts w:ascii="Book Antiqua" w:hAnsi="Book Antiqua"/>
        </w:rPr>
        <w:t xml:space="preserve"> MA, Andrews JC, </w:t>
      </w:r>
      <w:proofErr w:type="spellStart"/>
      <w:r w:rsidRPr="008E1879">
        <w:rPr>
          <w:rFonts w:ascii="Book Antiqua" w:hAnsi="Book Antiqua"/>
        </w:rPr>
        <w:t>Nagorney</w:t>
      </w:r>
      <w:proofErr w:type="spellEnd"/>
      <w:r w:rsidRPr="008E1879">
        <w:rPr>
          <w:rFonts w:ascii="Book Antiqua" w:hAnsi="Book Antiqua"/>
        </w:rPr>
        <w:t xml:space="preserve"> DA. </w:t>
      </w:r>
      <w:proofErr w:type="gramStart"/>
      <w:r w:rsidRPr="008E1879">
        <w:rPr>
          <w:rFonts w:ascii="Book Antiqua" w:hAnsi="Book Antiqua"/>
        </w:rPr>
        <w:t>Gastric mucosal responses to intrahepatic portosystemic shunting in patients with cirrhosis.</w:t>
      </w:r>
      <w:proofErr w:type="gramEnd"/>
      <w:r w:rsidRPr="008E1879">
        <w:rPr>
          <w:rFonts w:ascii="Book Antiqua" w:hAnsi="Book Antiqua"/>
        </w:rPr>
        <w:t> </w:t>
      </w:r>
      <w:r w:rsidRPr="008E1879">
        <w:rPr>
          <w:rFonts w:ascii="Book Antiqua" w:hAnsi="Book Antiqua"/>
          <w:i/>
          <w:iCs/>
        </w:rPr>
        <w:t>Gastroenterology</w:t>
      </w:r>
      <w:r w:rsidRPr="008E1879">
        <w:rPr>
          <w:rFonts w:ascii="Book Antiqua" w:hAnsi="Book Antiqua"/>
        </w:rPr>
        <w:t> 2000; </w:t>
      </w:r>
      <w:r w:rsidRPr="008E1879">
        <w:rPr>
          <w:rFonts w:ascii="Book Antiqua" w:hAnsi="Book Antiqua"/>
          <w:b/>
          <w:bCs/>
        </w:rPr>
        <w:t>118</w:t>
      </w:r>
      <w:r w:rsidRPr="008E1879">
        <w:rPr>
          <w:rFonts w:ascii="Book Antiqua" w:hAnsi="Book Antiqua"/>
        </w:rPr>
        <w:t>: 905-911 [PMID: 10784589 DOI: 10.1016/S0016-5085(00)70176-4]</w:t>
      </w:r>
    </w:p>
    <w:p w14:paraId="1556B611"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25 </w:t>
      </w:r>
      <w:r w:rsidRPr="008E1879">
        <w:rPr>
          <w:rFonts w:ascii="Book Antiqua" w:hAnsi="Book Antiqua"/>
          <w:b/>
          <w:bCs/>
        </w:rPr>
        <w:t>Nakade Y</w:t>
      </w:r>
      <w:r w:rsidRPr="008E1879">
        <w:rPr>
          <w:rFonts w:ascii="Book Antiqua" w:hAnsi="Book Antiqua"/>
        </w:rPr>
        <w:t xml:space="preserve">, Ozeki T, Kanamori H, Inoue T, Yamamoto T, Kobayashi Y, Ishii N, Ohashi T, Ito K, </w:t>
      </w:r>
      <w:proofErr w:type="spellStart"/>
      <w:r w:rsidRPr="008E1879">
        <w:rPr>
          <w:rFonts w:ascii="Book Antiqua" w:hAnsi="Book Antiqua"/>
        </w:rPr>
        <w:t>Yoneda</w:t>
      </w:r>
      <w:proofErr w:type="spellEnd"/>
      <w:r w:rsidRPr="008E1879">
        <w:rPr>
          <w:rFonts w:ascii="Book Antiqua" w:hAnsi="Book Antiqua"/>
        </w:rPr>
        <w:t xml:space="preserve"> M. </w:t>
      </w:r>
      <w:proofErr w:type="gramStart"/>
      <w:r w:rsidRPr="008E1879">
        <w:rPr>
          <w:rFonts w:ascii="Book Antiqua" w:hAnsi="Book Antiqua"/>
        </w:rPr>
        <w:t>A Case of Gastric Antral Vascular Ectasia Which Was Aggravated by Acid Reducer.</w:t>
      </w:r>
      <w:proofErr w:type="gramEnd"/>
      <w:r w:rsidRPr="008E1879">
        <w:rPr>
          <w:rFonts w:ascii="Book Antiqua" w:hAnsi="Book Antiqua"/>
        </w:rPr>
        <w:t> </w:t>
      </w:r>
      <w:r w:rsidRPr="008E1879">
        <w:rPr>
          <w:rFonts w:ascii="Book Antiqua" w:hAnsi="Book Antiqua"/>
          <w:i/>
          <w:iCs/>
        </w:rPr>
        <w:t>Case Rep Gastroenterol</w:t>
      </w:r>
      <w:r w:rsidRPr="008E1879">
        <w:rPr>
          <w:rFonts w:ascii="Book Antiqua" w:hAnsi="Book Antiqua"/>
        </w:rPr>
        <w:t> 2017; </w:t>
      </w:r>
      <w:r w:rsidRPr="008E1879">
        <w:rPr>
          <w:rFonts w:ascii="Book Antiqua" w:hAnsi="Book Antiqua"/>
          <w:b/>
          <w:bCs/>
        </w:rPr>
        <w:t>11</w:t>
      </w:r>
      <w:r w:rsidRPr="008E1879">
        <w:rPr>
          <w:rFonts w:ascii="Book Antiqua" w:hAnsi="Book Antiqua"/>
        </w:rPr>
        <w:t>: 64-71 [PMID: 28611555 DOI: 10.1159/000455967]</w:t>
      </w:r>
    </w:p>
    <w:p w14:paraId="3A935602"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26 </w:t>
      </w:r>
      <w:r w:rsidRPr="008E1879">
        <w:rPr>
          <w:rFonts w:ascii="Book Antiqua" w:hAnsi="Book Antiqua"/>
          <w:b/>
          <w:bCs/>
        </w:rPr>
        <w:t>Tobin RW</w:t>
      </w:r>
      <w:r w:rsidRPr="008E1879">
        <w:rPr>
          <w:rFonts w:ascii="Book Antiqua" w:hAnsi="Book Antiqua"/>
        </w:rPr>
        <w:t xml:space="preserve">, Hackman RC, </w:t>
      </w:r>
      <w:proofErr w:type="spellStart"/>
      <w:r w:rsidRPr="008E1879">
        <w:rPr>
          <w:rFonts w:ascii="Book Antiqua" w:hAnsi="Book Antiqua"/>
        </w:rPr>
        <w:t>Kimmey</w:t>
      </w:r>
      <w:proofErr w:type="spellEnd"/>
      <w:r w:rsidRPr="008E1879">
        <w:rPr>
          <w:rFonts w:ascii="Book Antiqua" w:hAnsi="Book Antiqua"/>
        </w:rPr>
        <w:t xml:space="preserve"> MB, </w:t>
      </w:r>
      <w:proofErr w:type="spellStart"/>
      <w:r w:rsidRPr="008E1879">
        <w:rPr>
          <w:rFonts w:ascii="Book Antiqua" w:hAnsi="Book Antiqua"/>
        </w:rPr>
        <w:t>Durtschi</w:t>
      </w:r>
      <w:proofErr w:type="spellEnd"/>
      <w:r w:rsidRPr="008E1879">
        <w:rPr>
          <w:rFonts w:ascii="Book Antiqua" w:hAnsi="Book Antiqua"/>
        </w:rPr>
        <w:t xml:space="preserve"> MB, Hayashi A, Malik R, McDonald MF, McDonald GB. </w:t>
      </w:r>
      <w:proofErr w:type="gramStart"/>
      <w:r w:rsidRPr="008E1879">
        <w:rPr>
          <w:rFonts w:ascii="Book Antiqua" w:hAnsi="Book Antiqua"/>
        </w:rPr>
        <w:t>Bleeding from gastric antral vascular ectasia in marrow transplant patients.</w:t>
      </w:r>
      <w:proofErr w:type="gramEnd"/>
      <w:r w:rsidRPr="008E1879">
        <w:rPr>
          <w:rFonts w:ascii="Book Antiqua" w:hAnsi="Book Antiqua"/>
        </w:rPr>
        <w:t> </w:t>
      </w:r>
      <w:proofErr w:type="spellStart"/>
      <w:r w:rsidRPr="008E1879">
        <w:rPr>
          <w:rFonts w:ascii="Book Antiqua" w:hAnsi="Book Antiqua"/>
          <w:i/>
          <w:iCs/>
        </w:rPr>
        <w:t>Gastrointest</w:t>
      </w:r>
      <w:proofErr w:type="spellEnd"/>
      <w:r w:rsidRPr="008E1879">
        <w:rPr>
          <w:rFonts w:ascii="Book Antiqua" w:hAnsi="Book Antiqua"/>
          <w:i/>
          <w:iCs/>
        </w:rPr>
        <w:t xml:space="preserve"> </w:t>
      </w:r>
      <w:proofErr w:type="spellStart"/>
      <w:r w:rsidRPr="008E1879">
        <w:rPr>
          <w:rFonts w:ascii="Book Antiqua" w:hAnsi="Book Antiqua"/>
          <w:i/>
          <w:iCs/>
        </w:rPr>
        <w:t>Endosc</w:t>
      </w:r>
      <w:proofErr w:type="spellEnd"/>
      <w:r w:rsidRPr="008E1879">
        <w:rPr>
          <w:rFonts w:ascii="Book Antiqua" w:hAnsi="Book Antiqua"/>
        </w:rPr>
        <w:t> 1996; </w:t>
      </w:r>
      <w:r w:rsidRPr="008E1879">
        <w:rPr>
          <w:rFonts w:ascii="Book Antiqua" w:hAnsi="Book Antiqua"/>
          <w:b/>
          <w:bCs/>
        </w:rPr>
        <w:t>44</w:t>
      </w:r>
      <w:r w:rsidRPr="008E1879">
        <w:rPr>
          <w:rFonts w:ascii="Book Antiqua" w:hAnsi="Book Antiqua"/>
        </w:rPr>
        <w:t>: 223-229 [PMID: 8885337 DOI: 10.1016/S0016-5107(96)70155-4]</w:t>
      </w:r>
    </w:p>
    <w:p w14:paraId="41576E88"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27 </w:t>
      </w:r>
      <w:r w:rsidRPr="008E1879">
        <w:rPr>
          <w:rFonts w:ascii="Book Antiqua" w:hAnsi="Book Antiqua"/>
          <w:b/>
          <w:bCs/>
        </w:rPr>
        <w:t>Sebastian S</w:t>
      </w:r>
      <w:r w:rsidRPr="008E1879">
        <w:rPr>
          <w:rFonts w:ascii="Book Antiqua" w:hAnsi="Book Antiqua"/>
        </w:rPr>
        <w:t xml:space="preserve">, </w:t>
      </w:r>
      <w:proofErr w:type="spellStart"/>
      <w:r w:rsidRPr="008E1879">
        <w:rPr>
          <w:rFonts w:ascii="Book Antiqua" w:hAnsi="Book Antiqua"/>
        </w:rPr>
        <w:t>O'Morain</w:t>
      </w:r>
      <w:proofErr w:type="spellEnd"/>
      <w:r w:rsidRPr="008E1879">
        <w:rPr>
          <w:rFonts w:ascii="Book Antiqua" w:hAnsi="Book Antiqua"/>
        </w:rPr>
        <w:t xml:space="preserve"> CA, Buckley MJ. Review article: current therapeutic options for gastric antral vascular ectasia. </w:t>
      </w:r>
      <w:r w:rsidRPr="008E1879">
        <w:rPr>
          <w:rFonts w:ascii="Book Antiqua" w:hAnsi="Book Antiqua"/>
          <w:i/>
          <w:iCs/>
        </w:rPr>
        <w:t xml:space="preserve">Aliment </w:t>
      </w:r>
      <w:proofErr w:type="spellStart"/>
      <w:r w:rsidRPr="008E1879">
        <w:rPr>
          <w:rFonts w:ascii="Book Antiqua" w:hAnsi="Book Antiqua"/>
          <w:i/>
          <w:iCs/>
        </w:rPr>
        <w:t>Pharmacol</w:t>
      </w:r>
      <w:proofErr w:type="spellEnd"/>
      <w:r w:rsidRPr="008E1879">
        <w:rPr>
          <w:rFonts w:ascii="Book Antiqua" w:hAnsi="Book Antiqua"/>
          <w:i/>
          <w:iCs/>
        </w:rPr>
        <w:t xml:space="preserve"> </w:t>
      </w:r>
      <w:proofErr w:type="spellStart"/>
      <w:r w:rsidRPr="008E1879">
        <w:rPr>
          <w:rFonts w:ascii="Book Antiqua" w:hAnsi="Book Antiqua"/>
          <w:i/>
          <w:iCs/>
        </w:rPr>
        <w:t>Ther</w:t>
      </w:r>
      <w:proofErr w:type="spellEnd"/>
      <w:r w:rsidRPr="008E1879">
        <w:rPr>
          <w:rFonts w:ascii="Book Antiqua" w:hAnsi="Book Antiqua"/>
        </w:rPr>
        <w:t> 2003; </w:t>
      </w:r>
      <w:r w:rsidRPr="008E1879">
        <w:rPr>
          <w:rFonts w:ascii="Book Antiqua" w:hAnsi="Book Antiqua"/>
          <w:b/>
          <w:bCs/>
        </w:rPr>
        <w:t>18</w:t>
      </w:r>
      <w:r w:rsidRPr="008E1879">
        <w:rPr>
          <w:rFonts w:ascii="Book Antiqua" w:hAnsi="Book Antiqua"/>
        </w:rPr>
        <w:t>: 157-165 [PMID: 12869075 DOI: 10.1046/j.1365-2036.2003.01617.x]</w:t>
      </w:r>
    </w:p>
    <w:p w14:paraId="52382F26"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lastRenderedPageBreak/>
        <w:t>28 </w:t>
      </w:r>
      <w:r w:rsidRPr="008E1879">
        <w:rPr>
          <w:rFonts w:ascii="Book Antiqua" w:hAnsi="Book Antiqua"/>
          <w:b/>
          <w:bCs/>
        </w:rPr>
        <w:t>Takahashi T</w:t>
      </w:r>
      <w:r w:rsidRPr="008E1879">
        <w:rPr>
          <w:rFonts w:ascii="Book Antiqua" w:hAnsi="Book Antiqua"/>
        </w:rPr>
        <w:t xml:space="preserve">, Miya T, Oki M, Sugawara N, Yoshimoto M, </w:t>
      </w:r>
      <w:proofErr w:type="spellStart"/>
      <w:r w:rsidRPr="008E1879">
        <w:rPr>
          <w:rFonts w:ascii="Book Antiqua" w:hAnsi="Book Antiqua"/>
        </w:rPr>
        <w:t>Tsujisaki</w:t>
      </w:r>
      <w:proofErr w:type="spellEnd"/>
      <w:r w:rsidRPr="008E1879">
        <w:rPr>
          <w:rFonts w:ascii="Book Antiqua" w:hAnsi="Book Antiqua"/>
        </w:rPr>
        <w:t xml:space="preserve"> M. Severe hemorrhage from gastric vascular ectasia developed in a patient with AML. </w:t>
      </w:r>
      <w:proofErr w:type="spellStart"/>
      <w:r w:rsidRPr="008E1879">
        <w:rPr>
          <w:rFonts w:ascii="Book Antiqua" w:hAnsi="Book Antiqua"/>
          <w:i/>
          <w:iCs/>
        </w:rPr>
        <w:t>Int</w:t>
      </w:r>
      <w:proofErr w:type="spellEnd"/>
      <w:r w:rsidRPr="008E1879">
        <w:rPr>
          <w:rFonts w:ascii="Book Antiqua" w:hAnsi="Book Antiqua"/>
          <w:i/>
          <w:iCs/>
        </w:rPr>
        <w:t xml:space="preserve"> J </w:t>
      </w:r>
      <w:proofErr w:type="spellStart"/>
      <w:r w:rsidRPr="008E1879">
        <w:rPr>
          <w:rFonts w:ascii="Book Antiqua" w:hAnsi="Book Antiqua"/>
          <w:i/>
          <w:iCs/>
        </w:rPr>
        <w:t>Hematol</w:t>
      </w:r>
      <w:proofErr w:type="spellEnd"/>
      <w:r w:rsidRPr="008E1879">
        <w:rPr>
          <w:rFonts w:ascii="Book Antiqua" w:hAnsi="Book Antiqua"/>
        </w:rPr>
        <w:t> 2006; </w:t>
      </w:r>
      <w:r w:rsidRPr="008E1879">
        <w:rPr>
          <w:rFonts w:ascii="Book Antiqua" w:hAnsi="Book Antiqua"/>
          <w:b/>
          <w:bCs/>
        </w:rPr>
        <w:t>83</w:t>
      </w:r>
      <w:r w:rsidRPr="008E1879">
        <w:rPr>
          <w:rFonts w:ascii="Book Antiqua" w:hAnsi="Book Antiqua"/>
        </w:rPr>
        <w:t>: 467-468 [PMID: 16787883 DOI: 10.1532/IJH97.06052]</w:t>
      </w:r>
    </w:p>
    <w:p w14:paraId="5075932E"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29 </w:t>
      </w:r>
      <w:r w:rsidRPr="008E1879">
        <w:rPr>
          <w:rFonts w:ascii="Book Antiqua" w:hAnsi="Book Antiqua"/>
          <w:b/>
          <w:bCs/>
        </w:rPr>
        <w:t>Singh S</w:t>
      </w:r>
      <w:r w:rsidRPr="008E1879">
        <w:rPr>
          <w:rFonts w:ascii="Book Antiqua" w:hAnsi="Book Antiqua"/>
        </w:rPr>
        <w:t xml:space="preserve">, </w:t>
      </w:r>
      <w:proofErr w:type="spellStart"/>
      <w:r w:rsidRPr="008E1879">
        <w:rPr>
          <w:rFonts w:ascii="Book Antiqua" w:hAnsi="Book Antiqua"/>
        </w:rPr>
        <w:t>Manrai</w:t>
      </w:r>
      <w:proofErr w:type="spellEnd"/>
      <w:r w:rsidRPr="008E1879">
        <w:rPr>
          <w:rFonts w:ascii="Book Antiqua" w:hAnsi="Book Antiqua"/>
        </w:rPr>
        <w:t xml:space="preserve"> M, V S P, Kumar D, Srivastava S, </w:t>
      </w:r>
      <w:proofErr w:type="gramStart"/>
      <w:r w:rsidRPr="008E1879">
        <w:rPr>
          <w:rFonts w:ascii="Book Antiqua" w:hAnsi="Book Antiqua"/>
        </w:rPr>
        <w:t>Pathak</w:t>
      </w:r>
      <w:proofErr w:type="gramEnd"/>
      <w:r w:rsidRPr="008E1879">
        <w:rPr>
          <w:rFonts w:ascii="Book Antiqua" w:hAnsi="Book Antiqua"/>
        </w:rPr>
        <w:t xml:space="preserve"> B. Association of liver cirrhosis severity with anemia: does it matter? </w:t>
      </w:r>
      <w:r w:rsidRPr="008E1879">
        <w:rPr>
          <w:rFonts w:ascii="Book Antiqua" w:hAnsi="Book Antiqua"/>
          <w:i/>
          <w:iCs/>
        </w:rPr>
        <w:t>Ann Gastroenterol</w:t>
      </w:r>
      <w:r w:rsidRPr="008E1879">
        <w:rPr>
          <w:rFonts w:ascii="Book Antiqua" w:hAnsi="Book Antiqua"/>
        </w:rPr>
        <w:t> 2020; </w:t>
      </w:r>
      <w:r w:rsidRPr="008E1879">
        <w:rPr>
          <w:rFonts w:ascii="Book Antiqua" w:hAnsi="Book Antiqua"/>
          <w:b/>
          <w:bCs/>
        </w:rPr>
        <w:t>33</w:t>
      </w:r>
      <w:r w:rsidRPr="008E1879">
        <w:rPr>
          <w:rFonts w:ascii="Book Antiqua" w:hAnsi="Book Antiqua"/>
        </w:rPr>
        <w:t>: 272-276 [PMID: 32382230 DOI: 10.20524/aog.2020.0478]</w:t>
      </w:r>
    </w:p>
    <w:p w14:paraId="499C2566"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30 </w:t>
      </w:r>
      <w:r w:rsidRPr="008E1879">
        <w:rPr>
          <w:rFonts w:ascii="Book Antiqua" w:hAnsi="Book Antiqua"/>
          <w:b/>
          <w:bCs/>
        </w:rPr>
        <w:t>Peck-Radosavljevic M</w:t>
      </w:r>
      <w:r w:rsidRPr="008E1879">
        <w:rPr>
          <w:rFonts w:ascii="Book Antiqua" w:hAnsi="Book Antiqua"/>
        </w:rPr>
        <w:t>. Hypersplenism. </w:t>
      </w:r>
      <w:r w:rsidRPr="008E1879">
        <w:rPr>
          <w:rFonts w:ascii="Book Antiqua" w:hAnsi="Book Antiqua"/>
          <w:i/>
          <w:iCs/>
        </w:rPr>
        <w:t>Eur J Gastroenterol Hepatol</w:t>
      </w:r>
      <w:r w:rsidRPr="008E1879">
        <w:rPr>
          <w:rFonts w:ascii="Book Antiqua" w:hAnsi="Book Antiqua"/>
        </w:rPr>
        <w:t> 2001; </w:t>
      </w:r>
      <w:r w:rsidRPr="008E1879">
        <w:rPr>
          <w:rFonts w:ascii="Book Antiqua" w:hAnsi="Book Antiqua"/>
          <w:b/>
          <w:bCs/>
        </w:rPr>
        <w:t>13</w:t>
      </w:r>
      <w:r w:rsidRPr="008E1879">
        <w:rPr>
          <w:rFonts w:ascii="Book Antiqua" w:hAnsi="Book Antiqua"/>
        </w:rPr>
        <w:t>: 317-323 [PMID: 11338057 DOI: 10.1097/00042737-200104000-00004]</w:t>
      </w:r>
    </w:p>
    <w:p w14:paraId="0653A428"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31 </w:t>
      </w:r>
      <w:r w:rsidRPr="008E1879">
        <w:rPr>
          <w:rFonts w:ascii="Book Antiqua" w:hAnsi="Book Antiqua"/>
          <w:b/>
          <w:bCs/>
        </w:rPr>
        <w:t>DuBois B</w:t>
      </w:r>
      <w:r w:rsidRPr="008E1879">
        <w:rPr>
          <w:rFonts w:ascii="Book Antiqua" w:hAnsi="Book Antiqua"/>
        </w:rPr>
        <w:t>, Mobley D, Chick JFB, Srinivasa RN, Wilcox C, Weintraub J. Efficacy and safety of partial splenic embolization for hypersplenism in pre- and post-liver transplant patients: A 16-year comparative analysis. </w:t>
      </w:r>
      <w:r w:rsidRPr="008E1879">
        <w:rPr>
          <w:rFonts w:ascii="Book Antiqua" w:hAnsi="Book Antiqua"/>
          <w:i/>
          <w:iCs/>
        </w:rPr>
        <w:t>Clin Imaging</w:t>
      </w:r>
      <w:r w:rsidRPr="008E1879">
        <w:rPr>
          <w:rFonts w:ascii="Book Antiqua" w:hAnsi="Book Antiqua"/>
        </w:rPr>
        <w:t> 2019; </w:t>
      </w:r>
      <w:r w:rsidRPr="008E1879">
        <w:rPr>
          <w:rFonts w:ascii="Book Antiqua" w:hAnsi="Book Antiqua"/>
          <w:b/>
          <w:bCs/>
        </w:rPr>
        <w:t>54</w:t>
      </w:r>
      <w:r w:rsidRPr="008E1879">
        <w:rPr>
          <w:rFonts w:ascii="Book Antiqua" w:hAnsi="Book Antiqua"/>
        </w:rPr>
        <w:t>: 71-77 [PMID: 30553121 DOI: 10.1016/j.clinimag.2018.11.012]</w:t>
      </w:r>
    </w:p>
    <w:p w14:paraId="51CD4DCC" w14:textId="77777777" w:rsidR="008E1879" w:rsidRPr="008E1879" w:rsidRDefault="008E1879" w:rsidP="008E1879">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8E1879">
        <w:rPr>
          <w:rFonts w:ascii="Book Antiqua" w:hAnsi="Book Antiqua"/>
        </w:rPr>
        <w:t>32 </w:t>
      </w:r>
      <w:r w:rsidRPr="008E1879">
        <w:rPr>
          <w:rFonts w:ascii="Book Antiqua" w:hAnsi="Book Antiqua"/>
          <w:b/>
          <w:bCs/>
        </w:rPr>
        <w:t>Zhu J</w:t>
      </w:r>
      <w:r w:rsidRPr="008E1879">
        <w:rPr>
          <w:rFonts w:ascii="Book Antiqua" w:hAnsi="Book Antiqua"/>
        </w:rPr>
        <w:t>, Chen X, Hu X, Zhu H, He C.</w:t>
      </w:r>
      <w:proofErr w:type="gramEnd"/>
      <w:r w:rsidRPr="008E1879">
        <w:rPr>
          <w:rFonts w:ascii="Book Antiqua" w:hAnsi="Book Antiqua"/>
        </w:rPr>
        <w:t xml:space="preserve"> </w:t>
      </w:r>
      <w:proofErr w:type="gramStart"/>
      <w:r w:rsidRPr="008E1879">
        <w:rPr>
          <w:rFonts w:ascii="Book Antiqua" w:hAnsi="Book Antiqua"/>
        </w:rPr>
        <w:t>A Comparative Study of Surgical Splenectomy, Partial Splenic Embolization, and High-Intensity Focused Ultrasound for Hypersplenism.</w:t>
      </w:r>
      <w:proofErr w:type="gramEnd"/>
      <w:r w:rsidRPr="008E1879">
        <w:rPr>
          <w:rFonts w:ascii="Book Antiqua" w:hAnsi="Book Antiqua"/>
        </w:rPr>
        <w:t> </w:t>
      </w:r>
      <w:r w:rsidRPr="008E1879">
        <w:rPr>
          <w:rFonts w:ascii="Book Antiqua" w:hAnsi="Book Antiqua"/>
          <w:i/>
          <w:iCs/>
        </w:rPr>
        <w:t>J Ultrasound Med</w:t>
      </w:r>
      <w:r w:rsidRPr="008E1879">
        <w:rPr>
          <w:rFonts w:ascii="Book Antiqua" w:hAnsi="Book Antiqua"/>
        </w:rPr>
        <w:t> 2016; </w:t>
      </w:r>
      <w:r w:rsidRPr="008E1879">
        <w:rPr>
          <w:rFonts w:ascii="Book Antiqua" w:hAnsi="Book Antiqua"/>
          <w:b/>
          <w:bCs/>
        </w:rPr>
        <w:t>35</w:t>
      </w:r>
      <w:r w:rsidRPr="008E1879">
        <w:rPr>
          <w:rFonts w:ascii="Book Antiqua" w:hAnsi="Book Antiqua"/>
        </w:rPr>
        <w:t>: 467-474 [PMID: 26839374 DOI: 10.7863/ultra.15.03050]</w:t>
      </w:r>
    </w:p>
    <w:p w14:paraId="4C2E7EF3" w14:textId="77777777" w:rsidR="00A77B3E" w:rsidRDefault="00A77B3E">
      <w:pPr>
        <w:spacing w:line="360" w:lineRule="auto"/>
        <w:jc w:val="both"/>
      </w:pPr>
    </w:p>
    <w:p w14:paraId="2EC9031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087BEB9" w14:textId="77777777" w:rsidR="00A77B3E" w:rsidRDefault="00FC055D">
      <w:pPr>
        <w:spacing w:line="360" w:lineRule="auto"/>
        <w:jc w:val="both"/>
      </w:pPr>
      <w:r>
        <w:rPr>
          <w:rFonts w:ascii="Book Antiqua" w:eastAsia="Book Antiqua" w:hAnsi="Book Antiqua" w:cs="Book Antiqua"/>
          <w:b/>
          <w:color w:val="000000"/>
        </w:rPr>
        <w:lastRenderedPageBreak/>
        <w:t>Footnotes</w:t>
      </w:r>
    </w:p>
    <w:p w14:paraId="22ACC2B5" w14:textId="77777777" w:rsidR="00A77B3E" w:rsidRDefault="00FC055D">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zCs w:val="22"/>
        </w:rPr>
        <w:t>The study was reviewed and approved by the University of Kentucky Institutional Review Board (Approval No 54669).</w:t>
      </w:r>
    </w:p>
    <w:p w14:paraId="58B66B33" w14:textId="77777777" w:rsidR="00A77B3E" w:rsidRDefault="00A77B3E">
      <w:pPr>
        <w:spacing w:line="360" w:lineRule="auto"/>
        <w:jc w:val="both"/>
        <w:rPr>
          <w:lang w:eastAsia="zh-CN"/>
        </w:rPr>
      </w:pPr>
    </w:p>
    <w:p w14:paraId="693B6E5F" w14:textId="77777777" w:rsidR="00EB0D9C" w:rsidRDefault="00EB0D9C">
      <w:pPr>
        <w:spacing w:line="360" w:lineRule="auto"/>
        <w:jc w:val="both"/>
        <w:rPr>
          <w:rFonts w:ascii="Book Antiqua" w:hAnsi="Book Antiqua"/>
          <w:lang w:eastAsia="zh-CN"/>
        </w:rPr>
      </w:pPr>
      <w:r>
        <w:rPr>
          <w:rFonts w:ascii="Book Antiqua" w:hAnsi="Book Antiqua"/>
          <w:b/>
        </w:rPr>
        <w:t>Informed consent statement</w:t>
      </w:r>
      <w:r>
        <w:rPr>
          <w:rFonts w:ascii="Book Antiqua" w:hAnsi="Book Antiqua"/>
          <w:b/>
          <w:bCs/>
          <w:iCs/>
          <w:color w:val="000000"/>
        </w:rPr>
        <w:t xml:space="preserve">: </w:t>
      </w:r>
      <w:r>
        <w:rPr>
          <w:rFonts w:ascii="Book Antiqua" w:hAnsi="Book Antiqua"/>
        </w:rPr>
        <w:t>Patients were not required to give informed consent to the study because the analysis used anonymous clinical data that were obtained after each patient agreed to treatment by written consent.</w:t>
      </w:r>
    </w:p>
    <w:p w14:paraId="28063377" w14:textId="77777777" w:rsidR="00EB0D9C" w:rsidRDefault="00EB0D9C">
      <w:pPr>
        <w:spacing w:line="360" w:lineRule="auto"/>
        <w:jc w:val="both"/>
        <w:rPr>
          <w:lang w:eastAsia="zh-CN"/>
        </w:rPr>
      </w:pPr>
    </w:p>
    <w:p w14:paraId="10F126DD" w14:textId="77777777" w:rsidR="00A77B3E" w:rsidRDefault="00FC055D">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szCs w:val="22"/>
        </w:rPr>
        <w:t>Authors have no relevant relationships or conflict of interest to disclose.</w:t>
      </w:r>
    </w:p>
    <w:p w14:paraId="0E6C9C78" w14:textId="77777777" w:rsidR="00A77B3E" w:rsidRDefault="00A77B3E">
      <w:pPr>
        <w:spacing w:line="360" w:lineRule="auto"/>
        <w:jc w:val="both"/>
      </w:pPr>
    </w:p>
    <w:p w14:paraId="77BB5333" w14:textId="77777777" w:rsidR="00A77B3E" w:rsidRPr="0021591D" w:rsidRDefault="00FC055D">
      <w:pPr>
        <w:spacing w:line="360" w:lineRule="auto"/>
        <w:jc w:val="both"/>
        <w:rPr>
          <w:lang w:eastAsia="zh-CN"/>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zCs w:val="22"/>
        </w:rPr>
        <w:t>No additional data are available</w:t>
      </w:r>
      <w:r w:rsidR="0021591D">
        <w:rPr>
          <w:rFonts w:ascii="Book Antiqua" w:hAnsi="Book Antiqua" w:cs="Book Antiqua" w:hint="eastAsia"/>
          <w:color w:val="000000"/>
          <w:szCs w:val="22"/>
          <w:lang w:eastAsia="zh-CN"/>
        </w:rPr>
        <w:t>.</w:t>
      </w:r>
    </w:p>
    <w:p w14:paraId="6873C0CA" w14:textId="77777777" w:rsidR="00A77B3E" w:rsidRDefault="00A77B3E">
      <w:pPr>
        <w:spacing w:line="360" w:lineRule="auto"/>
        <w:jc w:val="both"/>
      </w:pPr>
    </w:p>
    <w:p w14:paraId="3BB7E990" w14:textId="77777777" w:rsidR="00A77B3E" w:rsidRDefault="00FC055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880D89" w14:textId="77777777" w:rsidR="00A77B3E" w:rsidRDefault="00A77B3E">
      <w:pPr>
        <w:spacing w:line="360" w:lineRule="auto"/>
        <w:jc w:val="both"/>
      </w:pPr>
    </w:p>
    <w:p w14:paraId="137BFA8B" w14:textId="62A987C9" w:rsidR="00A77B3E" w:rsidRDefault="00FC055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C2A77">
        <w:rPr>
          <w:rFonts w:ascii="Book Antiqua" w:eastAsia="Book Antiqua" w:hAnsi="Book Antiqua" w:cs="Book Antiqua"/>
          <w:color w:val="000000"/>
        </w:rPr>
        <w:t>m</w:t>
      </w:r>
      <w:r>
        <w:rPr>
          <w:rFonts w:ascii="Book Antiqua" w:eastAsia="Book Antiqua" w:hAnsi="Book Antiqua" w:cs="Book Antiqua"/>
          <w:color w:val="000000"/>
        </w:rPr>
        <w:t>anuscript</w:t>
      </w:r>
    </w:p>
    <w:p w14:paraId="16475BB3" w14:textId="77777777" w:rsidR="00A77B3E" w:rsidRDefault="00A77B3E">
      <w:pPr>
        <w:spacing w:line="360" w:lineRule="auto"/>
        <w:jc w:val="both"/>
      </w:pPr>
    </w:p>
    <w:p w14:paraId="4A959427" w14:textId="77777777" w:rsidR="00A77B3E" w:rsidRDefault="00FC055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27, 2020</w:t>
      </w:r>
    </w:p>
    <w:p w14:paraId="676189DC" w14:textId="77777777" w:rsidR="00A77B3E" w:rsidRDefault="00FC055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21, 2020</w:t>
      </w:r>
    </w:p>
    <w:p w14:paraId="23F2BA21" w14:textId="6B4342B4" w:rsidR="00A77B3E" w:rsidRPr="00F06B63" w:rsidRDefault="00FC055D" w:rsidP="00F06B6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Article in press: </w:t>
      </w:r>
      <w:r w:rsidR="00F06B63" w:rsidRPr="00F06B63">
        <w:rPr>
          <w:rFonts w:ascii="Book Antiqua" w:eastAsia="Book Antiqua" w:hAnsi="Book Antiqua" w:cs="Book Antiqua"/>
          <w:color w:val="000000"/>
        </w:rPr>
        <w:t>October 26, 2020</w:t>
      </w:r>
    </w:p>
    <w:p w14:paraId="31DB4B79" w14:textId="77777777" w:rsidR="00A77B3E" w:rsidRDefault="00A77B3E">
      <w:pPr>
        <w:spacing w:line="360" w:lineRule="auto"/>
        <w:jc w:val="both"/>
      </w:pPr>
    </w:p>
    <w:p w14:paraId="44EB1F5F" w14:textId="77777777" w:rsidR="00A77B3E" w:rsidRDefault="00FC055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bookmarkStart w:id="27" w:name="OLE_LINK137"/>
      <w:bookmarkStart w:id="28" w:name="OLE_LINK138"/>
      <w:bookmarkStart w:id="29" w:name="OLE_LINK139"/>
      <w:r w:rsidR="0003154E">
        <w:rPr>
          <w:rFonts w:ascii="Book Antiqua" w:eastAsia="Book Antiqua" w:hAnsi="Book Antiqua" w:cs="Book Antiqua"/>
          <w:color w:val="000000"/>
        </w:rPr>
        <w:t>hepatolo</w:t>
      </w:r>
      <w:bookmarkEnd w:id="27"/>
      <w:bookmarkEnd w:id="28"/>
      <w:bookmarkEnd w:id="29"/>
      <w:r>
        <w:rPr>
          <w:rFonts w:ascii="Book Antiqua" w:eastAsia="Book Antiqua" w:hAnsi="Book Antiqua" w:cs="Book Antiqua"/>
          <w:color w:val="000000"/>
        </w:rPr>
        <w:t>gy</w:t>
      </w:r>
    </w:p>
    <w:p w14:paraId="0B1F651E" w14:textId="77777777" w:rsidR="00A77B3E" w:rsidRDefault="00FC055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4E76EF10" w14:textId="77777777" w:rsidR="00A77B3E" w:rsidRDefault="00FC055D">
      <w:pPr>
        <w:spacing w:line="360" w:lineRule="auto"/>
        <w:jc w:val="both"/>
      </w:pPr>
      <w:r>
        <w:rPr>
          <w:rFonts w:ascii="Book Antiqua" w:eastAsia="Book Antiqua" w:hAnsi="Book Antiqua" w:cs="Book Antiqua"/>
          <w:b/>
          <w:color w:val="000000"/>
        </w:rPr>
        <w:lastRenderedPageBreak/>
        <w:t>Peer-review report’s scientific quality classification</w:t>
      </w:r>
    </w:p>
    <w:p w14:paraId="43BE175F" w14:textId="77777777" w:rsidR="00A77B3E" w:rsidRDefault="00FC055D">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6E937A31" w14:textId="77777777" w:rsidR="00A77B3E" w:rsidRDefault="00FC055D">
      <w:pPr>
        <w:spacing w:line="360" w:lineRule="auto"/>
        <w:jc w:val="both"/>
      </w:pPr>
      <w:r>
        <w:rPr>
          <w:rFonts w:ascii="Book Antiqua" w:eastAsia="Book Antiqua" w:hAnsi="Book Antiqua" w:cs="Book Antiqua"/>
          <w:color w:val="000000"/>
        </w:rPr>
        <w:t>Grade B (Very good): 0</w:t>
      </w:r>
    </w:p>
    <w:p w14:paraId="2AC38C1C" w14:textId="77777777" w:rsidR="00A77B3E" w:rsidRDefault="00FC055D">
      <w:pPr>
        <w:spacing w:line="360" w:lineRule="auto"/>
        <w:jc w:val="both"/>
      </w:pPr>
      <w:r>
        <w:rPr>
          <w:rFonts w:ascii="Book Antiqua" w:eastAsia="Book Antiqua" w:hAnsi="Book Antiqua" w:cs="Book Antiqua"/>
          <w:color w:val="000000"/>
        </w:rPr>
        <w:t>Grade C (Good): C</w:t>
      </w:r>
    </w:p>
    <w:p w14:paraId="2AE2CDA3" w14:textId="77777777" w:rsidR="00A77B3E" w:rsidRDefault="00FC055D">
      <w:pPr>
        <w:spacing w:line="360" w:lineRule="auto"/>
        <w:jc w:val="both"/>
      </w:pPr>
      <w:r>
        <w:rPr>
          <w:rFonts w:ascii="Book Antiqua" w:eastAsia="Book Antiqua" w:hAnsi="Book Antiqua" w:cs="Book Antiqua"/>
          <w:color w:val="000000"/>
        </w:rPr>
        <w:t>Grade D (Fair): D</w:t>
      </w:r>
    </w:p>
    <w:p w14:paraId="59F7BA48" w14:textId="77777777" w:rsidR="00A77B3E" w:rsidRDefault="00FC055D">
      <w:pPr>
        <w:spacing w:line="360" w:lineRule="auto"/>
        <w:jc w:val="both"/>
      </w:pPr>
      <w:r>
        <w:rPr>
          <w:rFonts w:ascii="Book Antiqua" w:eastAsia="Book Antiqua" w:hAnsi="Book Antiqua" w:cs="Book Antiqua"/>
          <w:color w:val="000000"/>
        </w:rPr>
        <w:t>Grade E (Poor): 0</w:t>
      </w:r>
    </w:p>
    <w:p w14:paraId="0FB254B8" w14:textId="77777777" w:rsidR="00A77B3E" w:rsidRDefault="00A77B3E">
      <w:pPr>
        <w:spacing w:line="360" w:lineRule="auto"/>
        <w:jc w:val="both"/>
      </w:pPr>
    </w:p>
    <w:p w14:paraId="4768D449" w14:textId="607A9F18" w:rsidR="00A77B3E" w:rsidRDefault="00FC055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Coelho J, </w:t>
      </w:r>
      <w:proofErr w:type="spellStart"/>
      <w:r>
        <w:rPr>
          <w:rFonts w:ascii="Book Antiqua" w:eastAsia="Book Antiqua" w:hAnsi="Book Antiqua" w:cs="Book Antiqua"/>
          <w:color w:val="000000"/>
        </w:rPr>
        <w:t>Manrai</w:t>
      </w:r>
      <w:proofErr w:type="spellEnd"/>
      <w:r>
        <w:rPr>
          <w:rFonts w:ascii="Book Antiqua" w:eastAsia="Book Antiqua" w:hAnsi="Book Antiqua" w:cs="Book Antiqua"/>
          <w:color w:val="000000"/>
        </w:rPr>
        <w:t xml:space="preserve"> M</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Pr>
          <w:rFonts w:ascii="Book Antiqua" w:eastAsia="Book Antiqua" w:hAnsi="Book Antiqua" w:cs="Book Antiqua"/>
          <w:b/>
          <w:color w:val="000000"/>
        </w:rPr>
        <w:t xml:space="preserve"> L-Editor:</w:t>
      </w:r>
      <w:r w:rsidR="00F06B63">
        <w:rPr>
          <w:rFonts w:ascii="Book Antiqua" w:hAnsi="Book Antiqua" w:cs="Book Antiqua" w:hint="eastAsia"/>
          <w:b/>
          <w:color w:val="000000"/>
          <w:lang w:eastAsia="zh-CN"/>
        </w:rPr>
        <w:t xml:space="preserve"> </w:t>
      </w:r>
      <w:r w:rsidR="00F06B63" w:rsidRPr="00F06B63">
        <w:rPr>
          <w:rFonts w:ascii="Book Antiqua" w:hAnsi="Book Antiqua" w:cs="Book Antiqua" w:hint="eastAsia"/>
          <w:color w:val="000000"/>
          <w:lang w:eastAsia="zh-CN"/>
        </w:rPr>
        <w:t>A</w:t>
      </w:r>
      <w:r w:rsidR="003B6DAB">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P-Editor: </w:t>
      </w:r>
      <w:r w:rsidR="00F06B63" w:rsidRPr="00A62429">
        <w:rPr>
          <w:rFonts w:ascii="Book Antiqua" w:hAnsi="Book Antiqua"/>
          <w:color w:val="000000"/>
          <w:lang w:eastAsia="zh-CN"/>
        </w:rPr>
        <w:t>Xing YX</w:t>
      </w:r>
    </w:p>
    <w:p w14:paraId="7620EFC4" w14:textId="77777777" w:rsidR="006A3FF9" w:rsidRDefault="006A3FF9">
      <w:pPr>
        <w:spacing w:line="360" w:lineRule="auto"/>
        <w:jc w:val="both"/>
        <w:sectPr w:rsidR="006A3FF9">
          <w:pgSz w:w="12240" w:h="15840"/>
          <w:pgMar w:top="1440" w:right="1440" w:bottom="1440" w:left="1440" w:header="720" w:footer="720" w:gutter="0"/>
          <w:cols w:space="720"/>
          <w:docGrid w:linePitch="360"/>
        </w:sectPr>
      </w:pPr>
    </w:p>
    <w:p w14:paraId="1BA4CC43" w14:textId="77777777" w:rsidR="00A77B3E" w:rsidRDefault="00FC055D">
      <w:pPr>
        <w:spacing w:line="360" w:lineRule="auto"/>
        <w:jc w:val="both"/>
      </w:pPr>
      <w:r>
        <w:rPr>
          <w:rFonts w:ascii="Book Antiqua" w:eastAsia="Book Antiqua" w:hAnsi="Book Antiqua" w:cs="Book Antiqua"/>
          <w:b/>
          <w:color w:val="000000"/>
        </w:rPr>
        <w:lastRenderedPageBreak/>
        <w:t>Figure Legends</w:t>
      </w:r>
    </w:p>
    <w:p w14:paraId="1C3CF4B8" w14:textId="77777777" w:rsidR="00652189" w:rsidRDefault="00652189">
      <w:pPr>
        <w:spacing w:line="360" w:lineRule="auto"/>
        <w:jc w:val="both"/>
        <w:rPr>
          <w:rFonts w:ascii="Book Antiqua" w:hAnsi="Book Antiqua" w:cs="Book Antiqua"/>
          <w:color w:val="000000"/>
          <w:szCs w:val="22"/>
          <w:lang w:eastAsia="zh-CN"/>
        </w:rPr>
      </w:pPr>
      <w:r>
        <w:rPr>
          <w:rFonts w:ascii="Book Antiqua" w:hAnsi="Book Antiqua" w:cs="Book Antiqua"/>
          <w:noProof/>
          <w:color w:val="000000"/>
          <w:szCs w:val="22"/>
          <w:lang w:eastAsia="zh-CN"/>
        </w:rPr>
        <w:drawing>
          <wp:inline distT="0" distB="0" distL="0" distR="0" wp14:anchorId="19B484A3" wp14:editId="3D51178A">
            <wp:extent cx="4547870" cy="36455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7870" cy="3645535"/>
                    </a:xfrm>
                    <a:prstGeom prst="rect">
                      <a:avLst/>
                    </a:prstGeom>
                    <a:noFill/>
                  </pic:spPr>
                </pic:pic>
              </a:graphicData>
            </a:graphic>
          </wp:inline>
        </w:drawing>
      </w:r>
    </w:p>
    <w:p w14:paraId="6984EA2B" w14:textId="77777777" w:rsidR="00A77B3E" w:rsidRPr="00652189" w:rsidRDefault="00652189">
      <w:pPr>
        <w:spacing w:line="360" w:lineRule="auto"/>
        <w:jc w:val="both"/>
        <w:rPr>
          <w:b/>
          <w:lang w:eastAsia="zh-CN"/>
        </w:rPr>
      </w:pPr>
      <w:r w:rsidRPr="00652189">
        <w:rPr>
          <w:rFonts w:ascii="Book Antiqua" w:eastAsia="Book Antiqua" w:hAnsi="Book Antiqua" w:cs="Book Antiqua"/>
          <w:b/>
          <w:color w:val="000000"/>
          <w:szCs w:val="22"/>
        </w:rPr>
        <w:t xml:space="preserve">Figure 1 </w:t>
      </w:r>
      <w:r w:rsidRPr="00652189">
        <w:rPr>
          <w:rFonts w:ascii="Book Antiqua" w:hAnsi="Book Antiqua" w:cs="Book Antiqua" w:hint="eastAsia"/>
          <w:b/>
          <w:color w:val="000000"/>
          <w:szCs w:val="22"/>
          <w:lang w:eastAsia="zh-CN"/>
        </w:rPr>
        <w:t>E</w:t>
      </w:r>
      <w:r w:rsidR="00FC055D" w:rsidRPr="00652189">
        <w:rPr>
          <w:rFonts w:ascii="Book Antiqua" w:eastAsia="Book Antiqua" w:hAnsi="Book Antiqua" w:cs="Book Antiqua"/>
          <w:b/>
          <w:color w:val="000000"/>
          <w:szCs w:val="22"/>
        </w:rPr>
        <w:t>ndoscopic image showing a diffuse punctate pattern of gastric antral vascular ectasia</w:t>
      </w:r>
      <w:r w:rsidRPr="00652189">
        <w:rPr>
          <w:rFonts w:ascii="Book Antiqua" w:hAnsi="Book Antiqua" w:cs="Book Antiqua" w:hint="eastAsia"/>
          <w:b/>
          <w:color w:val="000000"/>
          <w:szCs w:val="22"/>
          <w:lang w:eastAsia="zh-CN"/>
        </w:rPr>
        <w:t>.</w:t>
      </w:r>
    </w:p>
    <w:p w14:paraId="2B185DB9" w14:textId="77777777" w:rsidR="00C23978" w:rsidRDefault="00652189">
      <w:pPr>
        <w:spacing w:line="360" w:lineRule="auto"/>
        <w:jc w:val="both"/>
        <w:rPr>
          <w:rFonts w:ascii="Book Antiqua" w:hAnsi="Book Antiqua" w:cs="Book Antiqua"/>
          <w:color w:val="000000"/>
          <w:szCs w:val="22"/>
          <w:lang w:eastAsia="zh-CN"/>
        </w:rPr>
      </w:pPr>
      <w:r>
        <w:rPr>
          <w:rFonts w:ascii="Book Antiqua" w:eastAsia="Book Antiqua" w:hAnsi="Book Antiqua" w:cs="Book Antiqua"/>
          <w:color w:val="000000"/>
          <w:szCs w:val="22"/>
        </w:rPr>
        <w:br w:type="page"/>
      </w:r>
      <w:r w:rsidR="00C23978">
        <w:rPr>
          <w:rFonts w:ascii="Book Antiqua" w:eastAsia="Book Antiqua" w:hAnsi="Book Antiqua" w:cs="Book Antiqua"/>
          <w:noProof/>
          <w:color w:val="000000"/>
          <w:szCs w:val="22"/>
          <w:lang w:eastAsia="zh-CN"/>
        </w:rPr>
        <w:lastRenderedPageBreak/>
        <w:drawing>
          <wp:inline distT="0" distB="0" distL="0" distR="0" wp14:anchorId="6B00D70E" wp14:editId="1A4730B2">
            <wp:extent cx="4495800" cy="42116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5800" cy="4211690"/>
                    </a:xfrm>
                    <a:prstGeom prst="rect">
                      <a:avLst/>
                    </a:prstGeom>
                    <a:noFill/>
                  </pic:spPr>
                </pic:pic>
              </a:graphicData>
            </a:graphic>
          </wp:inline>
        </w:drawing>
      </w:r>
    </w:p>
    <w:p w14:paraId="60D03D79" w14:textId="77777777" w:rsidR="00A77B3E" w:rsidRPr="00C6575E" w:rsidRDefault="00C6575E">
      <w:pPr>
        <w:spacing w:line="360" w:lineRule="auto"/>
        <w:jc w:val="both"/>
        <w:rPr>
          <w:b/>
          <w:lang w:eastAsia="zh-CN"/>
        </w:rPr>
      </w:pPr>
      <w:r w:rsidRPr="00C6575E">
        <w:rPr>
          <w:rFonts w:ascii="Book Antiqua" w:eastAsia="Book Antiqua" w:hAnsi="Book Antiqua" w:cs="Book Antiqua"/>
          <w:b/>
          <w:color w:val="000000"/>
          <w:szCs w:val="22"/>
        </w:rPr>
        <w:t xml:space="preserve">Figure 2 </w:t>
      </w:r>
      <w:r w:rsidRPr="00C6575E">
        <w:rPr>
          <w:rFonts w:ascii="Book Antiqua" w:hAnsi="Book Antiqua" w:cs="Book Antiqua" w:hint="eastAsia"/>
          <w:b/>
          <w:color w:val="000000"/>
          <w:szCs w:val="22"/>
          <w:lang w:eastAsia="zh-CN"/>
        </w:rPr>
        <w:t>E</w:t>
      </w:r>
      <w:r w:rsidR="00FC055D" w:rsidRPr="00C6575E">
        <w:rPr>
          <w:rFonts w:ascii="Book Antiqua" w:eastAsia="Book Antiqua" w:hAnsi="Book Antiqua" w:cs="Book Antiqua"/>
          <w:b/>
          <w:color w:val="000000"/>
          <w:szCs w:val="22"/>
        </w:rPr>
        <w:t xml:space="preserve">ndoscopic </w:t>
      </w:r>
      <w:proofErr w:type="gramStart"/>
      <w:r w:rsidR="00FC055D" w:rsidRPr="00C6575E">
        <w:rPr>
          <w:rFonts w:ascii="Book Antiqua" w:eastAsia="Book Antiqua" w:hAnsi="Book Antiqua" w:cs="Book Antiqua"/>
          <w:b/>
          <w:color w:val="000000"/>
          <w:szCs w:val="22"/>
        </w:rPr>
        <w:t>image</w:t>
      </w:r>
      <w:proofErr w:type="gramEnd"/>
      <w:r w:rsidR="00FC055D" w:rsidRPr="00C6575E">
        <w:rPr>
          <w:rFonts w:ascii="Book Antiqua" w:eastAsia="Book Antiqua" w:hAnsi="Book Antiqua" w:cs="Book Antiqua"/>
          <w:b/>
          <w:color w:val="000000"/>
          <w:szCs w:val="22"/>
        </w:rPr>
        <w:t xml:space="preserve"> showing a linear and striped pattern of gastric antral vascular ectasia</w:t>
      </w:r>
      <w:r w:rsidRPr="00C6575E">
        <w:rPr>
          <w:rFonts w:ascii="Book Antiqua" w:hAnsi="Book Antiqua" w:cs="Book Antiqua" w:hint="eastAsia"/>
          <w:b/>
          <w:color w:val="000000"/>
          <w:szCs w:val="22"/>
          <w:lang w:eastAsia="zh-CN"/>
        </w:rPr>
        <w:t>.</w:t>
      </w:r>
    </w:p>
    <w:p w14:paraId="2FD33ECC" w14:textId="77777777" w:rsidR="00C23978" w:rsidRDefault="00C23978">
      <w:pPr>
        <w:spacing w:line="360" w:lineRule="auto"/>
        <w:jc w:val="both"/>
        <w:rPr>
          <w:rFonts w:ascii="Book Antiqua" w:hAnsi="Book Antiqua" w:cs="Book Antiqua"/>
          <w:b/>
          <w:color w:val="000000"/>
          <w:szCs w:val="22"/>
          <w:lang w:eastAsia="zh-CN"/>
        </w:rPr>
      </w:pPr>
      <w:r>
        <w:rPr>
          <w:rFonts w:ascii="Book Antiqua" w:eastAsia="Book Antiqua" w:hAnsi="Book Antiqua" w:cs="Book Antiqua"/>
          <w:b/>
          <w:color w:val="000000"/>
          <w:szCs w:val="22"/>
        </w:rPr>
        <w:br w:type="page"/>
      </w:r>
      <w:r>
        <w:rPr>
          <w:rFonts w:ascii="Book Antiqua" w:eastAsia="Book Antiqua" w:hAnsi="Book Antiqua" w:cs="Book Antiqua"/>
          <w:b/>
          <w:noProof/>
          <w:color w:val="000000"/>
          <w:szCs w:val="22"/>
          <w:lang w:eastAsia="zh-CN"/>
        </w:rPr>
        <w:lastRenderedPageBreak/>
        <w:drawing>
          <wp:inline distT="0" distB="0" distL="0" distR="0" wp14:anchorId="3823D2D7" wp14:editId="515C4218">
            <wp:extent cx="4524375" cy="33858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1241" cy="3391009"/>
                    </a:xfrm>
                    <a:prstGeom prst="rect">
                      <a:avLst/>
                    </a:prstGeom>
                    <a:noFill/>
                  </pic:spPr>
                </pic:pic>
              </a:graphicData>
            </a:graphic>
          </wp:inline>
        </w:drawing>
      </w:r>
    </w:p>
    <w:p w14:paraId="561CEAE7" w14:textId="77777777" w:rsidR="00A77B3E" w:rsidRPr="00C6575E" w:rsidRDefault="00C6575E">
      <w:pPr>
        <w:spacing w:line="360" w:lineRule="auto"/>
        <w:jc w:val="both"/>
        <w:rPr>
          <w:b/>
          <w:lang w:eastAsia="zh-CN"/>
        </w:rPr>
      </w:pPr>
      <w:r w:rsidRPr="00C6575E">
        <w:rPr>
          <w:rFonts w:ascii="Book Antiqua" w:eastAsia="Book Antiqua" w:hAnsi="Book Antiqua" w:cs="Book Antiqua"/>
          <w:b/>
          <w:color w:val="000000"/>
          <w:szCs w:val="22"/>
        </w:rPr>
        <w:t xml:space="preserve">Figure 3 </w:t>
      </w:r>
      <w:r w:rsidRPr="00C6575E">
        <w:rPr>
          <w:rFonts w:ascii="Book Antiqua" w:hAnsi="Book Antiqua" w:cs="Book Antiqua" w:hint="eastAsia"/>
          <w:b/>
          <w:color w:val="000000"/>
          <w:szCs w:val="22"/>
          <w:lang w:eastAsia="zh-CN"/>
        </w:rPr>
        <w:t>E</w:t>
      </w:r>
      <w:r w:rsidR="00FC055D" w:rsidRPr="00C6575E">
        <w:rPr>
          <w:rFonts w:ascii="Book Antiqua" w:eastAsia="Book Antiqua" w:hAnsi="Book Antiqua" w:cs="Book Antiqua"/>
          <w:b/>
          <w:color w:val="000000"/>
          <w:szCs w:val="22"/>
        </w:rPr>
        <w:t xml:space="preserve">ndoscopic </w:t>
      </w:r>
      <w:proofErr w:type="gramStart"/>
      <w:r w:rsidR="00FC055D" w:rsidRPr="00C6575E">
        <w:rPr>
          <w:rFonts w:ascii="Book Antiqua" w:eastAsia="Book Antiqua" w:hAnsi="Book Antiqua" w:cs="Book Antiqua"/>
          <w:b/>
          <w:color w:val="000000"/>
          <w:szCs w:val="22"/>
        </w:rPr>
        <w:t>image</w:t>
      </w:r>
      <w:proofErr w:type="gramEnd"/>
      <w:r w:rsidR="00FC055D" w:rsidRPr="00C6575E">
        <w:rPr>
          <w:rFonts w:ascii="Book Antiqua" w:eastAsia="Book Antiqua" w:hAnsi="Book Antiqua" w:cs="Book Antiqua"/>
          <w:b/>
          <w:color w:val="000000"/>
          <w:szCs w:val="22"/>
        </w:rPr>
        <w:t xml:space="preserve"> showing a nodular polypoid pattern of gastric antral vascular ectasia</w:t>
      </w:r>
      <w:r w:rsidRPr="00C6575E">
        <w:rPr>
          <w:rFonts w:ascii="Book Antiqua" w:hAnsi="Book Antiqua" w:cs="Book Antiqua" w:hint="eastAsia"/>
          <w:b/>
          <w:color w:val="000000"/>
          <w:szCs w:val="22"/>
          <w:lang w:eastAsia="zh-CN"/>
        </w:rPr>
        <w:t>.</w:t>
      </w:r>
    </w:p>
    <w:p w14:paraId="2E6C951B" w14:textId="77777777" w:rsidR="00C23978" w:rsidRDefault="00C23978">
      <w:pPr>
        <w:spacing w:line="360" w:lineRule="auto"/>
        <w:jc w:val="both"/>
        <w:rPr>
          <w:rFonts w:ascii="Book Antiqua" w:hAnsi="Book Antiqua" w:cs="Book Antiqua"/>
          <w:b/>
          <w:color w:val="000000"/>
          <w:szCs w:val="22"/>
          <w:lang w:eastAsia="zh-CN"/>
        </w:rPr>
      </w:pPr>
      <w:r>
        <w:rPr>
          <w:rFonts w:ascii="Book Antiqua" w:eastAsia="Book Antiqua" w:hAnsi="Book Antiqua" w:cs="Book Antiqua"/>
          <w:b/>
          <w:color w:val="000000"/>
          <w:szCs w:val="22"/>
        </w:rPr>
        <w:br w:type="page"/>
      </w:r>
      <w:r>
        <w:rPr>
          <w:rFonts w:ascii="Book Antiqua" w:eastAsia="Book Antiqua" w:hAnsi="Book Antiqua" w:cs="Book Antiqua"/>
          <w:b/>
          <w:noProof/>
          <w:color w:val="000000"/>
          <w:szCs w:val="22"/>
          <w:lang w:eastAsia="zh-CN"/>
        </w:rPr>
        <w:lastRenderedPageBreak/>
        <w:drawing>
          <wp:inline distT="0" distB="0" distL="0" distR="0" wp14:anchorId="5B607134" wp14:editId="1DE3B39B">
            <wp:extent cx="4524375" cy="39439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4375" cy="3943904"/>
                    </a:xfrm>
                    <a:prstGeom prst="rect">
                      <a:avLst/>
                    </a:prstGeom>
                    <a:noFill/>
                  </pic:spPr>
                </pic:pic>
              </a:graphicData>
            </a:graphic>
          </wp:inline>
        </w:drawing>
      </w:r>
    </w:p>
    <w:p w14:paraId="16A109F3" w14:textId="77777777" w:rsidR="00451DA9" w:rsidRDefault="00C6575E">
      <w:pPr>
        <w:spacing w:line="360" w:lineRule="auto"/>
        <w:jc w:val="both"/>
        <w:rPr>
          <w:rFonts w:ascii="Book Antiqua" w:hAnsi="Book Antiqua" w:cs="Book Antiqua"/>
          <w:b/>
          <w:color w:val="000000"/>
          <w:szCs w:val="22"/>
          <w:lang w:eastAsia="zh-CN"/>
        </w:rPr>
      </w:pPr>
      <w:r w:rsidRPr="00C6575E">
        <w:rPr>
          <w:rFonts w:ascii="Book Antiqua" w:eastAsia="Book Antiqua" w:hAnsi="Book Antiqua" w:cs="Book Antiqua"/>
          <w:b/>
          <w:color w:val="000000"/>
          <w:szCs w:val="22"/>
        </w:rPr>
        <w:t xml:space="preserve">Figure 4 </w:t>
      </w:r>
      <w:r w:rsidRPr="00C6575E">
        <w:rPr>
          <w:rFonts w:ascii="Book Antiqua" w:hAnsi="Book Antiqua" w:cs="Book Antiqua" w:hint="eastAsia"/>
          <w:b/>
          <w:color w:val="000000"/>
          <w:szCs w:val="22"/>
          <w:lang w:eastAsia="zh-CN"/>
        </w:rPr>
        <w:t>E</w:t>
      </w:r>
      <w:r w:rsidR="00FC055D" w:rsidRPr="00C6575E">
        <w:rPr>
          <w:rFonts w:ascii="Book Antiqua" w:eastAsia="Book Antiqua" w:hAnsi="Book Antiqua" w:cs="Book Antiqua"/>
          <w:b/>
          <w:color w:val="000000"/>
          <w:szCs w:val="22"/>
        </w:rPr>
        <w:t xml:space="preserve">ndoscopic </w:t>
      </w:r>
      <w:proofErr w:type="gramStart"/>
      <w:r w:rsidR="00FC055D" w:rsidRPr="00C6575E">
        <w:rPr>
          <w:rFonts w:ascii="Book Antiqua" w:eastAsia="Book Antiqua" w:hAnsi="Book Antiqua" w:cs="Book Antiqua"/>
          <w:b/>
          <w:color w:val="000000"/>
          <w:szCs w:val="22"/>
        </w:rPr>
        <w:t>image</w:t>
      </w:r>
      <w:proofErr w:type="gramEnd"/>
      <w:r w:rsidR="00FC055D" w:rsidRPr="00C6575E">
        <w:rPr>
          <w:rFonts w:ascii="Book Antiqua" w:eastAsia="Book Antiqua" w:hAnsi="Book Antiqua" w:cs="Book Antiqua"/>
          <w:b/>
          <w:color w:val="000000"/>
          <w:szCs w:val="22"/>
        </w:rPr>
        <w:t xml:space="preserve"> showing a nodular and striped pattern of gastric antral vascular ectasia</w:t>
      </w:r>
      <w:r w:rsidRPr="00C6575E">
        <w:rPr>
          <w:rFonts w:ascii="Book Antiqua" w:hAnsi="Book Antiqua" w:cs="Book Antiqua" w:hint="eastAsia"/>
          <w:b/>
          <w:color w:val="000000"/>
          <w:szCs w:val="22"/>
          <w:lang w:eastAsia="zh-CN"/>
        </w:rPr>
        <w:t>.</w:t>
      </w:r>
    </w:p>
    <w:p w14:paraId="3B075A49" w14:textId="77777777" w:rsidR="00451DA9" w:rsidRPr="0069728D" w:rsidRDefault="00451DA9" w:rsidP="00451DA9">
      <w:pPr>
        <w:pStyle w:val="a5"/>
        <w:keepNext/>
        <w:adjustRightInd w:val="0"/>
        <w:snapToGrid w:val="0"/>
        <w:spacing w:after="0" w:line="360" w:lineRule="auto"/>
        <w:jc w:val="both"/>
        <w:rPr>
          <w:rFonts w:ascii="Book Antiqua" w:hAnsi="Book Antiqua" w:cs="Times New Roman"/>
          <w:b/>
          <w:i w:val="0"/>
          <w:color w:val="000000" w:themeColor="text1"/>
          <w:sz w:val="24"/>
          <w:szCs w:val="24"/>
        </w:rPr>
      </w:pPr>
      <w:r>
        <w:rPr>
          <w:rFonts w:ascii="Book Antiqua" w:hAnsi="Book Antiqua" w:cs="Book Antiqua"/>
          <w:b/>
          <w:color w:val="000000"/>
          <w:szCs w:val="22"/>
          <w:lang w:eastAsia="zh-CN"/>
        </w:rPr>
        <w:br w:type="page"/>
      </w:r>
      <w:r w:rsidRPr="0069728D">
        <w:rPr>
          <w:rFonts w:ascii="Book Antiqua" w:hAnsi="Book Antiqua" w:cs="Times New Roman"/>
          <w:b/>
          <w:i w:val="0"/>
          <w:color w:val="000000" w:themeColor="text1"/>
          <w:sz w:val="24"/>
          <w:szCs w:val="24"/>
        </w:rPr>
        <w:lastRenderedPageBreak/>
        <w:t>Table</w:t>
      </w:r>
      <w:r w:rsidR="00846F1D" w:rsidRPr="0069728D">
        <w:rPr>
          <w:rFonts w:ascii="Book Antiqua" w:hAnsi="Book Antiqua" w:cs="Times New Roman" w:hint="eastAsia"/>
          <w:b/>
          <w:i w:val="0"/>
          <w:color w:val="000000" w:themeColor="text1"/>
          <w:sz w:val="24"/>
          <w:szCs w:val="24"/>
          <w:lang w:eastAsia="zh-CN"/>
        </w:rPr>
        <w:t xml:space="preserve"> 1</w:t>
      </w:r>
      <w:r w:rsidR="00846F1D" w:rsidRPr="0069728D">
        <w:rPr>
          <w:rFonts w:ascii="Book Antiqua" w:hAnsi="Book Antiqua" w:cs="Times New Roman"/>
          <w:b/>
          <w:i w:val="0"/>
          <w:color w:val="000000" w:themeColor="text1"/>
          <w:sz w:val="24"/>
          <w:szCs w:val="24"/>
        </w:rPr>
        <w:t xml:space="preserve"> </w:t>
      </w:r>
      <w:r w:rsidRPr="0069728D">
        <w:rPr>
          <w:rFonts w:ascii="Book Antiqua" w:hAnsi="Book Antiqua" w:cs="Times New Roman"/>
          <w:b/>
          <w:i w:val="0"/>
          <w:color w:val="000000" w:themeColor="text1"/>
          <w:sz w:val="24"/>
          <w:szCs w:val="24"/>
        </w:rPr>
        <w:t xml:space="preserve">Clinical </w:t>
      </w:r>
      <w:proofErr w:type="gramStart"/>
      <w:r w:rsidR="00EB5CD7" w:rsidRPr="0069728D">
        <w:rPr>
          <w:rFonts w:ascii="Book Antiqua" w:hAnsi="Book Antiqua" w:cs="Times New Roman"/>
          <w:b/>
          <w:i w:val="0"/>
          <w:color w:val="000000" w:themeColor="text1"/>
          <w:sz w:val="24"/>
          <w:szCs w:val="24"/>
        </w:rPr>
        <w:t>characteristic</w:t>
      </w:r>
      <w:r w:rsidR="00EB5CD7">
        <w:rPr>
          <w:rFonts w:ascii="Book Antiqua" w:hAnsi="Book Antiqua" w:cs="Times New Roman" w:hint="eastAsia"/>
          <w:b/>
          <w:i w:val="0"/>
          <w:color w:val="000000" w:themeColor="text1"/>
          <w:sz w:val="24"/>
          <w:szCs w:val="24"/>
          <w:lang w:eastAsia="zh-CN"/>
        </w:rPr>
        <w:t>s</w:t>
      </w:r>
      <w:proofErr w:type="gramEnd"/>
      <w:r w:rsidRPr="0069728D">
        <w:rPr>
          <w:rFonts w:ascii="Book Antiqua" w:hAnsi="Book Antiqua" w:cs="Times New Roman"/>
          <w:b/>
          <w:i w:val="0"/>
          <w:color w:val="000000" w:themeColor="text1"/>
          <w:sz w:val="24"/>
          <w:szCs w:val="24"/>
        </w:rPr>
        <w:t xml:space="preserve"> of patients with </w:t>
      </w:r>
      <w:r w:rsidR="00846F1D" w:rsidRPr="0069728D">
        <w:rPr>
          <w:rFonts w:ascii="Book Antiqua" w:hAnsi="Book Antiqua" w:cs="Times New Roman"/>
          <w:b/>
          <w:i w:val="0"/>
          <w:color w:val="000000" w:themeColor="text1"/>
          <w:sz w:val="24"/>
          <w:szCs w:val="24"/>
        </w:rPr>
        <w:t xml:space="preserve">gastric antral vascular ectasia </w:t>
      </w:r>
      <w:r w:rsidRPr="0069728D">
        <w:rPr>
          <w:rFonts w:ascii="Book Antiqua" w:hAnsi="Book Antiqua" w:cs="Times New Roman"/>
          <w:b/>
          <w:i w:val="0"/>
          <w:color w:val="000000" w:themeColor="text1"/>
          <w:sz w:val="24"/>
          <w:szCs w:val="24"/>
        </w:rPr>
        <w:t xml:space="preserve">who underwent </w:t>
      </w:r>
      <w:r w:rsidR="00846F1D" w:rsidRPr="0069728D">
        <w:rPr>
          <w:rFonts w:ascii="Book Antiqua" w:hAnsi="Book Antiqua" w:cs="Times New Roman"/>
          <w:b/>
          <w:i w:val="0"/>
          <w:color w:val="000000" w:themeColor="text1"/>
          <w:sz w:val="24"/>
          <w:szCs w:val="24"/>
        </w:rPr>
        <w:t>orthotopic liver transplantation</w:t>
      </w:r>
    </w:p>
    <w:tbl>
      <w:tblPr>
        <w:tblStyle w:val="a6"/>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1"/>
        <w:gridCol w:w="540"/>
        <w:gridCol w:w="750"/>
        <w:gridCol w:w="571"/>
        <w:gridCol w:w="993"/>
        <w:gridCol w:w="900"/>
        <w:gridCol w:w="920"/>
        <w:gridCol w:w="1920"/>
        <w:gridCol w:w="1027"/>
        <w:gridCol w:w="988"/>
      </w:tblGrid>
      <w:tr w:rsidR="00451DA9" w:rsidRPr="00B33149" w14:paraId="30193765" w14:textId="77777777" w:rsidTr="0042759F">
        <w:trPr>
          <w:trHeight w:val="557"/>
        </w:trPr>
        <w:tc>
          <w:tcPr>
            <w:tcW w:w="741" w:type="dxa"/>
            <w:tcBorders>
              <w:top w:val="single" w:sz="4" w:space="0" w:color="auto"/>
              <w:bottom w:val="single" w:sz="4" w:space="0" w:color="auto"/>
            </w:tcBorders>
          </w:tcPr>
          <w:p w14:paraId="241F8667" w14:textId="77777777" w:rsidR="00451DA9" w:rsidRPr="008F2FAF" w:rsidRDefault="00451DA9" w:rsidP="00051B4B">
            <w:pPr>
              <w:adjustRightInd w:val="0"/>
              <w:snapToGrid w:val="0"/>
              <w:spacing w:line="360" w:lineRule="auto"/>
              <w:jc w:val="both"/>
              <w:rPr>
                <w:rFonts w:ascii="Book Antiqua" w:eastAsia="Calibri" w:hAnsi="Book Antiqua" w:cs="Times New Roman"/>
                <w:b/>
              </w:rPr>
            </w:pPr>
            <w:r w:rsidRPr="008F2FAF">
              <w:rPr>
                <w:rFonts w:ascii="Book Antiqua" w:eastAsia="Calibri" w:hAnsi="Book Antiqua" w:cs="Times New Roman"/>
                <w:b/>
              </w:rPr>
              <w:t>Patient No.</w:t>
            </w:r>
          </w:p>
        </w:tc>
        <w:tc>
          <w:tcPr>
            <w:tcW w:w="540" w:type="dxa"/>
            <w:tcBorders>
              <w:top w:val="single" w:sz="4" w:space="0" w:color="auto"/>
              <w:bottom w:val="single" w:sz="4" w:space="0" w:color="auto"/>
            </w:tcBorders>
          </w:tcPr>
          <w:p w14:paraId="6873D5C3" w14:textId="77777777" w:rsidR="00451DA9" w:rsidRPr="008F2FAF" w:rsidRDefault="00451DA9" w:rsidP="00051B4B">
            <w:pPr>
              <w:adjustRightInd w:val="0"/>
              <w:snapToGrid w:val="0"/>
              <w:spacing w:line="360" w:lineRule="auto"/>
              <w:jc w:val="both"/>
              <w:rPr>
                <w:rFonts w:ascii="Book Antiqua" w:eastAsia="Calibri" w:hAnsi="Book Antiqua" w:cs="Times New Roman"/>
                <w:b/>
              </w:rPr>
            </w:pPr>
            <w:r w:rsidRPr="008F2FAF">
              <w:rPr>
                <w:rFonts w:ascii="Book Antiqua" w:eastAsia="Calibri" w:hAnsi="Book Antiqua" w:cs="Times New Roman"/>
                <w:b/>
              </w:rPr>
              <w:t>Age</w:t>
            </w:r>
          </w:p>
        </w:tc>
        <w:tc>
          <w:tcPr>
            <w:tcW w:w="750" w:type="dxa"/>
            <w:tcBorders>
              <w:top w:val="single" w:sz="4" w:space="0" w:color="auto"/>
              <w:bottom w:val="single" w:sz="4" w:space="0" w:color="auto"/>
            </w:tcBorders>
          </w:tcPr>
          <w:p w14:paraId="3EDC8A75" w14:textId="77777777" w:rsidR="00451DA9" w:rsidRPr="008F2FAF" w:rsidRDefault="00451DA9" w:rsidP="00051B4B">
            <w:pPr>
              <w:adjustRightInd w:val="0"/>
              <w:snapToGrid w:val="0"/>
              <w:spacing w:line="360" w:lineRule="auto"/>
              <w:jc w:val="both"/>
              <w:rPr>
                <w:rFonts w:ascii="Book Antiqua" w:eastAsia="Calibri" w:hAnsi="Book Antiqua" w:cs="Times New Roman"/>
                <w:b/>
              </w:rPr>
            </w:pPr>
            <w:r w:rsidRPr="008F2FAF">
              <w:rPr>
                <w:rFonts w:ascii="Book Antiqua" w:eastAsia="Calibri" w:hAnsi="Book Antiqua" w:cs="Times New Roman"/>
                <w:b/>
              </w:rPr>
              <w:t>Gender</w:t>
            </w:r>
          </w:p>
        </w:tc>
        <w:tc>
          <w:tcPr>
            <w:tcW w:w="571" w:type="dxa"/>
            <w:tcBorders>
              <w:top w:val="single" w:sz="4" w:space="0" w:color="auto"/>
              <w:bottom w:val="single" w:sz="4" w:space="0" w:color="auto"/>
            </w:tcBorders>
          </w:tcPr>
          <w:p w14:paraId="2DB88492" w14:textId="77777777" w:rsidR="00451DA9" w:rsidRPr="008F2FAF" w:rsidRDefault="00451DA9" w:rsidP="00051B4B">
            <w:pPr>
              <w:adjustRightInd w:val="0"/>
              <w:snapToGrid w:val="0"/>
              <w:spacing w:line="360" w:lineRule="auto"/>
              <w:jc w:val="both"/>
              <w:rPr>
                <w:rFonts w:ascii="Book Antiqua" w:eastAsia="Calibri" w:hAnsi="Book Antiqua" w:cs="Times New Roman"/>
                <w:b/>
              </w:rPr>
            </w:pPr>
            <w:r w:rsidRPr="008F2FAF">
              <w:rPr>
                <w:rFonts w:ascii="Book Antiqua" w:eastAsia="Calibri" w:hAnsi="Book Antiqua" w:cs="Times New Roman"/>
                <w:b/>
              </w:rPr>
              <w:t>BMI</w:t>
            </w:r>
          </w:p>
        </w:tc>
        <w:tc>
          <w:tcPr>
            <w:tcW w:w="993" w:type="dxa"/>
            <w:tcBorders>
              <w:top w:val="single" w:sz="4" w:space="0" w:color="auto"/>
              <w:bottom w:val="single" w:sz="4" w:space="0" w:color="auto"/>
            </w:tcBorders>
          </w:tcPr>
          <w:p w14:paraId="1AC29541" w14:textId="77777777" w:rsidR="00451DA9" w:rsidRPr="008F2FAF" w:rsidRDefault="00451DA9" w:rsidP="00051B4B">
            <w:pPr>
              <w:adjustRightInd w:val="0"/>
              <w:snapToGrid w:val="0"/>
              <w:spacing w:line="360" w:lineRule="auto"/>
              <w:jc w:val="both"/>
              <w:rPr>
                <w:rFonts w:ascii="Book Antiqua" w:eastAsia="Calibri" w:hAnsi="Book Antiqua" w:cs="Times New Roman"/>
                <w:b/>
              </w:rPr>
            </w:pPr>
            <w:r w:rsidRPr="008F2FAF">
              <w:rPr>
                <w:rFonts w:ascii="Book Antiqua" w:eastAsia="Calibri" w:hAnsi="Book Antiqua" w:cs="Times New Roman"/>
                <w:b/>
              </w:rPr>
              <w:t>Etiology of liver disease</w:t>
            </w:r>
          </w:p>
        </w:tc>
        <w:tc>
          <w:tcPr>
            <w:tcW w:w="900" w:type="dxa"/>
            <w:tcBorders>
              <w:top w:val="single" w:sz="4" w:space="0" w:color="auto"/>
              <w:bottom w:val="single" w:sz="4" w:space="0" w:color="auto"/>
            </w:tcBorders>
          </w:tcPr>
          <w:p w14:paraId="35E4ABA4" w14:textId="77777777" w:rsidR="00451DA9" w:rsidRPr="008F2FAF" w:rsidRDefault="00451DA9" w:rsidP="00051B4B">
            <w:pPr>
              <w:adjustRightInd w:val="0"/>
              <w:snapToGrid w:val="0"/>
              <w:spacing w:line="360" w:lineRule="auto"/>
              <w:jc w:val="both"/>
              <w:rPr>
                <w:rFonts w:ascii="Book Antiqua" w:eastAsia="Calibri" w:hAnsi="Book Antiqua" w:cs="Times New Roman"/>
                <w:b/>
              </w:rPr>
            </w:pPr>
            <w:r w:rsidRPr="008F2FAF">
              <w:rPr>
                <w:rFonts w:ascii="Book Antiqua" w:eastAsia="Calibri" w:hAnsi="Book Antiqua" w:cs="Times New Roman"/>
                <w:b/>
              </w:rPr>
              <w:t xml:space="preserve">MELD-Na score at GAVE diagnosis </w:t>
            </w:r>
          </w:p>
        </w:tc>
        <w:tc>
          <w:tcPr>
            <w:tcW w:w="920" w:type="dxa"/>
            <w:tcBorders>
              <w:top w:val="single" w:sz="4" w:space="0" w:color="auto"/>
              <w:bottom w:val="single" w:sz="4" w:space="0" w:color="auto"/>
            </w:tcBorders>
          </w:tcPr>
          <w:p w14:paraId="209981EE" w14:textId="77777777" w:rsidR="00451DA9" w:rsidRPr="008F2FAF" w:rsidRDefault="008F2FAF" w:rsidP="00051B4B">
            <w:pPr>
              <w:adjustRightInd w:val="0"/>
              <w:snapToGrid w:val="0"/>
              <w:spacing w:line="360" w:lineRule="auto"/>
              <w:jc w:val="both"/>
              <w:rPr>
                <w:rFonts w:ascii="Book Antiqua" w:eastAsia="Calibri" w:hAnsi="Book Antiqua" w:cs="Times New Roman"/>
                <w:b/>
              </w:rPr>
            </w:pPr>
            <w:r w:rsidRPr="008F2FAF">
              <w:rPr>
                <w:rFonts w:ascii="Book Antiqua" w:eastAsia="Calibri" w:hAnsi="Book Antiqua" w:cs="Times New Roman"/>
                <w:b/>
              </w:rPr>
              <w:t>Pre-OLT Hgb (g/d</w:t>
            </w:r>
            <w:r w:rsidRPr="008F2FAF">
              <w:rPr>
                <w:rFonts w:ascii="Book Antiqua" w:hAnsi="Book Antiqua" w:cs="Times New Roman" w:hint="eastAsia"/>
                <w:b/>
                <w:lang w:eastAsia="zh-CN"/>
              </w:rPr>
              <w:t>L</w:t>
            </w:r>
            <w:r w:rsidR="00451DA9" w:rsidRPr="008F2FAF">
              <w:rPr>
                <w:rFonts w:ascii="Book Antiqua" w:eastAsia="Calibri" w:hAnsi="Book Antiqua" w:cs="Times New Roman"/>
                <w:b/>
              </w:rPr>
              <w:t>)</w:t>
            </w:r>
          </w:p>
        </w:tc>
        <w:tc>
          <w:tcPr>
            <w:tcW w:w="1920" w:type="dxa"/>
            <w:tcBorders>
              <w:top w:val="single" w:sz="4" w:space="0" w:color="auto"/>
              <w:bottom w:val="single" w:sz="4" w:space="0" w:color="auto"/>
            </w:tcBorders>
          </w:tcPr>
          <w:p w14:paraId="3C1A48A6" w14:textId="77777777" w:rsidR="00451DA9" w:rsidRPr="008F2FAF" w:rsidRDefault="00451DA9" w:rsidP="00051B4B">
            <w:pPr>
              <w:adjustRightInd w:val="0"/>
              <w:snapToGrid w:val="0"/>
              <w:spacing w:line="360" w:lineRule="auto"/>
              <w:jc w:val="both"/>
              <w:rPr>
                <w:rFonts w:ascii="Book Antiqua" w:eastAsia="Calibri" w:hAnsi="Book Antiqua" w:cs="Times New Roman"/>
                <w:b/>
              </w:rPr>
            </w:pPr>
            <w:r w:rsidRPr="008F2FAF">
              <w:rPr>
                <w:rFonts w:ascii="Book Antiqua" w:eastAsia="Calibri" w:hAnsi="Book Antiqua" w:cs="Times New Roman"/>
                <w:b/>
              </w:rPr>
              <w:t>GAVE pattern</w:t>
            </w:r>
          </w:p>
        </w:tc>
        <w:tc>
          <w:tcPr>
            <w:tcW w:w="1027" w:type="dxa"/>
            <w:tcBorders>
              <w:top w:val="single" w:sz="4" w:space="0" w:color="auto"/>
              <w:bottom w:val="single" w:sz="4" w:space="0" w:color="auto"/>
            </w:tcBorders>
          </w:tcPr>
          <w:p w14:paraId="5761E331" w14:textId="77777777" w:rsidR="00451DA9" w:rsidRPr="008F2FAF" w:rsidRDefault="00451DA9" w:rsidP="00051B4B">
            <w:pPr>
              <w:adjustRightInd w:val="0"/>
              <w:snapToGrid w:val="0"/>
              <w:spacing w:line="360" w:lineRule="auto"/>
              <w:jc w:val="both"/>
              <w:rPr>
                <w:rFonts w:ascii="Book Antiqua" w:eastAsia="Calibri" w:hAnsi="Book Antiqua" w:cs="Times New Roman"/>
                <w:b/>
              </w:rPr>
            </w:pPr>
            <w:r w:rsidRPr="008F2FAF">
              <w:rPr>
                <w:rFonts w:ascii="Book Antiqua" w:eastAsia="Calibri" w:hAnsi="Book Antiqua" w:cs="Times New Roman"/>
                <w:b/>
              </w:rPr>
              <w:t>Endoscopic therapy</w:t>
            </w:r>
          </w:p>
        </w:tc>
        <w:tc>
          <w:tcPr>
            <w:tcW w:w="988" w:type="dxa"/>
            <w:tcBorders>
              <w:top w:val="single" w:sz="4" w:space="0" w:color="auto"/>
              <w:bottom w:val="single" w:sz="4" w:space="0" w:color="auto"/>
            </w:tcBorders>
          </w:tcPr>
          <w:p w14:paraId="6155B54D" w14:textId="77777777" w:rsidR="00451DA9" w:rsidRPr="008F2FAF" w:rsidRDefault="00451DA9" w:rsidP="00051B4B">
            <w:pPr>
              <w:adjustRightInd w:val="0"/>
              <w:snapToGrid w:val="0"/>
              <w:spacing w:line="360" w:lineRule="auto"/>
              <w:jc w:val="both"/>
              <w:rPr>
                <w:rFonts w:ascii="Book Antiqua" w:eastAsia="Calibri" w:hAnsi="Book Antiqua" w:cs="Times New Roman"/>
                <w:b/>
              </w:rPr>
            </w:pPr>
            <w:r w:rsidRPr="008F2FAF">
              <w:rPr>
                <w:rFonts w:ascii="Book Antiqua" w:eastAsia="Calibri" w:hAnsi="Book Antiqua" w:cs="Times New Roman"/>
                <w:b/>
              </w:rPr>
              <w:t>Resolution of GAVE post-OLT</w:t>
            </w:r>
          </w:p>
        </w:tc>
      </w:tr>
      <w:tr w:rsidR="00451DA9" w:rsidRPr="00B33149" w14:paraId="2CE34BCD" w14:textId="77777777" w:rsidTr="0042759F">
        <w:trPr>
          <w:trHeight w:val="368"/>
        </w:trPr>
        <w:tc>
          <w:tcPr>
            <w:tcW w:w="741" w:type="dxa"/>
            <w:tcBorders>
              <w:top w:val="single" w:sz="4" w:space="0" w:color="auto"/>
            </w:tcBorders>
          </w:tcPr>
          <w:p w14:paraId="526EF129"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1</w:t>
            </w:r>
          </w:p>
        </w:tc>
        <w:tc>
          <w:tcPr>
            <w:tcW w:w="540" w:type="dxa"/>
            <w:tcBorders>
              <w:top w:val="single" w:sz="4" w:space="0" w:color="auto"/>
            </w:tcBorders>
          </w:tcPr>
          <w:p w14:paraId="05269913"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66</w:t>
            </w:r>
          </w:p>
        </w:tc>
        <w:tc>
          <w:tcPr>
            <w:tcW w:w="750" w:type="dxa"/>
            <w:tcBorders>
              <w:top w:val="single" w:sz="4" w:space="0" w:color="auto"/>
            </w:tcBorders>
          </w:tcPr>
          <w:p w14:paraId="34CB25F3"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F</w:t>
            </w:r>
          </w:p>
        </w:tc>
        <w:tc>
          <w:tcPr>
            <w:tcW w:w="571" w:type="dxa"/>
            <w:tcBorders>
              <w:top w:val="single" w:sz="4" w:space="0" w:color="auto"/>
            </w:tcBorders>
          </w:tcPr>
          <w:p w14:paraId="707BB005"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33.7</w:t>
            </w:r>
          </w:p>
        </w:tc>
        <w:tc>
          <w:tcPr>
            <w:tcW w:w="993" w:type="dxa"/>
            <w:tcBorders>
              <w:top w:val="single" w:sz="4" w:space="0" w:color="auto"/>
            </w:tcBorders>
          </w:tcPr>
          <w:p w14:paraId="541C9A5D"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NASH</w:t>
            </w:r>
          </w:p>
        </w:tc>
        <w:tc>
          <w:tcPr>
            <w:tcW w:w="900" w:type="dxa"/>
            <w:tcBorders>
              <w:top w:val="single" w:sz="4" w:space="0" w:color="auto"/>
            </w:tcBorders>
          </w:tcPr>
          <w:p w14:paraId="685AC703"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26</w:t>
            </w:r>
          </w:p>
        </w:tc>
        <w:tc>
          <w:tcPr>
            <w:tcW w:w="920" w:type="dxa"/>
            <w:tcBorders>
              <w:top w:val="single" w:sz="4" w:space="0" w:color="auto"/>
            </w:tcBorders>
          </w:tcPr>
          <w:p w14:paraId="7D91A723"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8</w:t>
            </w:r>
          </w:p>
        </w:tc>
        <w:tc>
          <w:tcPr>
            <w:tcW w:w="1920" w:type="dxa"/>
            <w:tcBorders>
              <w:top w:val="single" w:sz="4" w:space="0" w:color="auto"/>
            </w:tcBorders>
          </w:tcPr>
          <w:p w14:paraId="57C5DCE1"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Diffuse punctate GAVE</w:t>
            </w:r>
          </w:p>
        </w:tc>
        <w:tc>
          <w:tcPr>
            <w:tcW w:w="1027" w:type="dxa"/>
            <w:tcBorders>
              <w:top w:val="single" w:sz="4" w:space="0" w:color="auto"/>
            </w:tcBorders>
          </w:tcPr>
          <w:p w14:paraId="5CB7849E"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APC</w:t>
            </w:r>
          </w:p>
        </w:tc>
        <w:tc>
          <w:tcPr>
            <w:tcW w:w="988" w:type="dxa"/>
            <w:tcBorders>
              <w:top w:val="single" w:sz="4" w:space="0" w:color="auto"/>
            </w:tcBorders>
          </w:tcPr>
          <w:p w14:paraId="07679C49"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Yes</w:t>
            </w:r>
          </w:p>
        </w:tc>
      </w:tr>
      <w:tr w:rsidR="00451DA9" w:rsidRPr="00B33149" w14:paraId="7B7C9D13" w14:textId="77777777" w:rsidTr="0042759F">
        <w:trPr>
          <w:trHeight w:val="368"/>
        </w:trPr>
        <w:tc>
          <w:tcPr>
            <w:tcW w:w="741" w:type="dxa"/>
          </w:tcPr>
          <w:p w14:paraId="26DFC28D"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2</w:t>
            </w:r>
          </w:p>
        </w:tc>
        <w:tc>
          <w:tcPr>
            <w:tcW w:w="540" w:type="dxa"/>
          </w:tcPr>
          <w:p w14:paraId="71377535"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55</w:t>
            </w:r>
          </w:p>
        </w:tc>
        <w:tc>
          <w:tcPr>
            <w:tcW w:w="750" w:type="dxa"/>
          </w:tcPr>
          <w:p w14:paraId="77987839"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F</w:t>
            </w:r>
          </w:p>
        </w:tc>
        <w:tc>
          <w:tcPr>
            <w:tcW w:w="571" w:type="dxa"/>
          </w:tcPr>
          <w:p w14:paraId="2F491A38"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28</w:t>
            </w:r>
          </w:p>
        </w:tc>
        <w:tc>
          <w:tcPr>
            <w:tcW w:w="993" w:type="dxa"/>
          </w:tcPr>
          <w:p w14:paraId="227FA565"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cryptogenic</w:t>
            </w:r>
          </w:p>
        </w:tc>
        <w:tc>
          <w:tcPr>
            <w:tcW w:w="900" w:type="dxa"/>
          </w:tcPr>
          <w:p w14:paraId="15F8DF5F"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15</w:t>
            </w:r>
          </w:p>
        </w:tc>
        <w:tc>
          <w:tcPr>
            <w:tcW w:w="920" w:type="dxa"/>
          </w:tcPr>
          <w:p w14:paraId="079E0486"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8.7</w:t>
            </w:r>
          </w:p>
        </w:tc>
        <w:tc>
          <w:tcPr>
            <w:tcW w:w="1920" w:type="dxa"/>
          </w:tcPr>
          <w:p w14:paraId="54204752"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Pre-OLT: Striped GAVE</w:t>
            </w:r>
          </w:p>
          <w:p w14:paraId="755CE8EE"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Post-OLT: Nodular polypoid GAVE with exudate</w:t>
            </w:r>
          </w:p>
        </w:tc>
        <w:tc>
          <w:tcPr>
            <w:tcW w:w="1027" w:type="dxa"/>
          </w:tcPr>
          <w:p w14:paraId="0860F1FE"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None</w:t>
            </w:r>
          </w:p>
        </w:tc>
        <w:tc>
          <w:tcPr>
            <w:tcW w:w="988" w:type="dxa"/>
          </w:tcPr>
          <w:p w14:paraId="0A3056BF"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w:t>
            </w:r>
          </w:p>
        </w:tc>
      </w:tr>
      <w:tr w:rsidR="00451DA9" w:rsidRPr="00B33149" w14:paraId="3B8AD630" w14:textId="77777777" w:rsidTr="0042759F">
        <w:trPr>
          <w:trHeight w:val="368"/>
        </w:trPr>
        <w:tc>
          <w:tcPr>
            <w:tcW w:w="741" w:type="dxa"/>
          </w:tcPr>
          <w:p w14:paraId="76A2CAE0"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3</w:t>
            </w:r>
          </w:p>
        </w:tc>
        <w:tc>
          <w:tcPr>
            <w:tcW w:w="540" w:type="dxa"/>
          </w:tcPr>
          <w:p w14:paraId="5E4DDFA5"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50</w:t>
            </w:r>
          </w:p>
        </w:tc>
        <w:tc>
          <w:tcPr>
            <w:tcW w:w="750" w:type="dxa"/>
          </w:tcPr>
          <w:p w14:paraId="6C89A8E9"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M</w:t>
            </w:r>
          </w:p>
        </w:tc>
        <w:tc>
          <w:tcPr>
            <w:tcW w:w="571" w:type="dxa"/>
          </w:tcPr>
          <w:p w14:paraId="7821E907"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42.7</w:t>
            </w:r>
          </w:p>
        </w:tc>
        <w:tc>
          <w:tcPr>
            <w:tcW w:w="993" w:type="dxa"/>
          </w:tcPr>
          <w:p w14:paraId="47F5B172"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NASH</w:t>
            </w:r>
          </w:p>
        </w:tc>
        <w:tc>
          <w:tcPr>
            <w:tcW w:w="900" w:type="dxa"/>
          </w:tcPr>
          <w:p w14:paraId="37A53EA7"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32</w:t>
            </w:r>
          </w:p>
        </w:tc>
        <w:tc>
          <w:tcPr>
            <w:tcW w:w="920" w:type="dxa"/>
          </w:tcPr>
          <w:p w14:paraId="59615725"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7</w:t>
            </w:r>
          </w:p>
        </w:tc>
        <w:tc>
          <w:tcPr>
            <w:tcW w:w="1920" w:type="dxa"/>
          </w:tcPr>
          <w:p w14:paraId="0659156A"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Linear/striped GAVE</w:t>
            </w:r>
          </w:p>
        </w:tc>
        <w:tc>
          <w:tcPr>
            <w:tcW w:w="1027" w:type="dxa"/>
          </w:tcPr>
          <w:p w14:paraId="2297375C"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APC</w:t>
            </w:r>
          </w:p>
        </w:tc>
        <w:tc>
          <w:tcPr>
            <w:tcW w:w="988" w:type="dxa"/>
          </w:tcPr>
          <w:p w14:paraId="1E339293"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Yes</w:t>
            </w:r>
          </w:p>
        </w:tc>
      </w:tr>
      <w:tr w:rsidR="00451DA9" w:rsidRPr="00B33149" w14:paraId="11380B2A" w14:textId="77777777" w:rsidTr="0042759F">
        <w:trPr>
          <w:trHeight w:val="368"/>
        </w:trPr>
        <w:tc>
          <w:tcPr>
            <w:tcW w:w="741" w:type="dxa"/>
          </w:tcPr>
          <w:p w14:paraId="5847BF89"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4</w:t>
            </w:r>
          </w:p>
        </w:tc>
        <w:tc>
          <w:tcPr>
            <w:tcW w:w="540" w:type="dxa"/>
          </w:tcPr>
          <w:p w14:paraId="538BCB47"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57</w:t>
            </w:r>
          </w:p>
        </w:tc>
        <w:tc>
          <w:tcPr>
            <w:tcW w:w="750" w:type="dxa"/>
          </w:tcPr>
          <w:p w14:paraId="35023AD6"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F</w:t>
            </w:r>
          </w:p>
        </w:tc>
        <w:tc>
          <w:tcPr>
            <w:tcW w:w="571" w:type="dxa"/>
          </w:tcPr>
          <w:p w14:paraId="3197E7A1"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32.9</w:t>
            </w:r>
          </w:p>
        </w:tc>
        <w:tc>
          <w:tcPr>
            <w:tcW w:w="993" w:type="dxa"/>
          </w:tcPr>
          <w:p w14:paraId="2B9DD4B2"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cryptogenic</w:t>
            </w:r>
          </w:p>
        </w:tc>
        <w:tc>
          <w:tcPr>
            <w:tcW w:w="900" w:type="dxa"/>
          </w:tcPr>
          <w:p w14:paraId="60F575E5"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13</w:t>
            </w:r>
          </w:p>
        </w:tc>
        <w:tc>
          <w:tcPr>
            <w:tcW w:w="920" w:type="dxa"/>
          </w:tcPr>
          <w:p w14:paraId="43B8CC1A"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7.2</w:t>
            </w:r>
          </w:p>
        </w:tc>
        <w:tc>
          <w:tcPr>
            <w:tcW w:w="1920" w:type="dxa"/>
          </w:tcPr>
          <w:p w14:paraId="237AC93B"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Striped and nodular GAVE</w:t>
            </w:r>
          </w:p>
        </w:tc>
        <w:tc>
          <w:tcPr>
            <w:tcW w:w="1027" w:type="dxa"/>
          </w:tcPr>
          <w:p w14:paraId="3886905C"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Banding</w:t>
            </w:r>
          </w:p>
        </w:tc>
        <w:tc>
          <w:tcPr>
            <w:tcW w:w="988" w:type="dxa"/>
          </w:tcPr>
          <w:p w14:paraId="1D5CEE8B"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Yes</w:t>
            </w:r>
          </w:p>
        </w:tc>
      </w:tr>
      <w:tr w:rsidR="00451DA9" w:rsidRPr="00B33149" w14:paraId="15E1BB4D" w14:textId="77777777" w:rsidTr="0042759F">
        <w:trPr>
          <w:trHeight w:val="368"/>
        </w:trPr>
        <w:tc>
          <w:tcPr>
            <w:tcW w:w="741" w:type="dxa"/>
          </w:tcPr>
          <w:p w14:paraId="2E10F45E"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5</w:t>
            </w:r>
          </w:p>
        </w:tc>
        <w:tc>
          <w:tcPr>
            <w:tcW w:w="540" w:type="dxa"/>
          </w:tcPr>
          <w:p w14:paraId="5B7B9722"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59</w:t>
            </w:r>
          </w:p>
        </w:tc>
        <w:tc>
          <w:tcPr>
            <w:tcW w:w="750" w:type="dxa"/>
          </w:tcPr>
          <w:p w14:paraId="2F61DD27"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F</w:t>
            </w:r>
          </w:p>
        </w:tc>
        <w:tc>
          <w:tcPr>
            <w:tcW w:w="571" w:type="dxa"/>
          </w:tcPr>
          <w:p w14:paraId="586DE6ED"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35.7</w:t>
            </w:r>
          </w:p>
        </w:tc>
        <w:tc>
          <w:tcPr>
            <w:tcW w:w="993" w:type="dxa"/>
          </w:tcPr>
          <w:p w14:paraId="0B40F010"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NASH</w:t>
            </w:r>
          </w:p>
        </w:tc>
        <w:tc>
          <w:tcPr>
            <w:tcW w:w="900" w:type="dxa"/>
          </w:tcPr>
          <w:p w14:paraId="554640BF"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14</w:t>
            </w:r>
          </w:p>
        </w:tc>
        <w:tc>
          <w:tcPr>
            <w:tcW w:w="920" w:type="dxa"/>
          </w:tcPr>
          <w:p w14:paraId="032EBC4D"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6.7</w:t>
            </w:r>
          </w:p>
        </w:tc>
        <w:tc>
          <w:tcPr>
            <w:tcW w:w="1920" w:type="dxa"/>
          </w:tcPr>
          <w:p w14:paraId="32FA9271"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 xml:space="preserve">Pre and post-OLT: </w:t>
            </w:r>
          </w:p>
          <w:p w14:paraId="51D0C2EF"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Nodular polypoid GAVE with exudate</w:t>
            </w:r>
          </w:p>
        </w:tc>
        <w:tc>
          <w:tcPr>
            <w:tcW w:w="1027" w:type="dxa"/>
          </w:tcPr>
          <w:p w14:paraId="50D3190C"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Banding</w:t>
            </w:r>
          </w:p>
        </w:tc>
        <w:tc>
          <w:tcPr>
            <w:tcW w:w="988" w:type="dxa"/>
          </w:tcPr>
          <w:p w14:paraId="4D74D37A"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w:t>
            </w:r>
          </w:p>
        </w:tc>
      </w:tr>
      <w:tr w:rsidR="00451DA9" w:rsidRPr="00B33149" w14:paraId="60522E18" w14:textId="77777777" w:rsidTr="0042759F">
        <w:trPr>
          <w:trHeight w:val="346"/>
        </w:trPr>
        <w:tc>
          <w:tcPr>
            <w:tcW w:w="741" w:type="dxa"/>
          </w:tcPr>
          <w:p w14:paraId="0FDB337F"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lastRenderedPageBreak/>
              <w:t>6</w:t>
            </w:r>
          </w:p>
        </w:tc>
        <w:tc>
          <w:tcPr>
            <w:tcW w:w="540" w:type="dxa"/>
          </w:tcPr>
          <w:p w14:paraId="67533D4A"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51</w:t>
            </w:r>
          </w:p>
        </w:tc>
        <w:tc>
          <w:tcPr>
            <w:tcW w:w="750" w:type="dxa"/>
          </w:tcPr>
          <w:p w14:paraId="7F633BE3"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M</w:t>
            </w:r>
          </w:p>
        </w:tc>
        <w:tc>
          <w:tcPr>
            <w:tcW w:w="571" w:type="dxa"/>
          </w:tcPr>
          <w:p w14:paraId="1CFD64E9"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23</w:t>
            </w:r>
          </w:p>
        </w:tc>
        <w:tc>
          <w:tcPr>
            <w:tcW w:w="993" w:type="dxa"/>
          </w:tcPr>
          <w:p w14:paraId="4014F26C"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Alcohol</w:t>
            </w:r>
          </w:p>
        </w:tc>
        <w:tc>
          <w:tcPr>
            <w:tcW w:w="900" w:type="dxa"/>
          </w:tcPr>
          <w:p w14:paraId="7EA4E06A"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30</w:t>
            </w:r>
          </w:p>
        </w:tc>
        <w:tc>
          <w:tcPr>
            <w:tcW w:w="920" w:type="dxa"/>
          </w:tcPr>
          <w:p w14:paraId="164231C7"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7.1</w:t>
            </w:r>
          </w:p>
        </w:tc>
        <w:tc>
          <w:tcPr>
            <w:tcW w:w="1920" w:type="dxa"/>
          </w:tcPr>
          <w:p w14:paraId="047C6F18"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Diffuse punctate GAVE</w:t>
            </w:r>
          </w:p>
        </w:tc>
        <w:tc>
          <w:tcPr>
            <w:tcW w:w="1027" w:type="dxa"/>
          </w:tcPr>
          <w:p w14:paraId="34BEB05B"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APC</w:t>
            </w:r>
          </w:p>
        </w:tc>
        <w:tc>
          <w:tcPr>
            <w:tcW w:w="988" w:type="dxa"/>
          </w:tcPr>
          <w:p w14:paraId="12805539"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Yes</w:t>
            </w:r>
          </w:p>
        </w:tc>
      </w:tr>
      <w:tr w:rsidR="00451DA9" w:rsidRPr="00B33149" w14:paraId="45B08534" w14:textId="77777777" w:rsidTr="0042759F">
        <w:trPr>
          <w:trHeight w:val="287"/>
        </w:trPr>
        <w:tc>
          <w:tcPr>
            <w:tcW w:w="741" w:type="dxa"/>
          </w:tcPr>
          <w:p w14:paraId="4BBF2603"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7</w:t>
            </w:r>
          </w:p>
        </w:tc>
        <w:tc>
          <w:tcPr>
            <w:tcW w:w="540" w:type="dxa"/>
          </w:tcPr>
          <w:p w14:paraId="7F220C04"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51</w:t>
            </w:r>
          </w:p>
        </w:tc>
        <w:tc>
          <w:tcPr>
            <w:tcW w:w="750" w:type="dxa"/>
          </w:tcPr>
          <w:p w14:paraId="5833E7DE"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M</w:t>
            </w:r>
          </w:p>
        </w:tc>
        <w:tc>
          <w:tcPr>
            <w:tcW w:w="571" w:type="dxa"/>
          </w:tcPr>
          <w:p w14:paraId="5A531793"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27</w:t>
            </w:r>
          </w:p>
        </w:tc>
        <w:tc>
          <w:tcPr>
            <w:tcW w:w="993" w:type="dxa"/>
          </w:tcPr>
          <w:p w14:paraId="40BC39C5"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NASH</w:t>
            </w:r>
          </w:p>
        </w:tc>
        <w:tc>
          <w:tcPr>
            <w:tcW w:w="900" w:type="dxa"/>
          </w:tcPr>
          <w:p w14:paraId="10010C77"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23</w:t>
            </w:r>
          </w:p>
        </w:tc>
        <w:tc>
          <w:tcPr>
            <w:tcW w:w="920" w:type="dxa"/>
          </w:tcPr>
          <w:p w14:paraId="1347F92A"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7.2</w:t>
            </w:r>
          </w:p>
        </w:tc>
        <w:tc>
          <w:tcPr>
            <w:tcW w:w="1920" w:type="dxa"/>
          </w:tcPr>
          <w:p w14:paraId="4B2E821F"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Diffuse punctate GAVE</w:t>
            </w:r>
          </w:p>
        </w:tc>
        <w:tc>
          <w:tcPr>
            <w:tcW w:w="1027" w:type="dxa"/>
          </w:tcPr>
          <w:p w14:paraId="5242AC23"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APC</w:t>
            </w:r>
          </w:p>
        </w:tc>
        <w:tc>
          <w:tcPr>
            <w:tcW w:w="988" w:type="dxa"/>
          </w:tcPr>
          <w:p w14:paraId="62D2A27D"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Yes</w:t>
            </w:r>
          </w:p>
        </w:tc>
      </w:tr>
      <w:tr w:rsidR="00451DA9" w:rsidRPr="00B33149" w14:paraId="75A39000" w14:textId="77777777" w:rsidTr="0042759F">
        <w:trPr>
          <w:trHeight w:val="368"/>
        </w:trPr>
        <w:tc>
          <w:tcPr>
            <w:tcW w:w="741" w:type="dxa"/>
          </w:tcPr>
          <w:p w14:paraId="1FF2F608"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8</w:t>
            </w:r>
          </w:p>
        </w:tc>
        <w:tc>
          <w:tcPr>
            <w:tcW w:w="540" w:type="dxa"/>
          </w:tcPr>
          <w:p w14:paraId="46D55817"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57</w:t>
            </w:r>
          </w:p>
        </w:tc>
        <w:tc>
          <w:tcPr>
            <w:tcW w:w="750" w:type="dxa"/>
          </w:tcPr>
          <w:p w14:paraId="01A13344"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F</w:t>
            </w:r>
          </w:p>
        </w:tc>
        <w:tc>
          <w:tcPr>
            <w:tcW w:w="571" w:type="dxa"/>
          </w:tcPr>
          <w:p w14:paraId="20386111"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22</w:t>
            </w:r>
          </w:p>
        </w:tc>
        <w:tc>
          <w:tcPr>
            <w:tcW w:w="993" w:type="dxa"/>
          </w:tcPr>
          <w:p w14:paraId="2DF086D8"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Alcohol</w:t>
            </w:r>
          </w:p>
        </w:tc>
        <w:tc>
          <w:tcPr>
            <w:tcW w:w="900" w:type="dxa"/>
          </w:tcPr>
          <w:p w14:paraId="7F71DE40"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23</w:t>
            </w:r>
          </w:p>
        </w:tc>
        <w:tc>
          <w:tcPr>
            <w:tcW w:w="920" w:type="dxa"/>
          </w:tcPr>
          <w:p w14:paraId="4E683446"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7.5</w:t>
            </w:r>
          </w:p>
        </w:tc>
        <w:tc>
          <w:tcPr>
            <w:tcW w:w="1920" w:type="dxa"/>
          </w:tcPr>
          <w:p w14:paraId="0EAA3CC5"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Diffuse punctate GAVE</w:t>
            </w:r>
          </w:p>
        </w:tc>
        <w:tc>
          <w:tcPr>
            <w:tcW w:w="1027" w:type="dxa"/>
          </w:tcPr>
          <w:p w14:paraId="33EA1527"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None</w:t>
            </w:r>
          </w:p>
        </w:tc>
        <w:tc>
          <w:tcPr>
            <w:tcW w:w="988" w:type="dxa"/>
          </w:tcPr>
          <w:p w14:paraId="363A4CDD"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Yes</w:t>
            </w:r>
          </w:p>
        </w:tc>
      </w:tr>
      <w:tr w:rsidR="00451DA9" w:rsidRPr="00B33149" w14:paraId="595D3013" w14:textId="77777777" w:rsidTr="0042759F">
        <w:trPr>
          <w:trHeight w:val="368"/>
        </w:trPr>
        <w:tc>
          <w:tcPr>
            <w:tcW w:w="741" w:type="dxa"/>
          </w:tcPr>
          <w:p w14:paraId="1ED8486A"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9</w:t>
            </w:r>
          </w:p>
        </w:tc>
        <w:tc>
          <w:tcPr>
            <w:tcW w:w="540" w:type="dxa"/>
          </w:tcPr>
          <w:p w14:paraId="6A5EBA16"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59</w:t>
            </w:r>
          </w:p>
        </w:tc>
        <w:tc>
          <w:tcPr>
            <w:tcW w:w="750" w:type="dxa"/>
          </w:tcPr>
          <w:p w14:paraId="4F15C4F1"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F</w:t>
            </w:r>
          </w:p>
        </w:tc>
        <w:tc>
          <w:tcPr>
            <w:tcW w:w="571" w:type="dxa"/>
          </w:tcPr>
          <w:p w14:paraId="1131416C"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32.6</w:t>
            </w:r>
          </w:p>
        </w:tc>
        <w:tc>
          <w:tcPr>
            <w:tcW w:w="993" w:type="dxa"/>
          </w:tcPr>
          <w:p w14:paraId="29A786FB"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NASH</w:t>
            </w:r>
          </w:p>
        </w:tc>
        <w:tc>
          <w:tcPr>
            <w:tcW w:w="900" w:type="dxa"/>
          </w:tcPr>
          <w:p w14:paraId="1AF20E3F"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31</w:t>
            </w:r>
          </w:p>
        </w:tc>
        <w:tc>
          <w:tcPr>
            <w:tcW w:w="920" w:type="dxa"/>
          </w:tcPr>
          <w:p w14:paraId="5319502A"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7.7</w:t>
            </w:r>
          </w:p>
        </w:tc>
        <w:tc>
          <w:tcPr>
            <w:tcW w:w="1920" w:type="dxa"/>
          </w:tcPr>
          <w:p w14:paraId="0D254DD4"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Diffuse punctate GAVE</w:t>
            </w:r>
          </w:p>
        </w:tc>
        <w:tc>
          <w:tcPr>
            <w:tcW w:w="1027" w:type="dxa"/>
          </w:tcPr>
          <w:p w14:paraId="6B276713"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Banding</w:t>
            </w:r>
          </w:p>
        </w:tc>
        <w:tc>
          <w:tcPr>
            <w:tcW w:w="988" w:type="dxa"/>
          </w:tcPr>
          <w:p w14:paraId="61AA326B"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Yes</w:t>
            </w:r>
          </w:p>
        </w:tc>
      </w:tr>
      <w:tr w:rsidR="00451DA9" w:rsidRPr="00B33149" w14:paraId="398CA286" w14:textId="77777777" w:rsidTr="0042759F">
        <w:trPr>
          <w:trHeight w:val="368"/>
        </w:trPr>
        <w:tc>
          <w:tcPr>
            <w:tcW w:w="741" w:type="dxa"/>
          </w:tcPr>
          <w:p w14:paraId="670A36BF"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10</w:t>
            </w:r>
          </w:p>
        </w:tc>
        <w:tc>
          <w:tcPr>
            <w:tcW w:w="540" w:type="dxa"/>
          </w:tcPr>
          <w:p w14:paraId="0DE3222B"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40</w:t>
            </w:r>
          </w:p>
        </w:tc>
        <w:tc>
          <w:tcPr>
            <w:tcW w:w="750" w:type="dxa"/>
          </w:tcPr>
          <w:p w14:paraId="5DA28ADC"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M</w:t>
            </w:r>
          </w:p>
        </w:tc>
        <w:tc>
          <w:tcPr>
            <w:tcW w:w="571" w:type="dxa"/>
          </w:tcPr>
          <w:p w14:paraId="3FB5FF73"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36.6</w:t>
            </w:r>
          </w:p>
        </w:tc>
        <w:tc>
          <w:tcPr>
            <w:tcW w:w="993" w:type="dxa"/>
          </w:tcPr>
          <w:p w14:paraId="4415BD56"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Alcohol, HCV</w:t>
            </w:r>
          </w:p>
        </w:tc>
        <w:tc>
          <w:tcPr>
            <w:tcW w:w="900" w:type="dxa"/>
          </w:tcPr>
          <w:p w14:paraId="110D6EED"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Post-OLT diagnosis</w:t>
            </w:r>
          </w:p>
        </w:tc>
        <w:tc>
          <w:tcPr>
            <w:tcW w:w="920" w:type="dxa"/>
          </w:tcPr>
          <w:p w14:paraId="4B65360A"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6.9</w:t>
            </w:r>
          </w:p>
        </w:tc>
        <w:tc>
          <w:tcPr>
            <w:tcW w:w="1920" w:type="dxa"/>
          </w:tcPr>
          <w:p w14:paraId="04D70377"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p>
          <w:p w14:paraId="47AC99F0"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Post-OLT: linear striped; then polypoid GAVE</w:t>
            </w:r>
          </w:p>
        </w:tc>
        <w:tc>
          <w:tcPr>
            <w:tcW w:w="1027" w:type="dxa"/>
          </w:tcPr>
          <w:p w14:paraId="439A5E62"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None</w:t>
            </w:r>
          </w:p>
        </w:tc>
        <w:tc>
          <w:tcPr>
            <w:tcW w:w="988" w:type="dxa"/>
          </w:tcPr>
          <w:p w14:paraId="1423B969"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w:t>
            </w:r>
          </w:p>
        </w:tc>
      </w:tr>
      <w:tr w:rsidR="00451DA9" w:rsidRPr="00B33149" w14:paraId="1F0E9673" w14:textId="77777777" w:rsidTr="0042759F">
        <w:trPr>
          <w:trHeight w:val="368"/>
        </w:trPr>
        <w:tc>
          <w:tcPr>
            <w:tcW w:w="741" w:type="dxa"/>
          </w:tcPr>
          <w:p w14:paraId="6343BD0E"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11</w:t>
            </w:r>
          </w:p>
        </w:tc>
        <w:tc>
          <w:tcPr>
            <w:tcW w:w="540" w:type="dxa"/>
          </w:tcPr>
          <w:p w14:paraId="38B89BC7"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55</w:t>
            </w:r>
          </w:p>
        </w:tc>
        <w:tc>
          <w:tcPr>
            <w:tcW w:w="750" w:type="dxa"/>
          </w:tcPr>
          <w:p w14:paraId="1D3CE508"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M</w:t>
            </w:r>
          </w:p>
        </w:tc>
        <w:tc>
          <w:tcPr>
            <w:tcW w:w="571" w:type="dxa"/>
          </w:tcPr>
          <w:p w14:paraId="442B1F2D"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30.8</w:t>
            </w:r>
          </w:p>
        </w:tc>
        <w:tc>
          <w:tcPr>
            <w:tcW w:w="993" w:type="dxa"/>
          </w:tcPr>
          <w:p w14:paraId="4557CED3"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PSC</w:t>
            </w:r>
          </w:p>
        </w:tc>
        <w:tc>
          <w:tcPr>
            <w:tcW w:w="900" w:type="dxa"/>
          </w:tcPr>
          <w:p w14:paraId="54A64772"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13</w:t>
            </w:r>
          </w:p>
        </w:tc>
        <w:tc>
          <w:tcPr>
            <w:tcW w:w="920" w:type="dxa"/>
          </w:tcPr>
          <w:p w14:paraId="0A0FD59B"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8.8</w:t>
            </w:r>
          </w:p>
        </w:tc>
        <w:tc>
          <w:tcPr>
            <w:tcW w:w="1920" w:type="dxa"/>
          </w:tcPr>
          <w:p w14:paraId="1C825215"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Nodular polypoid GAVE with exudate</w:t>
            </w:r>
          </w:p>
        </w:tc>
        <w:tc>
          <w:tcPr>
            <w:tcW w:w="1027" w:type="dxa"/>
          </w:tcPr>
          <w:p w14:paraId="4E93C100"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None</w:t>
            </w:r>
          </w:p>
        </w:tc>
        <w:tc>
          <w:tcPr>
            <w:tcW w:w="988" w:type="dxa"/>
          </w:tcPr>
          <w:p w14:paraId="156000E2"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Yes</w:t>
            </w:r>
          </w:p>
        </w:tc>
      </w:tr>
      <w:tr w:rsidR="00451DA9" w:rsidRPr="00B33149" w14:paraId="26CD760D" w14:textId="77777777" w:rsidTr="0042759F">
        <w:trPr>
          <w:trHeight w:val="346"/>
        </w:trPr>
        <w:tc>
          <w:tcPr>
            <w:tcW w:w="741" w:type="dxa"/>
          </w:tcPr>
          <w:p w14:paraId="0DAE8409"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12</w:t>
            </w:r>
          </w:p>
        </w:tc>
        <w:tc>
          <w:tcPr>
            <w:tcW w:w="540" w:type="dxa"/>
          </w:tcPr>
          <w:p w14:paraId="7B0C00F7"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58</w:t>
            </w:r>
          </w:p>
        </w:tc>
        <w:tc>
          <w:tcPr>
            <w:tcW w:w="750" w:type="dxa"/>
          </w:tcPr>
          <w:p w14:paraId="168E10AC"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M</w:t>
            </w:r>
          </w:p>
        </w:tc>
        <w:tc>
          <w:tcPr>
            <w:tcW w:w="571" w:type="dxa"/>
          </w:tcPr>
          <w:p w14:paraId="63226395"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17.8</w:t>
            </w:r>
          </w:p>
        </w:tc>
        <w:tc>
          <w:tcPr>
            <w:tcW w:w="993" w:type="dxa"/>
          </w:tcPr>
          <w:p w14:paraId="395347CF"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Alcohol</w:t>
            </w:r>
          </w:p>
        </w:tc>
        <w:tc>
          <w:tcPr>
            <w:tcW w:w="900" w:type="dxa"/>
          </w:tcPr>
          <w:p w14:paraId="4AF6B3A1"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12</w:t>
            </w:r>
          </w:p>
        </w:tc>
        <w:tc>
          <w:tcPr>
            <w:tcW w:w="920" w:type="dxa"/>
          </w:tcPr>
          <w:p w14:paraId="755602BF"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7.3</w:t>
            </w:r>
          </w:p>
        </w:tc>
        <w:tc>
          <w:tcPr>
            <w:tcW w:w="1920" w:type="dxa"/>
          </w:tcPr>
          <w:p w14:paraId="7FB462BA"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Diffuse punctate GAVE</w:t>
            </w:r>
          </w:p>
        </w:tc>
        <w:tc>
          <w:tcPr>
            <w:tcW w:w="1027" w:type="dxa"/>
          </w:tcPr>
          <w:p w14:paraId="463C77D3"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None</w:t>
            </w:r>
          </w:p>
        </w:tc>
        <w:tc>
          <w:tcPr>
            <w:tcW w:w="988" w:type="dxa"/>
          </w:tcPr>
          <w:p w14:paraId="18CDB60B"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Yes</w:t>
            </w:r>
          </w:p>
        </w:tc>
      </w:tr>
      <w:tr w:rsidR="00451DA9" w:rsidRPr="00B33149" w14:paraId="1DF0721D" w14:textId="77777777" w:rsidTr="0042759F">
        <w:trPr>
          <w:trHeight w:val="368"/>
        </w:trPr>
        <w:tc>
          <w:tcPr>
            <w:tcW w:w="741" w:type="dxa"/>
          </w:tcPr>
          <w:p w14:paraId="33369116"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13</w:t>
            </w:r>
          </w:p>
        </w:tc>
        <w:tc>
          <w:tcPr>
            <w:tcW w:w="540" w:type="dxa"/>
          </w:tcPr>
          <w:p w14:paraId="4F68D3F4"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62</w:t>
            </w:r>
          </w:p>
        </w:tc>
        <w:tc>
          <w:tcPr>
            <w:tcW w:w="750" w:type="dxa"/>
          </w:tcPr>
          <w:p w14:paraId="0398251D"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F</w:t>
            </w:r>
          </w:p>
        </w:tc>
        <w:tc>
          <w:tcPr>
            <w:tcW w:w="571" w:type="dxa"/>
          </w:tcPr>
          <w:p w14:paraId="7ED48B78"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47.6</w:t>
            </w:r>
          </w:p>
        </w:tc>
        <w:tc>
          <w:tcPr>
            <w:tcW w:w="993" w:type="dxa"/>
          </w:tcPr>
          <w:p w14:paraId="3AF774CD"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HCV</w:t>
            </w:r>
          </w:p>
        </w:tc>
        <w:tc>
          <w:tcPr>
            <w:tcW w:w="900" w:type="dxa"/>
          </w:tcPr>
          <w:p w14:paraId="4248C034"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30</w:t>
            </w:r>
          </w:p>
        </w:tc>
        <w:tc>
          <w:tcPr>
            <w:tcW w:w="920" w:type="dxa"/>
          </w:tcPr>
          <w:p w14:paraId="7C025BA9"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7.6</w:t>
            </w:r>
          </w:p>
        </w:tc>
        <w:tc>
          <w:tcPr>
            <w:tcW w:w="1920" w:type="dxa"/>
          </w:tcPr>
          <w:p w14:paraId="01835B42"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Linear/striped GAVE</w:t>
            </w:r>
          </w:p>
        </w:tc>
        <w:tc>
          <w:tcPr>
            <w:tcW w:w="1027" w:type="dxa"/>
          </w:tcPr>
          <w:p w14:paraId="2750A601"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None</w:t>
            </w:r>
          </w:p>
        </w:tc>
        <w:tc>
          <w:tcPr>
            <w:tcW w:w="988" w:type="dxa"/>
          </w:tcPr>
          <w:p w14:paraId="5BFD4297"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Yes</w:t>
            </w:r>
          </w:p>
        </w:tc>
      </w:tr>
      <w:tr w:rsidR="00451DA9" w:rsidRPr="00B33149" w14:paraId="0E0885B6" w14:textId="77777777" w:rsidTr="0042759F">
        <w:trPr>
          <w:trHeight w:val="368"/>
        </w:trPr>
        <w:tc>
          <w:tcPr>
            <w:tcW w:w="741" w:type="dxa"/>
          </w:tcPr>
          <w:p w14:paraId="2C5676D6"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14</w:t>
            </w:r>
          </w:p>
        </w:tc>
        <w:tc>
          <w:tcPr>
            <w:tcW w:w="540" w:type="dxa"/>
          </w:tcPr>
          <w:p w14:paraId="0C19C158"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57</w:t>
            </w:r>
          </w:p>
        </w:tc>
        <w:tc>
          <w:tcPr>
            <w:tcW w:w="750" w:type="dxa"/>
          </w:tcPr>
          <w:p w14:paraId="531AF907"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F</w:t>
            </w:r>
          </w:p>
        </w:tc>
        <w:tc>
          <w:tcPr>
            <w:tcW w:w="571" w:type="dxa"/>
          </w:tcPr>
          <w:p w14:paraId="4CD053E4"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25.5</w:t>
            </w:r>
          </w:p>
        </w:tc>
        <w:tc>
          <w:tcPr>
            <w:tcW w:w="993" w:type="dxa"/>
          </w:tcPr>
          <w:p w14:paraId="6F2F1D34"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Budd Chiari syndrome</w:t>
            </w:r>
          </w:p>
        </w:tc>
        <w:tc>
          <w:tcPr>
            <w:tcW w:w="900" w:type="dxa"/>
          </w:tcPr>
          <w:p w14:paraId="7D8049C0"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Post-OLT diagnosis</w:t>
            </w:r>
          </w:p>
        </w:tc>
        <w:tc>
          <w:tcPr>
            <w:tcW w:w="920" w:type="dxa"/>
          </w:tcPr>
          <w:p w14:paraId="3D9A4050"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p>
        </w:tc>
        <w:tc>
          <w:tcPr>
            <w:tcW w:w="1920" w:type="dxa"/>
          </w:tcPr>
          <w:p w14:paraId="61A216C0"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 xml:space="preserve">Post-OLT: patchy mild punctate GAVE </w:t>
            </w:r>
          </w:p>
        </w:tc>
        <w:tc>
          <w:tcPr>
            <w:tcW w:w="1027" w:type="dxa"/>
          </w:tcPr>
          <w:p w14:paraId="224FADDA"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None</w:t>
            </w:r>
          </w:p>
        </w:tc>
        <w:tc>
          <w:tcPr>
            <w:tcW w:w="988" w:type="dxa"/>
          </w:tcPr>
          <w:p w14:paraId="65CD3F76"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w:t>
            </w:r>
          </w:p>
        </w:tc>
      </w:tr>
      <w:tr w:rsidR="00451DA9" w:rsidRPr="00B33149" w14:paraId="4847E9AE" w14:textId="77777777" w:rsidTr="0042759F">
        <w:trPr>
          <w:trHeight w:val="368"/>
        </w:trPr>
        <w:tc>
          <w:tcPr>
            <w:tcW w:w="741" w:type="dxa"/>
          </w:tcPr>
          <w:p w14:paraId="77FE438C"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15</w:t>
            </w:r>
          </w:p>
        </w:tc>
        <w:tc>
          <w:tcPr>
            <w:tcW w:w="540" w:type="dxa"/>
          </w:tcPr>
          <w:p w14:paraId="7072470B"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67</w:t>
            </w:r>
          </w:p>
        </w:tc>
        <w:tc>
          <w:tcPr>
            <w:tcW w:w="750" w:type="dxa"/>
          </w:tcPr>
          <w:p w14:paraId="6B1C747E"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F</w:t>
            </w:r>
          </w:p>
        </w:tc>
        <w:tc>
          <w:tcPr>
            <w:tcW w:w="571" w:type="dxa"/>
          </w:tcPr>
          <w:p w14:paraId="3DADFD96"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35.5</w:t>
            </w:r>
          </w:p>
        </w:tc>
        <w:tc>
          <w:tcPr>
            <w:tcW w:w="993" w:type="dxa"/>
          </w:tcPr>
          <w:p w14:paraId="56E6280D"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NASH</w:t>
            </w:r>
          </w:p>
        </w:tc>
        <w:tc>
          <w:tcPr>
            <w:tcW w:w="900" w:type="dxa"/>
          </w:tcPr>
          <w:p w14:paraId="569B5C47"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15</w:t>
            </w:r>
          </w:p>
        </w:tc>
        <w:tc>
          <w:tcPr>
            <w:tcW w:w="920" w:type="dxa"/>
          </w:tcPr>
          <w:p w14:paraId="212FFCAA"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9.6</w:t>
            </w:r>
          </w:p>
        </w:tc>
        <w:tc>
          <w:tcPr>
            <w:tcW w:w="1920" w:type="dxa"/>
          </w:tcPr>
          <w:p w14:paraId="48FCDCAD"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 xml:space="preserve">Patchy mild punctate GAVE </w:t>
            </w:r>
          </w:p>
        </w:tc>
        <w:tc>
          <w:tcPr>
            <w:tcW w:w="1027" w:type="dxa"/>
          </w:tcPr>
          <w:p w14:paraId="27AAA74D"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None</w:t>
            </w:r>
          </w:p>
        </w:tc>
        <w:tc>
          <w:tcPr>
            <w:tcW w:w="988" w:type="dxa"/>
          </w:tcPr>
          <w:p w14:paraId="58E0EF44"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Yes</w:t>
            </w:r>
          </w:p>
        </w:tc>
      </w:tr>
      <w:tr w:rsidR="00451DA9" w:rsidRPr="00B33149" w14:paraId="1071C8B0" w14:textId="77777777" w:rsidTr="0042759F">
        <w:trPr>
          <w:trHeight w:val="346"/>
        </w:trPr>
        <w:tc>
          <w:tcPr>
            <w:tcW w:w="741" w:type="dxa"/>
          </w:tcPr>
          <w:p w14:paraId="09DC9A39"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16</w:t>
            </w:r>
          </w:p>
        </w:tc>
        <w:tc>
          <w:tcPr>
            <w:tcW w:w="540" w:type="dxa"/>
          </w:tcPr>
          <w:p w14:paraId="6F15204C"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60</w:t>
            </w:r>
          </w:p>
        </w:tc>
        <w:tc>
          <w:tcPr>
            <w:tcW w:w="750" w:type="dxa"/>
          </w:tcPr>
          <w:p w14:paraId="1884E82A"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F</w:t>
            </w:r>
          </w:p>
        </w:tc>
        <w:tc>
          <w:tcPr>
            <w:tcW w:w="571" w:type="dxa"/>
          </w:tcPr>
          <w:p w14:paraId="3DCB641B"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32.</w:t>
            </w:r>
            <w:r w:rsidRPr="00B33149">
              <w:rPr>
                <w:rFonts w:ascii="Book Antiqua" w:eastAsia="Calibri" w:hAnsi="Book Antiqua" w:cs="Times New Roman"/>
                <w:color w:val="000000"/>
              </w:rPr>
              <w:lastRenderedPageBreak/>
              <w:t>5</w:t>
            </w:r>
          </w:p>
        </w:tc>
        <w:tc>
          <w:tcPr>
            <w:tcW w:w="993" w:type="dxa"/>
          </w:tcPr>
          <w:p w14:paraId="3ECC3946"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lastRenderedPageBreak/>
              <w:t>NASH</w:t>
            </w:r>
          </w:p>
        </w:tc>
        <w:tc>
          <w:tcPr>
            <w:tcW w:w="900" w:type="dxa"/>
          </w:tcPr>
          <w:p w14:paraId="3BBE07A0"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8</w:t>
            </w:r>
          </w:p>
        </w:tc>
        <w:tc>
          <w:tcPr>
            <w:tcW w:w="920" w:type="dxa"/>
          </w:tcPr>
          <w:p w14:paraId="04374CC3"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7.5</w:t>
            </w:r>
          </w:p>
        </w:tc>
        <w:tc>
          <w:tcPr>
            <w:tcW w:w="1920" w:type="dxa"/>
          </w:tcPr>
          <w:p w14:paraId="58887AD4"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 xml:space="preserve">Linear/striped </w:t>
            </w:r>
            <w:r w:rsidRPr="00B33149">
              <w:rPr>
                <w:rFonts w:ascii="Book Antiqua" w:eastAsia="Calibri" w:hAnsi="Book Antiqua" w:cs="Times New Roman"/>
                <w:color w:val="000000"/>
              </w:rPr>
              <w:lastRenderedPageBreak/>
              <w:t>GAVE</w:t>
            </w:r>
          </w:p>
        </w:tc>
        <w:tc>
          <w:tcPr>
            <w:tcW w:w="1027" w:type="dxa"/>
          </w:tcPr>
          <w:p w14:paraId="06DCF461"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lastRenderedPageBreak/>
              <w:t xml:space="preserve">APC </w:t>
            </w:r>
          </w:p>
        </w:tc>
        <w:tc>
          <w:tcPr>
            <w:tcW w:w="988" w:type="dxa"/>
          </w:tcPr>
          <w:p w14:paraId="6597ED26"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Yes</w:t>
            </w:r>
          </w:p>
        </w:tc>
      </w:tr>
    </w:tbl>
    <w:p w14:paraId="375FF93F" w14:textId="77777777" w:rsidR="009F0CB4" w:rsidRDefault="009F0CB4" w:rsidP="009F0CB4">
      <w:pPr>
        <w:adjustRightInd w:val="0"/>
        <w:snapToGrid w:val="0"/>
        <w:spacing w:line="360" w:lineRule="auto"/>
        <w:jc w:val="both"/>
        <w:rPr>
          <w:rFonts w:ascii="Book Antiqua" w:eastAsia="Calibri" w:hAnsi="Book Antiqua"/>
        </w:rPr>
      </w:pPr>
      <w:r>
        <w:rPr>
          <w:rFonts w:ascii="Book Antiqua" w:eastAsia="Calibri" w:hAnsi="Book Antiqua"/>
        </w:rPr>
        <w:lastRenderedPageBreak/>
        <w:t xml:space="preserve">APC: </w:t>
      </w:r>
      <w:r w:rsidRPr="00B33149">
        <w:rPr>
          <w:rFonts w:ascii="Book Antiqua" w:eastAsia="Calibri" w:hAnsi="Book Antiqua"/>
        </w:rPr>
        <w:t>Argon Plasma Coagulation</w:t>
      </w:r>
      <w:r>
        <w:rPr>
          <w:rFonts w:ascii="Book Antiqua" w:eastAsia="Calibri" w:hAnsi="Book Antiqua"/>
        </w:rPr>
        <w:t xml:space="preserve">; </w:t>
      </w:r>
      <w:r w:rsidRPr="00B33149">
        <w:rPr>
          <w:rFonts w:ascii="Book Antiqua" w:eastAsia="Calibri" w:hAnsi="Book Antiqua"/>
        </w:rPr>
        <w:t>BMI</w:t>
      </w:r>
      <w:r>
        <w:rPr>
          <w:rFonts w:ascii="Book Antiqua" w:hAnsi="Book Antiqua" w:hint="eastAsia"/>
          <w:lang w:eastAsia="zh-CN"/>
        </w:rPr>
        <w:t>:</w:t>
      </w:r>
      <w:r>
        <w:rPr>
          <w:rFonts w:ascii="Book Antiqua" w:eastAsia="Calibri" w:hAnsi="Book Antiqua"/>
        </w:rPr>
        <w:t xml:space="preserve"> </w:t>
      </w:r>
      <w:r>
        <w:rPr>
          <w:rFonts w:ascii="Book Antiqua" w:hAnsi="Book Antiqua" w:hint="eastAsia"/>
          <w:lang w:eastAsia="zh-CN"/>
        </w:rPr>
        <w:t>B</w:t>
      </w:r>
      <w:r w:rsidRPr="00B33149">
        <w:rPr>
          <w:rFonts w:ascii="Book Antiqua" w:eastAsia="Calibri" w:hAnsi="Book Antiqua"/>
        </w:rPr>
        <w:t>ody mass index</w:t>
      </w:r>
      <w:r>
        <w:rPr>
          <w:rFonts w:ascii="Book Antiqua" w:eastAsia="Calibri" w:hAnsi="Book Antiqua"/>
        </w:rPr>
        <w:t>; F</w:t>
      </w:r>
      <w:r>
        <w:rPr>
          <w:rFonts w:ascii="Book Antiqua" w:hAnsi="Book Antiqua" w:hint="eastAsia"/>
          <w:lang w:eastAsia="zh-CN"/>
        </w:rPr>
        <w:t>:</w:t>
      </w:r>
      <w:r>
        <w:rPr>
          <w:rFonts w:ascii="Book Antiqua" w:eastAsia="Calibri" w:hAnsi="Book Antiqua"/>
        </w:rPr>
        <w:t xml:space="preserve"> </w:t>
      </w:r>
      <w:r>
        <w:rPr>
          <w:rFonts w:ascii="Book Antiqua" w:hAnsi="Book Antiqua" w:hint="eastAsia"/>
          <w:lang w:eastAsia="zh-CN"/>
        </w:rPr>
        <w:t>F</w:t>
      </w:r>
      <w:r w:rsidRPr="00B33149">
        <w:rPr>
          <w:rFonts w:ascii="Book Antiqua" w:eastAsia="Calibri" w:hAnsi="Book Antiqua"/>
        </w:rPr>
        <w:t>emale</w:t>
      </w:r>
      <w:r>
        <w:rPr>
          <w:rFonts w:ascii="Book Antiqua" w:eastAsia="Calibri" w:hAnsi="Book Antiqua"/>
        </w:rPr>
        <w:t xml:space="preserve">; </w:t>
      </w:r>
      <w:r w:rsidRPr="00B33149">
        <w:rPr>
          <w:rFonts w:ascii="Book Antiqua" w:eastAsia="Calibri" w:hAnsi="Book Antiqua"/>
        </w:rPr>
        <w:t>GAV</w:t>
      </w:r>
      <w:r>
        <w:rPr>
          <w:rFonts w:ascii="Book Antiqua" w:eastAsia="Calibri" w:hAnsi="Book Antiqua"/>
        </w:rPr>
        <w:t>E</w:t>
      </w:r>
      <w:r>
        <w:rPr>
          <w:rFonts w:ascii="Book Antiqua" w:hAnsi="Book Antiqua" w:hint="eastAsia"/>
          <w:lang w:eastAsia="zh-CN"/>
        </w:rPr>
        <w:t>:</w:t>
      </w:r>
      <w:r w:rsidRPr="00B33149">
        <w:rPr>
          <w:rFonts w:ascii="Book Antiqua" w:eastAsia="Calibri" w:hAnsi="Book Antiqua"/>
        </w:rPr>
        <w:t xml:space="preserve"> </w:t>
      </w:r>
      <w:r>
        <w:rPr>
          <w:rFonts w:ascii="Book Antiqua" w:hAnsi="Book Antiqua" w:hint="eastAsia"/>
          <w:lang w:eastAsia="zh-CN"/>
        </w:rPr>
        <w:t>G</w:t>
      </w:r>
      <w:r w:rsidRPr="00B33149">
        <w:rPr>
          <w:rFonts w:ascii="Book Antiqua" w:eastAsia="Calibri" w:hAnsi="Book Antiqua"/>
        </w:rPr>
        <w:t>astric antral vascular ectasia;</w:t>
      </w:r>
      <w:r>
        <w:rPr>
          <w:rFonts w:ascii="Book Antiqua" w:eastAsia="Calibri" w:hAnsi="Book Antiqua"/>
        </w:rPr>
        <w:t xml:space="preserve"> </w:t>
      </w:r>
      <w:r w:rsidRPr="00B33149">
        <w:rPr>
          <w:rFonts w:ascii="Book Antiqua" w:eastAsia="Calibri" w:hAnsi="Book Antiqua"/>
        </w:rPr>
        <w:t>HCV</w:t>
      </w:r>
      <w:r>
        <w:rPr>
          <w:rFonts w:ascii="Book Antiqua" w:hAnsi="Book Antiqua" w:hint="eastAsia"/>
          <w:lang w:eastAsia="zh-CN"/>
        </w:rPr>
        <w:t>:</w:t>
      </w:r>
      <w:r w:rsidRPr="00B33149">
        <w:rPr>
          <w:rFonts w:ascii="Book Antiqua" w:eastAsia="Calibri" w:hAnsi="Book Antiqua"/>
        </w:rPr>
        <w:t xml:space="preserve"> </w:t>
      </w:r>
      <w:r>
        <w:rPr>
          <w:rFonts w:ascii="Book Antiqua" w:hAnsi="Book Antiqua" w:hint="eastAsia"/>
          <w:lang w:eastAsia="zh-CN"/>
        </w:rPr>
        <w:t>H</w:t>
      </w:r>
      <w:r>
        <w:rPr>
          <w:rFonts w:ascii="Book Antiqua" w:eastAsia="Calibri" w:hAnsi="Book Antiqua"/>
        </w:rPr>
        <w:t xml:space="preserve">epatitis </w:t>
      </w:r>
      <w:r>
        <w:rPr>
          <w:rFonts w:ascii="Book Antiqua" w:hAnsi="Book Antiqua" w:hint="eastAsia"/>
          <w:lang w:eastAsia="zh-CN"/>
        </w:rPr>
        <w:t>C</w:t>
      </w:r>
      <w:r w:rsidRPr="00B33149">
        <w:rPr>
          <w:rFonts w:ascii="Book Antiqua" w:eastAsia="Calibri" w:hAnsi="Book Antiqua"/>
        </w:rPr>
        <w:t xml:space="preserve"> virus; </w:t>
      </w:r>
      <w:r>
        <w:rPr>
          <w:rFonts w:ascii="Book Antiqua" w:eastAsia="Calibri" w:hAnsi="Book Antiqua"/>
        </w:rPr>
        <w:t>Hgb</w:t>
      </w:r>
      <w:r>
        <w:rPr>
          <w:rFonts w:ascii="Book Antiqua" w:hAnsi="Book Antiqua" w:hint="eastAsia"/>
          <w:lang w:eastAsia="zh-CN"/>
        </w:rPr>
        <w:t>:</w:t>
      </w:r>
      <w:r>
        <w:rPr>
          <w:rFonts w:ascii="Book Antiqua" w:eastAsia="Calibri" w:hAnsi="Book Antiqua"/>
        </w:rPr>
        <w:t xml:space="preserve"> </w:t>
      </w:r>
      <w:r>
        <w:rPr>
          <w:rFonts w:ascii="Book Antiqua" w:hAnsi="Book Antiqua" w:hint="eastAsia"/>
          <w:lang w:eastAsia="zh-CN"/>
        </w:rPr>
        <w:t>H</w:t>
      </w:r>
      <w:r w:rsidRPr="00B33149">
        <w:rPr>
          <w:rFonts w:ascii="Book Antiqua" w:eastAsia="Calibri" w:hAnsi="Book Antiqua"/>
        </w:rPr>
        <w:t>emoglobin</w:t>
      </w:r>
      <w:r>
        <w:rPr>
          <w:rFonts w:ascii="Book Antiqua" w:eastAsia="Calibri" w:hAnsi="Book Antiqua"/>
        </w:rPr>
        <w:t>; M</w:t>
      </w:r>
      <w:r>
        <w:rPr>
          <w:rFonts w:ascii="Book Antiqua" w:hAnsi="Book Antiqua" w:hint="eastAsia"/>
          <w:lang w:eastAsia="zh-CN"/>
        </w:rPr>
        <w:t>:</w:t>
      </w:r>
      <w:r>
        <w:rPr>
          <w:rFonts w:ascii="Book Antiqua" w:eastAsia="Calibri" w:hAnsi="Book Antiqua"/>
        </w:rPr>
        <w:t xml:space="preserve"> </w:t>
      </w:r>
      <w:r>
        <w:rPr>
          <w:rFonts w:ascii="Book Antiqua" w:hAnsi="Book Antiqua" w:hint="eastAsia"/>
          <w:lang w:eastAsia="zh-CN"/>
        </w:rPr>
        <w:t>M</w:t>
      </w:r>
      <w:r w:rsidRPr="00B33149">
        <w:rPr>
          <w:rFonts w:ascii="Book Antiqua" w:eastAsia="Calibri" w:hAnsi="Book Antiqua"/>
        </w:rPr>
        <w:t xml:space="preserve">ale; </w:t>
      </w:r>
      <w:r>
        <w:rPr>
          <w:rFonts w:ascii="Book Antiqua" w:eastAsia="Calibri" w:hAnsi="Book Antiqua"/>
        </w:rPr>
        <w:t>MELD-Na</w:t>
      </w:r>
      <w:r>
        <w:rPr>
          <w:rFonts w:ascii="Book Antiqua" w:hAnsi="Book Antiqua" w:hint="eastAsia"/>
          <w:lang w:eastAsia="zh-CN"/>
        </w:rPr>
        <w:t>:</w:t>
      </w:r>
      <w:r w:rsidRPr="00B33149">
        <w:rPr>
          <w:rFonts w:ascii="Book Antiqua" w:eastAsia="Calibri" w:hAnsi="Book Antiqua"/>
        </w:rPr>
        <w:t xml:space="preserve"> Model for End-Stage Liver Disease- Sodium level;</w:t>
      </w:r>
      <w:r>
        <w:rPr>
          <w:rFonts w:ascii="Book Antiqua" w:eastAsia="Calibri" w:hAnsi="Book Antiqua"/>
        </w:rPr>
        <w:t xml:space="preserve"> </w:t>
      </w:r>
      <w:r w:rsidRPr="00B33149">
        <w:rPr>
          <w:rFonts w:ascii="Book Antiqua" w:eastAsia="Calibri" w:hAnsi="Book Antiqua"/>
        </w:rPr>
        <w:t>NASH</w:t>
      </w:r>
      <w:r>
        <w:rPr>
          <w:rFonts w:ascii="Book Antiqua" w:hAnsi="Book Antiqua" w:hint="eastAsia"/>
          <w:lang w:eastAsia="zh-CN"/>
        </w:rPr>
        <w:t>:</w:t>
      </w:r>
      <w:r>
        <w:rPr>
          <w:rFonts w:ascii="Book Antiqua" w:eastAsia="Calibri" w:hAnsi="Book Antiqua"/>
        </w:rPr>
        <w:t xml:space="preserve"> </w:t>
      </w:r>
      <w:r>
        <w:rPr>
          <w:rFonts w:ascii="Book Antiqua" w:hAnsi="Book Antiqua" w:hint="eastAsia"/>
          <w:lang w:eastAsia="zh-CN"/>
        </w:rPr>
        <w:t>N</w:t>
      </w:r>
      <w:r w:rsidRPr="00B33149">
        <w:rPr>
          <w:rFonts w:ascii="Book Antiqua" w:eastAsia="Calibri" w:hAnsi="Book Antiqua"/>
        </w:rPr>
        <w:t>on-alcoholic Steatohepatitis;</w:t>
      </w:r>
      <w:r>
        <w:rPr>
          <w:rFonts w:ascii="Book Antiqua" w:eastAsia="Calibri" w:hAnsi="Book Antiqua"/>
        </w:rPr>
        <w:t xml:space="preserve"> </w:t>
      </w:r>
    </w:p>
    <w:p w14:paraId="13680C82" w14:textId="214E0F89" w:rsidR="00A77B3E" w:rsidRPr="0042759F" w:rsidRDefault="009F0CB4" w:rsidP="0042759F">
      <w:pPr>
        <w:adjustRightInd w:val="0"/>
        <w:snapToGrid w:val="0"/>
        <w:spacing w:line="360" w:lineRule="auto"/>
        <w:jc w:val="both"/>
        <w:rPr>
          <w:rFonts w:ascii="Book Antiqua" w:eastAsia="Calibri" w:hAnsi="Book Antiqua"/>
        </w:rPr>
      </w:pPr>
      <w:r w:rsidRPr="00B33149">
        <w:rPr>
          <w:rFonts w:ascii="Book Antiqua" w:eastAsia="Calibri" w:hAnsi="Book Antiqua"/>
        </w:rPr>
        <w:t>OLT</w:t>
      </w:r>
      <w:r>
        <w:rPr>
          <w:rFonts w:ascii="Book Antiqua" w:hAnsi="Book Antiqua" w:hint="eastAsia"/>
          <w:lang w:eastAsia="zh-CN"/>
        </w:rPr>
        <w:t>:</w:t>
      </w:r>
      <w:r w:rsidRPr="00B33149">
        <w:rPr>
          <w:rFonts w:ascii="Book Antiqua" w:eastAsia="Calibri" w:hAnsi="Book Antiqua"/>
        </w:rPr>
        <w:t xml:space="preserve"> </w:t>
      </w:r>
      <w:r>
        <w:rPr>
          <w:rFonts w:ascii="Book Antiqua" w:hAnsi="Book Antiqua" w:hint="eastAsia"/>
          <w:lang w:eastAsia="zh-CN"/>
        </w:rPr>
        <w:t>O</w:t>
      </w:r>
      <w:r w:rsidRPr="00B33149">
        <w:rPr>
          <w:rFonts w:ascii="Book Antiqua" w:eastAsia="Calibri" w:hAnsi="Book Antiqua"/>
        </w:rPr>
        <w:t>rthotopic liver transplantation;</w:t>
      </w:r>
      <w:r>
        <w:rPr>
          <w:rFonts w:ascii="Book Antiqua" w:eastAsia="Calibri" w:hAnsi="Book Antiqua"/>
        </w:rPr>
        <w:t xml:space="preserve"> </w:t>
      </w:r>
      <w:r w:rsidRPr="00B33149">
        <w:rPr>
          <w:rFonts w:ascii="Book Antiqua" w:eastAsia="Calibri" w:hAnsi="Book Antiqua"/>
        </w:rPr>
        <w:t>PSC</w:t>
      </w:r>
      <w:r>
        <w:rPr>
          <w:rFonts w:ascii="Book Antiqua" w:hAnsi="Book Antiqua" w:hint="eastAsia"/>
          <w:lang w:eastAsia="zh-CN"/>
        </w:rPr>
        <w:t>:</w:t>
      </w:r>
      <w:r>
        <w:rPr>
          <w:rFonts w:ascii="Book Antiqua" w:eastAsia="Calibri" w:hAnsi="Book Antiqua"/>
        </w:rPr>
        <w:t xml:space="preserve"> </w:t>
      </w:r>
      <w:r>
        <w:rPr>
          <w:rFonts w:ascii="Book Antiqua" w:hAnsi="Book Antiqua" w:hint="eastAsia"/>
          <w:lang w:eastAsia="zh-CN"/>
        </w:rPr>
        <w:t>P</w:t>
      </w:r>
      <w:r w:rsidRPr="00B33149">
        <w:rPr>
          <w:rFonts w:ascii="Book Antiqua" w:eastAsia="Calibri" w:hAnsi="Book Antiqua"/>
        </w:rPr>
        <w:t>rimary sclerosing cholangitis.</w:t>
      </w:r>
    </w:p>
    <w:sectPr w:rsidR="00A77B3E" w:rsidRPr="0042759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3D09CC" w14:textId="77777777" w:rsidR="002C42B1" w:rsidRDefault="002C42B1" w:rsidP="002B279F">
      <w:r>
        <w:separator/>
      </w:r>
    </w:p>
  </w:endnote>
  <w:endnote w:type="continuationSeparator" w:id="0">
    <w:p w14:paraId="221AB4A2" w14:textId="77777777" w:rsidR="002C42B1" w:rsidRDefault="002C42B1" w:rsidP="002B2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8400681"/>
      <w:docPartObj>
        <w:docPartGallery w:val="Page Numbers (Bottom of Page)"/>
        <w:docPartUnique/>
      </w:docPartObj>
    </w:sdtPr>
    <w:sdtEndPr/>
    <w:sdtContent>
      <w:sdt>
        <w:sdtPr>
          <w:id w:val="860082579"/>
          <w:docPartObj>
            <w:docPartGallery w:val="Page Numbers (Top of Page)"/>
            <w:docPartUnique/>
          </w:docPartObj>
        </w:sdtPr>
        <w:sdtEndPr/>
        <w:sdtContent>
          <w:p w14:paraId="52F95FC6" w14:textId="77777777" w:rsidR="002B279F" w:rsidRDefault="002B279F">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F6817">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F6817">
              <w:rPr>
                <w:b/>
                <w:bCs/>
                <w:noProof/>
              </w:rPr>
              <w:t>25</w:t>
            </w:r>
            <w:r>
              <w:rPr>
                <w:b/>
                <w:bCs/>
                <w:sz w:val="24"/>
                <w:szCs w:val="24"/>
              </w:rPr>
              <w:fldChar w:fldCharType="end"/>
            </w:r>
          </w:p>
        </w:sdtContent>
      </w:sdt>
    </w:sdtContent>
  </w:sdt>
  <w:p w14:paraId="43DC22D8" w14:textId="77777777" w:rsidR="002B279F" w:rsidRDefault="002B279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CAC780" w14:textId="77777777" w:rsidR="002C42B1" w:rsidRDefault="002C42B1" w:rsidP="002B279F">
      <w:r>
        <w:separator/>
      </w:r>
    </w:p>
  </w:footnote>
  <w:footnote w:type="continuationSeparator" w:id="0">
    <w:p w14:paraId="223EB492" w14:textId="77777777" w:rsidR="002C42B1" w:rsidRDefault="002C42B1" w:rsidP="002B27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154E"/>
    <w:rsid w:val="0005269C"/>
    <w:rsid w:val="0005650A"/>
    <w:rsid w:val="000908F3"/>
    <w:rsid w:val="00091E1F"/>
    <w:rsid w:val="000A4BBD"/>
    <w:rsid w:val="000D633D"/>
    <w:rsid w:val="000E4425"/>
    <w:rsid w:val="001005AB"/>
    <w:rsid w:val="00124ED5"/>
    <w:rsid w:val="001425D8"/>
    <w:rsid w:val="00164E89"/>
    <w:rsid w:val="00173D8D"/>
    <w:rsid w:val="001A20B4"/>
    <w:rsid w:val="001D25F0"/>
    <w:rsid w:val="00207E82"/>
    <w:rsid w:val="0021591D"/>
    <w:rsid w:val="00222E8F"/>
    <w:rsid w:val="00241C0F"/>
    <w:rsid w:val="00273B60"/>
    <w:rsid w:val="002A023F"/>
    <w:rsid w:val="002B279F"/>
    <w:rsid w:val="002C42B1"/>
    <w:rsid w:val="002F6817"/>
    <w:rsid w:val="00325759"/>
    <w:rsid w:val="003B19C5"/>
    <w:rsid w:val="003B6DAB"/>
    <w:rsid w:val="003C2371"/>
    <w:rsid w:val="004207D6"/>
    <w:rsid w:val="0042759F"/>
    <w:rsid w:val="00431A82"/>
    <w:rsid w:val="00451DA9"/>
    <w:rsid w:val="004E02DA"/>
    <w:rsid w:val="004E619B"/>
    <w:rsid w:val="00502F83"/>
    <w:rsid w:val="005062FB"/>
    <w:rsid w:val="005622F1"/>
    <w:rsid w:val="0062037E"/>
    <w:rsid w:val="00652189"/>
    <w:rsid w:val="0069728D"/>
    <w:rsid w:val="006A3FF9"/>
    <w:rsid w:val="006C4FA0"/>
    <w:rsid w:val="006C796F"/>
    <w:rsid w:val="006E30D7"/>
    <w:rsid w:val="00715026"/>
    <w:rsid w:val="0072325C"/>
    <w:rsid w:val="00746576"/>
    <w:rsid w:val="007837C6"/>
    <w:rsid w:val="00790A2E"/>
    <w:rsid w:val="007B006E"/>
    <w:rsid w:val="007C0A16"/>
    <w:rsid w:val="007D7C7D"/>
    <w:rsid w:val="007F6947"/>
    <w:rsid w:val="00846F1D"/>
    <w:rsid w:val="00897A58"/>
    <w:rsid w:val="008C301C"/>
    <w:rsid w:val="008E1879"/>
    <w:rsid w:val="008E42AA"/>
    <w:rsid w:val="008F2EAF"/>
    <w:rsid w:val="008F2FAF"/>
    <w:rsid w:val="00976A88"/>
    <w:rsid w:val="0099215B"/>
    <w:rsid w:val="009D16EB"/>
    <w:rsid w:val="009D43C0"/>
    <w:rsid w:val="009F0CB4"/>
    <w:rsid w:val="00A07BDF"/>
    <w:rsid w:val="00A12408"/>
    <w:rsid w:val="00A350A0"/>
    <w:rsid w:val="00A415BC"/>
    <w:rsid w:val="00A77B3E"/>
    <w:rsid w:val="00AF3FB4"/>
    <w:rsid w:val="00B047A9"/>
    <w:rsid w:val="00B43486"/>
    <w:rsid w:val="00B57146"/>
    <w:rsid w:val="00B81CBC"/>
    <w:rsid w:val="00BD36B3"/>
    <w:rsid w:val="00BF5314"/>
    <w:rsid w:val="00BF6F40"/>
    <w:rsid w:val="00C23978"/>
    <w:rsid w:val="00C6575E"/>
    <w:rsid w:val="00C757E0"/>
    <w:rsid w:val="00C76421"/>
    <w:rsid w:val="00CA2A55"/>
    <w:rsid w:val="00CC156A"/>
    <w:rsid w:val="00CC2A77"/>
    <w:rsid w:val="00D06683"/>
    <w:rsid w:val="00D5630B"/>
    <w:rsid w:val="00DA0AD0"/>
    <w:rsid w:val="00DE1637"/>
    <w:rsid w:val="00DF78AC"/>
    <w:rsid w:val="00E82C26"/>
    <w:rsid w:val="00EB0D9C"/>
    <w:rsid w:val="00EB380C"/>
    <w:rsid w:val="00EB437B"/>
    <w:rsid w:val="00EB4B3E"/>
    <w:rsid w:val="00EB5CD7"/>
    <w:rsid w:val="00F06B63"/>
    <w:rsid w:val="00F34892"/>
    <w:rsid w:val="00F577D3"/>
    <w:rsid w:val="00F6699F"/>
    <w:rsid w:val="00FC055D"/>
    <w:rsid w:val="00FD24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465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E1879"/>
    <w:pPr>
      <w:spacing w:before="100" w:beforeAutospacing="1" w:after="100" w:afterAutospacing="1"/>
    </w:pPr>
    <w:rPr>
      <w:rFonts w:ascii="宋体" w:eastAsia="宋体" w:hAnsi="宋体" w:cs="宋体"/>
      <w:lang w:eastAsia="zh-CN"/>
    </w:rPr>
  </w:style>
  <w:style w:type="paragraph" w:styleId="a4">
    <w:name w:val="Balloon Text"/>
    <w:basedOn w:val="a"/>
    <w:link w:val="Char"/>
    <w:rsid w:val="00652189"/>
    <w:rPr>
      <w:sz w:val="18"/>
      <w:szCs w:val="18"/>
    </w:rPr>
  </w:style>
  <w:style w:type="character" w:customStyle="1" w:styleId="Char">
    <w:name w:val="批注框文本 Char"/>
    <w:basedOn w:val="a0"/>
    <w:link w:val="a4"/>
    <w:rsid w:val="00652189"/>
    <w:rPr>
      <w:sz w:val="18"/>
      <w:szCs w:val="18"/>
    </w:rPr>
  </w:style>
  <w:style w:type="paragraph" w:styleId="a5">
    <w:name w:val="caption"/>
    <w:basedOn w:val="a"/>
    <w:next w:val="a"/>
    <w:uiPriority w:val="35"/>
    <w:unhideWhenUsed/>
    <w:qFormat/>
    <w:rsid w:val="00451DA9"/>
    <w:pPr>
      <w:spacing w:after="200"/>
    </w:pPr>
    <w:rPr>
      <w:rFonts w:asciiTheme="minorHAnsi" w:hAnsiTheme="minorHAnsi" w:cstheme="minorBidi"/>
      <w:i/>
      <w:iCs/>
      <w:color w:val="1F497D" w:themeColor="text2"/>
      <w:sz w:val="18"/>
      <w:szCs w:val="18"/>
    </w:rPr>
  </w:style>
  <w:style w:type="table" w:styleId="a6">
    <w:name w:val="Table Grid"/>
    <w:basedOn w:val="a1"/>
    <w:uiPriority w:val="39"/>
    <w:rsid w:val="00451DA9"/>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0"/>
    <w:rsid w:val="002B279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rsid w:val="002B279F"/>
    <w:rPr>
      <w:sz w:val="18"/>
      <w:szCs w:val="18"/>
    </w:rPr>
  </w:style>
  <w:style w:type="paragraph" w:styleId="a8">
    <w:name w:val="footer"/>
    <w:basedOn w:val="a"/>
    <w:link w:val="Char1"/>
    <w:uiPriority w:val="99"/>
    <w:rsid w:val="002B279F"/>
    <w:pPr>
      <w:tabs>
        <w:tab w:val="center" w:pos="4153"/>
        <w:tab w:val="right" w:pos="8306"/>
      </w:tabs>
      <w:snapToGrid w:val="0"/>
    </w:pPr>
    <w:rPr>
      <w:sz w:val="18"/>
      <w:szCs w:val="18"/>
    </w:rPr>
  </w:style>
  <w:style w:type="character" w:customStyle="1" w:styleId="Char1">
    <w:name w:val="页脚 Char"/>
    <w:basedOn w:val="a0"/>
    <w:link w:val="a8"/>
    <w:uiPriority w:val="99"/>
    <w:rsid w:val="002B279F"/>
    <w:rPr>
      <w:sz w:val="18"/>
      <w:szCs w:val="18"/>
    </w:rPr>
  </w:style>
  <w:style w:type="character" w:styleId="a9">
    <w:name w:val="Hyperlink"/>
    <w:basedOn w:val="a0"/>
    <w:unhideWhenUsed/>
    <w:rsid w:val="002F681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E1879"/>
    <w:pPr>
      <w:spacing w:before="100" w:beforeAutospacing="1" w:after="100" w:afterAutospacing="1"/>
    </w:pPr>
    <w:rPr>
      <w:rFonts w:ascii="宋体" w:eastAsia="宋体" w:hAnsi="宋体" w:cs="宋体"/>
      <w:lang w:eastAsia="zh-CN"/>
    </w:rPr>
  </w:style>
  <w:style w:type="paragraph" w:styleId="a4">
    <w:name w:val="Balloon Text"/>
    <w:basedOn w:val="a"/>
    <w:link w:val="Char"/>
    <w:rsid w:val="00652189"/>
    <w:rPr>
      <w:sz w:val="18"/>
      <w:szCs w:val="18"/>
    </w:rPr>
  </w:style>
  <w:style w:type="character" w:customStyle="1" w:styleId="Char">
    <w:name w:val="批注框文本 Char"/>
    <w:basedOn w:val="a0"/>
    <w:link w:val="a4"/>
    <w:rsid w:val="00652189"/>
    <w:rPr>
      <w:sz w:val="18"/>
      <w:szCs w:val="18"/>
    </w:rPr>
  </w:style>
  <w:style w:type="paragraph" w:styleId="a5">
    <w:name w:val="caption"/>
    <w:basedOn w:val="a"/>
    <w:next w:val="a"/>
    <w:uiPriority w:val="35"/>
    <w:unhideWhenUsed/>
    <w:qFormat/>
    <w:rsid w:val="00451DA9"/>
    <w:pPr>
      <w:spacing w:after="200"/>
    </w:pPr>
    <w:rPr>
      <w:rFonts w:asciiTheme="minorHAnsi" w:hAnsiTheme="minorHAnsi" w:cstheme="minorBidi"/>
      <w:i/>
      <w:iCs/>
      <w:color w:val="1F497D" w:themeColor="text2"/>
      <w:sz w:val="18"/>
      <w:szCs w:val="18"/>
    </w:rPr>
  </w:style>
  <w:style w:type="table" w:styleId="a6">
    <w:name w:val="Table Grid"/>
    <w:basedOn w:val="a1"/>
    <w:uiPriority w:val="39"/>
    <w:rsid w:val="00451DA9"/>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0"/>
    <w:rsid w:val="002B279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rsid w:val="002B279F"/>
    <w:rPr>
      <w:sz w:val="18"/>
      <w:szCs w:val="18"/>
    </w:rPr>
  </w:style>
  <w:style w:type="paragraph" w:styleId="a8">
    <w:name w:val="footer"/>
    <w:basedOn w:val="a"/>
    <w:link w:val="Char1"/>
    <w:uiPriority w:val="99"/>
    <w:rsid w:val="002B279F"/>
    <w:pPr>
      <w:tabs>
        <w:tab w:val="center" w:pos="4153"/>
        <w:tab w:val="right" w:pos="8306"/>
      </w:tabs>
      <w:snapToGrid w:val="0"/>
    </w:pPr>
    <w:rPr>
      <w:sz w:val="18"/>
      <w:szCs w:val="18"/>
    </w:rPr>
  </w:style>
  <w:style w:type="character" w:customStyle="1" w:styleId="Char1">
    <w:name w:val="页脚 Char"/>
    <w:basedOn w:val="a0"/>
    <w:link w:val="a8"/>
    <w:uiPriority w:val="99"/>
    <w:rsid w:val="002B279F"/>
    <w:rPr>
      <w:sz w:val="18"/>
      <w:szCs w:val="18"/>
    </w:rPr>
  </w:style>
  <w:style w:type="character" w:styleId="a9">
    <w:name w:val="Hyperlink"/>
    <w:basedOn w:val="a0"/>
    <w:unhideWhenUsed/>
    <w:rsid w:val="002F68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2200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25</Pages>
  <Words>4550</Words>
  <Characters>25941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马玉杰</cp:lastModifiedBy>
  <cp:revision>5</cp:revision>
  <dcterms:created xsi:type="dcterms:W3CDTF">2020-10-26T16:28:00Z</dcterms:created>
  <dcterms:modified xsi:type="dcterms:W3CDTF">2020-11-21T02:54:00Z</dcterms:modified>
</cp:coreProperties>
</file>