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0B" w:rsidRPr="00904142" w:rsidRDefault="00FA650B" w:rsidP="00904142">
      <w:pPr>
        <w:spacing w:after="0" w:line="360" w:lineRule="auto"/>
        <w:jc w:val="both"/>
        <w:rPr>
          <w:rFonts w:ascii="Book Antiqua" w:hAnsi="Book Antiqua" w:cs="Arial"/>
          <w:b/>
          <w:bCs/>
          <w:lang w:eastAsia="zh-CN"/>
        </w:rPr>
      </w:pPr>
      <w:r w:rsidRPr="00904142">
        <w:rPr>
          <w:rFonts w:ascii="Book Antiqua" w:hAnsi="Book Antiqua" w:cs="Arial"/>
          <w:b/>
          <w:bCs/>
          <w:lang w:eastAsia="zh-CN"/>
        </w:rPr>
        <w:t>Name of journal: World Journal of Immunology</w:t>
      </w:r>
    </w:p>
    <w:p w:rsidR="00FA650B" w:rsidRPr="00904142" w:rsidRDefault="00FA650B" w:rsidP="00904142">
      <w:pPr>
        <w:spacing w:after="0" w:line="360" w:lineRule="auto"/>
        <w:jc w:val="both"/>
        <w:rPr>
          <w:rFonts w:ascii="Book Antiqua" w:hAnsi="Book Antiqua" w:cs="Arial"/>
          <w:b/>
          <w:bCs/>
          <w:lang w:eastAsia="zh-CN"/>
        </w:rPr>
      </w:pPr>
      <w:r w:rsidRPr="00904142">
        <w:rPr>
          <w:rFonts w:ascii="Book Antiqua" w:hAnsi="Book Antiqua" w:cs="Arial"/>
          <w:b/>
          <w:bCs/>
          <w:lang w:eastAsia="zh-CN"/>
        </w:rPr>
        <w:t xml:space="preserve">ESPS Manuscript NO: </w:t>
      </w:r>
      <w:r>
        <w:rPr>
          <w:rFonts w:ascii="Book Antiqua" w:hAnsi="Book Antiqua" w:cs="Arial"/>
          <w:b/>
          <w:bCs/>
          <w:lang w:eastAsia="zh-CN"/>
        </w:rPr>
        <w:t>5861</w:t>
      </w:r>
    </w:p>
    <w:p w:rsidR="00FA650B" w:rsidRDefault="00FA650B" w:rsidP="00904142">
      <w:pPr>
        <w:spacing w:after="0" w:line="360" w:lineRule="auto"/>
        <w:jc w:val="both"/>
        <w:rPr>
          <w:rFonts w:ascii="Book Antiqua" w:hAnsi="Book Antiqua" w:cs="Arial"/>
          <w:b/>
          <w:bCs/>
          <w:lang w:eastAsia="zh-CN"/>
        </w:rPr>
      </w:pPr>
      <w:r w:rsidRPr="00904142">
        <w:rPr>
          <w:rFonts w:ascii="Book Antiqua" w:hAnsi="Book Antiqua" w:cs="Arial"/>
          <w:b/>
          <w:bCs/>
          <w:lang w:eastAsia="zh-CN"/>
        </w:rPr>
        <w:t>Columns:</w:t>
      </w:r>
      <w:r>
        <w:rPr>
          <w:rFonts w:ascii="Book Antiqua" w:hAnsi="Book Antiqua" w:cs="Arial"/>
          <w:b/>
          <w:bCs/>
          <w:lang w:eastAsia="zh-CN"/>
        </w:rPr>
        <w:t xml:space="preserve"> MINIREVIEWS</w:t>
      </w:r>
    </w:p>
    <w:p w:rsidR="00FA650B" w:rsidRPr="00904142" w:rsidRDefault="00FA650B" w:rsidP="00904142">
      <w:pPr>
        <w:spacing w:after="0" w:line="360" w:lineRule="auto"/>
        <w:jc w:val="both"/>
        <w:rPr>
          <w:rFonts w:ascii="Book Antiqua" w:hAnsi="Book Antiqua" w:cs="Arial"/>
          <w:b/>
          <w:bCs/>
          <w:lang w:eastAsia="zh-CN"/>
        </w:rPr>
      </w:pPr>
    </w:p>
    <w:p w:rsidR="00FA650B" w:rsidRPr="00904142" w:rsidRDefault="00FA650B" w:rsidP="00904142">
      <w:pPr>
        <w:spacing w:after="0" w:line="360" w:lineRule="auto"/>
        <w:jc w:val="both"/>
        <w:rPr>
          <w:rFonts w:ascii="Book Antiqua" w:hAnsi="Book Antiqua" w:cs="Arial"/>
          <w:b/>
          <w:bCs/>
        </w:rPr>
      </w:pPr>
      <w:r w:rsidRPr="00904142">
        <w:rPr>
          <w:rFonts w:ascii="Book Antiqua" w:hAnsi="Book Antiqua" w:cs="Arial"/>
          <w:b/>
          <w:bCs/>
        </w:rPr>
        <w:t>Immune thrombocytopenia in adults</w:t>
      </w:r>
    </w:p>
    <w:p w:rsidR="00FA650B" w:rsidRPr="00B16375" w:rsidRDefault="00FA650B" w:rsidP="00904142">
      <w:pPr>
        <w:spacing w:after="0" w:line="360" w:lineRule="auto"/>
        <w:jc w:val="both"/>
        <w:rPr>
          <w:rFonts w:ascii="Book Antiqua" w:hAnsi="Book Antiqua" w:cs="Arial"/>
          <w:bCs/>
        </w:rPr>
      </w:pPr>
    </w:p>
    <w:p w:rsidR="00FA650B" w:rsidRPr="00B16375" w:rsidRDefault="00FA650B" w:rsidP="00904142">
      <w:pPr>
        <w:spacing w:after="0" w:line="360" w:lineRule="auto"/>
        <w:jc w:val="both"/>
        <w:rPr>
          <w:rFonts w:ascii="Book Antiqua" w:hAnsi="Book Antiqua" w:cs="Arial"/>
          <w:bCs/>
        </w:rPr>
      </w:pPr>
      <w:proofErr w:type="spellStart"/>
      <w:r w:rsidRPr="00B16375">
        <w:rPr>
          <w:rFonts w:ascii="Book Antiqua" w:hAnsi="Book Antiqua"/>
          <w:bCs/>
        </w:rPr>
        <w:t>Kurtoğlu</w:t>
      </w:r>
      <w:proofErr w:type="spellEnd"/>
      <w:r w:rsidRPr="00B16375">
        <w:rPr>
          <w:rFonts w:ascii="Book Antiqua" w:hAnsi="Book Antiqua"/>
          <w:bCs/>
          <w:lang w:eastAsia="zh-CN"/>
        </w:rPr>
        <w:t xml:space="preserve"> E </w:t>
      </w:r>
      <w:r w:rsidRPr="00B16375">
        <w:rPr>
          <w:rFonts w:ascii="Book Antiqua" w:hAnsi="Book Antiqua"/>
          <w:bCs/>
          <w:i/>
          <w:lang w:eastAsia="zh-CN"/>
        </w:rPr>
        <w:t>et al</w:t>
      </w:r>
      <w:r w:rsidRPr="00B16375">
        <w:rPr>
          <w:rFonts w:ascii="Book Antiqua" w:hAnsi="Book Antiqua"/>
          <w:bCs/>
          <w:lang w:eastAsia="zh-CN"/>
        </w:rPr>
        <w:t>.</w:t>
      </w:r>
      <w:r w:rsidRPr="00B16375">
        <w:rPr>
          <w:rFonts w:ascii="Book Antiqua" w:hAnsi="Book Antiqua" w:cs="Arial"/>
          <w:bCs/>
        </w:rPr>
        <w:t xml:space="preserve"> Immune thrombocytopenia</w:t>
      </w:r>
    </w:p>
    <w:p w:rsidR="00FA650B" w:rsidRPr="00904142" w:rsidRDefault="00FA650B" w:rsidP="00904142">
      <w:pPr>
        <w:spacing w:after="0" w:line="360" w:lineRule="auto"/>
        <w:jc w:val="both"/>
        <w:rPr>
          <w:rFonts w:ascii="Book Antiqua" w:hAnsi="Book Antiqua" w:cs="Arial"/>
          <w:b/>
          <w:bCs/>
        </w:rPr>
      </w:pPr>
    </w:p>
    <w:p w:rsidR="00FA650B" w:rsidRDefault="00FA650B" w:rsidP="00904142">
      <w:pPr>
        <w:spacing w:after="0" w:line="360" w:lineRule="auto"/>
        <w:jc w:val="both"/>
        <w:rPr>
          <w:rFonts w:ascii="Book Antiqua" w:hAnsi="Book Antiqua"/>
          <w:bCs/>
          <w:lang w:eastAsia="zh-CN"/>
        </w:rPr>
      </w:pPr>
      <w:proofErr w:type="spellStart"/>
      <w:r w:rsidRPr="00904142">
        <w:rPr>
          <w:rFonts w:ascii="Book Antiqua" w:hAnsi="Book Antiqua"/>
          <w:bCs/>
        </w:rPr>
        <w:t>Erdal</w:t>
      </w:r>
      <w:proofErr w:type="spellEnd"/>
      <w:r w:rsidRPr="00904142">
        <w:rPr>
          <w:rFonts w:ascii="Book Antiqua" w:hAnsi="Book Antiqua"/>
          <w:bCs/>
        </w:rPr>
        <w:t xml:space="preserve"> </w:t>
      </w:r>
      <w:proofErr w:type="spellStart"/>
      <w:r w:rsidRPr="00904142">
        <w:rPr>
          <w:rFonts w:ascii="Book Antiqua" w:hAnsi="Book Antiqua"/>
          <w:bCs/>
        </w:rPr>
        <w:t>Kurtoğlu</w:t>
      </w:r>
      <w:proofErr w:type="spellEnd"/>
      <w:r w:rsidRPr="00904142">
        <w:rPr>
          <w:rFonts w:ascii="Book Antiqua" w:hAnsi="Book Antiqua"/>
          <w:bCs/>
        </w:rPr>
        <w:t xml:space="preserve">, </w:t>
      </w:r>
      <w:proofErr w:type="spellStart"/>
      <w:r w:rsidRPr="00904142">
        <w:rPr>
          <w:rFonts w:ascii="Book Antiqua" w:hAnsi="Book Antiqua"/>
          <w:bCs/>
        </w:rPr>
        <w:t>Volkan</w:t>
      </w:r>
      <w:proofErr w:type="spellEnd"/>
      <w:r w:rsidRPr="00904142">
        <w:rPr>
          <w:rFonts w:ascii="Book Antiqua" w:hAnsi="Book Antiqua"/>
          <w:bCs/>
        </w:rPr>
        <w:t xml:space="preserve"> </w:t>
      </w:r>
      <w:proofErr w:type="spellStart"/>
      <w:r w:rsidRPr="00904142">
        <w:rPr>
          <w:rFonts w:ascii="Book Antiqua" w:hAnsi="Book Antiqua"/>
          <w:bCs/>
        </w:rPr>
        <w:t>Karakuş</w:t>
      </w:r>
      <w:proofErr w:type="spellEnd"/>
    </w:p>
    <w:p w:rsidR="00FA650B" w:rsidRPr="00904142" w:rsidRDefault="00FA650B" w:rsidP="00904142">
      <w:pPr>
        <w:spacing w:after="0" w:line="360" w:lineRule="auto"/>
        <w:jc w:val="both"/>
        <w:rPr>
          <w:rFonts w:ascii="Book Antiqua" w:hAnsi="Book Antiqua"/>
          <w:bCs/>
          <w:lang w:eastAsia="zh-CN"/>
        </w:rPr>
      </w:pPr>
    </w:p>
    <w:p w:rsidR="00FA650B" w:rsidRPr="00B16375" w:rsidRDefault="00FA650B" w:rsidP="00904142">
      <w:pPr>
        <w:spacing w:after="0" w:line="360" w:lineRule="auto"/>
        <w:jc w:val="both"/>
        <w:rPr>
          <w:rFonts w:ascii="Book Antiqua" w:hAnsi="Book Antiqua"/>
          <w:bCs/>
          <w:lang w:eastAsia="zh-CN"/>
        </w:rPr>
      </w:pPr>
      <w:proofErr w:type="spellStart"/>
      <w:r w:rsidRPr="00B16375">
        <w:rPr>
          <w:rFonts w:ascii="Book Antiqua" w:hAnsi="Book Antiqua"/>
          <w:b/>
          <w:bCs/>
        </w:rPr>
        <w:t>Erdal</w:t>
      </w:r>
      <w:proofErr w:type="spellEnd"/>
      <w:r w:rsidRPr="00B16375">
        <w:rPr>
          <w:rFonts w:ascii="Book Antiqua" w:hAnsi="Book Antiqua"/>
          <w:b/>
          <w:bCs/>
        </w:rPr>
        <w:t xml:space="preserve"> </w:t>
      </w:r>
      <w:proofErr w:type="spellStart"/>
      <w:r w:rsidRPr="00B16375">
        <w:rPr>
          <w:rFonts w:ascii="Book Antiqua" w:hAnsi="Book Antiqua"/>
          <w:b/>
          <w:bCs/>
        </w:rPr>
        <w:t>Kurtoğlu</w:t>
      </w:r>
      <w:proofErr w:type="spellEnd"/>
      <w:r w:rsidRPr="00B16375">
        <w:rPr>
          <w:rFonts w:ascii="Book Antiqua" w:hAnsi="Book Antiqua"/>
          <w:b/>
          <w:bCs/>
        </w:rPr>
        <w:t xml:space="preserve">, </w:t>
      </w:r>
      <w:proofErr w:type="spellStart"/>
      <w:r w:rsidRPr="00B16375">
        <w:rPr>
          <w:rFonts w:ascii="Book Antiqua" w:hAnsi="Book Antiqua"/>
          <w:b/>
          <w:bCs/>
        </w:rPr>
        <w:t>Volkan</w:t>
      </w:r>
      <w:proofErr w:type="spellEnd"/>
      <w:r w:rsidRPr="00B16375">
        <w:rPr>
          <w:rFonts w:ascii="Book Antiqua" w:hAnsi="Book Antiqua"/>
          <w:b/>
          <w:bCs/>
        </w:rPr>
        <w:t xml:space="preserve"> </w:t>
      </w:r>
      <w:proofErr w:type="spellStart"/>
      <w:r w:rsidRPr="00B16375">
        <w:rPr>
          <w:rFonts w:ascii="Book Antiqua" w:hAnsi="Book Antiqua"/>
          <w:b/>
          <w:bCs/>
        </w:rPr>
        <w:t>Karakuş</w:t>
      </w:r>
      <w:proofErr w:type="spellEnd"/>
      <w:r w:rsidRPr="00B16375">
        <w:rPr>
          <w:rFonts w:ascii="Book Antiqua" w:hAnsi="Book Antiqua"/>
          <w:b/>
          <w:bCs/>
          <w:lang w:eastAsia="zh-CN"/>
        </w:rPr>
        <w:t xml:space="preserve">, </w:t>
      </w:r>
      <w:r w:rsidRPr="00B16375">
        <w:rPr>
          <w:rFonts w:ascii="Book Antiqua" w:hAnsi="Book Antiqua"/>
          <w:iCs/>
        </w:rPr>
        <w:t>Department of Hematology,</w:t>
      </w:r>
      <w:r>
        <w:rPr>
          <w:rFonts w:ascii="Book Antiqua" w:hAnsi="Book Antiqua"/>
          <w:iCs/>
          <w:lang w:eastAsia="zh-CN"/>
        </w:rPr>
        <w:t xml:space="preserve"> </w:t>
      </w:r>
      <w:r w:rsidRPr="00B16375">
        <w:rPr>
          <w:rFonts w:ascii="Book Antiqua" w:hAnsi="Book Antiqua"/>
          <w:iCs/>
        </w:rPr>
        <w:t>Antalya Research and Training Hospital, 07070</w:t>
      </w:r>
      <w:r>
        <w:rPr>
          <w:rFonts w:ascii="Book Antiqua" w:hAnsi="Book Antiqua"/>
          <w:iCs/>
          <w:lang w:eastAsia="zh-CN"/>
        </w:rPr>
        <w:t xml:space="preserve"> </w:t>
      </w:r>
      <w:r w:rsidRPr="00B16375">
        <w:rPr>
          <w:rFonts w:ascii="Book Antiqua" w:hAnsi="Book Antiqua"/>
          <w:iCs/>
        </w:rPr>
        <w:t xml:space="preserve">Antalya, </w:t>
      </w:r>
      <w:r>
        <w:rPr>
          <w:rFonts w:ascii="Book Antiqua" w:hAnsi="Book Antiqua"/>
          <w:iCs/>
        </w:rPr>
        <w:t>Turkey</w:t>
      </w:r>
    </w:p>
    <w:p w:rsidR="00FA650B" w:rsidRPr="00904142" w:rsidRDefault="00FA650B" w:rsidP="00904142">
      <w:pPr>
        <w:spacing w:after="0" w:line="360" w:lineRule="auto"/>
        <w:jc w:val="both"/>
        <w:rPr>
          <w:rFonts w:ascii="Book Antiqua" w:hAnsi="Book Antiqua"/>
          <w:b/>
        </w:rPr>
      </w:pPr>
    </w:p>
    <w:p w:rsidR="00FA650B" w:rsidRPr="00904142" w:rsidRDefault="00FA650B" w:rsidP="00904142">
      <w:pPr>
        <w:spacing w:after="0" w:line="360" w:lineRule="auto"/>
        <w:jc w:val="both"/>
        <w:rPr>
          <w:rFonts w:ascii="Book Antiqua" w:hAnsi="Book Antiqua"/>
        </w:rPr>
      </w:pPr>
      <w:r w:rsidRPr="007350B6">
        <w:rPr>
          <w:rFonts w:ascii="Book Antiqua" w:hAnsi="Book Antiqua"/>
          <w:b/>
          <w:color w:val="000000"/>
        </w:rPr>
        <w:t>Author contributions</w:t>
      </w:r>
      <w:r w:rsidRPr="007350B6">
        <w:rPr>
          <w:rFonts w:ascii="Book Antiqua" w:hAnsi="Book Antiqua"/>
          <w:color w:val="000000"/>
        </w:rPr>
        <w:t>:</w:t>
      </w:r>
      <w:r w:rsidRPr="007350B6">
        <w:rPr>
          <w:rFonts w:ascii="Book Antiqua" w:hAnsi="Book Antiqua"/>
          <w:color w:val="000000"/>
          <w:lang w:eastAsia="zh-CN"/>
        </w:rPr>
        <w:t xml:space="preserve"> </w:t>
      </w:r>
      <w:proofErr w:type="spellStart"/>
      <w:r w:rsidRPr="00904142">
        <w:rPr>
          <w:rFonts w:ascii="Book Antiqua" w:hAnsi="Book Antiqua"/>
        </w:rPr>
        <w:t>Kurtoğlu</w:t>
      </w:r>
      <w:proofErr w:type="spellEnd"/>
      <w:r w:rsidRPr="00904142">
        <w:rPr>
          <w:rFonts w:ascii="Book Antiqua" w:hAnsi="Book Antiqua"/>
        </w:rPr>
        <w:t xml:space="preserve"> E and </w:t>
      </w:r>
      <w:proofErr w:type="spellStart"/>
      <w:r w:rsidRPr="00904142">
        <w:rPr>
          <w:rFonts w:ascii="Book Antiqua" w:hAnsi="Book Antiqua"/>
        </w:rPr>
        <w:t>Karakuş</w:t>
      </w:r>
      <w:proofErr w:type="spellEnd"/>
      <w:r w:rsidRPr="00904142">
        <w:rPr>
          <w:rFonts w:ascii="Book Antiqua" w:hAnsi="Book Antiqua"/>
        </w:rPr>
        <w:t xml:space="preserve"> V contributed equally to </w:t>
      </w:r>
      <w:r>
        <w:rPr>
          <w:rFonts w:ascii="Book Antiqua" w:hAnsi="Book Antiqua"/>
          <w:lang w:eastAsia="zh-CN"/>
        </w:rPr>
        <w:t>t</w:t>
      </w:r>
      <w:r w:rsidRPr="00904142">
        <w:rPr>
          <w:rFonts w:ascii="Book Antiqua" w:hAnsi="Book Antiqua"/>
        </w:rPr>
        <w:t>his work, wrote the manuscript and generated the figures</w:t>
      </w:r>
      <w:r>
        <w:rPr>
          <w:rFonts w:ascii="Book Antiqua" w:hAnsi="Book Antiqua"/>
          <w:lang w:eastAsia="zh-CN"/>
        </w:rPr>
        <w:t>;</w:t>
      </w:r>
      <w:r>
        <w:rPr>
          <w:rFonts w:ascii="Book Antiqua" w:hAnsi="Book Antiqua"/>
        </w:rPr>
        <w:t xml:space="preserve"> </w:t>
      </w:r>
      <w:proofErr w:type="spellStart"/>
      <w:r>
        <w:rPr>
          <w:rFonts w:ascii="Book Antiqua" w:hAnsi="Book Antiqua"/>
        </w:rPr>
        <w:t>Kurtoğlu</w:t>
      </w:r>
      <w:proofErr w:type="spellEnd"/>
      <w:r>
        <w:rPr>
          <w:rFonts w:ascii="Book Antiqua" w:hAnsi="Book Antiqua"/>
        </w:rPr>
        <w:t xml:space="preserve"> E additionally</w:t>
      </w:r>
      <w:r w:rsidRPr="00904142">
        <w:rPr>
          <w:rFonts w:ascii="Book Antiqua" w:hAnsi="Book Antiqua"/>
        </w:rPr>
        <w:t xml:space="preserve"> designed the aim of the manuscript.</w:t>
      </w:r>
    </w:p>
    <w:p w:rsidR="00FA650B" w:rsidRDefault="00FA650B" w:rsidP="00904142">
      <w:pPr>
        <w:spacing w:after="0" w:line="360" w:lineRule="auto"/>
        <w:jc w:val="both"/>
        <w:rPr>
          <w:rFonts w:ascii="Book Antiqua" w:hAnsi="Book Antiqua"/>
          <w:b/>
          <w:lang w:eastAsia="zh-CN"/>
        </w:rPr>
      </w:pPr>
    </w:p>
    <w:p w:rsidR="00FA650B" w:rsidRPr="00904142" w:rsidRDefault="00FA650B" w:rsidP="00904142">
      <w:pPr>
        <w:spacing w:after="0" w:line="360" w:lineRule="auto"/>
        <w:jc w:val="both"/>
        <w:rPr>
          <w:rFonts w:ascii="Book Antiqua" w:hAnsi="Book Antiqua"/>
          <w:b/>
        </w:rPr>
      </w:pPr>
      <w:r w:rsidRPr="007350B6">
        <w:rPr>
          <w:rFonts w:ascii="Book Antiqua" w:hAnsi="Book Antiqua" w:cs="Gulim"/>
          <w:b/>
          <w:color w:val="000000"/>
        </w:rPr>
        <w:t>Correspondence to</w:t>
      </w:r>
      <w:r w:rsidRPr="007350B6">
        <w:rPr>
          <w:rFonts w:ascii="Book Antiqua" w:hAnsi="Book Antiqua" w:cs="Gulim"/>
          <w:b/>
          <w:bCs/>
          <w:color w:val="000000"/>
        </w:rPr>
        <w:t>:</w:t>
      </w:r>
      <w:r w:rsidRPr="007350B6">
        <w:rPr>
          <w:rFonts w:ascii="Book Antiqua" w:hAnsi="Book Antiqua"/>
          <w:b/>
          <w:color w:val="000000"/>
        </w:rPr>
        <w:t xml:space="preserve"> </w:t>
      </w:r>
      <w:proofErr w:type="spellStart"/>
      <w:r w:rsidRPr="00904142">
        <w:rPr>
          <w:rFonts w:ascii="Book Antiqua" w:hAnsi="Book Antiqua"/>
          <w:b/>
        </w:rPr>
        <w:t>Erdal</w:t>
      </w:r>
      <w:proofErr w:type="spellEnd"/>
      <w:r w:rsidRPr="00904142">
        <w:rPr>
          <w:rFonts w:ascii="Book Antiqua" w:hAnsi="Book Antiqua"/>
          <w:b/>
        </w:rPr>
        <w:t xml:space="preserve"> </w:t>
      </w:r>
      <w:proofErr w:type="spellStart"/>
      <w:r w:rsidRPr="00904142">
        <w:rPr>
          <w:rFonts w:ascii="Book Antiqua" w:hAnsi="Book Antiqua"/>
          <w:b/>
        </w:rPr>
        <w:t>Kurtoğlu</w:t>
      </w:r>
      <w:proofErr w:type="spellEnd"/>
      <w:r w:rsidRPr="00904142">
        <w:rPr>
          <w:rFonts w:ascii="Book Antiqua" w:hAnsi="Book Antiqua"/>
          <w:b/>
        </w:rPr>
        <w:t xml:space="preserve">, MD, Associated Professor, </w:t>
      </w:r>
      <w:r w:rsidRPr="00904142">
        <w:rPr>
          <w:rFonts w:ascii="Book Antiqua" w:hAnsi="Book Antiqua"/>
        </w:rPr>
        <w:t xml:space="preserve">Department of Hematology, Antalya Education and Research Hospital, </w:t>
      </w:r>
      <w:proofErr w:type="spellStart"/>
      <w:r w:rsidRPr="00904142">
        <w:rPr>
          <w:rFonts w:ascii="Book Antiqua" w:hAnsi="Book Antiqua"/>
        </w:rPr>
        <w:t>Varlık</w:t>
      </w:r>
      <w:proofErr w:type="spellEnd"/>
      <w:r w:rsidRPr="00904142">
        <w:rPr>
          <w:rFonts w:ascii="Book Antiqua" w:hAnsi="Book Antiqua"/>
        </w:rPr>
        <w:t xml:space="preserve"> </w:t>
      </w:r>
      <w:proofErr w:type="spellStart"/>
      <w:r w:rsidRPr="00904142">
        <w:rPr>
          <w:rFonts w:ascii="Book Antiqua" w:hAnsi="Book Antiqua"/>
        </w:rPr>
        <w:t>Mah</w:t>
      </w:r>
      <w:proofErr w:type="spellEnd"/>
      <w:r w:rsidRPr="00904142">
        <w:rPr>
          <w:rFonts w:ascii="Book Antiqua" w:hAnsi="Book Antiqua"/>
        </w:rPr>
        <w:t xml:space="preserve">., </w:t>
      </w:r>
      <w:r w:rsidRPr="00B16375">
        <w:rPr>
          <w:rFonts w:ascii="Book Antiqua" w:hAnsi="Book Antiqua"/>
          <w:iCs/>
        </w:rPr>
        <w:t>07070</w:t>
      </w:r>
      <w:r>
        <w:rPr>
          <w:rFonts w:ascii="Book Antiqua" w:hAnsi="Book Antiqua"/>
          <w:iCs/>
          <w:lang w:eastAsia="zh-CN"/>
        </w:rPr>
        <w:t xml:space="preserve"> </w:t>
      </w:r>
      <w:r w:rsidRPr="00904142">
        <w:rPr>
          <w:rFonts w:ascii="Book Antiqua" w:hAnsi="Book Antiqua"/>
        </w:rPr>
        <w:t>Antalya, Turkey. erdalkurtoglu@yahoo.com</w:t>
      </w:r>
    </w:p>
    <w:p w:rsidR="00FA650B" w:rsidRPr="00B16375" w:rsidRDefault="00FA650B" w:rsidP="00904142">
      <w:pPr>
        <w:spacing w:after="0" w:line="360" w:lineRule="auto"/>
        <w:jc w:val="both"/>
        <w:rPr>
          <w:rFonts w:ascii="Book Antiqua" w:hAnsi="Book Antiqua"/>
          <w:b/>
          <w:lang w:eastAsia="zh-CN"/>
        </w:rPr>
      </w:pPr>
    </w:p>
    <w:p w:rsidR="00FA650B" w:rsidRPr="00B16375" w:rsidRDefault="00FA650B" w:rsidP="00904142">
      <w:pPr>
        <w:spacing w:after="0" w:line="360" w:lineRule="auto"/>
        <w:jc w:val="both"/>
        <w:rPr>
          <w:rFonts w:ascii="Book Antiqua" w:hAnsi="Book Antiqua"/>
          <w:b/>
        </w:rPr>
      </w:pPr>
      <w:r w:rsidRPr="00B16375">
        <w:rPr>
          <w:rFonts w:ascii="Book Antiqua" w:hAnsi="Book Antiqua"/>
          <w:b/>
        </w:rPr>
        <w:t xml:space="preserve">Telephone: </w:t>
      </w:r>
      <w:r w:rsidRPr="00B16375">
        <w:rPr>
          <w:rFonts w:ascii="Book Antiqua" w:hAnsi="Book Antiqua"/>
        </w:rPr>
        <w:t>+90-242-2494400</w:t>
      </w:r>
      <w:r w:rsidRPr="00B16375">
        <w:rPr>
          <w:rFonts w:ascii="Book Antiqua" w:hAnsi="Book Antiqua"/>
          <w:b/>
        </w:rPr>
        <w:t xml:space="preserve">  </w:t>
      </w:r>
      <w:r w:rsidRPr="00B16375">
        <w:rPr>
          <w:rFonts w:ascii="Book Antiqua" w:hAnsi="Book Antiqua"/>
          <w:b/>
        </w:rPr>
        <w:tab/>
      </w:r>
      <w:r w:rsidRPr="00B16375">
        <w:rPr>
          <w:rFonts w:ascii="Book Antiqua" w:hAnsi="Book Antiqua"/>
          <w:b/>
        </w:rPr>
        <w:tab/>
        <w:t xml:space="preserve">  Fax: </w:t>
      </w:r>
      <w:r w:rsidRPr="00B16375">
        <w:rPr>
          <w:rFonts w:ascii="Book Antiqua" w:hAnsi="Book Antiqua"/>
        </w:rPr>
        <w:t>+90-242-2494462</w:t>
      </w:r>
    </w:p>
    <w:p w:rsidR="00FA650B" w:rsidRDefault="00FA650B" w:rsidP="00904142">
      <w:pPr>
        <w:spacing w:after="0" w:line="360" w:lineRule="auto"/>
        <w:jc w:val="both"/>
        <w:rPr>
          <w:rFonts w:ascii="Book Antiqua" w:hAnsi="Book Antiqua"/>
          <w:b/>
          <w:lang w:eastAsia="zh-CN"/>
        </w:rPr>
      </w:pPr>
    </w:p>
    <w:p w:rsidR="00FA650B" w:rsidRPr="00B16375" w:rsidRDefault="00FA650B" w:rsidP="00B16375">
      <w:pPr>
        <w:adjustRightInd w:val="0"/>
        <w:snapToGrid w:val="0"/>
        <w:spacing w:line="360" w:lineRule="auto"/>
        <w:rPr>
          <w:rFonts w:ascii="Book Antiqua" w:hAnsi="Book Antiqua"/>
          <w:color w:val="000000"/>
          <w:lang w:eastAsia="zh-CN"/>
        </w:rPr>
      </w:pPr>
      <w:r w:rsidRPr="007350B6">
        <w:rPr>
          <w:rFonts w:ascii="Book Antiqua" w:hAnsi="Book Antiqua"/>
          <w:b/>
          <w:color w:val="000000"/>
        </w:rPr>
        <w:t xml:space="preserve">Received: </w:t>
      </w:r>
      <w:r w:rsidRPr="00B16375">
        <w:rPr>
          <w:rFonts w:ascii="Book Antiqua" w:hAnsi="Book Antiqua"/>
          <w:color w:val="000000"/>
          <w:lang w:eastAsia="zh-CN"/>
        </w:rPr>
        <w:t>September 27, 2013</w:t>
      </w:r>
      <w:r w:rsidRPr="00B16375">
        <w:rPr>
          <w:rFonts w:ascii="Book Antiqua" w:hAnsi="Book Antiqua"/>
          <w:color w:val="000000"/>
        </w:rPr>
        <w:t xml:space="preserve">  </w:t>
      </w:r>
      <w:r>
        <w:rPr>
          <w:rFonts w:ascii="Book Antiqua" w:hAnsi="Book Antiqua"/>
          <w:b/>
          <w:color w:val="000000"/>
        </w:rPr>
        <w:t xml:space="preserve"> Revised: </w:t>
      </w:r>
      <w:r w:rsidRPr="00B16375">
        <w:rPr>
          <w:rFonts w:ascii="Book Antiqua" w:hAnsi="Book Antiqua"/>
          <w:color w:val="000000"/>
          <w:lang w:eastAsia="zh-CN"/>
        </w:rPr>
        <w:t>November 21, 2013</w:t>
      </w:r>
    </w:p>
    <w:p w:rsidR="00FA650B" w:rsidRPr="007350B6" w:rsidRDefault="00FA650B" w:rsidP="00B16375">
      <w:pPr>
        <w:adjustRightInd w:val="0"/>
        <w:snapToGrid w:val="0"/>
        <w:spacing w:line="360" w:lineRule="auto"/>
        <w:rPr>
          <w:rFonts w:ascii="Book Antiqua" w:hAnsi="Book Antiqua"/>
          <w:b/>
          <w:color w:val="000000"/>
        </w:rPr>
      </w:pPr>
      <w:r w:rsidRPr="007350B6">
        <w:rPr>
          <w:rFonts w:ascii="Book Antiqua" w:hAnsi="Book Antiqua"/>
          <w:b/>
          <w:color w:val="000000"/>
        </w:rPr>
        <w:t xml:space="preserve">Accepted:  </w:t>
      </w:r>
      <w:r w:rsidR="0051331B" w:rsidRPr="00B05CF1">
        <w:rPr>
          <w:rFonts w:ascii="Book Antiqua" w:hAnsi="Book Antiqua" w:hint="eastAsia"/>
          <w:lang w:eastAsia="zh-CN"/>
        </w:rPr>
        <w:t>December 13, 2013</w:t>
      </w:r>
      <w:r w:rsidRPr="007350B6">
        <w:rPr>
          <w:rFonts w:ascii="Book Antiqua" w:hAnsi="Book Antiqua"/>
          <w:b/>
          <w:color w:val="000000"/>
        </w:rPr>
        <w:t xml:space="preserve">                         </w:t>
      </w:r>
    </w:p>
    <w:p w:rsidR="00FA650B" w:rsidRPr="007350B6" w:rsidRDefault="00FA650B" w:rsidP="00B16375">
      <w:pPr>
        <w:adjustRightInd w:val="0"/>
        <w:snapToGrid w:val="0"/>
        <w:spacing w:line="360" w:lineRule="auto"/>
        <w:rPr>
          <w:rFonts w:ascii="Book Antiqua" w:hAnsi="Book Antiqua"/>
          <w:b/>
          <w:color w:val="000000"/>
          <w:lang w:val="en-GB"/>
        </w:rPr>
      </w:pPr>
      <w:r w:rsidRPr="007350B6">
        <w:rPr>
          <w:rFonts w:ascii="Book Antiqua" w:hAnsi="Book Antiqua"/>
          <w:b/>
          <w:color w:val="000000"/>
          <w:lang w:val="en-GB"/>
        </w:rPr>
        <w:t xml:space="preserve">Published online: </w:t>
      </w:r>
    </w:p>
    <w:p w:rsidR="00FA650B" w:rsidRPr="00B16375" w:rsidRDefault="00FA650B" w:rsidP="00904142">
      <w:pPr>
        <w:spacing w:after="0" w:line="360" w:lineRule="auto"/>
        <w:jc w:val="both"/>
        <w:rPr>
          <w:rFonts w:ascii="Book Antiqua" w:hAnsi="Book Antiqua"/>
          <w:b/>
          <w:lang w:val="en-GB" w:eastAsia="zh-CN"/>
        </w:rPr>
      </w:pPr>
    </w:p>
    <w:p w:rsidR="00FA650B" w:rsidRPr="00904142" w:rsidRDefault="00FA650B" w:rsidP="00904142">
      <w:pPr>
        <w:spacing w:after="0" w:line="360" w:lineRule="auto"/>
        <w:jc w:val="both"/>
        <w:rPr>
          <w:rFonts w:ascii="Book Antiqua" w:hAnsi="Book Antiqua"/>
          <w:b/>
        </w:rPr>
      </w:pPr>
      <w:r w:rsidRPr="00904142">
        <w:rPr>
          <w:rFonts w:ascii="Book Antiqua" w:hAnsi="Book Antiqua"/>
          <w:b/>
        </w:rPr>
        <w:t xml:space="preserve">Abstract </w:t>
      </w:r>
    </w:p>
    <w:p w:rsidR="00FA650B" w:rsidRDefault="00FA650B" w:rsidP="00904142">
      <w:pPr>
        <w:spacing w:after="0" w:line="360" w:lineRule="auto"/>
        <w:jc w:val="both"/>
        <w:rPr>
          <w:rFonts w:ascii="Book Antiqua" w:hAnsi="Book Antiqua"/>
          <w:lang w:eastAsia="zh-CN"/>
        </w:rPr>
      </w:pPr>
      <w:r w:rsidRPr="00904142">
        <w:rPr>
          <w:rFonts w:ascii="Book Antiqua" w:hAnsi="Book Antiqua"/>
        </w:rPr>
        <w:t xml:space="preserve">Immune thrombocytopenia is an autoimmune disease resulting in the destruction of platelets. It is classified as acute, thrombocytopenia occurring </w:t>
      </w:r>
      <w:r w:rsidRPr="00904142">
        <w:rPr>
          <w:rFonts w:ascii="Book Antiqua" w:hAnsi="Book Antiqua"/>
        </w:rPr>
        <w:lastRenderedPageBreak/>
        <w:t>for &lt;</w:t>
      </w:r>
      <w:r>
        <w:rPr>
          <w:rFonts w:ascii="Book Antiqua" w:hAnsi="Book Antiqua"/>
          <w:lang w:eastAsia="zh-CN"/>
        </w:rPr>
        <w:t xml:space="preserve"> 6 </w:t>
      </w:r>
      <w:proofErr w:type="spellStart"/>
      <w:r w:rsidRPr="00904142">
        <w:rPr>
          <w:rFonts w:ascii="Book Antiqua" w:hAnsi="Book Antiqua"/>
        </w:rPr>
        <w:t>mo</w:t>
      </w:r>
      <w:proofErr w:type="spellEnd"/>
      <w:r w:rsidRPr="00904142">
        <w:rPr>
          <w:rFonts w:ascii="Book Antiqua" w:hAnsi="Book Antiqua"/>
        </w:rPr>
        <w:t xml:space="preserve"> and usually resolving spontaneously, and chronic forms, lasting &gt;</w:t>
      </w:r>
      <w:r>
        <w:rPr>
          <w:rFonts w:ascii="Book Antiqua" w:hAnsi="Book Antiqua"/>
          <w:lang w:eastAsia="zh-CN"/>
        </w:rPr>
        <w:t xml:space="preserve"> </w:t>
      </w:r>
      <w:r w:rsidRPr="00904142">
        <w:rPr>
          <w:rFonts w:ascii="Book Antiqua" w:hAnsi="Book Antiqua"/>
        </w:rPr>
        <w:t xml:space="preserve">6 </w:t>
      </w:r>
      <w:proofErr w:type="spellStart"/>
      <w:r w:rsidRPr="00904142">
        <w:rPr>
          <w:rFonts w:ascii="Book Antiqua" w:hAnsi="Book Antiqua"/>
        </w:rPr>
        <w:t>mo</w:t>
      </w:r>
      <w:proofErr w:type="spellEnd"/>
      <w:r w:rsidRPr="00904142">
        <w:rPr>
          <w:rFonts w:ascii="Book Antiqua" w:hAnsi="Book Antiqua"/>
        </w:rPr>
        <w:t xml:space="preserve"> and requiring therapy to improve the thrombocytopenia. The underlying defects leading to autoantibody production are unknown. Molecular mimicry appears to play a role in the development of self-reactive platelet antibodies after vaccination and certain viral infections. Platelet life span is reduced as a consequence of antibody-mediated clearance by tissue macrophages in essentially all patients. Diagnosis is based on the exclusion of the other causes of thrombocytopenia. Steroid is the first choice of the treatment, often followed by splenectomy in unresponsive cases. Intravenous immunoglobulin (</w:t>
      </w:r>
      <w:proofErr w:type="spellStart"/>
      <w:r w:rsidRPr="00904142">
        <w:rPr>
          <w:rFonts w:ascii="Book Antiqua" w:hAnsi="Book Antiqua"/>
        </w:rPr>
        <w:t>IVIg</w:t>
      </w:r>
      <w:proofErr w:type="spellEnd"/>
      <w:r w:rsidRPr="00904142">
        <w:rPr>
          <w:rFonts w:ascii="Book Antiqua" w:hAnsi="Book Antiqua"/>
        </w:rPr>
        <w:t>), anti-</w:t>
      </w:r>
      <w:proofErr w:type="gramStart"/>
      <w:r w:rsidRPr="00904142">
        <w:rPr>
          <w:rFonts w:ascii="Book Antiqua" w:hAnsi="Book Antiqua"/>
        </w:rPr>
        <w:t>Rho(</w:t>
      </w:r>
      <w:proofErr w:type="gramEnd"/>
      <w:r w:rsidRPr="00904142">
        <w:rPr>
          <w:rFonts w:ascii="Book Antiqua" w:hAnsi="Book Antiqua"/>
        </w:rPr>
        <w:t xml:space="preserve">D) immune globulin, azathioprine, cyclosporine A, cyclophosphamide, </w:t>
      </w:r>
      <w:proofErr w:type="spellStart"/>
      <w:r w:rsidRPr="00904142">
        <w:rPr>
          <w:rFonts w:ascii="Book Antiqua" w:hAnsi="Book Antiqua"/>
        </w:rPr>
        <w:t>danazol</w:t>
      </w:r>
      <w:proofErr w:type="spellEnd"/>
      <w:r w:rsidRPr="00904142">
        <w:rPr>
          <w:rFonts w:ascii="Book Antiqua" w:hAnsi="Book Antiqua"/>
        </w:rPr>
        <w:t xml:space="preserve">, </w:t>
      </w:r>
      <w:proofErr w:type="spellStart"/>
      <w:r w:rsidRPr="00904142">
        <w:rPr>
          <w:rFonts w:ascii="Book Antiqua" w:hAnsi="Book Antiqua"/>
        </w:rPr>
        <w:t>dapsone</w:t>
      </w:r>
      <w:proofErr w:type="spellEnd"/>
      <w:r w:rsidRPr="00904142">
        <w:rPr>
          <w:rFonts w:ascii="Book Antiqua" w:hAnsi="Book Antiqua"/>
        </w:rPr>
        <w:t xml:space="preserve">, </w:t>
      </w:r>
      <w:proofErr w:type="spellStart"/>
      <w:r w:rsidRPr="00904142">
        <w:rPr>
          <w:rFonts w:ascii="Book Antiqua" w:hAnsi="Book Antiqua"/>
        </w:rPr>
        <w:t>mycophenolate</w:t>
      </w:r>
      <w:proofErr w:type="spellEnd"/>
      <w:r w:rsidRPr="00904142">
        <w:rPr>
          <w:rFonts w:ascii="Book Antiqua" w:hAnsi="Book Antiqua"/>
        </w:rPr>
        <w:t xml:space="preserve"> </w:t>
      </w:r>
      <w:proofErr w:type="spellStart"/>
      <w:r w:rsidRPr="00904142">
        <w:rPr>
          <w:rFonts w:ascii="Book Antiqua" w:hAnsi="Book Antiqua"/>
        </w:rPr>
        <w:t>mofetil</w:t>
      </w:r>
      <w:proofErr w:type="spellEnd"/>
      <w:r w:rsidRPr="00904142">
        <w:rPr>
          <w:rFonts w:ascii="Book Antiqua" w:hAnsi="Book Antiqua"/>
        </w:rPr>
        <w:t xml:space="preserve">, rituximab, </w:t>
      </w:r>
      <w:proofErr w:type="spellStart"/>
      <w:r w:rsidRPr="00904142">
        <w:rPr>
          <w:rFonts w:ascii="Book Antiqua" w:hAnsi="Book Antiqua"/>
        </w:rPr>
        <w:t>thrombopoietin</w:t>
      </w:r>
      <w:proofErr w:type="spellEnd"/>
      <w:r w:rsidRPr="00904142">
        <w:rPr>
          <w:rFonts w:ascii="Book Antiqua" w:hAnsi="Book Antiqua"/>
        </w:rPr>
        <w:t xml:space="preserve"> receptor agonists, and </w:t>
      </w:r>
      <w:proofErr w:type="spellStart"/>
      <w:r w:rsidRPr="00904142">
        <w:rPr>
          <w:rFonts w:ascii="Book Antiqua" w:hAnsi="Book Antiqua"/>
        </w:rPr>
        <w:t>vinca</w:t>
      </w:r>
      <w:proofErr w:type="spellEnd"/>
      <w:r w:rsidRPr="00904142">
        <w:rPr>
          <w:rFonts w:ascii="Book Antiqua" w:hAnsi="Book Antiqua"/>
        </w:rPr>
        <w:t xml:space="preserve"> alkaloids are other choices of treatment.</w:t>
      </w:r>
    </w:p>
    <w:p w:rsidR="00FA650B" w:rsidRDefault="00FA650B" w:rsidP="00904142">
      <w:pPr>
        <w:spacing w:after="0" w:line="360" w:lineRule="auto"/>
        <w:jc w:val="both"/>
        <w:rPr>
          <w:rFonts w:ascii="Book Antiqua" w:hAnsi="Book Antiqua"/>
          <w:lang w:eastAsia="zh-CN"/>
        </w:rPr>
      </w:pPr>
    </w:p>
    <w:p w:rsidR="00FA650B" w:rsidRPr="002C1C1F" w:rsidRDefault="00FA650B" w:rsidP="00B16375">
      <w:pPr>
        <w:autoSpaceDE w:val="0"/>
        <w:autoSpaceDN w:val="0"/>
        <w:adjustRightInd w:val="0"/>
        <w:rPr>
          <w:rFonts w:ascii="Book Antiqua" w:hAnsi="Book Antiqua" w:cs="Tahoma"/>
        </w:rPr>
      </w:pPr>
      <w:bookmarkStart w:id="0" w:name="OLE_LINK98"/>
      <w:bookmarkStart w:id="1" w:name="OLE_LINK156"/>
      <w:bookmarkStart w:id="2" w:name="OLE_LINK196"/>
      <w:bookmarkStart w:id="3" w:name="OLE_LINK217"/>
      <w:bookmarkStart w:id="4" w:name="OLE_LINK242"/>
      <w:bookmarkStart w:id="5" w:name="OLE_LINK247"/>
      <w:bookmarkStart w:id="6" w:name="OLE_LINK311"/>
      <w:bookmarkStart w:id="7" w:name="OLE_LINK312"/>
      <w:bookmarkStart w:id="8" w:name="OLE_LINK325"/>
      <w:bookmarkStart w:id="9" w:name="OLE_LINK330"/>
      <w:r>
        <w:rPr>
          <w:rFonts w:ascii="Book Antiqua" w:hAnsi="Book Antiqua" w:cs="Tahoma"/>
          <w:lang w:eastAsia="ja-JP"/>
        </w:rPr>
        <w:t xml:space="preserve">© 2013 </w:t>
      </w:r>
      <w:proofErr w:type="spellStart"/>
      <w:r>
        <w:rPr>
          <w:rFonts w:ascii="Book Antiqua" w:hAnsi="Book Antiqua" w:cs="Tahoma"/>
          <w:lang w:eastAsia="ja-JP"/>
        </w:rPr>
        <w:t>Baishideng</w:t>
      </w:r>
      <w:proofErr w:type="spellEnd"/>
      <w:r>
        <w:rPr>
          <w:rFonts w:ascii="Book Antiqua" w:hAnsi="Book Antiqua" w:cs="Tahoma"/>
          <w:lang w:eastAsia="ja-JP"/>
        </w:rPr>
        <w:t xml:space="preserve"> Publishing Group Co., Limited. All rights</w:t>
      </w:r>
      <w:r>
        <w:rPr>
          <w:rFonts w:ascii="Book Antiqua" w:hAnsi="Book Antiqua" w:cs="Tahoma"/>
        </w:rPr>
        <w:t xml:space="preserve"> </w:t>
      </w:r>
      <w:r>
        <w:rPr>
          <w:rFonts w:ascii="Book Antiqua" w:hAnsi="Book Antiqua" w:cs="Tahoma"/>
          <w:lang w:eastAsia="ja-JP"/>
        </w:rPr>
        <w:t>reserved.</w:t>
      </w:r>
      <w:r w:rsidRPr="007350B6">
        <w:rPr>
          <w:rFonts w:ascii="Book Antiqua" w:hAnsi="Book Antiqua"/>
          <w:color w:val="000000"/>
        </w:rPr>
        <w:t xml:space="preserve"> </w:t>
      </w:r>
    </w:p>
    <w:bookmarkEnd w:id="0"/>
    <w:bookmarkEnd w:id="1"/>
    <w:bookmarkEnd w:id="2"/>
    <w:bookmarkEnd w:id="3"/>
    <w:bookmarkEnd w:id="4"/>
    <w:bookmarkEnd w:id="5"/>
    <w:bookmarkEnd w:id="6"/>
    <w:bookmarkEnd w:id="7"/>
    <w:bookmarkEnd w:id="8"/>
    <w:bookmarkEnd w:id="9"/>
    <w:p w:rsidR="00FA650B" w:rsidRPr="00904142" w:rsidRDefault="00FA650B" w:rsidP="00904142">
      <w:pPr>
        <w:spacing w:after="0" w:line="360" w:lineRule="auto"/>
        <w:jc w:val="both"/>
        <w:rPr>
          <w:rFonts w:ascii="Book Antiqua" w:hAnsi="Book Antiqua"/>
          <w:lang w:eastAsia="zh-CN"/>
        </w:rPr>
      </w:pPr>
    </w:p>
    <w:p w:rsidR="00FA650B" w:rsidRPr="00904142" w:rsidRDefault="00FA650B" w:rsidP="00904142">
      <w:pPr>
        <w:pStyle w:val="a3"/>
        <w:spacing w:before="2" w:after="2" w:line="360" w:lineRule="auto"/>
        <w:jc w:val="both"/>
        <w:rPr>
          <w:rFonts w:ascii="Book Antiqua" w:hAnsi="Book Antiqua"/>
          <w:b/>
          <w:sz w:val="24"/>
          <w:szCs w:val="24"/>
        </w:rPr>
      </w:pPr>
      <w:r w:rsidRPr="00904142">
        <w:rPr>
          <w:rFonts w:ascii="Book Antiqua" w:hAnsi="Book Antiqua"/>
          <w:b/>
          <w:sz w:val="24"/>
          <w:szCs w:val="24"/>
        </w:rPr>
        <w:t xml:space="preserve">Key words: </w:t>
      </w:r>
      <w:r w:rsidRPr="00904142">
        <w:rPr>
          <w:rFonts w:ascii="Book Antiqua" w:hAnsi="Book Antiqua"/>
          <w:sz w:val="24"/>
          <w:szCs w:val="24"/>
        </w:rPr>
        <w:t>Immune thrombocytopenia; Splenectomy;</w:t>
      </w:r>
      <w:r>
        <w:rPr>
          <w:rFonts w:ascii="Book Antiqua" w:hAnsi="Book Antiqua"/>
          <w:sz w:val="24"/>
          <w:szCs w:val="24"/>
          <w:lang w:eastAsia="zh-CN"/>
        </w:rPr>
        <w:t xml:space="preserve"> </w:t>
      </w:r>
      <w:r w:rsidRPr="00904142">
        <w:rPr>
          <w:rFonts w:ascii="Book Antiqua" w:hAnsi="Book Antiqua"/>
          <w:sz w:val="24"/>
          <w:szCs w:val="24"/>
        </w:rPr>
        <w:t xml:space="preserve">Intravenous immunoglobulin; </w:t>
      </w:r>
      <w:proofErr w:type="gramStart"/>
      <w:r w:rsidRPr="00904142">
        <w:rPr>
          <w:rFonts w:ascii="Book Antiqua" w:hAnsi="Book Antiqua"/>
          <w:sz w:val="24"/>
          <w:szCs w:val="24"/>
        </w:rPr>
        <w:t>Autoimmune</w:t>
      </w:r>
      <w:proofErr w:type="gramEnd"/>
      <w:r w:rsidRPr="00904142">
        <w:rPr>
          <w:rFonts w:ascii="Book Antiqua" w:hAnsi="Book Antiqua"/>
          <w:sz w:val="24"/>
          <w:szCs w:val="24"/>
        </w:rPr>
        <w:t xml:space="preserve"> thrombocytopenia</w:t>
      </w:r>
    </w:p>
    <w:p w:rsidR="00FA650B" w:rsidRPr="00904142" w:rsidRDefault="00FA650B" w:rsidP="00904142">
      <w:pPr>
        <w:pStyle w:val="a3"/>
        <w:spacing w:before="2" w:after="2" w:line="360" w:lineRule="auto"/>
        <w:jc w:val="both"/>
        <w:rPr>
          <w:rFonts w:ascii="Book Antiqua" w:hAnsi="Book Antiqua"/>
          <w:b/>
          <w:sz w:val="24"/>
          <w:szCs w:val="24"/>
        </w:rPr>
      </w:pPr>
    </w:p>
    <w:p w:rsidR="00FA650B" w:rsidRPr="00904142" w:rsidRDefault="00FA650B" w:rsidP="00904142">
      <w:pPr>
        <w:pStyle w:val="a3"/>
        <w:spacing w:before="2" w:after="2" w:line="360" w:lineRule="auto"/>
        <w:jc w:val="both"/>
        <w:rPr>
          <w:rFonts w:ascii="Book Antiqua" w:hAnsi="Book Antiqua"/>
          <w:b/>
          <w:sz w:val="24"/>
          <w:szCs w:val="24"/>
        </w:rPr>
      </w:pPr>
      <w:r w:rsidRPr="00904142">
        <w:rPr>
          <w:rFonts w:ascii="Book Antiqua" w:hAnsi="Book Antiqua"/>
          <w:b/>
          <w:sz w:val="24"/>
          <w:szCs w:val="24"/>
        </w:rPr>
        <w:t xml:space="preserve">Core tip: </w:t>
      </w:r>
      <w:r w:rsidRPr="00904142">
        <w:rPr>
          <w:rFonts w:ascii="Book Antiqua" w:hAnsi="Book Antiqua"/>
          <w:sz w:val="24"/>
          <w:szCs w:val="24"/>
        </w:rPr>
        <w:t xml:space="preserve">In this manuscript we evaluated all aspects of immune thrombocytopenia. We tried to outline etiology, pathogenesis, diagnosis, and treatment of immune thrombocytopenia. We described the first and second-line therapies in details. Also, </w:t>
      </w:r>
      <w:proofErr w:type="gramStart"/>
      <w:r w:rsidRPr="00904142">
        <w:rPr>
          <w:rFonts w:ascii="Book Antiqua" w:hAnsi="Book Antiqua"/>
          <w:sz w:val="24"/>
          <w:szCs w:val="24"/>
        </w:rPr>
        <w:t>mechanism of actions of the drugs were</w:t>
      </w:r>
      <w:proofErr w:type="gramEnd"/>
      <w:r w:rsidRPr="00904142">
        <w:rPr>
          <w:rFonts w:ascii="Book Antiqua" w:hAnsi="Book Antiqua"/>
          <w:sz w:val="24"/>
          <w:szCs w:val="24"/>
        </w:rPr>
        <w:t xml:space="preserve"> described.</w:t>
      </w:r>
    </w:p>
    <w:p w:rsidR="00FA650B" w:rsidRDefault="00FA650B" w:rsidP="00904142">
      <w:pPr>
        <w:pStyle w:val="a3"/>
        <w:spacing w:before="2" w:after="2" w:line="360" w:lineRule="auto"/>
        <w:jc w:val="both"/>
        <w:rPr>
          <w:rFonts w:ascii="Book Antiqua" w:hAnsi="Book Antiqua"/>
          <w:b/>
          <w:sz w:val="24"/>
          <w:szCs w:val="24"/>
          <w:lang w:eastAsia="zh-CN"/>
        </w:rPr>
      </w:pPr>
    </w:p>
    <w:p w:rsidR="00FA650B" w:rsidRPr="00B16375" w:rsidRDefault="00FA650B" w:rsidP="00B16375">
      <w:pPr>
        <w:spacing w:after="0" w:line="360" w:lineRule="auto"/>
        <w:jc w:val="both"/>
        <w:rPr>
          <w:rFonts w:ascii="Book Antiqua" w:hAnsi="Book Antiqua"/>
          <w:bCs/>
          <w:lang w:eastAsia="zh-CN"/>
        </w:rPr>
      </w:pPr>
      <w:proofErr w:type="spellStart"/>
      <w:r w:rsidRPr="00904142">
        <w:rPr>
          <w:rFonts w:ascii="Book Antiqua" w:hAnsi="Book Antiqua"/>
          <w:bCs/>
        </w:rPr>
        <w:t>Kurtoğlu</w:t>
      </w:r>
      <w:proofErr w:type="spellEnd"/>
      <w:r>
        <w:rPr>
          <w:rFonts w:ascii="Book Antiqua" w:hAnsi="Book Antiqua"/>
          <w:bCs/>
          <w:lang w:eastAsia="zh-CN"/>
        </w:rPr>
        <w:t xml:space="preserve"> E</w:t>
      </w:r>
      <w:r w:rsidRPr="00904142">
        <w:rPr>
          <w:rFonts w:ascii="Book Antiqua" w:hAnsi="Book Antiqua"/>
          <w:bCs/>
        </w:rPr>
        <w:t xml:space="preserve">, </w:t>
      </w:r>
      <w:proofErr w:type="spellStart"/>
      <w:r w:rsidRPr="00904142">
        <w:rPr>
          <w:rFonts w:ascii="Book Antiqua" w:hAnsi="Book Antiqua"/>
          <w:bCs/>
        </w:rPr>
        <w:t>Karakuş</w:t>
      </w:r>
      <w:proofErr w:type="spellEnd"/>
      <w:r>
        <w:rPr>
          <w:rFonts w:ascii="Book Antiqua" w:hAnsi="Book Antiqua"/>
          <w:bCs/>
          <w:lang w:eastAsia="zh-CN"/>
        </w:rPr>
        <w:t xml:space="preserve"> V. </w:t>
      </w:r>
      <w:r w:rsidRPr="00B16375">
        <w:rPr>
          <w:rFonts w:ascii="Book Antiqua" w:hAnsi="Book Antiqua" w:cs="Arial"/>
          <w:bCs/>
        </w:rPr>
        <w:t>Immune thrombocytopenia in adults</w:t>
      </w:r>
      <w:r>
        <w:rPr>
          <w:rFonts w:ascii="Book Antiqua" w:hAnsi="Book Antiqua" w:cs="Arial"/>
          <w:bCs/>
        </w:rPr>
        <w:t>.</w:t>
      </w:r>
    </w:p>
    <w:p w:rsidR="00FA650B" w:rsidRPr="00904142" w:rsidRDefault="00FA650B" w:rsidP="00B16375">
      <w:pPr>
        <w:spacing w:after="0" w:line="360" w:lineRule="auto"/>
        <w:jc w:val="both"/>
        <w:rPr>
          <w:rFonts w:ascii="Book Antiqua" w:hAnsi="Book Antiqua" w:cs="Arial"/>
          <w:b/>
          <w:bCs/>
        </w:rPr>
      </w:pPr>
    </w:p>
    <w:p w:rsidR="00FA650B" w:rsidRPr="007350B6" w:rsidRDefault="00FA650B" w:rsidP="00B16375">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FA650B" w:rsidRPr="007350B6" w:rsidRDefault="00FA650B" w:rsidP="00B16375">
      <w:pPr>
        <w:adjustRightInd w:val="0"/>
        <w:snapToGrid w:val="0"/>
        <w:spacing w:line="360" w:lineRule="auto"/>
        <w:rPr>
          <w:rFonts w:ascii="Book Antiqua" w:hAnsi="Book Antiqua"/>
          <w:color w:val="000000"/>
        </w:rPr>
      </w:pPr>
      <w:r w:rsidRPr="007350B6">
        <w:rPr>
          <w:rFonts w:ascii="Book Antiqua" w:hAnsi="Book Antiqua"/>
          <w:b/>
          <w:bCs/>
          <w:color w:val="000000"/>
        </w:rPr>
        <w:t xml:space="preserve">DOI: </w:t>
      </w:r>
    </w:p>
    <w:p w:rsidR="00FA650B" w:rsidRPr="00B16375" w:rsidRDefault="00FA650B" w:rsidP="00904142">
      <w:pPr>
        <w:pStyle w:val="a3"/>
        <w:spacing w:before="2" w:after="2" w:line="360" w:lineRule="auto"/>
        <w:jc w:val="both"/>
        <w:rPr>
          <w:rFonts w:ascii="Book Antiqua" w:hAnsi="Book Antiqua"/>
          <w:b/>
          <w:sz w:val="24"/>
          <w:szCs w:val="24"/>
          <w:lang w:eastAsia="zh-CN"/>
        </w:rPr>
      </w:pPr>
    </w:p>
    <w:p w:rsidR="00FA650B" w:rsidRPr="00904142" w:rsidRDefault="00FA650B" w:rsidP="00904142">
      <w:pPr>
        <w:pStyle w:val="a3"/>
        <w:spacing w:before="2" w:after="2" w:line="360" w:lineRule="auto"/>
        <w:jc w:val="both"/>
        <w:rPr>
          <w:rFonts w:ascii="Book Antiqua" w:hAnsi="Book Antiqua"/>
          <w:b/>
          <w:sz w:val="24"/>
          <w:szCs w:val="24"/>
          <w:lang w:eastAsia="zh-CN"/>
        </w:rPr>
      </w:pPr>
    </w:p>
    <w:p w:rsidR="00FA650B" w:rsidRPr="00904142" w:rsidRDefault="00FA650B" w:rsidP="00904142">
      <w:pPr>
        <w:pStyle w:val="a3"/>
        <w:spacing w:before="2" w:after="2" w:line="360" w:lineRule="auto"/>
        <w:jc w:val="both"/>
        <w:rPr>
          <w:rFonts w:ascii="Book Antiqua" w:hAnsi="Book Antiqua"/>
          <w:b/>
          <w:sz w:val="24"/>
          <w:szCs w:val="24"/>
        </w:rPr>
      </w:pPr>
      <w:r w:rsidRPr="00904142">
        <w:rPr>
          <w:rFonts w:ascii="Book Antiqua" w:hAnsi="Book Antiqua"/>
          <w:b/>
          <w:sz w:val="24"/>
          <w:szCs w:val="24"/>
        </w:rPr>
        <w:lastRenderedPageBreak/>
        <w:t xml:space="preserve">INTRODUCTION </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 xml:space="preserve">Immune thrombocytopenia (ITP) is an autoimmune disease involving antibody and cell-mediated destruction of platelets and suppression of platelet production that may predispose to bleeding which may be even fatal. Recent recommendations from an international working group suggest that ITP be used to designate </w:t>
      </w:r>
      <w:r>
        <w:rPr>
          <w:rFonts w:ascii="Book Antiqua" w:hAnsi="Book Antiqua"/>
          <w:sz w:val="24"/>
          <w:szCs w:val="24"/>
        </w:rPr>
        <w:t>all cases of</w:t>
      </w:r>
      <w:r w:rsidRPr="00904142">
        <w:rPr>
          <w:rFonts w:ascii="Book Antiqua" w:hAnsi="Book Antiqua"/>
          <w:sz w:val="24"/>
          <w:szCs w:val="24"/>
        </w:rPr>
        <w:t xml:space="preserve"> immune-mediated thrombocytopenia, whether occurring as a component of another clinically evident disorder or drug exposure, secondary ITP, or in the absence of a clear predisposing etiology, primary </w:t>
      </w:r>
      <w:proofErr w:type="gramStart"/>
      <w:r w:rsidRPr="00904142">
        <w:rPr>
          <w:rFonts w:ascii="Book Antiqua" w:hAnsi="Book Antiqua"/>
          <w:sz w:val="24"/>
          <w:szCs w:val="24"/>
        </w:rPr>
        <w:t>ITP</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1,2]</w:t>
      </w:r>
      <w:r w:rsidRPr="00904142">
        <w:rPr>
          <w:rFonts w:ascii="Book Antiqua" w:hAnsi="Book Antiqua"/>
          <w:sz w:val="24"/>
          <w:szCs w:val="24"/>
        </w:rPr>
        <w:t xml:space="preserve">. </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The international working group also recommends that a platelet count below 100</w:t>
      </w:r>
      <w:r>
        <w:rPr>
          <w:rFonts w:ascii="Book Antiqua" w:hAnsi="Book Antiqua"/>
          <w:sz w:val="24"/>
          <w:szCs w:val="24"/>
          <w:lang w:eastAsia="zh-CN"/>
        </w:rPr>
        <w:t xml:space="preserve"> </w:t>
      </w:r>
      <w:r>
        <w:rPr>
          <w:rFonts w:ascii="Book Antiqua" w:hAnsi="Book Antiqua"/>
          <w:sz w:val="24"/>
          <w:szCs w:val="24"/>
        </w:rPr>
        <w:t>×</w:t>
      </w:r>
      <w:r>
        <w:rPr>
          <w:rFonts w:ascii="Book Antiqua" w:hAnsi="Book Antiqua"/>
          <w:sz w:val="24"/>
          <w:szCs w:val="24"/>
          <w:lang w:eastAsia="zh-CN"/>
        </w:rPr>
        <w:t xml:space="preserve"> </w:t>
      </w:r>
      <w:r w:rsidRPr="00904142">
        <w:rPr>
          <w:rFonts w:ascii="Book Antiqua" w:hAnsi="Book Antiqua"/>
          <w:sz w:val="24"/>
          <w:szCs w:val="24"/>
        </w:rPr>
        <w:t>10</w:t>
      </w:r>
      <w:r w:rsidRPr="00904142">
        <w:rPr>
          <w:rFonts w:ascii="Book Antiqua" w:hAnsi="Book Antiqua"/>
          <w:sz w:val="24"/>
          <w:szCs w:val="24"/>
          <w:vertAlign w:val="superscript"/>
        </w:rPr>
        <w:t>9</w:t>
      </w:r>
      <w:r w:rsidRPr="00904142">
        <w:rPr>
          <w:rFonts w:ascii="Book Antiqua" w:hAnsi="Book Antiqua"/>
          <w:sz w:val="24"/>
          <w:szCs w:val="24"/>
        </w:rPr>
        <w:t>/L, rather than 150</w:t>
      </w:r>
      <w:r>
        <w:rPr>
          <w:rFonts w:ascii="Book Antiqua" w:hAnsi="Book Antiqua"/>
          <w:sz w:val="24"/>
          <w:szCs w:val="24"/>
          <w:lang w:eastAsia="zh-CN"/>
        </w:rPr>
        <w:t xml:space="preserve"> </w:t>
      </w:r>
      <w:r>
        <w:rPr>
          <w:rFonts w:ascii="Book Antiqua" w:hAnsi="Book Antiqua" w:cs="Apple Symbols"/>
          <w:sz w:val="24"/>
          <w:szCs w:val="24"/>
        </w:rPr>
        <w:t>×</w:t>
      </w:r>
      <w:r>
        <w:rPr>
          <w:rFonts w:ascii="Book Antiqua" w:hAnsi="Book Antiqua" w:cs="Apple Symbols"/>
          <w:sz w:val="24"/>
          <w:szCs w:val="24"/>
          <w:lang w:eastAsia="zh-CN"/>
        </w:rPr>
        <w:t xml:space="preserve"> </w:t>
      </w:r>
      <w:r w:rsidRPr="00904142">
        <w:rPr>
          <w:rFonts w:ascii="Book Antiqua" w:hAnsi="Book Antiqua"/>
          <w:sz w:val="24"/>
          <w:szCs w:val="24"/>
        </w:rPr>
        <w:t>10</w:t>
      </w:r>
      <w:r w:rsidRPr="00904142">
        <w:rPr>
          <w:rFonts w:ascii="Book Antiqua" w:hAnsi="Book Antiqua"/>
          <w:sz w:val="24"/>
          <w:szCs w:val="24"/>
          <w:vertAlign w:val="superscript"/>
        </w:rPr>
        <w:t>9</w:t>
      </w:r>
      <w:r w:rsidRPr="00904142">
        <w:rPr>
          <w:rFonts w:ascii="Book Antiqua" w:hAnsi="Book Antiqua"/>
          <w:sz w:val="24"/>
          <w:szCs w:val="24"/>
        </w:rPr>
        <w:t>/L, be required for diagnosis. This threshold is based on observational evidence that fewer than 10% of otherwise healthy individuals with a stable platelet count between 100 and 150</w:t>
      </w:r>
      <w:r>
        <w:rPr>
          <w:rFonts w:ascii="Book Antiqua" w:hAnsi="Book Antiqua"/>
          <w:sz w:val="24"/>
          <w:szCs w:val="24"/>
          <w:lang w:eastAsia="zh-CN"/>
        </w:rPr>
        <w:t xml:space="preserve"> </w:t>
      </w:r>
      <w:r>
        <w:rPr>
          <w:rFonts w:ascii="Book Antiqua" w:hAnsi="Book Antiqua" w:cs="Apple Symbols"/>
          <w:sz w:val="24"/>
          <w:szCs w:val="24"/>
        </w:rPr>
        <w:t>×</w:t>
      </w:r>
      <w:r>
        <w:rPr>
          <w:rFonts w:ascii="Book Antiqua" w:hAnsi="Book Antiqua" w:cs="Apple Symbols"/>
          <w:sz w:val="24"/>
          <w:szCs w:val="24"/>
          <w:lang w:eastAsia="zh-CN"/>
        </w:rPr>
        <w:t xml:space="preserve"> </w:t>
      </w:r>
      <w:r w:rsidRPr="00904142">
        <w:rPr>
          <w:rFonts w:ascii="Book Antiqua" w:hAnsi="Book Antiqua"/>
          <w:sz w:val="24"/>
          <w:szCs w:val="24"/>
        </w:rPr>
        <w:t>10</w:t>
      </w:r>
      <w:r w:rsidRPr="00904142">
        <w:rPr>
          <w:rFonts w:ascii="Book Antiqua" w:hAnsi="Book Antiqua"/>
          <w:sz w:val="24"/>
          <w:szCs w:val="24"/>
          <w:vertAlign w:val="superscript"/>
        </w:rPr>
        <w:t>9</w:t>
      </w:r>
      <w:r w:rsidRPr="00904142">
        <w:rPr>
          <w:rFonts w:ascii="Book Antiqua" w:hAnsi="Book Antiqua"/>
          <w:sz w:val="24"/>
          <w:szCs w:val="24"/>
        </w:rPr>
        <w:t xml:space="preserve">/L develop more severe unexplained ITP over the ensuing 10 years. This review focuses on primary ITP in the adult population, but includes certain aspects of secondary forms and pediatric ITP where </w:t>
      </w:r>
      <w:proofErr w:type="gramStart"/>
      <w:r w:rsidRPr="00904142">
        <w:rPr>
          <w:rFonts w:ascii="Book Antiqua" w:hAnsi="Book Antiqua"/>
          <w:sz w:val="24"/>
          <w:szCs w:val="24"/>
        </w:rPr>
        <w:t>pertinent</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3]</w:t>
      </w:r>
      <w:r w:rsidRPr="00904142">
        <w:rPr>
          <w:rFonts w:ascii="Book Antiqua" w:hAnsi="Book Antiqua"/>
          <w:sz w:val="24"/>
          <w:szCs w:val="24"/>
        </w:rPr>
        <w:t xml:space="preserve">.  </w:t>
      </w:r>
    </w:p>
    <w:p w:rsidR="00FA650B" w:rsidRDefault="00FA650B" w:rsidP="00904142">
      <w:pPr>
        <w:spacing w:after="0" w:line="360" w:lineRule="auto"/>
        <w:jc w:val="both"/>
        <w:rPr>
          <w:rFonts w:ascii="Book Antiqua" w:hAnsi="Book Antiqua"/>
          <w:b/>
          <w:lang w:eastAsia="zh-CN"/>
        </w:rPr>
      </w:pPr>
    </w:p>
    <w:p w:rsidR="00FA650B" w:rsidRPr="00904142" w:rsidRDefault="00FA650B" w:rsidP="00904142">
      <w:pPr>
        <w:spacing w:after="0" w:line="360" w:lineRule="auto"/>
        <w:jc w:val="both"/>
        <w:rPr>
          <w:rFonts w:ascii="Book Antiqua" w:hAnsi="Book Antiqua"/>
          <w:b/>
        </w:rPr>
      </w:pPr>
      <w:r w:rsidRPr="00904142">
        <w:rPr>
          <w:rFonts w:ascii="Book Antiqua" w:hAnsi="Book Antiqua"/>
          <w:b/>
        </w:rPr>
        <w:t>INCIDENCE AND PREVALENCE</w:t>
      </w:r>
    </w:p>
    <w:p w:rsidR="00FA650B" w:rsidRPr="00904142" w:rsidRDefault="00FA650B" w:rsidP="00904142">
      <w:pPr>
        <w:spacing w:after="0" w:line="360" w:lineRule="auto"/>
        <w:jc w:val="both"/>
        <w:rPr>
          <w:rFonts w:ascii="Book Antiqua" w:hAnsi="Book Antiqua"/>
        </w:rPr>
      </w:pPr>
      <w:r w:rsidRPr="00904142">
        <w:rPr>
          <w:rFonts w:ascii="Book Antiqua" w:hAnsi="Book Antiqua"/>
        </w:rPr>
        <w:t>The annual incidence of ITP in United St</w:t>
      </w:r>
      <w:r>
        <w:rPr>
          <w:rFonts w:ascii="Book Antiqua" w:hAnsi="Book Antiqua"/>
        </w:rPr>
        <w:t>ates is estimated to be 1.6/100</w:t>
      </w:r>
      <w:r w:rsidRPr="00904142">
        <w:rPr>
          <w:rFonts w:ascii="Book Antiqua" w:hAnsi="Book Antiqua"/>
        </w:rPr>
        <w:t>000. Acute ITP, defined as thrombocytopenia occurring for &lt;</w:t>
      </w:r>
      <w:r>
        <w:rPr>
          <w:rFonts w:ascii="Book Antiqua" w:hAnsi="Book Antiqua"/>
          <w:lang w:eastAsia="zh-CN"/>
        </w:rPr>
        <w:t xml:space="preserve"> </w:t>
      </w:r>
      <w:r w:rsidRPr="00904142">
        <w:rPr>
          <w:rFonts w:ascii="Book Antiqua" w:hAnsi="Book Antiqua"/>
        </w:rPr>
        <w:t xml:space="preserve">6 </w:t>
      </w:r>
      <w:proofErr w:type="spellStart"/>
      <w:r w:rsidRPr="00904142">
        <w:rPr>
          <w:rFonts w:ascii="Book Antiqua" w:hAnsi="Book Antiqua"/>
        </w:rPr>
        <w:t>mo</w:t>
      </w:r>
      <w:proofErr w:type="spellEnd"/>
      <w:r w:rsidRPr="00904142">
        <w:rPr>
          <w:rFonts w:ascii="Book Antiqua" w:hAnsi="Book Antiqua"/>
        </w:rPr>
        <w:t xml:space="preserve"> and usually resolving spontaneously, most often affects children and young adults. The incidence peaks in the winter and spring, following viral infections. Acute ITP is most common between 2 and 6 years of age. Approximately 7</w:t>
      </w:r>
      <w:r>
        <w:rPr>
          <w:rFonts w:ascii="Book Antiqua" w:hAnsi="Book Antiqua"/>
          <w:lang w:eastAsia="zh-CN"/>
        </w:rPr>
        <w:t>%</w:t>
      </w:r>
      <w:r w:rsidRPr="00904142">
        <w:rPr>
          <w:rFonts w:ascii="Book Antiqua" w:hAnsi="Book Antiqua"/>
        </w:rPr>
        <w:t xml:space="preserve"> to 28% of children with acute ITP develop the chronic form. Chronic ITP, lasting &gt;</w:t>
      </w:r>
      <w:r>
        <w:rPr>
          <w:rFonts w:ascii="Book Antiqua" w:hAnsi="Book Antiqua"/>
          <w:lang w:eastAsia="zh-CN"/>
        </w:rPr>
        <w:t xml:space="preserve"> </w:t>
      </w:r>
      <w:r w:rsidRPr="00904142">
        <w:rPr>
          <w:rFonts w:ascii="Book Antiqua" w:hAnsi="Book Antiqua"/>
        </w:rPr>
        <w:t xml:space="preserve">6 </w:t>
      </w:r>
      <w:proofErr w:type="spellStart"/>
      <w:r w:rsidRPr="00904142">
        <w:rPr>
          <w:rFonts w:ascii="Book Antiqua" w:hAnsi="Book Antiqua"/>
        </w:rPr>
        <w:t>mo</w:t>
      </w:r>
      <w:proofErr w:type="spellEnd"/>
      <w:r w:rsidRPr="00904142">
        <w:rPr>
          <w:rFonts w:ascii="Book Antiqua" w:hAnsi="Book Antiqua"/>
        </w:rPr>
        <w:t xml:space="preserve"> and requiring therapy to improve the thrombocytopenia, occurs most commonly in adults as emphasized in the oldest reported series in the literature. In such reported series, both acute and chronic ITP cases were reviewed, 67% of 271 patients and 45% of 737 patients were below 21 and 15 years of age, respectively. In chronic ITP in adults, the median age is usually 40 to 45 years, although in one large series, 74% of 934 cases were younger </w:t>
      </w:r>
      <w:r w:rsidRPr="00904142">
        <w:rPr>
          <w:rFonts w:ascii="Book Antiqua" w:hAnsi="Book Antiqua"/>
        </w:rPr>
        <w:lastRenderedPageBreak/>
        <w:t xml:space="preserve">than age 40. The ratio of female to male is nearly 1:1 in acute ITP and 2 to 3:1 in chronic </w:t>
      </w:r>
      <w:proofErr w:type="gramStart"/>
      <w:r w:rsidRPr="00904142">
        <w:rPr>
          <w:rFonts w:ascii="Book Antiqua" w:hAnsi="Book Antiqua"/>
        </w:rPr>
        <w:t>ITP</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4]</w:t>
      </w:r>
      <w:r w:rsidRPr="00904142">
        <w:rPr>
          <w:rFonts w:ascii="Book Antiqua" w:hAnsi="Book Antiqua"/>
        </w:rPr>
        <w:t>.</w:t>
      </w:r>
    </w:p>
    <w:p w:rsidR="00FA650B" w:rsidRPr="00904142" w:rsidRDefault="00FA650B" w:rsidP="00995857">
      <w:pPr>
        <w:spacing w:after="0" w:line="360" w:lineRule="auto"/>
        <w:ind w:firstLineChars="100" w:firstLine="240"/>
        <w:jc w:val="both"/>
        <w:rPr>
          <w:rFonts w:ascii="Book Antiqua" w:hAnsi="Book Antiqua"/>
        </w:rPr>
      </w:pPr>
      <w:r w:rsidRPr="00904142">
        <w:rPr>
          <w:rFonts w:ascii="Book Antiqua" w:hAnsi="Book Antiqua"/>
        </w:rPr>
        <w:t>Estimates of the incidence of adult-onset ITP range from a</w:t>
      </w:r>
      <w:r>
        <w:rPr>
          <w:rFonts w:ascii="Book Antiqua" w:hAnsi="Book Antiqua"/>
        </w:rPr>
        <w:t>pproximately 1.6 to 3.9 per 100</w:t>
      </w:r>
      <w:r w:rsidRPr="00904142">
        <w:rPr>
          <w:rFonts w:ascii="Book Antiqua" w:hAnsi="Book Antiqua"/>
        </w:rPr>
        <w:t>000 persons per year, with a prevalence r</w:t>
      </w:r>
      <w:r>
        <w:rPr>
          <w:rFonts w:ascii="Book Antiqua" w:hAnsi="Book Antiqua"/>
        </w:rPr>
        <w:t>anging from 9.5 to 23.6 per 100</w:t>
      </w:r>
      <w:r w:rsidRPr="00904142">
        <w:rPr>
          <w:rFonts w:ascii="Book Antiqua" w:hAnsi="Book Antiqua"/>
        </w:rPr>
        <w:t>000 persons, based on diagnostic codes in the U</w:t>
      </w:r>
      <w:r>
        <w:rPr>
          <w:rFonts w:ascii="Book Antiqua" w:hAnsi="Book Antiqua"/>
          <w:lang w:eastAsia="zh-CN"/>
        </w:rPr>
        <w:t>nited Kingdom</w:t>
      </w:r>
      <w:r w:rsidRPr="00904142">
        <w:rPr>
          <w:rFonts w:ascii="Book Antiqua" w:hAnsi="Book Antiqua"/>
        </w:rPr>
        <w:t xml:space="preserve"> health registry</w:t>
      </w:r>
      <w:r w:rsidRPr="00995857">
        <w:rPr>
          <w:rFonts w:ascii="Book Antiqua" w:hAnsi="Book Antiqua"/>
          <w:vertAlign w:val="superscript"/>
          <w:lang w:eastAsia="zh-CN"/>
        </w:rPr>
        <w:t>[5,6]</w:t>
      </w:r>
      <w:r w:rsidRPr="00904142">
        <w:rPr>
          <w:rFonts w:ascii="Book Antiqua" w:hAnsi="Book Antiqua"/>
        </w:rPr>
        <w:t>. Estimates based on International Classification of Diseases, 9</w:t>
      </w:r>
      <w:r w:rsidRPr="00995857">
        <w:rPr>
          <w:rFonts w:ascii="Book Antiqua" w:hAnsi="Book Antiqua"/>
          <w:vertAlign w:val="superscript"/>
        </w:rPr>
        <w:t xml:space="preserve">th </w:t>
      </w:r>
      <w:r w:rsidRPr="00904142">
        <w:rPr>
          <w:rFonts w:ascii="Book Antiqua" w:hAnsi="Book Antiqua"/>
        </w:rPr>
        <w:t xml:space="preserve">revision (ICD-9) codes at hospital discharge in the United States are somewhat </w:t>
      </w:r>
      <w:proofErr w:type="gramStart"/>
      <w:r w:rsidRPr="00904142">
        <w:rPr>
          <w:rFonts w:ascii="Book Antiqua" w:hAnsi="Book Antiqua"/>
        </w:rPr>
        <w:t>lower</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7]</w:t>
      </w:r>
      <w:r w:rsidRPr="00904142">
        <w:rPr>
          <w:rFonts w:ascii="Book Antiqua" w:hAnsi="Book Antiqua"/>
        </w:rPr>
        <w:t xml:space="preserve">. However, in light of the vagaries of diagnosis and diagnostic coding, as well as the likelihood that some affected patients may not seek medical attention, the actual frequency of ITP and the number of individuals requiring therapy is uncertain. </w:t>
      </w:r>
    </w:p>
    <w:p w:rsidR="00FA650B" w:rsidRPr="00904142" w:rsidRDefault="00FA650B" w:rsidP="00904142">
      <w:pPr>
        <w:spacing w:after="0" w:line="360" w:lineRule="auto"/>
        <w:jc w:val="both"/>
        <w:rPr>
          <w:rFonts w:ascii="Book Antiqua" w:hAnsi="Book Antiqua"/>
          <w:b/>
        </w:rPr>
      </w:pPr>
    </w:p>
    <w:p w:rsidR="00FA650B" w:rsidRPr="00904142" w:rsidRDefault="00FA650B" w:rsidP="00904142">
      <w:pPr>
        <w:spacing w:after="0" w:line="360" w:lineRule="auto"/>
        <w:jc w:val="both"/>
        <w:rPr>
          <w:rFonts w:ascii="Book Antiqua" w:hAnsi="Book Antiqua"/>
          <w:b/>
        </w:rPr>
      </w:pPr>
      <w:r w:rsidRPr="00904142">
        <w:rPr>
          <w:rFonts w:ascii="Book Antiqua" w:hAnsi="Book Antiqua"/>
          <w:b/>
        </w:rPr>
        <w:t>ETIOLOGY</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 xml:space="preserve">The underlying defects leading to autoantibody production are unknown. Heritability is uncommon, although predisposing polymorphisms in cytokines and </w:t>
      </w:r>
      <w:proofErr w:type="spellStart"/>
      <w:r w:rsidRPr="00904142">
        <w:rPr>
          <w:rFonts w:ascii="Book Antiqua" w:hAnsi="Book Antiqua"/>
          <w:sz w:val="24"/>
          <w:szCs w:val="24"/>
        </w:rPr>
        <w:t>Fc</w:t>
      </w:r>
      <w:r w:rsidRPr="00904142">
        <w:rPr>
          <w:rFonts w:ascii="Book Antiqua" w:hAnsi="Book Antiqua" w:cs="Arial"/>
          <w:color w:val="343434"/>
          <w:sz w:val="24"/>
          <w:szCs w:val="24"/>
        </w:rPr>
        <w:t>γ</w:t>
      </w:r>
      <w:proofErr w:type="spellEnd"/>
      <w:r w:rsidRPr="00904142">
        <w:rPr>
          <w:rFonts w:ascii="Book Antiqua" w:hAnsi="Book Antiqua"/>
          <w:sz w:val="24"/>
          <w:szCs w:val="24"/>
        </w:rPr>
        <w:t xml:space="preserve"> receptors have been described. A Th1/Th0 cytokine profile, a reduction in suppressor T-regulatory cells, and an increase in B-cell-activating factor may predispose to emergence of autoantibodies in response to exogenous antigens. Molecular mimicry appears to play a role in the development of self-reactive platelet antibodies after vaccination and certain viral </w:t>
      </w:r>
      <w:proofErr w:type="gramStart"/>
      <w:r w:rsidRPr="00904142">
        <w:rPr>
          <w:rFonts w:ascii="Book Antiqua" w:hAnsi="Book Antiqua"/>
          <w:sz w:val="24"/>
          <w:szCs w:val="24"/>
        </w:rPr>
        <w:t>infections</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8-12]</w:t>
      </w:r>
      <w:r w:rsidRPr="00904142">
        <w:rPr>
          <w:rFonts w:ascii="Book Antiqua" w:hAnsi="Book Antiqua"/>
          <w:sz w:val="24"/>
          <w:szCs w:val="24"/>
        </w:rPr>
        <w:t>. Thrombocytopenia can be caused by myriad conditions including systemic disease, infection, drugs, and primary hematologic disorders (Table 1</w:t>
      </w:r>
      <w:proofErr w:type="gramStart"/>
      <w:r w:rsidRPr="00904142">
        <w:rPr>
          <w:rFonts w:ascii="Book Antiqua" w:hAnsi="Book Antiqua"/>
          <w:sz w:val="24"/>
          <w:szCs w:val="24"/>
        </w:rPr>
        <w:t>)</w:t>
      </w:r>
      <w:r w:rsidRPr="00995857">
        <w:rPr>
          <w:rFonts w:ascii="Book Antiqua" w:hAnsi="Book Antiqua"/>
          <w:sz w:val="24"/>
          <w:szCs w:val="24"/>
          <w:vertAlign w:val="superscript"/>
          <w:lang w:eastAsia="zh-CN"/>
        </w:rPr>
        <w:t>[</w:t>
      </w:r>
      <w:proofErr w:type="gramEnd"/>
      <w:r>
        <w:rPr>
          <w:rFonts w:ascii="Book Antiqua" w:hAnsi="Book Antiqua"/>
          <w:sz w:val="24"/>
          <w:szCs w:val="24"/>
          <w:vertAlign w:val="superscript"/>
          <w:lang w:eastAsia="zh-CN"/>
        </w:rPr>
        <w:t>2</w:t>
      </w:r>
      <w:r w:rsidRPr="00995857">
        <w:rPr>
          <w:rFonts w:ascii="Book Antiqua" w:hAnsi="Book Antiqua"/>
          <w:sz w:val="24"/>
          <w:szCs w:val="24"/>
          <w:vertAlign w:val="superscript"/>
          <w:lang w:eastAsia="zh-CN"/>
        </w:rPr>
        <w:t>]</w:t>
      </w:r>
      <w:r w:rsidRPr="008C78C3">
        <w:rPr>
          <w:rFonts w:ascii="Book Antiqua" w:hAnsi="Book Antiqua"/>
          <w:sz w:val="24"/>
          <w:szCs w:val="24"/>
        </w:rPr>
        <w:t>.</w:t>
      </w:r>
      <w:r w:rsidRPr="00904142">
        <w:rPr>
          <w:rFonts w:ascii="Book Antiqua" w:hAnsi="Book Antiqua"/>
          <w:sz w:val="24"/>
          <w:szCs w:val="24"/>
        </w:rPr>
        <w:t xml:space="preserve"> </w:t>
      </w:r>
    </w:p>
    <w:p w:rsidR="00FA650B" w:rsidRPr="00904142" w:rsidRDefault="00FA650B" w:rsidP="00904142">
      <w:pPr>
        <w:spacing w:after="0" w:line="360" w:lineRule="auto"/>
        <w:jc w:val="both"/>
        <w:rPr>
          <w:rFonts w:ascii="Book Antiqua" w:hAnsi="Book Antiqua"/>
          <w:b/>
        </w:rPr>
      </w:pPr>
    </w:p>
    <w:p w:rsidR="00FA650B" w:rsidRPr="00904142" w:rsidRDefault="00FA650B" w:rsidP="00904142">
      <w:pPr>
        <w:spacing w:after="0" w:line="360" w:lineRule="auto"/>
        <w:jc w:val="both"/>
        <w:rPr>
          <w:rFonts w:ascii="Book Antiqua" w:hAnsi="Book Antiqua"/>
          <w:b/>
        </w:rPr>
      </w:pPr>
      <w:r w:rsidRPr="00904142">
        <w:rPr>
          <w:rFonts w:ascii="Book Antiqua" w:hAnsi="Book Antiqua"/>
          <w:b/>
        </w:rPr>
        <w:t>PATHOGENESIS</w:t>
      </w:r>
    </w:p>
    <w:p w:rsidR="00FA650B" w:rsidRPr="00904142" w:rsidRDefault="00FA650B" w:rsidP="00904142">
      <w:pPr>
        <w:spacing w:after="0" w:line="360" w:lineRule="auto"/>
        <w:jc w:val="both"/>
        <w:rPr>
          <w:rFonts w:ascii="Book Antiqua" w:hAnsi="Book Antiqua"/>
        </w:rPr>
      </w:pPr>
      <w:r w:rsidRPr="00904142">
        <w:rPr>
          <w:rFonts w:ascii="Book Antiqua" w:hAnsi="Book Antiqua"/>
        </w:rPr>
        <w:t xml:space="preserve">Platelet life span is reduced as a consequence of antibody-mediated clearance by tissue macrophages in essentially all patients. Accumulating evidence from studies of platelet kinetics also points to the contribution of immune-mediated suppression of megakaryocyte and platelet development in many patients; megakaryocyte apoptosis and suppression of </w:t>
      </w:r>
      <w:proofErr w:type="spellStart"/>
      <w:r w:rsidRPr="00904142">
        <w:rPr>
          <w:rFonts w:ascii="Book Antiqua" w:hAnsi="Book Antiqua"/>
        </w:rPr>
        <w:t>megakaryopoiesis</w:t>
      </w:r>
      <w:proofErr w:type="spellEnd"/>
      <w:r w:rsidRPr="00904142">
        <w:rPr>
          <w:rFonts w:ascii="Book Antiqua" w:hAnsi="Book Antiqua"/>
        </w:rPr>
        <w:t xml:space="preserve"> in vitro by ITP plasma/immunoglobulin G (</w:t>
      </w:r>
      <w:proofErr w:type="spellStart"/>
      <w:r w:rsidRPr="00904142">
        <w:rPr>
          <w:rFonts w:ascii="Book Antiqua" w:hAnsi="Book Antiqua"/>
        </w:rPr>
        <w:t>IgG</w:t>
      </w:r>
      <w:proofErr w:type="spellEnd"/>
      <w:r w:rsidRPr="00904142">
        <w:rPr>
          <w:rFonts w:ascii="Book Antiqua" w:hAnsi="Book Antiqua"/>
        </w:rPr>
        <w:t xml:space="preserve">) or T-cells, and responsiveness </w:t>
      </w:r>
      <w:r w:rsidRPr="00904142">
        <w:rPr>
          <w:rFonts w:ascii="Book Antiqua" w:hAnsi="Book Antiqua"/>
        </w:rPr>
        <w:lastRenderedPageBreak/>
        <w:t xml:space="preserve">to </w:t>
      </w:r>
      <w:proofErr w:type="spellStart"/>
      <w:r w:rsidRPr="00904142">
        <w:rPr>
          <w:rFonts w:ascii="Book Antiqua" w:hAnsi="Book Antiqua"/>
        </w:rPr>
        <w:t>thrombopoietin</w:t>
      </w:r>
      <w:proofErr w:type="spellEnd"/>
      <w:r w:rsidRPr="00904142">
        <w:rPr>
          <w:rFonts w:ascii="Book Antiqua" w:hAnsi="Book Antiqua"/>
        </w:rPr>
        <w:t xml:space="preserve"> receptor agonists (TRAs</w:t>
      </w:r>
      <w:proofErr w:type="gramStart"/>
      <w:r w:rsidRPr="00904142">
        <w:rPr>
          <w:rFonts w:ascii="Book Antiqua" w:hAnsi="Book Antiqua"/>
        </w:rPr>
        <w:t>)</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1</w:t>
      </w:r>
      <w:r>
        <w:rPr>
          <w:rFonts w:ascii="Book Antiqua" w:hAnsi="Book Antiqua"/>
          <w:vertAlign w:val="superscript"/>
          <w:lang w:eastAsia="zh-CN"/>
        </w:rPr>
        <w:t>3</w:t>
      </w:r>
      <w:r w:rsidRPr="00995857">
        <w:rPr>
          <w:rFonts w:ascii="Book Antiqua" w:hAnsi="Book Antiqua"/>
          <w:vertAlign w:val="superscript"/>
          <w:lang w:eastAsia="zh-CN"/>
        </w:rPr>
        <w:t>-</w:t>
      </w:r>
      <w:r>
        <w:rPr>
          <w:rFonts w:ascii="Book Antiqua" w:hAnsi="Book Antiqua"/>
          <w:vertAlign w:val="superscript"/>
          <w:lang w:eastAsia="zh-CN"/>
        </w:rPr>
        <w:t>19</w:t>
      </w:r>
      <w:r w:rsidRPr="00995857">
        <w:rPr>
          <w:rFonts w:ascii="Book Antiqua" w:hAnsi="Book Antiqua"/>
          <w:vertAlign w:val="superscript"/>
          <w:lang w:eastAsia="zh-CN"/>
        </w:rPr>
        <w:t>]</w:t>
      </w:r>
      <w:r>
        <w:rPr>
          <w:rFonts w:ascii="Book Antiqua" w:hAnsi="Book Antiqua"/>
        </w:rPr>
        <w:t>.</w:t>
      </w:r>
      <w:r>
        <w:rPr>
          <w:rFonts w:ascii="Book Antiqua" w:hAnsi="Book Antiqua"/>
          <w:lang w:eastAsia="zh-CN"/>
        </w:rPr>
        <w:t xml:space="preserve"> </w:t>
      </w:r>
      <w:r w:rsidRPr="00904142">
        <w:rPr>
          <w:rFonts w:ascii="Book Antiqua" w:hAnsi="Book Antiqua"/>
        </w:rPr>
        <w:t>Platelet-reactive antibodies are not detected in all individuals with ITP, and a subset of patients do not respond to pharmacologic or surgical inhibition of antibody-mediated platelet clearance or B-cell suppression, suggesting the possible involvement of other pathogenic mechanisms such as antibody-mediated apoptosis, antigen shedding, and T-cell mediated platelet destruction or marrow suppression</w:t>
      </w:r>
      <w:r w:rsidRPr="00995857">
        <w:rPr>
          <w:rFonts w:ascii="Book Antiqua" w:hAnsi="Book Antiqua"/>
          <w:vertAlign w:val="superscript"/>
          <w:lang w:eastAsia="zh-CN"/>
        </w:rPr>
        <w:t>[2</w:t>
      </w:r>
      <w:r>
        <w:rPr>
          <w:rFonts w:ascii="Book Antiqua" w:hAnsi="Book Antiqua"/>
          <w:vertAlign w:val="superscript"/>
          <w:lang w:eastAsia="zh-CN"/>
        </w:rPr>
        <w:t>0</w:t>
      </w:r>
      <w:r w:rsidRPr="00995857">
        <w:rPr>
          <w:rFonts w:ascii="Book Antiqua" w:hAnsi="Book Antiqua"/>
          <w:vertAlign w:val="superscript"/>
          <w:lang w:eastAsia="zh-CN"/>
        </w:rPr>
        <w:t>]</w:t>
      </w:r>
      <w:r w:rsidRPr="00904142">
        <w:rPr>
          <w:rFonts w:ascii="Book Antiqua" w:hAnsi="Book Antiqua"/>
        </w:rPr>
        <w:t>.</w:t>
      </w:r>
    </w:p>
    <w:p w:rsidR="00FA650B" w:rsidRPr="00904142" w:rsidRDefault="00FA650B" w:rsidP="00995857">
      <w:pPr>
        <w:spacing w:after="0" w:line="360" w:lineRule="auto"/>
        <w:ind w:firstLineChars="100" w:firstLine="240"/>
        <w:jc w:val="both"/>
        <w:rPr>
          <w:rFonts w:ascii="Book Antiqua" w:hAnsi="Book Antiqua"/>
        </w:rPr>
      </w:pPr>
      <w:r w:rsidRPr="00904142">
        <w:rPr>
          <w:rFonts w:ascii="Book Antiqua" w:hAnsi="Book Antiqua"/>
        </w:rPr>
        <w:t xml:space="preserve">Although the initial inciting event resulting in provocation of antiplatelet antibodies remains unknown, platelet autoantibodies are often present by the time of diagnosis. Macrophages and dendritic cells of the </w:t>
      </w:r>
      <w:proofErr w:type="spellStart"/>
      <w:r w:rsidRPr="00904142">
        <w:rPr>
          <w:rFonts w:ascii="Book Antiqua" w:hAnsi="Book Antiqua"/>
        </w:rPr>
        <w:t>reticuloendothelial</w:t>
      </w:r>
      <w:proofErr w:type="spellEnd"/>
      <w:r w:rsidRPr="00904142">
        <w:rPr>
          <w:rFonts w:ascii="Book Antiqua" w:hAnsi="Book Antiqua"/>
        </w:rPr>
        <w:t xml:space="preserve"> system function to </w:t>
      </w:r>
      <w:proofErr w:type="spellStart"/>
      <w:r w:rsidRPr="00904142">
        <w:rPr>
          <w:rFonts w:ascii="Book Antiqua" w:hAnsi="Book Antiqua"/>
        </w:rPr>
        <w:t>phagocytose</w:t>
      </w:r>
      <w:proofErr w:type="spellEnd"/>
      <w:r w:rsidRPr="00904142">
        <w:rPr>
          <w:rFonts w:ascii="Book Antiqua" w:hAnsi="Book Antiqua"/>
        </w:rPr>
        <w:t xml:space="preserve"> circulating antibody-bound antigens, including antibody-targeted platelets. </w:t>
      </w:r>
      <w:proofErr w:type="spellStart"/>
      <w:r w:rsidRPr="00904142">
        <w:rPr>
          <w:rFonts w:ascii="Book Antiqua" w:hAnsi="Book Antiqua"/>
        </w:rPr>
        <w:t>Opsonization</w:t>
      </w:r>
      <w:proofErr w:type="spellEnd"/>
      <w:r w:rsidRPr="00904142">
        <w:rPr>
          <w:rFonts w:ascii="Book Antiqua" w:hAnsi="Book Antiqua"/>
        </w:rPr>
        <w:t xml:space="preserve"> of antibody-platelet complexes facilitates intracellular processing of platelets and can lead to presentation by T cells </w:t>
      </w:r>
      <w:r w:rsidRPr="00995857">
        <w:rPr>
          <w:rFonts w:ascii="Book Antiqua" w:hAnsi="Book Antiqua"/>
          <w:i/>
        </w:rPr>
        <w:t>via</w:t>
      </w:r>
      <w:r w:rsidRPr="00904142">
        <w:rPr>
          <w:rFonts w:ascii="Book Antiqua" w:hAnsi="Book Antiqua"/>
        </w:rPr>
        <w:t xml:space="preserve"> MHC II as an array of “foreign” platelet peptides. Presentation of platelet peptides by MHC II in a stimulatory context activates T cells, leading to enhancement of the antiplatelet immune response and the possibility of epitope spread to additional platelet </w:t>
      </w:r>
      <w:proofErr w:type="gramStart"/>
      <w:r w:rsidRPr="00904142">
        <w:rPr>
          <w:rFonts w:ascii="Book Antiqua" w:hAnsi="Book Antiqua"/>
        </w:rPr>
        <w:t>antigens</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1</w:t>
      </w:r>
      <w:r w:rsidRPr="00995857">
        <w:rPr>
          <w:rFonts w:ascii="Book Antiqua" w:hAnsi="Book Antiqua"/>
          <w:vertAlign w:val="superscript"/>
          <w:lang w:eastAsia="zh-CN"/>
        </w:rPr>
        <w:t>]</w:t>
      </w:r>
      <w:r w:rsidRPr="00904142">
        <w:rPr>
          <w:rFonts w:ascii="Book Antiqua" w:hAnsi="Book Antiqua"/>
        </w:rPr>
        <w:t>.</w:t>
      </w:r>
    </w:p>
    <w:p w:rsidR="00FA650B" w:rsidRPr="00904142" w:rsidRDefault="00FA650B" w:rsidP="00995857">
      <w:pPr>
        <w:spacing w:after="0" w:line="360" w:lineRule="auto"/>
        <w:ind w:firstLineChars="100" w:firstLine="240"/>
        <w:jc w:val="both"/>
        <w:rPr>
          <w:rFonts w:ascii="Book Antiqua" w:hAnsi="Book Antiqua"/>
        </w:rPr>
      </w:pPr>
      <w:r w:rsidRPr="00904142">
        <w:rPr>
          <w:rFonts w:ascii="Book Antiqua" w:hAnsi="Book Antiqua"/>
        </w:rPr>
        <w:t xml:space="preserve">In patients with ITP, autoantibodies frequently appear to be directed against to </w:t>
      </w:r>
      <w:proofErr w:type="spellStart"/>
      <w:r w:rsidRPr="00904142">
        <w:rPr>
          <w:rFonts w:ascii="Book Antiqua" w:hAnsi="Book Antiqua"/>
        </w:rPr>
        <w:t>GpIb</w:t>
      </w:r>
      <w:proofErr w:type="spellEnd"/>
      <w:r w:rsidRPr="00904142">
        <w:rPr>
          <w:rFonts w:ascii="Book Antiqua" w:hAnsi="Book Antiqua"/>
        </w:rPr>
        <w:t xml:space="preserve">/IX and </w:t>
      </w:r>
      <w:proofErr w:type="spellStart"/>
      <w:r w:rsidRPr="00904142">
        <w:rPr>
          <w:rFonts w:ascii="Book Antiqua" w:hAnsi="Book Antiqua"/>
        </w:rPr>
        <w:t>GPIIb</w:t>
      </w:r>
      <w:proofErr w:type="spellEnd"/>
      <w:r w:rsidRPr="00904142">
        <w:rPr>
          <w:rFonts w:ascii="Book Antiqua" w:hAnsi="Book Antiqua"/>
        </w:rPr>
        <w:t>/</w:t>
      </w:r>
      <w:proofErr w:type="spellStart"/>
      <w:r w:rsidRPr="00904142">
        <w:rPr>
          <w:rFonts w:ascii="Book Antiqua" w:hAnsi="Book Antiqua"/>
        </w:rPr>
        <w:t>IIIa</w:t>
      </w:r>
      <w:proofErr w:type="spellEnd"/>
      <w:r w:rsidRPr="00904142">
        <w:rPr>
          <w:rFonts w:ascii="Book Antiqua" w:hAnsi="Book Antiqua"/>
        </w:rPr>
        <w:t xml:space="preserve">, although specificity for other platelet antigens can occur. Although antiplatelet autoantibodies appear to play a central role in the pathogenesis of ITP, some patients have no detectable antibodies at the time of diagnosis. This may be explained by limitations inherent to laboratory testing methods and the biology of ITP: brisk clearance of some types of antibody-platelet complexes may reduce circulating antiplatelet antibody titers to below the threshold of detection, tightly bound antiplatelet antibodies may be difficult to dissociate for study, antibodies with specificity to minor or cryptic antigens on platelets or antigens that reside primarily on megakaryocytes may be missed, and there may simply be a subset of patients in which antiplatelet antibodies are not present. Therefore, although the majority of ITP patients present with features consistent with antibody-mediated autoimmunity as a central feature of their disease, there </w:t>
      </w:r>
      <w:r w:rsidRPr="00904142">
        <w:rPr>
          <w:rFonts w:ascii="Book Antiqua" w:hAnsi="Book Antiqua"/>
        </w:rPr>
        <w:lastRenderedPageBreak/>
        <w:t xml:space="preserve">exists considerable heterogeneity in the types, titers, and likely biology, of antiplatelet antibodies in </w:t>
      </w:r>
      <w:proofErr w:type="gramStart"/>
      <w:r w:rsidRPr="00904142">
        <w:rPr>
          <w:rFonts w:ascii="Book Antiqua" w:hAnsi="Book Antiqua"/>
        </w:rPr>
        <w:t>ITP</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2</w:t>
      </w:r>
      <w:r w:rsidRPr="00995857">
        <w:rPr>
          <w:rFonts w:ascii="Book Antiqua" w:hAnsi="Book Antiqua"/>
          <w:vertAlign w:val="superscript"/>
          <w:lang w:eastAsia="zh-CN"/>
        </w:rPr>
        <w:t>,2</w:t>
      </w:r>
      <w:r>
        <w:rPr>
          <w:rFonts w:ascii="Book Antiqua" w:hAnsi="Book Antiqua"/>
          <w:vertAlign w:val="superscript"/>
          <w:lang w:eastAsia="zh-CN"/>
        </w:rPr>
        <w:t>3</w:t>
      </w:r>
      <w:r w:rsidRPr="00995857">
        <w:rPr>
          <w:rFonts w:ascii="Book Antiqua" w:hAnsi="Book Antiqua"/>
          <w:vertAlign w:val="superscript"/>
          <w:lang w:eastAsia="zh-CN"/>
        </w:rPr>
        <w:t>]</w:t>
      </w:r>
      <w:r w:rsidRPr="00904142">
        <w:rPr>
          <w:rFonts w:ascii="Book Antiqua" w:hAnsi="Book Antiqua"/>
        </w:rPr>
        <w:t>.</w:t>
      </w:r>
    </w:p>
    <w:p w:rsidR="00FA650B" w:rsidRPr="00904142" w:rsidRDefault="00FA650B" w:rsidP="00995857">
      <w:pPr>
        <w:spacing w:after="0" w:line="360" w:lineRule="auto"/>
        <w:ind w:firstLineChars="100" w:firstLine="240"/>
        <w:jc w:val="both"/>
        <w:rPr>
          <w:rFonts w:ascii="Book Antiqua" w:hAnsi="Book Antiqua"/>
        </w:rPr>
      </w:pPr>
      <w:r w:rsidRPr="00904142">
        <w:rPr>
          <w:rFonts w:ascii="Book Antiqua" w:hAnsi="Book Antiqua"/>
        </w:rPr>
        <w:t xml:space="preserve">As discussed in more detail in a recent review, the presentation of secondary ITP is often more complex than primary ITP. Similar to the antiplatelet antibodies provoked during </w:t>
      </w:r>
      <w:r w:rsidRPr="00904142">
        <w:rPr>
          <w:rFonts w:ascii="Book Antiqua" w:hAnsi="Book Antiqua"/>
          <w:i/>
        </w:rPr>
        <w:t>H</w:t>
      </w:r>
      <w:r>
        <w:rPr>
          <w:rFonts w:ascii="Book Antiqua" w:hAnsi="Book Antiqua"/>
          <w:i/>
          <w:lang w:eastAsia="zh-CN"/>
        </w:rPr>
        <w:t>.</w:t>
      </w:r>
      <w:r w:rsidRPr="00904142">
        <w:rPr>
          <w:rFonts w:ascii="Book Antiqua" w:hAnsi="Book Antiqua"/>
          <w:i/>
        </w:rPr>
        <w:t xml:space="preserve"> pylori</w:t>
      </w:r>
      <w:r w:rsidRPr="00904142">
        <w:rPr>
          <w:rFonts w:ascii="Book Antiqua" w:hAnsi="Book Antiqua"/>
        </w:rPr>
        <w:t xml:space="preserve"> infection, </w:t>
      </w:r>
      <w:r>
        <w:rPr>
          <w:rFonts w:ascii="Book Antiqua" w:hAnsi="Book Antiqua"/>
          <w:lang w:eastAsia="zh-CN"/>
        </w:rPr>
        <w:t>h</w:t>
      </w:r>
      <w:r w:rsidRPr="00995857">
        <w:rPr>
          <w:rFonts w:ascii="Book Antiqua" w:hAnsi="Book Antiqua"/>
        </w:rPr>
        <w:t>uman immunodeficiency virus (HIV)</w:t>
      </w:r>
      <w:r w:rsidRPr="00904142">
        <w:rPr>
          <w:rFonts w:ascii="Book Antiqua" w:hAnsi="Book Antiqua"/>
        </w:rPr>
        <w:t xml:space="preserve"> can provoke anti-HIV antibodies that cross-react with platelet glycoproteins and form immune complexes, as </w:t>
      </w:r>
      <w:r w:rsidRPr="00995857">
        <w:rPr>
          <w:rFonts w:ascii="Book Antiqua" w:hAnsi="Book Antiqua"/>
        </w:rPr>
        <w:t>hepatitis C virus (HCV)</w:t>
      </w:r>
      <w:r w:rsidRPr="00904142">
        <w:rPr>
          <w:rFonts w:ascii="Book Antiqua" w:hAnsi="Book Antiqua"/>
        </w:rPr>
        <w:t xml:space="preserve"> does. Additional mechanisms of platelet destruction also become apparent from studies in virus-associated </w:t>
      </w:r>
      <w:proofErr w:type="gramStart"/>
      <w:r w:rsidRPr="00904142">
        <w:rPr>
          <w:rFonts w:ascii="Book Antiqua" w:hAnsi="Book Antiqua"/>
        </w:rPr>
        <w:t>ITP</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4</w:t>
      </w:r>
      <w:r w:rsidRPr="00995857">
        <w:rPr>
          <w:rFonts w:ascii="Book Antiqua" w:hAnsi="Book Antiqua"/>
          <w:vertAlign w:val="superscript"/>
          <w:lang w:eastAsia="zh-CN"/>
        </w:rPr>
        <w:t>]</w:t>
      </w:r>
      <w:r w:rsidRPr="00904142">
        <w:rPr>
          <w:rFonts w:ascii="Book Antiqua" w:hAnsi="Book Antiqua"/>
        </w:rPr>
        <w:t xml:space="preserve">. In both HIV and HCV, suppression of viral replication can result in improvement in thrombocytopenia. Interestingly, HIV-associated ITP tends to occur early in HIV infection, whereas non-immune thrombocytopenia tends to predominate in more advanced HIV, when the immune system has suffered from greater effects of the infection. One possible explanation is that the immune system of HIV patients </w:t>
      </w:r>
      <w:r>
        <w:rPr>
          <w:rFonts w:ascii="Book Antiqua" w:hAnsi="Book Antiqua"/>
          <w:lang w:eastAsia="zh-CN"/>
        </w:rPr>
        <w:t>is</w:t>
      </w:r>
      <w:r w:rsidRPr="00904142">
        <w:rPr>
          <w:rFonts w:ascii="Book Antiqua" w:hAnsi="Book Antiqua"/>
        </w:rPr>
        <w:t xml:space="preserve"> more capable of developing autoimmunity in the earlier phases of the disease. </w:t>
      </w:r>
    </w:p>
    <w:p w:rsidR="00FA650B" w:rsidRPr="00904142" w:rsidRDefault="00FA650B" w:rsidP="00995857">
      <w:pPr>
        <w:spacing w:after="0" w:line="360" w:lineRule="auto"/>
        <w:ind w:firstLineChars="100" w:firstLine="240"/>
        <w:jc w:val="both"/>
        <w:rPr>
          <w:rFonts w:ascii="Book Antiqua" w:hAnsi="Book Antiqua"/>
        </w:rPr>
      </w:pPr>
      <w:r w:rsidRPr="00904142">
        <w:rPr>
          <w:rFonts w:ascii="Book Antiqua" w:hAnsi="Book Antiqua"/>
        </w:rPr>
        <w:t xml:space="preserve">An acute infectious event has long been suspected to be a trigger in the initiation of primary ITP. Acute infection remains a plausible candidate to induce ITP either by providing an opportunity for molecular mimicry or similar targeting of the immune system to platelets or by the mere presence of an acute inflammatory response tipping the balance in a predisposed patient to break </w:t>
      </w:r>
      <w:proofErr w:type="gramStart"/>
      <w:r w:rsidRPr="00904142">
        <w:rPr>
          <w:rFonts w:ascii="Book Antiqua" w:hAnsi="Book Antiqua"/>
        </w:rPr>
        <w:t>tolerance</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1</w:t>
      </w:r>
      <w:r w:rsidRPr="00995857">
        <w:rPr>
          <w:rFonts w:ascii="Book Antiqua" w:hAnsi="Book Antiqua"/>
          <w:vertAlign w:val="superscript"/>
          <w:lang w:eastAsia="zh-CN"/>
        </w:rPr>
        <w:t>]</w:t>
      </w:r>
      <w:r w:rsidRPr="00904142">
        <w:rPr>
          <w:rFonts w:ascii="Book Antiqua" w:hAnsi="Book Antiqua"/>
        </w:rPr>
        <w:t>.</w:t>
      </w:r>
    </w:p>
    <w:p w:rsidR="00FA650B" w:rsidRPr="00904142" w:rsidRDefault="00FA650B" w:rsidP="00995857">
      <w:pPr>
        <w:spacing w:after="0" w:line="360" w:lineRule="auto"/>
        <w:ind w:firstLineChars="100" w:firstLine="240"/>
        <w:jc w:val="both"/>
        <w:rPr>
          <w:rFonts w:ascii="Book Antiqua" w:hAnsi="Book Antiqua"/>
        </w:rPr>
      </w:pPr>
      <w:r w:rsidRPr="00904142">
        <w:rPr>
          <w:rFonts w:ascii="Book Antiqua" w:hAnsi="Book Antiqua"/>
        </w:rPr>
        <w:t xml:space="preserve">Patients with systemic autoimmune diseases, such as systemic lupus erythematosus, </w:t>
      </w:r>
      <w:proofErr w:type="spellStart"/>
      <w:r w:rsidRPr="00904142">
        <w:rPr>
          <w:rFonts w:ascii="Book Antiqua" w:hAnsi="Book Antiqua"/>
        </w:rPr>
        <w:t>antiphospholipid</w:t>
      </w:r>
      <w:proofErr w:type="spellEnd"/>
      <w:r w:rsidRPr="00904142">
        <w:rPr>
          <w:rFonts w:ascii="Book Antiqua" w:hAnsi="Book Antiqua"/>
        </w:rPr>
        <w:t xml:space="preserve"> antibody syndrome, and rheumatoid arthritis, are prone to developing ITP. A diagnosis of secondary ITP in these patients is complex because non-immune thrombocytopenia due to underlying disease or related therapies is also common. These observations are consistent with the notion that a patient with one autoimmune disease is at high risk to develop a second. The mechanisms underlying the development of many autoimmune disorders, including ITP, is unknown. It may also be that during the immune dysregulation leading to autoimmunity </w:t>
      </w:r>
      <w:r w:rsidRPr="00904142">
        <w:rPr>
          <w:rFonts w:ascii="Book Antiqua" w:hAnsi="Book Antiqua"/>
        </w:rPr>
        <w:lastRenderedPageBreak/>
        <w:t>to one self-antigen, there is a</w:t>
      </w:r>
      <w:r>
        <w:rPr>
          <w:rFonts w:ascii="Book Antiqua" w:hAnsi="Book Antiqua"/>
        </w:rPr>
        <w:t xml:space="preserve"> risk of immune presentation of</w:t>
      </w:r>
      <w:r w:rsidRPr="00904142">
        <w:rPr>
          <w:rFonts w:ascii="Book Antiqua" w:hAnsi="Book Antiqua"/>
        </w:rPr>
        <w:t xml:space="preserve"> other self-antigens. Interestingly, many of the features of immune dysregulation described in ITP, such as the shift in Th1/Th2 balance, increased Th17, and altered </w:t>
      </w:r>
      <w:proofErr w:type="spellStart"/>
      <w:r w:rsidRPr="00904142">
        <w:rPr>
          <w:rFonts w:ascii="Book Antiqua" w:hAnsi="Book Antiqua"/>
        </w:rPr>
        <w:t>Treg</w:t>
      </w:r>
      <w:proofErr w:type="spellEnd"/>
      <w:r w:rsidRPr="00904142">
        <w:rPr>
          <w:rFonts w:ascii="Book Antiqua" w:hAnsi="Book Antiqua"/>
        </w:rPr>
        <w:t xml:space="preserve"> profiles described above, are also common to other autoimmune </w:t>
      </w:r>
      <w:proofErr w:type="gramStart"/>
      <w:r w:rsidRPr="00904142">
        <w:rPr>
          <w:rFonts w:ascii="Book Antiqua" w:hAnsi="Book Antiqua"/>
        </w:rPr>
        <w:t>diseases</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5</w:t>
      </w:r>
      <w:r w:rsidRPr="00995857">
        <w:rPr>
          <w:rFonts w:ascii="Book Antiqua" w:hAnsi="Book Antiqua"/>
          <w:vertAlign w:val="superscript"/>
          <w:lang w:eastAsia="zh-CN"/>
        </w:rPr>
        <w:t>]</w:t>
      </w:r>
      <w:r w:rsidRPr="00904142">
        <w:rPr>
          <w:rFonts w:ascii="Book Antiqua" w:hAnsi="Book Antiqua"/>
        </w:rPr>
        <w:t xml:space="preserve">. </w:t>
      </w:r>
    </w:p>
    <w:p w:rsidR="00FA650B" w:rsidRPr="00904142" w:rsidRDefault="00FA650B" w:rsidP="00904142">
      <w:pPr>
        <w:spacing w:after="0" w:line="360" w:lineRule="auto"/>
        <w:jc w:val="both"/>
        <w:rPr>
          <w:rFonts w:ascii="Book Antiqua" w:hAnsi="Book Antiqua"/>
        </w:rPr>
      </w:pPr>
    </w:p>
    <w:p w:rsidR="00FA650B" w:rsidRPr="00904142" w:rsidRDefault="00FA650B" w:rsidP="00904142">
      <w:pPr>
        <w:tabs>
          <w:tab w:val="left" w:pos="1696"/>
        </w:tabs>
        <w:spacing w:after="0" w:line="360" w:lineRule="auto"/>
        <w:jc w:val="both"/>
        <w:rPr>
          <w:rFonts w:ascii="Book Antiqua" w:hAnsi="Book Antiqua"/>
          <w:b/>
        </w:rPr>
      </w:pPr>
      <w:r w:rsidRPr="00904142">
        <w:rPr>
          <w:rFonts w:ascii="Book Antiqua" w:hAnsi="Book Antiqua"/>
          <w:b/>
        </w:rPr>
        <w:t>DIAGNOSIS</w:t>
      </w:r>
      <w:r w:rsidRPr="00904142">
        <w:rPr>
          <w:rFonts w:ascii="Book Antiqua" w:hAnsi="Book Antiqua"/>
          <w:b/>
        </w:rPr>
        <w:tab/>
      </w:r>
    </w:p>
    <w:p w:rsidR="00FA650B" w:rsidRPr="00904142" w:rsidRDefault="00FA650B" w:rsidP="00904142">
      <w:pPr>
        <w:spacing w:after="0" w:line="360" w:lineRule="auto"/>
        <w:jc w:val="both"/>
        <w:rPr>
          <w:rFonts w:ascii="Book Antiqua" w:hAnsi="Book Antiqua"/>
        </w:rPr>
      </w:pPr>
      <w:r w:rsidRPr="00904142">
        <w:rPr>
          <w:rFonts w:ascii="Book Antiqua" w:hAnsi="Book Antiqua"/>
        </w:rPr>
        <w:t xml:space="preserve">Personal history, with special attention to drugs and to medical conditions that could </w:t>
      </w:r>
      <w:proofErr w:type="gramStart"/>
      <w:r w:rsidRPr="00904142">
        <w:rPr>
          <w:rFonts w:ascii="Book Antiqua" w:hAnsi="Book Antiqua"/>
        </w:rPr>
        <w:t>cause</w:t>
      </w:r>
      <w:proofErr w:type="gramEnd"/>
      <w:r w:rsidRPr="00904142">
        <w:rPr>
          <w:rFonts w:ascii="Book Antiqua" w:hAnsi="Book Antiqua"/>
        </w:rPr>
        <w:t xml:space="preserve"> thrombocytopenia is very important. Family history, ITP may occasionally be mistaken for an inherited cause of thrombocytopenia. The presence of the latter can often be confirmed by review of the peripheral blood film of the patient as well as other family members with thrombocytopenia. ITP is generally not considered to be an inherited disorder, although some HLA alleles may be more prevalent in ITP </w:t>
      </w:r>
      <w:proofErr w:type="gramStart"/>
      <w:r w:rsidRPr="00904142">
        <w:rPr>
          <w:rFonts w:ascii="Book Antiqua" w:hAnsi="Book Antiqua"/>
        </w:rPr>
        <w:t>patients</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6</w:t>
      </w:r>
      <w:r w:rsidRPr="00995857">
        <w:rPr>
          <w:rFonts w:ascii="Book Antiqua" w:hAnsi="Book Antiqua"/>
          <w:vertAlign w:val="superscript"/>
          <w:lang w:eastAsia="zh-CN"/>
        </w:rPr>
        <w:t>]</w:t>
      </w:r>
      <w:r w:rsidRPr="00904142">
        <w:rPr>
          <w:rFonts w:ascii="Book Antiqua" w:hAnsi="Book Antiqua"/>
        </w:rPr>
        <w:t>.</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Physical examination should be normal aside from bleeding manifestations. Mild splenomegaly may be found in younger patients, but moderate or massive splenomegaly suggests an alternative cause. Constitutional symptoms, such as fever or weight loss, hepatomegaly, or lymphadenopathy might indicate underlying disorder such as HIV, systemic lupus erythematosus (SLE), o</w:t>
      </w:r>
      <w:r>
        <w:rPr>
          <w:rFonts w:ascii="Book Antiqua" w:hAnsi="Book Antiqua"/>
          <w:sz w:val="24"/>
          <w:szCs w:val="24"/>
        </w:rPr>
        <w:t xml:space="preserve">r a </w:t>
      </w:r>
      <w:proofErr w:type="spellStart"/>
      <w:r>
        <w:rPr>
          <w:rFonts w:ascii="Book Antiqua" w:hAnsi="Book Antiqua"/>
          <w:sz w:val="24"/>
          <w:szCs w:val="24"/>
        </w:rPr>
        <w:t>lymphoproliferative</w:t>
      </w:r>
      <w:proofErr w:type="spellEnd"/>
      <w:r>
        <w:rPr>
          <w:rFonts w:ascii="Book Antiqua" w:hAnsi="Book Antiqua"/>
          <w:sz w:val="24"/>
          <w:szCs w:val="24"/>
        </w:rPr>
        <w:t xml:space="preserve"> </w:t>
      </w:r>
      <w:proofErr w:type="gramStart"/>
      <w:r>
        <w:rPr>
          <w:rFonts w:ascii="Book Antiqua" w:hAnsi="Book Antiqua"/>
          <w:sz w:val="24"/>
          <w:szCs w:val="24"/>
        </w:rPr>
        <w:t>disease</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w:t>
      </w:r>
      <w:r>
        <w:rPr>
          <w:rFonts w:ascii="Book Antiqua" w:hAnsi="Book Antiqua"/>
          <w:sz w:val="24"/>
          <w:szCs w:val="24"/>
          <w:vertAlign w:val="superscript"/>
          <w:lang w:eastAsia="zh-CN"/>
        </w:rPr>
        <w:t>7</w:t>
      </w:r>
      <w:r w:rsidRPr="00995857">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 xml:space="preserve">ITP is characterized by isolated thrombocytopenia with an otherwise normal complete blood count. Anemia from blood loss may be present, but it should be proportional to the amount, and the duration, of bleeding and may result in iron </w:t>
      </w:r>
      <w:proofErr w:type="gramStart"/>
      <w:r w:rsidRPr="00904142">
        <w:rPr>
          <w:rFonts w:ascii="Book Antiqua" w:hAnsi="Book Antiqua"/>
          <w:sz w:val="24"/>
          <w:szCs w:val="24"/>
        </w:rPr>
        <w:t>deficiency</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w:t>
      </w:r>
      <w:r w:rsidRPr="00904142">
        <w:rPr>
          <w:rFonts w:ascii="Book Antiqua" w:hAnsi="Book Antiqua"/>
          <w:sz w:val="24"/>
          <w:szCs w:val="24"/>
        </w:rPr>
        <w:t>.</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 xml:space="preserve">In ITP, the peripheral blood smear should appear normal except for the presence of thrombocytopenia, although platelets may be mildly enlarged in some individuals. Both red cell and leukocyte morphologies are </w:t>
      </w:r>
      <w:proofErr w:type="gramStart"/>
      <w:r w:rsidRPr="00904142">
        <w:rPr>
          <w:rFonts w:ascii="Book Antiqua" w:hAnsi="Book Antiqua"/>
          <w:sz w:val="24"/>
          <w:szCs w:val="24"/>
        </w:rPr>
        <w:t>normal</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w:t>
      </w:r>
      <w:r>
        <w:rPr>
          <w:rFonts w:ascii="Book Antiqua" w:hAnsi="Book Antiqua"/>
          <w:sz w:val="24"/>
          <w:szCs w:val="24"/>
          <w:vertAlign w:val="superscript"/>
          <w:lang w:eastAsia="zh-CN"/>
        </w:rPr>
        <w:t>6</w:t>
      </w:r>
      <w:r w:rsidRPr="00995857">
        <w:rPr>
          <w:rFonts w:ascii="Book Antiqua" w:hAnsi="Book Antiqua"/>
          <w:sz w:val="24"/>
          <w:szCs w:val="24"/>
          <w:vertAlign w:val="superscript"/>
          <w:lang w:eastAsia="zh-CN"/>
        </w:rPr>
        <w:t>]</w:t>
      </w:r>
      <w:r w:rsidRPr="00904142">
        <w:rPr>
          <w:rFonts w:ascii="Book Antiqua" w:hAnsi="Book Antiqua"/>
          <w:sz w:val="24"/>
          <w:szCs w:val="24"/>
        </w:rPr>
        <w:t>.</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 xml:space="preserve">Bone marrow examination may be informative in patients older than 60 years of age, in those with systemic symptoms or abnormal signs, or in some cases in which splenectomy is considered. Both bone marrow aspirate and biopsy should be performed. In addition to the morphologic assessment, flow </w:t>
      </w:r>
      <w:proofErr w:type="spellStart"/>
      <w:r w:rsidRPr="00904142">
        <w:rPr>
          <w:rFonts w:ascii="Book Antiqua" w:hAnsi="Book Antiqua"/>
          <w:sz w:val="24"/>
          <w:szCs w:val="24"/>
        </w:rPr>
        <w:lastRenderedPageBreak/>
        <w:t>cytometry</w:t>
      </w:r>
      <w:proofErr w:type="spellEnd"/>
      <w:r w:rsidRPr="00904142">
        <w:rPr>
          <w:rFonts w:ascii="Book Antiqua" w:hAnsi="Book Antiqua"/>
          <w:sz w:val="24"/>
          <w:szCs w:val="24"/>
        </w:rPr>
        <w:t xml:space="preserve"> and cytogenetic testing should be considered (evidence level </w:t>
      </w:r>
      <w:proofErr w:type="spellStart"/>
      <w:r w:rsidRPr="00904142">
        <w:rPr>
          <w:rFonts w:ascii="Book Antiqua" w:hAnsi="Book Antiqua"/>
          <w:sz w:val="24"/>
          <w:szCs w:val="24"/>
        </w:rPr>
        <w:t>IIb</w:t>
      </w:r>
      <w:proofErr w:type="spellEnd"/>
      <w:r w:rsidRPr="00904142">
        <w:rPr>
          <w:rFonts w:ascii="Book Antiqua" w:hAnsi="Book Antiqua"/>
          <w:sz w:val="24"/>
          <w:szCs w:val="24"/>
        </w:rPr>
        <w:t xml:space="preserve">-IV). Flow </w:t>
      </w:r>
      <w:proofErr w:type="spellStart"/>
      <w:r w:rsidRPr="00904142">
        <w:rPr>
          <w:rFonts w:ascii="Book Antiqua" w:hAnsi="Book Antiqua"/>
          <w:sz w:val="24"/>
          <w:szCs w:val="24"/>
        </w:rPr>
        <w:t>cytometry</w:t>
      </w:r>
      <w:proofErr w:type="spellEnd"/>
      <w:r w:rsidRPr="00904142">
        <w:rPr>
          <w:rFonts w:ascii="Book Antiqua" w:hAnsi="Book Antiqua"/>
          <w:sz w:val="24"/>
          <w:szCs w:val="24"/>
        </w:rPr>
        <w:t xml:space="preserve"> may be particularly helpful in identifying patients with ITP secondary to chronic lymphocytic leukemia (CLL</w:t>
      </w:r>
      <w:proofErr w:type="gramStart"/>
      <w:r w:rsidRPr="00904142">
        <w:rPr>
          <w:rFonts w:ascii="Book Antiqua" w:hAnsi="Book Antiqua"/>
          <w:sz w:val="24"/>
          <w:szCs w:val="24"/>
        </w:rPr>
        <w:t>)</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2,2</w:t>
      </w:r>
      <w:r>
        <w:rPr>
          <w:rFonts w:ascii="Book Antiqua" w:hAnsi="Book Antiqua"/>
          <w:sz w:val="24"/>
          <w:szCs w:val="24"/>
          <w:vertAlign w:val="superscript"/>
          <w:lang w:eastAsia="zh-CN"/>
        </w:rPr>
        <w:t>7</w:t>
      </w:r>
      <w:r w:rsidRPr="00995857">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 xml:space="preserve">International guidelines suggest that testing for reduced immunoglobulin levels and HIV, HCV, and </w:t>
      </w:r>
      <w:r w:rsidRPr="00904142">
        <w:rPr>
          <w:rFonts w:ascii="Book Antiqua" w:hAnsi="Book Antiqua"/>
          <w:i/>
          <w:sz w:val="24"/>
          <w:szCs w:val="24"/>
        </w:rPr>
        <w:t>H</w:t>
      </w:r>
      <w:r>
        <w:rPr>
          <w:rFonts w:ascii="Book Antiqua" w:hAnsi="Book Antiqua"/>
          <w:i/>
          <w:sz w:val="24"/>
          <w:szCs w:val="24"/>
          <w:lang w:eastAsia="zh-CN"/>
        </w:rPr>
        <w:t>.</w:t>
      </w:r>
      <w:r w:rsidRPr="00904142">
        <w:rPr>
          <w:rFonts w:ascii="Book Antiqua" w:hAnsi="Book Antiqua"/>
          <w:i/>
          <w:sz w:val="24"/>
          <w:szCs w:val="24"/>
        </w:rPr>
        <w:t xml:space="preserve"> pylori</w:t>
      </w:r>
      <w:r w:rsidRPr="00904142">
        <w:rPr>
          <w:rFonts w:ascii="Book Antiqua" w:hAnsi="Book Antiqua"/>
          <w:sz w:val="24"/>
          <w:szCs w:val="24"/>
        </w:rPr>
        <w:t xml:space="preserve"> infections should also be considered. Testing for </w:t>
      </w:r>
      <w:proofErr w:type="spellStart"/>
      <w:r w:rsidRPr="00904142">
        <w:rPr>
          <w:rFonts w:ascii="Book Antiqua" w:hAnsi="Book Antiqua"/>
          <w:sz w:val="24"/>
          <w:szCs w:val="24"/>
        </w:rPr>
        <w:t>antiphospholipid</w:t>
      </w:r>
      <w:proofErr w:type="spellEnd"/>
      <w:r w:rsidRPr="00904142">
        <w:rPr>
          <w:rFonts w:ascii="Book Antiqua" w:hAnsi="Book Antiqua"/>
          <w:sz w:val="24"/>
          <w:szCs w:val="24"/>
        </w:rPr>
        <w:t xml:space="preserve"> antibodies, antinuclear antibodies, parvovirus, and cytomegalovirus may also be indicated in specific individuals. Testing for antiplatelet antibodies is not commonly performed in the current era because of its relatively low sensitivity and </w:t>
      </w:r>
      <w:proofErr w:type="gramStart"/>
      <w:r w:rsidRPr="00904142">
        <w:rPr>
          <w:rFonts w:ascii="Book Antiqua" w:hAnsi="Book Antiqua"/>
          <w:sz w:val="24"/>
          <w:szCs w:val="24"/>
        </w:rPr>
        <w:t>specificity</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w:t>
      </w:r>
      <w:r>
        <w:rPr>
          <w:rFonts w:ascii="Book Antiqua" w:hAnsi="Book Antiqua"/>
          <w:sz w:val="24"/>
          <w:szCs w:val="24"/>
          <w:vertAlign w:val="superscript"/>
          <w:lang w:eastAsia="zh-CN"/>
        </w:rPr>
        <w:t>6</w:t>
      </w:r>
      <w:r w:rsidRPr="00995857">
        <w:rPr>
          <w:rFonts w:ascii="Book Antiqua" w:hAnsi="Book Antiqua"/>
          <w:sz w:val="24"/>
          <w:szCs w:val="24"/>
          <w:vertAlign w:val="superscript"/>
          <w:lang w:eastAsia="zh-CN"/>
        </w:rPr>
        <w:t>]</w:t>
      </w:r>
      <w:r w:rsidRPr="00904142">
        <w:rPr>
          <w:rFonts w:ascii="Book Antiqua" w:hAnsi="Book Antiqua"/>
          <w:sz w:val="24"/>
          <w:szCs w:val="24"/>
        </w:rPr>
        <w:t>.</w:t>
      </w:r>
    </w:p>
    <w:p w:rsidR="00FA650B" w:rsidRPr="00904142" w:rsidRDefault="00FA650B" w:rsidP="00904142">
      <w:pPr>
        <w:pStyle w:val="a3"/>
        <w:spacing w:before="2" w:after="2" w:line="360" w:lineRule="auto"/>
        <w:jc w:val="both"/>
        <w:rPr>
          <w:rFonts w:ascii="Book Antiqua" w:hAnsi="Book Antiqua"/>
          <w:sz w:val="24"/>
          <w:szCs w:val="24"/>
        </w:rPr>
      </w:pPr>
    </w:p>
    <w:p w:rsidR="00FA650B" w:rsidRPr="00904142" w:rsidRDefault="00FA650B" w:rsidP="00904142">
      <w:pPr>
        <w:pStyle w:val="a3"/>
        <w:spacing w:before="2" w:after="2" w:line="360" w:lineRule="auto"/>
        <w:jc w:val="both"/>
        <w:rPr>
          <w:rFonts w:ascii="Book Antiqua" w:hAnsi="Book Antiqua"/>
          <w:b/>
          <w:bCs/>
          <w:sz w:val="24"/>
          <w:szCs w:val="24"/>
        </w:rPr>
      </w:pPr>
      <w:r w:rsidRPr="00904142">
        <w:rPr>
          <w:rFonts w:ascii="Book Antiqua" w:hAnsi="Book Antiqua"/>
          <w:b/>
          <w:bCs/>
          <w:sz w:val="24"/>
          <w:szCs w:val="24"/>
        </w:rPr>
        <w:t>MANAGEMENT OF ADULT ITP</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 xml:space="preserve">Relevant factors that contribute to management decisions include the extent of bleeding, comorbidities predisposition to bleeding, complications of specific therapies, activity and lifestyle, tolerance of side effects, potential interventions that may cause bleeding, accessibility of care, patient expectations, patient’s worry or anxiety about disease burden, and patient’s need for non-ITP medications that may create a bleeding </w:t>
      </w:r>
      <w:proofErr w:type="gramStart"/>
      <w:r w:rsidRPr="00904142">
        <w:rPr>
          <w:rFonts w:ascii="Book Antiqua" w:hAnsi="Book Antiqua"/>
          <w:sz w:val="24"/>
          <w:szCs w:val="24"/>
        </w:rPr>
        <w:t>risk</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w:t>
      </w:r>
      <w:r>
        <w:rPr>
          <w:rFonts w:ascii="Book Antiqua" w:hAnsi="Book Antiqua"/>
          <w:sz w:val="24"/>
          <w:szCs w:val="24"/>
          <w:vertAlign w:val="superscript"/>
          <w:lang w:eastAsia="zh-CN"/>
        </w:rPr>
        <w:t>8</w:t>
      </w:r>
      <w:r w:rsidRPr="00995857">
        <w:rPr>
          <w:rFonts w:ascii="Book Antiqua" w:hAnsi="Book Antiqua"/>
          <w:sz w:val="24"/>
          <w:szCs w:val="24"/>
          <w:vertAlign w:val="superscript"/>
          <w:lang w:eastAsia="zh-CN"/>
        </w:rPr>
        <w:t>,</w:t>
      </w:r>
      <w:r>
        <w:rPr>
          <w:rFonts w:ascii="Book Antiqua" w:hAnsi="Book Antiqua"/>
          <w:sz w:val="24"/>
          <w:szCs w:val="24"/>
          <w:vertAlign w:val="superscript"/>
          <w:lang w:eastAsia="zh-CN"/>
        </w:rPr>
        <w:t>29</w:t>
      </w:r>
      <w:r w:rsidRPr="00995857">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Treatment is rarely indicated in patients with platelet counts above 50</w:t>
      </w:r>
      <w:r>
        <w:rPr>
          <w:rFonts w:ascii="Book Antiqua" w:hAnsi="Book Antiqua"/>
          <w:sz w:val="24"/>
          <w:szCs w:val="24"/>
          <w:lang w:eastAsia="zh-CN"/>
        </w:rPr>
        <w:t xml:space="preserve"> </w:t>
      </w:r>
      <w:r>
        <w:rPr>
          <w:rFonts w:ascii="Book Antiqua" w:hAnsi="Book Antiqua"/>
          <w:sz w:val="24"/>
          <w:szCs w:val="24"/>
        </w:rPr>
        <w:t>×</w:t>
      </w:r>
      <w:r>
        <w:rPr>
          <w:rFonts w:ascii="Book Antiqua" w:hAnsi="Book Antiqua"/>
          <w:sz w:val="24"/>
          <w:szCs w:val="24"/>
          <w:lang w:eastAsia="zh-CN"/>
        </w:rPr>
        <w:t xml:space="preserve"> </w:t>
      </w:r>
      <w:r w:rsidRPr="00904142">
        <w:rPr>
          <w:rFonts w:ascii="Book Antiqua" w:hAnsi="Book Antiqua"/>
          <w:sz w:val="24"/>
          <w:szCs w:val="24"/>
        </w:rPr>
        <w:t>10</w:t>
      </w:r>
      <w:r w:rsidRPr="00904142">
        <w:rPr>
          <w:rFonts w:ascii="Book Antiqua" w:hAnsi="Book Antiqua"/>
          <w:sz w:val="24"/>
          <w:szCs w:val="24"/>
          <w:vertAlign w:val="superscript"/>
        </w:rPr>
        <w:t>9</w:t>
      </w:r>
      <w:r w:rsidRPr="00904142">
        <w:rPr>
          <w:rFonts w:ascii="Book Antiqua" w:hAnsi="Book Antiqua"/>
          <w:sz w:val="24"/>
          <w:szCs w:val="24"/>
        </w:rPr>
        <w:t xml:space="preserve">/L in the absence of the following: bleeding due to platelet dysfunction or another hemostatic defect, trauma, surgery, clearly identified comorbidities for bleeding, mandated anticoagulation therapy, or in persons whose profession or lifestyle predisposes them to trauma. Patient’s preference must also be considered when discussing treatment </w:t>
      </w:r>
      <w:proofErr w:type="gramStart"/>
      <w:r w:rsidRPr="00904142">
        <w:rPr>
          <w:rFonts w:ascii="Book Antiqua" w:hAnsi="Book Antiqua"/>
          <w:sz w:val="24"/>
          <w:szCs w:val="24"/>
        </w:rPr>
        <w:t>options</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3</w:t>
      </w:r>
      <w:r>
        <w:rPr>
          <w:rFonts w:ascii="Book Antiqua" w:hAnsi="Book Antiqua"/>
          <w:sz w:val="24"/>
          <w:szCs w:val="24"/>
          <w:vertAlign w:val="superscript"/>
          <w:lang w:eastAsia="zh-CN"/>
        </w:rPr>
        <w:t>0</w:t>
      </w:r>
      <w:r w:rsidRPr="00995857">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04142">
      <w:pPr>
        <w:pStyle w:val="a3"/>
        <w:spacing w:before="2" w:after="2" w:line="360" w:lineRule="auto"/>
        <w:jc w:val="both"/>
        <w:rPr>
          <w:rFonts w:ascii="Book Antiqua" w:hAnsi="Book Antiqua"/>
          <w:b/>
          <w:bCs/>
          <w:sz w:val="24"/>
          <w:szCs w:val="24"/>
        </w:rPr>
      </w:pPr>
    </w:p>
    <w:p w:rsidR="00FA650B" w:rsidRPr="00904142" w:rsidRDefault="00FA650B" w:rsidP="00904142">
      <w:pPr>
        <w:pStyle w:val="a3"/>
        <w:spacing w:before="2" w:after="2" w:line="360" w:lineRule="auto"/>
        <w:jc w:val="both"/>
        <w:rPr>
          <w:rFonts w:ascii="Book Antiqua" w:hAnsi="Book Antiqua"/>
          <w:b/>
          <w:bCs/>
          <w:sz w:val="24"/>
          <w:szCs w:val="24"/>
        </w:rPr>
      </w:pPr>
      <w:r w:rsidRPr="00904142">
        <w:rPr>
          <w:rFonts w:ascii="Book Antiqua" w:hAnsi="Book Antiqua"/>
          <w:b/>
          <w:bCs/>
          <w:sz w:val="24"/>
          <w:szCs w:val="24"/>
        </w:rPr>
        <w:t>FIRST-LINE TREATMENT</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First-line therapies for ITP include corticosteroids,</w:t>
      </w:r>
      <w:r>
        <w:rPr>
          <w:rFonts w:ascii="Book Antiqua" w:hAnsi="Book Antiqua"/>
          <w:sz w:val="24"/>
          <w:szCs w:val="24"/>
          <w:lang w:eastAsia="zh-CN"/>
        </w:rPr>
        <w:t xml:space="preserve"> </w:t>
      </w:r>
      <w:r w:rsidRPr="00904142">
        <w:rPr>
          <w:rFonts w:ascii="Book Antiqua" w:hAnsi="Book Antiqua"/>
          <w:sz w:val="24"/>
          <w:szCs w:val="24"/>
        </w:rPr>
        <w:t>in</w:t>
      </w:r>
      <w:r>
        <w:rPr>
          <w:rFonts w:ascii="Book Antiqua" w:hAnsi="Book Antiqua"/>
          <w:sz w:val="24"/>
          <w:szCs w:val="24"/>
        </w:rPr>
        <w:t>travenous immunoglobulin (</w:t>
      </w:r>
      <w:proofErr w:type="spellStart"/>
      <w:r>
        <w:rPr>
          <w:rFonts w:ascii="Book Antiqua" w:hAnsi="Book Antiqua"/>
          <w:sz w:val="24"/>
          <w:szCs w:val="24"/>
        </w:rPr>
        <w:t>IVIg</w:t>
      </w:r>
      <w:proofErr w:type="spellEnd"/>
      <w:r>
        <w:rPr>
          <w:rFonts w:ascii="Book Antiqua" w:hAnsi="Book Antiqua"/>
          <w:sz w:val="24"/>
          <w:szCs w:val="24"/>
        </w:rPr>
        <w:t>)</w:t>
      </w:r>
      <w:r w:rsidRPr="00904142">
        <w:rPr>
          <w:rFonts w:ascii="Book Antiqua" w:hAnsi="Book Antiqua"/>
          <w:sz w:val="24"/>
          <w:szCs w:val="24"/>
        </w:rPr>
        <w:t>, and anti-</w:t>
      </w:r>
      <w:proofErr w:type="gramStart"/>
      <w:r w:rsidRPr="00904142">
        <w:rPr>
          <w:rFonts w:ascii="Book Antiqua" w:hAnsi="Book Antiqua"/>
          <w:sz w:val="24"/>
          <w:szCs w:val="24"/>
        </w:rPr>
        <w:t>Rho(</w:t>
      </w:r>
      <w:proofErr w:type="gramEnd"/>
      <w:r w:rsidRPr="00904142">
        <w:rPr>
          <w:rFonts w:ascii="Book Antiqua" w:hAnsi="Book Antiqua"/>
          <w:sz w:val="24"/>
          <w:szCs w:val="24"/>
        </w:rPr>
        <w:t>D) immune globulin</w:t>
      </w:r>
      <w:r w:rsidRPr="00995857">
        <w:rPr>
          <w:rFonts w:ascii="Book Antiqua" w:hAnsi="Book Antiqua"/>
          <w:sz w:val="24"/>
          <w:szCs w:val="24"/>
          <w:vertAlign w:val="superscript"/>
          <w:lang w:eastAsia="zh-CN"/>
        </w:rPr>
        <w:t>[2]</w:t>
      </w:r>
      <w:r w:rsidRPr="00904142">
        <w:rPr>
          <w:rFonts w:ascii="Book Antiqua" w:hAnsi="Book Antiqua"/>
          <w:sz w:val="24"/>
          <w:szCs w:val="24"/>
        </w:rPr>
        <w:t>.</w:t>
      </w:r>
    </w:p>
    <w:p w:rsidR="00FA650B" w:rsidRPr="00904142" w:rsidRDefault="00FA650B" w:rsidP="00904142">
      <w:pPr>
        <w:pStyle w:val="a3"/>
        <w:spacing w:before="2" w:after="2" w:line="360" w:lineRule="auto"/>
        <w:jc w:val="both"/>
        <w:rPr>
          <w:rFonts w:ascii="Book Antiqua" w:hAnsi="Book Antiqua"/>
          <w:b/>
          <w:bCs/>
          <w:sz w:val="24"/>
          <w:szCs w:val="24"/>
        </w:rPr>
      </w:pPr>
    </w:p>
    <w:p w:rsidR="00FA650B" w:rsidRPr="00995857" w:rsidRDefault="00FA650B" w:rsidP="00904142">
      <w:pPr>
        <w:pStyle w:val="a3"/>
        <w:spacing w:before="2" w:after="2" w:line="360" w:lineRule="auto"/>
        <w:jc w:val="both"/>
        <w:rPr>
          <w:rFonts w:ascii="Book Antiqua" w:hAnsi="Book Antiqua"/>
          <w:b/>
          <w:bCs/>
          <w:i/>
          <w:sz w:val="24"/>
          <w:szCs w:val="24"/>
          <w:lang w:eastAsia="zh-CN"/>
        </w:rPr>
      </w:pPr>
      <w:r w:rsidRPr="00995857">
        <w:rPr>
          <w:rFonts w:ascii="Book Antiqua" w:hAnsi="Book Antiqua"/>
          <w:b/>
          <w:bCs/>
          <w:i/>
          <w:sz w:val="24"/>
          <w:szCs w:val="24"/>
        </w:rPr>
        <w:t>Corticosteroids</w:t>
      </w:r>
    </w:p>
    <w:p w:rsidR="00FA650B" w:rsidRPr="00904142" w:rsidRDefault="00FA650B" w:rsidP="00904142">
      <w:pPr>
        <w:pStyle w:val="a3"/>
        <w:spacing w:before="2" w:after="2" w:line="360" w:lineRule="auto"/>
        <w:jc w:val="both"/>
        <w:rPr>
          <w:rFonts w:ascii="Book Antiqua" w:hAnsi="Book Antiqua"/>
          <w:b/>
          <w:bCs/>
          <w:sz w:val="24"/>
          <w:szCs w:val="24"/>
        </w:rPr>
      </w:pPr>
      <w:r w:rsidRPr="00904142">
        <w:rPr>
          <w:rFonts w:ascii="Book Antiqua" w:hAnsi="Book Antiqua"/>
          <w:bCs/>
          <w:sz w:val="24"/>
          <w:szCs w:val="24"/>
        </w:rPr>
        <w:t>Standard prednisone therapy</w:t>
      </w:r>
      <w:r w:rsidRPr="00904142">
        <w:rPr>
          <w:rFonts w:ascii="Book Antiqua" w:hAnsi="Book Antiqua"/>
          <w:b/>
          <w:bCs/>
          <w:sz w:val="24"/>
          <w:szCs w:val="24"/>
        </w:rPr>
        <w:t xml:space="preserve">, </w:t>
      </w:r>
      <w:r w:rsidRPr="00904142">
        <w:rPr>
          <w:rFonts w:ascii="Book Antiqua" w:hAnsi="Book Antiqua"/>
          <w:sz w:val="24"/>
          <w:szCs w:val="24"/>
        </w:rPr>
        <w:t xml:space="preserve">1 to 2 mg/kg per day, is given until a response is seen, and then tapered. Some maintain therapy for an additional week </w:t>
      </w:r>
      <w:r w:rsidRPr="00904142">
        <w:rPr>
          <w:rFonts w:ascii="Book Antiqua" w:hAnsi="Book Antiqua"/>
          <w:sz w:val="24"/>
          <w:szCs w:val="24"/>
        </w:rPr>
        <w:lastRenderedPageBreak/>
        <w:t>before tapering. There are no guidelines about how to taper: some decrease the dosage by 50% per week, although many recommend going more slowly, particularly at the lower range of dosing. Up to 85% of patients achieve a clinical response, usually within 7 to 10 d, with platelet counts peaking in 2 to 4 w</w:t>
      </w:r>
      <w:r>
        <w:rPr>
          <w:rFonts w:ascii="Book Antiqua" w:hAnsi="Book Antiqua"/>
          <w:sz w:val="24"/>
          <w:szCs w:val="24"/>
        </w:rPr>
        <w:t>k</w:t>
      </w:r>
      <w:r w:rsidRPr="00904142">
        <w:rPr>
          <w:rFonts w:ascii="Book Antiqua" w:hAnsi="Book Antiqua"/>
          <w:sz w:val="24"/>
          <w:szCs w:val="24"/>
        </w:rPr>
        <w:t>. Unfortunately, only about 15% of patients maintain the response over the subsequent 6 to 12 mo. Restarting prednisone often initiates a vicious circle and makes patients vulnerable to steroid toxicities (Table 2)</w:t>
      </w:r>
      <w:r w:rsidRPr="00995857">
        <w:rPr>
          <w:rFonts w:ascii="Book Antiqua" w:hAnsi="Book Antiqua"/>
          <w:sz w:val="24"/>
          <w:szCs w:val="24"/>
          <w:vertAlign w:val="superscript"/>
          <w:lang w:eastAsia="zh-CN"/>
        </w:rPr>
        <w:t>[2</w:t>
      </w:r>
      <w:r>
        <w:rPr>
          <w:rFonts w:ascii="Book Antiqua" w:hAnsi="Book Antiqua"/>
          <w:sz w:val="24"/>
          <w:szCs w:val="24"/>
          <w:vertAlign w:val="superscript"/>
          <w:lang w:eastAsia="zh-CN"/>
        </w:rPr>
        <w:t>6</w:t>
      </w:r>
      <w:r w:rsidRPr="00995857">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95857">
      <w:pPr>
        <w:pStyle w:val="a3"/>
        <w:spacing w:before="2" w:after="2" w:line="360" w:lineRule="auto"/>
        <w:ind w:firstLineChars="100" w:firstLine="240"/>
        <w:jc w:val="both"/>
        <w:rPr>
          <w:rFonts w:ascii="Book Antiqua" w:hAnsi="Book Antiqua"/>
          <w:bCs/>
          <w:sz w:val="24"/>
          <w:szCs w:val="24"/>
        </w:rPr>
      </w:pPr>
      <w:r w:rsidRPr="00904142">
        <w:rPr>
          <w:rFonts w:ascii="Book Antiqua" w:hAnsi="Book Antiqua"/>
          <w:bCs/>
          <w:sz w:val="24"/>
          <w:szCs w:val="24"/>
        </w:rPr>
        <w:t xml:space="preserve">Pulse dexamethasone therapy consists of 40 mg per day for 4 d for one to three cycles (Dexamethasone 1 mg is equivalent to about 10 mg of prednisone). Pulse dexamethasone therapy as an initial approach to ITP has been developed during the past decade and has been used primarily in research studies. This regimen evolved from studies of patients with multiple myelomas and has the potential to induce more durable remissions in some patients with newly diagnosed ITP. However, high-dose corticosteroids may be associated with increased toxicity, at least in the short term, and should be used </w:t>
      </w:r>
      <w:proofErr w:type="gramStart"/>
      <w:r w:rsidRPr="00904142">
        <w:rPr>
          <w:rFonts w:ascii="Book Antiqua" w:hAnsi="Book Antiqua"/>
          <w:bCs/>
          <w:sz w:val="24"/>
          <w:szCs w:val="24"/>
        </w:rPr>
        <w:t>cautiously</w:t>
      </w:r>
      <w:r w:rsidRPr="00995857">
        <w:rPr>
          <w:rFonts w:ascii="Book Antiqua" w:hAnsi="Book Antiqua"/>
          <w:bCs/>
          <w:sz w:val="24"/>
          <w:szCs w:val="24"/>
          <w:vertAlign w:val="superscript"/>
          <w:lang w:eastAsia="zh-CN"/>
        </w:rPr>
        <w:t>[</w:t>
      </w:r>
      <w:proofErr w:type="gramEnd"/>
      <w:r w:rsidRPr="00995857">
        <w:rPr>
          <w:rFonts w:ascii="Book Antiqua" w:hAnsi="Book Antiqua"/>
          <w:bCs/>
          <w:sz w:val="24"/>
          <w:szCs w:val="24"/>
          <w:vertAlign w:val="superscript"/>
          <w:lang w:eastAsia="zh-CN"/>
        </w:rPr>
        <w:t>2]</w:t>
      </w:r>
      <w:r w:rsidRPr="00904142">
        <w:rPr>
          <w:rFonts w:ascii="Book Antiqua" w:hAnsi="Book Antiqua"/>
          <w:bCs/>
          <w:sz w:val="24"/>
          <w:szCs w:val="24"/>
        </w:rPr>
        <w:t>.</w:t>
      </w:r>
    </w:p>
    <w:p w:rsidR="00FA650B" w:rsidRPr="00904142" w:rsidRDefault="00FA650B" w:rsidP="00904142">
      <w:pPr>
        <w:pStyle w:val="a3"/>
        <w:spacing w:before="2" w:after="2" w:line="360" w:lineRule="auto"/>
        <w:jc w:val="both"/>
        <w:rPr>
          <w:rFonts w:ascii="Book Antiqua" w:hAnsi="Book Antiqua"/>
          <w:bCs/>
          <w:sz w:val="24"/>
          <w:szCs w:val="24"/>
        </w:rPr>
      </w:pPr>
    </w:p>
    <w:p w:rsidR="00FA650B" w:rsidRPr="00995857" w:rsidRDefault="00FA650B" w:rsidP="00904142">
      <w:pPr>
        <w:pStyle w:val="a3"/>
        <w:spacing w:before="2" w:after="2" w:line="360" w:lineRule="auto"/>
        <w:jc w:val="both"/>
        <w:rPr>
          <w:rFonts w:ascii="Book Antiqua" w:hAnsi="Book Antiqua"/>
          <w:i/>
          <w:sz w:val="24"/>
          <w:szCs w:val="24"/>
          <w:lang w:eastAsia="zh-CN"/>
        </w:rPr>
      </w:pPr>
      <w:r w:rsidRPr="00995857">
        <w:rPr>
          <w:rFonts w:ascii="Book Antiqua" w:hAnsi="Book Antiqua"/>
          <w:b/>
          <w:i/>
          <w:sz w:val="24"/>
          <w:szCs w:val="24"/>
        </w:rPr>
        <w:t>Intravenous immunoglobulin</w:t>
      </w:r>
      <w:r w:rsidRPr="00995857">
        <w:rPr>
          <w:rFonts w:ascii="Book Antiqua" w:hAnsi="Book Antiqua"/>
          <w:i/>
          <w:sz w:val="24"/>
          <w:szCs w:val="24"/>
        </w:rPr>
        <w:t xml:space="preserve"> </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 xml:space="preserve">Another primary therapy for ITP is </w:t>
      </w:r>
      <w:r w:rsidRPr="00995857">
        <w:rPr>
          <w:rFonts w:ascii="Book Antiqua" w:hAnsi="Book Antiqua"/>
          <w:sz w:val="24"/>
          <w:szCs w:val="24"/>
          <w:lang w:eastAsia="zh-CN"/>
        </w:rPr>
        <w:t>i</w:t>
      </w:r>
      <w:r w:rsidRPr="00995857">
        <w:rPr>
          <w:rFonts w:ascii="Book Antiqua" w:hAnsi="Book Antiqua"/>
          <w:sz w:val="24"/>
          <w:szCs w:val="24"/>
        </w:rPr>
        <w:t>ntravenous immunoglobulin (</w:t>
      </w:r>
      <w:proofErr w:type="spellStart"/>
      <w:r w:rsidRPr="00995857">
        <w:rPr>
          <w:rFonts w:ascii="Book Antiqua" w:hAnsi="Book Antiqua"/>
          <w:sz w:val="24"/>
          <w:szCs w:val="24"/>
        </w:rPr>
        <w:t>IVIg</w:t>
      </w:r>
      <w:proofErr w:type="spellEnd"/>
      <w:r w:rsidRPr="00995857">
        <w:rPr>
          <w:rFonts w:ascii="Book Antiqua" w:hAnsi="Book Antiqua"/>
          <w:sz w:val="24"/>
          <w:szCs w:val="24"/>
        </w:rPr>
        <w:t>)</w:t>
      </w:r>
      <w:r>
        <w:rPr>
          <w:rFonts w:ascii="Book Antiqua" w:hAnsi="Book Antiqua"/>
          <w:sz w:val="24"/>
          <w:szCs w:val="24"/>
        </w:rPr>
        <w:t xml:space="preserve"> 0.4 g/kg</w:t>
      </w:r>
      <w:r>
        <w:rPr>
          <w:rFonts w:ascii="Book Antiqua" w:hAnsi="Book Antiqua"/>
          <w:sz w:val="24"/>
          <w:szCs w:val="24"/>
          <w:lang w:eastAsia="zh-CN"/>
        </w:rPr>
        <w:t xml:space="preserve"> per </w:t>
      </w:r>
      <w:r w:rsidRPr="00904142">
        <w:rPr>
          <w:rFonts w:ascii="Book Antiqua" w:hAnsi="Book Antiqua"/>
          <w:sz w:val="24"/>
          <w:szCs w:val="24"/>
        </w:rPr>
        <w:t>d</w:t>
      </w:r>
      <w:r>
        <w:rPr>
          <w:rFonts w:ascii="Book Antiqua" w:hAnsi="Book Antiqua"/>
          <w:sz w:val="24"/>
          <w:szCs w:val="24"/>
          <w:lang w:eastAsia="zh-CN"/>
        </w:rPr>
        <w:t>ay</w:t>
      </w:r>
      <w:r w:rsidRPr="00904142">
        <w:rPr>
          <w:rFonts w:ascii="Book Antiqua" w:hAnsi="Book Antiqua"/>
          <w:sz w:val="24"/>
          <w:szCs w:val="24"/>
        </w:rPr>
        <w:t xml:space="preserve"> for 5 d</w:t>
      </w:r>
      <w:r>
        <w:rPr>
          <w:rFonts w:ascii="Book Antiqua" w:hAnsi="Book Antiqua"/>
          <w:sz w:val="24"/>
          <w:szCs w:val="24"/>
        </w:rPr>
        <w:t xml:space="preserve"> or</w:t>
      </w:r>
      <w:r w:rsidRPr="00904142">
        <w:rPr>
          <w:rFonts w:ascii="Book Antiqua" w:hAnsi="Book Antiqua"/>
          <w:sz w:val="24"/>
          <w:szCs w:val="24"/>
        </w:rPr>
        <w:t xml:space="preserve"> infusions of 1 g/kg</w:t>
      </w:r>
      <w:r>
        <w:rPr>
          <w:rFonts w:ascii="Book Antiqua" w:hAnsi="Book Antiqua"/>
          <w:sz w:val="24"/>
          <w:szCs w:val="24"/>
          <w:lang w:eastAsia="zh-CN"/>
        </w:rPr>
        <w:t xml:space="preserve"> per </w:t>
      </w:r>
      <w:r w:rsidRPr="00904142">
        <w:rPr>
          <w:rFonts w:ascii="Book Antiqua" w:hAnsi="Book Antiqua"/>
          <w:sz w:val="24"/>
          <w:szCs w:val="24"/>
        </w:rPr>
        <w:t>d</w:t>
      </w:r>
      <w:r>
        <w:rPr>
          <w:rFonts w:ascii="Book Antiqua" w:hAnsi="Book Antiqua"/>
          <w:sz w:val="24"/>
          <w:szCs w:val="24"/>
          <w:lang w:eastAsia="zh-CN"/>
        </w:rPr>
        <w:t>ay</w:t>
      </w:r>
      <w:r w:rsidRPr="00904142">
        <w:rPr>
          <w:rFonts w:ascii="Book Antiqua" w:hAnsi="Book Antiqua"/>
          <w:sz w:val="24"/>
          <w:szCs w:val="24"/>
        </w:rPr>
        <w:t xml:space="preserve"> for 1-2 </w:t>
      </w:r>
      <w:proofErr w:type="gramStart"/>
      <w:r w:rsidRPr="00904142">
        <w:rPr>
          <w:rFonts w:ascii="Book Antiqua" w:hAnsi="Book Antiqua"/>
          <w:sz w:val="24"/>
          <w:szCs w:val="24"/>
        </w:rPr>
        <w:t>d</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2]</w:t>
      </w:r>
      <w:r w:rsidRPr="00904142">
        <w:rPr>
          <w:rFonts w:ascii="Book Antiqua" w:hAnsi="Book Antiqua"/>
          <w:sz w:val="24"/>
          <w:szCs w:val="24"/>
        </w:rPr>
        <w:t xml:space="preserve">. </w:t>
      </w:r>
      <w:proofErr w:type="spellStart"/>
      <w:r w:rsidRPr="00904142">
        <w:rPr>
          <w:rFonts w:ascii="Book Antiqua" w:hAnsi="Book Antiqua"/>
          <w:sz w:val="24"/>
          <w:szCs w:val="24"/>
        </w:rPr>
        <w:t>IVIg</w:t>
      </w:r>
      <w:proofErr w:type="spellEnd"/>
      <w:r w:rsidRPr="00904142">
        <w:rPr>
          <w:rFonts w:ascii="Book Antiqua" w:hAnsi="Book Antiqua"/>
          <w:sz w:val="24"/>
          <w:szCs w:val="24"/>
        </w:rPr>
        <w:t xml:space="preserve"> is associated with numerous adverse effects, including thrombosis, renal insufficiency, headache, and anaphylaxis in IgA-deficient patients. It also converts the direct </w:t>
      </w:r>
      <w:proofErr w:type="spellStart"/>
      <w:r w:rsidRPr="00904142">
        <w:rPr>
          <w:rFonts w:ascii="Book Antiqua" w:hAnsi="Book Antiqua"/>
          <w:sz w:val="24"/>
          <w:szCs w:val="24"/>
        </w:rPr>
        <w:t>antiglobulin</w:t>
      </w:r>
      <w:proofErr w:type="spellEnd"/>
      <w:r w:rsidRPr="00904142">
        <w:rPr>
          <w:rFonts w:ascii="Book Antiqua" w:hAnsi="Book Antiqua"/>
          <w:sz w:val="24"/>
          <w:szCs w:val="24"/>
        </w:rPr>
        <w:t xml:space="preserve"> test to positive. </w:t>
      </w:r>
      <w:proofErr w:type="spellStart"/>
      <w:r w:rsidRPr="00904142">
        <w:rPr>
          <w:rFonts w:ascii="Book Antiqua" w:hAnsi="Book Antiqua"/>
          <w:sz w:val="24"/>
          <w:szCs w:val="24"/>
        </w:rPr>
        <w:t>IVIg</w:t>
      </w:r>
      <w:proofErr w:type="spellEnd"/>
      <w:r w:rsidRPr="00904142">
        <w:rPr>
          <w:rFonts w:ascii="Book Antiqua" w:hAnsi="Book Antiqua"/>
          <w:sz w:val="24"/>
          <w:szCs w:val="24"/>
        </w:rPr>
        <w:t xml:space="preserve"> is expensive and inconvenient to administer, and may require lengthy infusions depending on the formulation. </w:t>
      </w:r>
    </w:p>
    <w:p w:rsidR="00FA650B" w:rsidRPr="00904142" w:rsidRDefault="00FA650B" w:rsidP="0051331B">
      <w:pPr>
        <w:spacing w:beforeLines="1" w:before="2" w:afterLines="1" w:after="2" w:line="360" w:lineRule="auto"/>
        <w:ind w:firstLineChars="100" w:firstLine="240"/>
        <w:jc w:val="both"/>
        <w:rPr>
          <w:rFonts w:ascii="Book Antiqua" w:hAnsi="Book Antiqua"/>
        </w:rPr>
      </w:pPr>
      <w:r w:rsidRPr="00904142">
        <w:rPr>
          <w:rFonts w:ascii="Book Antiqua" w:hAnsi="Book Antiqua"/>
        </w:rPr>
        <w:t xml:space="preserve">Although </w:t>
      </w:r>
      <w:proofErr w:type="spellStart"/>
      <w:r w:rsidRPr="00904142">
        <w:rPr>
          <w:rFonts w:ascii="Book Antiqua" w:hAnsi="Book Antiqua"/>
        </w:rPr>
        <w:t>IVIg</w:t>
      </w:r>
      <w:proofErr w:type="spellEnd"/>
      <w:r w:rsidRPr="00904142">
        <w:rPr>
          <w:rFonts w:ascii="Book Antiqua" w:hAnsi="Book Antiqua"/>
        </w:rPr>
        <w:t xml:space="preserve"> is not a good long-term therapy, it can help raise the platelet count relatively quickly in patients who present with severe thrombocytopenia accompanied by bleeding. Such patients should be treated with high-dose steroids, </w:t>
      </w:r>
      <w:proofErr w:type="spellStart"/>
      <w:r w:rsidRPr="00904142">
        <w:rPr>
          <w:rFonts w:ascii="Book Antiqua" w:hAnsi="Book Antiqua"/>
        </w:rPr>
        <w:t>IVIg</w:t>
      </w:r>
      <w:proofErr w:type="spellEnd"/>
      <w:r w:rsidRPr="00904142">
        <w:rPr>
          <w:rFonts w:ascii="Book Antiqua" w:hAnsi="Book Antiqua"/>
        </w:rPr>
        <w:t xml:space="preserve">, and platelet transfusions. </w:t>
      </w:r>
      <w:proofErr w:type="spellStart"/>
      <w:r w:rsidRPr="00904142">
        <w:rPr>
          <w:rFonts w:ascii="Book Antiqua" w:hAnsi="Book Antiqua"/>
        </w:rPr>
        <w:t>IVIg</w:t>
      </w:r>
      <w:proofErr w:type="spellEnd"/>
      <w:r w:rsidRPr="00904142">
        <w:rPr>
          <w:rFonts w:ascii="Book Antiqua" w:hAnsi="Book Antiqua"/>
        </w:rPr>
        <w:t xml:space="preserve"> may also be useful to increase platelet counts prior to interventional </w:t>
      </w:r>
      <w:proofErr w:type="gramStart"/>
      <w:r w:rsidRPr="00904142">
        <w:rPr>
          <w:rFonts w:ascii="Book Antiqua" w:hAnsi="Book Antiqua"/>
        </w:rPr>
        <w:t>procedures</w:t>
      </w:r>
      <w:r w:rsidRPr="00995857">
        <w:rPr>
          <w:rFonts w:ascii="Book Antiqua" w:hAnsi="Book Antiqua"/>
          <w:vertAlign w:val="superscript"/>
          <w:lang w:eastAsia="zh-CN"/>
        </w:rPr>
        <w:t>[</w:t>
      </w:r>
      <w:proofErr w:type="gramEnd"/>
      <w:r w:rsidRPr="00995857">
        <w:rPr>
          <w:rFonts w:ascii="Book Antiqua" w:hAnsi="Book Antiqua"/>
          <w:vertAlign w:val="superscript"/>
          <w:lang w:eastAsia="zh-CN"/>
        </w:rPr>
        <w:t>2</w:t>
      </w:r>
      <w:r>
        <w:rPr>
          <w:rFonts w:ascii="Book Antiqua" w:hAnsi="Book Antiqua"/>
          <w:vertAlign w:val="superscript"/>
          <w:lang w:eastAsia="zh-CN"/>
        </w:rPr>
        <w:t>6</w:t>
      </w:r>
      <w:r w:rsidRPr="00995857">
        <w:rPr>
          <w:rFonts w:ascii="Book Antiqua" w:hAnsi="Book Antiqua"/>
          <w:vertAlign w:val="superscript"/>
          <w:lang w:eastAsia="zh-CN"/>
        </w:rPr>
        <w:t>]</w:t>
      </w:r>
      <w:r w:rsidRPr="00904142">
        <w:rPr>
          <w:rFonts w:ascii="Book Antiqua" w:hAnsi="Book Antiqua"/>
        </w:rPr>
        <w:t xml:space="preserve">. </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lastRenderedPageBreak/>
        <w:t>Platelet clearance in ITP mediated by most anti-</w:t>
      </w:r>
      <w:proofErr w:type="spellStart"/>
      <w:r w:rsidRPr="00904142">
        <w:rPr>
          <w:rFonts w:ascii="Book Antiqua" w:hAnsi="Book Antiqua"/>
          <w:sz w:val="24"/>
          <w:szCs w:val="24"/>
        </w:rPr>
        <w:t>GPIb</w:t>
      </w:r>
      <w:proofErr w:type="spellEnd"/>
      <w:r w:rsidRPr="00904142">
        <w:rPr>
          <w:rFonts w:ascii="Book Antiqua" w:hAnsi="Book Antiqua"/>
          <w:sz w:val="24"/>
          <w:szCs w:val="24"/>
        </w:rPr>
        <w:pgNum/>
      </w:r>
      <w:r w:rsidRPr="00904142">
        <w:rPr>
          <w:rFonts w:ascii="Book Antiqua" w:hAnsi="Book Antiqua"/>
          <w:sz w:val="24"/>
          <w:szCs w:val="24"/>
        </w:rPr>
        <w:t xml:space="preserve"> antibodies may occur through an Fc-independent process, likely </w:t>
      </w:r>
      <w:r w:rsidRPr="00995857">
        <w:rPr>
          <w:rFonts w:ascii="Book Antiqua" w:hAnsi="Book Antiqua"/>
          <w:i/>
          <w:iCs/>
          <w:sz w:val="24"/>
          <w:szCs w:val="24"/>
        </w:rPr>
        <w:t>via</w:t>
      </w:r>
      <w:r w:rsidRPr="00904142">
        <w:rPr>
          <w:rFonts w:ascii="Book Antiqua" w:hAnsi="Book Antiqua"/>
          <w:iCs/>
          <w:sz w:val="24"/>
          <w:szCs w:val="24"/>
        </w:rPr>
        <w:t xml:space="preserve"> </w:t>
      </w:r>
      <w:r w:rsidRPr="00904142">
        <w:rPr>
          <w:rFonts w:ascii="Book Antiqua" w:hAnsi="Book Antiqua"/>
          <w:sz w:val="24"/>
          <w:szCs w:val="24"/>
        </w:rPr>
        <w:t>a system that evolved for our innate immunity and for clearance of senescent cells</w:t>
      </w:r>
      <w:r w:rsidRPr="00904142">
        <w:rPr>
          <w:rFonts w:ascii="Book Antiqua" w:hAnsi="Book Antiqua"/>
          <w:b/>
          <w:bCs/>
          <w:sz w:val="24"/>
          <w:szCs w:val="24"/>
        </w:rPr>
        <w:t xml:space="preserve">. </w:t>
      </w:r>
      <w:r w:rsidRPr="00904142">
        <w:rPr>
          <w:rFonts w:ascii="Book Antiqua" w:hAnsi="Book Antiqua"/>
          <w:sz w:val="24"/>
          <w:szCs w:val="24"/>
        </w:rPr>
        <w:t xml:space="preserve">This type of ITP may not be sensitive to IVIG and other therapies designed based on Fc receptor </w:t>
      </w:r>
      <w:proofErr w:type="gramStart"/>
      <w:r w:rsidRPr="00904142">
        <w:rPr>
          <w:rFonts w:ascii="Book Antiqua" w:hAnsi="Book Antiqua"/>
          <w:sz w:val="24"/>
          <w:szCs w:val="24"/>
        </w:rPr>
        <w:t>blockage</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3</w:t>
      </w:r>
      <w:r>
        <w:rPr>
          <w:rFonts w:ascii="Book Antiqua" w:hAnsi="Book Antiqua"/>
          <w:sz w:val="24"/>
          <w:szCs w:val="24"/>
          <w:vertAlign w:val="superscript"/>
          <w:lang w:eastAsia="zh-CN"/>
        </w:rPr>
        <w:t>1</w:t>
      </w:r>
      <w:r w:rsidRPr="00995857">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95857">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 xml:space="preserve">Antibody Fc-independent phagocytosis has also been well described in mammals, including Fc-independent </w:t>
      </w:r>
      <w:proofErr w:type="spellStart"/>
      <w:r w:rsidRPr="00904142">
        <w:rPr>
          <w:rFonts w:ascii="Book Antiqua" w:hAnsi="Book Antiqua"/>
          <w:sz w:val="24"/>
          <w:szCs w:val="24"/>
        </w:rPr>
        <w:t>opsonization</w:t>
      </w:r>
      <w:proofErr w:type="spellEnd"/>
      <w:r w:rsidRPr="00904142">
        <w:rPr>
          <w:rFonts w:ascii="Book Antiqua" w:hAnsi="Book Antiqua"/>
          <w:sz w:val="24"/>
          <w:szCs w:val="24"/>
        </w:rPr>
        <w:t xml:space="preserve"> by </w:t>
      </w:r>
      <w:proofErr w:type="gramStart"/>
      <w:r w:rsidRPr="00904142">
        <w:rPr>
          <w:rFonts w:ascii="Book Antiqua" w:hAnsi="Book Antiqua"/>
          <w:sz w:val="24"/>
          <w:szCs w:val="24"/>
        </w:rPr>
        <w:t>antibodies</w:t>
      </w:r>
      <w:r w:rsidRPr="00995857">
        <w:rPr>
          <w:rFonts w:ascii="Book Antiqua" w:hAnsi="Book Antiqua"/>
          <w:sz w:val="24"/>
          <w:szCs w:val="24"/>
          <w:vertAlign w:val="superscript"/>
          <w:lang w:eastAsia="zh-CN"/>
        </w:rPr>
        <w:t>[</w:t>
      </w:r>
      <w:proofErr w:type="gramEnd"/>
      <w:r w:rsidRPr="00995857">
        <w:rPr>
          <w:rFonts w:ascii="Book Antiqua" w:hAnsi="Book Antiqua"/>
          <w:sz w:val="24"/>
          <w:szCs w:val="24"/>
          <w:vertAlign w:val="superscript"/>
          <w:lang w:eastAsia="zh-CN"/>
        </w:rPr>
        <w:t>3</w:t>
      </w:r>
      <w:r>
        <w:rPr>
          <w:rFonts w:ascii="Book Antiqua" w:hAnsi="Book Antiqua"/>
          <w:sz w:val="24"/>
          <w:szCs w:val="24"/>
          <w:vertAlign w:val="superscript"/>
          <w:lang w:eastAsia="zh-CN"/>
        </w:rPr>
        <w:t>2</w:t>
      </w:r>
      <w:r w:rsidRPr="00995857">
        <w:rPr>
          <w:rFonts w:ascii="Book Antiqua" w:hAnsi="Book Antiqua"/>
          <w:sz w:val="24"/>
          <w:szCs w:val="24"/>
          <w:vertAlign w:val="superscript"/>
          <w:lang w:eastAsia="zh-CN"/>
        </w:rPr>
        <w:t>]</w:t>
      </w:r>
      <w:r w:rsidRPr="00904142">
        <w:rPr>
          <w:rFonts w:ascii="Book Antiqua" w:hAnsi="Book Antiqua"/>
          <w:sz w:val="24"/>
          <w:szCs w:val="24"/>
        </w:rPr>
        <w:t>, as well as antibody- and Fc receptor-independent phagocytosis of microbes and other senescent cells</w:t>
      </w:r>
      <w:r w:rsidRPr="00FD1384">
        <w:rPr>
          <w:rFonts w:ascii="Book Antiqua" w:hAnsi="Book Antiqua"/>
          <w:sz w:val="24"/>
          <w:szCs w:val="24"/>
          <w:vertAlign w:val="superscript"/>
          <w:lang w:eastAsia="zh-CN"/>
        </w:rPr>
        <w:t>[3</w:t>
      </w:r>
      <w:r>
        <w:rPr>
          <w:rFonts w:ascii="Book Antiqua" w:hAnsi="Book Antiqua"/>
          <w:sz w:val="24"/>
          <w:szCs w:val="24"/>
          <w:vertAlign w:val="superscript"/>
          <w:lang w:eastAsia="zh-CN"/>
        </w:rPr>
        <w:t>3</w:t>
      </w:r>
      <w:r w:rsidRPr="00FD1384">
        <w:rPr>
          <w:rFonts w:ascii="Book Antiqua" w:hAnsi="Book Antiqua"/>
          <w:sz w:val="24"/>
          <w:szCs w:val="24"/>
          <w:vertAlign w:val="superscript"/>
          <w:lang w:eastAsia="zh-CN"/>
        </w:rPr>
        <w:t>-3</w:t>
      </w:r>
      <w:r>
        <w:rPr>
          <w:rFonts w:ascii="Book Antiqua" w:hAnsi="Book Antiqua"/>
          <w:sz w:val="24"/>
          <w:szCs w:val="24"/>
          <w:vertAlign w:val="superscript"/>
          <w:lang w:eastAsia="zh-CN"/>
        </w:rPr>
        <w:t>6</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In the absence of antibody, specific ligands from bacteria, other foreign microorganisms, or the host’s senescent cells, may engage receptors directly on phagocytes, such as scavenger receptors, </w:t>
      </w:r>
      <w:proofErr w:type="spellStart"/>
      <w:r w:rsidRPr="00904142">
        <w:rPr>
          <w:rFonts w:ascii="Book Antiqua" w:hAnsi="Book Antiqua"/>
          <w:sz w:val="24"/>
          <w:szCs w:val="24"/>
        </w:rPr>
        <w:t>phosphatidylserine</w:t>
      </w:r>
      <w:proofErr w:type="spellEnd"/>
      <w:r w:rsidRPr="00904142">
        <w:rPr>
          <w:rFonts w:ascii="Book Antiqua" w:hAnsi="Book Antiqua"/>
          <w:sz w:val="24"/>
          <w:szCs w:val="24"/>
        </w:rPr>
        <w:t xml:space="preserve"> counter-receptors, V </w:t>
      </w:r>
      <w:proofErr w:type="spellStart"/>
      <w:r w:rsidRPr="00904142">
        <w:rPr>
          <w:rFonts w:ascii="Book Antiqua" w:hAnsi="Book Antiqua"/>
          <w:sz w:val="24"/>
          <w:szCs w:val="24"/>
        </w:rPr>
        <w:t>integrins</w:t>
      </w:r>
      <w:proofErr w:type="spellEnd"/>
      <w:r w:rsidRPr="00904142">
        <w:rPr>
          <w:rFonts w:ascii="Book Antiqua" w:hAnsi="Book Antiqua"/>
          <w:sz w:val="24"/>
          <w:szCs w:val="24"/>
        </w:rPr>
        <w:t xml:space="preserve">, complement receptors, or C-type </w:t>
      </w:r>
      <w:proofErr w:type="spellStart"/>
      <w:r w:rsidRPr="00904142">
        <w:rPr>
          <w:rFonts w:ascii="Book Antiqua" w:hAnsi="Book Antiqua"/>
          <w:sz w:val="24"/>
          <w:szCs w:val="24"/>
        </w:rPr>
        <w:t>lectins</w:t>
      </w:r>
      <w:proofErr w:type="spellEnd"/>
      <w:r w:rsidRPr="00FD1384">
        <w:rPr>
          <w:rFonts w:ascii="Book Antiqua" w:hAnsi="Book Antiqua"/>
          <w:sz w:val="24"/>
          <w:szCs w:val="24"/>
          <w:vertAlign w:val="superscript"/>
          <w:lang w:eastAsia="zh-CN"/>
        </w:rPr>
        <w:t>[3</w:t>
      </w:r>
      <w:r>
        <w:rPr>
          <w:rFonts w:ascii="Book Antiqua" w:hAnsi="Book Antiqua"/>
          <w:sz w:val="24"/>
          <w:szCs w:val="24"/>
          <w:vertAlign w:val="superscript"/>
          <w:lang w:eastAsia="zh-CN"/>
        </w:rPr>
        <w:t>3</w:t>
      </w:r>
      <w:r w:rsidRPr="00FD1384">
        <w:rPr>
          <w:rFonts w:ascii="Book Antiqua" w:hAnsi="Book Antiqua"/>
          <w:sz w:val="24"/>
          <w:szCs w:val="24"/>
          <w:vertAlign w:val="superscript"/>
          <w:lang w:eastAsia="zh-CN"/>
        </w:rPr>
        <w:t>-3</w:t>
      </w:r>
      <w:r>
        <w:rPr>
          <w:rFonts w:ascii="Book Antiqua" w:hAnsi="Book Antiqua"/>
          <w:sz w:val="24"/>
          <w:szCs w:val="24"/>
          <w:vertAlign w:val="superscript"/>
          <w:lang w:eastAsia="zh-CN"/>
        </w:rPr>
        <w:t>8</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In some cases, this engagement can be enhanced by </w:t>
      </w:r>
      <w:proofErr w:type="gramStart"/>
      <w:r w:rsidRPr="00904142">
        <w:rPr>
          <w:rFonts w:ascii="Book Antiqua" w:hAnsi="Book Antiqua"/>
          <w:sz w:val="24"/>
          <w:szCs w:val="24"/>
        </w:rPr>
        <w:t>F(</w:t>
      </w:r>
      <w:proofErr w:type="gramEnd"/>
      <w:r w:rsidRPr="00904142">
        <w:rPr>
          <w:rFonts w:ascii="Book Antiqua" w:hAnsi="Book Antiqua"/>
          <w:sz w:val="24"/>
          <w:szCs w:val="24"/>
        </w:rPr>
        <w:t xml:space="preserve">ab')2 fragments of antibodies or non-antibody </w:t>
      </w:r>
      <w:proofErr w:type="spellStart"/>
      <w:r w:rsidRPr="00904142">
        <w:rPr>
          <w:rFonts w:ascii="Book Antiqua" w:hAnsi="Book Antiqua"/>
          <w:sz w:val="24"/>
          <w:szCs w:val="24"/>
        </w:rPr>
        <w:t>opsonins</w:t>
      </w:r>
      <w:proofErr w:type="spellEnd"/>
      <w:r w:rsidRPr="00904142">
        <w:rPr>
          <w:rFonts w:ascii="Book Antiqua" w:hAnsi="Book Antiqua"/>
          <w:sz w:val="24"/>
          <w:szCs w:val="24"/>
        </w:rPr>
        <w:t>. These Fc-absent antibodies may bind to receptors on phagocytic cells (</w:t>
      </w:r>
      <w:r w:rsidRPr="00FD1384">
        <w:rPr>
          <w:rFonts w:ascii="Book Antiqua" w:hAnsi="Book Antiqua"/>
          <w:i/>
          <w:sz w:val="24"/>
          <w:szCs w:val="24"/>
        </w:rPr>
        <w:t>e.g.</w:t>
      </w:r>
      <w:r>
        <w:rPr>
          <w:rFonts w:ascii="Book Antiqua" w:hAnsi="Book Antiqua"/>
          <w:sz w:val="24"/>
          <w:szCs w:val="24"/>
          <w:lang w:eastAsia="zh-CN"/>
        </w:rPr>
        <w:t>,</w:t>
      </w:r>
      <w:r w:rsidRPr="00904142">
        <w:rPr>
          <w:rFonts w:ascii="Book Antiqua" w:hAnsi="Book Antiqua"/>
          <w:sz w:val="24"/>
          <w:szCs w:val="24"/>
        </w:rPr>
        <w:t xml:space="preserve"> scavenger receptors) or their ligands and induce changes in conformation and affinity of these molecules, which facilitate </w:t>
      </w:r>
      <w:proofErr w:type="gramStart"/>
      <w:r w:rsidRPr="00904142">
        <w:rPr>
          <w:rFonts w:ascii="Book Antiqua" w:hAnsi="Book Antiqua"/>
          <w:sz w:val="24"/>
          <w:szCs w:val="24"/>
        </w:rPr>
        <w:t>phagocytosis</w:t>
      </w:r>
      <w:r w:rsidRPr="00FD1384">
        <w:rPr>
          <w:rFonts w:ascii="Book Antiqua" w:hAnsi="Book Antiqua"/>
          <w:sz w:val="24"/>
          <w:szCs w:val="24"/>
          <w:vertAlign w:val="superscript"/>
          <w:lang w:eastAsia="zh-CN"/>
        </w:rPr>
        <w:t>[</w:t>
      </w:r>
      <w:proofErr w:type="gramEnd"/>
      <w:r w:rsidRPr="00FD1384">
        <w:rPr>
          <w:rFonts w:ascii="Book Antiqua" w:hAnsi="Book Antiqua"/>
          <w:sz w:val="24"/>
          <w:szCs w:val="24"/>
          <w:vertAlign w:val="superscript"/>
          <w:lang w:eastAsia="zh-CN"/>
        </w:rPr>
        <w:t>3</w:t>
      </w:r>
      <w:r>
        <w:rPr>
          <w:rFonts w:ascii="Book Antiqua" w:hAnsi="Book Antiqua"/>
          <w:sz w:val="24"/>
          <w:szCs w:val="24"/>
          <w:vertAlign w:val="superscript"/>
          <w:lang w:eastAsia="zh-CN"/>
        </w:rPr>
        <w:t>2</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Thus by directly engaging the target, phagocytosis without the need for antibody is an effective mechanism for clearance of microorganisms and senescent cells. </w:t>
      </w:r>
    </w:p>
    <w:p w:rsidR="00FA650B" w:rsidRPr="00904142" w:rsidRDefault="00FA650B" w:rsidP="00FD1384">
      <w:pPr>
        <w:pStyle w:val="a3"/>
        <w:spacing w:before="2" w:after="2" w:line="360" w:lineRule="auto"/>
        <w:ind w:firstLineChars="100" w:firstLine="240"/>
        <w:jc w:val="both"/>
        <w:rPr>
          <w:rFonts w:ascii="Book Antiqua" w:hAnsi="Book Antiqua"/>
          <w:sz w:val="24"/>
          <w:szCs w:val="24"/>
        </w:rPr>
      </w:pPr>
      <w:r w:rsidRPr="00904142">
        <w:rPr>
          <w:rFonts w:ascii="Book Antiqua" w:hAnsi="Book Antiqua"/>
          <w:sz w:val="24"/>
          <w:szCs w:val="24"/>
        </w:rPr>
        <w:t>It was demonstrated that the removal of the Fc region of anti-</w:t>
      </w:r>
      <w:proofErr w:type="spellStart"/>
      <w:r w:rsidRPr="00904142">
        <w:rPr>
          <w:rFonts w:ascii="Book Antiqua" w:hAnsi="Book Antiqua"/>
          <w:sz w:val="24"/>
          <w:szCs w:val="24"/>
        </w:rPr>
        <w:t>GPIb</w:t>
      </w:r>
      <w:proofErr w:type="spellEnd"/>
      <w:r w:rsidRPr="00904142">
        <w:rPr>
          <w:rFonts w:ascii="Book Antiqua" w:hAnsi="Book Antiqua"/>
          <w:sz w:val="24"/>
          <w:szCs w:val="24"/>
        </w:rPr>
        <w:pgNum/>
      </w:r>
      <w:r w:rsidRPr="00904142">
        <w:rPr>
          <w:rFonts w:ascii="Book Antiqua" w:hAnsi="Book Antiqua"/>
          <w:sz w:val="24"/>
          <w:szCs w:val="24"/>
        </w:rPr>
        <w:t xml:space="preserve"> monoclonal antibodies did not affect the ability of these antibodies to induce thrombocytopenia </w:t>
      </w:r>
      <w:r>
        <w:rPr>
          <w:rFonts w:ascii="Book Antiqua" w:hAnsi="Book Antiqua"/>
          <w:sz w:val="24"/>
          <w:szCs w:val="24"/>
          <w:lang w:eastAsia="zh-CN"/>
        </w:rPr>
        <w:t>[</w:t>
      </w:r>
      <w:r w:rsidRPr="00FD1384">
        <w:rPr>
          <w:rFonts w:ascii="Book Antiqua" w:hAnsi="Book Antiqua"/>
          <w:i/>
          <w:sz w:val="24"/>
          <w:szCs w:val="24"/>
        </w:rPr>
        <w:t>i.e.</w:t>
      </w:r>
      <w:r>
        <w:rPr>
          <w:rFonts w:ascii="Book Antiqua" w:hAnsi="Book Antiqua"/>
          <w:sz w:val="24"/>
          <w:szCs w:val="24"/>
          <w:lang w:eastAsia="zh-CN"/>
        </w:rPr>
        <w:t>,</w:t>
      </w:r>
      <w:r w:rsidRPr="00904142">
        <w:rPr>
          <w:rFonts w:ascii="Book Antiqua" w:hAnsi="Book Antiqua"/>
          <w:sz w:val="24"/>
          <w:szCs w:val="24"/>
        </w:rPr>
        <w:t xml:space="preserve"> the </w:t>
      </w:r>
      <w:proofErr w:type="gramStart"/>
      <w:r w:rsidRPr="00904142">
        <w:rPr>
          <w:rFonts w:ascii="Book Antiqua" w:hAnsi="Book Antiqua"/>
          <w:sz w:val="24"/>
          <w:szCs w:val="24"/>
        </w:rPr>
        <w:t>F(</w:t>
      </w:r>
      <w:proofErr w:type="gramEnd"/>
      <w:r w:rsidRPr="00904142">
        <w:rPr>
          <w:rFonts w:ascii="Book Antiqua" w:hAnsi="Book Antiqua"/>
          <w:sz w:val="24"/>
          <w:szCs w:val="24"/>
        </w:rPr>
        <w:t>ab’)2 portions were as effective as intact antibodies in inducing platelet clearance</w:t>
      </w:r>
      <w:r>
        <w:rPr>
          <w:rFonts w:ascii="Book Antiqua" w:hAnsi="Book Antiqua"/>
          <w:sz w:val="24"/>
          <w:szCs w:val="24"/>
          <w:lang w:eastAsia="zh-CN"/>
        </w:rPr>
        <w:t>]</w:t>
      </w:r>
      <w:r w:rsidRPr="00904142">
        <w:rPr>
          <w:rFonts w:ascii="Book Antiqua" w:hAnsi="Book Antiqua"/>
          <w:sz w:val="24"/>
          <w:szCs w:val="24"/>
        </w:rPr>
        <w:t>. However, when the Fc region of anti-</w:t>
      </w:r>
      <w:proofErr w:type="spellStart"/>
      <w:r w:rsidRPr="00904142">
        <w:rPr>
          <w:rFonts w:ascii="Book Antiqua" w:hAnsi="Book Antiqua"/>
          <w:sz w:val="24"/>
          <w:szCs w:val="24"/>
        </w:rPr>
        <w:t>GPIIbIIIa</w:t>
      </w:r>
      <w:proofErr w:type="spellEnd"/>
      <w:r w:rsidRPr="00904142">
        <w:rPr>
          <w:rFonts w:ascii="Book Antiqua" w:hAnsi="Book Antiqua"/>
          <w:sz w:val="24"/>
          <w:szCs w:val="24"/>
        </w:rPr>
        <w:t xml:space="preserve"> antibodies was removed, thrombocytopenia was not induced in the same animal </w:t>
      </w:r>
      <w:proofErr w:type="gramStart"/>
      <w:r w:rsidRPr="00904142">
        <w:rPr>
          <w:rFonts w:ascii="Book Antiqua" w:hAnsi="Book Antiqua"/>
          <w:sz w:val="24"/>
          <w:szCs w:val="24"/>
        </w:rPr>
        <w:t>model</w:t>
      </w:r>
      <w:r w:rsidRPr="00FD1384">
        <w:rPr>
          <w:rFonts w:ascii="Book Antiqua" w:hAnsi="Book Antiqua"/>
          <w:sz w:val="24"/>
          <w:szCs w:val="24"/>
          <w:vertAlign w:val="superscript"/>
          <w:lang w:eastAsia="zh-CN"/>
        </w:rPr>
        <w:t>[</w:t>
      </w:r>
      <w:proofErr w:type="gramEnd"/>
      <w:r>
        <w:rPr>
          <w:rFonts w:ascii="Book Antiqua" w:hAnsi="Book Antiqua"/>
          <w:sz w:val="24"/>
          <w:szCs w:val="24"/>
          <w:vertAlign w:val="superscript"/>
          <w:lang w:eastAsia="zh-CN"/>
        </w:rPr>
        <w:t>39</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04142">
      <w:pPr>
        <w:pStyle w:val="a3"/>
        <w:spacing w:before="2" w:after="2" w:line="360" w:lineRule="auto"/>
        <w:jc w:val="both"/>
        <w:rPr>
          <w:rFonts w:ascii="Book Antiqua" w:hAnsi="Book Antiqua"/>
          <w:b/>
          <w:sz w:val="24"/>
          <w:szCs w:val="24"/>
        </w:rPr>
      </w:pPr>
    </w:p>
    <w:p w:rsidR="00FA650B" w:rsidRPr="00FD1384" w:rsidRDefault="00FA650B" w:rsidP="00904142">
      <w:pPr>
        <w:spacing w:after="0" w:line="360" w:lineRule="auto"/>
        <w:jc w:val="both"/>
        <w:rPr>
          <w:rFonts w:ascii="Book Antiqua" w:hAnsi="Book Antiqua"/>
          <w:b/>
          <w:bCs/>
          <w:i/>
          <w:iCs/>
          <w:lang w:eastAsia="zh-CN"/>
        </w:rPr>
      </w:pPr>
      <w:r w:rsidRPr="00FD1384">
        <w:rPr>
          <w:rFonts w:ascii="Book Antiqua" w:hAnsi="Book Antiqua"/>
          <w:b/>
          <w:bCs/>
          <w:i/>
          <w:iCs/>
        </w:rPr>
        <w:t xml:space="preserve">Intravenous anti-D </w:t>
      </w:r>
    </w:p>
    <w:p w:rsidR="00FA650B" w:rsidRPr="00904142" w:rsidRDefault="00FA650B" w:rsidP="00904142">
      <w:pPr>
        <w:spacing w:after="0" w:line="360" w:lineRule="auto"/>
        <w:jc w:val="both"/>
        <w:rPr>
          <w:rFonts w:ascii="Book Antiqua" w:hAnsi="Book Antiqua"/>
        </w:rPr>
      </w:pPr>
      <w:r w:rsidRPr="00904142">
        <w:rPr>
          <w:rFonts w:ascii="Book Antiqua" w:hAnsi="Book Antiqua"/>
        </w:rPr>
        <w:t xml:space="preserve">An alternative to </w:t>
      </w:r>
      <w:proofErr w:type="spellStart"/>
      <w:r w:rsidRPr="00904142">
        <w:rPr>
          <w:rFonts w:ascii="Book Antiqua" w:hAnsi="Book Antiqua"/>
        </w:rPr>
        <w:t>IVIg</w:t>
      </w:r>
      <w:proofErr w:type="spellEnd"/>
      <w:r w:rsidRPr="00904142">
        <w:rPr>
          <w:rFonts w:ascii="Book Antiqua" w:hAnsi="Book Antiqua"/>
        </w:rPr>
        <w:t xml:space="preserve"> for </w:t>
      </w:r>
      <w:proofErr w:type="gramStart"/>
      <w:r w:rsidRPr="00904142">
        <w:rPr>
          <w:rFonts w:ascii="Book Antiqua" w:hAnsi="Book Antiqua"/>
        </w:rPr>
        <w:t>Rh(</w:t>
      </w:r>
      <w:proofErr w:type="gramEnd"/>
      <w:r w:rsidRPr="00904142">
        <w:rPr>
          <w:rFonts w:ascii="Book Antiqua" w:hAnsi="Book Antiqua"/>
        </w:rPr>
        <w:t xml:space="preserve">D)-positive patients before splenectomy is anti-D Ig. At doses </w:t>
      </w:r>
      <w:proofErr w:type="gramStart"/>
      <w:r w:rsidRPr="00904142">
        <w:rPr>
          <w:rFonts w:ascii="Book Antiqua" w:hAnsi="Book Antiqua"/>
        </w:rPr>
        <w:t xml:space="preserve">of 75 </w:t>
      </w:r>
      <w:proofErr w:type="spellStart"/>
      <w:r w:rsidRPr="00904142">
        <w:rPr>
          <w:rFonts w:ascii="Book Antiqua" w:hAnsi="Book Antiqua"/>
        </w:rPr>
        <w:t>μg</w:t>
      </w:r>
      <w:proofErr w:type="spellEnd"/>
      <w:r w:rsidRPr="00904142">
        <w:rPr>
          <w:rFonts w:ascii="Book Antiqua" w:hAnsi="Book Antiqua"/>
        </w:rPr>
        <w:t>/kg,</w:t>
      </w:r>
      <w:proofErr w:type="gramEnd"/>
      <w:r w:rsidRPr="00904142">
        <w:rPr>
          <w:rFonts w:ascii="Book Antiqua" w:hAnsi="Book Antiqua"/>
        </w:rPr>
        <w:t xml:space="preserve"> anti-D may increase the platelet count more rapidly compared with the standard dose of 50 </w:t>
      </w:r>
      <w:proofErr w:type="spellStart"/>
      <w:r w:rsidRPr="00904142">
        <w:rPr>
          <w:rFonts w:ascii="Book Antiqua" w:hAnsi="Book Antiqua"/>
        </w:rPr>
        <w:t>μg</w:t>
      </w:r>
      <w:proofErr w:type="spellEnd"/>
      <w:r w:rsidRPr="00904142">
        <w:rPr>
          <w:rFonts w:ascii="Book Antiqua" w:hAnsi="Book Antiqua"/>
        </w:rPr>
        <w:t xml:space="preserve">/kg. Subcutaneous anti-D has been administered to a few patients suffering from chronic ITP who </w:t>
      </w:r>
      <w:r w:rsidRPr="00904142">
        <w:rPr>
          <w:rFonts w:ascii="Book Antiqua" w:hAnsi="Book Antiqua"/>
        </w:rPr>
        <w:lastRenderedPageBreak/>
        <w:t>appeared to have the same response rate of those treated with intravenous delivery without relevant side effects. Evidence of hemolysis is present in most patients treated with anti-D. While the decline in hemoglobin concentration rarely exceeds 2 g/</w:t>
      </w:r>
      <w:proofErr w:type="spellStart"/>
      <w:r w:rsidRPr="00904142">
        <w:rPr>
          <w:rFonts w:ascii="Book Antiqua" w:hAnsi="Book Antiqua"/>
        </w:rPr>
        <w:t>dL</w:t>
      </w:r>
      <w:proofErr w:type="spellEnd"/>
      <w:r w:rsidRPr="00904142">
        <w:rPr>
          <w:rFonts w:ascii="Book Antiqua" w:hAnsi="Book Antiqua"/>
        </w:rPr>
        <w:t xml:space="preserve">, several cases of massive intravascular hemolysis and disseminated intravascular coagulation have been reported. Elderly patients, above 65 years of age, with a coexisting infection, autoimmune hemolytic anemia (Evans syndrome), autoimmune disorders, or </w:t>
      </w:r>
      <w:proofErr w:type="spellStart"/>
      <w:r w:rsidRPr="00904142">
        <w:rPr>
          <w:rFonts w:ascii="Book Antiqua" w:hAnsi="Book Antiqua"/>
        </w:rPr>
        <w:t>lymphoproliferative</w:t>
      </w:r>
      <w:proofErr w:type="spellEnd"/>
      <w:r w:rsidRPr="00904142">
        <w:rPr>
          <w:rFonts w:ascii="Book Antiqua" w:hAnsi="Book Antiqua"/>
        </w:rPr>
        <w:t xml:space="preserve"> disorders appear to be more susceptible to these </w:t>
      </w:r>
      <w:proofErr w:type="gramStart"/>
      <w:r w:rsidRPr="00904142">
        <w:rPr>
          <w:rFonts w:ascii="Book Antiqua" w:hAnsi="Book Antiqua"/>
        </w:rPr>
        <w:t>complications</w:t>
      </w:r>
      <w:r w:rsidRPr="00FD1384">
        <w:rPr>
          <w:rFonts w:ascii="Book Antiqua" w:hAnsi="Book Antiqua"/>
          <w:vertAlign w:val="superscript"/>
          <w:lang w:eastAsia="zh-CN"/>
        </w:rPr>
        <w:t>[</w:t>
      </w:r>
      <w:proofErr w:type="gramEnd"/>
      <w:r w:rsidRPr="00FD1384">
        <w:rPr>
          <w:rFonts w:ascii="Book Antiqua" w:hAnsi="Book Antiqua"/>
          <w:vertAlign w:val="superscript"/>
          <w:lang w:eastAsia="zh-CN"/>
        </w:rPr>
        <w:t>4</w:t>
      </w:r>
      <w:r>
        <w:rPr>
          <w:rFonts w:ascii="Book Antiqua" w:hAnsi="Book Antiqua"/>
          <w:vertAlign w:val="superscript"/>
          <w:lang w:eastAsia="zh-CN"/>
        </w:rPr>
        <w:t>0</w:t>
      </w:r>
      <w:r w:rsidRPr="00FD1384">
        <w:rPr>
          <w:rFonts w:ascii="Book Antiqua" w:hAnsi="Book Antiqua"/>
          <w:vertAlign w:val="superscript"/>
          <w:lang w:eastAsia="zh-CN"/>
        </w:rPr>
        <w:t>]</w:t>
      </w:r>
      <w:r w:rsidRPr="00904142">
        <w:rPr>
          <w:rFonts w:ascii="Book Antiqua" w:hAnsi="Book Antiqua"/>
        </w:rPr>
        <w:t>.</w:t>
      </w:r>
    </w:p>
    <w:p w:rsidR="00FA650B" w:rsidRDefault="00FA650B" w:rsidP="00904142">
      <w:pPr>
        <w:spacing w:after="0" w:line="360" w:lineRule="auto"/>
        <w:jc w:val="both"/>
        <w:rPr>
          <w:rFonts w:ascii="Book Antiqua" w:hAnsi="Book Antiqua"/>
          <w:b/>
          <w:lang w:eastAsia="zh-CN"/>
        </w:rPr>
      </w:pPr>
    </w:p>
    <w:p w:rsidR="00FA650B" w:rsidRPr="00FD1384" w:rsidRDefault="00FA650B" w:rsidP="00904142">
      <w:pPr>
        <w:spacing w:after="0" w:line="360" w:lineRule="auto"/>
        <w:jc w:val="both"/>
        <w:rPr>
          <w:rFonts w:ascii="Book Antiqua" w:hAnsi="Book Antiqua"/>
          <w:b/>
          <w:i/>
          <w:lang w:eastAsia="zh-CN"/>
        </w:rPr>
      </w:pPr>
      <w:r w:rsidRPr="00FD1384">
        <w:rPr>
          <w:rFonts w:ascii="Book Antiqua" w:hAnsi="Book Antiqua"/>
          <w:b/>
          <w:i/>
        </w:rPr>
        <w:t xml:space="preserve">Platelet transfusions with or without </w:t>
      </w:r>
      <w:proofErr w:type="spellStart"/>
      <w:r w:rsidRPr="00FD1384">
        <w:rPr>
          <w:rFonts w:ascii="Book Antiqua" w:hAnsi="Book Antiqua"/>
          <w:b/>
          <w:i/>
        </w:rPr>
        <w:t>IVIg</w:t>
      </w:r>
      <w:proofErr w:type="spellEnd"/>
    </w:p>
    <w:p w:rsidR="00FA650B" w:rsidRPr="00904142" w:rsidRDefault="00FA650B" w:rsidP="00904142">
      <w:pPr>
        <w:spacing w:after="0" w:line="360" w:lineRule="auto"/>
        <w:jc w:val="both"/>
        <w:rPr>
          <w:rFonts w:ascii="Book Antiqua" w:hAnsi="Book Antiqua"/>
        </w:rPr>
      </w:pPr>
      <w:r w:rsidRPr="00904142">
        <w:rPr>
          <w:rFonts w:ascii="Book Antiqua" w:hAnsi="Book Antiqua"/>
        </w:rPr>
        <w:t xml:space="preserve">Platelet transfusion increases the post-transfusion platelet count by more than 20 </w:t>
      </w:r>
      <w:r>
        <w:rPr>
          <w:rFonts w:ascii="Book Antiqua" w:hAnsi="Book Antiqua"/>
        </w:rPr>
        <w:t>×</w:t>
      </w:r>
      <w:r w:rsidRPr="00904142">
        <w:rPr>
          <w:rFonts w:ascii="Book Antiqua" w:hAnsi="Book Antiqua"/>
        </w:rPr>
        <w:t xml:space="preserve"> 10</w:t>
      </w:r>
      <w:r w:rsidRPr="00904142">
        <w:rPr>
          <w:rFonts w:ascii="Book Antiqua" w:hAnsi="Book Antiqua"/>
          <w:vertAlign w:val="superscript"/>
        </w:rPr>
        <w:t>9</w:t>
      </w:r>
      <w:r w:rsidRPr="00904142">
        <w:rPr>
          <w:rFonts w:ascii="Book Antiqua" w:hAnsi="Book Antiqua"/>
        </w:rPr>
        <w:t xml:space="preserve">/L in 42% of bleeding ITP patients and may reduce bleeding. In a retrospective study of 40 patients, concurrent administration of platelet transfusions and </w:t>
      </w:r>
      <w:proofErr w:type="spellStart"/>
      <w:r w:rsidRPr="00904142">
        <w:rPr>
          <w:rFonts w:ascii="Book Antiqua" w:hAnsi="Book Antiqua"/>
        </w:rPr>
        <w:t>IVIg</w:t>
      </w:r>
      <w:proofErr w:type="spellEnd"/>
      <w:r w:rsidRPr="00904142">
        <w:rPr>
          <w:rFonts w:ascii="Book Antiqua" w:hAnsi="Book Antiqua"/>
        </w:rPr>
        <w:t xml:space="preserve"> was associated with resolution of bleeding, rapid restoration of adequate platelet counts, and minimal side </w:t>
      </w:r>
      <w:proofErr w:type="gramStart"/>
      <w:r w:rsidRPr="00904142">
        <w:rPr>
          <w:rFonts w:ascii="Book Antiqua" w:hAnsi="Book Antiqua"/>
        </w:rPr>
        <w:t>effects</w:t>
      </w:r>
      <w:r w:rsidRPr="00FD1384">
        <w:rPr>
          <w:rFonts w:ascii="Book Antiqua" w:hAnsi="Book Antiqua"/>
          <w:vertAlign w:val="superscript"/>
          <w:lang w:eastAsia="zh-CN"/>
        </w:rPr>
        <w:t>[</w:t>
      </w:r>
      <w:proofErr w:type="gramEnd"/>
      <w:r w:rsidRPr="00FD1384">
        <w:rPr>
          <w:rFonts w:ascii="Book Antiqua" w:hAnsi="Book Antiqua"/>
          <w:vertAlign w:val="superscript"/>
          <w:lang w:eastAsia="zh-CN"/>
        </w:rPr>
        <w:t>4</w:t>
      </w:r>
      <w:r>
        <w:rPr>
          <w:rFonts w:ascii="Book Antiqua" w:hAnsi="Book Antiqua"/>
          <w:vertAlign w:val="superscript"/>
          <w:lang w:eastAsia="zh-CN"/>
        </w:rPr>
        <w:t>0</w:t>
      </w:r>
      <w:r w:rsidRPr="00FD1384">
        <w:rPr>
          <w:rFonts w:ascii="Book Antiqua" w:hAnsi="Book Antiqua"/>
          <w:vertAlign w:val="superscript"/>
          <w:lang w:eastAsia="zh-CN"/>
        </w:rPr>
        <w:t>,4</w:t>
      </w:r>
      <w:r>
        <w:rPr>
          <w:rFonts w:ascii="Book Antiqua" w:hAnsi="Book Antiqua"/>
          <w:vertAlign w:val="superscript"/>
          <w:lang w:eastAsia="zh-CN"/>
        </w:rPr>
        <w:t>1</w:t>
      </w:r>
      <w:r w:rsidRPr="00FD1384">
        <w:rPr>
          <w:rFonts w:ascii="Book Antiqua" w:hAnsi="Book Antiqua"/>
          <w:vertAlign w:val="superscript"/>
          <w:lang w:eastAsia="zh-CN"/>
        </w:rPr>
        <w:t>]</w:t>
      </w:r>
      <w:r w:rsidRPr="00904142">
        <w:rPr>
          <w:rFonts w:ascii="Book Antiqua" w:hAnsi="Book Antiqua"/>
        </w:rPr>
        <w:t>.</w:t>
      </w:r>
    </w:p>
    <w:p w:rsidR="00FA650B" w:rsidRDefault="00FA650B" w:rsidP="0051331B">
      <w:pPr>
        <w:spacing w:beforeLines="1" w:before="2" w:afterLines="1" w:after="2" w:line="360" w:lineRule="auto"/>
        <w:jc w:val="both"/>
        <w:rPr>
          <w:rFonts w:ascii="Book Antiqua" w:hAnsi="Book Antiqua"/>
          <w:b/>
          <w:bCs/>
          <w:iCs/>
          <w:lang w:eastAsia="zh-CN"/>
        </w:rPr>
      </w:pPr>
    </w:p>
    <w:p w:rsidR="00FA650B" w:rsidRPr="00FD1384" w:rsidRDefault="00FA650B" w:rsidP="0051331B">
      <w:pPr>
        <w:spacing w:beforeLines="1" w:before="2" w:afterLines="1" w:after="2" w:line="360" w:lineRule="auto"/>
        <w:jc w:val="both"/>
        <w:rPr>
          <w:rFonts w:ascii="Book Antiqua" w:hAnsi="Book Antiqua"/>
          <w:b/>
          <w:bCs/>
          <w:i/>
          <w:iCs/>
          <w:lang w:eastAsia="zh-CN"/>
        </w:rPr>
      </w:pPr>
      <w:proofErr w:type="spellStart"/>
      <w:r w:rsidRPr="00FD1384">
        <w:rPr>
          <w:rFonts w:ascii="Book Antiqua" w:hAnsi="Book Antiqua"/>
          <w:b/>
          <w:bCs/>
          <w:i/>
          <w:iCs/>
        </w:rPr>
        <w:t>Antifibrinolytics</w:t>
      </w:r>
      <w:proofErr w:type="spellEnd"/>
    </w:p>
    <w:p w:rsidR="00FA650B" w:rsidRPr="00904142" w:rsidRDefault="00FA650B" w:rsidP="0051331B">
      <w:pPr>
        <w:spacing w:beforeLines="1" w:before="2" w:afterLines="1" w:after="2" w:line="360" w:lineRule="auto"/>
        <w:jc w:val="both"/>
        <w:rPr>
          <w:rFonts w:ascii="Book Antiqua" w:hAnsi="Book Antiqua"/>
        </w:rPr>
      </w:pPr>
      <w:proofErr w:type="spellStart"/>
      <w:r w:rsidRPr="00904142">
        <w:rPr>
          <w:rFonts w:ascii="Book Antiqua" w:hAnsi="Book Antiqua"/>
        </w:rPr>
        <w:t>Antifibrinolytic</w:t>
      </w:r>
      <w:proofErr w:type="spellEnd"/>
      <w:r w:rsidRPr="00904142">
        <w:rPr>
          <w:rFonts w:ascii="Book Antiqua" w:hAnsi="Book Antiqua"/>
        </w:rPr>
        <w:t xml:space="preserve"> agents, such as oral or IV </w:t>
      </w:r>
      <w:proofErr w:type="spellStart"/>
      <w:r w:rsidRPr="00904142">
        <w:rPr>
          <w:rFonts w:ascii="Book Antiqua" w:hAnsi="Book Antiqua"/>
        </w:rPr>
        <w:t>tranexamic</w:t>
      </w:r>
      <w:proofErr w:type="spellEnd"/>
      <w:r w:rsidRPr="00904142">
        <w:rPr>
          <w:rFonts w:ascii="Book Antiqua" w:hAnsi="Book Antiqua"/>
        </w:rPr>
        <w:t xml:space="preserve"> acid and </w:t>
      </w:r>
      <w:proofErr w:type="spellStart"/>
      <w:r w:rsidRPr="00904142">
        <w:rPr>
          <w:rFonts w:ascii="Book Antiqua" w:hAnsi="Book Antiqua"/>
        </w:rPr>
        <w:t>episilon-aminocaproic</w:t>
      </w:r>
      <w:proofErr w:type="spellEnd"/>
      <w:r w:rsidRPr="00904142">
        <w:rPr>
          <w:rFonts w:ascii="Book Antiqua" w:hAnsi="Book Antiqua"/>
        </w:rPr>
        <w:t xml:space="preserve"> acid may be useful in preventing recurrent bleeding in patients with severe </w:t>
      </w:r>
      <w:proofErr w:type="gramStart"/>
      <w:r w:rsidRPr="00904142">
        <w:rPr>
          <w:rFonts w:ascii="Book Antiqua" w:hAnsi="Book Antiqua"/>
        </w:rPr>
        <w:t>thrombocytopenia,</w:t>
      </w:r>
      <w:proofErr w:type="gramEnd"/>
      <w:r w:rsidRPr="00904142">
        <w:rPr>
          <w:rFonts w:ascii="Book Antiqua" w:hAnsi="Book Antiqua"/>
        </w:rPr>
        <w:t xml:space="preserve"> however, the efficacy has not been evaluated by randomized trials in ITP patients. </w:t>
      </w:r>
      <w:proofErr w:type="spellStart"/>
      <w:r w:rsidRPr="00904142">
        <w:rPr>
          <w:rFonts w:ascii="Book Antiqua" w:hAnsi="Book Antiqua"/>
        </w:rPr>
        <w:t>Tranexamic</w:t>
      </w:r>
      <w:proofErr w:type="spellEnd"/>
      <w:r w:rsidRPr="00904142">
        <w:rPr>
          <w:rFonts w:ascii="Book Antiqua" w:hAnsi="Book Antiqua"/>
        </w:rPr>
        <w:t xml:space="preserve"> acid (1</w:t>
      </w:r>
      <w:r>
        <w:rPr>
          <w:rFonts w:ascii="Book Antiqua" w:hAnsi="Book Antiqua"/>
        </w:rPr>
        <w:t xml:space="preserve"> </w:t>
      </w:r>
      <w:r w:rsidRPr="00904142">
        <w:rPr>
          <w:rFonts w:ascii="Book Antiqua" w:hAnsi="Book Antiqua"/>
        </w:rPr>
        <w:t xml:space="preserve">g, 3 times daily orally) and </w:t>
      </w:r>
      <w:proofErr w:type="spellStart"/>
      <w:r w:rsidRPr="00904142">
        <w:rPr>
          <w:rFonts w:ascii="Book Antiqua" w:hAnsi="Book Antiqua"/>
        </w:rPr>
        <w:t>episilon-aminocaproic</w:t>
      </w:r>
      <w:proofErr w:type="spellEnd"/>
      <w:r w:rsidRPr="00904142">
        <w:rPr>
          <w:rFonts w:ascii="Book Antiqua" w:hAnsi="Book Antiqua"/>
        </w:rPr>
        <w:t xml:space="preserve"> acid (1-4</w:t>
      </w:r>
      <w:r>
        <w:rPr>
          <w:rFonts w:ascii="Book Antiqua" w:hAnsi="Book Antiqua"/>
        </w:rPr>
        <w:t xml:space="preserve"> </w:t>
      </w:r>
      <w:r w:rsidRPr="00904142">
        <w:rPr>
          <w:rFonts w:ascii="Book Antiqua" w:hAnsi="Book Antiqua"/>
        </w:rPr>
        <w:t xml:space="preserve">g every 4-6 h maximum dose, 24 g/d) may be of special value in certain dental or surgical </w:t>
      </w:r>
      <w:proofErr w:type="gramStart"/>
      <w:r w:rsidRPr="00904142">
        <w:rPr>
          <w:rFonts w:ascii="Book Antiqua" w:hAnsi="Book Antiqua"/>
        </w:rPr>
        <w:t>procedures</w:t>
      </w:r>
      <w:r w:rsidRPr="00FD1384">
        <w:rPr>
          <w:rFonts w:ascii="Book Antiqua" w:hAnsi="Book Antiqua"/>
          <w:vertAlign w:val="superscript"/>
          <w:lang w:eastAsia="zh-CN"/>
        </w:rPr>
        <w:t>[</w:t>
      </w:r>
      <w:proofErr w:type="gramEnd"/>
      <w:r w:rsidRPr="00FD1384">
        <w:rPr>
          <w:rFonts w:ascii="Book Antiqua" w:hAnsi="Book Antiqua"/>
          <w:vertAlign w:val="superscript"/>
        </w:rPr>
        <w:t>4</w:t>
      </w:r>
      <w:r>
        <w:rPr>
          <w:rFonts w:ascii="Book Antiqua" w:hAnsi="Book Antiqua"/>
          <w:vertAlign w:val="superscript"/>
          <w:lang w:eastAsia="zh-CN"/>
        </w:rPr>
        <w:t>0</w:t>
      </w:r>
      <w:r w:rsidRPr="00FD1384">
        <w:rPr>
          <w:rFonts w:ascii="Book Antiqua" w:hAnsi="Book Antiqua"/>
          <w:vertAlign w:val="superscript"/>
        </w:rPr>
        <w:t>-4</w:t>
      </w:r>
      <w:r>
        <w:rPr>
          <w:rFonts w:ascii="Book Antiqua" w:hAnsi="Book Antiqua"/>
          <w:vertAlign w:val="superscript"/>
          <w:lang w:eastAsia="zh-CN"/>
        </w:rPr>
        <w:t>2</w:t>
      </w:r>
      <w:r w:rsidRPr="00FD1384">
        <w:rPr>
          <w:rFonts w:ascii="Book Antiqua" w:hAnsi="Book Antiqua"/>
          <w:vertAlign w:val="superscript"/>
          <w:lang w:eastAsia="zh-CN"/>
        </w:rPr>
        <w:t>]</w:t>
      </w:r>
      <w:r w:rsidRPr="00904142">
        <w:rPr>
          <w:rFonts w:ascii="Book Antiqua" w:hAnsi="Book Antiqua"/>
        </w:rPr>
        <w:t xml:space="preserve">. </w:t>
      </w:r>
    </w:p>
    <w:p w:rsidR="00FA650B" w:rsidRPr="00904142" w:rsidRDefault="00FA650B" w:rsidP="00904142">
      <w:pPr>
        <w:spacing w:after="0" w:line="360" w:lineRule="auto"/>
        <w:jc w:val="both"/>
        <w:rPr>
          <w:rFonts w:ascii="Book Antiqua" w:hAnsi="Book Antiqua"/>
        </w:rPr>
      </w:pPr>
    </w:p>
    <w:p w:rsidR="00FA650B" w:rsidRPr="00904142" w:rsidRDefault="00FA650B" w:rsidP="00904142">
      <w:pPr>
        <w:spacing w:after="0" w:line="360" w:lineRule="auto"/>
        <w:jc w:val="both"/>
        <w:rPr>
          <w:rFonts w:ascii="Book Antiqua" w:hAnsi="Book Antiqua"/>
        </w:rPr>
      </w:pPr>
      <w:r w:rsidRPr="00904142">
        <w:rPr>
          <w:rFonts w:ascii="Book Antiqua" w:hAnsi="Book Antiqua"/>
          <w:b/>
          <w:bCs/>
        </w:rPr>
        <w:t>SECOND-LINE TREATMENT</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 xml:space="preserve">Second-line therapies, as designated by the international working group, include azathioprine, cyclosporine A, cyclophosphamide, </w:t>
      </w:r>
      <w:proofErr w:type="spellStart"/>
      <w:r w:rsidRPr="00904142">
        <w:rPr>
          <w:rFonts w:ascii="Book Antiqua" w:hAnsi="Book Antiqua"/>
          <w:sz w:val="24"/>
          <w:szCs w:val="24"/>
        </w:rPr>
        <w:t>danazol</w:t>
      </w:r>
      <w:proofErr w:type="spellEnd"/>
      <w:r w:rsidRPr="00904142">
        <w:rPr>
          <w:rFonts w:ascii="Book Antiqua" w:hAnsi="Book Antiqua"/>
          <w:sz w:val="24"/>
          <w:szCs w:val="24"/>
        </w:rPr>
        <w:t xml:space="preserve">, </w:t>
      </w:r>
      <w:proofErr w:type="spellStart"/>
      <w:r w:rsidRPr="00904142">
        <w:rPr>
          <w:rFonts w:ascii="Book Antiqua" w:hAnsi="Book Antiqua"/>
          <w:sz w:val="24"/>
          <w:szCs w:val="24"/>
        </w:rPr>
        <w:t>dapsone</w:t>
      </w:r>
      <w:proofErr w:type="spellEnd"/>
      <w:r w:rsidRPr="00904142">
        <w:rPr>
          <w:rFonts w:ascii="Book Antiqua" w:hAnsi="Book Antiqua"/>
          <w:sz w:val="24"/>
          <w:szCs w:val="24"/>
        </w:rPr>
        <w:t xml:space="preserve">, </w:t>
      </w:r>
      <w:proofErr w:type="spellStart"/>
      <w:r w:rsidRPr="00904142">
        <w:rPr>
          <w:rFonts w:ascii="Book Antiqua" w:hAnsi="Book Antiqua"/>
          <w:sz w:val="24"/>
          <w:szCs w:val="24"/>
        </w:rPr>
        <w:t>mycophenolate</w:t>
      </w:r>
      <w:proofErr w:type="spellEnd"/>
      <w:r w:rsidRPr="00904142">
        <w:rPr>
          <w:rFonts w:ascii="Book Antiqua" w:hAnsi="Book Antiqua"/>
          <w:sz w:val="24"/>
          <w:szCs w:val="24"/>
        </w:rPr>
        <w:t xml:space="preserve"> </w:t>
      </w:r>
      <w:proofErr w:type="spellStart"/>
      <w:r w:rsidRPr="00904142">
        <w:rPr>
          <w:rFonts w:ascii="Book Antiqua" w:hAnsi="Book Antiqua"/>
          <w:sz w:val="24"/>
          <w:szCs w:val="24"/>
        </w:rPr>
        <w:t>mofetil</w:t>
      </w:r>
      <w:proofErr w:type="spellEnd"/>
      <w:r w:rsidRPr="00904142">
        <w:rPr>
          <w:rFonts w:ascii="Book Antiqua" w:hAnsi="Book Antiqua"/>
          <w:sz w:val="24"/>
          <w:szCs w:val="24"/>
        </w:rPr>
        <w:t xml:space="preserve">, rituximab, splenectomy, </w:t>
      </w:r>
      <w:proofErr w:type="spellStart"/>
      <w:r w:rsidRPr="00904142">
        <w:rPr>
          <w:rFonts w:ascii="Book Antiqua" w:hAnsi="Book Antiqua"/>
          <w:sz w:val="24"/>
          <w:szCs w:val="24"/>
        </w:rPr>
        <w:t>thrombopoietin</w:t>
      </w:r>
      <w:proofErr w:type="spellEnd"/>
      <w:r w:rsidRPr="00904142">
        <w:rPr>
          <w:rFonts w:ascii="Book Antiqua" w:hAnsi="Book Antiqua"/>
          <w:sz w:val="24"/>
          <w:szCs w:val="24"/>
        </w:rPr>
        <w:t xml:space="preserve"> receptor agonists, and </w:t>
      </w:r>
      <w:proofErr w:type="spellStart"/>
      <w:r w:rsidRPr="00904142">
        <w:rPr>
          <w:rFonts w:ascii="Book Antiqua" w:hAnsi="Book Antiqua"/>
          <w:sz w:val="24"/>
          <w:szCs w:val="24"/>
        </w:rPr>
        <w:t>vinca</w:t>
      </w:r>
      <w:proofErr w:type="spellEnd"/>
      <w:r w:rsidRPr="00904142">
        <w:rPr>
          <w:rFonts w:ascii="Book Antiqua" w:hAnsi="Book Antiqua"/>
          <w:sz w:val="24"/>
          <w:szCs w:val="24"/>
        </w:rPr>
        <w:t xml:space="preserve"> alkaloids. The evidence for efficacy of the cytotoxic agents, </w:t>
      </w:r>
      <w:r w:rsidRPr="00FD1384">
        <w:rPr>
          <w:rFonts w:ascii="Book Antiqua" w:hAnsi="Book Antiqua"/>
          <w:i/>
          <w:sz w:val="24"/>
          <w:szCs w:val="24"/>
        </w:rPr>
        <w:t>i</w:t>
      </w:r>
      <w:r w:rsidRPr="00FD1384">
        <w:rPr>
          <w:rFonts w:ascii="Book Antiqua" w:hAnsi="Book Antiqua"/>
          <w:i/>
          <w:sz w:val="24"/>
          <w:szCs w:val="24"/>
          <w:lang w:eastAsia="zh-CN"/>
        </w:rPr>
        <w:t>.</w:t>
      </w:r>
      <w:r w:rsidRPr="00FD1384">
        <w:rPr>
          <w:rFonts w:ascii="Book Antiqua" w:hAnsi="Book Antiqua"/>
          <w:i/>
          <w:sz w:val="24"/>
          <w:szCs w:val="24"/>
        </w:rPr>
        <w:t>e</w:t>
      </w:r>
      <w:r w:rsidRPr="00FD1384">
        <w:rPr>
          <w:rFonts w:ascii="Book Antiqua" w:hAnsi="Book Antiqua"/>
          <w:i/>
          <w:sz w:val="24"/>
          <w:szCs w:val="24"/>
          <w:lang w:eastAsia="zh-CN"/>
        </w:rPr>
        <w:t>.</w:t>
      </w:r>
      <w:r w:rsidRPr="00904142">
        <w:rPr>
          <w:rFonts w:ascii="Book Antiqua" w:hAnsi="Book Antiqua"/>
          <w:sz w:val="24"/>
          <w:szCs w:val="24"/>
        </w:rPr>
        <w:t xml:space="preserve">, cyclophosphamide, the </w:t>
      </w:r>
      <w:proofErr w:type="spellStart"/>
      <w:r w:rsidRPr="00904142">
        <w:rPr>
          <w:rFonts w:ascii="Book Antiqua" w:hAnsi="Book Antiqua"/>
          <w:sz w:val="24"/>
          <w:szCs w:val="24"/>
        </w:rPr>
        <w:t>vinca</w:t>
      </w:r>
      <w:proofErr w:type="spellEnd"/>
      <w:r w:rsidRPr="00904142">
        <w:rPr>
          <w:rFonts w:ascii="Book Antiqua" w:hAnsi="Book Antiqua"/>
          <w:sz w:val="24"/>
          <w:szCs w:val="24"/>
        </w:rPr>
        <w:t xml:space="preserve"> alkaloids, and azathioprine, comes from </w:t>
      </w:r>
      <w:r w:rsidRPr="00904142">
        <w:rPr>
          <w:rFonts w:ascii="Book Antiqua" w:hAnsi="Book Antiqua"/>
          <w:sz w:val="24"/>
          <w:szCs w:val="24"/>
        </w:rPr>
        <w:lastRenderedPageBreak/>
        <w:t xml:space="preserve">small, non-randomized </w:t>
      </w:r>
      <w:proofErr w:type="gramStart"/>
      <w:r w:rsidRPr="00904142">
        <w:rPr>
          <w:rFonts w:ascii="Book Antiqua" w:hAnsi="Book Antiqua"/>
          <w:sz w:val="24"/>
          <w:szCs w:val="24"/>
        </w:rPr>
        <w:t>studies</w:t>
      </w:r>
      <w:r w:rsidRPr="00FD1384">
        <w:rPr>
          <w:rFonts w:ascii="Book Antiqua" w:hAnsi="Book Antiqua"/>
          <w:sz w:val="24"/>
          <w:szCs w:val="24"/>
          <w:vertAlign w:val="superscript"/>
          <w:lang w:eastAsia="zh-CN"/>
        </w:rPr>
        <w:t>[</w:t>
      </w:r>
      <w:proofErr w:type="gramEnd"/>
      <w:r w:rsidRPr="00FD1384">
        <w:rPr>
          <w:rFonts w:ascii="Book Antiqua" w:hAnsi="Book Antiqua"/>
          <w:sz w:val="24"/>
          <w:szCs w:val="24"/>
          <w:vertAlign w:val="superscript"/>
        </w:rPr>
        <w:t>3</w:t>
      </w:r>
      <w:r>
        <w:rPr>
          <w:rFonts w:ascii="Book Antiqua" w:hAnsi="Book Antiqua"/>
          <w:sz w:val="24"/>
          <w:szCs w:val="24"/>
          <w:vertAlign w:val="superscript"/>
          <w:lang w:eastAsia="zh-CN"/>
        </w:rPr>
        <w:t>0</w:t>
      </w:r>
      <w:r w:rsidRPr="00FD1384">
        <w:rPr>
          <w:rFonts w:ascii="Book Antiqua" w:hAnsi="Book Antiqua"/>
          <w:sz w:val="24"/>
          <w:szCs w:val="24"/>
          <w:vertAlign w:val="superscript"/>
          <w:lang w:eastAsia="zh-CN"/>
        </w:rPr>
        <w:t>]</w:t>
      </w:r>
      <w:r w:rsidRPr="00904142">
        <w:rPr>
          <w:rFonts w:ascii="Book Antiqua" w:hAnsi="Book Antiqua"/>
          <w:sz w:val="24"/>
          <w:szCs w:val="24"/>
        </w:rPr>
        <w:t>. Although these agents are useful in some patients, they may be associated with significant toxicities, and they are used less commonly than in the past (Table 2</w:t>
      </w:r>
      <w:proofErr w:type="gramStart"/>
      <w:r w:rsidRPr="00904142">
        <w:rPr>
          <w:rFonts w:ascii="Book Antiqua" w:hAnsi="Book Antiqua"/>
          <w:sz w:val="24"/>
          <w:szCs w:val="24"/>
        </w:rPr>
        <w:t>)</w:t>
      </w:r>
      <w:r w:rsidRPr="00FD1384">
        <w:rPr>
          <w:rFonts w:ascii="Book Antiqua" w:hAnsi="Book Antiqua"/>
          <w:sz w:val="24"/>
          <w:szCs w:val="24"/>
          <w:vertAlign w:val="superscript"/>
          <w:lang w:eastAsia="zh-CN"/>
        </w:rPr>
        <w:t>[</w:t>
      </w:r>
      <w:proofErr w:type="gramEnd"/>
      <w:r w:rsidRPr="00FD1384">
        <w:rPr>
          <w:rFonts w:ascii="Book Antiqua" w:hAnsi="Book Antiqua"/>
          <w:sz w:val="24"/>
          <w:szCs w:val="24"/>
          <w:vertAlign w:val="superscript"/>
        </w:rPr>
        <w:t>2</w:t>
      </w:r>
      <w:r>
        <w:rPr>
          <w:rFonts w:ascii="Book Antiqua" w:hAnsi="Book Antiqua"/>
          <w:sz w:val="24"/>
          <w:szCs w:val="24"/>
          <w:vertAlign w:val="superscript"/>
          <w:lang w:eastAsia="zh-CN"/>
        </w:rPr>
        <w:t>6</w:t>
      </w:r>
      <w:r w:rsidRPr="00FD1384">
        <w:rPr>
          <w:rFonts w:ascii="Book Antiqua" w:hAnsi="Book Antiqua"/>
          <w:sz w:val="24"/>
          <w:szCs w:val="24"/>
          <w:vertAlign w:val="superscript"/>
        </w:rPr>
        <w:t>,4</w:t>
      </w:r>
      <w:r>
        <w:rPr>
          <w:rFonts w:ascii="Book Antiqua" w:hAnsi="Book Antiqua"/>
          <w:sz w:val="24"/>
          <w:szCs w:val="24"/>
          <w:vertAlign w:val="superscript"/>
          <w:lang w:eastAsia="zh-CN"/>
        </w:rPr>
        <w:t>2</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904142">
      <w:pPr>
        <w:pStyle w:val="a3"/>
        <w:spacing w:before="2" w:after="2" w:line="360" w:lineRule="auto"/>
        <w:jc w:val="both"/>
        <w:rPr>
          <w:rFonts w:ascii="Book Antiqua" w:hAnsi="Book Antiqua"/>
          <w:b/>
          <w:bCs/>
          <w:sz w:val="24"/>
          <w:szCs w:val="24"/>
        </w:rPr>
      </w:pPr>
    </w:p>
    <w:p w:rsidR="00FA650B" w:rsidRPr="00FD1384" w:rsidRDefault="00FA650B" w:rsidP="00904142">
      <w:pPr>
        <w:pStyle w:val="a3"/>
        <w:spacing w:before="2" w:after="2" w:line="360" w:lineRule="auto"/>
        <w:jc w:val="both"/>
        <w:rPr>
          <w:rFonts w:ascii="Book Antiqua" w:hAnsi="Book Antiqua"/>
          <w:b/>
          <w:bCs/>
          <w:i/>
          <w:sz w:val="24"/>
          <w:szCs w:val="24"/>
          <w:lang w:eastAsia="zh-CN"/>
        </w:rPr>
      </w:pPr>
      <w:r w:rsidRPr="00FD1384">
        <w:rPr>
          <w:rFonts w:ascii="Book Antiqua" w:hAnsi="Book Antiqua"/>
          <w:b/>
          <w:bCs/>
          <w:i/>
          <w:sz w:val="24"/>
          <w:szCs w:val="24"/>
        </w:rPr>
        <w:t xml:space="preserve">Splenectomy </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sz w:val="24"/>
          <w:szCs w:val="24"/>
        </w:rPr>
        <w:t xml:space="preserve">Splenectomy probably offers the best response of any treatment for ITP. About 80% of patients with ITP respond rapidly often within 1 wk. Of those, 15% relapse within the first year, and after 10 years, two-thirds remain in </w:t>
      </w:r>
      <w:proofErr w:type="gramStart"/>
      <w:r w:rsidRPr="00904142">
        <w:rPr>
          <w:rFonts w:ascii="Book Antiqua" w:hAnsi="Book Antiqua"/>
          <w:sz w:val="24"/>
          <w:szCs w:val="24"/>
        </w:rPr>
        <w:t>remission</w:t>
      </w:r>
      <w:r w:rsidRPr="00FD1384">
        <w:rPr>
          <w:rFonts w:ascii="Book Antiqua" w:hAnsi="Book Antiqua"/>
          <w:sz w:val="24"/>
          <w:szCs w:val="24"/>
          <w:vertAlign w:val="superscript"/>
          <w:lang w:eastAsia="zh-CN"/>
        </w:rPr>
        <w:t>[</w:t>
      </w:r>
      <w:proofErr w:type="gramEnd"/>
      <w:r w:rsidRPr="00FD1384">
        <w:rPr>
          <w:rFonts w:ascii="Book Antiqua" w:hAnsi="Book Antiqua"/>
          <w:sz w:val="24"/>
          <w:szCs w:val="24"/>
          <w:vertAlign w:val="superscript"/>
        </w:rPr>
        <w:t>4</w:t>
      </w:r>
      <w:r>
        <w:rPr>
          <w:rFonts w:ascii="Book Antiqua" w:hAnsi="Book Antiqua"/>
          <w:sz w:val="24"/>
          <w:szCs w:val="24"/>
          <w:vertAlign w:val="superscript"/>
          <w:lang w:eastAsia="zh-CN"/>
        </w:rPr>
        <w:t>3</w:t>
      </w:r>
      <w:r w:rsidRPr="00FD1384">
        <w:rPr>
          <w:rFonts w:ascii="Book Antiqua" w:hAnsi="Book Antiqua"/>
          <w:sz w:val="24"/>
          <w:szCs w:val="24"/>
          <w:vertAlign w:val="superscript"/>
        </w:rPr>
        <w:t>,4</w:t>
      </w:r>
      <w:r>
        <w:rPr>
          <w:rFonts w:ascii="Book Antiqua" w:hAnsi="Book Antiqua"/>
          <w:sz w:val="24"/>
          <w:szCs w:val="24"/>
          <w:vertAlign w:val="superscript"/>
          <w:lang w:eastAsia="zh-CN"/>
        </w:rPr>
        <w:t>4</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FD1384">
      <w:pPr>
        <w:spacing w:after="0" w:line="360" w:lineRule="auto"/>
        <w:ind w:firstLineChars="100" w:firstLine="240"/>
        <w:jc w:val="both"/>
        <w:rPr>
          <w:rFonts w:ascii="Book Antiqua" w:hAnsi="Book Antiqua"/>
        </w:rPr>
      </w:pPr>
      <w:r w:rsidRPr="00904142">
        <w:rPr>
          <w:rFonts w:ascii="Book Antiqua" w:hAnsi="Book Antiqua"/>
        </w:rPr>
        <w:t xml:space="preserve">Splenectomy increases the risk of subsequent infection by encapsulated organisms, and patients should be immunized with pneumococcal, </w:t>
      </w:r>
      <w:proofErr w:type="spellStart"/>
      <w:r w:rsidRPr="00904142">
        <w:rPr>
          <w:rFonts w:ascii="Book Antiqua" w:hAnsi="Book Antiqua"/>
          <w:i/>
        </w:rPr>
        <w:t>Haemophilus</w:t>
      </w:r>
      <w:proofErr w:type="spellEnd"/>
      <w:r w:rsidRPr="00904142">
        <w:rPr>
          <w:rFonts w:ascii="Book Antiqua" w:hAnsi="Book Antiqua"/>
          <w:i/>
        </w:rPr>
        <w:t xml:space="preserve"> </w:t>
      </w:r>
      <w:proofErr w:type="spellStart"/>
      <w:r w:rsidRPr="00904142">
        <w:rPr>
          <w:rFonts w:ascii="Book Antiqua" w:hAnsi="Book Antiqua"/>
          <w:i/>
        </w:rPr>
        <w:t>influenzae</w:t>
      </w:r>
      <w:proofErr w:type="spellEnd"/>
      <w:r w:rsidRPr="00904142">
        <w:rPr>
          <w:rFonts w:ascii="Book Antiqua" w:hAnsi="Book Antiqua"/>
          <w:i/>
        </w:rPr>
        <w:t xml:space="preserve"> type B</w:t>
      </w:r>
      <w:r w:rsidRPr="00904142">
        <w:rPr>
          <w:rFonts w:ascii="Book Antiqua" w:hAnsi="Book Antiqua"/>
        </w:rPr>
        <w:t xml:space="preserve">, and meningococcal vaccines, preferably at least 3 </w:t>
      </w:r>
      <w:proofErr w:type="spellStart"/>
      <w:r w:rsidRPr="00904142">
        <w:rPr>
          <w:rFonts w:ascii="Book Antiqua" w:hAnsi="Book Antiqua"/>
        </w:rPr>
        <w:t>w</w:t>
      </w:r>
      <w:r>
        <w:rPr>
          <w:rFonts w:ascii="Book Antiqua" w:hAnsi="Book Antiqua"/>
          <w:lang w:eastAsia="zh-CN"/>
        </w:rPr>
        <w:t>k</w:t>
      </w:r>
      <w:proofErr w:type="spellEnd"/>
      <w:r w:rsidRPr="00904142">
        <w:rPr>
          <w:rFonts w:ascii="Book Antiqua" w:hAnsi="Book Antiqua"/>
        </w:rPr>
        <w:t xml:space="preserve"> before the spleen is removed. Splenectomy is associated with pulmonary hypertension and thrombosis, primarily in patients who have had their spleens removed because of accelerated red cell destruction. Whether these risks are applicable to patients with ITP is unknown, but if so they are probably much lower than in patients with red cell </w:t>
      </w:r>
      <w:proofErr w:type="gramStart"/>
      <w:r w:rsidRPr="00904142">
        <w:rPr>
          <w:rFonts w:ascii="Book Antiqua" w:hAnsi="Book Antiqua"/>
        </w:rPr>
        <w:t>disorders</w:t>
      </w:r>
      <w:r w:rsidRPr="00FD1384">
        <w:rPr>
          <w:rFonts w:ascii="Book Antiqua" w:hAnsi="Book Antiqua"/>
          <w:vertAlign w:val="superscript"/>
          <w:lang w:eastAsia="zh-CN"/>
        </w:rPr>
        <w:t>[</w:t>
      </w:r>
      <w:proofErr w:type="gramEnd"/>
      <w:r w:rsidRPr="00FD1384">
        <w:rPr>
          <w:rFonts w:ascii="Book Antiqua" w:hAnsi="Book Antiqua"/>
          <w:vertAlign w:val="superscript"/>
        </w:rPr>
        <w:t>2</w:t>
      </w:r>
      <w:r>
        <w:rPr>
          <w:rFonts w:ascii="Book Antiqua" w:hAnsi="Book Antiqua"/>
          <w:vertAlign w:val="superscript"/>
          <w:lang w:eastAsia="zh-CN"/>
        </w:rPr>
        <w:t>6</w:t>
      </w:r>
      <w:r w:rsidRPr="00FD1384">
        <w:rPr>
          <w:rFonts w:ascii="Book Antiqua" w:hAnsi="Book Antiqua"/>
          <w:vertAlign w:val="superscript"/>
          <w:lang w:eastAsia="zh-CN"/>
        </w:rPr>
        <w:t>]</w:t>
      </w:r>
      <w:r w:rsidRPr="00904142">
        <w:rPr>
          <w:rFonts w:ascii="Book Antiqua" w:hAnsi="Book Antiqua"/>
        </w:rPr>
        <w:t>.</w:t>
      </w:r>
    </w:p>
    <w:p w:rsidR="00FA650B" w:rsidRDefault="00FA650B" w:rsidP="00904142">
      <w:pPr>
        <w:spacing w:after="0" w:line="360" w:lineRule="auto"/>
        <w:jc w:val="both"/>
        <w:rPr>
          <w:rFonts w:ascii="Book Antiqua" w:hAnsi="Book Antiqua"/>
          <w:b/>
          <w:bCs/>
          <w:lang w:eastAsia="zh-CN"/>
        </w:rPr>
      </w:pPr>
    </w:p>
    <w:p w:rsidR="00FA650B" w:rsidRPr="00FD1384" w:rsidRDefault="00FA650B" w:rsidP="00904142">
      <w:pPr>
        <w:spacing w:after="0" w:line="360" w:lineRule="auto"/>
        <w:jc w:val="both"/>
        <w:rPr>
          <w:rFonts w:ascii="Book Antiqua" w:hAnsi="Book Antiqua"/>
          <w:b/>
          <w:bCs/>
          <w:i/>
          <w:lang w:eastAsia="zh-CN"/>
        </w:rPr>
      </w:pPr>
      <w:r w:rsidRPr="00FD1384">
        <w:rPr>
          <w:rFonts w:ascii="Book Antiqua" w:hAnsi="Book Antiqua"/>
          <w:b/>
          <w:bCs/>
          <w:i/>
        </w:rPr>
        <w:t>Rituximab</w:t>
      </w:r>
    </w:p>
    <w:p w:rsidR="00FA650B" w:rsidRPr="00904142" w:rsidRDefault="00FA650B" w:rsidP="00904142">
      <w:pPr>
        <w:spacing w:after="0" w:line="360" w:lineRule="auto"/>
        <w:jc w:val="both"/>
        <w:rPr>
          <w:rFonts w:ascii="Book Antiqua" w:hAnsi="Book Antiqua"/>
        </w:rPr>
      </w:pPr>
      <w:r w:rsidRPr="00904142">
        <w:rPr>
          <w:rFonts w:ascii="Book Antiqua" w:hAnsi="Book Antiqua"/>
        </w:rPr>
        <w:t xml:space="preserve">Rituximab, an anti-CD20 monoclonal antibody, has produced variable objective responses. Rituximab causes selective B-cell </w:t>
      </w:r>
      <w:proofErr w:type="spellStart"/>
      <w:r w:rsidRPr="00904142">
        <w:rPr>
          <w:rFonts w:ascii="Book Antiqua" w:hAnsi="Book Antiqua"/>
        </w:rPr>
        <w:t>lysis</w:t>
      </w:r>
      <w:proofErr w:type="spellEnd"/>
      <w:r w:rsidRPr="00FD1384">
        <w:rPr>
          <w:rFonts w:ascii="Book Antiqua" w:hAnsi="Book Antiqua"/>
          <w:i/>
        </w:rPr>
        <w:t xml:space="preserve"> in vitro</w:t>
      </w:r>
      <w:r w:rsidRPr="00904142">
        <w:rPr>
          <w:rFonts w:ascii="Book Antiqua" w:hAnsi="Book Antiqua"/>
        </w:rPr>
        <w:t xml:space="preserve"> and B-cell depletion </w:t>
      </w:r>
      <w:r w:rsidRPr="00FD1384">
        <w:rPr>
          <w:rFonts w:ascii="Book Antiqua" w:hAnsi="Book Antiqua"/>
          <w:i/>
        </w:rPr>
        <w:t>in vivo</w:t>
      </w:r>
      <w:r w:rsidRPr="00904142">
        <w:rPr>
          <w:rFonts w:ascii="Book Antiqua" w:hAnsi="Book Antiqua"/>
        </w:rPr>
        <w:t xml:space="preserve">. Involved mechanisms of action include apoptosis, antibody-dependent cytotoxicity. Recovery of B-cell counts usually occurs by 6 to 12 </w:t>
      </w:r>
      <w:proofErr w:type="spellStart"/>
      <w:r w:rsidRPr="00904142">
        <w:rPr>
          <w:rFonts w:ascii="Book Antiqua" w:hAnsi="Book Antiqua"/>
        </w:rPr>
        <w:t>mo</w:t>
      </w:r>
      <w:proofErr w:type="spellEnd"/>
      <w:r w:rsidRPr="00904142">
        <w:rPr>
          <w:rFonts w:ascii="Book Antiqua" w:hAnsi="Book Antiqua"/>
        </w:rPr>
        <w:t xml:space="preserve"> after completion of </w:t>
      </w:r>
      <w:proofErr w:type="gramStart"/>
      <w:r w:rsidRPr="00904142">
        <w:rPr>
          <w:rFonts w:ascii="Book Antiqua" w:hAnsi="Book Antiqua"/>
        </w:rPr>
        <w:t>treatment</w:t>
      </w:r>
      <w:r w:rsidRPr="00FD1384">
        <w:rPr>
          <w:rFonts w:ascii="Book Antiqua" w:hAnsi="Book Antiqua"/>
          <w:vertAlign w:val="superscript"/>
          <w:lang w:eastAsia="zh-CN"/>
        </w:rPr>
        <w:t>[</w:t>
      </w:r>
      <w:proofErr w:type="gramEnd"/>
      <w:r w:rsidRPr="00FD1384">
        <w:rPr>
          <w:rFonts w:ascii="Book Antiqua" w:hAnsi="Book Antiqua"/>
          <w:vertAlign w:val="superscript"/>
        </w:rPr>
        <w:t>4</w:t>
      </w:r>
      <w:r>
        <w:rPr>
          <w:rFonts w:ascii="Book Antiqua" w:hAnsi="Book Antiqua"/>
          <w:vertAlign w:val="superscript"/>
          <w:lang w:eastAsia="zh-CN"/>
        </w:rPr>
        <w:t>5</w:t>
      </w:r>
      <w:r w:rsidRPr="00FD1384">
        <w:rPr>
          <w:rFonts w:ascii="Book Antiqua" w:hAnsi="Book Antiqua"/>
          <w:vertAlign w:val="superscript"/>
          <w:lang w:eastAsia="zh-CN"/>
        </w:rPr>
        <w:t>]</w:t>
      </w:r>
      <w:r w:rsidRPr="00904142">
        <w:rPr>
          <w:rFonts w:ascii="Book Antiqua" w:hAnsi="Book Antiqua"/>
        </w:rPr>
        <w:t xml:space="preserve">. </w:t>
      </w:r>
    </w:p>
    <w:p w:rsidR="00FA650B" w:rsidRPr="008C78C3" w:rsidRDefault="00FA650B" w:rsidP="008C78C3">
      <w:pPr>
        <w:spacing w:after="0" w:line="360" w:lineRule="auto"/>
        <w:ind w:firstLineChars="100" w:firstLine="240"/>
        <w:jc w:val="both"/>
        <w:rPr>
          <w:rFonts w:ascii="Book Antiqua" w:hAnsi="Book Antiqua"/>
          <w:lang w:eastAsia="zh-CN"/>
        </w:rPr>
      </w:pPr>
      <w:r w:rsidRPr="00904142">
        <w:rPr>
          <w:rFonts w:ascii="Book Antiqua" w:hAnsi="Book Antiqua"/>
        </w:rPr>
        <w:t xml:space="preserve">Several publications have reported the use of rituximab in ITP patients since previous consensus documents were issued and suggest that about 60% of patients respond, with approximately 40% achieving complete response. Responses generally occur after 1 to 2 </w:t>
      </w:r>
      <w:proofErr w:type="spellStart"/>
      <w:r w:rsidRPr="00904142">
        <w:rPr>
          <w:rFonts w:ascii="Book Antiqua" w:hAnsi="Book Antiqua"/>
        </w:rPr>
        <w:t>w</w:t>
      </w:r>
      <w:r>
        <w:rPr>
          <w:rFonts w:ascii="Book Antiqua" w:hAnsi="Book Antiqua"/>
          <w:lang w:eastAsia="zh-CN"/>
        </w:rPr>
        <w:t>k</w:t>
      </w:r>
      <w:proofErr w:type="spellEnd"/>
      <w:r w:rsidRPr="00904142">
        <w:rPr>
          <w:rFonts w:ascii="Book Antiqua" w:hAnsi="Book Antiqua"/>
        </w:rPr>
        <w:t xml:space="preserve"> to 6 to 8 </w:t>
      </w:r>
      <w:proofErr w:type="spellStart"/>
      <w:r w:rsidRPr="00904142">
        <w:rPr>
          <w:rFonts w:ascii="Book Antiqua" w:hAnsi="Book Antiqua"/>
        </w:rPr>
        <w:t>w</w:t>
      </w:r>
      <w:r>
        <w:rPr>
          <w:rFonts w:ascii="Book Antiqua" w:hAnsi="Book Antiqua"/>
          <w:lang w:eastAsia="zh-CN"/>
        </w:rPr>
        <w:t>k</w:t>
      </w:r>
      <w:proofErr w:type="spellEnd"/>
      <w:r w:rsidRPr="00904142">
        <w:rPr>
          <w:rFonts w:ascii="Book Antiqua" w:hAnsi="Book Antiqua"/>
        </w:rPr>
        <w:t xml:space="preserve"> and last from 2 </w:t>
      </w:r>
      <w:proofErr w:type="spellStart"/>
      <w:r w:rsidRPr="00904142">
        <w:rPr>
          <w:rFonts w:ascii="Book Antiqua" w:hAnsi="Book Antiqua"/>
        </w:rPr>
        <w:t>mo</w:t>
      </w:r>
      <w:proofErr w:type="spellEnd"/>
      <w:r w:rsidRPr="00904142">
        <w:rPr>
          <w:rFonts w:ascii="Book Antiqua" w:hAnsi="Book Antiqua"/>
        </w:rPr>
        <w:t xml:space="preserve"> in partial responders to 5 years or longer in 15% to 20% of initially treated patients. Most patients with a durable (</w:t>
      </w:r>
      <w:r w:rsidRPr="00904142">
        <w:rPr>
          <w:rFonts w:ascii="Book Antiqua" w:hAnsi="Book Antiqua" w:cs="Apple Symbols"/>
        </w:rPr>
        <w:t>&gt;</w:t>
      </w:r>
      <w:r>
        <w:rPr>
          <w:rFonts w:ascii="Book Antiqua" w:hAnsi="Book Antiqua" w:cs="Apple Symbols"/>
          <w:lang w:eastAsia="zh-CN"/>
        </w:rPr>
        <w:t xml:space="preserve"> </w:t>
      </w:r>
      <w:r w:rsidRPr="00904142">
        <w:rPr>
          <w:rFonts w:ascii="Book Antiqua" w:hAnsi="Book Antiqua"/>
        </w:rPr>
        <w:t xml:space="preserve">1 year) complete response will respond to repeat treatment if they </w:t>
      </w:r>
      <w:proofErr w:type="gramStart"/>
      <w:r w:rsidRPr="00904142">
        <w:rPr>
          <w:rFonts w:ascii="Book Antiqua" w:hAnsi="Book Antiqua"/>
        </w:rPr>
        <w:t>relapse</w:t>
      </w:r>
      <w:r w:rsidRPr="00FD1384">
        <w:rPr>
          <w:rFonts w:ascii="Book Antiqua" w:hAnsi="Book Antiqua"/>
          <w:vertAlign w:val="superscript"/>
          <w:lang w:eastAsia="zh-CN"/>
        </w:rPr>
        <w:t>[</w:t>
      </w:r>
      <w:proofErr w:type="gramEnd"/>
      <w:r w:rsidRPr="00FD1384">
        <w:rPr>
          <w:rFonts w:ascii="Book Antiqua" w:hAnsi="Book Antiqua"/>
          <w:vertAlign w:val="superscript"/>
        </w:rPr>
        <w:t>4</w:t>
      </w:r>
      <w:r>
        <w:rPr>
          <w:rFonts w:ascii="Book Antiqua" w:hAnsi="Book Antiqua"/>
          <w:vertAlign w:val="superscript"/>
          <w:lang w:eastAsia="zh-CN"/>
        </w:rPr>
        <w:t>6</w:t>
      </w:r>
      <w:r w:rsidRPr="00FD1384">
        <w:rPr>
          <w:rFonts w:ascii="Book Antiqua" w:hAnsi="Book Antiqua"/>
          <w:vertAlign w:val="superscript"/>
        </w:rPr>
        <w:t>-4</w:t>
      </w:r>
      <w:r>
        <w:rPr>
          <w:rFonts w:ascii="Book Antiqua" w:hAnsi="Book Antiqua"/>
          <w:vertAlign w:val="superscript"/>
          <w:lang w:eastAsia="zh-CN"/>
        </w:rPr>
        <w:t>8</w:t>
      </w:r>
      <w:r w:rsidRPr="00FD1384">
        <w:rPr>
          <w:rFonts w:ascii="Book Antiqua" w:hAnsi="Book Antiqua"/>
          <w:vertAlign w:val="superscript"/>
          <w:lang w:eastAsia="zh-CN"/>
        </w:rPr>
        <w:t>]</w:t>
      </w:r>
      <w:r w:rsidRPr="00904142">
        <w:rPr>
          <w:rFonts w:ascii="Book Antiqua" w:hAnsi="Book Antiqua"/>
        </w:rPr>
        <w:t xml:space="preserve">. </w:t>
      </w:r>
    </w:p>
    <w:p w:rsidR="00FA650B" w:rsidRDefault="00FA650B" w:rsidP="00904142">
      <w:pPr>
        <w:pStyle w:val="a3"/>
        <w:spacing w:before="2" w:after="2" w:line="360" w:lineRule="auto"/>
        <w:jc w:val="both"/>
        <w:rPr>
          <w:rFonts w:ascii="Book Antiqua" w:hAnsi="Book Antiqua"/>
          <w:b/>
          <w:bCs/>
          <w:sz w:val="24"/>
          <w:szCs w:val="24"/>
          <w:lang w:eastAsia="zh-CN"/>
        </w:rPr>
      </w:pPr>
    </w:p>
    <w:p w:rsidR="00FA650B" w:rsidRPr="00FD1384" w:rsidRDefault="00FA650B" w:rsidP="00904142">
      <w:pPr>
        <w:pStyle w:val="a3"/>
        <w:spacing w:before="2" w:after="2" w:line="360" w:lineRule="auto"/>
        <w:jc w:val="both"/>
        <w:rPr>
          <w:rFonts w:ascii="Book Antiqua" w:hAnsi="Book Antiqua"/>
          <w:b/>
          <w:bCs/>
          <w:i/>
          <w:sz w:val="24"/>
          <w:szCs w:val="24"/>
          <w:lang w:eastAsia="zh-CN"/>
        </w:rPr>
      </w:pPr>
      <w:proofErr w:type="spellStart"/>
      <w:r w:rsidRPr="00FD1384">
        <w:rPr>
          <w:rFonts w:ascii="Book Antiqua" w:hAnsi="Book Antiqua"/>
          <w:b/>
          <w:bCs/>
          <w:i/>
          <w:sz w:val="24"/>
          <w:szCs w:val="24"/>
        </w:rPr>
        <w:t>Romiplostim</w:t>
      </w:r>
      <w:proofErr w:type="spellEnd"/>
    </w:p>
    <w:p w:rsidR="00FA650B" w:rsidRPr="00904142" w:rsidRDefault="00FA650B" w:rsidP="00904142">
      <w:pPr>
        <w:pStyle w:val="a3"/>
        <w:spacing w:before="2" w:after="2" w:line="360" w:lineRule="auto"/>
        <w:jc w:val="both"/>
        <w:rPr>
          <w:rFonts w:ascii="Book Antiqua" w:hAnsi="Book Antiqua"/>
          <w:sz w:val="24"/>
          <w:szCs w:val="24"/>
        </w:rPr>
      </w:pPr>
      <w:proofErr w:type="spellStart"/>
      <w:r w:rsidRPr="00904142">
        <w:rPr>
          <w:rFonts w:ascii="Book Antiqua" w:hAnsi="Book Antiqua"/>
          <w:sz w:val="24"/>
          <w:szCs w:val="24"/>
        </w:rPr>
        <w:t>Romiplostim</w:t>
      </w:r>
      <w:proofErr w:type="spellEnd"/>
      <w:r w:rsidRPr="00904142">
        <w:rPr>
          <w:rFonts w:ascii="Book Antiqua" w:hAnsi="Book Antiqua"/>
          <w:sz w:val="24"/>
          <w:szCs w:val="24"/>
        </w:rPr>
        <w:t xml:space="preserve"> is a </w:t>
      </w:r>
      <w:proofErr w:type="spellStart"/>
      <w:r w:rsidRPr="00904142">
        <w:rPr>
          <w:rFonts w:ascii="Book Antiqua" w:hAnsi="Book Antiqua"/>
          <w:sz w:val="24"/>
          <w:szCs w:val="24"/>
        </w:rPr>
        <w:t>peptibody</w:t>
      </w:r>
      <w:proofErr w:type="spellEnd"/>
      <w:r w:rsidRPr="00904142">
        <w:rPr>
          <w:rFonts w:ascii="Book Antiqua" w:hAnsi="Book Antiqua"/>
          <w:sz w:val="24"/>
          <w:szCs w:val="24"/>
        </w:rPr>
        <w:t xml:space="preserve"> (</w:t>
      </w:r>
      <w:r>
        <w:rPr>
          <w:rFonts w:ascii="Book Antiqua" w:hAnsi="Book Antiqua"/>
          <w:sz w:val="24"/>
          <w:szCs w:val="24"/>
        </w:rPr>
        <w:t xml:space="preserve">comprising an </w:t>
      </w:r>
      <w:proofErr w:type="spellStart"/>
      <w:r>
        <w:rPr>
          <w:rFonts w:ascii="Book Antiqua" w:hAnsi="Book Antiqua"/>
          <w:sz w:val="24"/>
          <w:szCs w:val="24"/>
        </w:rPr>
        <w:t>IgG</w:t>
      </w:r>
      <w:proofErr w:type="spellEnd"/>
      <w:r>
        <w:rPr>
          <w:rFonts w:ascii="Book Antiqua" w:hAnsi="Book Antiqua"/>
          <w:sz w:val="24"/>
          <w:szCs w:val="24"/>
        </w:rPr>
        <w:t xml:space="preserve"> Fc region and</w:t>
      </w:r>
      <w:r w:rsidRPr="00904142">
        <w:rPr>
          <w:rFonts w:ascii="Book Antiqua" w:hAnsi="Book Antiqua"/>
          <w:sz w:val="24"/>
          <w:szCs w:val="24"/>
        </w:rPr>
        <w:t xml:space="preserve"> four </w:t>
      </w:r>
      <w:proofErr w:type="spellStart"/>
      <w:r w:rsidRPr="00904142">
        <w:rPr>
          <w:rFonts w:ascii="Book Antiqua" w:hAnsi="Book Antiqua"/>
          <w:sz w:val="24"/>
          <w:szCs w:val="24"/>
        </w:rPr>
        <w:t>peptidometic</w:t>
      </w:r>
      <w:proofErr w:type="spellEnd"/>
      <w:r w:rsidRPr="00904142">
        <w:rPr>
          <w:rFonts w:ascii="Book Antiqua" w:hAnsi="Book Antiqua"/>
          <w:sz w:val="24"/>
          <w:szCs w:val="24"/>
        </w:rPr>
        <w:t xml:space="preserve"> regions that interact with the </w:t>
      </w:r>
      <w:proofErr w:type="spellStart"/>
      <w:r w:rsidRPr="00904142">
        <w:rPr>
          <w:rFonts w:ascii="Book Antiqua" w:hAnsi="Book Antiqua"/>
          <w:sz w:val="24"/>
          <w:szCs w:val="24"/>
        </w:rPr>
        <w:t>thrombopoietin</w:t>
      </w:r>
      <w:proofErr w:type="spellEnd"/>
      <w:r w:rsidRPr="00904142">
        <w:rPr>
          <w:rFonts w:ascii="Book Antiqua" w:hAnsi="Book Antiqua"/>
          <w:sz w:val="24"/>
          <w:szCs w:val="24"/>
        </w:rPr>
        <w:t xml:space="preserve"> receptor, c-</w:t>
      </w:r>
      <w:proofErr w:type="spellStart"/>
      <w:r w:rsidRPr="00904142">
        <w:rPr>
          <w:rFonts w:ascii="Book Antiqua" w:hAnsi="Book Antiqua"/>
          <w:sz w:val="24"/>
          <w:szCs w:val="24"/>
        </w:rPr>
        <w:t>mpl</w:t>
      </w:r>
      <w:proofErr w:type="spellEnd"/>
      <w:r w:rsidRPr="00904142">
        <w:rPr>
          <w:rFonts w:ascii="Book Antiqua" w:hAnsi="Book Antiqua"/>
          <w:sz w:val="24"/>
          <w:szCs w:val="24"/>
        </w:rPr>
        <w:t xml:space="preserve">) that is given subcutaneously once a week. </w:t>
      </w:r>
      <w:proofErr w:type="spellStart"/>
      <w:r w:rsidRPr="00904142">
        <w:rPr>
          <w:rFonts w:ascii="Book Antiqua" w:hAnsi="Book Antiqua"/>
          <w:sz w:val="24"/>
          <w:szCs w:val="24"/>
        </w:rPr>
        <w:t>Romiplostim</w:t>
      </w:r>
      <w:proofErr w:type="spellEnd"/>
      <w:r w:rsidRPr="00904142">
        <w:rPr>
          <w:rFonts w:ascii="Book Antiqua" w:hAnsi="Book Antiqua"/>
          <w:sz w:val="24"/>
          <w:szCs w:val="24"/>
        </w:rPr>
        <w:t xml:space="preserve"> performed well in several </w:t>
      </w:r>
      <w:proofErr w:type="gramStart"/>
      <w:r w:rsidRPr="00904142">
        <w:rPr>
          <w:rFonts w:ascii="Book Antiqua" w:hAnsi="Book Antiqua"/>
          <w:sz w:val="24"/>
          <w:szCs w:val="24"/>
        </w:rPr>
        <w:t>phase</w:t>
      </w:r>
      <w:proofErr w:type="gramEnd"/>
      <w:r w:rsidRPr="00904142">
        <w:rPr>
          <w:rFonts w:ascii="Book Antiqua" w:hAnsi="Book Antiqua"/>
          <w:sz w:val="24"/>
          <w:szCs w:val="24"/>
        </w:rPr>
        <w:t xml:space="preserve"> I clinical trials. In a 24 </w:t>
      </w:r>
      <w:proofErr w:type="spellStart"/>
      <w:r w:rsidRPr="00904142">
        <w:rPr>
          <w:rFonts w:ascii="Book Antiqua" w:hAnsi="Book Antiqua"/>
          <w:sz w:val="24"/>
          <w:szCs w:val="24"/>
        </w:rPr>
        <w:t>wk</w:t>
      </w:r>
      <w:proofErr w:type="spellEnd"/>
      <w:r w:rsidRPr="00904142">
        <w:rPr>
          <w:rFonts w:ascii="Book Antiqua" w:hAnsi="Book Antiqua"/>
          <w:sz w:val="24"/>
          <w:szCs w:val="24"/>
        </w:rPr>
        <w:t xml:space="preserve"> phase III trial that compared </w:t>
      </w:r>
      <w:proofErr w:type="spellStart"/>
      <w:r w:rsidRPr="00904142">
        <w:rPr>
          <w:rFonts w:ascii="Book Antiqua" w:hAnsi="Book Antiqua"/>
          <w:sz w:val="24"/>
          <w:szCs w:val="24"/>
        </w:rPr>
        <w:t>romiplostim</w:t>
      </w:r>
      <w:proofErr w:type="spellEnd"/>
      <w:r w:rsidRPr="00904142">
        <w:rPr>
          <w:rFonts w:ascii="Book Antiqua" w:hAnsi="Book Antiqua"/>
          <w:sz w:val="24"/>
          <w:szCs w:val="24"/>
        </w:rPr>
        <w:t xml:space="preserve"> against placebo in patients with ITP that had been refractory to other primary treatments, 79% of </w:t>
      </w:r>
      <w:proofErr w:type="spellStart"/>
      <w:r w:rsidRPr="00904142">
        <w:rPr>
          <w:rFonts w:ascii="Book Antiqua" w:hAnsi="Book Antiqua"/>
          <w:sz w:val="24"/>
          <w:szCs w:val="24"/>
        </w:rPr>
        <w:t>splenectomized</w:t>
      </w:r>
      <w:proofErr w:type="spellEnd"/>
      <w:r w:rsidRPr="00904142">
        <w:rPr>
          <w:rFonts w:ascii="Book Antiqua" w:hAnsi="Book Antiqua"/>
          <w:sz w:val="24"/>
          <w:szCs w:val="24"/>
        </w:rPr>
        <w:t xml:space="preserve"> patients and 88% of </w:t>
      </w:r>
      <w:proofErr w:type="spellStart"/>
      <w:r w:rsidRPr="00904142">
        <w:rPr>
          <w:rFonts w:ascii="Book Antiqua" w:hAnsi="Book Antiqua"/>
          <w:sz w:val="24"/>
          <w:szCs w:val="24"/>
        </w:rPr>
        <w:t>nonsplenectomized</w:t>
      </w:r>
      <w:proofErr w:type="spellEnd"/>
      <w:r w:rsidRPr="00904142">
        <w:rPr>
          <w:rFonts w:ascii="Book Antiqua" w:hAnsi="Book Antiqua"/>
          <w:sz w:val="24"/>
          <w:szCs w:val="24"/>
        </w:rPr>
        <w:t xml:space="preserve"> patients had an overall response (defined as a platelet count &gt; 50 × 10</w:t>
      </w:r>
      <w:r w:rsidRPr="00904142">
        <w:rPr>
          <w:rFonts w:ascii="Book Antiqua" w:hAnsi="Book Antiqua"/>
          <w:sz w:val="24"/>
          <w:szCs w:val="24"/>
          <w:vertAlign w:val="superscript"/>
        </w:rPr>
        <w:t>9</w:t>
      </w:r>
      <w:r w:rsidRPr="00904142">
        <w:rPr>
          <w:rFonts w:ascii="Book Antiqua" w:hAnsi="Book Antiqua"/>
          <w:sz w:val="24"/>
          <w:szCs w:val="24"/>
        </w:rPr>
        <w:t xml:space="preserve">/L for 4 </w:t>
      </w:r>
      <w:proofErr w:type="spellStart"/>
      <w:r w:rsidRPr="00904142">
        <w:rPr>
          <w:rFonts w:ascii="Book Antiqua" w:hAnsi="Book Antiqua"/>
          <w:sz w:val="24"/>
          <w:szCs w:val="24"/>
        </w:rPr>
        <w:t>w</w:t>
      </w:r>
      <w:r>
        <w:rPr>
          <w:rFonts w:ascii="Book Antiqua" w:hAnsi="Book Antiqua"/>
          <w:sz w:val="24"/>
          <w:szCs w:val="24"/>
        </w:rPr>
        <w:t>k</w:t>
      </w:r>
      <w:proofErr w:type="spellEnd"/>
      <w:r w:rsidRPr="00904142">
        <w:rPr>
          <w:rFonts w:ascii="Book Antiqua" w:hAnsi="Book Antiqua"/>
          <w:sz w:val="24"/>
          <w:szCs w:val="24"/>
        </w:rPr>
        <w:t xml:space="preserve"> during the study period), and 38% of </w:t>
      </w:r>
      <w:proofErr w:type="spellStart"/>
      <w:r w:rsidRPr="00904142">
        <w:rPr>
          <w:rFonts w:ascii="Book Antiqua" w:hAnsi="Book Antiqua"/>
          <w:sz w:val="24"/>
          <w:szCs w:val="24"/>
        </w:rPr>
        <w:t>splenectomized</w:t>
      </w:r>
      <w:proofErr w:type="spellEnd"/>
      <w:r w:rsidRPr="00904142">
        <w:rPr>
          <w:rFonts w:ascii="Book Antiqua" w:hAnsi="Book Antiqua"/>
          <w:sz w:val="24"/>
          <w:szCs w:val="24"/>
        </w:rPr>
        <w:t xml:space="preserve"> patients and 61% of </w:t>
      </w:r>
      <w:proofErr w:type="spellStart"/>
      <w:r w:rsidRPr="00904142">
        <w:rPr>
          <w:rFonts w:ascii="Book Antiqua" w:hAnsi="Book Antiqua"/>
          <w:sz w:val="24"/>
          <w:szCs w:val="24"/>
        </w:rPr>
        <w:t>nonsplenectomized</w:t>
      </w:r>
      <w:proofErr w:type="spellEnd"/>
      <w:r w:rsidRPr="00904142">
        <w:rPr>
          <w:rFonts w:ascii="Book Antiqua" w:hAnsi="Book Antiqua"/>
          <w:sz w:val="24"/>
          <w:szCs w:val="24"/>
        </w:rPr>
        <w:t xml:space="preserve"> patients had a durable response (platelet count &gt; 50 × 10</w:t>
      </w:r>
      <w:r w:rsidRPr="00904142">
        <w:rPr>
          <w:rFonts w:ascii="Book Antiqua" w:hAnsi="Book Antiqua"/>
          <w:sz w:val="24"/>
          <w:szCs w:val="24"/>
          <w:vertAlign w:val="superscript"/>
        </w:rPr>
        <w:t>9</w:t>
      </w:r>
      <w:r w:rsidRPr="00904142">
        <w:rPr>
          <w:rFonts w:ascii="Book Antiqua" w:hAnsi="Book Antiqua"/>
          <w:sz w:val="24"/>
          <w:szCs w:val="24"/>
        </w:rPr>
        <w:t xml:space="preserve">/L for 6 of the last 8 </w:t>
      </w:r>
      <w:proofErr w:type="spellStart"/>
      <w:r w:rsidRPr="00904142">
        <w:rPr>
          <w:rFonts w:ascii="Book Antiqua" w:hAnsi="Book Antiqua"/>
          <w:sz w:val="24"/>
          <w:szCs w:val="24"/>
        </w:rPr>
        <w:t>w</w:t>
      </w:r>
      <w:r>
        <w:rPr>
          <w:rFonts w:ascii="Book Antiqua" w:hAnsi="Book Antiqua"/>
          <w:sz w:val="24"/>
          <w:szCs w:val="24"/>
        </w:rPr>
        <w:t>k</w:t>
      </w:r>
      <w:proofErr w:type="spellEnd"/>
      <w:r w:rsidRPr="00904142">
        <w:rPr>
          <w:rFonts w:ascii="Book Antiqua" w:hAnsi="Book Antiqua"/>
          <w:sz w:val="24"/>
          <w:szCs w:val="24"/>
        </w:rPr>
        <w:t xml:space="preserve"> of the study). In an ongoing long-term extension study of </w:t>
      </w:r>
      <w:proofErr w:type="spellStart"/>
      <w:r w:rsidRPr="00904142">
        <w:rPr>
          <w:rFonts w:ascii="Book Antiqua" w:hAnsi="Book Antiqua"/>
          <w:sz w:val="24"/>
          <w:szCs w:val="24"/>
        </w:rPr>
        <w:t>romiplostim</w:t>
      </w:r>
      <w:proofErr w:type="spellEnd"/>
      <w:r w:rsidRPr="00904142">
        <w:rPr>
          <w:rFonts w:ascii="Book Antiqua" w:hAnsi="Book Antiqua"/>
          <w:sz w:val="24"/>
          <w:szCs w:val="24"/>
        </w:rPr>
        <w:t xml:space="preserve"> that allows dose adjustments to maintain a platelet count between 50-200 × 10</w:t>
      </w:r>
      <w:r w:rsidRPr="00904142">
        <w:rPr>
          <w:rFonts w:ascii="Book Antiqua" w:hAnsi="Book Antiqua"/>
          <w:sz w:val="24"/>
          <w:szCs w:val="24"/>
          <w:vertAlign w:val="superscript"/>
        </w:rPr>
        <w:t>9</w:t>
      </w:r>
      <w:r w:rsidRPr="00904142">
        <w:rPr>
          <w:rFonts w:ascii="Book Antiqua" w:hAnsi="Book Antiqua"/>
          <w:sz w:val="24"/>
          <w:szCs w:val="24"/>
        </w:rPr>
        <w:t xml:space="preserve">/L, </w:t>
      </w:r>
      <w:proofErr w:type="spellStart"/>
      <w:r w:rsidRPr="00904142">
        <w:rPr>
          <w:rFonts w:ascii="Book Antiqua" w:hAnsi="Book Antiqua"/>
          <w:sz w:val="24"/>
          <w:szCs w:val="24"/>
        </w:rPr>
        <w:t>romiplostim</w:t>
      </w:r>
      <w:proofErr w:type="spellEnd"/>
      <w:r w:rsidRPr="00904142">
        <w:rPr>
          <w:rFonts w:ascii="Book Antiqua" w:hAnsi="Book Antiqua"/>
          <w:sz w:val="24"/>
          <w:szCs w:val="24"/>
        </w:rPr>
        <w:t xml:space="preserve"> dosage and efficacy have remained stable over 5 years</w:t>
      </w:r>
      <w:r w:rsidRPr="00FD1384">
        <w:rPr>
          <w:rFonts w:ascii="Book Antiqua" w:hAnsi="Book Antiqua"/>
          <w:sz w:val="24"/>
          <w:szCs w:val="24"/>
          <w:vertAlign w:val="superscript"/>
          <w:lang w:eastAsia="zh-CN"/>
        </w:rPr>
        <w:t>[</w:t>
      </w:r>
      <w:r w:rsidRPr="00FD1384">
        <w:rPr>
          <w:rFonts w:ascii="Book Antiqua" w:hAnsi="Book Antiqua"/>
          <w:sz w:val="24"/>
          <w:szCs w:val="24"/>
          <w:vertAlign w:val="superscript"/>
        </w:rPr>
        <w:t>1</w:t>
      </w:r>
      <w:r>
        <w:rPr>
          <w:rFonts w:ascii="Book Antiqua" w:hAnsi="Book Antiqua"/>
          <w:sz w:val="24"/>
          <w:szCs w:val="24"/>
          <w:vertAlign w:val="superscript"/>
          <w:lang w:eastAsia="zh-CN"/>
        </w:rPr>
        <w:t>8</w:t>
      </w:r>
      <w:r w:rsidRPr="00FD1384">
        <w:rPr>
          <w:rFonts w:ascii="Book Antiqua" w:hAnsi="Book Antiqua"/>
          <w:sz w:val="24"/>
          <w:szCs w:val="24"/>
          <w:vertAlign w:val="superscript"/>
        </w:rPr>
        <w:t>,</w:t>
      </w:r>
      <w:r>
        <w:rPr>
          <w:rFonts w:ascii="Book Antiqua" w:hAnsi="Book Antiqua"/>
          <w:sz w:val="24"/>
          <w:szCs w:val="24"/>
          <w:vertAlign w:val="superscript"/>
          <w:lang w:eastAsia="zh-CN"/>
        </w:rPr>
        <w:t>49</w:t>
      </w:r>
      <w:r w:rsidRPr="00FD1384">
        <w:rPr>
          <w:rFonts w:ascii="Book Antiqua" w:hAnsi="Book Antiqua"/>
          <w:sz w:val="24"/>
          <w:szCs w:val="24"/>
          <w:vertAlign w:val="superscript"/>
        </w:rPr>
        <w:t>,5</w:t>
      </w:r>
      <w:r>
        <w:rPr>
          <w:rFonts w:ascii="Book Antiqua" w:hAnsi="Book Antiqua"/>
          <w:sz w:val="24"/>
          <w:szCs w:val="24"/>
          <w:vertAlign w:val="superscript"/>
          <w:lang w:eastAsia="zh-CN"/>
        </w:rPr>
        <w:t>0</w:t>
      </w:r>
      <w:r w:rsidRPr="00FD1384">
        <w:rPr>
          <w:rFonts w:ascii="Book Antiqua" w:hAnsi="Book Antiqua"/>
          <w:sz w:val="24"/>
          <w:szCs w:val="24"/>
          <w:vertAlign w:val="superscript"/>
          <w:lang w:eastAsia="zh-CN"/>
        </w:rPr>
        <w:t>]</w:t>
      </w:r>
      <w:r w:rsidRPr="00904142">
        <w:rPr>
          <w:rFonts w:ascii="Book Antiqua" w:hAnsi="Book Antiqua"/>
          <w:sz w:val="24"/>
          <w:szCs w:val="24"/>
        </w:rPr>
        <w:t>.</w:t>
      </w:r>
    </w:p>
    <w:p w:rsidR="00FA650B" w:rsidRPr="00904142" w:rsidRDefault="00FA650B" w:rsidP="00904142">
      <w:pPr>
        <w:pStyle w:val="a3"/>
        <w:spacing w:before="2" w:after="2" w:line="360" w:lineRule="auto"/>
        <w:jc w:val="both"/>
        <w:rPr>
          <w:rFonts w:ascii="Book Antiqua" w:hAnsi="Book Antiqua"/>
          <w:sz w:val="24"/>
          <w:szCs w:val="24"/>
        </w:rPr>
      </w:pPr>
    </w:p>
    <w:p w:rsidR="00FA650B" w:rsidRPr="00FD1384" w:rsidRDefault="00FA650B" w:rsidP="00904142">
      <w:pPr>
        <w:pStyle w:val="a3"/>
        <w:spacing w:before="2" w:after="2" w:line="360" w:lineRule="auto"/>
        <w:jc w:val="both"/>
        <w:rPr>
          <w:rFonts w:ascii="Book Antiqua" w:hAnsi="Book Antiqua"/>
          <w:b/>
          <w:i/>
          <w:sz w:val="24"/>
          <w:szCs w:val="24"/>
          <w:lang w:eastAsia="zh-CN"/>
        </w:rPr>
      </w:pPr>
      <w:proofErr w:type="spellStart"/>
      <w:r w:rsidRPr="00FD1384">
        <w:rPr>
          <w:rFonts w:ascii="Book Antiqua" w:hAnsi="Book Antiqua"/>
          <w:b/>
          <w:i/>
          <w:sz w:val="24"/>
          <w:szCs w:val="24"/>
        </w:rPr>
        <w:t>Dapsone</w:t>
      </w:r>
      <w:proofErr w:type="spellEnd"/>
    </w:p>
    <w:p w:rsidR="00FA650B" w:rsidRPr="00904142" w:rsidRDefault="00FA650B" w:rsidP="00904142">
      <w:pPr>
        <w:pStyle w:val="a3"/>
        <w:spacing w:before="2" w:after="2" w:line="360" w:lineRule="auto"/>
        <w:jc w:val="both"/>
        <w:rPr>
          <w:rFonts w:ascii="Book Antiqua" w:hAnsi="Book Antiqua"/>
          <w:sz w:val="24"/>
          <w:szCs w:val="24"/>
        </w:rPr>
      </w:pPr>
      <w:proofErr w:type="spellStart"/>
      <w:r w:rsidRPr="00904142">
        <w:rPr>
          <w:rFonts w:ascii="Book Antiqua" w:hAnsi="Book Antiqua"/>
          <w:sz w:val="24"/>
          <w:szCs w:val="24"/>
        </w:rPr>
        <w:t>Dapsone</w:t>
      </w:r>
      <w:proofErr w:type="spellEnd"/>
      <w:r w:rsidRPr="00904142">
        <w:rPr>
          <w:rFonts w:ascii="Book Antiqua" w:hAnsi="Book Antiqua"/>
          <w:sz w:val="24"/>
          <w:szCs w:val="24"/>
        </w:rPr>
        <w:t xml:space="preserve"> is a moderate corticosteroid-sparing agent that is usually administered orally at a dose of 75 to 100 mg/d. </w:t>
      </w:r>
      <w:proofErr w:type="spellStart"/>
      <w:r w:rsidRPr="00904142">
        <w:rPr>
          <w:rFonts w:ascii="Book Antiqua" w:hAnsi="Book Antiqua"/>
          <w:sz w:val="24"/>
          <w:szCs w:val="24"/>
        </w:rPr>
        <w:t>Dapsone</w:t>
      </w:r>
      <w:proofErr w:type="spellEnd"/>
      <w:r w:rsidRPr="00904142">
        <w:rPr>
          <w:rFonts w:ascii="Book Antiqua" w:hAnsi="Book Antiqua"/>
          <w:sz w:val="24"/>
          <w:szCs w:val="24"/>
        </w:rPr>
        <w:t xml:space="preserve"> may delay splenectomy for up to 32 </w:t>
      </w:r>
      <w:proofErr w:type="spellStart"/>
      <w:proofErr w:type="gramStart"/>
      <w:r w:rsidRPr="00904142">
        <w:rPr>
          <w:rFonts w:ascii="Book Antiqua" w:hAnsi="Book Antiqua"/>
          <w:sz w:val="24"/>
          <w:szCs w:val="24"/>
        </w:rPr>
        <w:t>mo</w:t>
      </w:r>
      <w:proofErr w:type="spellEnd"/>
      <w:proofErr w:type="gramEnd"/>
      <w:r w:rsidRPr="00904142">
        <w:rPr>
          <w:rFonts w:ascii="Book Antiqua" w:hAnsi="Book Antiqua"/>
          <w:sz w:val="24"/>
          <w:szCs w:val="24"/>
        </w:rPr>
        <w:t xml:space="preserve"> in patients who have not responded to first-line corticosteroid therapy. However, </w:t>
      </w:r>
      <w:proofErr w:type="spellStart"/>
      <w:r w:rsidRPr="00904142">
        <w:rPr>
          <w:rFonts w:ascii="Book Antiqua" w:hAnsi="Book Antiqua"/>
          <w:sz w:val="24"/>
          <w:szCs w:val="24"/>
        </w:rPr>
        <w:t>splenectomized</w:t>
      </w:r>
      <w:proofErr w:type="spellEnd"/>
      <w:r w:rsidRPr="00904142">
        <w:rPr>
          <w:rFonts w:ascii="Book Antiqua" w:hAnsi="Book Antiqua"/>
          <w:sz w:val="24"/>
          <w:szCs w:val="24"/>
        </w:rPr>
        <w:t xml:space="preserve"> patients have a low response </w:t>
      </w:r>
      <w:proofErr w:type="gramStart"/>
      <w:r w:rsidRPr="00904142">
        <w:rPr>
          <w:rFonts w:ascii="Book Antiqua" w:hAnsi="Book Antiqua"/>
          <w:sz w:val="24"/>
          <w:szCs w:val="24"/>
        </w:rPr>
        <w:t>rate</w:t>
      </w:r>
      <w:r w:rsidRPr="00FD1384">
        <w:rPr>
          <w:rFonts w:ascii="Book Antiqua" w:hAnsi="Book Antiqua"/>
          <w:sz w:val="24"/>
          <w:szCs w:val="24"/>
          <w:vertAlign w:val="superscript"/>
          <w:lang w:eastAsia="zh-CN"/>
        </w:rPr>
        <w:t>[</w:t>
      </w:r>
      <w:proofErr w:type="gramEnd"/>
      <w:r w:rsidRPr="00FD1384">
        <w:rPr>
          <w:rFonts w:ascii="Book Antiqua" w:hAnsi="Book Antiqua"/>
          <w:sz w:val="24"/>
          <w:szCs w:val="24"/>
          <w:vertAlign w:val="superscript"/>
        </w:rPr>
        <w:t>2</w:t>
      </w:r>
      <w:r w:rsidRPr="00FD1384">
        <w:rPr>
          <w:rFonts w:ascii="Book Antiqua" w:hAnsi="Book Antiqua"/>
          <w:sz w:val="24"/>
          <w:szCs w:val="24"/>
          <w:vertAlign w:val="superscript"/>
          <w:lang w:eastAsia="zh-CN"/>
        </w:rPr>
        <w:t>]</w:t>
      </w:r>
      <w:r w:rsidRPr="00904142">
        <w:rPr>
          <w:rFonts w:ascii="Book Antiqua" w:hAnsi="Book Antiqua"/>
          <w:sz w:val="24"/>
          <w:szCs w:val="24"/>
        </w:rPr>
        <w:t xml:space="preserve">.  </w:t>
      </w:r>
    </w:p>
    <w:p w:rsidR="00FA650B" w:rsidRPr="00904142" w:rsidRDefault="00FA650B" w:rsidP="0051331B">
      <w:pPr>
        <w:spacing w:beforeLines="1" w:before="2" w:afterLines="1" w:after="2" w:line="360" w:lineRule="auto"/>
        <w:jc w:val="both"/>
        <w:rPr>
          <w:rFonts w:ascii="Book Antiqua" w:hAnsi="Book Antiqua"/>
          <w:b/>
          <w:bCs/>
        </w:rPr>
      </w:pPr>
    </w:p>
    <w:p w:rsidR="00FA650B" w:rsidRPr="00FD1384" w:rsidRDefault="00FA650B" w:rsidP="0051331B">
      <w:pPr>
        <w:spacing w:beforeLines="1" w:before="2" w:afterLines="1" w:after="2" w:line="360" w:lineRule="auto"/>
        <w:jc w:val="both"/>
        <w:rPr>
          <w:rFonts w:ascii="Book Antiqua" w:hAnsi="Book Antiqua"/>
          <w:bCs/>
          <w:i/>
          <w:lang w:eastAsia="zh-CN"/>
        </w:rPr>
      </w:pPr>
      <w:proofErr w:type="spellStart"/>
      <w:r w:rsidRPr="00FD1384">
        <w:rPr>
          <w:rFonts w:ascii="Book Antiqua" w:hAnsi="Book Antiqua"/>
          <w:b/>
          <w:bCs/>
          <w:i/>
        </w:rPr>
        <w:t>Eltrombopag</w:t>
      </w:r>
      <w:proofErr w:type="spellEnd"/>
    </w:p>
    <w:p w:rsidR="00FA650B" w:rsidRPr="00904142" w:rsidRDefault="00FA650B" w:rsidP="0051331B">
      <w:pPr>
        <w:spacing w:beforeLines="1" w:before="2" w:afterLines="1" w:after="2" w:line="360" w:lineRule="auto"/>
        <w:jc w:val="both"/>
        <w:rPr>
          <w:rFonts w:ascii="Book Antiqua" w:hAnsi="Book Antiqua"/>
        </w:rPr>
      </w:pPr>
      <w:proofErr w:type="spellStart"/>
      <w:r w:rsidRPr="00904142">
        <w:rPr>
          <w:rFonts w:ascii="Book Antiqua" w:hAnsi="Book Antiqua"/>
          <w:bCs/>
        </w:rPr>
        <w:t>Eltrombopag</w:t>
      </w:r>
      <w:proofErr w:type="spellEnd"/>
      <w:r w:rsidRPr="00904142">
        <w:rPr>
          <w:rFonts w:ascii="Book Antiqua" w:hAnsi="Book Antiqua"/>
        </w:rPr>
        <w:t xml:space="preserve"> is a </w:t>
      </w:r>
      <w:proofErr w:type="spellStart"/>
      <w:r w:rsidRPr="00904142">
        <w:rPr>
          <w:rFonts w:ascii="Book Antiqua" w:hAnsi="Book Antiqua"/>
        </w:rPr>
        <w:t>nonpeptide</w:t>
      </w:r>
      <w:proofErr w:type="spellEnd"/>
      <w:r w:rsidRPr="00904142">
        <w:rPr>
          <w:rFonts w:ascii="Book Antiqua" w:hAnsi="Book Antiqua"/>
        </w:rPr>
        <w:t xml:space="preserve"> small-molecule c-</w:t>
      </w:r>
      <w:proofErr w:type="spellStart"/>
      <w:r w:rsidRPr="00904142">
        <w:rPr>
          <w:rFonts w:ascii="Book Antiqua" w:hAnsi="Book Antiqua"/>
        </w:rPr>
        <w:t>mpl</w:t>
      </w:r>
      <w:proofErr w:type="spellEnd"/>
      <w:r w:rsidRPr="00904142">
        <w:rPr>
          <w:rFonts w:ascii="Book Antiqua" w:hAnsi="Book Antiqua"/>
        </w:rPr>
        <w:t xml:space="preserve"> agonist that is taken orally once daily. A recent randomized, placebo-controlled study in patients with ITP refractory to other primary treatments found that </w:t>
      </w:r>
      <w:proofErr w:type="spellStart"/>
      <w:r w:rsidRPr="00904142">
        <w:rPr>
          <w:rFonts w:ascii="Book Antiqua" w:hAnsi="Book Antiqua"/>
        </w:rPr>
        <w:t>eltrombopag</w:t>
      </w:r>
      <w:proofErr w:type="spellEnd"/>
      <w:r w:rsidRPr="00904142">
        <w:rPr>
          <w:rFonts w:ascii="Book Antiqua" w:hAnsi="Book Antiqua"/>
        </w:rPr>
        <w:t xml:space="preserve"> was highly effective in raising platelet counts over the 6 </w:t>
      </w:r>
      <w:proofErr w:type="spellStart"/>
      <w:r w:rsidRPr="00904142">
        <w:rPr>
          <w:rFonts w:ascii="Book Antiqua" w:hAnsi="Book Antiqua"/>
        </w:rPr>
        <w:t>mo</w:t>
      </w:r>
      <w:proofErr w:type="spellEnd"/>
      <w:r w:rsidRPr="00904142">
        <w:rPr>
          <w:rFonts w:ascii="Book Antiqua" w:hAnsi="Book Antiqua"/>
        </w:rPr>
        <w:t xml:space="preserve"> of the study. Like </w:t>
      </w:r>
      <w:proofErr w:type="spellStart"/>
      <w:r w:rsidRPr="00904142">
        <w:rPr>
          <w:rFonts w:ascii="Book Antiqua" w:hAnsi="Book Antiqua"/>
        </w:rPr>
        <w:t>romiplostim</w:t>
      </w:r>
      <w:proofErr w:type="spellEnd"/>
      <w:r w:rsidRPr="00904142">
        <w:rPr>
          <w:rFonts w:ascii="Book Antiqua" w:hAnsi="Book Antiqua"/>
        </w:rPr>
        <w:t xml:space="preserve">, it was effective in both </w:t>
      </w:r>
      <w:proofErr w:type="spellStart"/>
      <w:r w:rsidRPr="00904142">
        <w:rPr>
          <w:rFonts w:ascii="Book Antiqua" w:hAnsi="Book Antiqua"/>
        </w:rPr>
        <w:t>splenectomized</w:t>
      </w:r>
      <w:proofErr w:type="spellEnd"/>
      <w:r w:rsidRPr="00904142">
        <w:rPr>
          <w:rFonts w:ascii="Book Antiqua" w:hAnsi="Book Antiqua"/>
        </w:rPr>
        <w:t xml:space="preserve"> and </w:t>
      </w:r>
      <w:proofErr w:type="spellStart"/>
      <w:r w:rsidRPr="00904142">
        <w:rPr>
          <w:rFonts w:ascii="Book Antiqua" w:hAnsi="Book Antiqua"/>
        </w:rPr>
        <w:t>nonsplenectomized</w:t>
      </w:r>
      <w:proofErr w:type="spellEnd"/>
      <w:r w:rsidRPr="00904142">
        <w:rPr>
          <w:rFonts w:ascii="Book Antiqua" w:hAnsi="Book Antiqua"/>
        </w:rPr>
        <w:t xml:space="preserve"> patients. </w:t>
      </w:r>
    </w:p>
    <w:p w:rsidR="00FA650B" w:rsidRPr="00904142" w:rsidRDefault="00FA650B" w:rsidP="0051331B">
      <w:pPr>
        <w:spacing w:beforeLines="1" w:before="2" w:afterLines="1" w:after="2" w:line="360" w:lineRule="auto"/>
        <w:ind w:firstLineChars="100" w:firstLine="240"/>
        <w:jc w:val="both"/>
        <w:rPr>
          <w:rFonts w:ascii="Book Antiqua" w:hAnsi="Book Antiqua"/>
        </w:rPr>
      </w:pPr>
      <w:r w:rsidRPr="00904142">
        <w:rPr>
          <w:rFonts w:ascii="Book Antiqua" w:hAnsi="Book Antiqua"/>
        </w:rPr>
        <w:lastRenderedPageBreak/>
        <w:t xml:space="preserve">Although </w:t>
      </w:r>
      <w:proofErr w:type="spellStart"/>
      <w:r w:rsidRPr="00904142">
        <w:rPr>
          <w:rFonts w:ascii="Book Antiqua" w:hAnsi="Book Antiqua"/>
        </w:rPr>
        <w:t>eltrombopag</w:t>
      </w:r>
      <w:proofErr w:type="spellEnd"/>
      <w:r w:rsidRPr="00904142">
        <w:rPr>
          <w:rFonts w:ascii="Book Antiqua" w:hAnsi="Book Antiqua"/>
        </w:rPr>
        <w:t xml:space="preserve"> has not been studied for as long as </w:t>
      </w:r>
      <w:proofErr w:type="spellStart"/>
      <w:r w:rsidRPr="00904142">
        <w:rPr>
          <w:rFonts w:ascii="Book Antiqua" w:hAnsi="Book Antiqua"/>
        </w:rPr>
        <w:t>romiplostim</w:t>
      </w:r>
      <w:proofErr w:type="spellEnd"/>
      <w:r w:rsidRPr="00904142">
        <w:rPr>
          <w:rFonts w:ascii="Book Antiqua" w:hAnsi="Book Antiqua"/>
        </w:rPr>
        <w:t xml:space="preserve">, data over 3 years indicate that increased platelet counts are maintained without the emergence of drug resistance or cumulative toxicity. Several other drugs in this class are currently in </w:t>
      </w:r>
      <w:proofErr w:type="gramStart"/>
      <w:r w:rsidRPr="00904142">
        <w:rPr>
          <w:rFonts w:ascii="Book Antiqua" w:hAnsi="Book Antiqua"/>
        </w:rPr>
        <w:t>development</w:t>
      </w:r>
      <w:r w:rsidRPr="00FD1384">
        <w:rPr>
          <w:rFonts w:ascii="Book Antiqua" w:hAnsi="Book Antiqua"/>
          <w:vertAlign w:val="superscript"/>
          <w:lang w:eastAsia="zh-CN"/>
        </w:rPr>
        <w:t>[</w:t>
      </w:r>
      <w:proofErr w:type="gramEnd"/>
      <w:r w:rsidRPr="00FD1384">
        <w:rPr>
          <w:rFonts w:ascii="Book Antiqua" w:hAnsi="Book Antiqua"/>
          <w:vertAlign w:val="superscript"/>
        </w:rPr>
        <w:t>5</w:t>
      </w:r>
      <w:r>
        <w:rPr>
          <w:rFonts w:ascii="Book Antiqua" w:hAnsi="Book Antiqua"/>
          <w:vertAlign w:val="superscript"/>
          <w:lang w:eastAsia="zh-CN"/>
        </w:rPr>
        <w:t>1</w:t>
      </w:r>
      <w:r w:rsidRPr="00FD1384">
        <w:rPr>
          <w:rFonts w:ascii="Book Antiqua" w:hAnsi="Book Antiqua"/>
          <w:vertAlign w:val="superscript"/>
        </w:rPr>
        <w:t>, 5</w:t>
      </w:r>
      <w:r>
        <w:rPr>
          <w:rFonts w:ascii="Book Antiqua" w:hAnsi="Book Antiqua"/>
          <w:vertAlign w:val="superscript"/>
          <w:lang w:eastAsia="zh-CN"/>
        </w:rPr>
        <w:t>2</w:t>
      </w:r>
      <w:r w:rsidRPr="00FD1384">
        <w:rPr>
          <w:rFonts w:ascii="Book Antiqua" w:hAnsi="Book Antiqua"/>
          <w:vertAlign w:val="superscript"/>
          <w:lang w:eastAsia="zh-CN"/>
        </w:rPr>
        <w:t>]</w:t>
      </w:r>
      <w:r w:rsidRPr="00904142">
        <w:rPr>
          <w:rFonts w:ascii="Book Antiqua" w:hAnsi="Book Antiqua"/>
        </w:rPr>
        <w:t xml:space="preserve">. </w:t>
      </w:r>
    </w:p>
    <w:p w:rsidR="00FA650B" w:rsidRPr="00904142" w:rsidRDefault="00FA650B" w:rsidP="00904142">
      <w:pPr>
        <w:pStyle w:val="a3"/>
        <w:spacing w:before="2" w:after="2" w:line="360" w:lineRule="auto"/>
        <w:jc w:val="both"/>
        <w:rPr>
          <w:rFonts w:ascii="Book Antiqua" w:hAnsi="Book Antiqua"/>
          <w:sz w:val="24"/>
          <w:szCs w:val="24"/>
        </w:rPr>
      </w:pPr>
    </w:p>
    <w:p w:rsidR="00FA650B" w:rsidRPr="00904142" w:rsidRDefault="00FA650B" w:rsidP="00904142">
      <w:pPr>
        <w:spacing w:after="0" w:line="360" w:lineRule="auto"/>
        <w:jc w:val="both"/>
        <w:rPr>
          <w:rFonts w:ascii="Book Antiqua" w:hAnsi="Book Antiqua"/>
          <w:b/>
          <w:bCs/>
          <w:lang w:eastAsia="zh-CN"/>
        </w:rPr>
      </w:pPr>
      <w:r>
        <w:rPr>
          <w:rFonts w:ascii="Book Antiqua" w:hAnsi="Book Antiqua"/>
          <w:b/>
          <w:bCs/>
        </w:rPr>
        <w:t>CONCLUSION</w:t>
      </w:r>
    </w:p>
    <w:p w:rsidR="00FA650B" w:rsidRPr="00904142" w:rsidRDefault="00FA650B" w:rsidP="00904142">
      <w:pPr>
        <w:spacing w:after="0" w:line="360" w:lineRule="auto"/>
        <w:jc w:val="both"/>
        <w:rPr>
          <w:rFonts w:ascii="Book Antiqua" w:hAnsi="Book Antiqua"/>
          <w:bCs/>
        </w:rPr>
      </w:pPr>
      <w:r w:rsidRPr="00904142">
        <w:rPr>
          <w:rFonts w:ascii="Book Antiqua" w:hAnsi="Book Antiqua"/>
          <w:bCs/>
        </w:rPr>
        <w:t xml:space="preserve">The pathophysiology of ITP is complex and abnormalities of both the B and the T-cell compartments have been identified. The mechanisms of the thrombocytopenia involve both increased platelet destruction and, in a significant proportion of cases, impaired platelet production. </w:t>
      </w:r>
    </w:p>
    <w:p w:rsidR="00FA650B" w:rsidRPr="00904142" w:rsidRDefault="00FA650B" w:rsidP="00FD1384">
      <w:pPr>
        <w:spacing w:after="0" w:line="360" w:lineRule="auto"/>
        <w:ind w:firstLineChars="100" w:firstLine="240"/>
        <w:jc w:val="both"/>
        <w:rPr>
          <w:rFonts w:ascii="Book Antiqua" w:hAnsi="Book Antiqua"/>
          <w:bCs/>
        </w:rPr>
      </w:pPr>
      <w:r w:rsidRPr="00904142">
        <w:rPr>
          <w:rFonts w:ascii="Book Antiqua" w:hAnsi="Book Antiqua"/>
          <w:bCs/>
        </w:rPr>
        <w:t>Splenectomy has historically been the second-line therapy for adults with ITP in whom achieving a safe platelet count with initial corticosteroid and/or immunoglobulin therapy has failed. Although it still remains the therapeutic modality that offers the highest chances of cure, its position in the therapeutic algorithm of ITP is currently challenged. Rituximab has been shown to have a limited but valuable activity as a splenectomy sparing agent, and is generally tolerated very well. The TPO-receptor agonists have undergone a formal, systematic investigation, and have been licensed for use in adult patients with ITP. These agents appear to be very effective in a high percentage of patients with chronic and refractory disease, and appear to have a favorable side-effect profile in the short and medium term. Potential long-term side effects of TPO-receptor agonists remain a concern and suggest their prudent use in young, non-</w:t>
      </w:r>
      <w:proofErr w:type="spellStart"/>
      <w:r w:rsidRPr="00904142">
        <w:rPr>
          <w:rFonts w:ascii="Book Antiqua" w:hAnsi="Book Antiqua"/>
          <w:bCs/>
        </w:rPr>
        <w:t>splenectomized</w:t>
      </w:r>
      <w:proofErr w:type="spellEnd"/>
      <w:r w:rsidRPr="00904142">
        <w:rPr>
          <w:rFonts w:ascii="Book Antiqua" w:hAnsi="Book Antiqua"/>
          <w:bCs/>
        </w:rPr>
        <w:t xml:space="preserve"> patients</w:t>
      </w:r>
      <w:r w:rsidRPr="00904142">
        <w:rPr>
          <w:rFonts w:ascii="Book Antiqua" w:hAnsi="Book Antiqua"/>
          <w:b/>
          <w:bCs/>
        </w:rPr>
        <w:t>.</w:t>
      </w:r>
    </w:p>
    <w:p w:rsidR="00FA650B" w:rsidRPr="00904142" w:rsidRDefault="00FA650B" w:rsidP="00904142">
      <w:pPr>
        <w:spacing w:after="0" w:line="360" w:lineRule="auto"/>
        <w:jc w:val="both"/>
        <w:rPr>
          <w:rFonts w:ascii="Book Antiqua" w:hAnsi="Book Antiqua"/>
        </w:rPr>
      </w:pPr>
    </w:p>
    <w:p w:rsidR="00FA650B" w:rsidRPr="00C565F0" w:rsidRDefault="00FA650B" w:rsidP="00C565F0">
      <w:pPr>
        <w:spacing w:after="0" w:line="360" w:lineRule="auto"/>
        <w:jc w:val="both"/>
        <w:rPr>
          <w:rFonts w:ascii="Book Antiqua" w:hAnsi="Book Antiqua"/>
        </w:rPr>
      </w:pPr>
    </w:p>
    <w:p w:rsidR="00FA650B" w:rsidRPr="00C565F0" w:rsidRDefault="00FA650B" w:rsidP="00C565F0">
      <w:pPr>
        <w:spacing w:after="0" w:line="360" w:lineRule="auto"/>
        <w:jc w:val="both"/>
        <w:rPr>
          <w:rFonts w:ascii="Book Antiqua" w:hAnsi="Book Antiqua"/>
          <w:b/>
        </w:rPr>
      </w:pPr>
      <w:r w:rsidRPr="00C565F0">
        <w:rPr>
          <w:rFonts w:ascii="Book Antiqua" w:hAnsi="Book Antiqua"/>
          <w:b/>
        </w:rPr>
        <w:t xml:space="preserve">REFERENCES </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1 </w:t>
      </w:r>
      <w:proofErr w:type="spellStart"/>
      <w:r w:rsidRPr="00C565F0">
        <w:rPr>
          <w:rFonts w:ascii="Book Antiqua" w:hAnsi="Book Antiqua" w:cs="宋体"/>
          <w:b/>
          <w:bCs/>
          <w:color w:val="000000"/>
          <w:lang w:eastAsia="zh-CN"/>
        </w:rPr>
        <w:t>Rodeghiero</w:t>
      </w:r>
      <w:proofErr w:type="spellEnd"/>
      <w:r w:rsidRPr="00C565F0">
        <w:rPr>
          <w:rFonts w:ascii="Book Antiqua" w:hAnsi="Book Antiqua" w:cs="宋体"/>
          <w:b/>
          <w:bCs/>
          <w:color w:val="000000"/>
          <w:lang w:eastAsia="zh-CN"/>
        </w:rPr>
        <w:t xml:space="preserve"> F</w:t>
      </w:r>
      <w:r w:rsidRPr="00C565F0">
        <w:rPr>
          <w:rFonts w:ascii="Book Antiqua" w:hAnsi="Book Antiqua" w:cs="宋体"/>
          <w:color w:val="000000"/>
          <w:lang w:eastAsia="zh-CN"/>
        </w:rPr>
        <w:t xml:space="preserve">, Stasi R, </w:t>
      </w:r>
      <w:proofErr w:type="spellStart"/>
      <w:r w:rsidRPr="00C565F0">
        <w:rPr>
          <w:rFonts w:ascii="Book Antiqua" w:hAnsi="Book Antiqua" w:cs="宋体"/>
          <w:color w:val="000000"/>
          <w:lang w:eastAsia="zh-CN"/>
        </w:rPr>
        <w:t>Gernsheimer</w:t>
      </w:r>
      <w:proofErr w:type="spellEnd"/>
      <w:r w:rsidRPr="00C565F0">
        <w:rPr>
          <w:rFonts w:ascii="Book Antiqua" w:hAnsi="Book Antiqua" w:cs="宋体"/>
          <w:color w:val="000000"/>
          <w:lang w:eastAsia="zh-CN"/>
        </w:rPr>
        <w:t xml:space="preserve"> T, Michel M, </w:t>
      </w:r>
      <w:proofErr w:type="spellStart"/>
      <w:r w:rsidRPr="00C565F0">
        <w:rPr>
          <w:rFonts w:ascii="Book Antiqua" w:hAnsi="Book Antiqua" w:cs="宋体"/>
          <w:color w:val="000000"/>
          <w:lang w:eastAsia="zh-CN"/>
        </w:rPr>
        <w:t>Provan</w:t>
      </w:r>
      <w:proofErr w:type="spellEnd"/>
      <w:r w:rsidRPr="00C565F0">
        <w:rPr>
          <w:rFonts w:ascii="Book Antiqua" w:hAnsi="Book Antiqua" w:cs="宋体"/>
          <w:color w:val="000000"/>
          <w:lang w:eastAsia="zh-CN"/>
        </w:rPr>
        <w:t xml:space="preserve"> D, Arnold DM,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Cines DB, Chong BH, Cooper N, </w:t>
      </w:r>
      <w:proofErr w:type="spellStart"/>
      <w:r w:rsidRPr="00C565F0">
        <w:rPr>
          <w:rFonts w:ascii="Book Antiqua" w:hAnsi="Book Antiqua" w:cs="宋体"/>
          <w:color w:val="000000"/>
          <w:lang w:eastAsia="zh-CN"/>
        </w:rPr>
        <w:t>Godeau</w:t>
      </w:r>
      <w:proofErr w:type="spellEnd"/>
      <w:r w:rsidRPr="00C565F0">
        <w:rPr>
          <w:rFonts w:ascii="Book Antiqua" w:hAnsi="Book Antiqua" w:cs="宋体"/>
          <w:color w:val="000000"/>
          <w:lang w:eastAsia="zh-CN"/>
        </w:rPr>
        <w:t xml:space="preserve"> B, </w:t>
      </w:r>
      <w:proofErr w:type="spellStart"/>
      <w:r w:rsidRPr="00C565F0">
        <w:rPr>
          <w:rFonts w:ascii="Book Antiqua" w:hAnsi="Book Antiqua" w:cs="宋体"/>
          <w:color w:val="000000"/>
          <w:lang w:eastAsia="zh-CN"/>
        </w:rPr>
        <w:t>Lechner</w:t>
      </w:r>
      <w:proofErr w:type="spellEnd"/>
      <w:r w:rsidRPr="00C565F0">
        <w:rPr>
          <w:rFonts w:ascii="Book Antiqua" w:hAnsi="Book Antiqua" w:cs="宋体"/>
          <w:color w:val="000000"/>
          <w:lang w:eastAsia="zh-CN"/>
        </w:rPr>
        <w:t xml:space="preserve"> K, </w:t>
      </w:r>
      <w:proofErr w:type="spellStart"/>
      <w:r w:rsidRPr="00C565F0">
        <w:rPr>
          <w:rFonts w:ascii="Book Antiqua" w:hAnsi="Book Antiqua" w:cs="宋体"/>
          <w:color w:val="000000"/>
          <w:lang w:eastAsia="zh-CN"/>
        </w:rPr>
        <w:t>Mazzucconi</w:t>
      </w:r>
      <w:proofErr w:type="spellEnd"/>
      <w:r w:rsidRPr="00C565F0">
        <w:rPr>
          <w:rFonts w:ascii="Book Antiqua" w:hAnsi="Book Antiqua" w:cs="宋体"/>
          <w:color w:val="000000"/>
          <w:lang w:eastAsia="zh-CN"/>
        </w:rPr>
        <w:t xml:space="preserve"> MG, McMillan R, </w:t>
      </w:r>
      <w:proofErr w:type="spellStart"/>
      <w:r w:rsidRPr="00C565F0">
        <w:rPr>
          <w:rFonts w:ascii="Book Antiqua" w:hAnsi="Book Antiqua" w:cs="宋体"/>
          <w:color w:val="000000"/>
          <w:lang w:eastAsia="zh-CN"/>
        </w:rPr>
        <w:t>Sanz</w:t>
      </w:r>
      <w:proofErr w:type="spellEnd"/>
      <w:r w:rsidRPr="00C565F0">
        <w:rPr>
          <w:rFonts w:ascii="Book Antiqua" w:hAnsi="Book Antiqua" w:cs="宋体"/>
          <w:color w:val="000000"/>
          <w:lang w:eastAsia="zh-CN"/>
        </w:rPr>
        <w:t xml:space="preserve"> MA, </w:t>
      </w:r>
      <w:proofErr w:type="spellStart"/>
      <w:r w:rsidRPr="00C565F0">
        <w:rPr>
          <w:rFonts w:ascii="Book Antiqua" w:hAnsi="Book Antiqua" w:cs="宋体"/>
          <w:color w:val="000000"/>
          <w:lang w:eastAsia="zh-CN"/>
        </w:rPr>
        <w:t>Imbach</w:t>
      </w:r>
      <w:proofErr w:type="spellEnd"/>
      <w:r w:rsidRPr="00C565F0">
        <w:rPr>
          <w:rFonts w:ascii="Book Antiqua" w:hAnsi="Book Antiqua" w:cs="宋体"/>
          <w:color w:val="000000"/>
          <w:lang w:eastAsia="zh-CN"/>
        </w:rPr>
        <w:t xml:space="preserve"> P, </w:t>
      </w:r>
      <w:proofErr w:type="spellStart"/>
      <w:r w:rsidRPr="00C565F0">
        <w:rPr>
          <w:rFonts w:ascii="Book Antiqua" w:hAnsi="Book Antiqua" w:cs="宋体"/>
          <w:color w:val="000000"/>
          <w:lang w:eastAsia="zh-CN"/>
        </w:rPr>
        <w:t>Blanchette</w:t>
      </w:r>
      <w:proofErr w:type="spellEnd"/>
      <w:r w:rsidRPr="00C565F0">
        <w:rPr>
          <w:rFonts w:ascii="Book Antiqua" w:hAnsi="Book Antiqua" w:cs="宋体"/>
          <w:color w:val="000000"/>
          <w:lang w:eastAsia="zh-CN"/>
        </w:rPr>
        <w:t xml:space="preserve"> V, </w:t>
      </w:r>
      <w:proofErr w:type="spellStart"/>
      <w:r w:rsidRPr="00C565F0">
        <w:rPr>
          <w:rFonts w:ascii="Book Antiqua" w:hAnsi="Book Antiqua" w:cs="宋体"/>
          <w:color w:val="000000"/>
          <w:lang w:eastAsia="zh-CN"/>
        </w:rPr>
        <w:t>Kühne</w:t>
      </w:r>
      <w:proofErr w:type="spellEnd"/>
      <w:r w:rsidRPr="00C565F0">
        <w:rPr>
          <w:rFonts w:ascii="Book Antiqua" w:hAnsi="Book Antiqua" w:cs="宋体"/>
          <w:color w:val="000000"/>
          <w:lang w:eastAsia="zh-CN"/>
        </w:rPr>
        <w:t xml:space="preserve"> T, Ruggeri M, George JN. Standardization of terminology, definitions and outcome criteria in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of adults and children: report from an </w:t>
      </w:r>
      <w:r w:rsidRPr="00C565F0">
        <w:rPr>
          <w:rFonts w:ascii="Book Antiqua" w:hAnsi="Book Antiqua" w:cs="宋体"/>
          <w:color w:val="000000"/>
          <w:lang w:eastAsia="zh-CN"/>
        </w:rPr>
        <w:lastRenderedPageBreak/>
        <w:t>international working group.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2009; </w:t>
      </w:r>
      <w:r w:rsidRPr="00C565F0">
        <w:rPr>
          <w:rFonts w:ascii="Book Antiqua" w:hAnsi="Book Antiqua" w:cs="宋体"/>
          <w:b/>
          <w:bCs/>
          <w:color w:val="000000"/>
          <w:lang w:eastAsia="zh-CN"/>
        </w:rPr>
        <w:t>113</w:t>
      </w:r>
      <w:r w:rsidRPr="00C565F0">
        <w:rPr>
          <w:rFonts w:ascii="Book Antiqua" w:hAnsi="Book Antiqua" w:cs="宋体"/>
          <w:color w:val="000000"/>
          <w:lang w:eastAsia="zh-CN"/>
        </w:rPr>
        <w:t>: 2386-2393 [PMID: 19005182 DOI: 10.1182/blood-2008-07-162503</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2 </w:t>
      </w:r>
      <w:proofErr w:type="spellStart"/>
      <w:r w:rsidRPr="00C565F0">
        <w:rPr>
          <w:rFonts w:ascii="Book Antiqua" w:hAnsi="Book Antiqua" w:cs="宋体"/>
          <w:b/>
          <w:bCs/>
          <w:color w:val="000000"/>
          <w:lang w:eastAsia="zh-CN"/>
        </w:rPr>
        <w:t>Provan</w:t>
      </w:r>
      <w:proofErr w:type="spellEnd"/>
      <w:r w:rsidRPr="00C565F0">
        <w:rPr>
          <w:rFonts w:ascii="Book Antiqua" w:hAnsi="Book Antiqua" w:cs="宋体"/>
          <w:b/>
          <w:bCs/>
          <w:color w:val="000000"/>
          <w:lang w:eastAsia="zh-CN"/>
        </w:rPr>
        <w:t xml:space="preserve"> D</w:t>
      </w:r>
      <w:r w:rsidRPr="00C565F0">
        <w:rPr>
          <w:rFonts w:ascii="Book Antiqua" w:hAnsi="Book Antiqua" w:cs="宋体"/>
          <w:color w:val="000000"/>
          <w:lang w:eastAsia="zh-CN"/>
        </w:rPr>
        <w:t xml:space="preserve">, Stasi R, Newland AC, </w:t>
      </w:r>
      <w:proofErr w:type="spellStart"/>
      <w:r w:rsidRPr="00C565F0">
        <w:rPr>
          <w:rFonts w:ascii="Book Antiqua" w:hAnsi="Book Antiqua" w:cs="宋体"/>
          <w:color w:val="000000"/>
          <w:lang w:eastAsia="zh-CN"/>
        </w:rPr>
        <w:t>Blanchette</w:t>
      </w:r>
      <w:proofErr w:type="spellEnd"/>
      <w:r w:rsidRPr="00C565F0">
        <w:rPr>
          <w:rFonts w:ascii="Book Antiqua" w:hAnsi="Book Antiqua" w:cs="宋体"/>
          <w:color w:val="000000"/>
          <w:lang w:eastAsia="zh-CN"/>
        </w:rPr>
        <w:t xml:space="preserve"> VS, Bolton-</w:t>
      </w:r>
      <w:proofErr w:type="spellStart"/>
      <w:r w:rsidRPr="00C565F0">
        <w:rPr>
          <w:rFonts w:ascii="Book Antiqua" w:hAnsi="Book Antiqua" w:cs="宋体"/>
          <w:color w:val="000000"/>
          <w:lang w:eastAsia="zh-CN"/>
        </w:rPr>
        <w:t>Maggs</w:t>
      </w:r>
      <w:proofErr w:type="spellEnd"/>
      <w:r w:rsidRPr="00C565F0">
        <w:rPr>
          <w:rFonts w:ascii="Book Antiqua" w:hAnsi="Book Antiqua" w:cs="宋体"/>
          <w:color w:val="000000"/>
          <w:lang w:eastAsia="zh-CN"/>
        </w:rPr>
        <w:t xml:space="preserve"> P,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Chong BH, Cines DB, </w:t>
      </w:r>
      <w:proofErr w:type="spellStart"/>
      <w:r w:rsidRPr="00C565F0">
        <w:rPr>
          <w:rFonts w:ascii="Book Antiqua" w:hAnsi="Book Antiqua" w:cs="宋体"/>
          <w:color w:val="000000"/>
          <w:lang w:eastAsia="zh-CN"/>
        </w:rPr>
        <w:t>Gernsheimer</w:t>
      </w:r>
      <w:proofErr w:type="spellEnd"/>
      <w:r w:rsidRPr="00C565F0">
        <w:rPr>
          <w:rFonts w:ascii="Book Antiqua" w:hAnsi="Book Antiqua" w:cs="宋体"/>
          <w:color w:val="000000"/>
          <w:lang w:eastAsia="zh-CN"/>
        </w:rPr>
        <w:t xml:space="preserve"> TB, </w:t>
      </w:r>
      <w:proofErr w:type="spellStart"/>
      <w:r w:rsidRPr="00C565F0">
        <w:rPr>
          <w:rFonts w:ascii="Book Antiqua" w:hAnsi="Book Antiqua" w:cs="宋体"/>
          <w:color w:val="000000"/>
          <w:lang w:eastAsia="zh-CN"/>
        </w:rPr>
        <w:t>Godeau</w:t>
      </w:r>
      <w:proofErr w:type="spellEnd"/>
      <w:r w:rsidRPr="00C565F0">
        <w:rPr>
          <w:rFonts w:ascii="Book Antiqua" w:hAnsi="Book Antiqua" w:cs="宋体"/>
          <w:color w:val="000000"/>
          <w:lang w:eastAsia="zh-CN"/>
        </w:rPr>
        <w:t xml:space="preserve"> B, Grainger J, Greer I, Hunt BJ, </w:t>
      </w:r>
      <w:proofErr w:type="spellStart"/>
      <w:r w:rsidRPr="00C565F0">
        <w:rPr>
          <w:rFonts w:ascii="Book Antiqua" w:hAnsi="Book Antiqua" w:cs="宋体"/>
          <w:color w:val="000000"/>
          <w:lang w:eastAsia="zh-CN"/>
        </w:rPr>
        <w:t>Imbach</w:t>
      </w:r>
      <w:proofErr w:type="spellEnd"/>
      <w:r w:rsidRPr="00C565F0">
        <w:rPr>
          <w:rFonts w:ascii="Book Antiqua" w:hAnsi="Book Antiqua" w:cs="宋体"/>
          <w:color w:val="000000"/>
          <w:lang w:eastAsia="zh-CN"/>
        </w:rPr>
        <w:t xml:space="preserve"> PA, Lyons G, McMillan R, </w:t>
      </w:r>
      <w:proofErr w:type="spellStart"/>
      <w:r w:rsidRPr="00C565F0">
        <w:rPr>
          <w:rFonts w:ascii="Book Antiqua" w:hAnsi="Book Antiqua" w:cs="宋体"/>
          <w:color w:val="000000"/>
          <w:lang w:eastAsia="zh-CN"/>
        </w:rPr>
        <w:t>Rodeghiero</w:t>
      </w:r>
      <w:proofErr w:type="spellEnd"/>
      <w:r w:rsidRPr="00C565F0">
        <w:rPr>
          <w:rFonts w:ascii="Book Antiqua" w:hAnsi="Book Antiqua" w:cs="宋体"/>
          <w:color w:val="000000"/>
          <w:lang w:eastAsia="zh-CN"/>
        </w:rPr>
        <w:t xml:space="preserve"> F, </w:t>
      </w:r>
      <w:proofErr w:type="spellStart"/>
      <w:r w:rsidRPr="00C565F0">
        <w:rPr>
          <w:rFonts w:ascii="Book Antiqua" w:hAnsi="Book Antiqua" w:cs="宋体"/>
          <w:color w:val="000000"/>
          <w:lang w:eastAsia="zh-CN"/>
        </w:rPr>
        <w:t>Sanz</w:t>
      </w:r>
      <w:proofErr w:type="spellEnd"/>
      <w:r w:rsidRPr="00C565F0">
        <w:rPr>
          <w:rFonts w:ascii="Book Antiqua" w:hAnsi="Book Antiqua" w:cs="宋体"/>
          <w:color w:val="000000"/>
          <w:lang w:eastAsia="zh-CN"/>
        </w:rPr>
        <w:t xml:space="preserve"> MA, Tarantino M, Watson S, Young J, </w:t>
      </w:r>
      <w:proofErr w:type="spellStart"/>
      <w:r w:rsidRPr="00C565F0">
        <w:rPr>
          <w:rFonts w:ascii="Book Antiqua" w:hAnsi="Book Antiqua" w:cs="宋体"/>
          <w:color w:val="000000"/>
          <w:lang w:eastAsia="zh-CN"/>
        </w:rPr>
        <w:t>Kuter</w:t>
      </w:r>
      <w:proofErr w:type="spellEnd"/>
      <w:r w:rsidRPr="00C565F0">
        <w:rPr>
          <w:rFonts w:ascii="Book Antiqua" w:hAnsi="Book Antiqua" w:cs="宋体"/>
          <w:color w:val="000000"/>
          <w:lang w:eastAsia="zh-CN"/>
        </w:rPr>
        <w:t xml:space="preserve"> DJ. </w:t>
      </w:r>
      <w:proofErr w:type="gramStart"/>
      <w:r w:rsidRPr="00C565F0">
        <w:rPr>
          <w:rFonts w:ascii="Book Antiqua" w:hAnsi="Book Antiqua" w:cs="宋体"/>
          <w:color w:val="000000"/>
          <w:lang w:eastAsia="zh-CN"/>
        </w:rPr>
        <w:t>International consensus report on the investigation and management of primary immune thrombocytopenia.</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2010; </w:t>
      </w:r>
      <w:r w:rsidRPr="00C565F0">
        <w:rPr>
          <w:rFonts w:ascii="Book Antiqua" w:hAnsi="Book Antiqua" w:cs="宋体"/>
          <w:b/>
          <w:bCs/>
          <w:color w:val="000000"/>
          <w:lang w:eastAsia="zh-CN"/>
        </w:rPr>
        <w:t>115</w:t>
      </w:r>
      <w:r w:rsidRPr="00C565F0">
        <w:rPr>
          <w:rFonts w:ascii="Book Antiqua" w:hAnsi="Book Antiqua" w:cs="宋体"/>
          <w:color w:val="000000"/>
          <w:lang w:eastAsia="zh-CN"/>
        </w:rPr>
        <w:t>: 168-186 [PMID: 19846889 DOI: 10.1182/blood-2009-06-225565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3 </w:t>
      </w:r>
      <w:r w:rsidRPr="00C565F0">
        <w:rPr>
          <w:rFonts w:ascii="Book Antiqua" w:hAnsi="Book Antiqua" w:cs="宋体"/>
          <w:b/>
          <w:bCs/>
          <w:color w:val="000000"/>
          <w:lang w:eastAsia="zh-CN"/>
        </w:rPr>
        <w:t>Stasi R</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Amadori</w:t>
      </w:r>
      <w:proofErr w:type="spellEnd"/>
      <w:r w:rsidRPr="00C565F0">
        <w:rPr>
          <w:rFonts w:ascii="Book Antiqua" w:hAnsi="Book Antiqua" w:cs="宋体"/>
          <w:color w:val="000000"/>
          <w:lang w:eastAsia="zh-CN"/>
        </w:rPr>
        <w:t xml:space="preserve"> S, Osborn J, Newland AC, </w:t>
      </w:r>
      <w:proofErr w:type="spellStart"/>
      <w:r w:rsidRPr="00C565F0">
        <w:rPr>
          <w:rFonts w:ascii="Book Antiqua" w:hAnsi="Book Antiqua" w:cs="宋体"/>
          <w:color w:val="000000"/>
          <w:lang w:eastAsia="zh-CN"/>
        </w:rPr>
        <w:t>Provan</w:t>
      </w:r>
      <w:proofErr w:type="spellEnd"/>
      <w:r w:rsidRPr="00C565F0">
        <w:rPr>
          <w:rFonts w:ascii="Book Antiqua" w:hAnsi="Book Antiqua" w:cs="宋体"/>
          <w:color w:val="000000"/>
          <w:lang w:eastAsia="zh-CN"/>
        </w:rPr>
        <w:t xml:space="preserve"> D. Long-term outcome of otherwise healthy individuals with incidentally discovered borderline thrombocytopenia. </w:t>
      </w:r>
      <w:proofErr w:type="spellStart"/>
      <w:r w:rsidRPr="00C565F0">
        <w:rPr>
          <w:rFonts w:ascii="Book Antiqua" w:hAnsi="Book Antiqua" w:cs="宋体"/>
          <w:i/>
          <w:iCs/>
          <w:color w:val="000000"/>
          <w:lang w:eastAsia="zh-CN"/>
        </w:rPr>
        <w:t>PLoS</w:t>
      </w:r>
      <w:proofErr w:type="spellEnd"/>
      <w:r w:rsidRPr="00C565F0">
        <w:rPr>
          <w:rFonts w:ascii="Book Antiqua" w:hAnsi="Book Antiqua" w:cs="宋体"/>
          <w:i/>
          <w:iCs/>
          <w:color w:val="000000"/>
          <w:lang w:eastAsia="zh-CN"/>
        </w:rPr>
        <w:t xml:space="preserve"> Med</w:t>
      </w:r>
      <w:r w:rsidRPr="00C565F0">
        <w:rPr>
          <w:rFonts w:ascii="Book Antiqua" w:hAnsi="Book Antiqua" w:cs="宋体"/>
          <w:color w:val="000000"/>
          <w:lang w:eastAsia="zh-CN"/>
        </w:rPr>
        <w:t> 2006; </w:t>
      </w:r>
      <w:r w:rsidRPr="00C565F0">
        <w:rPr>
          <w:rFonts w:ascii="Book Antiqua" w:hAnsi="Book Antiqua" w:cs="宋体"/>
          <w:b/>
          <w:bCs/>
          <w:color w:val="000000"/>
          <w:lang w:eastAsia="zh-CN"/>
        </w:rPr>
        <w:t>3</w:t>
      </w:r>
      <w:r w:rsidRPr="00C565F0">
        <w:rPr>
          <w:rFonts w:ascii="Book Antiqua" w:hAnsi="Book Antiqua" w:cs="宋体"/>
          <w:color w:val="000000"/>
          <w:lang w:eastAsia="zh-CN"/>
        </w:rPr>
        <w:t>: e24 [PMID: 16401142 DOI: 10.1371/journal.pmed.0030024</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 xml:space="preserve">4 </w:t>
      </w:r>
      <w:proofErr w:type="spellStart"/>
      <w:r w:rsidRPr="00C565F0">
        <w:rPr>
          <w:rFonts w:ascii="Book Antiqua" w:hAnsi="Book Antiqua" w:cs="宋体"/>
          <w:b/>
          <w:color w:val="000000"/>
          <w:lang w:eastAsia="zh-CN"/>
        </w:rPr>
        <w:t>Thienelt</w:t>
      </w:r>
      <w:proofErr w:type="spellEnd"/>
      <w:r w:rsidRPr="00C565F0">
        <w:rPr>
          <w:rFonts w:ascii="Book Antiqua" w:hAnsi="Book Antiqua" w:cs="宋体"/>
          <w:b/>
          <w:color w:val="000000"/>
          <w:lang w:eastAsia="zh-CN"/>
        </w:rPr>
        <w:t xml:space="preserve"> CD,</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Calverley</w:t>
      </w:r>
      <w:proofErr w:type="spellEnd"/>
      <w:r w:rsidRPr="00C565F0">
        <w:rPr>
          <w:rFonts w:ascii="Book Antiqua" w:hAnsi="Book Antiqua" w:cs="宋体"/>
          <w:color w:val="000000"/>
          <w:lang w:eastAsia="zh-CN"/>
        </w:rPr>
        <w:t xml:space="preserve"> DC. Thrombocytopenia Caused by Immunologic Platelet Destruction. </w:t>
      </w:r>
      <w:proofErr w:type="gramStart"/>
      <w:r w:rsidRPr="00C565F0">
        <w:rPr>
          <w:rFonts w:ascii="Book Antiqua" w:hAnsi="Book Antiqua" w:cs="宋体"/>
          <w:color w:val="000000"/>
          <w:lang w:eastAsia="zh-CN"/>
        </w:rPr>
        <w:t xml:space="preserve">Greer JP, </w:t>
      </w:r>
      <w:proofErr w:type="spellStart"/>
      <w:r w:rsidRPr="00C565F0">
        <w:rPr>
          <w:rFonts w:ascii="Book Antiqua" w:hAnsi="Book Antiqua" w:cs="宋体"/>
          <w:color w:val="000000"/>
          <w:lang w:eastAsia="zh-CN"/>
        </w:rPr>
        <w:t>Foerster</w:t>
      </w:r>
      <w:proofErr w:type="spellEnd"/>
      <w:r w:rsidRPr="00C565F0">
        <w:rPr>
          <w:rFonts w:ascii="Book Antiqua" w:hAnsi="Book Antiqua" w:cs="宋体"/>
          <w:color w:val="000000"/>
          <w:lang w:eastAsia="zh-CN"/>
        </w:rPr>
        <w:t xml:space="preserve"> J, Rodgers GM at all.</w:t>
      </w:r>
      <w:proofErr w:type="gramEnd"/>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Wintrobe’s</w:t>
      </w:r>
      <w:proofErr w:type="spellEnd"/>
      <w:r w:rsidRPr="00C565F0">
        <w:rPr>
          <w:rFonts w:ascii="Book Antiqua" w:hAnsi="Book Antiqua" w:cs="宋体"/>
          <w:color w:val="000000"/>
          <w:lang w:eastAsia="zh-CN"/>
        </w:rPr>
        <w:t xml:space="preserve"> Clinical Hematology 12th ed. Lippincott Williams &amp; Wilkins, Ph</w:t>
      </w:r>
      <w:r>
        <w:rPr>
          <w:rFonts w:ascii="Book Antiqua" w:hAnsi="Book Antiqua" w:cs="宋体"/>
          <w:color w:val="000000"/>
          <w:lang w:eastAsia="zh-CN"/>
        </w:rPr>
        <w:t>iladelphia, USA, 2009: 1292-313</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5 </w:t>
      </w:r>
      <w:proofErr w:type="spellStart"/>
      <w:r w:rsidRPr="00C565F0">
        <w:rPr>
          <w:rFonts w:ascii="Book Antiqua" w:hAnsi="Book Antiqua" w:cs="宋体"/>
          <w:b/>
          <w:bCs/>
          <w:color w:val="000000"/>
          <w:lang w:eastAsia="zh-CN"/>
        </w:rPr>
        <w:t>Schoonen</w:t>
      </w:r>
      <w:proofErr w:type="spellEnd"/>
      <w:r w:rsidRPr="00C565F0">
        <w:rPr>
          <w:rFonts w:ascii="Book Antiqua" w:hAnsi="Book Antiqua" w:cs="宋体"/>
          <w:b/>
          <w:bCs/>
          <w:color w:val="000000"/>
          <w:lang w:eastAsia="zh-CN"/>
        </w:rPr>
        <w:t xml:space="preserve"> WM</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Kucera</w:t>
      </w:r>
      <w:proofErr w:type="spellEnd"/>
      <w:r w:rsidRPr="00C565F0">
        <w:rPr>
          <w:rFonts w:ascii="Book Antiqua" w:hAnsi="Book Antiqua" w:cs="宋体"/>
          <w:color w:val="000000"/>
          <w:lang w:eastAsia="zh-CN"/>
        </w:rPr>
        <w:t xml:space="preserve"> G, </w:t>
      </w:r>
      <w:proofErr w:type="spellStart"/>
      <w:r w:rsidRPr="00C565F0">
        <w:rPr>
          <w:rFonts w:ascii="Book Antiqua" w:hAnsi="Book Antiqua" w:cs="宋体"/>
          <w:color w:val="000000"/>
          <w:lang w:eastAsia="zh-CN"/>
        </w:rPr>
        <w:t>Coalson</w:t>
      </w:r>
      <w:proofErr w:type="spellEnd"/>
      <w:r w:rsidRPr="00C565F0">
        <w:rPr>
          <w:rFonts w:ascii="Book Antiqua" w:hAnsi="Book Antiqua" w:cs="宋体"/>
          <w:color w:val="000000"/>
          <w:lang w:eastAsia="zh-CN"/>
        </w:rPr>
        <w:t xml:space="preserve"> J, Li L, </w:t>
      </w:r>
      <w:proofErr w:type="spellStart"/>
      <w:r w:rsidRPr="00C565F0">
        <w:rPr>
          <w:rFonts w:ascii="Book Antiqua" w:hAnsi="Book Antiqua" w:cs="宋体"/>
          <w:color w:val="000000"/>
          <w:lang w:eastAsia="zh-CN"/>
        </w:rPr>
        <w:t>Rutstein</w:t>
      </w:r>
      <w:proofErr w:type="spell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Mowat</w:t>
      </w:r>
      <w:proofErr w:type="spellEnd"/>
      <w:r w:rsidRPr="00C565F0">
        <w:rPr>
          <w:rFonts w:ascii="Book Antiqua" w:hAnsi="Book Antiqua" w:cs="宋体"/>
          <w:color w:val="000000"/>
          <w:lang w:eastAsia="zh-CN"/>
        </w:rPr>
        <w:t xml:space="preserve"> F, </w:t>
      </w:r>
      <w:proofErr w:type="spellStart"/>
      <w:r w:rsidRPr="00C565F0">
        <w:rPr>
          <w:rFonts w:ascii="Book Antiqua" w:hAnsi="Book Antiqua" w:cs="宋体"/>
          <w:color w:val="000000"/>
          <w:lang w:eastAsia="zh-CN"/>
        </w:rPr>
        <w:t>Fryzek</w:t>
      </w:r>
      <w:proofErr w:type="spellEnd"/>
      <w:r w:rsidRPr="00C565F0">
        <w:rPr>
          <w:rFonts w:ascii="Book Antiqua" w:hAnsi="Book Antiqua" w:cs="宋体"/>
          <w:color w:val="000000"/>
          <w:lang w:eastAsia="zh-CN"/>
        </w:rPr>
        <w:t xml:space="preserve"> J, Kaye JA. </w:t>
      </w:r>
      <w:proofErr w:type="gramStart"/>
      <w:r w:rsidRPr="00C565F0">
        <w:rPr>
          <w:rFonts w:ascii="Book Antiqua" w:hAnsi="Book Antiqua" w:cs="宋体"/>
          <w:color w:val="000000"/>
          <w:lang w:eastAsia="zh-CN"/>
        </w:rPr>
        <w:t xml:space="preserve">Epidemiology of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in the General Practice Research Database.</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 xml:space="preserve">Br J </w:t>
      </w:r>
      <w:proofErr w:type="spellStart"/>
      <w:r w:rsidRPr="00C565F0">
        <w:rPr>
          <w:rFonts w:ascii="Book Antiqua" w:hAnsi="Book Antiqua" w:cs="宋体"/>
          <w:i/>
          <w:iCs/>
          <w:color w:val="000000"/>
          <w:lang w:eastAsia="zh-CN"/>
        </w:rPr>
        <w:t>Haematol</w:t>
      </w:r>
      <w:proofErr w:type="spellEnd"/>
      <w:r w:rsidRPr="00C565F0">
        <w:rPr>
          <w:rFonts w:ascii="Book Antiqua" w:hAnsi="Book Antiqua" w:cs="宋体"/>
          <w:color w:val="000000"/>
          <w:lang w:eastAsia="zh-CN"/>
        </w:rPr>
        <w:t> 2009; </w:t>
      </w:r>
      <w:r w:rsidRPr="00C565F0">
        <w:rPr>
          <w:rFonts w:ascii="Book Antiqua" w:hAnsi="Book Antiqua" w:cs="宋体"/>
          <w:b/>
          <w:bCs/>
          <w:color w:val="000000"/>
          <w:lang w:eastAsia="zh-CN"/>
        </w:rPr>
        <w:t>145</w:t>
      </w:r>
      <w:r w:rsidRPr="00C565F0">
        <w:rPr>
          <w:rFonts w:ascii="Book Antiqua" w:hAnsi="Book Antiqua" w:cs="宋体"/>
          <w:color w:val="000000"/>
          <w:lang w:eastAsia="zh-CN"/>
        </w:rPr>
        <w:t>: 235-244 [PMID: 19245432 DOI: 10.1111/j.1365-2141.2009.07615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6 </w:t>
      </w:r>
      <w:r w:rsidRPr="00C565F0">
        <w:rPr>
          <w:rFonts w:ascii="Book Antiqua" w:hAnsi="Book Antiqua" w:cs="宋体"/>
          <w:b/>
          <w:bCs/>
          <w:color w:val="000000"/>
          <w:lang w:eastAsia="zh-CN"/>
        </w:rPr>
        <w:t>Abrahamson PE</w:t>
      </w:r>
      <w:r w:rsidRPr="00C565F0">
        <w:rPr>
          <w:rFonts w:ascii="Book Antiqua" w:hAnsi="Book Antiqua" w:cs="宋体"/>
          <w:color w:val="000000"/>
          <w:lang w:eastAsia="zh-CN"/>
        </w:rPr>
        <w:t xml:space="preserve">, Hall SA, </w:t>
      </w:r>
      <w:proofErr w:type="spellStart"/>
      <w:r w:rsidRPr="00C565F0">
        <w:rPr>
          <w:rFonts w:ascii="Book Antiqua" w:hAnsi="Book Antiqua" w:cs="宋体"/>
          <w:color w:val="000000"/>
          <w:lang w:eastAsia="zh-CN"/>
        </w:rPr>
        <w:t>Feudjo-Tepie</w:t>
      </w:r>
      <w:proofErr w:type="spell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Mitrani</w:t>
      </w:r>
      <w:proofErr w:type="spellEnd"/>
      <w:r w:rsidRPr="00C565F0">
        <w:rPr>
          <w:rFonts w:ascii="Book Antiqua" w:hAnsi="Book Antiqua" w:cs="宋体"/>
          <w:color w:val="000000"/>
          <w:lang w:eastAsia="zh-CN"/>
        </w:rPr>
        <w:t xml:space="preserve">-Gold FS, </w:t>
      </w:r>
      <w:proofErr w:type="spellStart"/>
      <w:r w:rsidRPr="00C565F0">
        <w:rPr>
          <w:rFonts w:ascii="Book Antiqua" w:hAnsi="Book Antiqua" w:cs="宋体"/>
          <w:color w:val="000000"/>
          <w:lang w:eastAsia="zh-CN"/>
        </w:rPr>
        <w:t>Logie</w:t>
      </w:r>
      <w:proofErr w:type="spellEnd"/>
      <w:r w:rsidRPr="00C565F0">
        <w:rPr>
          <w:rFonts w:ascii="Book Antiqua" w:hAnsi="Book Antiqua" w:cs="宋体"/>
          <w:color w:val="000000"/>
          <w:lang w:eastAsia="zh-CN"/>
        </w:rPr>
        <w:t xml:space="preserve"> J.</w:t>
      </w:r>
      <w:proofErr w:type="gramEnd"/>
      <w:r w:rsidRPr="00C565F0">
        <w:rPr>
          <w:rFonts w:ascii="Book Antiqua" w:hAnsi="Book Antiqua" w:cs="宋体"/>
          <w:color w:val="000000"/>
          <w:lang w:eastAsia="zh-CN"/>
        </w:rPr>
        <w:t xml:space="preserve"> The incidence of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among adults: a population-based study and literature review. </w:t>
      </w:r>
      <w:proofErr w:type="spellStart"/>
      <w:r w:rsidRPr="00C565F0">
        <w:rPr>
          <w:rFonts w:ascii="Book Antiqua" w:hAnsi="Book Antiqua" w:cs="宋体"/>
          <w:i/>
          <w:iCs/>
          <w:color w:val="000000"/>
          <w:lang w:eastAsia="zh-CN"/>
        </w:rPr>
        <w:t>Eur</w:t>
      </w:r>
      <w:proofErr w:type="spellEnd"/>
      <w:r w:rsidRPr="00C565F0">
        <w:rPr>
          <w:rFonts w:ascii="Book Antiqua" w:hAnsi="Book Antiqua" w:cs="宋体"/>
          <w:i/>
          <w:iCs/>
          <w:color w:val="000000"/>
          <w:lang w:eastAsia="zh-CN"/>
        </w:rPr>
        <w:t xml:space="preserve"> J </w:t>
      </w:r>
      <w:proofErr w:type="spellStart"/>
      <w:r w:rsidRPr="00C565F0">
        <w:rPr>
          <w:rFonts w:ascii="Book Antiqua" w:hAnsi="Book Antiqua" w:cs="宋体"/>
          <w:i/>
          <w:iCs/>
          <w:color w:val="000000"/>
          <w:lang w:eastAsia="zh-CN"/>
        </w:rPr>
        <w:t>Haematol</w:t>
      </w:r>
      <w:proofErr w:type="spellEnd"/>
      <w:r w:rsidRPr="00C565F0">
        <w:rPr>
          <w:rFonts w:ascii="Book Antiqua" w:hAnsi="Book Antiqua" w:cs="宋体"/>
          <w:color w:val="000000"/>
          <w:lang w:eastAsia="zh-CN"/>
        </w:rPr>
        <w:t> 2009; </w:t>
      </w:r>
      <w:r w:rsidRPr="00C565F0">
        <w:rPr>
          <w:rFonts w:ascii="Book Antiqua" w:hAnsi="Book Antiqua" w:cs="宋体"/>
          <w:b/>
          <w:bCs/>
          <w:color w:val="000000"/>
          <w:lang w:eastAsia="zh-CN"/>
        </w:rPr>
        <w:t>83</w:t>
      </w:r>
      <w:r w:rsidRPr="00C565F0">
        <w:rPr>
          <w:rFonts w:ascii="Book Antiqua" w:hAnsi="Book Antiqua" w:cs="宋体"/>
          <w:color w:val="000000"/>
          <w:lang w:eastAsia="zh-CN"/>
        </w:rPr>
        <w:t>: 83-89 [PMID: 19245532 DOI: 10.1111/j.1600-0609.2009.01247</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7 </w:t>
      </w:r>
      <w:r w:rsidRPr="00C565F0">
        <w:rPr>
          <w:rFonts w:ascii="Book Antiqua" w:hAnsi="Book Antiqua" w:cs="宋体"/>
          <w:b/>
          <w:bCs/>
          <w:color w:val="000000"/>
          <w:lang w:eastAsia="zh-CN"/>
        </w:rPr>
        <w:t>Segal JB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Powe</w:t>
      </w:r>
      <w:proofErr w:type="spellEnd"/>
      <w:r w:rsidRPr="00C565F0">
        <w:rPr>
          <w:rFonts w:ascii="Book Antiqua" w:hAnsi="Book Antiqua" w:cs="宋体"/>
          <w:color w:val="000000"/>
          <w:lang w:eastAsia="zh-CN"/>
        </w:rPr>
        <w:t xml:space="preserve"> NR. Prevalence of immune thrombocytopenia: analyses of administrative data. </w:t>
      </w:r>
      <w:r w:rsidRPr="00C565F0">
        <w:rPr>
          <w:rFonts w:ascii="Book Antiqua" w:hAnsi="Book Antiqua" w:cs="宋体"/>
          <w:i/>
          <w:iCs/>
          <w:color w:val="000000"/>
          <w:lang w:eastAsia="zh-CN"/>
        </w:rPr>
        <w:t xml:space="preserve">J </w:t>
      </w:r>
      <w:proofErr w:type="spellStart"/>
      <w:r w:rsidRPr="00C565F0">
        <w:rPr>
          <w:rFonts w:ascii="Book Antiqua" w:hAnsi="Book Antiqua" w:cs="宋体"/>
          <w:i/>
          <w:iCs/>
          <w:color w:val="000000"/>
          <w:lang w:eastAsia="zh-CN"/>
        </w:rPr>
        <w:t>Thromb</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Haemost</w:t>
      </w:r>
      <w:proofErr w:type="spellEnd"/>
      <w:r w:rsidRPr="00C565F0">
        <w:rPr>
          <w:rFonts w:ascii="Book Antiqua" w:hAnsi="Book Antiqua" w:cs="宋体"/>
          <w:color w:val="000000"/>
          <w:lang w:eastAsia="zh-CN"/>
        </w:rPr>
        <w:t> 2006; </w:t>
      </w:r>
      <w:r w:rsidRPr="00C565F0">
        <w:rPr>
          <w:rFonts w:ascii="Book Antiqua" w:hAnsi="Book Antiqua" w:cs="宋体"/>
          <w:b/>
          <w:bCs/>
          <w:color w:val="000000"/>
          <w:lang w:eastAsia="zh-CN"/>
        </w:rPr>
        <w:t>4</w:t>
      </w:r>
      <w:r w:rsidRPr="00C565F0">
        <w:rPr>
          <w:rFonts w:ascii="Book Antiqua" w:hAnsi="Book Antiqua" w:cs="宋体"/>
          <w:color w:val="000000"/>
          <w:lang w:eastAsia="zh-CN"/>
        </w:rPr>
        <w:t>: 2377-2383 [PMID: 16869934 DOI: 10.1111/j.1538-7836.2006.02147.x</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8 </w:t>
      </w:r>
      <w:proofErr w:type="spellStart"/>
      <w:r w:rsidRPr="00C565F0">
        <w:rPr>
          <w:rFonts w:ascii="Book Antiqua" w:hAnsi="Book Antiqua" w:cs="宋体"/>
          <w:b/>
          <w:bCs/>
          <w:color w:val="000000"/>
          <w:lang w:eastAsia="zh-CN"/>
        </w:rPr>
        <w:t>Rischewski</w:t>
      </w:r>
      <w:proofErr w:type="spellEnd"/>
      <w:r w:rsidRPr="00C565F0">
        <w:rPr>
          <w:rFonts w:ascii="Book Antiqua" w:hAnsi="Book Antiqua" w:cs="宋体"/>
          <w:b/>
          <w:bCs/>
          <w:color w:val="000000"/>
          <w:lang w:eastAsia="zh-CN"/>
        </w:rPr>
        <w:t xml:space="preserve"> JR</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Imbach</w:t>
      </w:r>
      <w:proofErr w:type="spellEnd"/>
      <w:r w:rsidRPr="00C565F0">
        <w:rPr>
          <w:rFonts w:ascii="Book Antiqua" w:hAnsi="Book Antiqua" w:cs="宋体"/>
          <w:color w:val="000000"/>
          <w:lang w:eastAsia="zh-CN"/>
        </w:rPr>
        <w:t xml:space="preserve"> P, </w:t>
      </w:r>
      <w:proofErr w:type="spellStart"/>
      <w:r w:rsidRPr="00C565F0">
        <w:rPr>
          <w:rFonts w:ascii="Book Antiqua" w:hAnsi="Book Antiqua" w:cs="宋体"/>
          <w:color w:val="000000"/>
          <w:lang w:eastAsia="zh-CN"/>
        </w:rPr>
        <w:t>Paulussen</w:t>
      </w:r>
      <w:proofErr w:type="spell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Kühne</w:t>
      </w:r>
      <w:proofErr w:type="spellEnd"/>
      <w:r w:rsidRPr="00C565F0">
        <w:rPr>
          <w:rFonts w:ascii="Book Antiqua" w:hAnsi="Book Antiqua" w:cs="宋体"/>
          <w:color w:val="000000"/>
          <w:lang w:eastAsia="zh-CN"/>
        </w:rPr>
        <w:t xml:space="preserve"> T.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(ITP): is there a genetic predisposition? </w:t>
      </w:r>
      <w:proofErr w:type="spellStart"/>
      <w:r w:rsidRPr="00C565F0">
        <w:rPr>
          <w:rFonts w:ascii="Book Antiqua" w:hAnsi="Book Antiqua" w:cs="宋体"/>
          <w:i/>
          <w:iCs/>
          <w:color w:val="000000"/>
          <w:lang w:eastAsia="zh-CN"/>
        </w:rPr>
        <w:t>Pediatr</w:t>
      </w:r>
      <w:proofErr w:type="spellEnd"/>
      <w:r w:rsidRPr="00C565F0">
        <w:rPr>
          <w:rFonts w:ascii="Book Antiqua" w:hAnsi="Book Antiqua" w:cs="宋体"/>
          <w:i/>
          <w:iCs/>
          <w:color w:val="000000"/>
          <w:lang w:eastAsia="zh-CN"/>
        </w:rPr>
        <w:t xml:space="preserve"> Blood Cancer</w:t>
      </w:r>
      <w:r w:rsidRPr="00C565F0">
        <w:rPr>
          <w:rFonts w:ascii="Book Antiqua" w:hAnsi="Book Antiqua" w:cs="宋体"/>
          <w:color w:val="000000"/>
          <w:lang w:eastAsia="zh-CN"/>
        </w:rPr>
        <w:t> 2006; </w:t>
      </w:r>
      <w:r w:rsidRPr="00C565F0">
        <w:rPr>
          <w:rFonts w:ascii="Book Antiqua" w:hAnsi="Book Antiqua" w:cs="宋体"/>
          <w:b/>
          <w:bCs/>
          <w:color w:val="000000"/>
          <w:lang w:eastAsia="zh-CN"/>
        </w:rPr>
        <w:t>47</w:t>
      </w:r>
      <w:r w:rsidRPr="00C565F0">
        <w:rPr>
          <w:rFonts w:ascii="Book Antiqua" w:hAnsi="Book Antiqua" w:cs="宋体"/>
          <w:color w:val="000000"/>
          <w:lang w:eastAsia="zh-CN"/>
        </w:rPr>
        <w:t>: 678-680 [PMID: 16933243 DOI: 10.1002/pbc.21005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lastRenderedPageBreak/>
        <w:t>9 </w:t>
      </w:r>
      <w:proofErr w:type="spellStart"/>
      <w:r w:rsidRPr="00C565F0">
        <w:rPr>
          <w:rFonts w:ascii="Book Antiqua" w:hAnsi="Book Antiqua" w:cs="宋体"/>
          <w:b/>
          <w:bCs/>
          <w:color w:val="000000"/>
          <w:lang w:eastAsia="zh-CN"/>
        </w:rPr>
        <w:t>Coopamah</w:t>
      </w:r>
      <w:proofErr w:type="spellEnd"/>
      <w:r w:rsidRPr="00C565F0">
        <w:rPr>
          <w:rFonts w:ascii="Book Antiqua" w:hAnsi="Book Antiqua" w:cs="宋体"/>
          <w:b/>
          <w:bCs/>
          <w:color w:val="000000"/>
          <w:lang w:eastAsia="zh-CN"/>
        </w:rPr>
        <w:t xml:space="preserve"> MD</w:t>
      </w:r>
      <w:r w:rsidRPr="00C565F0">
        <w:rPr>
          <w:rFonts w:ascii="Book Antiqua" w:hAnsi="Book Antiqua" w:cs="宋体"/>
          <w:color w:val="000000"/>
          <w:lang w:eastAsia="zh-CN"/>
        </w:rPr>
        <w:t xml:space="preserve">, Garvey MB, Freedman J, </w:t>
      </w:r>
      <w:proofErr w:type="spellStart"/>
      <w:r w:rsidRPr="00C565F0">
        <w:rPr>
          <w:rFonts w:ascii="Book Antiqua" w:hAnsi="Book Antiqua" w:cs="宋体"/>
          <w:color w:val="000000"/>
          <w:lang w:eastAsia="zh-CN"/>
        </w:rPr>
        <w:t>Semple</w:t>
      </w:r>
      <w:proofErr w:type="spellEnd"/>
      <w:r w:rsidRPr="00C565F0">
        <w:rPr>
          <w:rFonts w:ascii="Book Antiqua" w:hAnsi="Book Antiqua" w:cs="宋体"/>
          <w:color w:val="000000"/>
          <w:lang w:eastAsia="zh-CN"/>
        </w:rPr>
        <w:t xml:space="preserve"> JW. Cellular immune mechanisms in autoimmune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An update. </w:t>
      </w:r>
      <w:proofErr w:type="spellStart"/>
      <w:r w:rsidRPr="00C565F0">
        <w:rPr>
          <w:rFonts w:ascii="Book Antiqua" w:hAnsi="Book Antiqua" w:cs="宋体"/>
          <w:i/>
          <w:iCs/>
          <w:color w:val="000000"/>
          <w:lang w:eastAsia="zh-CN"/>
        </w:rPr>
        <w:t>Transfus</w:t>
      </w:r>
      <w:proofErr w:type="spellEnd"/>
      <w:r w:rsidRPr="00C565F0">
        <w:rPr>
          <w:rFonts w:ascii="Book Antiqua" w:hAnsi="Book Antiqua" w:cs="宋体"/>
          <w:i/>
          <w:iCs/>
          <w:color w:val="000000"/>
          <w:lang w:eastAsia="zh-CN"/>
        </w:rPr>
        <w:t xml:space="preserve"> Med Rev</w:t>
      </w:r>
      <w:r w:rsidRPr="00C565F0">
        <w:rPr>
          <w:rFonts w:ascii="Book Antiqua" w:hAnsi="Book Antiqua" w:cs="宋体"/>
          <w:color w:val="000000"/>
          <w:lang w:eastAsia="zh-CN"/>
        </w:rPr>
        <w:t> 2003; </w:t>
      </w:r>
      <w:r w:rsidRPr="00C565F0">
        <w:rPr>
          <w:rFonts w:ascii="Book Antiqua" w:hAnsi="Book Antiqua" w:cs="宋体"/>
          <w:b/>
          <w:bCs/>
          <w:color w:val="000000"/>
          <w:lang w:eastAsia="zh-CN"/>
        </w:rPr>
        <w:t>17</w:t>
      </w:r>
      <w:r w:rsidRPr="00C565F0">
        <w:rPr>
          <w:rFonts w:ascii="Book Antiqua" w:hAnsi="Book Antiqua" w:cs="宋体"/>
          <w:color w:val="000000"/>
          <w:lang w:eastAsia="zh-CN"/>
        </w:rPr>
        <w:t>: 69-80 [PMID: 12522773 DOI: 10.1053/tmrv.2003.50004</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10 </w:t>
      </w:r>
      <w:r w:rsidRPr="00C565F0">
        <w:rPr>
          <w:rFonts w:ascii="Book Antiqua" w:hAnsi="Book Antiqua" w:cs="宋体"/>
          <w:b/>
          <w:bCs/>
          <w:color w:val="000000"/>
          <w:lang w:eastAsia="zh-CN"/>
        </w:rPr>
        <w:t>Yu J</w:t>
      </w:r>
      <w:r w:rsidRPr="00C565F0">
        <w:rPr>
          <w:rFonts w:ascii="Book Antiqua" w:hAnsi="Book Antiqua" w:cs="宋体"/>
          <w:color w:val="000000"/>
          <w:lang w:eastAsia="zh-CN"/>
        </w:rPr>
        <w:t xml:space="preserve">, Heck S, Patel V, </w:t>
      </w:r>
      <w:proofErr w:type="spellStart"/>
      <w:r w:rsidRPr="00C565F0">
        <w:rPr>
          <w:rFonts w:ascii="Book Antiqua" w:hAnsi="Book Antiqua" w:cs="宋体"/>
          <w:color w:val="000000"/>
          <w:lang w:eastAsia="zh-CN"/>
        </w:rPr>
        <w:t>Levan</w:t>
      </w:r>
      <w:proofErr w:type="spellEnd"/>
      <w:r w:rsidRPr="00C565F0">
        <w:rPr>
          <w:rFonts w:ascii="Book Antiqua" w:hAnsi="Book Antiqua" w:cs="宋体"/>
          <w:color w:val="000000"/>
          <w:lang w:eastAsia="zh-CN"/>
        </w:rPr>
        <w:t xml:space="preserve"> J, Yu Y,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w:t>
      </w:r>
      <w:proofErr w:type="spellStart"/>
      <w:r w:rsidRPr="00C565F0">
        <w:rPr>
          <w:rFonts w:ascii="Book Antiqua" w:hAnsi="Book Antiqua" w:cs="宋体"/>
          <w:color w:val="000000"/>
          <w:lang w:eastAsia="zh-CN"/>
        </w:rPr>
        <w:t>Yazdanbakhsh</w:t>
      </w:r>
      <w:proofErr w:type="spellEnd"/>
      <w:r w:rsidRPr="00C565F0">
        <w:rPr>
          <w:rFonts w:ascii="Book Antiqua" w:hAnsi="Book Antiqua" w:cs="宋体"/>
          <w:color w:val="000000"/>
          <w:lang w:eastAsia="zh-CN"/>
        </w:rPr>
        <w:t xml:space="preserve"> K. Defective circulating CD25 regulatory T cells in patients with chronic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2008; </w:t>
      </w:r>
      <w:r w:rsidRPr="00C565F0">
        <w:rPr>
          <w:rFonts w:ascii="Book Antiqua" w:hAnsi="Book Antiqua" w:cs="宋体"/>
          <w:b/>
          <w:bCs/>
          <w:color w:val="000000"/>
          <w:lang w:eastAsia="zh-CN"/>
        </w:rPr>
        <w:t>112</w:t>
      </w:r>
      <w:r w:rsidRPr="00C565F0">
        <w:rPr>
          <w:rFonts w:ascii="Book Antiqua" w:hAnsi="Book Antiqua" w:cs="宋体"/>
          <w:color w:val="000000"/>
          <w:lang w:eastAsia="zh-CN"/>
        </w:rPr>
        <w:t>: 1325-1328 [PMID: 18420827 DOI: 10.1182/blood-2008-01-135335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11 </w:t>
      </w:r>
      <w:proofErr w:type="spellStart"/>
      <w:r w:rsidRPr="00C565F0">
        <w:rPr>
          <w:rFonts w:ascii="Book Antiqua" w:hAnsi="Book Antiqua" w:cs="宋体"/>
          <w:b/>
          <w:bCs/>
          <w:color w:val="000000"/>
          <w:lang w:eastAsia="zh-CN"/>
        </w:rPr>
        <w:t>Emmerich</w:t>
      </w:r>
      <w:proofErr w:type="spellEnd"/>
      <w:r w:rsidRPr="00C565F0">
        <w:rPr>
          <w:rFonts w:ascii="Book Antiqua" w:hAnsi="Book Antiqua" w:cs="宋体"/>
          <w:b/>
          <w:bCs/>
          <w:color w:val="000000"/>
          <w:lang w:eastAsia="zh-CN"/>
        </w:rPr>
        <w:t xml:space="preserve"> F</w:t>
      </w:r>
      <w:r w:rsidRPr="00C565F0">
        <w:rPr>
          <w:rFonts w:ascii="Book Antiqua" w:hAnsi="Book Antiqua" w:cs="宋体"/>
          <w:color w:val="000000"/>
          <w:lang w:eastAsia="zh-CN"/>
        </w:rPr>
        <w:t xml:space="preserve">, Bal G, </w:t>
      </w:r>
      <w:proofErr w:type="spellStart"/>
      <w:r w:rsidRPr="00C565F0">
        <w:rPr>
          <w:rFonts w:ascii="Book Antiqua" w:hAnsi="Book Antiqua" w:cs="宋体"/>
          <w:color w:val="000000"/>
          <w:lang w:eastAsia="zh-CN"/>
        </w:rPr>
        <w:t>Barakat</w:t>
      </w:r>
      <w:proofErr w:type="spellEnd"/>
      <w:r w:rsidRPr="00C565F0">
        <w:rPr>
          <w:rFonts w:ascii="Book Antiqua" w:hAnsi="Book Antiqua" w:cs="宋体"/>
          <w:color w:val="000000"/>
          <w:lang w:eastAsia="zh-CN"/>
        </w:rPr>
        <w:t xml:space="preserve"> A, </w:t>
      </w:r>
      <w:proofErr w:type="spellStart"/>
      <w:r w:rsidRPr="00C565F0">
        <w:rPr>
          <w:rFonts w:ascii="Book Antiqua" w:hAnsi="Book Antiqua" w:cs="宋体"/>
          <w:color w:val="000000"/>
          <w:lang w:eastAsia="zh-CN"/>
        </w:rPr>
        <w:t>Milz</w:t>
      </w:r>
      <w:proofErr w:type="spellEnd"/>
      <w:r w:rsidRPr="00C565F0">
        <w:rPr>
          <w:rFonts w:ascii="Book Antiqua" w:hAnsi="Book Antiqua" w:cs="宋体"/>
          <w:color w:val="000000"/>
          <w:lang w:eastAsia="zh-CN"/>
        </w:rPr>
        <w:t xml:space="preserve"> J, </w:t>
      </w:r>
      <w:proofErr w:type="spellStart"/>
      <w:r w:rsidRPr="00C565F0">
        <w:rPr>
          <w:rFonts w:ascii="Book Antiqua" w:hAnsi="Book Antiqua" w:cs="宋体"/>
          <w:color w:val="000000"/>
          <w:lang w:eastAsia="zh-CN"/>
        </w:rPr>
        <w:t>Mühle</w:t>
      </w:r>
      <w:proofErr w:type="spellEnd"/>
      <w:r w:rsidRPr="00C565F0">
        <w:rPr>
          <w:rFonts w:ascii="Book Antiqua" w:hAnsi="Book Antiqua" w:cs="宋体"/>
          <w:color w:val="000000"/>
          <w:lang w:eastAsia="zh-CN"/>
        </w:rPr>
        <w:t xml:space="preserve"> C, Martinez-</w:t>
      </w:r>
      <w:proofErr w:type="spellStart"/>
      <w:r w:rsidRPr="00C565F0">
        <w:rPr>
          <w:rFonts w:ascii="Book Antiqua" w:hAnsi="Book Antiqua" w:cs="宋体"/>
          <w:color w:val="000000"/>
          <w:lang w:eastAsia="zh-CN"/>
        </w:rPr>
        <w:t>Gamboa</w:t>
      </w:r>
      <w:proofErr w:type="spellEnd"/>
      <w:r w:rsidRPr="00C565F0">
        <w:rPr>
          <w:rFonts w:ascii="Book Antiqua" w:hAnsi="Book Antiqua" w:cs="宋体"/>
          <w:color w:val="000000"/>
          <w:lang w:eastAsia="zh-CN"/>
        </w:rPr>
        <w:t xml:space="preserve"> L, </w:t>
      </w:r>
      <w:proofErr w:type="spellStart"/>
      <w:r w:rsidRPr="00C565F0">
        <w:rPr>
          <w:rFonts w:ascii="Book Antiqua" w:hAnsi="Book Antiqua" w:cs="宋体"/>
          <w:color w:val="000000"/>
          <w:lang w:eastAsia="zh-CN"/>
        </w:rPr>
        <w:t>Dörner</w:t>
      </w:r>
      <w:proofErr w:type="spellEnd"/>
      <w:r w:rsidRPr="00C565F0">
        <w:rPr>
          <w:rFonts w:ascii="Book Antiqua" w:hAnsi="Book Antiqua" w:cs="宋体"/>
          <w:color w:val="000000"/>
          <w:lang w:eastAsia="zh-CN"/>
        </w:rPr>
        <w:t xml:space="preserve"> T, </w:t>
      </w:r>
      <w:proofErr w:type="spellStart"/>
      <w:r w:rsidRPr="00C565F0">
        <w:rPr>
          <w:rFonts w:ascii="Book Antiqua" w:hAnsi="Book Antiqua" w:cs="宋体"/>
          <w:color w:val="000000"/>
          <w:lang w:eastAsia="zh-CN"/>
        </w:rPr>
        <w:t>Salama</w:t>
      </w:r>
      <w:proofErr w:type="spellEnd"/>
      <w:r w:rsidRPr="00C565F0">
        <w:rPr>
          <w:rFonts w:ascii="Book Antiqua" w:hAnsi="Book Antiqua" w:cs="宋体"/>
          <w:color w:val="000000"/>
          <w:lang w:eastAsia="zh-CN"/>
        </w:rPr>
        <w:t xml:space="preserve"> A. High-level serum B-cell activating factor and promoter polymorphisms in patients with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 xml:space="preserve">Br J </w:t>
      </w:r>
      <w:proofErr w:type="spellStart"/>
      <w:r w:rsidRPr="00C565F0">
        <w:rPr>
          <w:rFonts w:ascii="Book Antiqua" w:hAnsi="Book Antiqua" w:cs="宋体"/>
          <w:i/>
          <w:iCs/>
          <w:color w:val="000000"/>
          <w:lang w:eastAsia="zh-CN"/>
        </w:rPr>
        <w:t>Haematol</w:t>
      </w:r>
      <w:proofErr w:type="spellEnd"/>
      <w:r w:rsidRPr="00C565F0">
        <w:rPr>
          <w:rFonts w:ascii="Book Antiqua" w:hAnsi="Book Antiqua" w:cs="宋体"/>
          <w:color w:val="000000"/>
          <w:lang w:eastAsia="zh-CN"/>
        </w:rPr>
        <w:t> 2007; </w:t>
      </w:r>
      <w:r w:rsidRPr="00C565F0">
        <w:rPr>
          <w:rFonts w:ascii="Book Antiqua" w:hAnsi="Book Antiqua" w:cs="宋体"/>
          <w:b/>
          <w:bCs/>
          <w:color w:val="000000"/>
          <w:lang w:eastAsia="zh-CN"/>
        </w:rPr>
        <w:t>136</w:t>
      </w:r>
      <w:r w:rsidRPr="00C565F0">
        <w:rPr>
          <w:rFonts w:ascii="Book Antiqua" w:hAnsi="Book Antiqua" w:cs="宋体"/>
          <w:color w:val="000000"/>
          <w:lang w:eastAsia="zh-CN"/>
        </w:rPr>
        <w:t>: 309-314 [PMID: 17156395 DOI: 10.1111/j.1365-2141.2006.06431.x</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12 </w:t>
      </w:r>
      <w:r w:rsidRPr="00C565F0">
        <w:rPr>
          <w:rFonts w:ascii="Book Antiqua" w:hAnsi="Book Antiqua" w:cs="宋体"/>
          <w:b/>
          <w:bCs/>
          <w:color w:val="000000"/>
          <w:lang w:eastAsia="zh-CN"/>
        </w:rPr>
        <w:t>Craig VJ</w:t>
      </w:r>
      <w:r w:rsidRPr="00C565F0">
        <w:rPr>
          <w:rFonts w:ascii="Book Antiqua" w:hAnsi="Book Antiqua" w:cs="宋体"/>
          <w:color w:val="000000"/>
          <w:lang w:eastAsia="zh-CN"/>
        </w:rPr>
        <w:t xml:space="preserve">, Arnold I, </w:t>
      </w:r>
      <w:proofErr w:type="spellStart"/>
      <w:r w:rsidRPr="00C565F0">
        <w:rPr>
          <w:rFonts w:ascii="Book Antiqua" w:hAnsi="Book Antiqua" w:cs="宋体"/>
          <w:color w:val="000000"/>
          <w:lang w:eastAsia="zh-CN"/>
        </w:rPr>
        <w:t>Gerke</w:t>
      </w:r>
      <w:proofErr w:type="spellEnd"/>
      <w:r w:rsidRPr="00C565F0">
        <w:rPr>
          <w:rFonts w:ascii="Book Antiqua" w:hAnsi="Book Antiqua" w:cs="宋体"/>
          <w:color w:val="000000"/>
          <w:lang w:eastAsia="zh-CN"/>
        </w:rPr>
        <w:t xml:space="preserve"> C, Huynh MQ, </w:t>
      </w:r>
      <w:proofErr w:type="spellStart"/>
      <w:r w:rsidRPr="00C565F0">
        <w:rPr>
          <w:rFonts w:ascii="Book Antiqua" w:hAnsi="Book Antiqua" w:cs="宋体"/>
          <w:color w:val="000000"/>
          <w:lang w:eastAsia="zh-CN"/>
        </w:rPr>
        <w:t>Wündisch</w:t>
      </w:r>
      <w:proofErr w:type="spellEnd"/>
      <w:r w:rsidRPr="00C565F0">
        <w:rPr>
          <w:rFonts w:ascii="Book Antiqua" w:hAnsi="Book Antiqua" w:cs="宋体"/>
          <w:color w:val="000000"/>
          <w:lang w:eastAsia="zh-CN"/>
        </w:rPr>
        <w:t xml:space="preserve"> T, </w:t>
      </w:r>
      <w:proofErr w:type="spellStart"/>
      <w:r w:rsidRPr="00C565F0">
        <w:rPr>
          <w:rFonts w:ascii="Book Antiqua" w:hAnsi="Book Antiqua" w:cs="宋体"/>
          <w:color w:val="000000"/>
          <w:lang w:eastAsia="zh-CN"/>
        </w:rPr>
        <w:t>Neubauer</w:t>
      </w:r>
      <w:proofErr w:type="spellEnd"/>
      <w:r w:rsidRPr="00C565F0">
        <w:rPr>
          <w:rFonts w:ascii="Book Antiqua" w:hAnsi="Book Antiqua" w:cs="宋体"/>
          <w:color w:val="000000"/>
          <w:lang w:eastAsia="zh-CN"/>
        </w:rPr>
        <w:t xml:space="preserve"> A, Renner C, </w:t>
      </w:r>
      <w:proofErr w:type="spellStart"/>
      <w:r w:rsidRPr="00C565F0">
        <w:rPr>
          <w:rFonts w:ascii="Book Antiqua" w:hAnsi="Book Antiqua" w:cs="宋体"/>
          <w:color w:val="000000"/>
          <w:lang w:eastAsia="zh-CN"/>
        </w:rPr>
        <w:t>Falkow</w:t>
      </w:r>
      <w:proofErr w:type="spellEnd"/>
      <w:r w:rsidRPr="00C565F0">
        <w:rPr>
          <w:rFonts w:ascii="Book Antiqua" w:hAnsi="Book Antiqua" w:cs="宋体"/>
          <w:color w:val="000000"/>
          <w:lang w:eastAsia="zh-CN"/>
        </w:rPr>
        <w:t xml:space="preserve"> S, Müller A. Gastric MALT lymphoma B cells express </w:t>
      </w:r>
      <w:proofErr w:type="spellStart"/>
      <w:r w:rsidRPr="00C565F0">
        <w:rPr>
          <w:rFonts w:ascii="Book Antiqua" w:hAnsi="Book Antiqua" w:cs="宋体"/>
          <w:color w:val="000000"/>
          <w:lang w:eastAsia="zh-CN"/>
        </w:rPr>
        <w:t>polyreactive</w:t>
      </w:r>
      <w:proofErr w:type="spellEnd"/>
      <w:r w:rsidRPr="00C565F0">
        <w:rPr>
          <w:rFonts w:ascii="Book Antiqua" w:hAnsi="Book Antiqua" w:cs="宋体"/>
          <w:color w:val="000000"/>
          <w:lang w:eastAsia="zh-CN"/>
        </w:rPr>
        <w:t>, somatically mutated immunoglobulins.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2010; </w:t>
      </w:r>
      <w:r w:rsidRPr="00C565F0">
        <w:rPr>
          <w:rFonts w:ascii="Book Antiqua" w:hAnsi="Book Antiqua" w:cs="宋体"/>
          <w:b/>
          <w:bCs/>
          <w:color w:val="000000"/>
          <w:lang w:eastAsia="zh-CN"/>
        </w:rPr>
        <w:t>115</w:t>
      </w:r>
      <w:r w:rsidRPr="00C565F0">
        <w:rPr>
          <w:rFonts w:ascii="Book Antiqua" w:hAnsi="Book Antiqua" w:cs="宋体"/>
          <w:color w:val="000000"/>
          <w:lang w:eastAsia="zh-CN"/>
        </w:rPr>
        <w:t>: 581-591 [PMID: 19965661 DOI: 10.1182/blood-2009-06-228015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13 </w:t>
      </w:r>
      <w:proofErr w:type="spellStart"/>
      <w:r w:rsidRPr="00C565F0">
        <w:rPr>
          <w:rFonts w:ascii="Book Antiqua" w:hAnsi="Book Antiqua" w:cs="宋体"/>
          <w:b/>
          <w:bCs/>
          <w:color w:val="000000"/>
          <w:lang w:eastAsia="zh-CN"/>
        </w:rPr>
        <w:t>Ballem</w:t>
      </w:r>
      <w:proofErr w:type="spellEnd"/>
      <w:r w:rsidRPr="00C565F0">
        <w:rPr>
          <w:rFonts w:ascii="Book Antiqua" w:hAnsi="Book Antiqua" w:cs="宋体"/>
          <w:b/>
          <w:bCs/>
          <w:color w:val="000000"/>
          <w:lang w:eastAsia="zh-CN"/>
        </w:rPr>
        <w:t xml:space="preserve"> PJ</w:t>
      </w:r>
      <w:r w:rsidRPr="00C565F0">
        <w:rPr>
          <w:rFonts w:ascii="Book Antiqua" w:hAnsi="Book Antiqua" w:cs="宋体"/>
          <w:color w:val="000000"/>
          <w:lang w:eastAsia="zh-CN"/>
        </w:rPr>
        <w:t xml:space="preserve">, Belzberg A, Devine DV, </w:t>
      </w:r>
      <w:proofErr w:type="spellStart"/>
      <w:r w:rsidRPr="00C565F0">
        <w:rPr>
          <w:rFonts w:ascii="Book Antiqua" w:hAnsi="Book Antiqua" w:cs="宋体"/>
          <w:color w:val="000000"/>
          <w:lang w:eastAsia="zh-CN"/>
        </w:rPr>
        <w:t>Lyster</w:t>
      </w:r>
      <w:proofErr w:type="spellEnd"/>
      <w:r w:rsidRPr="00C565F0">
        <w:rPr>
          <w:rFonts w:ascii="Book Antiqua" w:hAnsi="Book Antiqua" w:cs="宋体"/>
          <w:color w:val="000000"/>
          <w:lang w:eastAsia="zh-CN"/>
        </w:rPr>
        <w:t xml:space="preserve"> D, </w:t>
      </w:r>
      <w:proofErr w:type="spellStart"/>
      <w:r w:rsidRPr="00C565F0">
        <w:rPr>
          <w:rFonts w:ascii="Book Antiqua" w:hAnsi="Book Antiqua" w:cs="宋体"/>
          <w:color w:val="000000"/>
          <w:lang w:eastAsia="zh-CN"/>
        </w:rPr>
        <w:t>Spruston</w:t>
      </w:r>
      <w:proofErr w:type="spellEnd"/>
      <w:r w:rsidRPr="00C565F0">
        <w:rPr>
          <w:rFonts w:ascii="Book Antiqua" w:hAnsi="Book Antiqua" w:cs="宋体"/>
          <w:color w:val="000000"/>
          <w:lang w:eastAsia="zh-CN"/>
        </w:rPr>
        <w:t xml:space="preserve"> B, Chambers H, </w:t>
      </w:r>
      <w:proofErr w:type="spellStart"/>
      <w:r w:rsidRPr="00C565F0">
        <w:rPr>
          <w:rFonts w:ascii="Book Antiqua" w:hAnsi="Book Antiqua" w:cs="宋体"/>
          <w:color w:val="000000"/>
          <w:lang w:eastAsia="zh-CN"/>
        </w:rPr>
        <w:t>Doubroff</w:t>
      </w:r>
      <w:proofErr w:type="spellEnd"/>
      <w:r w:rsidRPr="00C565F0">
        <w:rPr>
          <w:rFonts w:ascii="Book Antiqua" w:hAnsi="Book Antiqua" w:cs="宋体"/>
          <w:color w:val="000000"/>
          <w:lang w:eastAsia="zh-CN"/>
        </w:rPr>
        <w:t xml:space="preserve"> P, </w:t>
      </w:r>
      <w:proofErr w:type="spellStart"/>
      <w:r w:rsidRPr="00C565F0">
        <w:rPr>
          <w:rFonts w:ascii="Book Antiqua" w:hAnsi="Book Antiqua" w:cs="宋体"/>
          <w:color w:val="000000"/>
          <w:lang w:eastAsia="zh-CN"/>
        </w:rPr>
        <w:t>Mikulash</w:t>
      </w:r>
      <w:proofErr w:type="spellEnd"/>
      <w:r w:rsidRPr="00C565F0">
        <w:rPr>
          <w:rFonts w:ascii="Book Antiqua" w:hAnsi="Book Antiqua" w:cs="宋体"/>
          <w:color w:val="000000"/>
          <w:lang w:eastAsia="zh-CN"/>
        </w:rPr>
        <w:t xml:space="preserve"> K. Kinetic studies of the mechanism of thrombocytopenia in patients with human immunodeficiency virus infection. </w:t>
      </w:r>
      <w:r w:rsidRPr="00C565F0">
        <w:rPr>
          <w:rFonts w:ascii="Book Antiqua" w:hAnsi="Book Antiqua" w:cs="宋体"/>
          <w:i/>
          <w:iCs/>
          <w:color w:val="000000"/>
          <w:lang w:eastAsia="zh-CN"/>
        </w:rPr>
        <w:t xml:space="preserve">N </w:t>
      </w:r>
      <w:proofErr w:type="spellStart"/>
      <w:r w:rsidRPr="00C565F0">
        <w:rPr>
          <w:rFonts w:ascii="Book Antiqua" w:hAnsi="Book Antiqua" w:cs="宋体"/>
          <w:i/>
          <w:iCs/>
          <w:color w:val="000000"/>
          <w:lang w:eastAsia="zh-CN"/>
        </w:rPr>
        <w:t>Engl</w:t>
      </w:r>
      <w:proofErr w:type="spellEnd"/>
      <w:r w:rsidRPr="00C565F0">
        <w:rPr>
          <w:rFonts w:ascii="Book Antiqua" w:hAnsi="Book Antiqua" w:cs="宋体"/>
          <w:i/>
          <w:iCs/>
          <w:color w:val="000000"/>
          <w:lang w:eastAsia="zh-CN"/>
        </w:rPr>
        <w:t xml:space="preserve"> J Med</w:t>
      </w:r>
      <w:r w:rsidRPr="00C565F0">
        <w:rPr>
          <w:rFonts w:ascii="Book Antiqua" w:hAnsi="Book Antiqua" w:cs="宋体"/>
          <w:color w:val="000000"/>
          <w:lang w:eastAsia="zh-CN"/>
        </w:rPr>
        <w:t> 1992; </w:t>
      </w:r>
      <w:r w:rsidRPr="00C565F0">
        <w:rPr>
          <w:rFonts w:ascii="Book Antiqua" w:hAnsi="Book Antiqua" w:cs="宋体"/>
          <w:b/>
          <w:bCs/>
          <w:color w:val="000000"/>
          <w:lang w:eastAsia="zh-CN"/>
        </w:rPr>
        <w:t>327</w:t>
      </w:r>
      <w:r w:rsidRPr="00C565F0">
        <w:rPr>
          <w:rFonts w:ascii="Book Antiqua" w:hAnsi="Book Antiqua" w:cs="宋体"/>
          <w:color w:val="000000"/>
          <w:lang w:eastAsia="zh-CN"/>
        </w:rPr>
        <w:t>: 1779-1784 [PMID: 1435932 DOI: 10.1056/NEJM199212173272503</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14 </w:t>
      </w:r>
      <w:proofErr w:type="spellStart"/>
      <w:r w:rsidRPr="00C565F0">
        <w:rPr>
          <w:rFonts w:ascii="Book Antiqua" w:hAnsi="Book Antiqua" w:cs="宋体"/>
          <w:b/>
          <w:bCs/>
          <w:color w:val="000000"/>
          <w:lang w:eastAsia="zh-CN"/>
        </w:rPr>
        <w:t>Houwerzijl</w:t>
      </w:r>
      <w:proofErr w:type="spellEnd"/>
      <w:r w:rsidRPr="00C565F0">
        <w:rPr>
          <w:rFonts w:ascii="Book Antiqua" w:hAnsi="Book Antiqua" w:cs="宋体"/>
          <w:b/>
          <w:bCs/>
          <w:color w:val="000000"/>
          <w:lang w:eastAsia="zh-CN"/>
        </w:rPr>
        <w:t xml:space="preserve"> EJ</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Blom</w:t>
      </w:r>
      <w:proofErr w:type="spellEnd"/>
      <w:r w:rsidRPr="00C565F0">
        <w:rPr>
          <w:rFonts w:ascii="Book Antiqua" w:hAnsi="Book Antiqua" w:cs="宋体"/>
          <w:color w:val="000000"/>
          <w:lang w:eastAsia="zh-CN"/>
        </w:rPr>
        <w:t xml:space="preserve"> NR, van der Want JJ, </w:t>
      </w:r>
      <w:proofErr w:type="spellStart"/>
      <w:r w:rsidRPr="00C565F0">
        <w:rPr>
          <w:rFonts w:ascii="Book Antiqua" w:hAnsi="Book Antiqua" w:cs="宋体"/>
          <w:color w:val="000000"/>
          <w:lang w:eastAsia="zh-CN"/>
        </w:rPr>
        <w:t>Esselink</w:t>
      </w:r>
      <w:proofErr w:type="spellEnd"/>
      <w:r w:rsidRPr="00C565F0">
        <w:rPr>
          <w:rFonts w:ascii="Book Antiqua" w:hAnsi="Book Antiqua" w:cs="宋体"/>
          <w:color w:val="000000"/>
          <w:lang w:eastAsia="zh-CN"/>
        </w:rPr>
        <w:t xml:space="preserve"> MT, </w:t>
      </w:r>
      <w:proofErr w:type="spellStart"/>
      <w:r w:rsidRPr="00C565F0">
        <w:rPr>
          <w:rFonts w:ascii="Book Antiqua" w:hAnsi="Book Antiqua" w:cs="宋体"/>
          <w:color w:val="000000"/>
          <w:lang w:eastAsia="zh-CN"/>
        </w:rPr>
        <w:t>Koornstra</w:t>
      </w:r>
      <w:proofErr w:type="spellEnd"/>
      <w:r w:rsidRPr="00C565F0">
        <w:rPr>
          <w:rFonts w:ascii="Book Antiqua" w:hAnsi="Book Antiqua" w:cs="宋体"/>
          <w:color w:val="000000"/>
          <w:lang w:eastAsia="zh-CN"/>
        </w:rPr>
        <w:t xml:space="preserve"> JJ, </w:t>
      </w:r>
      <w:proofErr w:type="spellStart"/>
      <w:r w:rsidRPr="00C565F0">
        <w:rPr>
          <w:rFonts w:ascii="Book Antiqua" w:hAnsi="Book Antiqua" w:cs="宋体"/>
          <w:color w:val="000000"/>
          <w:lang w:eastAsia="zh-CN"/>
        </w:rPr>
        <w:t>Smit</w:t>
      </w:r>
      <w:proofErr w:type="spellEnd"/>
      <w:r w:rsidRPr="00C565F0">
        <w:rPr>
          <w:rFonts w:ascii="Book Antiqua" w:hAnsi="Book Antiqua" w:cs="宋体"/>
          <w:color w:val="000000"/>
          <w:lang w:eastAsia="zh-CN"/>
        </w:rPr>
        <w:t xml:space="preserve"> JW, </w:t>
      </w:r>
      <w:proofErr w:type="spellStart"/>
      <w:r w:rsidRPr="00C565F0">
        <w:rPr>
          <w:rFonts w:ascii="Book Antiqua" w:hAnsi="Book Antiqua" w:cs="宋体"/>
          <w:color w:val="000000"/>
          <w:lang w:eastAsia="zh-CN"/>
        </w:rPr>
        <w:t>Louwes</w:t>
      </w:r>
      <w:proofErr w:type="spellEnd"/>
      <w:r w:rsidRPr="00C565F0">
        <w:rPr>
          <w:rFonts w:ascii="Book Antiqua" w:hAnsi="Book Antiqua" w:cs="宋体"/>
          <w:color w:val="000000"/>
          <w:lang w:eastAsia="zh-CN"/>
        </w:rPr>
        <w:t xml:space="preserve"> H, </w:t>
      </w:r>
      <w:proofErr w:type="spellStart"/>
      <w:r w:rsidRPr="00C565F0">
        <w:rPr>
          <w:rFonts w:ascii="Book Antiqua" w:hAnsi="Book Antiqua" w:cs="宋体"/>
          <w:color w:val="000000"/>
          <w:lang w:eastAsia="zh-CN"/>
        </w:rPr>
        <w:t>Vellenga</w:t>
      </w:r>
      <w:proofErr w:type="spellEnd"/>
      <w:r w:rsidRPr="00C565F0">
        <w:rPr>
          <w:rFonts w:ascii="Book Antiqua" w:hAnsi="Book Antiqua" w:cs="宋体"/>
          <w:color w:val="000000"/>
          <w:lang w:eastAsia="zh-CN"/>
        </w:rPr>
        <w:t xml:space="preserve"> E, de Wolf JT. </w:t>
      </w:r>
      <w:proofErr w:type="spellStart"/>
      <w:r w:rsidRPr="00C565F0">
        <w:rPr>
          <w:rFonts w:ascii="Book Antiqua" w:hAnsi="Book Antiqua" w:cs="宋体"/>
          <w:color w:val="000000"/>
          <w:lang w:eastAsia="zh-CN"/>
        </w:rPr>
        <w:t>Ultrastructural</w:t>
      </w:r>
      <w:proofErr w:type="spellEnd"/>
      <w:r w:rsidRPr="00C565F0">
        <w:rPr>
          <w:rFonts w:ascii="Book Antiqua" w:hAnsi="Book Antiqua" w:cs="宋体"/>
          <w:color w:val="000000"/>
          <w:lang w:eastAsia="zh-CN"/>
        </w:rPr>
        <w:t xml:space="preserve"> study shows morphologic features of apoptosis and para-apoptosis in megakaryocytes from patients with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2004; </w:t>
      </w:r>
      <w:r w:rsidRPr="00C565F0">
        <w:rPr>
          <w:rFonts w:ascii="Book Antiqua" w:hAnsi="Book Antiqua" w:cs="宋体"/>
          <w:b/>
          <w:bCs/>
          <w:color w:val="000000"/>
          <w:lang w:eastAsia="zh-CN"/>
        </w:rPr>
        <w:t>103</w:t>
      </w:r>
      <w:r w:rsidRPr="00C565F0">
        <w:rPr>
          <w:rFonts w:ascii="Book Antiqua" w:hAnsi="Book Antiqua" w:cs="宋体"/>
          <w:color w:val="000000"/>
          <w:lang w:eastAsia="zh-CN"/>
        </w:rPr>
        <w:t>: 500-506 [PMID: 12969975 DOI: 10.1182/blood-2003-01-0275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15 </w:t>
      </w:r>
      <w:r w:rsidRPr="00C565F0">
        <w:rPr>
          <w:rFonts w:ascii="Book Antiqua" w:hAnsi="Book Antiqua" w:cs="宋体"/>
          <w:b/>
          <w:bCs/>
          <w:color w:val="000000"/>
          <w:lang w:eastAsia="zh-CN"/>
        </w:rPr>
        <w:t>McMillan R</w:t>
      </w:r>
      <w:r w:rsidRPr="00C565F0">
        <w:rPr>
          <w:rFonts w:ascii="Book Antiqua" w:hAnsi="Book Antiqua" w:cs="宋体"/>
          <w:color w:val="000000"/>
          <w:lang w:eastAsia="zh-CN"/>
        </w:rPr>
        <w:t xml:space="preserve">, Wang L, </w:t>
      </w:r>
      <w:proofErr w:type="spellStart"/>
      <w:r w:rsidRPr="00C565F0">
        <w:rPr>
          <w:rFonts w:ascii="Book Antiqua" w:hAnsi="Book Antiqua" w:cs="宋体"/>
          <w:color w:val="000000"/>
          <w:lang w:eastAsia="zh-CN"/>
        </w:rPr>
        <w:t>Tomer</w:t>
      </w:r>
      <w:proofErr w:type="spellEnd"/>
      <w:r w:rsidRPr="00C565F0">
        <w:rPr>
          <w:rFonts w:ascii="Book Antiqua" w:hAnsi="Book Antiqua" w:cs="宋体"/>
          <w:color w:val="000000"/>
          <w:lang w:eastAsia="zh-CN"/>
        </w:rPr>
        <w:t xml:space="preserve"> A, Nichol J, </w:t>
      </w:r>
      <w:proofErr w:type="spellStart"/>
      <w:r w:rsidRPr="00C565F0">
        <w:rPr>
          <w:rFonts w:ascii="Book Antiqua" w:hAnsi="Book Antiqua" w:cs="宋体"/>
          <w:color w:val="000000"/>
          <w:lang w:eastAsia="zh-CN"/>
        </w:rPr>
        <w:t>Pistillo</w:t>
      </w:r>
      <w:proofErr w:type="spellEnd"/>
      <w:r w:rsidRPr="00C565F0">
        <w:rPr>
          <w:rFonts w:ascii="Book Antiqua" w:hAnsi="Book Antiqua" w:cs="宋体"/>
          <w:color w:val="000000"/>
          <w:lang w:eastAsia="zh-CN"/>
        </w:rPr>
        <w:t xml:space="preserve"> J. Suppression of in vitro megakaryocyte production by antiplatelet autoantibodies from adult patients with chronic ITP.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2004; </w:t>
      </w:r>
      <w:r w:rsidRPr="00C565F0">
        <w:rPr>
          <w:rFonts w:ascii="Book Antiqua" w:hAnsi="Book Antiqua" w:cs="宋体"/>
          <w:b/>
          <w:bCs/>
          <w:color w:val="000000"/>
          <w:lang w:eastAsia="zh-CN"/>
        </w:rPr>
        <w:t>103</w:t>
      </w:r>
      <w:r w:rsidRPr="00C565F0">
        <w:rPr>
          <w:rFonts w:ascii="Book Antiqua" w:hAnsi="Book Antiqua" w:cs="宋体"/>
          <w:color w:val="000000"/>
          <w:lang w:eastAsia="zh-CN"/>
        </w:rPr>
        <w:t>: 1364-1369 [PMID: 14576051 DOI: 10.1182/blood-2003-08-2672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lastRenderedPageBreak/>
        <w:t>16 </w:t>
      </w:r>
      <w:r w:rsidRPr="00C565F0">
        <w:rPr>
          <w:rFonts w:ascii="Book Antiqua" w:hAnsi="Book Antiqua" w:cs="宋体"/>
          <w:b/>
          <w:bCs/>
          <w:color w:val="000000"/>
          <w:lang w:eastAsia="zh-CN"/>
        </w:rPr>
        <w:t>Olsson 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Ridell</w:t>
      </w:r>
      <w:proofErr w:type="spellEnd"/>
      <w:r w:rsidRPr="00C565F0">
        <w:rPr>
          <w:rFonts w:ascii="Book Antiqua" w:hAnsi="Book Antiqua" w:cs="宋体"/>
          <w:color w:val="000000"/>
          <w:lang w:eastAsia="zh-CN"/>
        </w:rPr>
        <w:t xml:space="preserve"> B, </w:t>
      </w:r>
      <w:proofErr w:type="spellStart"/>
      <w:r w:rsidRPr="00C565F0">
        <w:rPr>
          <w:rFonts w:ascii="Book Antiqua" w:hAnsi="Book Antiqua" w:cs="宋体"/>
          <w:color w:val="000000"/>
          <w:lang w:eastAsia="zh-CN"/>
        </w:rPr>
        <w:t>Carlsson</w:t>
      </w:r>
      <w:proofErr w:type="spellEnd"/>
      <w:r w:rsidRPr="00C565F0">
        <w:rPr>
          <w:rFonts w:ascii="Book Antiqua" w:hAnsi="Book Antiqua" w:cs="宋体"/>
          <w:color w:val="000000"/>
          <w:lang w:eastAsia="zh-CN"/>
        </w:rPr>
        <w:t xml:space="preserve"> L, </w:t>
      </w:r>
      <w:proofErr w:type="spellStart"/>
      <w:r w:rsidRPr="00C565F0">
        <w:rPr>
          <w:rFonts w:ascii="Book Antiqua" w:hAnsi="Book Antiqua" w:cs="宋体"/>
          <w:color w:val="000000"/>
          <w:lang w:eastAsia="zh-CN"/>
        </w:rPr>
        <w:t>Jacobsson</w:t>
      </w:r>
      <w:proofErr w:type="spellEnd"/>
      <w:r w:rsidRPr="00C565F0">
        <w:rPr>
          <w:rFonts w:ascii="Book Antiqua" w:hAnsi="Book Antiqua" w:cs="宋体"/>
          <w:color w:val="000000"/>
          <w:lang w:eastAsia="zh-CN"/>
        </w:rPr>
        <w:t xml:space="preserve"> S, </w:t>
      </w:r>
      <w:proofErr w:type="spellStart"/>
      <w:r w:rsidRPr="00C565F0">
        <w:rPr>
          <w:rFonts w:ascii="Book Antiqua" w:hAnsi="Book Antiqua" w:cs="宋体"/>
          <w:color w:val="000000"/>
          <w:lang w:eastAsia="zh-CN"/>
        </w:rPr>
        <w:t>Wadenvik</w:t>
      </w:r>
      <w:proofErr w:type="spellEnd"/>
      <w:r w:rsidRPr="00C565F0">
        <w:rPr>
          <w:rFonts w:ascii="Book Antiqua" w:hAnsi="Book Antiqua" w:cs="宋体"/>
          <w:color w:val="000000"/>
          <w:lang w:eastAsia="zh-CN"/>
        </w:rPr>
        <w:t xml:space="preserve"> H. Recruitment of T cells into bone marrow of ITP patients possibly due to elevated expression of VLA-4 and CX3CR1.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2008; </w:t>
      </w:r>
      <w:r w:rsidRPr="00C565F0">
        <w:rPr>
          <w:rFonts w:ascii="Book Antiqua" w:hAnsi="Book Antiqua" w:cs="宋体"/>
          <w:b/>
          <w:bCs/>
          <w:color w:val="000000"/>
          <w:lang w:eastAsia="zh-CN"/>
        </w:rPr>
        <w:t>112</w:t>
      </w:r>
      <w:r w:rsidRPr="00C565F0">
        <w:rPr>
          <w:rFonts w:ascii="Book Antiqua" w:hAnsi="Book Antiqua" w:cs="宋体"/>
          <w:color w:val="000000"/>
          <w:lang w:eastAsia="zh-CN"/>
        </w:rPr>
        <w:t>: 1078-1084 [PMID: 18519809 DOI: 10.1182/blood-2008-02-139402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17 </w:t>
      </w:r>
      <w:proofErr w:type="spellStart"/>
      <w:r w:rsidRPr="00C565F0">
        <w:rPr>
          <w:rFonts w:ascii="Book Antiqua" w:hAnsi="Book Antiqua" w:cs="宋体"/>
          <w:b/>
          <w:bCs/>
          <w:color w:val="000000"/>
          <w:lang w:eastAsia="zh-CN"/>
        </w:rPr>
        <w:t>Bussel</w:t>
      </w:r>
      <w:proofErr w:type="spellEnd"/>
      <w:r w:rsidRPr="00C565F0">
        <w:rPr>
          <w:rFonts w:ascii="Book Antiqua" w:hAnsi="Book Antiqua" w:cs="宋体"/>
          <w:b/>
          <w:bCs/>
          <w:color w:val="000000"/>
          <w:lang w:eastAsia="zh-CN"/>
        </w:rPr>
        <w:t xml:space="preserve"> JB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Provan</w:t>
      </w:r>
      <w:proofErr w:type="spellEnd"/>
      <w:r w:rsidRPr="00C565F0">
        <w:rPr>
          <w:rFonts w:ascii="Book Antiqua" w:hAnsi="Book Antiqua" w:cs="宋体"/>
          <w:color w:val="000000"/>
          <w:lang w:eastAsia="zh-CN"/>
        </w:rPr>
        <w:t xml:space="preserve"> D, </w:t>
      </w:r>
      <w:proofErr w:type="spellStart"/>
      <w:r w:rsidRPr="00C565F0">
        <w:rPr>
          <w:rFonts w:ascii="Book Antiqua" w:hAnsi="Book Antiqua" w:cs="宋体"/>
          <w:color w:val="000000"/>
          <w:lang w:eastAsia="zh-CN"/>
        </w:rPr>
        <w:t>Shamsi</w:t>
      </w:r>
      <w:proofErr w:type="spellEnd"/>
      <w:r w:rsidRPr="00C565F0">
        <w:rPr>
          <w:rFonts w:ascii="Book Antiqua" w:hAnsi="Book Antiqua" w:cs="宋体"/>
          <w:color w:val="000000"/>
          <w:lang w:eastAsia="zh-CN"/>
        </w:rPr>
        <w:t xml:space="preserve"> T, Cheng G, </w:t>
      </w:r>
      <w:proofErr w:type="spellStart"/>
      <w:r w:rsidRPr="00C565F0">
        <w:rPr>
          <w:rFonts w:ascii="Book Antiqua" w:hAnsi="Book Antiqua" w:cs="宋体"/>
          <w:color w:val="000000"/>
          <w:lang w:eastAsia="zh-CN"/>
        </w:rPr>
        <w:t>Psaila</w:t>
      </w:r>
      <w:proofErr w:type="spellEnd"/>
      <w:r w:rsidRPr="00C565F0">
        <w:rPr>
          <w:rFonts w:ascii="Book Antiqua" w:hAnsi="Book Antiqua" w:cs="宋体"/>
          <w:color w:val="000000"/>
          <w:lang w:eastAsia="zh-CN"/>
        </w:rPr>
        <w:t xml:space="preserve"> B, </w:t>
      </w:r>
      <w:proofErr w:type="spellStart"/>
      <w:r w:rsidRPr="00C565F0">
        <w:rPr>
          <w:rFonts w:ascii="Book Antiqua" w:hAnsi="Book Antiqua" w:cs="宋体"/>
          <w:color w:val="000000"/>
          <w:lang w:eastAsia="zh-CN"/>
        </w:rPr>
        <w:t>Kovaleva</w:t>
      </w:r>
      <w:proofErr w:type="spellEnd"/>
      <w:r w:rsidRPr="00C565F0">
        <w:rPr>
          <w:rFonts w:ascii="Book Antiqua" w:hAnsi="Book Antiqua" w:cs="宋体"/>
          <w:color w:val="000000"/>
          <w:lang w:eastAsia="zh-CN"/>
        </w:rPr>
        <w:t xml:space="preserve"> L, </w:t>
      </w:r>
      <w:proofErr w:type="spellStart"/>
      <w:r w:rsidRPr="00C565F0">
        <w:rPr>
          <w:rFonts w:ascii="Book Antiqua" w:hAnsi="Book Antiqua" w:cs="宋体"/>
          <w:color w:val="000000"/>
          <w:lang w:eastAsia="zh-CN"/>
        </w:rPr>
        <w:t>Salama</w:t>
      </w:r>
      <w:proofErr w:type="spellEnd"/>
      <w:r w:rsidRPr="00C565F0">
        <w:rPr>
          <w:rFonts w:ascii="Book Antiqua" w:hAnsi="Book Antiqua" w:cs="宋体"/>
          <w:color w:val="000000"/>
          <w:lang w:eastAsia="zh-CN"/>
        </w:rPr>
        <w:t xml:space="preserve"> A, Jenkins JM, </w:t>
      </w:r>
      <w:proofErr w:type="spellStart"/>
      <w:r w:rsidRPr="00C565F0">
        <w:rPr>
          <w:rFonts w:ascii="Book Antiqua" w:hAnsi="Book Antiqua" w:cs="宋体"/>
          <w:color w:val="000000"/>
          <w:lang w:eastAsia="zh-CN"/>
        </w:rPr>
        <w:t>Roychowdhury</w:t>
      </w:r>
      <w:proofErr w:type="spellEnd"/>
      <w:r w:rsidRPr="00C565F0">
        <w:rPr>
          <w:rFonts w:ascii="Book Antiqua" w:hAnsi="Book Antiqua" w:cs="宋体"/>
          <w:color w:val="000000"/>
          <w:lang w:eastAsia="zh-CN"/>
        </w:rPr>
        <w:t xml:space="preserve"> D, Mayer B, Stone N, </w:t>
      </w:r>
      <w:proofErr w:type="spellStart"/>
      <w:r w:rsidRPr="00C565F0">
        <w:rPr>
          <w:rFonts w:ascii="Book Antiqua" w:hAnsi="Book Antiqua" w:cs="宋体"/>
          <w:color w:val="000000"/>
          <w:lang w:eastAsia="zh-CN"/>
        </w:rPr>
        <w:t>Arning</w:t>
      </w:r>
      <w:proofErr w:type="spellEnd"/>
      <w:r w:rsidRPr="00C565F0">
        <w:rPr>
          <w:rFonts w:ascii="Book Antiqua" w:hAnsi="Book Antiqua" w:cs="宋体"/>
          <w:color w:val="000000"/>
          <w:lang w:eastAsia="zh-CN"/>
        </w:rPr>
        <w:t xml:space="preserve"> M. Effect of </w:t>
      </w:r>
      <w:proofErr w:type="spellStart"/>
      <w:r w:rsidRPr="00C565F0">
        <w:rPr>
          <w:rFonts w:ascii="Book Antiqua" w:hAnsi="Book Antiqua" w:cs="宋体"/>
          <w:color w:val="000000"/>
          <w:lang w:eastAsia="zh-CN"/>
        </w:rPr>
        <w:t>eltrombopag</w:t>
      </w:r>
      <w:proofErr w:type="spellEnd"/>
      <w:r w:rsidRPr="00C565F0">
        <w:rPr>
          <w:rFonts w:ascii="Book Antiqua" w:hAnsi="Book Antiqua" w:cs="宋体"/>
          <w:color w:val="000000"/>
          <w:lang w:eastAsia="zh-CN"/>
        </w:rPr>
        <w:t xml:space="preserve"> on platelet counts and bleeding during treatment of chronic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a </w:t>
      </w:r>
      <w:proofErr w:type="spellStart"/>
      <w:r w:rsidRPr="00C565F0">
        <w:rPr>
          <w:rFonts w:ascii="Book Antiqua" w:hAnsi="Book Antiqua" w:cs="宋体"/>
          <w:color w:val="000000"/>
          <w:lang w:eastAsia="zh-CN"/>
        </w:rPr>
        <w:t>randomised</w:t>
      </w:r>
      <w:proofErr w:type="spellEnd"/>
      <w:r w:rsidRPr="00C565F0">
        <w:rPr>
          <w:rFonts w:ascii="Book Antiqua" w:hAnsi="Book Antiqua" w:cs="宋体"/>
          <w:color w:val="000000"/>
          <w:lang w:eastAsia="zh-CN"/>
        </w:rPr>
        <w:t>, double-blind, placebo-controlled trial. </w:t>
      </w:r>
      <w:r w:rsidRPr="00C565F0">
        <w:rPr>
          <w:rFonts w:ascii="Book Antiqua" w:hAnsi="Book Antiqua" w:cs="宋体"/>
          <w:i/>
          <w:iCs/>
          <w:color w:val="000000"/>
          <w:lang w:eastAsia="zh-CN"/>
        </w:rPr>
        <w:t>Lancet</w:t>
      </w:r>
      <w:r w:rsidRPr="00C565F0">
        <w:rPr>
          <w:rFonts w:ascii="Book Antiqua" w:hAnsi="Book Antiqua" w:cs="宋体"/>
          <w:color w:val="000000"/>
          <w:lang w:eastAsia="zh-CN"/>
        </w:rPr>
        <w:t> 2009; </w:t>
      </w:r>
      <w:r w:rsidRPr="00C565F0">
        <w:rPr>
          <w:rFonts w:ascii="Book Antiqua" w:hAnsi="Book Antiqua" w:cs="宋体"/>
          <w:b/>
          <w:bCs/>
          <w:color w:val="000000"/>
          <w:lang w:eastAsia="zh-CN"/>
        </w:rPr>
        <w:t>373</w:t>
      </w:r>
      <w:r w:rsidRPr="00C565F0">
        <w:rPr>
          <w:rFonts w:ascii="Book Antiqua" w:hAnsi="Book Antiqua" w:cs="宋体"/>
          <w:color w:val="000000"/>
          <w:lang w:eastAsia="zh-CN"/>
        </w:rPr>
        <w:t>: 641-648 [PMID: 19231632 DOI: 10.1016/S0140-6736(09)60402-5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18 </w:t>
      </w:r>
      <w:proofErr w:type="spellStart"/>
      <w:r w:rsidRPr="00C565F0">
        <w:rPr>
          <w:rFonts w:ascii="Book Antiqua" w:hAnsi="Book Antiqua" w:cs="宋体"/>
          <w:b/>
          <w:bCs/>
          <w:color w:val="000000"/>
          <w:lang w:eastAsia="zh-CN"/>
        </w:rPr>
        <w:t>Kuter</w:t>
      </w:r>
      <w:proofErr w:type="spellEnd"/>
      <w:r w:rsidRPr="00C565F0">
        <w:rPr>
          <w:rFonts w:ascii="Book Antiqua" w:hAnsi="Book Antiqua" w:cs="宋体"/>
          <w:b/>
          <w:bCs/>
          <w:color w:val="000000"/>
          <w:lang w:eastAsia="zh-CN"/>
        </w:rPr>
        <w:t xml:space="preserve"> DJ</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Lyons RM, </w:t>
      </w:r>
      <w:proofErr w:type="spellStart"/>
      <w:r w:rsidRPr="00C565F0">
        <w:rPr>
          <w:rFonts w:ascii="Book Antiqua" w:hAnsi="Book Antiqua" w:cs="宋体"/>
          <w:color w:val="000000"/>
          <w:lang w:eastAsia="zh-CN"/>
        </w:rPr>
        <w:t>Pullarkat</w:t>
      </w:r>
      <w:proofErr w:type="spellEnd"/>
      <w:r w:rsidRPr="00C565F0">
        <w:rPr>
          <w:rFonts w:ascii="Book Antiqua" w:hAnsi="Book Antiqua" w:cs="宋体"/>
          <w:color w:val="000000"/>
          <w:lang w:eastAsia="zh-CN"/>
        </w:rPr>
        <w:t xml:space="preserve"> V, </w:t>
      </w:r>
      <w:proofErr w:type="spellStart"/>
      <w:r w:rsidRPr="00C565F0">
        <w:rPr>
          <w:rFonts w:ascii="Book Antiqua" w:hAnsi="Book Antiqua" w:cs="宋体"/>
          <w:color w:val="000000"/>
          <w:lang w:eastAsia="zh-CN"/>
        </w:rPr>
        <w:t>Gernsheimer</w:t>
      </w:r>
      <w:proofErr w:type="spellEnd"/>
      <w:r w:rsidRPr="00C565F0">
        <w:rPr>
          <w:rFonts w:ascii="Book Antiqua" w:hAnsi="Book Antiqua" w:cs="宋体"/>
          <w:color w:val="000000"/>
          <w:lang w:eastAsia="zh-CN"/>
        </w:rPr>
        <w:t xml:space="preserve"> TB, </w:t>
      </w:r>
      <w:proofErr w:type="spellStart"/>
      <w:r w:rsidRPr="00C565F0">
        <w:rPr>
          <w:rFonts w:ascii="Book Antiqua" w:hAnsi="Book Antiqua" w:cs="宋体"/>
          <w:color w:val="000000"/>
          <w:lang w:eastAsia="zh-CN"/>
        </w:rPr>
        <w:t>Senecal</w:t>
      </w:r>
      <w:proofErr w:type="spellEnd"/>
      <w:r w:rsidRPr="00C565F0">
        <w:rPr>
          <w:rFonts w:ascii="Book Antiqua" w:hAnsi="Book Antiqua" w:cs="宋体"/>
          <w:color w:val="000000"/>
          <w:lang w:eastAsia="zh-CN"/>
        </w:rPr>
        <w:t xml:space="preserve"> FM, </w:t>
      </w:r>
      <w:proofErr w:type="spellStart"/>
      <w:r w:rsidRPr="00C565F0">
        <w:rPr>
          <w:rFonts w:ascii="Book Antiqua" w:hAnsi="Book Antiqua" w:cs="宋体"/>
          <w:color w:val="000000"/>
          <w:lang w:eastAsia="zh-CN"/>
        </w:rPr>
        <w:t>Aledort</w:t>
      </w:r>
      <w:proofErr w:type="spellEnd"/>
      <w:r w:rsidRPr="00C565F0">
        <w:rPr>
          <w:rFonts w:ascii="Book Antiqua" w:hAnsi="Book Antiqua" w:cs="宋体"/>
          <w:color w:val="000000"/>
          <w:lang w:eastAsia="zh-CN"/>
        </w:rPr>
        <w:t xml:space="preserve"> LM, George JN, Kessler CM, </w:t>
      </w:r>
      <w:proofErr w:type="spellStart"/>
      <w:r w:rsidRPr="00C565F0">
        <w:rPr>
          <w:rFonts w:ascii="Book Antiqua" w:hAnsi="Book Antiqua" w:cs="宋体"/>
          <w:color w:val="000000"/>
          <w:lang w:eastAsia="zh-CN"/>
        </w:rPr>
        <w:t>Sanz</w:t>
      </w:r>
      <w:proofErr w:type="spellEnd"/>
      <w:r w:rsidRPr="00C565F0">
        <w:rPr>
          <w:rFonts w:ascii="Book Antiqua" w:hAnsi="Book Antiqua" w:cs="宋体"/>
          <w:color w:val="000000"/>
          <w:lang w:eastAsia="zh-CN"/>
        </w:rPr>
        <w:t xml:space="preserve"> MA, </w:t>
      </w:r>
      <w:proofErr w:type="spellStart"/>
      <w:r w:rsidRPr="00C565F0">
        <w:rPr>
          <w:rFonts w:ascii="Book Antiqua" w:hAnsi="Book Antiqua" w:cs="宋体"/>
          <w:color w:val="000000"/>
          <w:lang w:eastAsia="zh-CN"/>
        </w:rPr>
        <w:t>Liebman</w:t>
      </w:r>
      <w:proofErr w:type="spellEnd"/>
      <w:r w:rsidRPr="00C565F0">
        <w:rPr>
          <w:rFonts w:ascii="Book Antiqua" w:hAnsi="Book Antiqua" w:cs="宋体"/>
          <w:color w:val="000000"/>
          <w:lang w:eastAsia="zh-CN"/>
        </w:rPr>
        <w:t xml:space="preserve"> HA, </w:t>
      </w:r>
      <w:proofErr w:type="spellStart"/>
      <w:r w:rsidRPr="00C565F0">
        <w:rPr>
          <w:rFonts w:ascii="Book Antiqua" w:hAnsi="Book Antiqua" w:cs="宋体"/>
          <w:color w:val="000000"/>
          <w:lang w:eastAsia="zh-CN"/>
        </w:rPr>
        <w:t>Slovick</w:t>
      </w:r>
      <w:proofErr w:type="spellEnd"/>
      <w:r w:rsidRPr="00C565F0">
        <w:rPr>
          <w:rFonts w:ascii="Book Antiqua" w:hAnsi="Book Antiqua" w:cs="宋体"/>
          <w:color w:val="000000"/>
          <w:lang w:eastAsia="zh-CN"/>
        </w:rPr>
        <w:t xml:space="preserve"> FT, de Wolf JT, Bourgeois E, Guthrie TH, Newland A, </w:t>
      </w:r>
      <w:proofErr w:type="spellStart"/>
      <w:r w:rsidRPr="00C565F0">
        <w:rPr>
          <w:rFonts w:ascii="Book Antiqua" w:hAnsi="Book Antiqua" w:cs="宋体"/>
          <w:color w:val="000000"/>
          <w:lang w:eastAsia="zh-CN"/>
        </w:rPr>
        <w:t>Wasser</w:t>
      </w:r>
      <w:proofErr w:type="spellEnd"/>
      <w:r w:rsidRPr="00C565F0">
        <w:rPr>
          <w:rFonts w:ascii="Book Antiqua" w:hAnsi="Book Antiqua" w:cs="宋体"/>
          <w:color w:val="000000"/>
          <w:lang w:eastAsia="zh-CN"/>
        </w:rPr>
        <w:t xml:space="preserve"> JS, Hamburg SI, Grande C, </w:t>
      </w:r>
      <w:proofErr w:type="spellStart"/>
      <w:r w:rsidRPr="00C565F0">
        <w:rPr>
          <w:rFonts w:ascii="Book Antiqua" w:hAnsi="Book Antiqua" w:cs="宋体"/>
          <w:color w:val="000000"/>
          <w:lang w:eastAsia="zh-CN"/>
        </w:rPr>
        <w:t>Lefrère</w:t>
      </w:r>
      <w:proofErr w:type="spellEnd"/>
      <w:r w:rsidRPr="00C565F0">
        <w:rPr>
          <w:rFonts w:ascii="Book Antiqua" w:hAnsi="Book Antiqua" w:cs="宋体"/>
          <w:color w:val="000000"/>
          <w:lang w:eastAsia="zh-CN"/>
        </w:rPr>
        <w:t xml:space="preserve"> F, </w:t>
      </w:r>
      <w:proofErr w:type="spellStart"/>
      <w:r w:rsidRPr="00C565F0">
        <w:rPr>
          <w:rFonts w:ascii="Book Antiqua" w:hAnsi="Book Antiqua" w:cs="宋体"/>
          <w:color w:val="000000"/>
          <w:lang w:eastAsia="zh-CN"/>
        </w:rPr>
        <w:t>Lichtin</w:t>
      </w:r>
      <w:proofErr w:type="spellEnd"/>
      <w:r w:rsidRPr="00C565F0">
        <w:rPr>
          <w:rFonts w:ascii="Book Antiqua" w:hAnsi="Book Antiqua" w:cs="宋体"/>
          <w:color w:val="000000"/>
          <w:lang w:eastAsia="zh-CN"/>
        </w:rPr>
        <w:t xml:space="preserve"> AE, Tarantino MD, </w:t>
      </w:r>
      <w:proofErr w:type="spellStart"/>
      <w:r w:rsidRPr="00C565F0">
        <w:rPr>
          <w:rFonts w:ascii="Book Antiqua" w:hAnsi="Book Antiqua" w:cs="宋体"/>
          <w:color w:val="000000"/>
          <w:lang w:eastAsia="zh-CN"/>
        </w:rPr>
        <w:t>Terebelo</w:t>
      </w:r>
      <w:proofErr w:type="spellEnd"/>
      <w:r w:rsidRPr="00C565F0">
        <w:rPr>
          <w:rFonts w:ascii="Book Antiqua" w:hAnsi="Book Antiqua" w:cs="宋体"/>
          <w:color w:val="000000"/>
          <w:lang w:eastAsia="zh-CN"/>
        </w:rPr>
        <w:t xml:space="preserve"> HR, </w:t>
      </w:r>
      <w:proofErr w:type="spellStart"/>
      <w:r w:rsidRPr="00C565F0">
        <w:rPr>
          <w:rFonts w:ascii="Book Antiqua" w:hAnsi="Book Antiqua" w:cs="宋体"/>
          <w:color w:val="000000"/>
          <w:lang w:eastAsia="zh-CN"/>
        </w:rPr>
        <w:t>Viallard</w:t>
      </w:r>
      <w:proofErr w:type="spellEnd"/>
      <w:r w:rsidRPr="00C565F0">
        <w:rPr>
          <w:rFonts w:ascii="Book Antiqua" w:hAnsi="Book Antiqua" w:cs="宋体"/>
          <w:color w:val="000000"/>
          <w:lang w:eastAsia="zh-CN"/>
        </w:rPr>
        <w:t xml:space="preserve"> JF, Cuevas FJ, Go RS, Henry DH, </w:t>
      </w:r>
      <w:proofErr w:type="spellStart"/>
      <w:r w:rsidRPr="00C565F0">
        <w:rPr>
          <w:rFonts w:ascii="Book Antiqua" w:hAnsi="Book Antiqua" w:cs="宋体"/>
          <w:color w:val="000000"/>
          <w:lang w:eastAsia="zh-CN"/>
        </w:rPr>
        <w:t>Redner</w:t>
      </w:r>
      <w:proofErr w:type="spellEnd"/>
      <w:r w:rsidRPr="00C565F0">
        <w:rPr>
          <w:rFonts w:ascii="Book Antiqua" w:hAnsi="Book Antiqua" w:cs="宋体"/>
          <w:color w:val="000000"/>
          <w:lang w:eastAsia="zh-CN"/>
        </w:rPr>
        <w:t xml:space="preserve"> RL, Rice L, </w:t>
      </w:r>
      <w:proofErr w:type="spellStart"/>
      <w:r w:rsidRPr="00C565F0">
        <w:rPr>
          <w:rFonts w:ascii="Book Antiqua" w:hAnsi="Book Antiqua" w:cs="宋体"/>
          <w:color w:val="000000"/>
          <w:lang w:eastAsia="zh-CN"/>
        </w:rPr>
        <w:t>Schipperus</w:t>
      </w:r>
      <w:proofErr w:type="spellEnd"/>
      <w:r w:rsidRPr="00C565F0">
        <w:rPr>
          <w:rFonts w:ascii="Book Antiqua" w:hAnsi="Book Antiqua" w:cs="宋体"/>
          <w:color w:val="000000"/>
          <w:lang w:eastAsia="zh-CN"/>
        </w:rPr>
        <w:t xml:space="preserve"> MR, </w:t>
      </w:r>
      <w:proofErr w:type="spellStart"/>
      <w:r w:rsidRPr="00C565F0">
        <w:rPr>
          <w:rFonts w:ascii="Book Antiqua" w:hAnsi="Book Antiqua" w:cs="宋体"/>
          <w:color w:val="000000"/>
          <w:lang w:eastAsia="zh-CN"/>
        </w:rPr>
        <w:t>Guo</w:t>
      </w:r>
      <w:proofErr w:type="spellEnd"/>
      <w:r w:rsidRPr="00C565F0">
        <w:rPr>
          <w:rFonts w:ascii="Book Antiqua" w:hAnsi="Book Antiqua" w:cs="宋体"/>
          <w:color w:val="000000"/>
          <w:lang w:eastAsia="zh-CN"/>
        </w:rPr>
        <w:t xml:space="preserve"> DM, Nichol JL. Efficacy of </w:t>
      </w:r>
      <w:proofErr w:type="spellStart"/>
      <w:r w:rsidRPr="00C565F0">
        <w:rPr>
          <w:rFonts w:ascii="Book Antiqua" w:hAnsi="Book Antiqua" w:cs="宋体"/>
          <w:color w:val="000000"/>
          <w:lang w:eastAsia="zh-CN"/>
        </w:rPr>
        <w:t>romiplostim</w:t>
      </w:r>
      <w:proofErr w:type="spellEnd"/>
      <w:r w:rsidRPr="00C565F0">
        <w:rPr>
          <w:rFonts w:ascii="Book Antiqua" w:hAnsi="Book Antiqua" w:cs="宋体"/>
          <w:color w:val="000000"/>
          <w:lang w:eastAsia="zh-CN"/>
        </w:rPr>
        <w:t xml:space="preserve"> in patients with chronic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a double-blind </w:t>
      </w:r>
      <w:proofErr w:type="spellStart"/>
      <w:r w:rsidRPr="00C565F0">
        <w:rPr>
          <w:rFonts w:ascii="Book Antiqua" w:hAnsi="Book Antiqua" w:cs="宋体"/>
          <w:color w:val="000000"/>
          <w:lang w:eastAsia="zh-CN"/>
        </w:rPr>
        <w:t>randomised</w:t>
      </w:r>
      <w:proofErr w:type="spellEnd"/>
      <w:r w:rsidRPr="00C565F0">
        <w:rPr>
          <w:rFonts w:ascii="Book Antiqua" w:hAnsi="Book Antiqua" w:cs="宋体"/>
          <w:color w:val="000000"/>
          <w:lang w:eastAsia="zh-CN"/>
        </w:rPr>
        <w:t xml:space="preserve"> controlled </w:t>
      </w:r>
      <w:proofErr w:type="spellStart"/>
      <w:r w:rsidRPr="00C565F0">
        <w:rPr>
          <w:rFonts w:ascii="Book Antiqua" w:hAnsi="Book Antiqua" w:cs="宋体"/>
          <w:color w:val="000000"/>
          <w:lang w:eastAsia="zh-CN"/>
        </w:rPr>
        <w:t>trial.</w:t>
      </w:r>
      <w:r w:rsidRPr="00C565F0">
        <w:rPr>
          <w:rFonts w:ascii="Book Antiqua" w:hAnsi="Book Antiqua" w:cs="宋体"/>
          <w:i/>
          <w:iCs/>
          <w:color w:val="000000"/>
          <w:lang w:eastAsia="zh-CN"/>
        </w:rPr>
        <w:t>Lancet</w:t>
      </w:r>
      <w:proofErr w:type="spellEnd"/>
      <w:r w:rsidRPr="00C565F0">
        <w:rPr>
          <w:rFonts w:ascii="Book Antiqua" w:hAnsi="Book Antiqua" w:cs="宋体"/>
          <w:color w:val="000000"/>
          <w:lang w:eastAsia="zh-CN"/>
        </w:rPr>
        <w:t> 2008; </w:t>
      </w:r>
      <w:r w:rsidRPr="00C565F0">
        <w:rPr>
          <w:rFonts w:ascii="Book Antiqua" w:hAnsi="Book Antiqua" w:cs="宋体"/>
          <w:b/>
          <w:bCs/>
          <w:color w:val="000000"/>
          <w:lang w:eastAsia="zh-CN"/>
        </w:rPr>
        <w:t>371</w:t>
      </w:r>
      <w:r w:rsidRPr="00C565F0">
        <w:rPr>
          <w:rFonts w:ascii="Book Antiqua" w:hAnsi="Book Antiqua" w:cs="宋体"/>
          <w:color w:val="000000"/>
          <w:lang w:eastAsia="zh-CN"/>
        </w:rPr>
        <w:t>: 395-403 [PMID: 18242413 DOI: 10.1016/S0140-6736(08)60203-2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19 </w:t>
      </w:r>
      <w:proofErr w:type="spellStart"/>
      <w:r w:rsidRPr="00C565F0">
        <w:rPr>
          <w:rFonts w:ascii="Book Antiqua" w:hAnsi="Book Antiqua" w:cs="宋体"/>
          <w:b/>
          <w:bCs/>
          <w:color w:val="000000"/>
          <w:lang w:eastAsia="zh-CN"/>
        </w:rPr>
        <w:t>Bussel</w:t>
      </w:r>
      <w:proofErr w:type="spellEnd"/>
      <w:r w:rsidRPr="00C565F0">
        <w:rPr>
          <w:rFonts w:ascii="Book Antiqua" w:hAnsi="Book Antiqua" w:cs="宋体"/>
          <w:b/>
          <w:bCs/>
          <w:color w:val="000000"/>
          <w:lang w:eastAsia="zh-CN"/>
        </w:rPr>
        <w:t xml:space="preserve"> JB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Kuter</w:t>
      </w:r>
      <w:proofErr w:type="spellEnd"/>
      <w:r w:rsidRPr="00C565F0">
        <w:rPr>
          <w:rFonts w:ascii="Book Antiqua" w:hAnsi="Book Antiqua" w:cs="宋体"/>
          <w:color w:val="000000"/>
          <w:lang w:eastAsia="zh-CN"/>
        </w:rPr>
        <w:t xml:space="preserve"> DJ, </w:t>
      </w:r>
      <w:proofErr w:type="spellStart"/>
      <w:r w:rsidRPr="00C565F0">
        <w:rPr>
          <w:rFonts w:ascii="Book Antiqua" w:hAnsi="Book Antiqua" w:cs="宋体"/>
          <w:color w:val="000000"/>
          <w:lang w:eastAsia="zh-CN"/>
        </w:rPr>
        <w:t>Pullarkat</w:t>
      </w:r>
      <w:proofErr w:type="spellEnd"/>
      <w:r w:rsidRPr="00C565F0">
        <w:rPr>
          <w:rFonts w:ascii="Book Antiqua" w:hAnsi="Book Antiqua" w:cs="宋体"/>
          <w:color w:val="000000"/>
          <w:lang w:eastAsia="zh-CN"/>
        </w:rPr>
        <w:t xml:space="preserve"> V, Lyons RM, </w:t>
      </w:r>
      <w:proofErr w:type="spellStart"/>
      <w:r w:rsidRPr="00C565F0">
        <w:rPr>
          <w:rFonts w:ascii="Book Antiqua" w:hAnsi="Book Antiqua" w:cs="宋体"/>
          <w:color w:val="000000"/>
          <w:lang w:eastAsia="zh-CN"/>
        </w:rPr>
        <w:t>Guo</w:t>
      </w:r>
      <w:proofErr w:type="spellEnd"/>
      <w:r w:rsidRPr="00C565F0">
        <w:rPr>
          <w:rFonts w:ascii="Book Antiqua" w:hAnsi="Book Antiqua" w:cs="宋体"/>
          <w:color w:val="000000"/>
          <w:lang w:eastAsia="zh-CN"/>
        </w:rPr>
        <w:t xml:space="preserve"> M, Nichol JL.</w:t>
      </w:r>
      <w:proofErr w:type="gramEnd"/>
      <w:r w:rsidRPr="00C565F0">
        <w:rPr>
          <w:rFonts w:ascii="Book Antiqua" w:hAnsi="Book Antiqua" w:cs="宋体"/>
          <w:color w:val="000000"/>
          <w:lang w:eastAsia="zh-CN"/>
        </w:rPr>
        <w:t xml:space="preserve"> </w:t>
      </w:r>
      <w:proofErr w:type="gramStart"/>
      <w:r w:rsidRPr="00C565F0">
        <w:rPr>
          <w:rFonts w:ascii="Book Antiqua" w:hAnsi="Book Antiqua" w:cs="宋体"/>
          <w:color w:val="000000"/>
          <w:lang w:eastAsia="zh-CN"/>
        </w:rPr>
        <w:t xml:space="preserve">Safety and efficacy of long-term treatment with </w:t>
      </w:r>
      <w:proofErr w:type="spellStart"/>
      <w:r w:rsidRPr="00C565F0">
        <w:rPr>
          <w:rFonts w:ascii="Book Antiqua" w:hAnsi="Book Antiqua" w:cs="宋体"/>
          <w:color w:val="000000"/>
          <w:lang w:eastAsia="zh-CN"/>
        </w:rPr>
        <w:t>romiplostim</w:t>
      </w:r>
      <w:proofErr w:type="spellEnd"/>
      <w:r w:rsidRPr="00C565F0">
        <w:rPr>
          <w:rFonts w:ascii="Book Antiqua" w:hAnsi="Book Antiqua" w:cs="宋体"/>
          <w:color w:val="000000"/>
          <w:lang w:eastAsia="zh-CN"/>
        </w:rPr>
        <w:t xml:space="preserve"> in thrombocytopenic patients with chronic ITP.</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2009; </w:t>
      </w:r>
      <w:r w:rsidRPr="00C565F0">
        <w:rPr>
          <w:rFonts w:ascii="Book Antiqua" w:hAnsi="Book Antiqua" w:cs="宋体"/>
          <w:b/>
          <w:bCs/>
          <w:color w:val="000000"/>
          <w:lang w:eastAsia="zh-CN"/>
        </w:rPr>
        <w:t>113</w:t>
      </w:r>
      <w:r w:rsidRPr="00C565F0">
        <w:rPr>
          <w:rFonts w:ascii="Book Antiqua" w:hAnsi="Book Antiqua" w:cs="宋体"/>
          <w:color w:val="000000"/>
          <w:lang w:eastAsia="zh-CN"/>
        </w:rPr>
        <w:t>: 2161-2171 [PMID: 18981291 DOI: 10.1182/blood-2008-04-150078</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20 </w:t>
      </w:r>
      <w:r w:rsidRPr="00C565F0">
        <w:rPr>
          <w:rFonts w:ascii="Book Antiqua" w:hAnsi="Book Antiqua" w:cs="宋体"/>
          <w:b/>
          <w:bCs/>
          <w:color w:val="000000"/>
          <w:lang w:eastAsia="zh-CN"/>
        </w:rPr>
        <w:t>Olsson 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Andersson</w:t>
      </w:r>
      <w:proofErr w:type="spellEnd"/>
      <w:r w:rsidRPr="00C565F0">
        <w:rPr>
          <w:rFonts w:ascii="Book Antiqua" w:hAnsi="Book Antiqua" w:cs="宋体"/>
          <w:color w:val="000000"/>
          <w:lang w:eastAsia="zh-CN"/>
        </w:rPr>
        <w:t xml:space="preserve"> PO, </w:t>
      </w:r>
      <w:proofErr w:type="spellStart"/>
      <w:r w:rsidRPr="00C565F0">
        <w:rPr>
          <w:rFonts w:ascii="Book Antiqua" w:hAnsi="Book Antiqua" w:cs="宋体"/>
          <w:color w:val="000000"/>
          <w:lang w:eastAsia="zh-CN"/>
        </w:rPr>
        <w:t>Jernås</w:t>
      </w:r>
      <w:proofErr w:type="spell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Jacobsson</w:t>
      </w:r>
      <w:proofErr w:type="spellEnd"/>
      <w:r w:rsidRPr="00C565F0">
        <w:rPr>
          <w:rFonts w:ascii="Book Antiqua" w:hAnsi="Book Antiqua" w:cs="宋体"/>
          <w:color w:val="000000"/>
          <w:lang w:eastAsia="zh-CN"/>
        </w:rPr>
        <w:t xml:space="preserve"> S, </w:t>
      </w:r>
      <w:proofErr w:type="spellStart"/>
      <w:r w:rsidRPr="00C565F0">
        <w:rPr>
          <w:rFonts w:ascii="Book Antiqua" w:hAnsi="Book Antiqua" w:cs="宋体"/>
          <w:color w:val="000000"/>
          <w:lang w:eastAsia="zh-CN"/>
        </w:rPr>
        <w:t>Carlsson</w:t>
      </w:r>
      <w:proofErr w:type="spellEnd"/>
      <w:r w:rsidRPr="00C565F0">
        <w:rPr>
          <w:rFonts w:ascii="Book Antiqua" w:hAnsi="Book Antiqua" w:cs="宋体"/>
          <w:color w:val="000000"/>
          <w:lang w:eastAsia="zh-CN"/>
        </w:rPr>
        <w:t xml:space="preserve"> B, </w:t>
      </w:r>
      <w:proofErr w:type="spellStart"/>
      <w:r w:rsidRPr="00C565F0">
        <w:rPr>
          <w:rFonts w:ascii="Book Antiqua" w:hAnsi="Book Antiqua" w:cs="宋体"/>
          <w:color w:val="000000"/>
          <w:lang w:eastAsia="zh-CN"/>
        </w:rPr>
        <w:t>Carlsson</w:t>
      </w:r>
      <w:proofErr w:type="spellEnd"/>
      <w:r w:rsidRPr="00C565F0">
        <w:rPr>
          <w:rFonts w:ascii="Book Antiqua" w:hAnsi="Book Antiqua" w:cs="宋体"/>
          <w:color w:val="000000"/>
          <w:lang w:eastAsia="zh-CN"/>
        </w:rPr>
        <w:t xml:space="preserve"> LM, </w:t>
      </w:r>
      <w:proofErr w:type="spellStart"/>
      <w:r w:rsidRPr="00C565F0">
        <w:rPr>
          <w:rFonts w:ascii="Book Antiqua" w:hAnsi="Book Antiqua" w:cs="宋体"/>
          <w:color w:val="000000"/>
          <w:lang w:eastAsia="zh-CN"/>
        </w:rPr>
        <w:t>Wadenvik</w:t>
      </w:r>
      <w:proofErr w:type="spellEnd"/>
      <w:r w:rsidRPr="00C565F0">
        <w:rPr>
          <w:rFonts w:ascii="Book Antiqua" w:hAnsi="Book Antiqua" w:cs="宋体"/>
          <w:color w:val="000000"/>
          <w:lang w:eastAsia="zh-CN"/>
        </w:rPr>
        <w:t xml:space="preserve"> H. T-cell-mediated cytotoxicity toward platelets in chronic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Nat Med</w:t>
      </w:r>
      <w:r w:rsidRPr="00C565F0">
        <w:rPr>
          <w:rFonts w:ascii="Book Antiqua" w:hAnsi="Book Antiqua" w:cs="宋体"/>
          <w:color w:val="000000"/>
          <w:lang w:eastAsia="zh-CN"/>
        </w:rPr>
        <w:t> 2003; </w:t>
      </w:r>
      <w:r w:rsidRPr="00C565F0">
        <w:rPr>
          <w:rFonts w:ascii="Book Antiqua" w:hAnsi="Book Antiqua" w:cs="宋体"/>
          <w:b/>
          <w:bCs/>
          <w:color w:val="000000"/>
          <w:lang w:eastAsia="zh-CN"/>
        </w:rPr>
        <w:t>9</w:t>
      </w:r>
      <w:r w:rsidRPr="00C565F0">
        <w:rPr>
          <w:rFonts w:ascii="Book Antiqua" w:hAnsi="Book Antiqua" w:cs="宋体"/>
          <w:color w:val="000000"/>
          <w:lang w:eastAsia="zh-CN"/>
        </w:rPr>
        <w:t>: 1123-1124 [PMID: 12937414 DOI: 10.1038/nm921</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21 </w:t>
      </w:r>
      <w:r w:rsidRPr="00C565F0">
        <w:rPr>
          <w:rFonts w:ascii="Book Antiqua" w:hAnsi="Book Antiqua" w:cs="宋体"/>
          <w:b/>
          <w:bCs/>
          <w:color w:val="000000"/>
          <w:lang w:eastAsia="zh-CN"/>
        </w:rPr>
        <w:t>Cines DB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w:t>
      </w:r>
      <w:proofErr w:type="spellStart"/>
      <w:r w:rsidRPr="00C565F0">
        <w:rPr>
          <w:rFonts w:ascii="Book Antiqua" w:hAnsi="Book Antiqua" w:cs="宋体"/>
          <w:color w:val="000000"/>
          <w:lang w:eastAsia="zh-CN"/>
        </w:rPr>
        <w:t>Liebman</w:t>
      </w:r>
      <w:proofErr w:type="spellEnd"/>
      <w:r w:rsidRPr="00C565F0">
        <w:rPr>
          <w:rFonts w:ascii="Book Antiqua" w:hAnsi="Book Antiqua" w:cs="宋体"/>
          <w:color w:val="000000"/>
          <w:lang w:eastAsia="zh-CN"/>
        </w:rPr>
        <w:t xml:space="preserve"> HA, </w:t>
      </w:r>
      <w:proofErr w:type="spellStart"/>
      <w:r w:rsidRPr="00C565F0">
        <w:rPr>
          <w:rFonts w:ascii="Book Antiqua" w:hAnsi="Book Antiqua" w:cs="宋体"/>
          <w:color w:val="000000"/>
          <w:lang w:eastAsia="zh-CN"/>
        </w:rPr>
        <w:t>Luning</w:t>
      </w:r>
      <w:proofErr w:type="spellEnd"/>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Prak</w:t>
      </w:r>
      <w:proofErr w:type="spellEnd"/>
      <w:r w:rsidRPr="00C565F0">
        <w:rPr>
          <w:rFonts w:ascii="Book Antiqua" w:hAnsi="Book Antiqua" w:cs="宋体"/>
          <w:color w:val="000000"/>
          <w:lang w:eastAsia="zh-CN"/>
        </w:rPr>
        <w:t xml:space="preserve"> ET.</w:t>
      </w:r>
      <w:proofErr w:type="gramEnd"/>
      <w:r w:rsidRPr="00C565F0">
        <w:rPr>
          <w:rFonts w:ascii="Book Antiqua" w:hAnsi="Book Antiqua" w:cs="宋体"/>
          <w:color w:val="000000"/>
          <w:lang w:eastAsia="zh-CN"/>
        </w:rPr>
        <w:t xml:space="preserve"> The ITP syndrome: pathogenic and clinical diversity.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2009; </w:t>
      </w:r>
      <w:r w:rsidRPr="00C565F0">
        <w:rPr>
          <w:rFonts w:ascii="Book Antiqua" w:hAnsi="Book Antiqua" w:cs="宋体"/>
          <w:b/>
          <w:bCs/>
          <w:color w:val="000000"/>
          <w:lang w:eastAsia="zh-CN"/>
        </w:rPr>
        <w:t>113</w:t>
      </w:r>
      <w:r w:rsidRPr="00C565F0">
        <w:rPr>
          <w:rFonts w:ascii="Book Antiqua" w:hAnsi="Book Antiqua" w:cs="宋体"/>
          <w:color w:val="000000"/>
          <w:lang w:eastAsia="zh-CN"/>
        </w:rPr>
        <w:t>: 6511-6521 [PMID: 19395674 DOI: 10.1182/blood-2009-01-129155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lastRenderedPageBreak/>
        <w:t>22 </w:t>
      </w:r>
      <w:proofErr w:type="spellStart"/>
      <w:r w:rsidRPr="00C565F0">
        <w:rPr>
          <w:rFonts w:ascii="Book Antiqua" w:hAnsi="Book Antiqua" w:cs="宋体"/>
          <w:b/>
          <w:bCs/>
          <w:color w:val="000000"/>
          <w:lang w:eastAsia="zh-CN"/>
        </w:rPr>
        <w:t>Semple</w:t>
      </w:r>
      <w:proofErr w:type="spellEnd"/>
      <w:r w:rsidRPr="00C565F0">
        <w:rPr>
          <w:rFonts w:ascii="Book Antiqua" w:hAnsi="Book Antiqua" w:cs="宋体"/>
          <w:b/>
          <w:bCs/>
          <w:color w:val="000000"/>
          <w:lang w:eastAsia="zh-CN"/>
        </w:rPr>
        <w:t xml:space="preserve"> JW</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Provan</w:t>
      </w:r>
      <w:proofErr w:type="spellEnd"/>
      <w:r w:rsidRPr="00C565F0">
        <w:rPr>
          <w:rFonts w:ascii="Book Antiqua" w:hAnsi="Book Antiqua" w:cs="宋体"/>
          <w:color w:val="000000"/>
          <w:lang w:eastAsia="zh-CN"/>
        </w:rPr>
        <w:t xml:space="preserve"> D, Garvey MB, Freedman J. </w:t>
      </w:r>
      <w:proofErr w:type="gramStart"/>
      <w:r w:rsidRPr="00C565F0">
        <w:rPr>
          <w:rFonts w:ascii="Book Antiqua" w:hAnsi="Book Antiqua" w:cs="宋体"/>
          <w:color w:val="000000"/>
          <w:lang w:eastAsia="zh-CN"/>
        </w:rPr>
        <w:t>Recent progress in understanding the pathogenesis of immune thrombocytopenia.</w:t>
      </w:r>
      <w:proofErr w:type="gram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Curr</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Opin</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color w:val="000000"/>
          <w:lang w:eastAsia="zh-CN"/>
        </w:rPr>
        <w:t> 2010; </w:t>
      </w:r>
      <w:r w:rsidRPr="00C565F0">
        <w:rPr>
          <w:rFonts w:ascii="Book Antiqua" w:hAnsi="Book Antiqua" w:cs="宋体"/>
          <w:b/>
          <w:bCs/>
          <w:color w:val="000000"/>
          <w:lang w:eastAsia="zh-CN"/>
        </w:rPr>
        <w:t>17</w:t>
      </w:r>
      <w:r w:rsidRPr="00C565F0">
        <w:rPr>
          <w:rFonts w:ascii="Book Antiqua" w:hAnsi="Book Antiqua" w:cs="宋体"/>
          <w:color w:val="000000"/>
          <w:lang w:eastAsia="zh-CN"/>
        </w:rPr>
        <w:t>: 590-595 [PMID: 20739879 DOI: 10.1097/MOH.0b013e32833eaef3</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23 </w:t>
      </w:r>
      <w:proofErr w:type="spellStart"/>
      <w:r w:rsidRPr="00C565F0">
        <w:rPr>
          <w:rFonts w:ascii="Book Antiqua" w:hAnsi="Book Antiqua" w:cs="宋体"/>
          <w:b/>
          <w:bCs/>
          <w:color w:val="000000"/>
          <w:lang w:eastAsia="zh-CN"/>
        </w:rPr>
        <w:t>Najaoui</w:t>
      </w:r>
      <w:proofErr w:type="spellEnd"/>
      <w:r w:rsidRPr="00C565F0">
        <w:rPr>
          <w:rFonts w:ascii="Book Antiqua" w:hAnsi="Book Antiqua" w:cs="宋体"/>
          <w:b/>
          <w:bCs/>
          <w:color w:val="000000"/>
          <w:lang w:eastAsia="zh-CN"/>
        </w:rPr>
        <w:t xml:space="preserve"> A</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Bakchoul</w:t>
      </w:r>
      <w:proofErr w:type="spellEnd"/>
      <w:r w:rsidRPr="00C565F0">
        <w:rPr>
          <w:rFonts w:ascii="Book Antiqua" w:hAnsi="Book Antiqua" w:cs="宋体"/>
          <w:color w:val="000000"/>
          <w:lang w:eastAsia="zh-CN"/>
        </w:rPr>
        <w:t xml:space="preserve"> T, </w:t>
      </w:r>
      <w:proofErr w:type="spellStart"/>
      <w:r w:rsidRPr="00C565F0">
        <w:rPr>
          <w:rFonts w:ascii="Book Antiqua" w:hAnsi="Book Antiqua" w:cs="宋体"/>
          <w:color w:val="000000"/>
          <w:lang w:eastAsia="zh-CN"/>
        </w:rPr>
        <w:t>Stoy</w:t>
      </w:r>
      <w:proofErr w:type="spellEnd"/>
      <w:r w:rsidRPr="00C565F0">
        <w:rPr>
          <w:rFonts w:ascii="Book Antiqua" w:hAnsi="Book Antiqua" w:cs="宋体"/>
          <w:color w:val="000000"/>
          <w:lang w:eastAsia="zh-CN"/>
        </w:rPr>
        <w:t xml:space="preserve"> J, </w:t>
      </w:r>
      <w:proofErr w:type="spellStart"/>
      <w:r w:rsidRPr="00C565F0">
        <w:rPr>
          <w:rFonts w:ascii="Book Antiqua" w:hAnsi="Book Antiqua" w:cs="宋体"/>
          <w:color w:val="000000"/>
          <w:lang w:eastAsia="zh-CN"/>
        </w:rPr>
        <w:t>Bein</w:t>
      </w:r>
      <w:proofErr w:type="spellEnd"/>
      <w:r w:rsidRPr="00C565F0">
        <w:rPr>
          <w:rFonts w:ascii="Book Antiqua" w:hAnsi="Book Antiqua" w:cs="宋体"/>
          <w:color w:val="000000"/>
          <w:lang w:eastAsia="zh-CN"/>
        </w:rPr>
        <w:t xml:space="preserve"> G, </w:t>
      </w:r>
      <w:proofErr w:type="spellStart"/>
      <w:r w:rsidRPr="00C565F0">
        <w:rPr>
          <w:rFonts w:ascii="Book Antiqua" w:hAnsi="Book Antiqua" w:cs="宋体"/>
          <w:color w:val="000000"/>
          <w:lang w:eastAsia="zh-CN"/>
        </w:rPr>
        <w:t>Rummel</w:t>
      </w:r>
      <w:proofErr w:type="spellEnd"/>
      <w:r w:rsidRPr="00C565F0">
        <w:rPr>
          <w:rFonts w:ascii="Book Antiqua" w:hAnsi="Book Antiqua" w:cs="宋体"/>
          <w:color w:val="000000"/>
          <w:lang w:eastAsia="zh-CN"/>
        </w:rPr>
        <w:t xml:space="preserve"> MJ, </w:t>
      </w:r>
      <w:proofErr w:type="spellStart"/>
      <w:r w:rsidRPr="00C565F0">
        <w:rPr>
          <w:rFonts w:ascii="Book Antiqua" w:hAnsi="Book Antiqua" w:cs="宋体"/>
          <w:color w:val="000000"/>
          <w:lang w:eastAsia="zh-CN"/>
        </w:rPr>
        <w:t>Santoso</w:t>
      </w:r>
      <w:proofErr w:type="spellEnd"/>
      <w:r w:rsidRPr="00C565F0">
        <w:rPr>
          <w:rFonts w:ascii="Book Antiqua" w:hAnsi="Book Antiqua" w:cs="宋体"/>
          <w:color w:val="000000"/>
          <w:lang w:eastAsia="zh-CN"/>
        </w:rPr>
        <w:t xml:space="preserve"> S, Sachs UJ. Autoantibody-mediated complement activation on platelets is a common finding in patients with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(ITP). </w:t>
      </w:r>
      <w:proofErr w:type="spellStart"/>
      <w:r w:rsidRPr="00C565F0">
        <w:rPr>
          <w:rFonts w:ascii="Book Antiqua" w:hAnsi="Book Antiqua" w:cs="宋体"/>
          <w:i/>
          <w:iCs/>
          <w:color w:val="000000"/>
          <w:lang w:eastAsia="zh-CN"/>
        </w:rPr>
        <w:t>Eur</w:t>
      </w:r>
      <w:proofErr w:type="spellEnd"/>
      <w:r w:rsidRPr="00C565F0">
        <w:rPr>
          <w:rFonts w:ascii="Book Antiqua" w:hAnsi="Book Antiqua" w:cs="宋体"/>
          <w:i/>
          <w:iCs/>
          <w:color w:val="000000"/>
          <w:lang w:eastAsia="zh-CN"/>
        </w:rPr>
        <w:t xml:space="preserve"> J </w:t>
      </w:r>
      <w:proofErr w:type="spellStart"/>
      <w:r w:rsidRPr="00C565F0">
        <w:rPr>
          <w:rFonts w:ascii="Book Antiqua" w:hAnsi="Book Antiqua" w:cs="宋体"/>
          <w:i/>
          <w:iCs/>
          <w:color w:val="000000"/>
          <w:lang w:eastAsia="zh-CN"/>
        </w:rPr>
        <w:t>Haematol</w:t>
      </w:r>
      <w:proofErr w:type="spellEnd"/>
      <w:r w:rsidRPr="00C565F0">
        <w:rPr>
          <w:rFonts w:ascii="Book Antiqua" w:hAnsi="Book Antiqua" w:cs="宋体"/>
          <w:color w:val="000000"/>
          <w:lang w:eastAsia="zh-CN"/>
        </w:rPr>
        <w:t> 2012; </w:t>
      </w:r>
      <w:r w:rsidRPr="00C565F0">
        <w:rPr>
          <w:rFonts w:ascii="Book Antiqua" w:hAnsi="Book Antiqua" w:cs="宋体"/>
          <w:b/>
          <w:bCs/>
          <w:color w:val="000000"/>
          <w:lang w:eastAsia="zh-CN"/>
        </w:rPr>
        <w:t>88</w:t>
      </w:r>
      <w:r w:rsidRPr="00C565F0">
        <w:rPr>
          <w:rFonts w:ascii="Book Antiqua" w:hAnsi="Book Antiqua" w:cs="宋体"/>
          <w:color w:val="000000"/>
          <w:lang w:eastAsia="zh-CN"/>
        </w:rPr>
        <w:t>: 167-174 [PMID: 21985182 DOI: 10.1111/j.1600-0609.2011.01718.x</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24 </w:t>
      </w:r>
      <w:r w:rsidRPr="00C565F0">
        <w:rPr>
          <w:rFonts w:ascii="Book Antiqua" w:hAnsi="Book Antiqua" w:cs="宋体"/>
          <w:b/>
          <w:bCs/>
          <w:color w:val="000000"/>
          <w:lang w:eastAsia="zh-CN"/>
        </w:rPr>
        <w:t>Stasi R</w:t>
      </w:r>
      <w:r w:rsidRPr="00C565F0">
        <w:rPr>
          <w:rFonts w:ascii="Book Antiqua" w:hAnsi="Book Antiqua" w:cs="宋体"/>
          <w:color w:val="000000"/>
          <w:lang w:eastAsia="zh-CN"/>
        </w:rPr>
        <w:t>, Willis F, Shannon MS, Gordon-Smith EC.</w:t>
      </w:r>
      <w:proofErr w:type="gramEnd"/>
      <w:r w:rsidRPr="00C565F0">
        <w:rPr>
          <w:rFonts w:ascii="Book Antiqua" w:hAnsi="Book Antiqua" w:cs="宋体"/>
          <w:color w:val="000000"/>
          <w:lang w:eastAsia="zh-CN"/>
        </w:rPr>
        <w:t xml:space="preserve"> Infectious causes of chronic immune thrombocytopenia.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Oncol</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Clin</w:t>
      </w:r>
      <w:proofErr w:type="spellEnd"/>
      <w:r w:rsidRPr="00C565F0">
        <w:rPr>
          <w:rFonts w:ascii="Book Antiqua" w:hAnsi="Book Antiqua" w:cs="宋体"/>
          <w:i/>
          <w:iCs/>
          <w:color w:val="000000"/>
          <w:lang w:eastAsia="zh-CN"/>
        </w:rPr>
        <w:t xml:space="preserve"> North Am</w:t>
      </w:r>
      <w:r w:rsidRPr="00C565F0">
        <w:rPr>
          <w:rFonts w:ascii="Book Antiqua" w:hAnsi="Book Antiqua" w:cs="宋体"/>
          <w:color w:val="000000"/>
          <w:lang w:eastAsia="zh-CN"/>
        </w:rPr>
        <w:t> 2009; </w:t>
      </w:r>
      <w:r w:rsidRPr="00C565F0">
        <w:rPr>
          <w:rFonts w:ascii="Book Antiqua" w:hAnsi="Book Antiqua" w:cs="宋体"/>
          <w:b/>
          <w:bCs/>
          <w:color w:val="000000"/>
          <w:lang w:eastAsia="zh-CN"/>
        </w:rPr>
        <w:t>23</w:t>
      </w:r>
      <w:r w:rsidRPr="00C565F0">
        <w:rPr>
          <w:rFonts w:ascii="Book Antiqua" w:hAnsi="Book Antiqua" w:cs="宋体"/>
          <w:color w:val="000000"/>
          <w:lang w:eastAsia="zh-CN"/>
        </w:rPr>
        <w:t>: 1275-1297 [PMID: 19932434 DOI: 10.1016/j.hoc.2009.08.009</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25 </w:t>
      </w:r>
      <w:proofErr w:type="spellStart"/>
      <w:r w:rsidRPr="00C565F0">
        <w:rPr>
          <w:rFonts w:ascii="Book Antiqua" w:hAnsi="Book Antiqua" w:cs="宋体"/>
          <w:b/>
          <w:bCs/>
          <w:color w:val="000000"/>
          <w:lang w:eastAsia="zh-CN"/>
        </w:rPr>
        <w:t>Arkfeld</w:t>
      </w:r>
      <w:proofErr w:type="spellEnd"/>
      <w:r w:rsidRPr="00C565F0">
        <w:rPr>
          <w:rFonts w:ascii="Book Antiqua" w:hAnsi="Book Antiqua" w:cs="宋体"/>
          <w:b/>
          <w:bCs/>
          <w:color w:val="000000"/>
          <w:lang w:eastAsia="zh-CN"/>
        </w:rPr>
        <w:t xml:space="preserve"> DG</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Weitz</w:t>
      </w:r>
      <w:proofErr w:type="spellEnd"/>
      <w:r w:rsidRPr="00C565F0">
        <w:rPr>
          <w:rFonts w:ascii="Book Antiqua" w:hAnsi="Book Antiqua" w:cs="宋体"/>
          <w:color w:val="000000"/>
          <w:lang w:eastAsia="zh-CN"/>
        </w:rPr>
        <w:t xml:space="preserve"> IC. </w:t>
      </w:r>
      <w:proofErr w:type="gramStart"/>
      <w:r w:rsidRPr="00C565F0">
        <w:rPr>
          <w:rFonts w:ascii="Book Antiqua" w:hAnsi="Book Antiqua" w:cs="宋体"/>
          <w:color w:val="000000"/>
          <w:lang w:eastAsia="zh-CN"/>
        </w:rPr>
        <w:t xml:space="preserve">Immune thrombocytopenia in patients with connective tissue disorders and the </w:t>
      </w:r>
      <w:proofErr w:type="spellStart"/>
      <w:r w:rsidRPr="00C565F0">
        <w:rPr>
          <w:rFonts w:ascii="Book Antiqua" w:hAnsi="Book Antiqua" w:cs="宋体"/>
          <w:color w:val="000000"/>
          <w:lang w:eastAsia="zh-CN"/>
        </w:rPr>
        <w:t>antiphospholipid</w:t>
      </w:r>
      <w:proofErr w:type="spellEnd"/>
      <w:r w:rsidRPr="00C565F0">
        <w:rPr>
          <w:rFonts w:ascii="Book Antiqua" w:hAnsi="Book Antiqua" w:cs="宋体"/>
          <w:color w:val="000000"/>
          <w:lang w:eastAsia="zh-CN"/>
        </w:rPr>
        <w:t xml:space="preserve"> antibody syndrome.</w:t>
      </w:r>
      <w:proofErr w:type="gram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Oncol</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Clin</w:t>
      </w:r>
      <w:proofErr w:type="spellEnd"/>
      <w:r w:rsidRPr="00C565F0">
        <w:rPr>
          <w:rFonts w:ascii="Book Antiqua" w:hAnsi="Book Antiqua" w:cs="宋体"/>
          <w:i/>
          <w:iCs/>
          <w:color w:val="000000"/>
          <w:lang w:eastAsia="zh-CN"/>
        </w:rPr>
        <w:t xml:space="preserve"> North Am</w:t>
      </w:r>
      <w:r w:rsidRPr="00C565F0">
        <w:rPr>
          <w:rFonts w:ascii="Book Antiqua" w:hAnsi="Book Antiqua" w:cs="宋体"/>
          <w:color w:val="000000"/>
          <w:lang w:eastAsia="zh-CN"/>
        </w:rPr>
        <w:t> 2009; </w:t>
      </w:r>
      <w:r w:rsidRPr="00C565F0">
        <w:rPr>
          <w:rFonts w:ascii="Book Antiqua" w:hAnsi="Book Antiqua" w:cs="宋体"/>
          <w:b/>
          <w:bCs/>
          <w:color w:val="000000"/>
          <w:lang w:eastAsia="zh-CN"/>
        </w:rPr>
        <w:t>23</w:t>
      </w:r>
      <w:r w:rsidRPr="00C565F0">
        <w:rPr>
          <w:rFonts w:ascii="Book Antiqua" w:hAnsi="Book Antiqua" w:cs="宋体"/>
          <w:color w:val="000000"/>
          <w:lang w:eastAsia="zh-CN"/>
        </w:rPr>
        <w:t>: 1239-1249 [PMID: 19932431 DOI: 10.1016/j.hoc.2009.08.010</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26 </w:t>
      </w:r>
      <w:r w:rsidRPr="00C565F0">
        <w:rPr>
          <w:rFonts w:ascii="Book Antiqua" w:hAnsi="Book Antiqua" w:cs="宋体"/>
          <w:b/>
          <w:bCs/>
          <w:color w:val="000000"/>
          <w:lang w:eastAsia="zh-CN"/>
        </w:rPr>
        <w:t>McCrae K</w:t>
      </w:r>
      <w:r w:rsidRPr="00C565F0">
        <w:rPr>
          <w:rFonts w:ascii="Book Antiqua" w:hAnsi="Book Antiqua" w:cs="宋体"/>
          <w:color w:val="000000"/>
          <w:lang w:eastAsia="zh-CN"/>
        </w:rPr>
        <w:t>. Immune thrombocytopenia:</w:t>
      </w:r>
      <w:proofErr w:type="gramEnd"/>
      <w:r w:rsidRPr="00C565F0">
        <w:rPr>
          <w:rFonts w:ascii="Book Antiqua" w:hAnsi="Book Antiqua" w:cs="宋体"/>
          <w:color w:val="000000"/>
          <w:lang w:eastAsia="zh-CN"/>
        </w:rPr>
        <w:t xml:space="preserve"> no longer 'idiopathic'. </w:t>
      </w:r>
      <w:r w:rsidRPr="00C565F0">
        <w:rPr>
          <w:rFonts w:ascii="Book Antiqua" w:hAnsi="Book Antiqua" w:cs="宋体"/>
          <w:i/>
          <w:iCs/>
          <w:color w:val="000000"/>
          <w:lang w:eastAsia="zh-CN"/>
        </w:rPr>
        <w:t xml:space="preserve">Cleve </w:t>
      </w:r>
      <w:proofErr w:type="spellStart"/>
      <w:r w:rsidRPr="00C565F0">
        <w:rPr>
          <w:rFonts w:ascii="Book Antiqua" w:hAnsi="Book Antiqua" w:cs="宋体"/>
          <w:i/>
          <w:iCs/>
          <w:color w:val="000000"/>
          <w:lang w:eastAsia="zh-CN"/>
        </w:rPr>
        <w:t>Clin</w:t>
      </w:r>
      <w:proofErr w:type="spellEnd"/>
      <w:r w:rsidRPr="00C565F0">
        <w:rPr>
          <w:rFonts w:ascii="Book Antiqua" w:hAnsi="Book Antiqua" w:cs="宋体"/>
          <w:i/>
          <w:iCs/>
          <w:color w:val="000000"/>
          <w:lang w:eastAsia="zh-CN"/>
        </w:rPr>
        <w:t xml:space="preserve"> J Med</w:t>
      </w:r>
      <w:r w:rsidRPr="00C565F0">
        <w:rPr>
          <w:rFonts w:ascii="Book Antiqua" w:hAnsi="Book Antiqua" w:cs="宋体"/>
          <w:color w:val="000000"/>
          <w:lang w:eastAsia="zh-CN"/>
        </w:rPr>
        <w:t> 2011; </w:t>
      </w:r>
      <w:r w:rsidRPr="00C565F0">
        <w:rPr>
          <w:rFonts w:ascii="Book Antiqua" w:hAnsi="Book Antiqua" w:cs="宋体"/>
          <w:b/>
          <w:bCs/>
          <w:color w:val="000000"/>
          <w:lang w:eastAsia="zh-CN"/>
        </w:rPr>
        <w:t>78</w:t>
      </w:r>
      <w:r w:rsidRPr="00C565F0">
        <w:rPr>
          <w:rFonts w:ascii="Book Antiqua" w:hAnsi="Book Antiqua" w:cs="宋体"/>
          <w:color w:val="000000"/>
          <w:lang w:eastAsia="zh-CN"/>
        </w:rPr>
        <w:t>: 358-373 [PMID: 21632906 DOI: 10.3949/ccjm.78gr.10005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27 </w:t>
      </w:r>
      <w:r w:rsidRPr="00C565F0">
        <w:rPr>
          <w:rFonts w:ascii="Book Antiqua" w:hAnsi="Book Antiqua" w:cs="宋体"/>
          <w:b/>
          <w:bCs/>
          <w:color w:val="000000"/>
          <w:lang w:eastAsia="zh-CN"/>
        </w:rPr>
        <w:t>Mittal S</w:t>
      </w:r>
      <w:r w:rsidRPr="00C565F0">
        <w:rPr>
          <w:rFonts w:ascii="Book Antiqua" w:hAnsi="Book Antiqua" w:cs="宋体"/>
          <w:color w:val="000000"/>
          <w:lang w:eastAsia="zh-CN"/>
        </w:rPr>
        <w:t xml:space="preserve">, Blaylock MG, </w:t>
      </w:r>
      <w:proofErr w:type="spellStart"/>
      <w:r w:rsidRPr="00C565F0">
        <w:rPr>
          <w:rFonts w:ascii="Book Antiqua" w:hAnsi="Book Antiqua" w:cs="宋体"/>
          <w:color w:val="000000"/>
          <w:lang w:eastAsia="zh-CN"/>
        </w:rPr>
        <w:t>Culligan</w:t>
      </w:r>
      <w:proofErr w:type="spellEnd"/>
      <w:r w:rsidRPr="00C565F0">
        <w:rPr>
          <w:rFonts w:ascii="Book Antiqua" w:hAnsi="Book Antiqua" w:cs="宋体"/>
          <w:color w:val="000000"/>
          <w:lang w:eastAsia="zh-CN"/>
        </w:rPr>
        <w:t xml:space="preserve"> DJ, Barker RN, Vickers MA. </w:t>
      </w:r>
      <w:proofErr w:type="gramStart"/>
      <w:r w:rsidRPr="00C565F0">
        <w:rPr>
          <w:rFonts w:ascii="Book Antiqua" w:hAnsi="Book Antiqua" w:cs="宋体"/>
          <w:color w:val="000000"/>
          <w:lang w:eastAsia="zh-CN"/>
        </w:rPr>
        <w:t xml:space="preserve">A high rate of CLL phenotype lymphocytes in autoimmune hemolytic anemia and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w:t>
      </w:r>
      <w:proofErr w:type="gram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Haematologica</w:t>
      </w:r>
      <w:proofErr w:type="spellEnd"/>
      <w:r w:rsidRPr="00C565F0">
        <w:rPr>
          <w:rFonts w:ascii="Book Antiqua" w:hAnsi="Book Antiqua" w:cs="宋体"/>
          <w:color w:val="000000"/>
          <w:lang w:eastAsia="zh-CN"/>
        </w:rPr>
        <w:t> 2008; </w:t>
      </w:r>
      <w:r w:rsidRPr="00C565F0">
        <w:rPr>
          <w:rFonts w:ascii="Book Antiqua" w:hAnsi="Book Antiqua" w:cs="宋体"/>
          <w:b/>
          <w:bCs/>
          <w:color w:val="000000"/>
          <w:lang w:eastAsia="zh-CN"/>
        </w:rPr>
        <w:t>93</w:t>
      </w:r>
      <w:r w:rsidRPr="00C565F0">
        <w:rPr>
          <w:rFonts w:ascii="Book Antiqua" w:hAnsi="Book Antiqua" w:cs="宋体"/>
          <w:color w:val="000000"/>
          <w:lang w:eastAsia="zh-CN"/>
        </w:rPr>
        <w:t>: 151-152 [PMID: 18166805 DOI: 10.3324/haematol.11822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28 </w:t>
      </w:r>
      <w:proofErr w:type="spellStart"/>
      <w:r w:rsidRPr="00C565F0">
        <w:rPr>
          <w:rFonts w:ascii="Book Antiqua" w:hAnsi="Book Antiqua" w:cs="宋体"/>
          <w:b/>
          <w:bCs/>
          <w:color w:val="000000"/>
          <w:lang w:eastAsia="zh-CN"/>
        </w:rPr>
        <w:t>Cortelazzo</w:t>
      </w:r>
      <w:proofErr w:type="spellEnd"/>
      <w:r w:rsidRPr="00C565F0">
        <w:rPr>
          <w:rFonts w:ascii="Book Antiqua" w:hAnsi="Book Antiqua" w:cs="宋体"/>
          <w:b/>
          <w:bCs/>
          <w:color w:val="000000"/>
          <w:lang w:eastAsia="zh-CN"/>
        </w:rPr>
        <w:t xml:space="preserve"> S</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Finazzi</w:t>
      </w:r>
      <w:proofErr w:type="spellEnd"/>
      <w:r w:rsidRPr="00C565F0">
        <w:rPr>
          <w:rFonts w:ascii="Book Antiqua" w:hAnsi="Book Antiqua" w:cs="宋体"/>
          <w:color w:val="000000"/>
          <w:lang w:eastAsia="zh-CN"/>
        </w:rPr>
        <w:t xml:space="preserve"> G, </w:t>
      </w:r>
      <w:proofErr w:type="spellStart"/>
      <w:r w:rsidRPr="00C565F0">
        <w:rPr>
          <w:rFonts w:ascii="Book Antiqua" w:hAnsi="Book Antiqua" w:cs="宋体"/>
          <w:color w:val="000000"/>
          <w:lang w:eastAsia="zh-CN"/>
        </w:rPr>
        <w:t>Buelli</w:t>
      </w:r>
      <w:proofErr w:type="spell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Molteni</w:t>
      </w:r>
      <w:proofErr w:type="spellEnd"/>
      <w:r w:rsidRPr="00C565F0">
        <w:rPr>
          <w:rFonts w:ascii="Book Antiqua" w:hAnsi="Book Antiqua" w:cs="宋体"/>
          <w:color w:val="000000"/>
          <w:lang w:eastAsia="zh-CN"/>
        </w:rPr>
        <w:t xml:space="preserve"> A, </w:t>
      </w:r>
      <w:proofErr w:type="spellStart"/>
      <w:r w:rsidRPr="00C565F0">
        <w:rPr>
          <w:rFonts w:ascii="Book Antiqua" w:hAnsi="Book Antiqua" w:cs="宋体"/>
          <w:color w:val="000000"/>
          <w:lang w:eastAsia="zh-CN"/>
        </w:rPr>
        <w:t>Viero</w:t>
      </w:r>
      <w:proofErr w:type="spellEnd"/>
      <w:r w:rsidRPr="00C565F0">
        <w:rPr>
          <w:rFonts w:ascii="Book Antiqua" w:hAnsi="Book Antiqua" w:cs="宋体"/>
          <w:color w:val="000000"/>
          <w:lang w:eastAsia="zh-CN"/>
        </w:rPr>
        <w:t xml:space="preserve"> P, </w:t>
      </w:r>
      <w:proofErr w:type="spellStart"/>
      <w:r w:rsidRPr="00C565F0">
        <w:rPr>
          <w:rFonts w:ascii="Book Antiqua" w:hAnsi="Book Antiqua" w:cs="宋体"/>
          <w:color w:val="000000"/>
          <w:lang w:eastAsia="zh-CN"/>
        </w:rPr>
        <w:t>Barbui</w:t>
      </w:r>
      <w:proofErr w:type="spellEnd"/>
      <w:r w:rsidRPr="00C565F0">
        <w:rPr>
          <w:rFonts w:ascii="Book Antiqua" w:hAnsi="Book Antiqua" w:cs="宋体"/>
          <w:color w:val="000000"/>
          <w:lang w:eastAsia="zh-CN"/>
        </w:rPr>
        <w:t xml:space="preserve"> T. High risk of severe bleeding in aged patients with chronic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1991; </w:t>
      </w:r>
      <w:r w:rsidRPr="00C565F0">
        <w:rPr>
          <w:rFonts w:ascii="Book Antiqua" w:hAnsi="Book Antiqua" w:cs="宋体"/>
          <w:b/>
          <w:bCs/>
          <w:color w:val="000000"/>
          <w:lang w:eastAsia="zh-CN"/>
        </w:rPr>
        <w:t>77</w:t>
      </w:r>
      <w:r w:rsidRPr="00C565F0">
        <w:rPr>
          <w:rFonts w:ascii="Book Antiqua" w:hAnsi="Book Antiqua" w:cs="宋体"/>
          <w:color w:val="000000"/>
          <w:lang w:eastAsia="zh-CN"/>
        </w:rPr>
        <w:t>: 31-33 [PMID: 1984800]</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29 </w:t>
      </w:r>
      <w:proofErr w:type="spellStart"/>
      <w:r w:rsidRPr="00C565F0">
        <w:rPr>
          <w:rFonts w:ascii="Book Antiqua" w:hAnsi="Book Antiqua" w:cs="宋体"/>
          <w:b/>
          <w:bCs/>
          <w:color w:val="000000"/>
          <w:lang w:eastAsia="zh-CN"/>
        </w:rPr>
        <w:t>Portielje</w:t>
      </w:r>
      <w:proofErr w:type="spellEnd"/>
      <w:r w:rsidRPr="00C565F0">
        <w:rPr>
          <w:rFonts w:ascii="Book Antiqua" w:hAnsi="Book Antiqua" w:cs="宋体"/>
          <w:b/>
          <w:bCs/>
          <w:color w:val="000000"/>
          <w:lang w:eastAsia="zh-CN"/>
        </w:rPr>
        <w:t xml:space="preserve"> JE</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Westendorp</w:t>
      </w:r>
      <w:proofErr w:type="spellEnd"/>
      <w:r w:rsidRPr="00C565F0">
        <w:rPr>
          <w:rFonts w:ascii="Book Antiqua" w:hAnsi="Book Antiqua" w:cs="宋体"/>
          <w:color w:val="000000"/>
          <w:lang w:eastAsia="zh-CN"/>
        </w:rPr>
        <w:t xml:space="preserve"> RG, </w:t>
      </w:r>
      <w:proofErr w:type="spellStart"/>
      <w:r w:rsidRPr="00C565F0">
        <w:rPr>
          <w:rFonts w:ascii="Book Antiqua" w:hAnsi="Book Antiqua" w:cs="宋体"/>
          <w:color w:val="000000"/>
          <w:lang w:eastAsia="zh-CN"/>
        </w:rPr>
        <w:t>Kluin-Nelemans</w:t>
      </w:r>
      <w:proofErr w:type="spellEnd"/>
      <w:r w:rsidRPr="00C565F0">
        <w:rPr>
          <w:rFonts w:ascii="Book Antiqua" w:hAnsi="Book Antiqua" w:cs="宋体"/>
          <w:color w:val="000000"/>
          <w:lang w:eastAsia="zh-CN"/>
        </w:rPr>
        <w:t xml:space="preserve"> HC, Brand A. Morbidity and mortality in adults with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2001; </w:t>
      </w:r>
      <w:r w:rsidRPr="00C565F0">
        <w:rPr>
          <w:rFonts w:ascii="Book Antiqua" w:hAnsi="Book Antiqua" w:cs="宋体"/>
          <w:b/>
          <w:bCs/>
          <w:color w:val="000000"/>
          <w:lang w:eastAsia="zh-CN"/>
        </w:rPr>
        <w:t>97</w:t>
      </w:r>
      <w:r w:rsidRPr="00C565F0">
        <w:rPr>
          <w:rFonts w:ascii="Book Antiqua" w:hAnsi="Book Antiqua" w:cs="宋体"/>
          <w:color w:val="000000"/>
          <w:lang w:eastAsia="zh-CN"/>
        </w:rPr>
        <w:t>: 2549-2554 [PMID: 11313240 DOI: 10.1182/blood.V97.9.2549</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lastRenderedPageBreak/>
        <w:t>30 </w:t>
      </w:r>
      <w:proofErr w:type="gramStart"/>
      <w:r w:rsidRPr="00C565F0">
        <w:rPr>
          <w:rFonts w:ascii="Book Antiqua" w:hAnsi="Book Antiqua" w:cs="宋体"/>
          <w:b/>
          <w:bCs/>
          <w:color w:val="000000"/>
          <w:lang w:eastAsia="zh-CN"/>
        </w:rPr>
        <w:t>Yang</w:t>
      </w:r>
      <w:proofErr w:type="gramEnd"/>
      <w:r w:rsidRPr="00C565F0">
        <w:rPr>
          <w:rFonts w:ascii="Book Antiqua" w:hAnsi="Book Antiqua" w:cs="宋体"/>
          <w:b/>
          <w:bCs/>
          <w:color w:val="000000"/>
          <w:lang w:eastAsia="zh-CN"/>
        </w:rPr>
        <w:t xml:space="preserve"> R</w:t>
      </w:r>
      <w:r w:rsidRPr="00C565F0">
        <w:rPr>
          <w:rFonts w:ascii="Book Antiqua" w:hAnsi="Book Antiqua" w:cs="宋体"/>
          <w:color w:val="000000"/>
          <w:lang w:eastAsia="zh-CN"/>
        </w:rPr>
        <w:t xml:space="preserve">, Han ZC. Pathogenesis and management of chronic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an update. </w:t>
      </w:r>
      <w:proofErr w:type="spellStart"/>
      <w:r w:rsidRPr="00C565F0">
        <w:rPr>
          <w:rFonts w:ascii="Book Antiqua" w:hAnsi="Book Antiqua" w:cs="宋体"/>
          <w:i/>
          <w:iCs/>
          <w:color w:val="000000"/>
          <w:lang w:eastAsia="zh-CN"/>
        </w:rPr>
        <w:t>Int</w:t>
      </w:r>
      <w:proofErr w:type="spellEnd"/>
      <w:r w:rsidRPr="00C565F0">
        <w:rPr>
          <w:rFonts w:ascii="Book Antiqua" w:hAnsi="Book Antiqua" w:cs="宋体"/>
          <w:i/>
          <w:iCs/>
          <w:color w:val="000000"/>
          <w:lang w:eastAsia="zh-CN"/>
        </w:rPr>
        <w:t xml:space="preserve"> J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color w:val="000000"/>
          <w:lang w:eastAsia="zh-CN"/>
        </w:rPr>
        <w:t> 2000; </w:t>
      </w:r>
      <w:r w:rsidRPr="00C565F0">
        <w:rPr>
          <w:rFonts w:ascii="Book Antiqua" w:hAnsi="Book Antiqua" w:cs="宋体"/>
          <w:b/>
          <w:bCs/>
          <w:color w:val="000000"/>
          <w:lang w:eastAsia="zh-CN"/>
        </w:rPr>
        <w:t>71</w:t>
      </w:r>
      <w:r w:rsidRPr="00C565F0">
        <w:rPr>
          <w:rFonts w:ascii="Book Antiqua" w:hAnsi="Book Antiqua" w:cs="宋体"/>
          <w:color w:val="000000"/>
          <w:lang w:eastAsia="zh-CN"/>
        </w:rPr>
        <w:t>: 18-24 [PMID: 10729989]</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31 </w:t>
      </w:r>
      <w:r w:rsidRPr="00C565F0">
        <w:rPr>
          <w:rFonts w:ascii="Book Antiqua" w:hAnsi="Book Antiqua" w:cs="宋体"/>
          <w:b/>
          <w:bCs/>
          <w:color w:val="000000"/>
          <w:lang w:eastAsia="zh-CN"/>
        </w:rPr>
        <w:t>Li J</w:t>
      </w:r>
      <w:r w:rsidRPr="00C565F0">
        <w:rPr>
          <w:rFonts w:ascii="Book Antiqua" w:hAnsi="Book Antiqua" w:cs="宋体"/>
          <w:color w:val="000000"/>
          <w:lang w:eastAsia="zh-CN"/>
        </w:rPr>
        <w:t xml:space="preserve">, van der </w:t>
      </w:r>
      <w:proofErr w:type="spellStart"/>
      <w:r w:rsidRPr="00C565F0">
        <w:rPr>
          <w:rFonts w:ascii="Book Antiqua" w:hAnsi="Book Antiqua" w:cs="宋体"/>
          <w:color w:val="000000"/>
          <w:lang w:eastAsia="zh-CN"/>
        </w:rPr>
        <w:t>Wal</w:t>
      </w:r>
      <w:proofErr w:type="spellEnd"/>
      <w:r w:rsidRPr="00C565F0">
        <w:rPr>
          <w:rFonts w:ascii="Book Antiqua" w:hAnsi="Book Antiqua" w:cs="宋体"/>
          <w:color w:val="000000"/>
          <w:lang w:eastAsia="zh-CN"/>
        </w:rPr>
        <w:t xml:space="preserve"> DE, Zhu L, </w:t>
      </w:r>
      <w:proofErr w:type="spellStart"/>
      <w:r w:rsidRPr="00C565F0">
        <w:rPr>
          <w:rFonts w:ascii="Book Antiqua" w:hAnsi="Book Antiqua" w:cs="宋体"/>
          <w:color w:val="000000"/>
          <w:lang w:eastAsia="zh-CN"/>
        </w:rPr>
        <w:t>Vadasz</w:t>
      </w:r>
      <w:proofErr w:type="spellEnd"/>
      <w:r w:rsidRPr="00C565F0">
        <w:rPr>
          <w:rFonts w:ascii="Book Antiqua" w:hAnsi="Book Antiqua" w:cs="宋体"/>
          <w:color w:val="000000"/>
          <w:lang w:eastAsia="zh-CN"/>
        </w:rPr>
        <w:t xml:space="preserve"> B, Simpson EK, Li C, Webster ML, Zhu G, Lang S, Chen P, Zeng Q, Ni H. Fc-independent phagocytosis: implications for IVIG and other therapies in immune-mediated thrombocytopenia. </w:t>
      </w:r>
      <w:proofErr w:type="spellStart"/>
      <w:r w:rsidRPr="00C565F0">
        <w:rPr>
          <w:rFonts w:ascii="Book Antiqua" w:hAnsi="Book Antiqua" w:cs="宋体"/>
          <w:i/>
          <w:iCs/>
          <w:color w:val="000000"/>
          <w:lang w:eastAsia="zh-CN"/>
        </w:rPr>
        <w:t>Cardiovasc</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Disord</w:t>
      </w:r>
      <w:proofErr w:type="spellEnd"/>
      <w:r w:rsidRPr="00C565F0">
        <w:rPr>
          <w:rFonts w:ascii="Book Antiqua" w:hAnsi="Book Antiqua" w:cs="宋体"/>
          <w:i/>
          <w:iCs/>
          <w:color w:val="000000"/>
          <w:lang w:eastAsia="zh-CN"/>
        </w:rPr>
        <w:t xml:space="preserve"> Drug Targets</w:t>
      </w:r>
      <w:r w:rsidRPr="00C565F0">
        <w:rPr>
          <w:rFonts w:ascii="Book Antiqua" w:hAnsi="Book Antiqua" w:cs="宋体"/>
          <w:color w:val="000000"/>
          <w:lang w:eastAsia="zh-CN"/>
        </w:rPr>
        <w:t> 2013; </w:t>
      </w:r>
      <w:r w:rsidRPr="00C565F0">
        <w:rPr>
          <w:rFonts w:ascii="Book Antiqua" w:hAnsi="Book Antiqua" w:cs="宋体"/>
          <w:b/>
          <w:bCs/>
          <w:color w:val="000000"/>
          <w:lang w:eastAsia="zh-CN"/>
        </w:rPr>
        <w:t>13</w:t>
      </w:r>
      <w:r w:rsidRPr="00C565F0">
        <w:rPr>
          <w:rFonts w:ascii="Book Antiqua" w:hAnsi="Book Antiqua" w:cs="宋体"/>
          <w:color w:val="000000"/>
          <w:lang w:eastAsia="zh-CN"/>
        </w:rPr>
        <w:t>: 50-58 [PMID: 23082940 DOI: 10.2174/1871529X11313010006</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32 </w:t>
      </w:r>
      <w:proofErr w:type="spellStart"/>
      <w:r w:rsidRPr="00C565F0">
        <w:rPr>
          <w:rFonts w:ascii="Book Antiqua" w:hAnsi="Book Antiqua" w:cs="宋体"/>
          <w:b/>
          <w:bCs/>
          <w:color w:val="000000"/>
          <w:lang w:eastAsia="zh-CN"/>
        </w:rPr>
        <w:t>Netski</w:t>
      </w:r>
      <w:proofErr w:type="spellEnd"/>
      <w:r w:rsidRPr="00C565F0">
        <w:rPr>
          <w:rFonts w:ascii="Book Antiqua" w:hAnsi="Book Antiqua" w:cs="宋体"/>
          <w:b/>
          <w:bCs/>
          <w:color w:val="000000"/>
          <w:lang w:eastAsia="zh-CN"/>
        </w:rPr>
        <w:t xml:space="preserve"> D</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Kozel</w:t>
      </w:r>
      <w:proofErr w:type="spellEnd"/>
      <w:r w:rsidRPr="00C565F0">
        <w:rPr>
          <w:rFonts w:ascii="Book Antiqua" w:hAnsi="Book Antiqua" w:cs="宋体"/>
          <w:color w:val="000000"/>
          <w:lang w:eastAsia="zh-CN"/>
        </w:rPr>
        <w:t xml:space="preserve"> TR. Fc-dependent and Fc-independent </w:t>
      </w:r>
      <w:proofErr w:type="spellStart"/>
      <w:r w:rsidRPr="00C565F0">
        <w:rPr>
          <w:rFonts w:ascii="Book Antiqua" w:hAnsi="Book Antiqua" w:cs="宋体"/>
          <w:color w:val="000000"/>
          <w:lang w:eastAsia="zh-CN"/>
        </w:rPr>
        <w:t>opsonization</w:t>
      </w:r>
      <w:proofErr w:type="spellEnd"/>
      <w:r w:rsidRPr="00C565F0">
        <w:rPr>
          <w:rFonts w:ascii="Book Antiqua" w:hAnsi="Book Antiqua" w:cs="宋体"/>
          <w:color w:val="000000"/>
          <w:lang w:eastAsia="zh-CN"/>
        </w:rPr>
        <w:t xml:space="preserve"> of Cryptococcus </w:t>
      </w:r>
      <w:proofErr w:type="spellStart"/>
      <w:r w:rsidRPr="00C565F0">
        <w:rPr>
          <w:rFonts w:ascii="Book Antiqua" w:hAnsi="Book Antiqua" w:cs="宋体"/>
          <w:color w:val="000000"/>
          <w:lang w:eastAsia="zh-CN"/>
        </w:rPr>
        <w:t>neoformans</w:t>
      </w:r>
      <w:proofErr w:type="spellEnd"/>
      <w:r w:rsidRPr="00C565F0">
        <w:rPr>
          <w:rFonts w:ascii="Book Antiqua" w:hAnsi="Book Antiqua" w:cs="宋体"/>
          <w:color w:val="000000"/>
          <w:lang w:eastAsia="zh-CN"/>
        </w:rPr>
        <w:t xml:space="preserve"> by </w:t>
      </w:r>
      <w:proofErr w:type="spellStart"/>
      <w:r w:rsidRPr="00C565F0">
        <w:rPr>
          <w:rFonts w:ascii="Book Antiqua" w:hAnsi="Book Antiqua" w:cs="宋体"/>
          <w:color w:val="000000"/>
          <w:lang w:eastAsia="zh-CN"/>
        </w:rPr>
        <w:t>anticapsular</w:t>
      </w:r>
      <w:proofErr w:type="spellEnd"/>
      <w:r w:rsidRPr="00C565F0">
        <w:rPr>
          <w:rFonts w:ascii="Book Antiqua" w:hAnsi="Book Antiqua" w:cs="宋体"/>
          <w:color w:val="000000"/>
          <w:lang w:eastAsia="zh-CN"/>
        </w:rPr>
        <w:t xml:space="preserve"> monoclonal antibodies: importance of epitope specificity. </w:t>
      </w:r>
      <w:r w:rsidRPr="00C565F0">
        <w:rPr>
          <w:rFonts w:ascii="Book Antiqua" w:hAnsi="Book Antiqua" w:cs="宋体"/>
          <w:i/>
          <w:iCs/>
          <w:color w:val="000000"/>
          <w:lang w:eastAsia="zh-CN"/>
        </w:rPr>
        <w:t xml:space="preserve">Infect </w:t>
      </w:r>
      <w:proofErr w:type="spellStart"/>
      <w:r w:rsidRPr="00C565F0">
        <w:rPr>
          <w:rFonts w:ascii="Book Antiqua" w:hAnsi="Book Antiqua" w:cs="宋体"/>
          <w:i/>
          <w:iCs/>
          <w:color w:val="000000"/>
          <w:lang w:eastAsia="zh-CN"/>
        </w:rPr>
        <w:t>Immun</w:t>
      </w:r>
      <w:proofErr w:type="spellEnd"/>
      <w:r w:rsidRPr="00C565F0">
        <w:rPr>
          <w:rFonts w:ascii="Book Antiqua" w:hAnsi="Book Antiqua" w:cs="宋体"/>
          <w:color w:val="000000"/>
          <w:lang w:eastAsia="zh-CN"/>
        </w:rPr>
        <w:t> 2002; </w:t>
      </w:r>
      <w:r w:rsidRPr="00C565F0">
        <w:rPr>
          <w:rFonts w:ascii="Book Antiqua" w:hAnsi="Book Antiqua" w:cs="宋体"/>
          <w:b/>
          <w:bCs/>
          <w:color w:val="000000"/>
          <w:lang w:eastAsia="zh-CN"/>
        </w:rPr>
        <w:t>70</w:t>
      </w:r>
      <w:r w:rsidRPr="00C565F0">
        <w:rPr>
          <w:rFonts w:ascii="Book Antiqua" w:hAnsi="Book Antiqua" w:cs="宋体"/>
          <w:color w:val="000000"/>
          <w:lang w:eastAsia="zh-CN"/>
        </w:rPr>
        <w:t>: 2812-2819 [PMID: 12010967 DOI: 10.1128/IAI.70.6.2812-2819.2002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33 </w:t>
      </w:r>
      <w:r w:rsidRPr="00C565F0">
        <w:rPr>
          <w:rFonts w:ascii="Book Antiqua" w:hAnsi="Book Antiqua" w:cs="宋体"/>
          <w:b/>
          <w:bCs/>
          <w:color w:val="000000"/>
          <w:lang w:eastAsia="zh-CN"/>
        </w:rPr>
        <w:t>Fujiwara N</w:t>
      </w:r>
      <w:r w:rsidRPr="00C565F0">
        <w:rPr>
          <w:rFonts w:ascii="Book Antiqua" w:hAnsi="Book Antiqua" w:cs="宋体"/>
          <w:color w:val="000000"/>
          <w:lang w:eastAsia="zh-CN"/>
        </w:rPr>
        <w:t>, Kobayashi K. Macrophages in inflammation.</w:t>
      </w:r>
      <w:proofErr w:type="gram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Curr</w:t>
      </w:r>
      <w:proofErr w:type="spellEnd"/>
      <w:r w:rsidRPr="00C565F0">
        <w:rPr>
          <w:rFonts w:ascii="Book Antiqua" w:hAnsi="Book Antiqua" w:cs="宋体"/>
          <w:i/>
          <w:iCs/>
          <w:color w:val="000000"/>
          <w:lang w:eastAsia="zh-CN"/>
        </w:rPr>
        <w:t xml:space="preserve"> Drug Targets </w:t>
      </w:r>
      <w:proofErr w:type="spellStart"/>
      <w:r w:rsidRPr="00C565F0">
        <w:rPr>
          <w:rFonts w:ascii="Book Antiqua" w:hAnsi="Book Antiqua" w:cs="宋体"/>
          <w:i/>
          <w:iCs/>
          <w:color w:val="000000"/>
          <w:lang w:eastAsia="zh-CN"/>
        </w:rPr>
        <w:t>Inflamm</w:t>
      </w:r>
      <w:proofErr w:type="spellEnd"/>
      <w:r w:rsidRPr="00C565F0">
        <w:rPr>
          <w:rFonts w:ascii="Book Antiqua" w:hAnsi="Book Antiqua" w:cs="宋体"/>
          <w:i/>
          <w:iCs/>
          <w:color w:val="000000"/>
          <w:lang w:eastAsia="zh-CN"/>
        </w:rPr>
        <w:t xml:space="preserve"> Allergy</w:t>
      </w:r>
      <w:r w:rsidRPr="00C565F0">
        <w:rPr>
          <w:rFonts w:ascii="Book Antiqua" w:hAnsi="Book Antiqua" w:cs="宋体"/>
          <w:color w:val="000000"/>
          <w:lang w:eastAsia="zh-CN"/>
        </w:rPr>
        <w:t> 2005; </w:t>
      </w:r>
      <w:r w:rsidRPr="00C565F0">
        <w:rPr>
          <w:rFonts w:ascii="Book Antiqua" w:hAnsi="Book Antiqua" w:cs="宋体"/>
          <w:b/>
          <w:bCs/>
          <w:color w:val="000000"/>
          <w:lang w:eastAsia="zh-CN"/>
        </w:rPr>
        <w:t>4</w:t>
      </w:r>
      <w:r w:rsidRPr="00C565F0">
        <w:rPr>
          <w:rFonts w:ascii="Book Antiqua" w:hAnsi="Book Antiqua" w:cs="宋体"/>
          <w:color w:val="000000"/>
          <w:lang w:eastAsia="zh-CN"/>
        </w:rPr>
        <w:t>: 281-286 [PMID: 16101534]</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34 </w:t>
      </w:r>
      <w:proofErr w:type="spellStart"/>
      <w:r w:rsidRPr="00C565F0">
        <w:rPr>
          <w:rFonts w:ascii="Book Antiqua" w:hAnsi="Book Antiqua" w:cs="宋体"/>
          <w:b/>
          <w:bCs/>
          <w:color w:val="000000"/>
          <w:lang w:eastAsia="zh-CN"/>
        </w:rPr>
        <w:t>Plüddemann</w:t>
      </w:r>
      <w:proofErr w:type="spellEnd"/>
      <w:r w:rsidRPr="00C565F0">
        <w:rPr>
          <w:rFonts w:ascii="Book Antiqua" w:hAnsi="Book Antiqua" w:cs="宋体"/>
          <w:b/>
          <w:bCs/>
          <w:color w:val="000000"/>
          <w:lang w:eastAsia="zh-CN"/>
        </w:rPr>
        <w:t xml:space="preserve"> A</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Mukhopadhyay</w:t>
      </w:r>
      <w:proofErr w:type="spellEnd"/>
      <w:r w:rsidRPr="00C565F0">
        <w:rPr>
          <w:rFonts w:ascii="Book Antiqua" w:hAnsi="Book Antiqua" w:cs="宋体"/>
          <w:color w:val="000000"/>
          <w:lang w:eastAsia="zh-CN"/>
        </w:rPr>
        <w:t xml:space="preserve"> S, Gordon S. </w:t>
      </w:r>
      <w:proofErr w:type="gramStart"/>
      <w:r w:rsidRPr="00C565F0">
        <w:rPr>
          <w:rFonts w:ascii="Book Antiqua" w:hAnsi="Book Antiqua" w:cs="宋体"/>
          <w:color w:val="000000"/>
          <w:lang w:eastAsia="zh-CN"/>
        </w:rPr>
        <w:t>The interaction of macrophage receptors with bacterial ligands.</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 xml:space="preserve">Expert Rev </w:t>
      </w:r>
      <w:proofErr w:type="spellStart"/>
      <w:r w:rsidRPr="00C565F0">
        <w:rPr>
          <w:rFonts w:ascii="Book Antiqua" w:hAnsi="Book Antiqua" w:cs="宋体"/>
          <w:i/>
          <w:iCs/>
          <w:color w:val="000000"/>
          <w:lang w:eastAsia="zh-CN"/>
        </w:rPr>
        <w:t>Mol</w:t>
      </w:r>
      <w:proofErr w:type="spellEnd"/>
      <w:r w:rsidRPr="00C565F0">
        <w:rPr>
          <w:rFonts w:ascii="Book Antiqua" w:hAnsi="Book Antiqua" w:cs="宋体"/>
          <w:i/>
          <w:iCs/>
          <w:color w:val="000000"/>
          <w:lang w:eastAsia="zh-CN"/>
        </w:rPr>
        <w:t xml:space="preserve"> Med</w:t>
      </w:r>
      <w:r w:rsidRPr="00C565F0">
        <w:rPr>
          <w:rFonts w:ascii="Book Antiqua" w:hAnsi="Book Antiqua" w:cs="宋体"/>
          <w:color w:val="000000"/>
          <w:lang w:eastAsia="zh-CN"/>
        </w:rPr>
        <w:t> 2006; </w:t>
      </w:r>
      <w:r w:rsidRPr="00C565F0">
        <w:rPr>
          <w:rFonts w:ascii="Book Antiqua" w:hAnsi="Book Antiqua" w:cs="宋体"/>
          <w:b/>
          <w:bCs/>
          <w:color w:val="000000"/>
          <w:lang w:eastAsia="zh-CN"/>
        </w:rPr>
        <w:t>8</w:t>
      </w:r>
      <w:r w:rsidRPr="00C565F0">
        <w:rPr>
          <w:rFonts w:ascii="Book Antiqua" w:hAnsi="Book Antiqua" w:cs="宋体"/>
          <w:color w:val="000000"/>
          <w:lang w:eastAsia="zh-CN"/>
        </w:rPr>
        <w:t>: 1-25 [PMID: 17118220 DOI: 10.1017/S1462399406000159</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35 </w:t>
      </w:r>
      <w:proofErr w:type="spellStart"/>
      <w:r w:rsidRPr="00C565F0">
        <w:rPr>
          <w:rFonts w:ascii="Book Antiqua" w:hAnsi="Book Antiqua" w:cs="宋体"/>
          <w:b/>
          <w:bCs/>
          <w:color w:val="000000"/>
          <w:lang w:eastAsia="zh-CN"/>
        </w:rPr>
        <w:t>Plüddemann</w:t>
      </w:r>
      <w:proofErr w:type="spellEnd"/>
      <w:r w:rsidRPr="00C565F0">
        <w:rPr>
          <w:rFonts w:ascii="Book Antiqua" w:hAnsi="Book Antiqua" w:cs="宋体"/>
          <w:b/>
          <w:bCs/>
          <w:color w:val="000000"/>
          <w:lang w:eastAsia="zh-CN"/>
        </w:rPr>
        <w:t xml:space="preserve"> A</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Neyen</w:t>
      </w:r>
      <w:proofErr w:type="spellEnd"/>
      <w:r w:rsidRPr="00C565F0">
        <w:rPr>
          <w:rFonts w:ascii="Book Antiqua" w:hAnsi="Book Antiqua" w:cs="宋体"/>
          <w:color w:val="000000"/>
          <w:lang w:eastAsia="zh-CN"/>
        </w:rPr>
        <w:t xml:space="preserve"> C, Gordon S. Macrophage scavenger receptors and host-derived ligands.</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Methods</w:t>
      </w:r>
      <w:r w:rsidRPr="00C565F0">
        <w:rPr>
          <w:rFonts w:ascii="Book Antiqua" w:hAnsi="Book Antiqua" w:cs="宋体"/>
          <w:color w:val="000000"/>
          <w:lang w:eastAsia="zh-CN"/>
        </w:rPr>
        <w:t> 2007; </w:t>
      </w:r>
      <w:r w:rsidRPr="00C565F0">
        <w:rPr>
          <w:rFonts w:ascii="Book Antiqua" w:hAnsi="Book Antiqua" w:cs="宋体"/>
          <w:b/>
          <w:bCs/>
          <w:color w:val="000000"/>
          <w:lang w:eastAsia="zh-CN"/>
        </w:rPr>
        <w:t>43</w:t>
      </w:r>
      <w:r w:rsidRPr="00C565F0">
        <w:rPr>
          <w:rFonts w:ascii="Book Antiqua" w:hAnsi="Book Antiqua" w:cs="宋体"/>
          <w:color w:val="000000"/>
          <w:lang w:eastAsia="zh-CN"/>
        </w:rPr>
        <w:t>: 207-217 [PMID: 17920517 DOI: 10.1016/j.ymeth.2007.06.004</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36 </w:t>
      </w:r>
      <w:proofErr w:type="spellStart"/>
      <w:r w:rsidRPr="00C565F0">
        <w:rPr>
          <w:rFonts w:ascii="Book Antiqua" w:hAnsi="Book Antiqua" w:cs="宋体"/>
          <w:b/>
          <w:bCs/>
          <w:color w:val="000000"/>
          <w:lang w:eastAsia="zh-CN"/>
        </w:rPr>
        <w:t>Lauber</w:t>
      </w:r>
      <w:proofErr w:type="spellEnd"/>
      <w:r w:rsidRPr="00C565F0">
        <w:rPr>
          <w:rFonts w:ascii="Book Antiqua" w:hAnsi="Book Antiqua" w:cs="宋体"/>
          <w:b/>
          <w:bCs/>
          <w:color w:val="000000"/>
          <w:lang w:eastAsia="zh-CN"/>
        </w:rPr>
        <w:t xml:space="preserve"> K</w:t>
      </w:r>
      <w:r w:rsidRPr="00C565F0">
        <w:rPr>
          <w:rFonts w:ascii="Book Antiqua" w:hAnsi="Book Antiqua" w:cs="宋体"/>
          <w:color w:val="000000"/>
          <w:lang w:eastAsia="zh-CN"/>
        </w:rPr>
        <w:t xml:space="preserve">, Blumenthal SG, </w:t>
      </w:r>
      <w:proofErr w:type="spellStart"/>
      <w:proofErr w:type="gramStart"/>
      <w:r w:rsidRPr="00C565F0">
        <w:rPr>
          <w:rFonts w:ascii="Book Antiqua" w:hAnsi="Book Antiqua" w:cs="宋体"/>
          <w:color w:val="000000"/>
          <w:lang w:eastAsia="zh-CN"/>
        </w:rPr>
        <w:t>Waibel</w:t>
      </w:r>
      <w:proofErr w:type="spellEnd"/>
      <w:proofErr w:type="gram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Wesselborg</w:t>
      </w:r>
      <w:proofErr w:type="spellEnd"/>
      <w:r w:rsidRPr="00C565F0">
        <w:rPr>
          <w:rFonts w:ascii="Book Antiqua" w:hAnsi="Book Antiqua" w:cs="宋体"/>
          <w:color w:val="000000"/>
          <w:lang w:eastAsia="zh-CN"/>
        </w:rPr>
        <w:t xml:space="preserve"> S. Clearance of apoptotic cells: getting rid of the corpses. </w:t>
      </w:r>
      <w:proofErr w:type="spellStart"/>
      <w:r w:rsidRPr="00C565F0">
        <w:rPr>
          <w:rFonts w:ascii="Book Antiqua" w:hAnsi="Book Antiqua" w:cs="宋体"/>
          <w:i/>
          <w:iCs/>
          <w:color w:val="000000"/>
          <w:lang w:eastAsia="zh-CN"/>
        </w:rPr>
        <w:t>Mol</w:t>
      </w:r>
      <w:proofErr w:type="spellEnd"/>
      <w:r w:rsidRPr="00C565F0">
        <w:rPr>
          <w:rFonts w:ascii="Book Antiqua" w:hAnsi="Book Antiqua" w:cs="宋体"/>
          <w:i/>
          <w:iCs/>
          <w:color w:val="000000"/>
          <w:lang w:eastAsia="zh-CN"/>
        </w:rPr>
        <w:t xml:space="preserve"> Cell</w:t>
      </w:r>
      <w:r w:rsidRPr="00C565F0">
        <w:rPr>
          <w:rFonts w:ascii="Book Antiqua" w:hAnsi="Book Antiqua" w:cs="宋体"/>
          <w:color w:val="000000"/>
          <w:lang w:eastAsia="zh-CN"/>
        </w:rPr>
        <w:t> 2004; </w:t>
      </w:r>
      <w:r w:rsidRPr="00C565F0">
        <w:rPr>
          <w:rFonts w:ascii="Book Antiqua" w:hAnsi="Book Antiqua" w:cs="宋体"/>
          <w:b/>
          <w:bCs/>
          <w:color w:val="000000"/>
          <w:lang w:eastAsia="zh-CN"/>
        </w:rPr>
        <w:t>14</w:t>
      </w:r>
      <w:r w:rsidRPr="00C565F0">
        <w:rPr>
          <w:rFonts w:ascii="Book Antiqua" w:hAnsi="Book Antiqua" w:cs="宋体"/>
          <w:color w:val="000000"/>
          <w:lang w:eastAsia="zh-CN"/>
        </w:rPr>
        <w:t>: 277-287 [PMID: 15125832 DOI: 10.1016/S1097-2765(04)00237-0</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37 </w:t>
      </w:r>
      <w:r w:rsidRPr="00C565F0">
        <w:rPr>
          <w:rFonts w:ascii="Book Antiqua" w:hAnsi="Book Antiqua" w:cs="宋体"/>
          <w:b/>
          <w:bCs/>
          <w:color w:val="000000"/>
          <w:lang w:eastAsia="zh-CN"/>
        </w:rPr>
        <w:t>East L</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Isacke</w:t>
      </w:r>
      <w:proofErr w:type="spellEnd"/>
      <w:r w:rsidRPr="00C565F0">
        <w:rPr>
          <w:rFonts w:ascii="Book Antiqua" w:hAnsi="Book Antiqua" w:cs="宋体"/>
          <w:color w:val="000000"/>
          <w:lang w:eastAsia="zh-CN"/>
        </w:rPr>
        <w:t xml:space="preserve"> CM. </w:t>
      </w:r>
      <w:proofErr w:type="gramStart"/>
      <w:r w:rsidRPr="00C565F0">
        <w:rPr>
          <w:rFonts w:ascii="Book Antiqua" w:hAnsi="Book Antiqua" w:cs="宋体"/>
          <w:color w:val="000000"/>
          <w:lang w:eastAsia="zh-CN"/>
        </w:rPr>
        <w:t>The mannose receptor family.</w:t>
      </w:r>
      <w:proofErr w:type="gram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Biochim</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Biophys</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Acta</w:t>
      </w:r>
      <w:proofErr w:type="spellEnd"/>
      <w:r w:rsidRPr="00C565F0">
        <w:rPr>
          <w:rFonts w:ascii="Book Antiqua" w:hAnsi="Book Antiqua" w:cs="宋体"/>
          <w:color w:val="000000"/>
          <w:lang w:eastAsia="zh-CN"/>
        </w:rPr>
        <w:t> 2002; </w:t>
      </w:r>
      <w:r w:rsidRPr="00C565F0">
        <w:rPr>
          <w:rFonts w:ascii="Book Antiqua" w:hAnsi="Book Antiqua" w:cs="宋体"/>
          <w:b/>
          <w:bCs/>
          <w:color w:val="000000"/>
          <w:lang w:eastAsia="zh-CN"/>
        </w:rPr>
        <w:t>1572</w:t>
      </w:r>
      <w:r w:rsidRPr="00C565F0">
        <w:rPr>
          <w:rFonts w:ascii="Book Antiqua" w:hAnsi="Book Antiqua" w:cs="宋体"/>
          <w:color w:val="000000"/>
          <w:lang w:eastAsia="zh-CN"/>
        </w:rPr>
        <w:t>: 364-386 [PMID: 12223280]</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38 </w:t>
      </w:r>
      <w:r w:rsidRPr="00C565F0">
        <w:rPr>
          <w:rFonts w:ascii="Book Antiqua" w:hAnsi="Book Antiqua" w:cs="宋体"/>
          <w:b/>
          <w:bCs/>
          <w:color w:val="000000"/>
          <w:lang w:eastAsia="zh-CN"/>
        </w:rPr>
        <w:t>Carroll MC</w:t>
      </w:r>
      <w:r w:rsidRPr="00C565F0">
        <w:rPr>
          <w:rFonts w:ascii="Book Antiqua" w:hAnsi="Book Antiqua" w:cs="宋体"/>
          <w:color w:val="000000"/>
          <w:lang w:eastAsia="zh-CN"/>
        </w:rPr>
        <w:t>.</w:t>
      </w:r>
      <w:proofErr w:type="gramEnd"/>
      <w:r w:rsidRPr="00C565F0">
        <w:rPr>
          <w:rFonts w:ascii="Book Antiqua" w:hAnsi="Book Antiqua" w:cs="宋体"/>
          <w:color w:val="000000"/>
          <w:lang w:eastAsia="zh-CN"/>
        </w:rPr>
        <w:t xml:space="preserve"> </w:t>
      </w:r>
      <w:proofErr w:type="gramStart"/>
      <w:r w:rsidRPr="00C565F0">
        <w:rPr>
          <w:rFonts w:ascii="Book Antiqua" w:hAnsi="Book Antiqua" w:cs="宋体"/>
          <w:color w:val="000000"/>
          <w:lang w:eastAsia="zh-CN"/>
        </w:rPr>
        <w:t>The role of complement and complement receptors in induction and regulation of immunity.</w:t>
      </w:r>
      <w:proofErr w:type="gram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Annu</w:t>
      </w:r>
      <w:proofErr w:type="spellEnd"/>
      <w:r w:rsidRPr="00C565F0">
        <w:rPr>
          <w:rFonts w:ascii="Book Antiqua" w:hAnsi="Book Antiqua" w:cs="宋体"/>
          <w:i/>
          <w:iCs/>
          <w:color w:val="000000"/>
          <w:lang w:eastAsia="zh-CN"/>
        </w:rPr>
        <w:t xml:space="preserve"> Rev </w:t>
      </w:r>
      <w:proofErr w:type="spellStart"/>
      <w:r w:rsidRPr="00C565F0">
        <w:rPr>
          <w:rFonts w:ascii="Book Antiqua" w:hAnsi="Book Antiqua" w:cs="宋体"/>
          <w:i/>
          <w:iCs/>
          <w:color w:val="000000"/>
          <w:lang w:eastAsia="zh-CN"/>
        </w:rPr>
        <w:t>Immunol</w:t>
      </w:r>
      <w:proofErr w:type="spellEnd"/>
      <w:r w:rsidRPr="00C565F0">
        <w:rPr>
          <w:rFonts w:ascii="Book Antiqua" w:hAnsi="Book Antiqua" w:cs="宋体"/>
          <w:color w:val="000000"/>
          <w:lang w:eastAsia="zh-CN"/>
        </w:rPr>
        <w:t> 1998; </w:t>
      </w:r>
      <w:r w:rsidRPr="00C565F0">
        <w:rPr>
          <w:rFonts w:ascii="Book Antiqua" w:hAnsi="Book Antiqua" w:cs="宋体"/>
          <w:b/>
          <w:bCs/>
          <w:color w:val="000000"/>
          <w:lang w:eastAsia="zh-CN"/>
        </w:rPr>
        <w:t>16</w:t>
      </w:r>
      <w:r w:rsidRPr="00C565F0">
        <w:rPr>
          <w:rFonts w:ascii="Book Antiqua" w:hAnsi="Book Antiqua" w:cs="宋体"/>
          <w:color w:val="000000"/>
          <w:lang w:eastAsia="zh-CN"/>
        </w:rPr>
        <w:t>: 545-568 [PMID: 9597141 DOI: 10.1146/annurev.immunol.16.1.545</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39 </w:t>
      </w:r>
      <w:proofErr w:type="spellStart"/>
      <w:r w:rsidRPr="00C565F0">
        <w:rPr>
          <w:rFonts w:ascii="Book Antiqua" w:hAnsi="Book Antiqua" w:cs="宋体"/>
          <w:b/>
          <w:bCs/>
          <w:color w:val="000000"/>
          <w:lang w:eastAsia="zh-CN"/>
        </w:rPr>
        <w:t>Nieswandt</w:t>
      </w:r>
      <w:proofErr w:type="spellEnd"/>
      <w:r w:rsidRPr="00C565F0">
        <w:rPr>
          <w:rFonts w:ascii="Book Antiqua" w:hAnsi="Book Antiqua" w:cs="宋体"/>
          <w:b/>
          <w:bCs/>
          <w:color w:val="000000"/>
          <w:lang w:eastAsia="zh-CN"/>
        </w:rPr>
        <w:t xml:space="preserve"> 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Bergmeier</w:t>
      </w:r>
      <w:proofErr w:type="spellEnd"/>
      <w:r w:rsidRPr="00C565F0">
        <w:rPr>
          <w:rFonts w:ascii="Book Antiqua" w:hAnsi="Book Antiqua" w:cs="宋体"/>
          <w:color w:val="000000"/>
          <w:lang w:eastAsia="zh-CN"/>
        </w:rPr>
        <w:t xml:space="preserve"> W, </w:t>
      </w:r>
      <w:proofErr w:type="spellStart"/>
      <w:r w:rsidRPr="00C565F0">
        <w:rPr>
          <w:rFonts w:ascii="Book Antiqua" w:hAnsi="Book Antiqua" w:cs="宋体"/>
          <w:color w:val="000000"/>
          <w:lang w:eastAsia="zh-CN"/>
        </w:rPr>
        <w:t>Rackebrandt</w:t>
      </w:r>
      <w:proofErr w:type="spellEnd"/>
      <w:r w:rsidRPr="00C565F0">
        <w:rPr>
          <w:rFonts w:ascii="Book Antiqua" w:hAnsi="Book Antiqua" w:cs="宋体"/>
          <w:color w:val="000000"/>
          <w:lang w:eastAsia="zh-CN"/>
        </w:rPr>
        <w:t xml:space="preserve"> K, </w:t>
      </w:r>
      <w:proofErr w:type="spellStart"/>
      <w:r w:rsidRPr="00C565F0">
        <w:rPr>
          <w:rFonts w:ascii="Book Antiqua" w:hAnsi="Book Antiqua" w:cs="宋体"/>
          <w:color w:val="000000"/>
          <w:lang w:eastAsia="zh-CN"/>
        </w:rPr>
        <w:t>Gessner</w:t>
      </w:r>
      <w:proofErr w:type="spellEnd"/>
      <w:r w:rsidRPr="00C565F0">
        <w:rPr>
          <w:rFonts w:ascii="Book Antiqua" w:hAnsi="Book Antiqua" w:cs="宋体"/>
          <w:color w:val="000000"/>
          <w:lang w:eastAsia="zh-CN"/>
        </w:rPr>
        <w:t xml:space="preserve"> JE, </w:t>
      </w:r>
      <w:proofErr w:type="spellStart"/>
      <w:r w:rsidRPr="00C565F0">
        <w:rPr>
          <w:rFonts w:ascii="Book Antiqua" w:hAnsi="Book Antiqua" w:cs="宋体"/>
          <w:color w:val="000000"/>
          <w:lang w:eastAsia="zh-CN"/>
        </w:rPr>
        <w:t>Zirngibl</w:t>
      </w:r>
      <w:proofErr w:type="spellEnd"/>
      <w:r w:rsidRPr="00C565F0">
        <w:rPr>
          <w:rFonts w:ascii="Book Antiqua" w:hAnsi="Book Antiqua" w:cs="宋体"/>
          <w:color w:val="000000"/>
          <w:lang w:eastAsia="zh-CN"/>
        </w:rPr>
        <w:t xml:space="preserve"> H. Identification of critical antigen-specific mechanisms in the development of </w:t>
      </w:r>
      <w:r w:rsidRPr="00C565F0">
        <w:rPr>
          <w:rFonts w:ascii="Book Antiqua" w:hAnsi="Book Antiqua" w:cs="宋体"/>
          <w:color w:val="000000"/>
          <w:lang w:eastAsia="zh-CN"/>
        </w:rPr>
        <w:lastRenderedPageBreak/>
        <w:t xml:space="preserve">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in mice.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2000; </w:t>
      </w:r>
      <w:r w:rsidRPr="00C565F0">
        <w:rPr>
          <w:rFonts w:ascii="Book Antiqua" w:hAnsi="Book Antiqua" w:cs="宋体"/>
          <w:b/>
          <w:bCs/>
          <w:color w:val="000000"/>
          <w:lang w:eastAsia="zh-CN"/>
        </w:rPr>
        <w:t>96</w:t>
      </w:r>
      <w:r w:rsidRPr="00C565F0">
        <w:rPr>
          <w:rFonts w:ascii="Book Antiqua" w:hAnsi="Book Antiqua" w:cs="宋体"/>
          <w:color w:val="000000"/>
          <w:lang w:eastAsia="zh-CN"/>
        </w:rPr>
        <w:t>: 2520-2527 [PMID: 11001906]</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40 </w:t>
      </w:r>
      <w:proofErr w:type="spellStart"/>
      <w:r w:rsidRPr="00C565F0">
        <w:rPr>
          <w:rFonts w:ascii="Book Antiqua" w:hAnsi="Book Antiqua" w:cs="宋体"/>
          <w:b/>
          <w:bCs/>
          <w:color w:val="000000"/>
          <w:lang w:eastAsia="zh-CN"/>
        </w:rPr>
        <w:t>Spahr</w:t>
      </w:r>
      <w:proofErr w:type="spellEnd"/>
      <w:r w:rsidRPr="00C565F0">
        <w:rPr>
          <w:rFonts w:ascii="Book Antiqua" w:hAnsi="Book Antiqua" w:cs="宋体"/>
          <w:b/>
          <w:bCs/>
          <w:color w:val="000000"/>
          <w:lang w:eastAsia="zh-CN"/>
        </w:rPr>
        <w:t xml:space="preserve"> JE</w:t>
      </w:r>
      <w:r w:rsidRPr="00C565F0">
        <w:rPr>
          <w:rFonts w:ascii="Book Antiqua" w:hAnsi="Book Antiqua" w:cs="宋体"/>
          <w:color w:val="000000"/>
          <w:lang w:eastAsia="zh-CN"/>
        </w:rPr>
        <w:t xml:space="preserve">, Rodgers GM. Treatment of immune-mediated thrombocytopenia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with concurrent intravenous immunoglobulin and platelet transfusion: a retrospective review of 40 patients. </w:t>
      </w:r>
      <w:r w:rsidRPr="00C565F0">
        <w:rPr>
          <w:rFonts w:ascii="Book Antiqua" w:hAnsi="Book Antiqua" w:cs="宋体"/>
          <w:i/>
          <w:iCs/>
          <w:color w:val="000000"/>
          <w:lang w:eastAsia="zh-CN"/>
        </w:rPr>
        <w:t xml:space="preserve">Am J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color w:val="000000"/>
          <w:lang w:eastAsia="zh-CN"/>
        </w:rPr>
        <w:t> 2008; </w:t>
      </w:r>
      <w:r w:rsidRPr="00C565F0">
        <w:rPr>
          <w:rFonts w:ascii="Book Antiqua" w:hAnsi="Book Antiqua" w:cs="宋体"/>
          <w:b/>
          <w:bCs/>
          <w:color w:val="000000"/>
          <w:lang w:eastAsia="zh-CN"/>
        </w:rPr>
        <w:t>83</w:t>
      </w:r>
      <w:r w:rsidRPr="00C565F0">
        <w:rPr>
          <w:rFonts w:ascii="Book Antiqua" w:hAnsi="Book Antiqua" w:cs="宋体"/>
          <w:color w:val="000000"/>
          <w:lang w:eastAsia="zh-CN"/>
        </w:rPr>
        <w:t>: 122-125 [PMID: 17874448 DOI: 10.1002/ajh.21060</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proofErr w:type="gramStart"/>
      <w:r w:rsidRPr="00C565F0">
        <w:rPr>
          <w:rFonts w:ascii="Book Antiqua" w:hAnsi="Book Antiqua" w:cs="宋体"/>
          <w:color w:val="000000"/>
          <w:lang w:eastAsia="zh-CN"/>
        </w:rPr>
        <w:t>41 </w:t>
      </w:r>
      <w:r w:rsidRPr="00C565F0">
        <w:rPr>
          <w:rFonts w:ascii="Book Antiqua" w:hAnsi="Book Antiqua" w:cs="宋体"/>
          <w:b/>
          <w:bCs/>
          <w:color w:val="000000"/>
          <w:lang w:eastAsia="zh-CN"/>
        </w:rPr>
        <w:t>Carr JM</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Kruskall</w:t>
      </w:r>
      <w:proofErr w:type="spellEnd"/>
      <w:r w:rsidRPr="00C565F0">
        <w:rPr>
          <w:rFonts w:ascii="Book Antiqua" w:hAnsi="Book Antiqua" w:cs="宋体"/>
          <w:color w:val="000000"/>
          <w:lang w:eastAsia="zh-CN"/>
        </w:rPr>
        <w:t xml:space="preserve"> MS, Kaye JA, Robinson SH. Efficacy of platelet transfusions in immune thrombocytopenia.</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Am J Med</w:t>
      </w:r>
      <w:r w:rsidRPr="00C565F0">
        <w:rPr>
          <w:rFonts w:ascii="Book Antiqua" w:hAnsi="Book Antiqua" w:cs="宋体"/>
          <w:color w:val="000000"/>
          <w:lang w:eastAsia="zh-CN"/>
        </w:rPr>
        <w:t> 1986; </w:t>
      </w:r>
      <w:r w:rsidRPr="00C565F0">
        <w:rPr>
          <w:rFonts w:ascii="Book Antiqua" w:hAnsi="Book Antiqua" w:cs="宋体"/>
          <w:b/>
          <w:bCs/>
          <w:color w:val="000000"/>
          <w:lang w:eastAsia="zh-CN"/>
        </w:rPr>
        <w:t>80</w:t>
      </w:r>
      <w:r w:rsidRPr="00C565F0">
        <w:rPr>
          <w:rFonts w:ascii="Book Antiqua" w:hAnsi="Book Antiqua" w:cs="宋体"/>
          <w:color w:val="000000"/>
          <w:lang w:eastAsia="zh-CN"/>
        </w:rPr>
        <w:t>: 1051-1054 [PMID: 3728504]</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42 </w:t>
      </w:r>
      <w:r w:rsidRPr="00C565F0">
        <w:rPr>
          <w:rFonts w:ascii="Book Antiqua" w:hAnsi="Book Antiqua" w:cs="宋体"/>
          <w:b/>
          <w:bCs/>
          <w:color w:val="000000"/>
          <w:lang w:eastAsia="zh-CN"/>
        </w:rPr>
        <w:t>George JN</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Kojouri</w:t>
      </w:r>
      <w:proofErr w:type="spellEnd"/>
      <w:r w:rsidRPr="00C565F0">
        <w:rPr>
          <w:rFonts w:ascii="Book Antiqua" w:hAnsi="Book Antiqua" w:cs="宋体"/>
          <w:color w:val="000000"/>
          <w:lang w:eastAsia="zh-CN"/>
        </w:rPr>
        <w:t xml:space="preserve"> K, Perdue JJ, </w:t>
      </w:r>
      <w:proofErr w:type="spellStart"/>
      <w:r w:rsidRPr="00C565F0">
        <w:rPr>
          <w:rFonts w:ascii="Book Antiqua" w:hAnsi="Book Antiqua" w:cs="宋体"/>
          <w:color w:val="000000"/>
          <w:lang w:eastAsia="zh-CN"/>
        </w:rPr>
        <w:t>Vesely</w:t>
      </w:r>
      <w:proofErr w:type="spellEnd"/>
      <w:r w:rsidRPr="00C565F0">
        <w:rPr>
          <w:rFonts w:ascii="Book Antiqua" w:hAnsi="Book Antiqua" w:cs="宋体"/>
          <w:color w:val="000000"/>
          <w:lang w:eastAsia="zh-CN"/>
        </w:rPr>
        <w:t xml:space="preserve"> SK. Management of patients with chronic, refractory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proofErr w:type="spellStart"/>
      <w:r w:rsidRPr="00C565F0">
        <w:rPr>
          <w:rFonts w:ascii="Book Antiqua" w:hAnsi="Book Antiqua" w:cs="宋体"/>
          <w:i/>
          <w:iCs/>
          <w:color w:val="000000"/>
          <w:lang w:eastAsia="zh-CN"/>
        </w:rPr>
        <w:t>Semin</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color w:val="000000"/>
          <w:lang w:eastAsia="zh-CN"/>
        </w:rPr>
        <w:t> 2000; </w:t>
      </w:r>
      <w:r w:rsidRPr="00C565F0">
        <w:rPr>
          <w:rFonts w:ascii="Book Antiqua" w:hAnsi="Book Antiqua" w:cs="宋体"/>
          <w:b/>
          <w:bCs/>
          <w:color w:val="000000"/>
          <w:lang w:eastAsia="zh-CN"/>
        </w:rPr>
        <w:t>37</w:t>
      </w:r>
      <w:r w:rsidRPr="00C565F0">
        <w:rPr>
          <w:rFonts w:ascii="Book Antiqua" w:hAnsi="Book Antiqua" w:cs="宋体"/>
          <w:color w:val="000000"/>
          <w:lang w:eastAsia="zh-CN"/>
        </w:rPr>
        <w:t>: 290-298 [PMID: 10942223]</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43 </w:t>
      </w:r>
      <w:r w:rsidRPr="00C565F0">
        <w:rPr>
          <w:rFonts w:ascii="Book Antiqua" w:hAnsi="Book Antiqua" w:cs="宋体"/>
          <w:b/>
          <w:bCs/>
          <w:color w:val="000000"/>
          <w:lang w:eastAsia="zh-CN"/>
        </w:rPr>
        <w:t>Schwartz J</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Leber</w:t>
      </w:r>
      <w:proofErr w:type="spellEnd"/>
      <w:r w:rsidRPr="00C565F0">
        <w:rPr>
          <w:rFonts w:ascii="Book Antiqua" w:hAnsi="Book Antiqua" w:cs="宋体"/>
          <w:color w:val="000000"/>
          <w:lang w:eastAsia="zh-CN"/>
        </w:rPr>
        <w:t xml:space="preserve"> MD, Gillis S, </w:t>
      </w:r>
      <w:proofErr w:type="spellStart"/>
      <w:r w:rsidRPr="00C565F0">
        <w:rPr>
          <w:rFonts w:ascii="Book Antiqua" w:hAnsi="Book Antiqua" w:cs="宋体"/>
          <w:color w:val="000000"/>
          <w:lang w:eastAsia="zh-CN"/>
        </w:rPr>
        <w:t>Giunta</w:t>
      </w:r>
      <w:proofErr w:type="spellEnd"/>
      <w:r w:rsidRPr="00C565F0">
        <w:rPr>
          <w:rFonts w:ascii="Book Antiqua" w:hAnsi="Book Antiqua" w:cs="宋体"/>
          <w:color w:val="000000"/>
          <w:lang w:eastAsia="zh-CN"/>
        </w:rPr>
        <w:t xml:space="preserve"> A, </w:t>
      </w:r>
      <w:proofErr w:type="spellStart"/>
      <w:r w:rsidRPr="00C565F0">
        <w:rPr>
          <w:rFonts w:ascii="Book Antiqua" w:hAnsi="Book Antiqua" w:cs="宋体"/>
          <w:color w:val="000000"/>
          <w:lang w:eastAsia="zh-CN"/>
        </w:rPr>
        <w:t>Eldor</w:t>
      </w:r>
      <w:proofErr w:type="spellEnd"/>
      <w:r w:rsidRPr="00C565F0">
        <w:rPr>
          <w:rFonts w:ascii="Book Antiqua" w:hAnsi="Book Antiqua" w:cs="宋体"/>
          <w:color w:val="000000"/>
          <w:lang w:eastAsia="zh-CN"/>
        </w:rPr>
        <w:t xml:space="preserve"> A,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Long term follow-up after splenectomy performed for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(ITP). </w:t>
      </w:r>
      <w:r w:rsidRPr="00C565F0">
        <w:rPr>
          <w:rFonts w:ascii="Book Antiqua" w:hAnsi="Book Antiqua" w:cs="宋体"/>
          <w:i/>
          <w:iCs/>
          <w:color w:val="000000"/>
          <w:lang w:eastAsia="zh-CN"/>
        </w:rPr>
        <w:t xml:space="preserve">Am J </w:t>
      </w:r>
      <w:proofErr w:type="spellStart"/>
      <w:r w:rsidRPr="00C565F0">
        <w:rPr>
          <w:rFonts w:ascii="Book Antiqua" w:hAnsi="Book Antiqua" w:cs="宋体"/>
          <w:i/>
          <w:iCs/>
          <w:color w:val="000000"/>
          <w:lang w:eastAsia="zh-CN"/>
        </w:rPr>
        <w:t>Hematol</w:t>
      </w:r>
      <w:proofErr w:type="spellEnd"/>
      <w:r w:rsidRPr="00C565F0">
        <w:rPr>
          <w:rFonts w:ascii="Book Antiqua" w:hAnsi="Book Antiqua" w:cs="宋体"/>
          <w:color w:val="000000"/>
          <w:lang w:eastAsia="zh-CN"/>
        </w:rPr>
        <w:t> 2003; </w:t>
      </w:r>
      <w:r w:rsidRPr="00C565F0">
        <w:rPr>
          <w:rFonts w:ascii="Book Antiqua" w:hAnsi="Book Antiqua" w:cs="宋体"/>
          <w:b/>
          <w:bCs/>
          <w:color w:val="000000"/>
          <w:lang w:eastAsia="zh-CN"/>
        </w:rPr>
        <w:t>72</w:t>
      </w:r>
      <w:r w:rsidRPr="00C565F0">
        <w:rPr>
          <w:rFonts w:ascii="Book Antiqua" w:hAnsi="Book Antiqua" w:cs="宋体"/>
          <w:color w:val="000000"/>
          <w:lang w:eastAsia="zh-CN"/>
        </w:rPr>
        <w:t>: 94-98 [PMID: 12555211 DOI: 10.1002/ajh.10253</w:t>
      </w:r>
      <w:r>
        <w:rPr>
          <w:rFonts w:ascii="Book Antiqua" w:hAnsi="Book Antiqua" w:cs="宋体"/>
          <w:color w:val="000000"/>
          <w:lang w:eastAsia="zh-CN"/>
        </w:rPr>
        <w:t>]</w:t>
      </w:r>
    </w:p>
    <w:p w:rsidR="00FA650B" w:rsidRDefault="00FA650B" w:rsidP="00C565F0">
      <w:pPr>
        <w:spacing w:after="0"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44 </w:t>
      </w:r>
      <w:proofErr w:type="spellStart"/>
      <w:r w:rsidRPr="0016194A">
        <w:rPr>
          <w:rFonts w:ascii="Book Antiqua" w:hAnsi="Book Antiqua" w:cs="宋体"/>
          <w:b/>
          <w:color w:val="000000"/>
          <w:lang w:eastAsia="zh-CN"/>
        </w:rPr>
        <w:t>Kojouri</w:t>
      </w:r>
      <w:proofErr w:type="spellEnd"/>
      <w:r w:rsidRPr="0016194A">
        <w:rPr>
          <w:rFonts w:ascii="Book Antiqua" w:hAnsi="Book Antiqua" w:cs="宋体"/>
          <w:b/>
          <w:color w:val="000000"/>
          <w:lang w:eastAsia="zh-CN"/>
        </w:rPr>
        <w:t xml:space="preserve"> K, </w:t>
      </w:r>
      <w:proofErr w:type="spellStart"/>
      <w:r w:rsidRPr="0016194A">
        <w:rPr>
          <w:rFonts w:ascii="Book Antiqua" w:hAnsi="Book Antiqua" w:cs="宋体"/>
          <w:color w:val="000000"/>
          <w:lang w:eastAsia="zh-CN"/>
        </w:rPr>
        <w:t>Vesely</w:t>
      </w:r>
      <w:proofErr w:type="spellEnd"/>
      <w:r w:rsidRPr="0016194A">
        <w:rPr>
          <w:rFonts w:ascii="Book Antiqua" w:hAnsi="Book Antiqua" w:cs="宋体"/>
          <w:color w:val="000000"/>
          <w:lang w:eastAsia="zh-CN"/>
        </w:rPr>
        <w:t xml:space="preserve"> SK, Terrell DR, George JN.</w:t>
      </w:r>
      <w:proofErr w:type="gramEnd"/>
      <w:r w:rsidRPr="0016194A">
        <w:rPr>
          <w:rFonts w:ascii="Book Antiqua" w:hAnsi="Book Antiqua" w:cs="宋体"/>
          <w:color w:val="000000"/>
          <w:lang w:eastAsia="zh-CN"/>
        </w:rPr>
        <w:t xml:space="preserve"> Splenectomy for adult patients with idiopathic thrombocytopenic </w:t>
      </w:r>
      <w:proofErr w:type="spellStart"/>
      <w:r w:rsidRPr="0016194A">
        <w:rPr>
          <w:rFonts w:ascii="Book Antiqua" w:hAnsi="Book Antiqua" w:cs="宋体"/>
          <w:color w:val="000000"/>
          <w:lang w:eastAsia="zh-CN"/>
        </w:rPr>
        <w:t>purpura</w:t>
      </w:r>
      <w:proofErr w:type="spellEnd"/>
      <w:r w:rsidRPr="0016194A">
        <w:rPr>
          <w:rFonts w:ascii="Book Antiqua" w:hAnsi="Book Antiqua" w:cs="宋体"/>
          <w:color w:val="000000"/>
          <w:lang w:eastAsia="zh-CN"/>
        </w:rPr>
        <w:t xml:space="preserve">: a systematic review to assess long-term platelet count responses, prediction of response, and surgical complications. </w:t>
      </w:r>
      <w:r w:rsidRPr="0016194A">
        <w:rPr>
          <w:rFonts w:ascii="Book Antiqua" w:hAnsi="Book Antiqua" w:cs="宋体"/>
          <w:i/>
          <w:color w:val="000000"/>
          <w:lang w:eastAsia="zh-CN"/>
        </w:rPr>
        <w:t>Blood</w:t>
      </w:r>
      <w:r w:rsidRPr="0016194A">
        <w:rPr>
          <w:rFonts w:ascii="Book Antiqua" w:hAnsi="Book Antiqua" w:cs="宋体"/>
          <w:color w:val="000000"/>
          <w:lang w:eastAsia="zh-CN"/>
        </w:rPr>
        <w:t xml:space="preserve"> 2004; </w:t>
      </w:r>
      <w:r w:rsidRPr="0016194A">
        <w:rPr>
          <w:rFonts w:ascii="Book Antiqua" w:hAnsi="Book Antiqua" w:cs="宋体"/>
          <w:b/>
          <w:color w:val="000000"/>
          <w:lang w:eastAsia="zh-CN"/>
        </w:rPr>
        <w:t xml:space="preserve">104: </w:t>
      </w:r>
      <w:r w:rsidRPr="0016194A">
        <w:rPr>
          <w:rFonts w:ascii="Book Antiqua" w:hAnsi="Book Antiqua" w:cs="宋体"/>
          <w:color w:val="000000"/>
          <w:lang w:eastAsia="zh-CN"/>
        </w:rPr>
        <w:t xml:space="preserve">2623–2634 </w:t>
      </w:r>
      <w:r>
        <w:rPr>
          <w:rFonts w:ascii="Book Antiqua" w:hAnsi="Book Antiqua" w:cs="宋体"/>
          <w:color w:val="000000"/>
          <w:lang w:eastAsia="zh-CN"/>
        </w:rPr>
        <w:t>[</w:t>
      </w:r>
      <w:r w:rsidRPr="0016194A">
        <w:rPr>
          <w:rFonts w:ascii="Book Antiqua" w:hAnsi="Book Antiqua" w:cs="宋体"/>
          <w:color w:val="000000"/>
          <w:lang w:eastAsia="zh-CN"/>
        </w:rPr>
        <w:t>PMID: 152178321</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45 </w:t>
      </w:r>
      <w:r w:rsidRPr="00C565F0">
        <w:rPr>
          <w:rFonts w:ascii="Book Antiqua" w:hAnsi="Book Antiqua" w:cs="宋体"/>
          <w:b/>
          <w:bCs/>
          <w:color w:val="000000"/>
          <w:lang w:eastAsia="zh-CN"/>
        </w:rPr>
        <w:t>Arnold DM</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Dentali</w:t>
      </w:r>
      <w:proofErr w:type="spellEnd"/>
      <w:r w:rsidRPr="00C565F0">
        <w:rPr>
          <w:rFonts w:ascii="Book Antiqua" w:hAnsi="Book Antiqua" w:cs="宋体"/>
          <w:color w:val="000000"/>
          <w:lang w:eastAsia="zh-CN"/>
        </w:rPr>
        <w:t xml:space="preserve"> F, </w:t>
      </w:r>
      <w:proofErr w:type="spellStart"/>
      <w:r w:rsidRPr="00C565F0">
        <w:rPr>
          <w:rFonts w:ascii="Book Antiqua" w:hAnsi="Book Antiqua" w:cs="宋体"/>
          <w:color w:val="000000"/>
          <w:lang w:eastAsia="zh-CN"/>
        </w:rPr>
        <w:t>Crowther</w:t>
      </w:r>
      <w:proofErr w:type="spellEnd"/>
      <w:r w:rsidRPr="00C565F0">
        <w:rPr>
          <w:rFonts w:ascii="Book Antiqua" w:hAnsi="Book Antiqua" w:cs="宋体"/>
          <w:color w:val="000000"/>
          <w:lang w:eastAsia="zh-CN"/>
        </w:rPr>
        <w:t xml:space="preserve"> MA, Meyer RM, Cook RJ, </w:t>
      </w:r>
      <w:proofErr w:type="spellStart"/>
      <w:r w:rsidRPr="00C565F0">
        <w:rPr>
          <w:rFonts w:ascii="Book Antiqua" w:hAnsi="Book Antiqua" w:cs="宋体"/>
          <w:color w:val="000000"/>
          <w:lang w:eastAsia="zh-CN"/>
        </w:rPr>
        <w:t>Sigouin</w:t>
      </w:r>
      <w:proofErr w:type="spellEnd"/>
      <w:r w:rsidRPr="00C565F0">
        <w:rPr>
          <w:rFonts w:ascii="Book Antiqua" w:hAnsi="Book Antiqua" w:cs="宋体"/>
          <w:color w:val="000000"/>
          <w:lang w:eastAsia="zh-CN"/>
        </w:rPr>
        <w:t xml:space="preserve"> C, Fraser GA, Lim W, Kelton JG. Systematic review: efficacy and safety of rituximab for adults with idiopathic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Ann Intern Med</w:t>
      </w:r>
      <w:r w:rsidRPr="00C565F0">
        <w:rPr>
          <w:rFonts w:ascii="Book Antiqua" w:hAnsi="Book Antiqua" w:cs="宋体"/>
          <w:color w:val="000000"/>
          <w:lang w:eastAsia="zh-CN"/>
        </w:rPr>
        <w:t> 2007; </w:t>
      </w:r>
      <w:r w:rsidRPr="00C565F0">
        <w:rPr>
          <w:rFonts w:ascii="Book Antiqua" w:hAnsi="Book Antiqua" w:cs="宋体"/>
          <w:b/>
          <w:bCs/>
          <w:color w:val="000000"/>
          <w:lang w:eastAsia="zh-CN"/>
        </w:rPr>
        <w:t>146</w:t>
      </w:r>
      <w:r w:rsidRPr="00C565F0">
        <w:rPr>
          <w:rFonts w:ascii="Book Antiqua" w:hAnsi="Book Antiqua" w:cs="宋体"/>
          <w:color w:val="000000"/>
          <w:lang w:eastAsia="zh-CN"/>
        </w:rPr>
        <w:t>: 25-33 [PMID: 17200219 DOI: 10.7326/0003-4819-146-1-200701020-00006</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 xml:space="preserve">46 </w:t>
      </w:r>
      <w:proofErr w:type="spellStart"/>
      <w:r w:rsidRPr="0016194A">
        <w:rPr>
          <w:rFonts w:ascii="Book Antiqua" w:hAnsi="Book Antiqua" w:cs="宋体"/>
          <w:b/>
          <w:color w:val="000000"/>
          <w:lang w:eastAsia="zh-CN"/>
        </w:rPr>
        <w:t>Thienelt</w:t>
      </w:r>
      <w:proofErr w:type="spellEnd"/>
      <w:r w:rsidRPr="0016194A">
        <w:rPr>
          <w:rFonts w:ascii="Book Antiqua" w:hAnsi="Book Antiqua" w:cs="宋体"/>
          <w:b/>
          <w:color w:val="000000"/>
          <w:lang w:eastAsia="zh-CN"/>
        </w:rPr>
        <w:t xml:space="preserve"> CD,</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Calverley</w:t>
      </w:r>
      <w:proofErr w:type="spellEnd"/>
      <w:r w:rsidRPr="00C565F0">
        <w:rPr>
          <w:rFonts w:ascii="Book Antiqua" w:hAnsi="Book Antiqua" w:cs="宋体"/>
          <w:color w:val="000000"/>
          <w:lang w:eastAsia="zh-CN"/>
        </w:rPr>
        <w:t xml:space="preserve"> DC. Thrombocytopenia Caused by Immunologic Platelet Destruction. </w:t>
      </w:r>
      <w:proofErr w:type="spellStart"/>
      <w:r w:rsidRPr="00C565F0">
        <w:rPr>
          <w:rFonts w:ascii="Book Antiqua" w:hAnsi="Book Antiqua" w:cs="宋体"/>
          <w:color w:val="000000"/>
          <w:lang w:eastAsia="zh-CN"/>
        </w:rPr>
        <w:t>Wintrobe’s</w:t>
      </w:r>
      <w:proofErr w:type="spellEnd"/>
      <w:r w:rsidRPr="00C565F0">
        <w:rPr>
          <w:rFonts w:ascii="Book Antiqua" w:hAnsi="Book Antiqua" w:cs="宋体"/>
          <w:color w:val="000000"/>
          <w:lang w:eastAsia="zh-CN"/>
        </w:rPr>
        <w:t xml:space="preserve"> Clinical </w:t>
      </w:r>
      <w:proofErr w:type="spellStart"/>
      <w:r w:rsidRPr="00C565F0">
        <w:rPr>
          <w:rFonts w:ascii="Book Antiqua" w:hAnsi="Book Antiqua" w:cs="宋体"/>
          <w:color w:val="000000"/>
          <w:lang w:eastAsia="zh-CN"/>
        </w:rPr>
        <w:t>Hematoloji</w:t>
      </w:r>
      <w:proofErr w:type="spellEnd"/>
      <w:r w:rsidRPr="00C565F0">
        <w:rPr>
          <w:rFonts w:ascii="Book Antiqua" w:hAnsi="Book Antiqua" w:cs="宋体"/>
          <w:color w:val="000000"/>
          <w:lang w:eastAsia="zh-CN"/>
        </w:rPr>
        <w:t xml:space="preserve">. </w:t>
      </w:r>
      <w:proofErr w:type="gramStart"/>
      <w:r w:rsidRPr="00C565F0">
        <w:rPr>
          <w:rFonts w:ascii="Book Antiqua" w:hAnsi="Book Antiqua" w:cs="宋体"/>
          <w:color w:val="000000"/>
          <w:lang w:eastAsia="zh-CN"/>
        </w:rPr>
        <w:t xml:space="preserve">12th Ed. Lippincott </w:t>
      </w:r>
      <w:proofErr w:type="spellStart"/>
      <w:r w:rsidRPr="00C565F0">
        <w:rPr>
          <w:rFonts w:ascii="Book Antiqua" w:hAnsi="Book Antiqua" w:cs="宋体"/>
          <w:color w:val="000000"/>
          <w:lang w:eastAsia="zh-CN"/>
        </w:rPr>
        <w:t>Williams&amp;Wilkin</w:t>
      </w:r>
      <w:r>
        <w:rPr>
          <w:rFonts w:ascii="Book Antiqua" w:hAnsi="Book Antiqua" w:cs="宋体"/>
          <w:color w:val="000000"/>
          <w:lang w:eastAsia="zh-CN"/>
        </w:rPr>
        <w:t>s</w:t>
      </w:r>
      <w:proofErr w:type="spellEnd"/>
      <w:r>
        <w:rPr>
          <w:rFonts w:ascii="Book Antiqua" w:hAnsi="Book Antiqua" w:cs="宋体"/>
          <w:color w:val="000000"/>
          <w:lang w:eastAsia="zh-CN"/>
        </w:rPr>
        <w:t>.</w:t>
      </w:r>
      <w:proofErr w:type="gramEnd"/>
      <w:r>
        <w:rPr>
          <w:rFonts w:ascii="Book Antiqua" w:hAnsi="Book Antiqua" w:cs="宋体"/>
          <w:color w:val="000000"/>
          <w:lang w:eastAsia="zh-CN"/>
        </w:rPr>
        <w:t xml:space="preserve"> Philadelphia. 2009: 1292-313</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47 </w:t>
      </w:r>
      <w:r w:rsidRPr="00C565F0">
        <w:rPr>
          <w:rFonts w:ascii="Book Antiqua" w:hAnsi="Book Antiqua" w:cs="宋体"/>
          <w:b/>
          <w:bCs/>
          <w:color w:val="000000"/>
          <w:lang w:eastAsia="zh-CN"/>
        </w:rPr>
        <w:t>Stasi R</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Stipa</w:t>
      </w:r>
      <w:proofErr w:type="spellEnd"/>
      <w:r w:rsidRPr="00C565F0">
        <w:rPr>
          <w:rFonts w:ascii="Book Antiqua" w:hAnsi="Book Antiqua" w:cs="宋体"/>
          <w:color w:val="000000"/>
          <w:lang w:eastAsia="zh-CN"/>
        </w:rPr>
        <w:t xml:space="preserve"> E, Forte V, </w:t>
      </w:r>
      <w:proofErr w:type="spellStart"/>
      <w:r w:rsidRPr="00C565F0">
        <w:rPr>
          <w:rFonts w:ascii="Book Antiqua" w:hAnsi="Book Antiqua" w:cs="宋体"/>
          <w:color w:val="000000"/>
          <w:lang w:eastAsia="zh-CN"/>
        </w:rPr>
        <w:t>Meo</w:t>
      </w:r>
      <w:proofErr w:type="spellEnd"/>
      <w:r w:rsidRPr="00C565F0">
        <w:rPr>
          <w:rFonts w:ascii="Book Antiqua" w:hAnsi="Book Antiqua" w:cs="宋体"/>
          <w:color w:val="000000"/>
          <w:lang w:eastAsia="zh-CN"/>
        </w:rPr>
        <w:t xml:space="preserve"> P, </w:t>
      </w:r>
      <w:proofErr w:type="spellStart"/>
      <w:r w:rsidRPr="00C565F0">
        <w:rPr>
          <w:rFonts w:ascii="Book Antiqua" w:hAnsi="Book Antiqua" w:cs="宋体"/>
          <w:color w:val="000000"/>
          <w:lang w:eastAsia="zh-CN"/>
        </w:rPr>
        <w:t>Amadori</w:t>
      </w:r>
      <w:proofErr w:type="spellEnd"/>
      <w:r w:rsidRPr="00C565F0">
        <w:rPr>
          <w:rFonts w:ascii="Book Antiqua" w:hAnsi="Book Antiqua" w:cs="宋体"/>
          <w:color w:val="000000"/>
          <w:lang w:eastAsia="zh-CN"/>
        </w:rPr>
        <w:t xml:space="preserve"> S. Variable patterns of response to rituximab treatment in adults with chronic idiopathic thrombocytopenic </w:t>
      </w:r>
      <w:proofErr w:type="spellStart"/>
      <w:r w:rsidRPr="00C565F0">
        <w:rPr>
          <w:rFonts w:ascii="Book Antiqua" w:hAnsi="Book Antiqua" w:cs="宋体"/>
          <w:color w:val="000000"/>
          <w:lang w:eastAsia="zh-CN"/>
        </w:rPr>
        <w:lastRenderedPageBreak/>
        <w:t>purpura</w:t>
      </w:r>
      <w:proofErr w:type="spellEnd"/>
      <w:r w:rsidRPr="00C565F0">
        <w:rPr>
          <w:rFonts w:ascii="Book Antiqua" w:hAnsi="Book Antiqua" w:cs="宋体"/>
          <w:color w:val="000000"/>
          <w:lang w:eastAsia="zh-CN"/>
        </w:rPr>
        <w:t>. </w:t>
      </w:r>
      <w:r w:rsidRPr="00C565F0">
        <w:rPr>
          <w:rFonts w:ascii="Book Antiqua" w:hAnsi="Book Antiqua" w:cs="宋体"/>
          <w:i/>
          <w:iCs/>
          <w:color w:val="000000"/>
          <w:lang w:eastAsia="zh-CN"/>
        </w:rPr>
        <w:t>Blood</w:t>
      </w:r>
      <w:r w:rsidRPr="00C565F0">
        <w:rPr>
          <w:rFonts w:ascii="Book Antiqua" w:hAnsi="Book Antiqua" w:cs="宋体"/>
          <w:color w:val="000000"/>
          <w:lang w:eastAsia="zh-CN"/>
        </w:rPr>
        <w:t> 2002; </w:t>
      </w:r>
      <w:r w:rsidRPr="00C565F0">
        <w:rPr>
          <w:rFonts w:ascii="Book Antiqua" w:hAnsi="Book Antiqua" w:cs="宋体"/>
          <w:b/>
          <w:bCs/>
          <w:color w:val="000000"/>
          <w:lang w:eastAsia="zh-CN"/>
        </w:rPr>
        <w:t>99</w:t>
      </w:r>
      <w:r w:rsidRPr="00C565F0">
        <w:rPr>
          <w:rFonts w:ascii="Book Antiqua" w:hAnsi="Book Antiqua" w:cs="宋体"/>
          <w:color w:val="000000"/>
          <w:lang w:eastAsia="zh-CN"/>
        </w:rPr>
        <w:t>: 3872-3873 [PMID: 12014370 DOI: 10.1182/blood-2002-02-0392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48 </w:t>
      </w:r>
      <w:r w:rsidRPr="00C565F0">
        <w:rPr>
          <w:rFonts w:ascii="Book Antiqua" w:hAnsi="Book Antiqua" w:cs="宋体"/>
          <w:b/>
          <w:bCs/>
          <w:color w:val="000000"/>
          <w:lang w:eastAsia="zh-CN"/>
        </w:rPr>
        <w:t>Cooper N</w:t>
      </w:r>
      <w:r w:rsidRPr="00C565F0">
        <w:rPr>
          <w:rFonts w:ascii="Book Antiqua" w:hAnsi="Book Antiqua" w:cs="宋体"/>
          <w:color w:val="000000"/>
          <w:lang w:eastAsia="zh-CN"/>
        </w:rPr>
        <w:t xml:space="preserve">, Stasi R, Cunningham-Rundles S, Feuerstein MA, Leonard JP, </w:t>
      </w:r>
      <w:proofErr w:type="spellStart"/>
      <w:r w:rsidRPr="00C565F0">
        <w:rPr>
          <w:rFonts w:ascii="Book Antiqua" w:hAnsi="Book Antiqua" w:cs="宋体"/>
          <w:color w:val="000000"/>
          <w:lang w:eastAsia="zh-CN"/>
        </w:rPr>
        <w:t>Amadori</w:t>
      </w:r>
      <w:proofErr w:type="spellEnd"/>
      <w:r w:rsidRPr="00C565F0">
        <w:rPr>
          <w:rFonts w:ascii="Book Antiqua" w:hAnsi="Book Antiqua" w:cs="宋体"/>
          <w:color w:val="000000"/>
          <w:lang w:eastAsia="zh-CN"/>
        </w:rPr>
        <w:t xml:space="preserve"> S,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w:t>
      </w:r>
      <w:proofErr w:type="gramStart"/>
      <w:r w:rsidRPr="00C565F0">
        <w:rPr>
          <w:rFonts w:ascii="Book Antiqua" w:hAnsi="Book Antiqua" w:cs="宋体"/>
          <w:color w:val="000000"/>
          <w:lang w:eastAsia="zh-CN"/>
        </w:rPr>
        <w:t xml:space="preserve">The efficacy and safety of B-cell depletion with anti-CD20 monoclonal antibody in adults with chronic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 xml:space="preserve">Br J </w:t>
      </w:r>
      <w:proofErr w:type="spellStart"/>
      <w:r w:rsidRPr="00C565F0">
        <w:rPr>
          <w:rFonts w:ascii="Book Antiqua" w:hAnsi="Book Antiqua" w:cs="宋体"/>
          <w:i/>
          <w:iCs/>
          <w:color w:val="000000"/>
          <w:lang w:eastAsia="zh-CN"/>
        </w:rPr>
        <w:t>Haematol</w:t>
      </w:r>
      <w:proofErr w:type="spellEnd"/>
      <w:r w:rsidRPr="00C565F0">
        <w:rPr>
          <w:rFonts w:ascii="Book Antiqua" w:hAnsi="Book Antiqua" w:cs="宋体"/>
          <w:color w:val="000000"/>
          <w:lang w:eastAsia="zh-CN"/>
        </w:rPr>
        <w:t> 2004; </w:t>
      </w:r>
      <w:r w:rsidRPr="00C565F0">
        <w:rPr>
          <w:rFonts w:ascii="Book Antiqua" w:hAnsi="Book Antiqua" w:cs="宋体"/>
          <w:b/>
          <w:bCs/>
          <w:color w:val="000000"/>
          <w:lang w:eastAsia="zh-CN"/>
        </w:rPr>
        <w:t>125</w:t>
      </w:r>
      <w:r w:rsidRPr="00C565F0">
        <w:rPr>
          <w:rFonts w:ascii="Book Antiqua" w:hAnsi="Book Antiqua" w:cs="宋体"/>
          <w:color w:val="000000"/>
          <w:lang w:eastAsia="zh-CN"/>
        </w:rPr>
        <w:t>: 232-239 [PMID: 15059147 DOI: 10.1111/j.1365-2141.]</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49 </w:t>
      </w:r>
      <w:proofErr w:type="spellStart"/>
      <w:r w:rsidRPr="00C565F0">
        <w:rPr>
          <w:rFonts w:ascii="Book Antiqua" w:hAnsi="Book Antiqua" w:cs="宋体"/>
          <w:b/>
          <w:bCs/>
          <w:color w:val="000000"/>
          <w:lang w:eastAsia="zh-CN"/>
        </w:rPr>
        <w:t>Bussel</w:t>
      </w:r>
      <w:proofErr w:type="spellEnd"/>
      <w:r w:rsidRPr="00C565F0">
        <w:rPr>
          <w:rFonts w:ascii="Book Antiqua" w:hAnsi="Book Antiqua" w:cs="宋体"/>
          <w:b/>
          <w:bCs/>
          <w:color w:val="000000"/>
          <w:lang w:eastAsia="zh-CN"/>
        </w:rPr>
        <w:t xml:space="preserve"> JB</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Kuter</w:t>
      </w:r>
      <w:proofErr w:type="spellEnd"/>
      <w:r w:rsidRPr="00C565F0">
        <w:rPr>
          <w:rFonts w:ascii="Book Antiqua" w:hAnsi="Book Antiqua" w:cs="宋体"/>
          <w:color w:val="000000"/>
          <w:lang w:eastAsia="zh-CN"/>
        </w:rPr>
        <w:t xml:space="preserve"> DJ, George JN, McMillan R, </w:t>
      </w:r>
      <w:proofErr w:type="spellStart"/>
      <w:r w:rsidRPr="00C565F0">
        <w:rPr>
          <w:rFonts w:ascii="Book Antiqua" w:hAnsi="Book Antiqua" w:cs="宋体"/>
          <w:color w:val="000000"/>
          <w:lang w:eastAsia="zh-CN"/>
        </w:rPr>
        <w:t>Aledort</w:t>
      </w:r>
      <w:proofErr w:type="spellEnd"/>
      <w:r w:rsidRPr="00C565F0">
        <w:rPr>
          <w:rFonts w:ascii="Book Antiqua" w:hAnsi="Book Antiqua" w:cs="宋体"/>
          <w:color w:val="000000"/>
          <w:lang w:eastAsia="zh-CN"/>
        </w:rPr>
        <w:t xml:space="preserve"> LM, Conklin GT, </w:t>
      </w:r>
      <w:proofErr w:type="spellStart"/>
      <w:r w:rsidRPr="00C565F0">
        <w:rPr>
          <w:rFonts w:ascii="Book Antiqua" w:hAnsi="Book Antiqua" w:cs="宋体"/>
          <w:color w:val="000000"/>
          <w:lang w:eastAsia="zh-CN"/>
        </w:rPr>
        <w:t>Lichtin</w:t>
      </w:r>
      <w:proofErr w:type="spellEnd"/>
      <w:r w:rsidRPr="00C565F0">
        <w:rPr>
          <w:rFonts w:ascii="Book Antiqua" w:hAnsi="Book Antiqua" w:cs="宋体"/>
          <w:color w:val="000000"/>
          <w:lang w:eastAsia="zh-CN"/>
        </w:rPr>
        <w:t xml:space="preserve"> AE, Lyons RM, </w:t>
      </w:r>
      <w:proofErr w:type="spellStart"/>
      <w:r w:rsidRPr="00C565F0">
        <w:rPr>
          <w:rFonts w:ascii="Book Antiqua" w:hAnsi="Book Antiqua" w:cs="宋体"/>
          <w:color w:val="000000"/>
          <w:lang w:eastAsia="zh-CN"/>
        </w:rPr>
        <w:t>Nieva</w:t>
      </w:r>
      <w:proofErr w:type="spellEnd"/>
      <w:r w:rsidRPr="00C565F0">
        <w:rPr>
          <w:rFonts w:ascii="Book Antiqua" w:hAnsi="Book Antiqua" w:cs="宋体"/>
          <w:color w:val="000000"/>
          <w:lang w:eastAsia="zh-CN"/>
        </w:rPr>
        <w:t xml:space="preserve"> J, </w:t>
      </w:r>
      <w:proofErr w:type="spellStart"/>
      <w:r w:rsidRPr="00C565F0">
        <w:rPr>
          <w:rFonts w:ascii="Book Antiqua" w:hAnsi="Book Antiqua" w:cs="宋体"/>
          <w:color w:val="000000"/>
          <w:lang w:eastAsia="zh-CN"/>
        </w:rPr>
        <w:t>Wasser</w:t>
      </w:r>
      <w:proofErr w:type="spellEnd"/>
      <w:r w:rsidRPr="00C565F0">
        <w:rPr>
          <w:rFonts w:ascii="Book Antiqua" w:hAnsi="Book Antiqua" w:cs="宋体"/>
          <w:color w:val="000000"/>
          <w:lang w:eastAsia="zh-CN"/>
        </w:rPr>
        <w:t xml:space="preserve"> JS, </w:t>
      </w:r>
      <w:proofErr w:type="spellStart"/>
      <w:r w:rsidRPr="00C565F0">
        <w:rPr>
          <w:rFonts w:ascii="Book Antiqua" w:hAnsi="Book Antiqua" w:cs="宋体"/>
          <w:color w:val="000000"/>
          <w:lang w:eastAsia="zh-CN"/>
        </w:rPr>
        <w:t>Wiznitzer</w:t>
      </w:r>
      <w:proofErr w:type="spellEnd"/>
      <w:r w:rsidRPr="00C565F0">
        <w:rPr>
          <w:rFonts w:ascii="Book Antiqua" w:hAnsi="Book Antiqua" w:cs="宋体"/>
          <w:color w:val="000000"/>
          <w:lang w:eastAsia="zh-CN"/>
        </w:rPr>
        <w:t xml:space="preserve"> I, Kelly R, Chen CF, Nichol JL. AMG 531, a </w:t>
      </w:r>
      <w:proofErr w:type="spellStart"/>
      <w:r w:rsidRPr="00C565F0">
        <w:rPr>
          <w:rFonts w:ascii="Book Antiqua" w:hAnsi="Book Antiqua" w:cs="宋体"/>
          <w:color w:val="000000"/>
          <w:lang w:eastAsia="zh-CN"/>
        </w:rPr>
        <w:t>thrombopoiesis</w:t>
      </w:r>
      <w:proofErr w:type="spellEnd"/>
      <w:r w:rsidRPr="00C565F0">
        <w:rPr>
          <w:rFonts w:ascii="Book Antiqua" w:hAnsi="Book Antiqua" w:cs="宋体"/>
          <w:color w:val="000000"/>
          <w:lang w:eastAsia="zh-CN"/>
        </w:rPr>
        <w:t>-stimulating protein, for chronic ITP. </w:t>
      </w:r>
      <w:r w:rsidRPr="00C565F0">
        <w:rPr>
          <w:rFonts w:ascii="Book Antiqua" w:hAnsi="Book Antiqua" w:cs="宋体"/>
          <w:i/>
          <w:iCs/>
          <w:color w:val="000000"/>
          <w:lang w:eastAsia="zh-CN"/>
        </w:rPr>
        <w:t xml:space="preserve">N </w:t>
      </w:r>
      <w:proofErr w:type="spellStart"/>
      <w:r w:rsidRPr="00C565F0">
        <w:rPr>
          <w:rFonts w:ascii="Book Antiqua" w:hAnsi="Book Antiqua" w:cs="宋体"/>
          <w:i/>
          <w:iCs/>
          <w:color w:val="000000"/>
          <w:lang w:eastAsia="zh-CN"/>
        </w:rPr>
        <w:t>Engl</w:t>
      </w:r>
      <w:proofErr w:type="spellEnd"/>
      <w:r w:rsidRPr="00C565F0">
        <w:rPr>
          <w:rFonts w:ascii="Book Antiqua" w:hAnsi="Book Antiqua" w:cs="宋体"/>
          <w:i/>
          <w:iCs/>
          <w:color w:val="000000"/>
          <w:lang w:eastAsia="zh-CN"/>
        </w:rPr>
        <w:t xml:space="preserve"> J Med</w:t>
      </w:r>
      <w:r w:rsidRPr="00C565F0">
        <w:rPr>
          <w:rFonts w:ascii="Book Antiqua" w:hAnsi="Book Antiqua" w:cs="宋体"/>
          <w:color w:val="000000"/>
          <w:lang w:eastAsia="zh-CN"/>
        </w:rPr>
        <w:t> 2006; </w:t>
      </w:r>
      <w:r w:rsidRPr="00C565F0">
        <w:rPr>
          <w:rFonts w:ascii="Book Antiqua" w:hAnsi="Book Antiqua" w:cs="宋体"/>
          <w:b/>
          <w:bCs/>
          <w:color w:val="000000"/>
          <w:lang w:eastAsia="zh-CN"/>
        </w:rPr>
        <w:t>355</w:t>
      </w:r>
      <w:r w:rsidRPr="00C565F0">
        <w:rPr>
          <w:rFonts w:ascii="Book Antiqua" w:hAnsi="Book Antiqua" w:cs="宋体"/>
          <w:color w:val="000000"/>
          <w:lang w:eastAsia="zh-CN"/>
        </w:rPr>
        <w:t>: 1672-1681 [PMID: 17050891 DOI: 10.1056/NEJMoa054626</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50 </w:t>
      </w:r>
      <w:proofErr w:type="spellStart"/>
      <w:r w:rsidRPr="00C565F0">
        <w:rPr>
          <w:rFonts w:ascii="Book Antiqua" w:hAnsi="Book Antiqua" w:cs="宋体"/>
          <w:b/>
          <w:bCs/>
          <w:color w:val="000000"/>
          <w:lang w:eastAsia="zh-CN"/>
        </w:rPr>
        <w:t>Gernsheimer</w:t>
      </w:r>
      <w:proofErr w:type="spellEnd"/>
      <w:r w:rsidRPr="00C565F0">
        <w:rPr>
          <w:rFonts w:ascii="Book Antiqua" w:hAnsi="Book Antiqua" w:cs="宋体"/>
          <w:b/>
          <w:bCs/>
          <w:color w:val="000000"/>
          <w:lang w:eastAsia="zh-CN"/>
        </w:rPr>
        <w:t xml:space="preserve"> TB</w:t>
      </w:r>
      <w:r w:rsidRPr="00C565F0">
        <w:rPr>
          <w:rFonts w:ascii="Book Antiqua" w:hAnsi="Book Antiqua" w:cs="宋体"/>
          <w:color w:val="000000"/>
          <w:lang w:eastAsia="zh-CN"/>
        </w:rPr>
        <w:t xml:space="preserve">, George JN, </w:t>
      </w:r>
      <w:proofErr w:type="spellStart"/>
      <w:r w:rsidRPr="00C565F0">
        <w:rPr>
          <w:rFonts w:ascii="Book Antiqua" w:hAnsi="Book Antiqua" w:cs="宋体"/>
          <w:color w:val="000000"/>
          <w:lang w:eastAsia="zh-CN"/>
        </w:rPr>
        <w:t>Aledort</w:t>
      </w:r>
      <w:proofErr w:type="spellEnd"/>
      <w:r w:rsidRPr="00C565F0">
        <w:rPr>
          <w:rFonts w:ascii="Book Antiqua" w:hAnsi="Book Antiqua" w:cs="宋体"/>
          <w:color w:val="000000"/>
          <w:lang w:eastAsia="zh-CN"/>
        </w:rPr>
        <w:t xml:space="preserve"> LM, Tarantino MD, </w:t>
      </w:r>
      <w:proofErr w:type="spellStart"/>
      <w:r w:rsidRPr="00C565F0">
        <w:rPr>
          <w:rFonts w:ascii="Book Antiqua" w:hAnsi="Book Antiqua" w:cs="宋体"/>
          <w:color w:val="000000"/>
          <w:lang w:eastAsia="zh-CN"/>
        </w:rPr>
        <w:t>Sunkara</w:t>
      </w:r>
      <w:proofErr w:type="spellEnd"/>
      <w:r w:rsidRPr="00C565F0">
        <w:rPr>
          <w:rFonts w:ascii="Book Antiqua" w:hAnsi="Book Antiqua" w:cs="宋体"/>
          <w:color w:val="000000"/>
          <w:lang w:eastAsia="zh-CN"/>
        </w:rPr>
        <w:t xml:space="preserve"> U, Matthew </w:t>
      </w:r>
      <w:proofErr w:type="spellStart"/>
      <w:r w:rsidRPr="00C565F0">
        <w:rPr>
          <w:rFonts w:ascii="Book Antiqua" w:hAnsi="Book Antiqua" w:cs="宋体"/>
          <w:color w:val="000000"/>
          <w:lang w:eastAsia="zh-CN"/>
        </w:rPr>
        <w:t>Guo</w:t>
      </w:r>
      <w:proofErr w:type="spellEnd"/>
      <w:r w:rsidRPr="00C565F0">
        <w:rPr>
          <w:rFonts w:ascii="Book Antiqua" w:hAnsi="Book Antiqua" w:cs="宋体"/>
          <w:color w:val="000000"/>
          <w:lang w:eastAsia="zh-CN"/>
        </w:rPr>
        <w:t xml:space="preserve"> D, Nichol JL. </w:t>
      </w:r>
      <w:proofErr w:type="gramStart"/>
      <w:r w:rsidRPr="00C565F0">
        <w:rPr>
          <w:rFonts w:ascii="Book Antiqua" w:hAnsi="Book Antiqua" w:cs="宋体"/>
          <w:color w:val="000000"/>
          <w:lang w:eastAsia="zh-CN"/>
        </w:rPr>
        <w:t xml:space="preserve">Evaluation of bleeding and thrombotic events during long-term use of </w:t>
      </w:r>
      <w:proofErr w:type="spellStart"/>
      <w:r w:rsidRPr="00C565F0">
        <w:rPr>
          <w:rFonts w:ascii="Book Antiqua" w:hAnsi="Book Antiqua" w:cs="宋体"/>
          <w:color w:val="000000"/>
          <w:lang w:eastAsia="zh-CN"/>
        </w:rPr>
        <w:t>romiplostim</w:t>
      </w:r>
      <w:proofErr w:type="spellEnd"/>
      <w:r w:rsidRPr="00C565F0">
        <w:rPr>
          <w:rFonts w:ascii="Book Antiqua" w:hAnsi="Book Antiqua" w:cs="宋体"/>
          <w:color w:val="000000"/>
          <w:lang w:eastAsia="zh-CN"/>
        </w:rPr>
        <w:t xml:space="preserve"> in patients with chronic immune thrombocytopenia (ITP).</w:t>
      </w:r>
      <w:proofErr w:type="gramEnd"/>
      <w:r w:rsidRPr="00C565F0">
        <w:rPr>
          <w:rFonts w:ascii="Book Antiqua" w:hAnsi="Book Antiqua" w:cs="宋体"/>
          <w:color w:val="000000"/>
          <w:lang w:eastAsia="zh-CN"/>
        </w:rPr>
        <w:t> </w:t>
      </w:r>
      <w:r w:rsidRPr="00C565F0">
        <w:rPr>
          <w:rFonts w:ascii="Book Antiqua" w:hAnsi="Book Antiqua" w:cs="宋体"/>
          <w:i/>
          <w:iCs/>
          <w:color w:val="000000"/>
          <w:lang w:eastAsia="zh-CN"/>
        </w:rPr>
        <w:t xml:space="preserve">J </w:t>
      </w:r>
      <w:proofErr w:type="spellStart"/>
      <w:r w:rsidRPr="00C565F0">
        <w:rPr>
          <w:rFonts w:ascii="Book Antiqua" w:hAnsi="Book Antiqua" w:cs="宋体"/>
          <w:i/>
          <w:iCs/>
          <w:color w:val="000000"/>
          <w:lang w:eastAsia="zh-CN"/>
        </w:rPr>
        <w:t>Thromb</w:t>
      </w:r>
      <w:proofErr w:type="spellEnd"/>
      <w:r w:rsidRPr="00C565F0">
        <w:rPr>
          <w:rFonts w:ascii="Book Antiqua" w:hAnsi="Book Antiqua" w:cs="宋体"/>
          <w:i/>
          <w:iCs/>
          <w:color w:val="000000"/>
          <w:lang w:eastAsia="zh-CN"/>
        </w:rPr>
        <w:t xml:space="preserve"> </w:t>
      </w:r>
      <w:proofErr w:type="spellStart"/>
      <w:r w:rsidRPr="00C565F0">
        <w:rPr>
          <w:rFonts w:ascii="Book Antiqua" w:hAnsi="Book Antiqua" w:cs="宋体"/>
          <w:i/>
          <w:iCs/>
          <w:color w:val="000000"/>
          <w:lang w:eastAsia="zh-CN"/>
        </w:rPr>
        <w:t>Haemost</w:t>
      </w:r>
      <w:proofErr w:type="spellEnd"/>
      <w:r w:rsidRPr="00C565F0">
        <w:rPr>
          <w:rFonts w:ascii="Book Antiqua" w:hAnsi="Book Antiqua" w:cs="宋体"/>
          <w:color w:val="000000"/>
          <w:lang w:eastAsia="zh-CN"/>
        </w:rPr>
        <w:t> 2010; </w:t>
      </w:r>
      <w:r w:rsidRPr="00C565F0">
        <w:rPr>
          <w:rFonts w:ascii="Book Antiqua" w:hAnsi="Book Antiqua" w:cs="宋体"/>
          <w:b/>
          <w:bCs/>
          <w:color w:val="000000"/>
          <w:lang w:eastAsia="zh-CN"/>
        </w:rPr>
        <w:t>8</w:t>
      </w:r>
      <w:r w:rsidRPr="00C565F0">
        <w:rPr>
          <w:rFonts w:ascii="Book Antiqua" w:hAnsi="Book Antiqua" w:cs="宋体"/>
          <w:color w:val="000000"/>
          <w:lang w:eastAsia="zh-CN"/>
        </w:rPr>
        <w:t>: 1372-1382 [PMID: 20230419 DOI: 10.1111/j.1538-7836.2010.03830.x</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sidRPr="00C565F0">
        <w:rPr>
          <w:rFonts w:ascii="Book Antiqua" w:hAnsi="Book Antiqua" w:cs="宋体"/>
          <w:color w:val="000000"/>
          <w:lang w:eastAsia="zh-CN"/>
        </w:rPr>
        <w:t>51 </w:t>
      </w:r>
      <w:r w:rsidRPr="00C565F0">
        <w:rPr>
          <w:rFonts w:ascii="Book Antiqua" w:hAnsi="Book Antiqua" w:cs="宋体"/>
          <w:b/>
          <w:bCs/>
          <w:color w:val="000000"/>
          <w:lang w:eastAsia="zh-CN"/>
        </w:rPr>
        <w:t>Cheng G</w:t>
      </w:r>
      <w:r w:rsidRPr="00C565F0">
        <w:rPr>
          <w:rFonts w:ascii="Book Antiqua" w:hAnsi="Book Antiqua" w:cs="宋体"/>
          <w:color w:val="000000"/>
          <w:lang w:eastAsia="zh-CN"/>
        </w:rPr>
        <w:t xml:space="preserve">, Saleh MN, Marcher C, </w:t>
      </w:r>
      <w:proofErr w:type="spellStart"/>
      <w:r w:rsidRPr="00C565F0">
        <w:rPr>
          <w:rFonts w:ascii="Book Antiqua" w:hAnsi="Book Antiqua" w:cs="宋体"/>
          <w:color w:val="000000"/>
          <w:lang w:eastAsia="zh-CN"/>
        </w:rPr>
        <w:t>Vasey</w:t>
      </w:r>
      <w:proofErr w:type="spellEnd"/>
      <w:r w:rsidRPr="00C565F0">
        <w:rPr>
          <w:rFonts w:ascii="Book Antiqua" w:hAnsi="Book Antiqua" w:cs="宋体"/>
          <w:color w:val="000000"/>
          <w:lang w:eastAsia="zh-CN"/>
        </w:rPr>
        <w:t xml:space="preserve"> S, Mayer B, </w:t>
      </w:r>
      <w:proofErr w:type="spellStart"/>
      <w:r w:rsidRPr="00C565F0">
        <w:rPr>
          <w:rFonts w:ascii="Book Antiqua" w:hAnsi="Book Antiqua" w:cs="宋体"/>
          <w:color w:val="000000"/>
          <w:lang w:eastAsia="zh-CN"/>
        </w:rPr>
        <w:t>Aivado</w:t>
      </w:r>
      <w:proofErr w:type="spellEnd"/>
      <w:r w:rsidRPr="00C565F0">
        <w:rPr>
          <w:rFonts w:ascii="Book Antiqua" w:hAnsi="Book Antiqua" w:cs="宋体"/>
          <w:color w:val="000000"/>
          <w:lang w:eastAsia="zh-CN"/>
        </w:rPr>
        <w:t xml:space="preserve"> M, </w:t>
      </w:r>
      <w:proofErr w:type="spellStart"/>
      <w:r w:rsidRPr="00C565F0">
        <w:rPr>
          <w:rFonts w:ascii="Book Antiqua" w:hAnsi="Book Antiqua" w:cs="宋体"/>
          <w:color w:val="000000"/>
          <w:lang w:eastAsia="zh-CN"/>
        </w:rPr>
        <w:t>Arning</w:t>
      </w:r>
      <w:proofErr w:type="spellEnd"/>
      <w:r w:rsidRPr="00C565F0">
        <w:rPr>
          <w:rFonts w:ascii="Book Antiqua" w:hAnsi="Book Antiqua" w:cs="宋体"/>
          <w:color w:val="000000"/>
          <w:lang w:eastAsia="zh-CN"/>
        </w:rPr>
        <w:t xml:space="preserve"> M, Stone NL,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w:t>
      </w:r>
      <w:proofErr w:type="spellStart"/>
      <w:r w:rsidRPr="00C565F0">
        <w:rPr>
          <w:rFonts w:ascii="Book Antiqua" w:hAnsi="Book Antiqua" w:cs="宋体"/>
          <w:color w:val="000000"/>
          <w:lang w:eastAsia="zh-CN"/>
        </w:rPr>
        <w:t>Eltrombopag</w:t>
      </w:r>
      <w:proofErr w:type="spellEnd"/>
      <w:r w:rsidRPr="00C565F0">
        <w:rPr>
          <w:rFonts w:ascii="Book Antiqua" w:hAnsi="Book Antiqua" w:cs="宋体"/>
          <w:color w:val="000000"/>
          <w:lang w:eastAsia="zh-CN"/>
        </w:rPr>
        <w:t xml:space="preserve"> for management of chronic immune thrombocytopenia (RAISE): a 6-month, </w:t>
      </w:r>
      <w:proofErr w:type="spellStart"/>
      <w:r w:rsidRPr="00C565F0">
        <w:rPr>
          <w:rFonts w:ascii="Book Antiqua" w:hAnsi="Book Antiqua" w:cs="宋体"/>
          <w:color w:val="000000"/>
          <w:lang w:eastAsia="zh-CN"/>
        </w:rPr>
        <w:t>randomised</w:t>
      </w:r>
      <w:proofErr w:type="spellEnd"/>
      <w:r w:rsidRPr="00C565F0">
        <w:rPr>
          <w:rFonts w:ascii="Book Antiqua" w:hAnsi="Book Antiqua" w:cs="宋体"/>
          <w:color w:val="000000"/>
          <w:lang w:eastAsia="zh-CN"/>
        </w:rPr>
        <w:t xml:space="preserve">, </w:t>
      </w:r>
      <w:proofErr w:type="gramStart"/>
      <w:r w:rsidRPr="00C565F0">
        <w:rPr>
          <w:rFonts w:ascii="Book Antiqua" w:hAnsi="Book Antiqua" w:cs="宋体"/>
          <w:color w:val="000000"/>
          <w:lang w:eastAsia="zh-CN"/>
        </w:rPr>
        <w:t>phase</w:t>
      </w:r>
      <w:proofErr w:type="gramEnd"/>
      <w:r w:rsidRPr="00C565F0">
        <w:rPr>
          <w:rFonts w:ascii="Book Antiqua" w:hAnsi="Book Antiqua" w:cs="宋体"/>
          <w:color w:val="000000"/>
          <w:lang w:eastAsia="zh-CN"/>
        </w:rPr>
        <w:t xml:space="preserve"> 3 study. </w:t>
      </w:r>
      <w:r w:rsidRPr="00C565F0">
        <w:rPr>
          <w:rFonts w:ascii="Book Antiqua" w:hAnsi="Book Antiqua" w:cs="宋体"/>
          <w:i/>
          <w:iCs/>
          <w:color w:val="000000"/>
          <w:lang w:eastAsia="zh-CN"/>
        </w:rPr>
        <w:t>Lancet</w:t>
      </w:r>
      <w:r w:rsidRPr="00C565F0">
        <w:rPr>
          <w:rFonts w:ascii="Book Antiqua" w:hAnsi="Book Antiqua" w:cs="宋体"/>
          <w:color w:val="000000"/>
          <w:lang w:eastAsia="zh-CN"/>
        </w:rPr>
        <w:t> 2011; </w:t>
      </w:r>
      <w:r w:rsidRPr="00C565F0">
        <w:rPr>
          <w:rFonts w:ascii="Book Antiqua" w:hAnsi="Book Antiqua" w:cs="宋体"/>
          <w:b/>
          <w:bCs/>
          <w:color w:val="000000"/>
          <w:lang w:eastAsia="zh-CN"/>
        </w:rPr>
        <w:t>377</w:t>
      </w:r>
      <w:r w:rsidRPr="00C565F0">
        <w:rPr>
          <w:rFonts w:ascii="Book Antiqua" w:hAnsi="Book Antiqua" w:cs="宋体"/>
          <w:color w:val="000000"/>
          <w:lang w:eastAsia="zh-CN"/>
        </w:rPr>
        <w:t>: 393-402 [PMID: 20739054 DOI: 10.1016/S0140-6736(10)60959-2</w:t>
      </w:r>
      <w:r>
        <w:rPr>
          <w:rFonts w:ascii="Book Antiqua" w:hAnsi="Book Antiqua" w:cs="宋体"/>
          <w:color w:val="000000"/>
          <w:lang w:eastAsia="zh-CN"/>
        </w:rPr>
        <w:t>]</w:t>
      </w:r>
    </w:p>
    <w:p w:rsidR="00FA650B" w:rsidRPr="00C565F0" w:rsidRDefault="00FA650B" w:rsidP="00C565F0">
      <w:pPr>
        <w:spacing w:after="0" w:line="360" w:lineRule="auto"/>
        <w:jc w:val="both"/>
        <w:rPr>
          <w:rFonts w:ascii="Book Antiqua" w:hAnsi="Book Antiqua" w:cs="宋体"/>
          <w:color w:val="000000"/>
          <w:lang w:eastAsia="zh-CN"/>
        </w:rPr>
      </w:pPr>
      <w:r>
        <w:rPr>
          <w:rFonts w:ascii="Book Antiqua" w:hAnsi="Book Antiqua" w:cs="宋体"/>
          <w:color w:val="000000"/>
          <w:lang w:eastAsia="zh-CN"/>
        </w:rPr>
        <w:t>52</w:t>
      </w:r>
      <w:r w:rsidRPr="00C565F0">
        <w:rPr>
          <w:rFonts w:ascii="Book Antiqua" w:hAnsi="Book Antiqua" w:cs="宋体"/>
          <w:color w:val="000000"/>
          <w:lang w:eastAsia="zh-CN"/>
        </w:rPr>
        <w:t xml:space="preserve"> </w:t>
      </w:r>
      <w:r w:rsidRPr="00881DDC">
        <w:rPr>
          <w:rFonts w:ascii="Book Antiqua" w:hAnsi="Book Antiqua" w:cs="宋体"/>
          <w:b/>
          <w:color w:val="000000"/>
          <w:lang w:eastAsia="zh-CN"/>
        </w:rPr>
        <w:t>Saleh MN,</w:t>
      </w:r>
      <w:r w:rsidRPr="00C565F0">
        <w:rPr>
          <w:rFonts w:ascii="Book Antiqua" w:hAnsi="Book Antiqua" w:cs="宋体"/>
          <w:color w:val="000000"/>
          <w:lang w:eastAsia="zh-CN"/>
        </w:rPr>
        <w:t xml:space="preserve"> </w:t>
      </w:r>
      <w:proofErr w:type="spellStart"/>
      <w:r w:rsidRPr="00C565F0">
        <w:rPr>
          <w:rFonts w:ascii="Book Antiqua" w:hAnsi="Book Antiqua" w:cs="宋体"/>
          <w:color w:val="000000"/>
          <w:lang w:eastAsia="zh-CN"/>
        </w:rPr>
        <w:t>Bussel</w:t>
      </w:r>
      <w:proofErr w:type="spellEnd"/>
      <w:r w:rsidRPr="00C565F0">
        <w:rPr>
          <w:rFonts w:ascii="Book Antiqua" w:hAnsi="Book Antiqua" w:cs="宋体"/>
          <w:color w:val="000000"/>
          <w:lang w:eastAsia="zh-CN"/>
        </w:rPr>
        <w:t xml:space="preserve"> JB, Cheng G, </w:t>
      </w:r>
      <w:proofErr w:type="spellStart"/>
      <w:r w:rsidRPr="00881DDC">
        <w:rPr>
          <w:rFonts w:ascii="Book Antiqua" w:hAnsi="Book Antiqua" w:cs="宋体"/>
          <w:color w:val="000000"/>
          <w:lang w:eastAsia="zh-CN"/>
        </w:rPr>
        <w:t>Meddeb</w:t>
      </w:r>
      <w:proofErr w:type="spellEnd"/>
      <w:r>
        <w:rPr>
          <w:rFonts w:ascii="Book Antiqua" w:hAnsi="Book Antiqua" w:cs="宋体"/>
          <w:color w:val="000000"/>
          <w:lang w:eastAsia="zh-CN"/>
        </w:rPr>
        <w:t xml:space="preserve"> B</w:t>
      </w:r>
      <w:r w:rsidRPr="00881DDC">
        <w:rPr>
          <w:rFonts w:ascii="Book Antiqua" w:hAnsi="Book Antiqua" w:cs="宋体"/>
          <w:color w:val="000000"/>
          <w:lang w:eastAsia="zh-CN"/>
        </w:rPr>
        <w:t>, Mayer</w:t>
      </w:r>
      <w:r>
        <w:rPr>
          <w:rFonts w:ascii="Book Antiqua" w:hAnsi="Book Antiqua" w:cs="宋体"/>
          <w:color w:val="000000"/>
          <w:lang w:eastAsia="zh-CN"/>
        </w:rPr>
        <w:t xml:space="preserve"> B</w:t>
      </w:r>
      <w:r w:rsidRPr="00881DDC">
        <w:rPr>
          <w:rFonts w:ascii="Book Antiqua" w:hAnsi="Book Antiqua" w:cs="宋体"/>
          <w:color w:val="000000"/>
          <w:lang w:eastAsia="zh-CN"/>
        </w:rPr>
        <w:t>, Bailey</w:t>
      </w:r>
      <w:r>
        <w:rPr>
          <w:rFonts w:ascii="Book Antiqua" w:hAnsi="Book Antiqua" w:cs="宋体"/>
          <w:color w:val="000000"/>
          <w:lang w:eastAsia="zh-CN"/>
        </w:rPr>
        <w:t xml:space="preserve"> C,</w:t>
      </w:r>
      <w:r w:rsidRPr="00881DDC">
        <w:rPr>
          <w:rFonts w:ascii="Book Antiqua" w:hAnsi="Book Antiqua" w:cs="宋体"/>
          <w:lang w:eastAsia="zh-CN"/>
        </w:rPr>
        <w:t> </w:t>
      </w:r>
      <w:proofErr w:type="spellStart"/>
      <w:r w:rsidRPr="00881DDC">
        <w:rPr>
          <w:rFonts w:ascii="Book Antiqua" w:hAnsi="Book Antiqua" w:cs="宋体"/>
          <w:color w:val="000000"/>
          <w:lang w:eastAsia="zh-CN"/>
        </w:rPr>
        <w:t>Aivado</w:t>
      </w:r>
      <w:proofErr w:type="spellEnd"/>
      <w:r>
        <w:rPr>
          <w:rFonts w:ascii="Book Antiqua" w:hAnsi="Book Antiqua" w:cs="宋体"/>
          <w:color w:val="000000"/>
          <w:lang w:eastAsia="zh-CN"/>
        </w:rPr>
        <w:t xml:space="preserve"> M.</w:t>
      </w:r>
      <w:r w:rsidRPr="00C565F0">
        <w:rPr>
          <w:rFonts w:ascii="Book Antiqua" w:hAnsi="Book Antiqua" w:cs="宋体"/>
          <w:color w:val="000000"/>
          <w:lang w:eastAsia="zh-CN"/>
        </w:rPr>
        <w:t xml:space="preserve"> Long-term treatment of chronic immune thrombocytopenic </w:t>
      </w:r>
      <w:proofErr w:type="spellStart"/>
      <w:r w:rsidRPr="00C565F0">
        <w:rPr>
          <w:rFonts w:ascii="Book Antiqua" w:hAnsi="Book Antiqua" w:cs="宋体"/>
          <w:color w:val="000000"/>
          <w:lang w:eastAsia="zh-CN"/>
        </w:rPr>
        <w:t>purpura</w:t>
      </w:r>
      <w:proofErr w:type="spellEnd"/>
      <w:r w:rsidRPr="00C565F0">
        <w:rPr>
          <w:rFonts w:ascii="Book Antiqua" w:hAnsi="Book Antiqua" w:cs="宋体"/>
          <w:color w:val="000000"/>
          <w:lang w:eastAsia="zh-CN"/>
        </w:rPr>
        <w:t xml:space="preserve"> with oral </w:t>
      </w:r>
      <w:proofErr w:type="spellStart"/>
      <w:r w:rsidRPr="00C565F0">
        <w:rPr>
          <w:rFonts w:ascii="Book Antiqua" w:hAnsi="Book Antiqua" w:cs="宋体"/>
          <w:color w:val="000000"/>
          <w:lang w:eastAsia="zh-CN"/>
        </w:rPr>
        <w:t>eltrombopag</w:t>
      </w:r>
      <w:proofErr w:type="spellEnd"/>
      <w:r w:rsidRPr="00C565F0">
        <w:rPr>
          <w:rFonts w:ascii="Book Antiqua" w:hAnsi="Book Antiqua" w:cs="宋体"/>
          <w:color w:val="000000"/>
          <w:lang w:eastAsia="zh-CN"/>
        </w:rPr>
        <w:t>. Abstract #682 presented at the 51st American Society of Hematology Annual Meeting and Exposition; New Orleans, LA. December 5–8, 2009; http: //ash.confex.com/ash/2009/</w:t>
      </w:r>
      <w:proofErr w:type="spellStart"/>
      <w:r w:rsidRPr="00C565F0">
        <w:rPr>
          <w:rFonts w:ascii="Book Antiqua" w:hAnsi="Book Antiqua" w:cs="宋体"/>
          <w:color w:val="000000"/>
          <w:lang w:eastAsia="zh-CN"/>
        </w:rPr>
        <w:t>webprogram</w:t>
      </w:r>
      <w:proofErr w:type="spellEnd"/>
      <w:r w:rsidRPr="00C565F0">
        <w:rPr>
          <w:rFonts w:ascii="Book Antiqua" w:hAnsi="Book Antiqua" w:cs="宋体"/>
          <w:color w:val="000000"/>
          <w:lang w:eastAsia="zh-CN"/>
        </w:rPr>
        <w:t>/Paper24081.html</w:t>
      </w:r>
    </w:p>
    <w:p w:rsidR="00FA650B" w:rsidRDefault="00FA650B" w:rsidP="0051331B">
      <w:pPr>
        <w:spacing w:beforeLines="1" w:before="2" w:afterLines="1" w:after="2" w:line="360" w:lineRule="auto"/>
        <w:jc w:val="both"/>
        <w:rPr>
          <w:rFonts w:ascii="Book Antiqua" w:hAnsi="Book Antiqua"/>
          <w:lang w:eastAsia="zh-CN"/>
        </w:rPr>
      </w:pPr>
    </w:p>
    <w:p w:rsidR="009A72A0" w:rsidRDefault="00FA650B" w:rsidP="00881DDC">
      <w:pPr>
        <w:tabs>
          <w:tab w:val="left" w:pos="180"/>
          <w:tab w:val="left" w:pos="360"/>
        </w:tabs>
        <w:wordWrap w:val="0"/>
        <w:spacing w:line="360" w:lineRule="auto"/>
        <w:jc w:val="right"/>
        <w:rPr>
          <w:rFonts w:ascii="Book Antiqua" w:hAnsi="Book Antiqua" w:cs="Tahoma"/>
          <w:color w:val="000000"/>
          <w:lang w:eastAsia="zh-CN"/>
        </w:rPr>
      </w:pPr>
      <w:bookmarkStart w:id="10" w:name="OLE_LINK141"/>
      <w:bookmarkStart w:id="11" w:name="OLE_LINK164"/>
      <w:bookmarkStart w:id="12" w:name="OLE_LINK177"/>
      <w:bookmarkStart w:id="13" w:name="OLE_LINK180"/>
      <w:bookmarkStart w:id="14" w:name="OLE_LINK172"/>
      <w:bookmarkStart w:id="15" w:name="OLE_LINK187"/>
      <w:bookmarkStart w:id="16" w:name="OLE_LINK192"/>
      <w:bookmarkStart w:id="17" w:name="OLE_LINK193"/>
      <w:bookmarkStart w:id="18" w:name="OLE_LINK214"/>
      <w:bookmarkStart w:id="19" w:name="OLE_LINK213"/>
      <w:bookmarkStart w:id="20" w:name="OLE_LINK239"/>
      <w:bookmarkStart w:id="21" w:name="OLE_LINK249"/>
      <w:bookmarkStart w:id="22" w:name="OLE_LINK281"/>
      <w:bookmarkStart w:id="23" w:name="OLE_LINK268"/>
      <w:bookmarkStart w:id="24" w:name="OLE_LINK314"/>
      <w:bookmarkStart w:id="25" w:name="OLE_LINK320"/>
      <w:bookmarkStart w:id="26" w:name="OLE_LINK322"/>
      <w:bookmarkStart w:id="27" w:name="OLE_LINK340"/>
      <w:bookmarkStart w:id="28" w:name="OLE_LINK323"/>
      <w:bookmarkStart w:id="29" w:name="OLE_LINK387"/>
      <w:bookmarkStart w:id="30" w:name="OLE_LINK416"/>
      <w:bookmarkStart w:id="31" w:name="OLE_LINK332"/>
      <w:bookmarkStart w:id="32" w:name="OLE_LINK344"/>
      <w:bookmarkStart w:id="33" w:name="OLE_LINK345"/>
      <w:bookmarkStart w:id="34" w:name="OLE_LINK354"/>
      <w:bookmarkStart w:id="35" w:name="OLE_LINK356"/>
      <w:bookmarkStart w:id="36" w:name="OLE_LINK360"/>
      <w:bookmarkStart w:id="37" w:name="OLE_LINK385"/>
      <w:bookmarkStart w:id="38" w:name="OLE_LINK396"/>
      <w:bookmarkStart w:id="39" w:name="OLE_LINK357"/>
      <w:bookmarkStart w:id="40" w:name="OLE_LINK424"/>
      <w:r w:rsidRPr="007350B6">
        <w:rPr>
          <w:rFonts w:ascii="Book Antiqua" w:hAnsi="Book Antiqua" w:cs="Tahoma"/>
          <w:b/>
          <w:color w:val="000000"/>
        </w:rPr>
        <w:t>P-</w:t>
      </w:r>
      <w:r w:rsidR="009A72A0">
        <w:rPr>
          <w:rFonts w:ascii="Book Antiqua" w:hAnsi="Book Antiqua" w:cs="Tahoma" w:hint="eastAsia"/>
          <w:b/>
          <w:color w:val="000000"/>
          <w:lang w:eastAsia="zh-CN"/>
        </w:rPr>
        <w:t xml:space="preserve"> </w:t>
      </w:r>
      <w:r w:rsidRPr="007350B6">
        <w:rPr>
          <w:rFonts w:ascii="Book Antiqua" w:hAnsi="Book Antiqua" w:cs="Tahoma"/>
          <w:b/>
          <w:color w:val="000000"/>
        </w:rPr>
        <w:t>Reviewers</w:t>
      </w:r>
      <w:r>
        <w:rPr>
          <w:rFonts w:ascii="Book Antiqua" w:hAnsi="Book Antiqua" w:cs="Tahoma"/>
          <w:b/>
          <w:color w:val="000000"/>
        </w:rPr>
        <w:t>:</w:t>
      </w:r>
      <w:r w:rsidRPr="007350B6">
        <w:rPr>
          <w:rFonts w:ascii="Book Antiqua" w:hAnsi="Book Antiqua"/>
          <w:color w:val="000000"/>
        </w:rPr>
        <w:t xml:space="preserve"> </w:t>
      </w:r>
      <w:r w:rsidRPr="00881DDC">
        <w:rPr>
          <w:rFonts w:ascii="Book Antiqua" w:hAnsi="Book Antiqua" w:cs="Tahoma"/>
          <w:color w:val="000000"/>
          <w:lang w:eastAsia="zh-CN"/>
        </w:rPr>
        <w:t xml:space="preserve">Kim K, </w:t>
      </w:r>
      <w:proofErr w:type="spellStart"/>
      <w:r>
        <w:rPr>
          <w:rFonts w:ascii="Book Antiqua" w:hAnsi="Book Antiqua" w:cs="Tahoma"/>
          <w:color w:val="000000"/>
          <w:lang w:eastAsia="zh-CN"/>
        </w:rPr>
        <w:t>Yazdanbakhsh</w:t>
      </w:r>
      <w:proofErr w:type="spellEnd"/>
      <w:r>
        <w:rPr>
          <w:rFonts w:ascii="Book Antiqua" w:hAnsi="Book Antiqua" w:cs="Tahoma"/>
          <w:color w:val="000000"/>
          <w:lang w:eastAsia="zh-CN"/>
        </w:rPr>
        <w:t xml:space="preserve"> </w:t>
      </w:r>
      <w:r w:rsidRPr="00881DDC">
        <w:rPr>
          <w:rFonts w:ascii="Book Antiqua" w:hAnsi="Book Antiqua" w:cs="Tahoma"/>
          <w:color w:val="000000"/>
          <w:lang w:eastAsia="zh-CN"/>
        </w:rPr>
        <w:t xml:space="preserve">K, </w:t>
      </w:r>
      <w:proofErr w:type="gramStart"/>
      <w:r>
        <w:rPr>
          <w:rFonts w:ascii="Book Antiqua" w:hAnsi="Book Antiqua" w:cs="Tahoma"/>
          <w:color w:val="000000"/>
          <w:lang w:eastAsia="zh-CN"/>
        </w:rPr>
        <w:t>Zimmer</w:t>
      </w:r>
      <w:proofErr w:type="gramEnd"/>
      <w:r>
        <w:rPr>
          <w:rFonts w:ascii="Book Antiqua" w:hAnsi="Book Antiqua" w:cs="Tahoma"/>
          <w:color w:val="000000"/>
          <w:lang w:eastAsia="zh-CN"/>
        </w:rPr>
        <w:t xml:space="preserve"> </w:t>
      </w:r>
      <w:r w:rsidRPr="00881DDC">
        <w:rPr>
          <w:rFonts w:ascii="Book Antiqua" w:hAnsi="Book Antiqua" w:cs="Tahoma"/>
          <w:color w:val="000000"/>
          <w:lang w:eastAsia="zh-CN"/>
        </w:rPr>
        <w:t xml:space="preserve">J </w:t>
      </w:r>
      <w:r w:rsidRPr="007350B6">
        <w:rPr>
          <w:rFonts w:ascii="Book Antiqua" w:hAnsi="Book Antiqua" w:cs="Tahoma"/>
          <w:b/>
          <w:color w:val="000000"/>
        </w:rPr>
        <w:t>S-</w:t>
      </w:r>
      <w:r w:rsidR="009A72A0">
        <w:rPr>
          <w:rFonts w:ascii="Book Antiqua" w:hAnsi="Book Antiqua" w:cs="Tahoma" w:hint="eastAsia"/>
          <w:b/>
          <w:color w:val="000000"/>
          <w:lang w:eastAsia="zh-CN"/>
        </w:rPr>
        <w:t xml:space="preserve"> </w:t>
      </w:r>
      <w:r w:rsidRPr="007350B6">
        <w:rPr>
          <w:rFonts w:ascii="Book Antiqua" w:hAnsi="Book Antiqua" w:cs="Tahoma"/>
          <w:b/>
          <w:color w:val="000000"/>
        </w:rPr>
        <w:t>Editor</w:t>
      </w:r>
      <w:r>
        <w:rPr>
          <w:rFonts w:ascii="Book Antiqua" w:hAnsi="Book Antiqua" w:cs="Tahoma"/>
          <w:b/>
          <w:color w:val="000000"/>
        </w:rPr>
        <w:t>:</w:t>
      </w:r>
      <w:r>
        <w:rPr>
          <w:rFonts w:ascii="Book Antiqua" w:hAnsi="Book Antiqua" w:cs="Tahoma"/>
          <w:b/>
          <w:color w:val="000000"/>
          <w:lang w:eastAsia="zh-CN"/>
        </w:rPr>
        <w:t xml:space="preserve"> </w:t>
      </w:r>
      <w:r w:rsidRPr="00881DDC">
        <w:rPr>
          <w:rFonts w:ascii="Book Antiqua" w:hAnsi="Book Antiqua" w:cs="Tahoma"/>
          <w:color w:val="000000"/>
          <w:lang w:eastAsia="zh-CN"/>
        </w:rPr>
        <w:t>Song XX</w:t>
      </w:r>
      <w:r w:rsidRPr="007350B6">
        <w:rPr>
          <w:rFonts w:ascii="Book Antiqua" w:hAnsi="Book Antiqua" w:cs="Tahoma"/>
          <w:color w:val="000000"/>
        </w:rPr>
        <w:t xml:space="preserve"> </w:t>
      </w:r>
    </w:p>
    <w:p w:rsidR="00FA650B" w:rsidRPr="007350B6" w:rsidRDefault="00FA650B" w:rsidP="00A64C7E">
      <w:pPr>
        <w:tabs>
          <w:tab w:val="left" w:pos="180"/>
          <w:tab w:val="left" w:pos="360"/>
        </w:tabs>
        <w:spacing w:line="360" w:lineRule="auto"/>
        <w:jc w:val="right"/>
        <w:rPr>
          <w:rFonts w:ascii="Book Antiqua" w:hAnsi="Book Antiqua" w:cs="Tahoma"/>
          <w:b/>
          <w:color w:val="000000"/>
        </w:rPr>
      </w:pPr>
      <w:r w:rsidRPr="007350B6">
        <w:rPr>
          <w:rFonts w:ascii="Book Antiqua" w:hAnsi="Book Antiqua" w:cs="Tahoma"/>
          <w:b/>
          <w:color w:val="000000"/>
        </w:rPr>
        <w:t>L-</w:t>
      </w:r>
      <w:r w:rsidR="009A72A0">
        <w:rPr>
          <w:rFonts w:ascii="Book Antiqua" w:hAnsi="Book Antiqua" w:cs="Tahoma" w:hint="eastAsia"/>
          <w:b/>
          <w:color w:val="000000"/>
          <w:lang w:eastAsia="zh-CN"/>
        </w:rPr>
        <w:t xml:space="preserve"> </w:t>
      </w:r>
      <w:r w:rsidRPr="007350B6">
        <w:rPr>
          <w:rFonts w:ascii="Book Antiqua" w:hAnsi="Book Antiqua" w:cs="Tahoma"/>
          <w:b/>
          <w:color w:val="000000"/>
        </w:rPr>
        <w:t>Editor</w:t>
      </w:r>
      <w:r>
        <w:rPr>
          <w:rFonts w:ascii="Book Antiqua" w:hAnsi="Book Antiqua" w:cs="Tahoma"/>
          <w:b/>
          <w:color w:val="000000"/>
        </w:rPr>
        <w:t>:</w:t>
      </w:r>
      <w:r w:rsidRPr="007350B6">
        <w:rPr>
          <w:rFonts w:ascii="Book Antiqua" w:hAnsi="Book Antiqua" w:cs="Tahoma"/>
          <w:b/>
          <w:color w:val="000000"/>
        </w:rPr>
        <w:t xml:space="preserve"> E-</w:t>
      </w:r>
      <w:r w:rsidR="009A72A0">
        <w:rPr>
          <w:rFonts w:ascii="Book Antiqua" w:hAnsi="Book Antiqua" w:cs="Tahoma" w:hint="eastAsia"/>
          <w:b/>
          <w:color w:val="000000"/>
          <w:lang w:eastAsia="zh-CN"/>
        </w:rPr>
        <w:t xml:space="preserve"> </w:t>
      </w:r>
      <w:r w:rsidRPr="007350B6">
        <w:rPr>
          <w:rFonts w:ascii="Book Antiqua" w:hAnsi="Book Antiqua" w:cs="Tahoma"/>
          <w:b/>
          <w:color w:val="000000"/>
        </w:rPr>
        <w:t>Editor</w:t>
      </w:r>
      <w:r>
        <w:rPr>
          <w:rFonts w:ascii="Book Antiqua" w:hAnsi="Book Antiqua" w:cs="Tahoma"/>
          <w:b/>
          <w:color w:val="000000"/>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FA650B" w:rsidRPr="00904142" w:rsidRDefault="00FA650B" w:rsidP="0051331B">
      <w:pPr>
        <w:spacing w:beforeLines="1" w:before="2" w:afterLines="1" w:after="2" w:line="360" w:lineRule="auto"/>
        <w:jc w:val="both"/>
        <w:rPr>
          <w:rFonts w:ascii="Book Antiqua" w:hAnsi="Book Antiqua"/>
          <w:lang w:eastAsia="zh-CN"/>
        </w:rPr>
      </w:pPr>
    </w:p>
    <w:p w:rsidR="00FA650B" w:rsidRPr="008C78C3" w:rsidRDefault="00FA650B" w:rsidP="00904142">
      <w:pPr>
        <w:pStyle w:val="a3"/>
        <w:spacing w:before="2" w:after="2" w:line="360" w:lineRule="auto"/>
        <w:jc w:val="both"/>
        <w:rPr>
          <w:rFonts w:ascii="Book Antiqua" w:hAnsi="Book Antiqua"/>
          <w:b/>
          <w:bCs/>
          <w:sz w:val="24"/>
          <w:szCs w:val="24"/>
        </w:rPr>
      </w:pPr>
      <w:r w:rsidRPr="008C78C3">
        <w:rPr>
          <w:rFonts w:ascii="Book Antiqua" w:hAnsi="Book Antiqua"/>
          <w:b/>
          <w:bCs/>
          <w:sz w:val="24"/>
          <w:szCs w:val="24"/>
        </w:rPr>
        <w:t xml:space="preserve">Table 1 Frequent </w:t>
      </w:r>
      <w:proofErr w:type="gramStart"/>
      <w:r w:rsidRPr="008C78C3">
        <w:rPr>
          <w:rFonts w:ascii="Book Antiqua" w:hAnsi="Book Antiqua"/>
          <w:b/>
          <w:bCs/>
          <w:sz w:val="24"/>
          <w:szCs w:val="24"/>
        </w:rPr>
        <w:t>examples</w:t>
      </w:r>
      <w:proofErr w:type="gramEnd"/>
      <w:r w:rsidRPr="008C78C3">
        <w:rPr>
          <w:rFonts w:ascii="Book Antiqua" w:hAnsi="Book Antiqua"/>
          <w:b/>
          <w:bCs/>
          <w:sz w:val="24"/>
          <w:szCs w:val="24"/>
        </w:rPr>
        <w:t xml:space="preserve"> of differential diagnosis of </w:t>
      </w:r>
      <w:r w:rsidRPr="008C78C3">
        <w:rPr>
          <w:rFonts w:ascii="Book Antiqua" w:hAnsi="Book Antiqua"/>
          <w:b/>
          <w:sz w:val="24"/>
          <w:szCs w:val="24"/>
          <w:lang w:eastAsia="zh-CN"/>
        </w:rPr>
        <w:t>i</w:t>
      </w:r>
      <w:r w:rsidRPr="008C78C3">
        <w:rPr>
          <w:rFonts w:ascii="Book Antiqua" w:hAnsi="Book Antiqua"/>
          <w:b/>
          <w:sz w:val="24"/>
          <w:szCs w:val="24"/>
        </w:rPr>
        <w:t>mmune thrombocytopenia</w:t>
      </w:r>
      <w:r w:rsidRPr="008C78C3">
        <w:rPr>
          <w:rFonts w:ascii="Book Antiqua" w:hAnsi="Book Antiqua"/>
          <w:b/>
          <w:bCs/>
          <w:sz w:val="24"/>
          <w:szCs w:val="24"/>
        </w:rPr>
        <w:t xml:space="preserve"> and potential alternative causes of thrombocytopenia identified by patient history</w:t>
      </w:r>
    </w:p>
    <w:p w:rsidR="00FA650B" w:rsidRPr="00904142" w:rsidRDefault="00FA650B" w:rsidP="00904142">
      <w:pPr>
        <w:pStyle w:val="a3"/>
        <w:spacing w:before="2" w:after="2" w:line="360" w:lineRule="auto"/>
        <w:jc w:val="both"/>
        <w:rPr>
          <w:rFonts w:ascii="Book Antiqua" w:hAnsi="Book Antiqua"/>
          <w:sz w:val="24"/>
          <w:szCs w:val="24"/>
        </w:rPr>
      </w:pPr>
      <w:r w:rsidRPr="00904142">
        <w:rPr>
          <w:rFonts w:ascii="Book Antiqua" w:hAnsi="Book Antiqua"/>
          <w:b/>
          <w:bCs/>
          <w:sz w:val="24"/>
          <w:szCs w:val="24"/>
        </w:rPr>
        <w:t xml:space="preserve"> </w:t>
      </w:r>
    </w:p>
    <w:p w:rsidR="00FA650B" w:rsidRPr="00904142"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rPr>
      </w:pPr>
      <w:r w:rsidRPr="00904142">
        <w:rPr>
          <w:rFonts w:ascii="Book Antiqua" w:hAnsi="Book Antiqua"/>
          <w:sz w:val="24"/>
          <w:szCs w:val="24"/>
        </w:rPr>
        <w:t>Previously diagnosed or possible high risk of conditions that may be associated with autoimmune thrombocytopenia, for example, HIV, HCV, or other infection; other autoimmune/immunodeficiency disorders (includi</w:t>
      </w:r>
      <w:r>
        <w:rPr>
          <w:rFonts w:ascii="Book Antiqua" w:hAnsi="Book Antiqua"/>
          <w:sz w:val="24"/>
          <w:szCs w:val="24"/>
        </w:rPr>
        <w:t>ng systemic lupus erythematosus</w:t>
      </w:r>
      <w:r w:rsidRPr="00904142">
        <w:rPr>
          <w:rFonts w:ascii="Book Antiqua" w:hAnsi="Book Antiqua"/>
          <w:sz w:val="24"/>
          <w:szCs w:val="24"/>
        </w:rPr>
        <w:t>; malignancy (</w:t>
      </w:r>
      <w:r w:rsidRPr="00C565F0">
        <w:rPr>
          <w:rFonts w:ascii="Book Antiqua" w:hAnsi="Book Antiqua"/>
          <w:i/>
          <w:sz w:val="24"/>
          <w:szCs w:val="24"/>
        </w:rPr>
        <w:t>e</w:t>
      </w:r>
      <w:r w:rsidRPr="00C565F0">
        <w:rPr>
          <w:rFonts w:ascii="Book Antiqua" w:hAnsi="Book Antiqua"/>
          <w:i/>
          <w:sz w:val="24"/>
          <w:szCs w:val="24"/>
          <w:lang w:eastAsia="zh-CN"/>
        </w:rPr>
        <w:t>.</w:t>
      </w:r>
      <w:r w:rsidRPr="00C565F0">
        <w:rPr>
          <w:rFonts w:ascii="Book Antiqua" w:hAnsi="Book Antiqua"/>
          <w:i/>
          <w:sz w:val="24"/>
          <w:szCs w:val="24"/>
        </w:rPr>
        <w:t>g</w:t>
      </w:r>
      <w:r w:rsidRPr="00C565F0">
        <w:rPr>
          <w:rFonts w:ascii="Book Antiqua" w:hAnsi="Book Antiqua"/>
          <w:i/>
          <w:sz w:val="24"/>
          <w:szCs w:val="24"/>
          <w:lang w:eastAsia="zh-CN"/>
        </w:rPr>
        <w:t>.</w:t>
      </w:r>
      <w:r w:rsidRPr="00904142">
        <w:rPr>
          <w:rFonts w:ascii="Book Antiqua" w:hAnsi="Book Antiqua"/>
          <w:sz w:val="24"/>
          <w:szCs w:val="24"/>
        </w:rPr>
        <w:t xml:space="preserve">, </w:t>
      </w:r>
      <w:proofErr w:type="spellStart"/>
      <w:r w:rsidRPr="00904142">
        <w:rPr>
          <w:rFonts w:ascii="Book Antiqua" w:hAnsi="Book Antiqua"/>
          <w:sz w:val="24"/>
          <w:szCs w:val="24"/>
        </w:rPr>
        <w:t>lymphoproliferative</w:t>
      </w:r>
      <w:proofErr w:type="spellEnd"/>
      <w:r w:rsidRPr="00904142">
        <w:rPr>
          <w:rFonts w:ascii="Book Antiqua" w:hAnsi="Book Antiqua"/>
          <w:sz w:val="24"/>
          <w:szCs w:val="24"/>
        </w:rPr>
        <w:t xml:space="preserve"> disorders); recent vaccination </w:t>
      </w:r>
    </w:p>
    <w:p w:rsidR="00FA650B"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lang w:eastAsia="zh-CN"/>
        </w:rPr>
      </w:pPr>
    </w:p>
    <w:p w:rsidR="00FA650B"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lang w:eastAsia="zh-CN"/>
        </w:rPr>
      </w:pPr>
      <w:r w:rsidRPr="00904142">
        <w:rPr>
          <w:rFonts w:ascii="Book Antiqua" w:hAnsi="Book Antiqua"/>
          <w:sz w:val="24"/>
          <w:szCs w:val="24"/>
        </w:rPr>
        <w:t>Liver disease (including alcoholic liver cirrhosis)</w:t>
      </w:r>
      <w:r w:rsidRPr="00904142">
        <w:rPr>
          <w:rFonts w:ascii="Book Antiqua" w:hAnsi="Book Antiqua"/>
          <w:sz w:val="24"/>
          <w:szCs w:val="24"/>
        </w:rPr>
        <w:br/>
      </w:r>
    </w:p>
    <w:p w:rsidR="00FA650B"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lang w:eastAsia="zh-CN"/>
        </w:rPr>
      </w:pPr>
      <w:r w:rsidRPr="00904142">
        <w:rPr>
          <w:rFonts w:ascii="Book Antiqua" w:hAnsi="Book Antiqua"/>
          <w:sz w:val="24"/>
          <w:szCs w:val="24"/>
        </w:rPr>
        <w:t>Drugs (prescription or non-prescription), alcohol</w:t>
      </w:r>
      <w:r>
        <w:rPr>
          <w:rFonts w:ascii="Book Antiqua" w:hAnsi="Book Antiqua"/>
          <w:sz w:val="24"/>
          <w:szCs w:val="24"/>
        </w:rPr>
        <w:t xml:space="preserve"> abuse, consumption of quinine,</w:t>
      </w:r>
      <w:r>
        <w:rPr>
          <w:rFonts w:ascii="Book Antiqua" w:hAnsi="Book Antiqua"/>
          <w:sz w:val="24"/>
          <w:szCs w:val="24"/>
          <w:lang w:eastAsia="zh-CN"/>
        </w:rPr>
        <w:t xml:space="preserve"> </w:t>
      </w:r>
      <w:r w:rsidRPr="00904142">
        <w:rPr>
          <w:rFonts w:ascii="Book Antiqua" w:hAnsi="Book Antiqua"/>
          <w:sz w:val="24"/>
          <w:szCs w:val="24"/>
        </w:rPr>
        <w:t>tonic water, exposure to environmental toxins</w:t>
      </w:r>
      <w:r w:rsidRPr="00904142">
        <w:rPr>
          <w:rFonts w:ascii="Book Antiqua" w:hAnsi="Book Antiqua"/>
          <w:sz w:val="24"/>
          <w:szCs w:val="24"/>
        </w:rPr>
        <w:br/>
      </w:r>
    </w:p>
    <w:p w:rsidR="00FA650B"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lang w:eastAsia="zh-CN"/>
        </w:rPr>
      </w:pPr>
      <w:r w:rsidRPr="00904142">
        <w:rPr>
          <w:rFonts w:ascii="Book Antiqua" w:hAnsi="Book Antiqua"/>
          <w:sz w:val="24"/>
          <w:szCs w:val="24"/>
        </w:rPr>
        <w:t xml:space="preserve">Bone marrow diseases including </w:t>
      </w:r>
      <w:proofErr w:type="spellStart"/>
      <w:r w:rsidRPr="00904142">
        <w:rPr>
          <w:rFonts w:ascii="Book Antiqua" w:hAnsi="Book Antiqua"/>
          <w:sz w:val="24"/>
          <w:szCs w:val="24"/>
        </w:rPr>
        <w:t>myelodysplastic</w:t>
      </w:r>
      <w:proofErr w:type="spellEnd"/>
      <w:r w:rsidRPr="00904142">
        <w:rPr>
          <w:rFonts w:ascii="Book Antiqua" w:hAnsi="Book Antiqua"/>
          <w:sz w:val="24"/>
          <w:szCs w:val="24"/>
        </w:rPr>
        <w:t xml:space="preserve"> syndromes, </w:t>
      </w:r>
      <w:proofErr w:type="spellStart"/>
      <w:r w:rsidRPr="00904142">
        <w:rPr>
          <w:rFonts w:ascii="Book Antiqua" w:hAnsi="Book Antiqua"/>
          <w:sz w:val="24"/>
          <w:szCs w:val="24"/>
        </w:rPr>
        <w:t>leukemias</w:t>
      </w:r>
      <w:proofErr w:type="spellEnd"/>
      <w:r w:rsidRPr="00904142">
        <w:rPr>
          <w:rFonts w:ascii="Book Antiqua" w:hAnsi="Book Antiqua"/>
          <w:sz w:val="24"/>
          <w:szCs w:val="24"/>
        </w:rPr>
        <w:t xml:space="preserve">, other malignancies, and fibrosis, aplastic anemia, and </w:t>
      </w:r>
      <w:proofErr w:type="spellStart"/>
      <w:r w:rsidRPr="00904142">
        <w:rPr>
          <w:rFonts w:ascii="Book Antiqua" w:hAnsi="Book Antiqua"/>
          <w:sz w:val="24"/>
          <w:szCs w:val="24"/>
        </w:rPr>
        <w:t>megaloblastic</w:t>
      </w:r>
      <w:proofErr w:type="spellEnd"/>
      <w:r w:rsidRPr="00904142">
        <w:rPr>
          <w:rFonts w:ascii="Book Antiqua" w:hAnsi="Book Antiqua"/>
          <w:sz w:val="24"/>
          <w:szCs w:val="24"/>
        </w:rPr>
        <w:t xml:space="preserve"> anemia   </w:t>
      </w:r>
    </w:p>
    <w:p w:rsidR="00FA650B"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lang w:eastAsia="zh-CN"/>
        </w:rPr>
      </w:pPr>
    </w:p>
    <w:p w:rsidR="00FA650B"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rPr>
      </w:pPr>
      <w:r w:rsidRPr="00904142">
        <w:rPr>
          <w:rFonts w:ascii="Book Antiqua" w:hAnsi="Book Antiqua"/>
          <w:sz w:val="24"/>
          <w:szCs w:val="24"/>
        </w:rPr>
        <w:t xml:space="preserve">Recent transfusions (possibility of post-transfusion </w:t>
      </w:r>
      <w:proofErr w:type="spellStart"/>
      <w:r w:rsidRPr="00904142">
        <w:rPr>
          <w:rFonts w:ascii="Book Antiqua" w:hAnsi="Book Antiqua"/>
          <w:sz w:val="24"/>
          <w:szCs w:val="24"/>
        </w:rPr>
        <w:t>purpura</w:t>
      </w:r>
      <w:proofErr w:type="spellEnd"/>
      <w:r w:rsidRPr="00904142">
        <w:rPr>
          <w:rFonts w:ascii="Book Antiqua" w:hAnsi="Book Antiqua"/>
          <w:sz w:val="24"/>
          <w:szCs w:val="24"/>
        </w:rPr>
        <w:t>) and recent immunizations</w:t>
      </w:r>
      <w:r w:rsidRPr="00904142">
        <w:rPr>
          <w:rFonts w:ascii="Book Antiqua" w:hAnsi="Book Antiqua"/>
          <w:sz w:val="24"/>
          <w:szCs w:val="24"/>
        </w:rPr>
        <w:br/>
      </w:r>
    </w:p>
    <w:p w:rsidR="00FA650B" w:rsidRPr="00904142" w:rsidRDefault="00FA650B" w:rsidP="00904142">
      <w:pPr>
        <w:pStyle w:val="a3"/>
        <w:pBdr>
          <w:top w:val="single" w:sz="4" w:space="1" w:color="auto"/>
          <w:left w:val="single" w:sz="4" w:space="4" w:color="auto"/>
          <w:bottom w:val="single" w:sz="4" w:space="1" w:color="auto"/>
          <w:right w:val="single" w:sz="4" w:space="4" w:color="auto"/>
        </w:pBdr>
        <w:spacing w:before="2" w:after="2" w:line="360" w:lineRule="auto"/>
        <w:jc w:val="both"/>
        <w:rPr>
          <w:rFonts w:ascii="Book Antiqua" w:hAnsi="Book Antiqua"/>
          <w:sz w:val="24"/>
          <w:szCs w:val="24"/>
        </w:rPr>
      </w:pPr>
      <w:r w:rsidRPr="00904142">
        <w:rPr>
          <w:rFonts w:ascii="Book Antiqua" w:hAnsi="Book Antiqua"/>
          <w:sz w:val="24"/>
          <w:szCs w:val="24"/>
        </w:rPr>
        <w:t xml:space="preserve">Inherited thrombocytopenia: thrombocytopenia-absent radius syndrome, </w:t>
      </w:r>
      <w:proofErr w:type="spellStart"/>
      <w:r w:rsidRPr="00904142">
        <w:rPr>
          <w:rFonts w:ascii="Book Antiqua" w:hAnsi="Book Antiqua"/>
          <w:sz w:val="24"/>
          <w:szCs w:val="24"/>
        </w:rPr>
        <w:t>radioulnar</w:t>
      </w:r>
      <w:proofErr w:type="spellEnd"/>
      <w:r w:rsidRPr="00904142">
        <w:rPr>
          <w:rFonts w:ascii="Book Antiqua" w:hAnsi="Book Antiqua"/>
          <w:sz w:val="24"/>
          <w:szCs w:val="24"/>
        </w:rPr>
        <w:t xml:space="preserve"> </w:t>
      </w:r>
      <w:proofErr w:type="spellStart"/>
      <w:r w:rsidRPr="00904142">
        <w:rPr>
          <w:rFonts w:ascii="Book Antiqua" w:hAnsi="Book Antiqua"/>
          <w:sz w:val="24"/>
          <w:szCs w:val="24"/>
        </w:rPr>
        <w:t>synostosis</w:t>
      </w:r>
      <w:proofErr w:type="spellEnd"/>
      <w:r w:rsidRPr="00904142">
        <w:rPr>
          <w:rFonts w:ascii="Book Antiqua" w:hAnsi="Book Antiqua"/>
          <w:sz w:val="24"/>
          <w:szCs w:val="24"/>
        </w:rPr>
        <w:t xml:space="preserve">, congenital </w:t>
      </w:r>
      <w:proofErr w:type="spellStart"/>
      <w:r w:rsidRPr="00904142">
        <w:rPr>
          <w:rFonts w:ascii="Book Antiqua" w:hAnsi="Book Antiqua"/>
          <w:sz w:val="24"/>
          <w:szCs w:val="24"/>
        </w:rPr>
        <w:t>amegakaryoc</w:t>
      </w:r>
      <w:r>
        <w:rPr>
          <w:rFonts w:ascii="Book Antiqua" w:hAnsi="Book Antiqua"/>
          <w:sz w:val="24"/>
          <w:szCs w:val="24"/>
        </w:rPr>
        <w:t>ytic</w:t>
      </w:r>
      <w:proofErr w:type="spellEnd"/>
      <w:r>
        <w:rPr>
          <w:rFonts w:ascii="Book Antiqua" w:hAnsi="Book Antiqua"/>
          <w:sz w:val="24"/>
          <w:szCs w:val="24"/>
        </w:rPr>
        <w:t xml:space="preserve"> thrombocytopenia, </w:t>
      </w:r>
      <w:proofErr w:type="spellStart"/>
      <w:r>
        <w:rPr>
          <w:rFonts w:ascii="Book Antiqua" w:hAnsi="Book Antiqua"/>
          <w:sz w:val="24"/>
          <w:szCs w:val="24"/>
        </w:rPr>
        <w:t>Wiskott</w:t>
      </w:r>
      <w:proofErr w:type="spellEnd"/>
      <w:r>
        <w:rPr>
          <w:rFonts w:ascii="Book Antiqua" w:hAnsi="Book Antiqua"/>
          <w:sz w:val="24"/>
          <w:szCs w:val="24"/>
        </w:rPr>
        <w:t>-</w:t>
      </w:r>
      <w:r w:rsidRPr="00904142">
        <w:rPr>
          <w:rFonts w:ascii="Book Antiqua" w:hAnsi="Book Antiqua"/>
          <w:sz w:val="24"/>
          <w:szCs w:val="24"/>
        </w:rPr>
        <w:t>Aldrich syndrome, MYH9-related disease, Bernard-</w:t>
      </w:r>
      <w:proofErr w:type="spellStart"/>
      <w:r w:rsidRPr="00904142">
        <w:rPr>
          <w:rFonts w:ascii="Book Antiqua" w:hAnsi="Book Antiqua"/>
          <w:sz w:val="24"/>
          <w:szCs w:val="24"/>
        </w:rPr>
        <w:t>Soulier</w:t>
      </w:r>
      <w:proofErr w:type="spellEnd"/>
      <w:r w:rsidRPr="00904142">
        <w:rPr>
          <w:rFonts w:ascii="Book Antiqua" w:hAnsi="Book Antiqua"/>
          <w:sz w:val="24"/>
          <w:szCs w:val="24"/>
        </w:rPr>
        <w:t xml:space="preserve"> syndrome, type IIB von </w:t>
      </w:r>
      <w:proofErr w:type="spellStart"/>
      <w:r w:rsidRPr="00904142">
        <w:rPr>
          <w:rFonts w:ascii="Book Antiqua" w:hAnsi="Book Antiqua"/>
          <w:sz w:val="24"/>
          <w:szCs w:val="24"/>
        </w:rPr>
        <w:t>Willebrand</w:t>
      </w:r>
      <w:proofErr w:type="spellEnd"/>
      <w:r w:rsidRPr="00904142">
        <w:rPr>
          <w:rFonts w:ascii="Book Antiqua" w:hAnsi="Book Antiqua"/>
          <w:sz w:val="24"/>
          <w:szCs w:val="24"/>
        </w:rPr>
        <w:t xml:space="preserve"> disease </w:t>
      </w:r>
    </w:p>
    <w:p w:rsidR="00FA650B" w:rsidRPr="00904142" w:rsidRDefault="00FA650B" w:rsidP="00904142">
      <w:pPr>
        <w:spacing w:after="0" w:line="360" w:lineRule="auto"/>
        <w:jc w:val="both"/>
        <w:rPr>
          <w:rFonts w:ascii="Book Antiqua" w:hAnsi="Book Antiqua"/>
          <w:lang w:eastAsia="zh-CN"/>
        </w:rPr>
      </w:pPr>
      <w:r w:rsidRPr="00C565F0">
        <w:rPr>
          <w:rFonts w:ascii="Book Antiqua" w:hAnsi="Book Antiqua"/>
        </w:rPr>
        <w:t>HIV</w:t>
      </w:r>
      <w:r>
        <w:rPr>
          <w:rFonts w:ascii="Book Antiqua" w:hAnsi="Book Antiqua"/>
        </w:rPr>
        <w:t>:</w:t>
      </w:r>
      <w:r w:rsidRPr="00C565F0">
        <w:rPr>
          <w:rFonts w:ascii="Book Antiqua" w:hAnsi="Book Antiqua"/>
        </w:rPr>
        <w:t xml:space="preserve"> Human immunodeficiency virus</w:t>
      </w:r>
      <w:r>
        <w:rPr>
          <w:rFonts w:ascii="Book Antiqua" w:hAnsi="Book Antiqua"/>
        </w:rPr>
        <w:t xml:space="preserve">; </w:t>
      </w:r>
      <w:r w:rsidRPr="00C565F0">
        <w:rPr>
          <w:rFonts w:ascii="Book Antiqua" w:hAnsi="Book Antiqua"/>
        </w:rPr>
        <w:t>HCV:  Hepatitis C virus</w:t>
      </w:r>
      <w:r>
        <w:rPr>
          <w:rFonts w:ascii="Book Antiqua" w:hAnsi="Book Antiqua"/>
          <w:lang w:eastAsia="zh-CN"/>
        </w:rPr>
        <w:t>.</w:t>
      </w:r>
    </w:p>
    <w:p w:rsidR="00FA650B" w:rsidRPr="00904142" w:rsidRDefault="00FA650B" w:rsidP="00904142">
      <w:pPr>
        <w:spacing w:after="0" w:line="360" w:lineRule="auto"/>
        <w:jc w:val="both"/>
        <w:rPr>
          <w:rFonts w:ascii="Book Antiqua" w:hAnsi="Book Antiqua"/>
        </w:rPr>
      </w:pPr>
    </w:p>
    <w:p w:rsidR="00FA650B" w:rsidRPr="00904142" w:rsidRDefault="00FA650B" w:rsidP="00904142">
      <w:pPr>
        <w:spacing w:after="0" w:line="360" w:lineRule="auto"/>
        <w:jc w:val="both"/>
        <w:rPr>
          <w:rFonts w:ascii="Book Antiqua" w:hAnsi="Book Antiqua"/>
        </w:rPr>
      </w:pPr>
    </w:p>
    <w:p w:rsidR="00FA650B" w:rsidRPr="00904142" w:rsidRDefault="00FA650B" w:rsidP="00904142">
      <w:pPr>
        <w:spacing w:after="0" w:line="360" w:lineRule="auto"/>
        <w:jc w:val="both"/>
        <w:rPr>
          <w:rFonts w:ascii="Book Antiqua" w:hAnsi="Book Antiqua"/>
        </w:rPr>
      </w:pPr>
    </w:p>
    <w:p w:rsidR="00FA650B" w:rsidRPr="00904142" w:rsidRDefault="00FA650B" w:rsidP="00904142">
      <w:pPr>
        <w:spacing w:after="0" w:line="360" w:lineRule="auto"/>
        <w:jc w:val="both"/>
        <w:rPr>
          <w:rFonts w:ascii="Book Antiqua" w:hAnsi="Book Antiqua"/>
        </w:rPr>
      </w:pPr>
    </w:p>
    <w:p w:rsidR="00FA650B" w:rsidRPr="00904142" w:rsidRDefault="00FA650B" w:rsidP="00904142">
      <w:pPr>
        <w:spacing w:after="0" w:line="360" w:lineRule="auto"/>
        <w:jc w:val="both"/>
        <w:rPr>
          <w:rFonts w:ascii="Book Antiqua" w:hAnsi="Book Antiqua"/>
        </w:rPr>
      </w:pPr>
    </w:p>
    <w:p w:rsidR="00FA650B" w:rsidRPr="00C565F0" w:rsidRDefault="00FA650B" w:rsidP="00904142">
      <w:pPr>
        <w:spacing w:after="0" w:line="360" w:lineRule="auto"/>
        <w:jc w:val="both"/>
        <w:rPr>
          <w:rFonts w:ascii="Book Antiqua" w:hAnsi="Book Antiqua"/>
          <w:b/>
        </w:rPr>
      </w:pPr>
      <w:r w:rsidRPr="00C565F0">
        <w:rPr>
          <w:rFonts w:ascii="Book Antiqua" w:hAnsi="Book Antiqua"/>
          <w:b/>
        </w:rPr>
        <w:t>Table 2 Summary of dosage and toxicity of drugs</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9"/>
        <w:gridCol w:w="2084"/>
        <w:gridCol w:w="1502"/>
        <w:gridCol w:w="3642"/>
      </w:tblGrid>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 xml:space="preserve">Agent </w:t>
            </w:r>
          </w:p>
        </w:tc>
        <w:tc>
          <w:tcPr>
            <w:tcW w:w="2084"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Typical dosing</w:t>
            </w:r>
          </w:p>
        </w:tc>
        <w:tc>
          <w:tcPr>
            <w:tcW w:w="1502"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Time to response</w:t>
            </w:r>
          </w:p>
        </w:tc>
        <w:tc>
          <w:tcPr>
            <w:tcW w:w="3642"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Selected toxicities</w:t>
            </w:r>
          </w:p>
        </w:tc>
      </w:tr>
      <w:tr w:rsidR="00FA650B" w:rsidRPr="006B378B" w:rsidTr="006B378B">
        <w:trPr>
          <w:trHeight w:val="1266"/>
        </w:trPr>
        <w:tc>
          <w:tcPr>
            <w:tcW w:w="2979"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t>Prednis</w:t>
            </w:r>
            <w:proofErr w:type="spellEnd"/>
            <w:r w:rsidRPr="006B378B">
              <w:rPr>
                <w:rFonts w:ascii="Book Antiqua" w:hAnsi="Book Antiqua"/>
              </w:rPr>
              <w:t>(</w:t>
            </w:r>
            <w:proofErr w:type="spellStart"/>
            <w:r w:rsidRPr="006B378B">
              <w:rPr>
                <w:rFonts w:ascii="Book Antiqua" w:hAnsi="Book Antiqua"/>
              </w:rPr>
              <w:t>ol</w:t>
            </w:r>
            <w:proofErr w:type="spellEnd"/>
            <w:r w:rsidRPr="006B378B">
              <w:rPr>
                <w:rFonts w:ascii="Book Antiqua" w:hAnsi="Book Antiqua"/>
              </w:rPr>
              <w:t>)one</w:t>
            </w:r>
          </w:p>
        </w:tc>
        <w:tc>
          <w:tcPr>
            <w:tcW w:w="2084" w:type="dxa"/>
          </w:tcPr>
          <w:p w:rsidR="00FA650B" w:rsidRPr="006B378B" w:rsidRDefault="00FA650B" w:rsidP="009A72A0">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0.5</w:t>
            </w:r>
            <w:r w:rsidR="009A72A0">
              <w:rPr>
                <w:rFonts w:ascii="Book Antiqua" w:hAnsi="Book Antiqua" w:hint="eastAsia"/>
                <w:sz w:val="24"/>
                <w:szCs w:val="24"/>
                <w:lang w:eastAsia="zh-CN"/>
              </w:rPr>
              <w:t>-</w:t>
            </w:r>
            <w:r w:rsidRPr="006B378B">
              <w:rPr>
                <w:rFonts w:ascii="Book Antiqua" w:hAnsi="Book Antiqua"/>
                <w:sz w:val="24"/>
                <w:szCs w:val="24"/>
              </w:rPr>
              <w:t>2 mg/kg</w:t>
            </w:r>
            <w:r w:rsidRPr="006B378B">
              <w:rPr>
                <w:rFonts w:ascii="Book Antiqua" w:hAnsi="Book Antiqua"/>
                <w:sz w:val="24"/>
                <w:szCs w:val="24"/>
                <w:lang w:eastAsia="zh-CN"/>
              </w:rPr>
              <w:t xml:space="preserve"> per </w:t>
            </w:r>
            <w:r w:rsidRPr="006B378B">
              <w:rPr>
                <w:rFonts w:ascii="Book Antiqua" w:hAnsi="Book Antiqua"/>
                <w:sz w:val="24"/>
                <w:szCs w:val="24"/>
              </w:rPr>
              <w:t>day 2</w:t>
            </w:r>
            <w:r w:rsidR="009A72A0">
              <w:rPr>
                <w:rFonts w:ascii="Book Antiqua" w:hAnsi="Book Antiqua" w:hint="eastAsia"/>
                <w:sz w:val="24"/>
                <w:szCs w:val="24"/>
                <w:lang w:eastAsia="zh-CN"/>
              </w:rPr>
              <w:t>-</w:t>
            </w:r>
            <w:r w:rsidRPr="006B378B">
              <w:rPr>
                <w:rFonts w:ascii="Book Antiqua" w:hAnsi="Book Antiqua"/>
                <w:sz w:val="24"/>
                <w:szCs w:val="24"/>
              </w:rPr>
              <w:t xml:space="preserve">4 </w:t>
            </w:r>
            <w:proofErr w:type="spellStart"/>
            <w:r w:rsidRPr="006B378B">
              <w:rPr>
                <w:rFonts w:ascii="Book Antiqua" w:hAnsi="Book Antiqua"/>
                <w:sz w:val="24"/>
                <w:szCs w:val="24"/>
              </w:rPr>
              <w:t>wk</w:t>
            </w:r>
            <w:proofErr w:type="spellEnd"/>
            <w:r w:rsidRPr="006B378B">
              <w:rPr>
                <w:rFonts w:ascii="Book Antiqua" w:hAnsi="Book Antiqua"/>
                <w:sz w:val="24"/>
                <w:szCs w:val="24"/>
              </w:rPr>
              <w:t xml:space="preserve"> followed by slow taper </w:t>
            </w:r>
          </w:p>
        </w:tc>
        <w:tc>
          <w:tcPr>
            <w:tcW w:w="1502" w:type="dxa"/>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 xml:space="preserve">Several days to several weeks </w:t>
            </w:r>
          </w:p>
          <w:p w:rsidR="00FA650B" w:rsidRPr="006B378B" w:rsidRDefault="00FA650B" w:rsidP="006B378B">
            <w:pPr>
              <w:spacing w:after="0" w:line="360" w:lineRule="auto"/>
              <w:jc w:val="both"/>
              <w:rPr>
                <w:rFonts w:ascii="Book Antiqua" w:hAnsi="Book Antiqua"/>
              </w:rPr>
            </w:pPr>
          </w:p>
        </w:tc>
        <w:tc>
          <w:tcPr>
            <w:tcW w:w="3642" w:type="dxa"/>
            <w:vMerge w:val="restart"/>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 xml:space="preserve">Mood swings, insomnia, anxiety, psychosis, weight gain, </w:t>
            </w:r>
            <w:proofErr w:type="spellStart"/>
            <w:r w:rsidRPr="006B378B">
              <w:rPr>
                <w:rFonts w:ascii="Book Antiqua" w:hAnsi="Book Antiqua"/>
                <w:sz w:val="24"/>
                <w:szCs w:val="24"/>
              </w:rPr>
              <w:t>Cushingoid</w:t>
            </w:r>
            <w:proofErr w:type="spellEnd"/>
            <w:r w:rsidRPr="006B378B">
              <w:rPr>
                <w:rFonts w:ascii="Book Antiqua" w:hAnsi="Book Antiqua"/>
                <w:sz w:val="24"/>
                <w:szCs w:val="24"/>
              </w:rPr>
              <w:t xml:space="preserve"> </w:t>
            </w:r>
            <w:proofErr w:type="spellStart"/>
            <w:r w:rsidRPr="006B378B">
              <w:rPr>
                <w:rFonts w:ascii="Book Antiqua" w:hAnsi="Book Antiqua"/>
                <w:sz w:val="24"/>
                <w:szCs w:val="24"/>
              </w:rPr>
              <w:t>facies</w:t>
            </w:r>
            <w:proofErr w:type="spellEnd"/>
            <w:r w:rsidRPr="006B378B">
              <w:rPr>
                <w:rFonts w:ascii="Book Antiqua" w:hAnsi="Book Antiqua"/>
                <w:sz w:val="24"/>
                <w:szCs w:val="24"/>
              </w:rPr>
              <w:t xml:space="preserve">, hyperglycemia, decreased bone density, hypertension, skin changes, gastrointestinal distress and ulceration, avascular necrosis, increased susceptibility to infections, cataracts, adrenal insufficiency </w:t>
            </w:r>
          </w:p>
          <w:p w:rsidR="00FA650B" w:rsidRPr="006B378B" w:rsidRDefault="00FA650B" w:rsidP="006B378B">
            <w:pPr>
              <w:spacing w:after="0" w:line="360" w:lineRule="auto"/>
              <w:jc w:val="both"/>
              <w:rPr>
                <w:rFonts w:ascii="Book Antiqua" w:hAnsi="Book Antiqua"/>
              </w:rPr>
            </w:pP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Methylprednisolone</w:t>
            </w:r>
          </w:p>
        </w:tc>
        <w:tc>
          <w:tcPr>
            <w:tcW w:w="2084" w:type="dxa"/>
          </w:tcPr>
          <w:p w:rsidR="00FA650B" w:rsidRPr="006B378B" w:rsidRDefault="00FA650B" w:rsidP="006B378B">
            <w:pPr>
              <w:spacing w:after="0" w:line="360" w:lineRule="auto"/>
              <w:jc w:val="both"/>
              <w:rPr>
                <w:rFonts w:ascii="Book Antiqua" w:hAnsi="Book Antiqua"/>
                <w:lang w:eastAsia="zh-CN"/>
              </w:rPr>
            </w:pPr>
            <w:r w:rsidRPr="006B378B">
              <w:rPr>
                <w:rFonts w:ascii="Book Antiqua" w:hAnsi="Book Antiqua"/>
              </w:rPr>
              <w:t>30 mg/kg</w:t>
            </w:r>
            <w:r w:rsidRPr="006B378B">
              <w:rPr>
                <w:rFonts w:ascii="Book Antiqua" w:hAnsi="Book Antiqua"/>
                <w:lang w:eastAsia="zh-CN"/>
              </w:rPr>
              <w:t xml:space="preserve"> per </w:t>
            </w:r>
            <w:r w:rsidRPr="006B378B">
              <w:rPr>
                <w:rFonts w:ascii="Book Antiqua" w:hAnsi="Book Antiqua"/>
              </w:rPr>
              <w:t>day 7 d</w:t>
            </w:r>
          </w:p>
        </w:tc>
        <w:tc>
          <w:tcPr>
            <w:tcW w:w="1502" w:type="dxa"/>
          </w:tcPr>
          <w:p w:rsidR="00FA650B" w:rsidRPr="006B378B" w:rsidRDefault="00FA650B" w:rsidP="009A72A0">
            <w:pPr>
              <w:spacing w:after="0" w:line="360" w:lineRule="auto"/>
              <w:jc w:val="both"/>
              <w:rPr>
                <w:rFonts w:ascii="Book Antiqua" w:hAnsi="Book Antiqua"/>
              </w:rPr>
            </w:pPr>
            <w:r w:rsidRPr="006B378B">
              <w:rPr>
                <w:rFonts w:ascii="Book Antiqua" w:hAnsi="Book Antiqua"/>
              </w:rPr>
              <w:t>2</w:t>
            </w:r>
            <w:r w:rsidR="009A72A0">
              <w:rPr>
                <w:rFonts w:ascii="Book Antiqua" w:hAnsi="Book Antiqua" w:hint="eastAsia"/>
                <w:lang w:eastAsia="zh-CN"/>
              </w:rPr>
              <w:t>-</w:t>
            </w:r>
            <w:r w:rsidRPr="006B378B">
              <w:rPr>
                <w:rFonts w:ascii="Book Antiqua" w:hAnsi="Book Antiqua"/>
              </w:rPr>
              <w:t>7 d</w:t>
            </w:r>
          </w:p>
        </w:tc>
        <w:tc>
          <w:tcPr>
            <w:tcW w:w="3642" w:type="dxa"/>
            <w:vMerge/>
          </w:tcPr>
          <w:p w:rsidR="00FA650B" w:rsidRPr="006B378B" w:rsidRDefault="00FA650B" w:rsidP="006B378B">
            <w:pPr>
              <w:spacing w:after="0" w:line="360" w:lineRule="auto"/>
              <w:jc w:val="both"/>
              <w:rPr>
                <w:rFonts w:ascii="Book Antiqua" w:hAnsi="Book Antiqua"/>
              </w:rPr>
            </w:pP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Dexamethasone</w:t>
            </w:r>
          </w:p>
        </w:tc>
        <w:tc>
          <w:tcPr>
            <w:tcW w:w="2084" w:type="dxa"/>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 xml:space="preserve">40 mg/d for 4 d every </w:t>
            </w:r>
          </w:p>
          <w:p w:rsidR="00FA650B" w:rsidRPr="006B378B" w:rsidRDefault="00FA650B" w:rsidP="009A72A0">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2</w:t>
            </w:r>
            <w:r w:rsidR="009A72A0">
              <w:rPr>
                <w:rFonts w:ascii="Book Antiqua" w:hAnsi="Book Antiqua" w:hint="eastAsia"/>
                <w:sz w:val="24"/>
                <w:szCs w:val="24"/>
                <w:lang w:eastAsia="zh-CN"/>
              </w:rPr>
              <w:t>-</w:t>
            </w:r>
            <w:r w:rsidRPr="006B378B">
              <w:rPr>
                <w:rFonts w:ascii="Book Antiqua" w:hAnsi="Book Antiqua"/>
                <w:sz w:val="24"/>
                <w:szCs w:val="24"/>
              </w:rPr>
              <w:t xml:space="preserve">4 </w:t>
            </w:r>
            <w:proofErr w:type="spellStart"/>
            <w:r w:rsidRPr="006B378B">
              <w:rPr>
                <w:rFonts w:ascii="Book Antiqua" w:hAnsi="Book Antiqua"/>
                <w:sz w:val="24"/>
                <w:szCs w:val="24"/>
              </w:rPr>
              <w:t>wk</w:t>
            </w:r>
            <w:proofErr w:type="spellEnd"/>
            <w:r w:rsidRPr="006B378B">
              <w:rPr>
                <w:rFonts w:ascii="Book Antiqua" w:hAnsi="Book Antiqua"/>
                <w:sz w:val="24"/>
                <w:szCs w:val="24"/>
              </w:rPr>
              <w:t xml:space="preserve"> for 1</w:t>
            </w:r>
            <w:r w:rsidR="009A72A0">
              <w:rPr>
                <w:rFonts w:ascii="Book Antiqua" w:hAnsi="Book Antiqua" w:hint="eastAsia"/>
                <w:sz w:val="24"/>
                <w:szCs w:val="24"/>
                <w:lang w:eastAsia="zh-CN"/>
              </w:rPr>
              <w:t>-</w:t>
            </w:r>
            <w:r w:rsidRPr="006B378B">
              <w:rPr>
                <w:rFonts w:ascii="Book Antiqua" w:hAnsi="Book Antiqua"/>
                <w:sz w:val="24"/>
                <w:szCs w:val="24"/>
              </w:rPr>
              <w:t xml:space="preserve">4 cycles </w:t>
            </w:r>
          </w:p>
        </w:tc>
        <w:tc>
          <w:tcPr>
            <w:tcW w:w="1502" w:type="dxa"/>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 xml:space="preserve">Several days to </w:t>
            </w:r>
          </w:p>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several weeks </w:t>
            </w:r>
          </w:p>
        </w:tc>
        <w:tc>
          <w:tcPr>
            <w:tcW w:w="3642" w:type="dxa"/>
            <w:vMerge/>
          </w:tcPr>
          <w:p w:rsidR="00FA650B" w:rsidRPr="006B378B" w:rsidRDefault="00FA650B" w:rsidP="006B378B">
            <w:pPr>
              <w:spacing w:after="0" w:line="360" w:lineRule="auto"/>
              <w:jc w:val="both"/>
              <w:rPr>
                <w:rFonts w:ascii="Book Antiqua" w:hAnsi="Book Antiqua"/>
              </w:rPr>
            </w:pP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IVIG</w:t>
            </w:r>
          </w:p>
        </w:tc>
        <w:tc>
          <w:tcPr>
            <w:tcW w:w="2084" w:type="dxa"/>
          </w:tcPr>
          <w:p w:rsidR="00FA650B" w:rsidRPr="006B378B" w:rsidRDefault="00FA650B" w:rsidP="009A72A0">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0.4 g/kg</w:t>
            </w:r>
            <w:r w:rsidRPr="006B378B">
              <w:rPr>
                <w:rFonts w:ascii="Book Antiqua" w:hAnsi="Book Antiqua"/>
                <w:sz w:val="24"/>
                <w:szCs w:val="24"/>
                <w:lang w:eastAsia="zh-CN"/>
              </w:rPr>
              <w:t xml:space="preserve"> per </w:t>
            </w:r>
            <w:r w:rsidRPr="006B378B">
              <w:rPr>
                <w:rFonts w:ascii="Book Antiqua" w:hAnsi="Book Antiqua"/>
                <w:sz w:val="24"/>
                <w:szCs w:val="24"/>
              </w:rPr>
              <w:t>day 5 d or</w:t>
            </w:r>
            <w:r w:rsidRPr="006B378B">
              <w:rPr>
                <w:rFonts w:ascii="Book Antiqua" w:hAnsi="Book Antiqua"/>
                <w:sz w:val="24"/>
                <w:szCs w:val="24"/>
              </w:rPr>
              <w:br/>
              <w:t>1 g/kg</w:t>
            </w:r>
            <w:r w:rsidRPr="006B378B">
              <w:rPr>
                <w:rFonts w:ascii="Book Antiqua" w:hAnsi="Book Antiqua"/>
                <w:sz w:val="24"/>
                <w:szCs w:val="24"/>
                <w:lang w:eastAsia="zh-CN"/>
              </w:rPr>
              <w:t xml:space="preserve"> per </w:t>
            </w:r>
            <w:r w:rsidRPr="006B378B">
              <w:rPr>
                <w:rFonts w:ascii="Book Antiqua" w:hAnsi="Book Antiqua"/>
                <w:sz w:val="24"/>
                <w:szCs w:val="24"/>
              </w:rPr>
              <w:t>day 1</w:t>
            </w:r>
            <w:r w:rsidR="009A72A0">
              <w:rPr>
                <w:rFonts w:ascii="Book Antiqua" w:hAnsi="Book Antiqua" w:hint="eastAsia"/>
                <w:sz w:val="24"/>
                <w:szCs w:val="24"/>
                <w:lang w:eastAsia="zh-CN"/>
              </w:rPr>
              <w:t>-</w:t>
            </w:r>
            <w:r w:rsidRPr="006B378B">
              <w:rPr>
                <w:rFonts w:ascii="Book Antiqua" w:hAnsi="Book Antiqua"/>
                <w:sz w:val="24"/>
                <w:szCs w:val="24"/>
              </w:rPr>
              <w:t xml:space="preserve">2 d </w:t>
            </w:r>
          </w:p>
        </w:tc>
        <w:tc>
          <w:tcPr>
            <w:tcW w:w="1502" w:type="dxa"/>
          </w:tcPr>
          <w:p w:rsidR="00FA650B" w:rsidRPr="006B378B" w:rsidRDefault="00FA650B" w:rsidP="009A72A0">
            <w:pPr>
              <w:spacing w:after="0" w:line="360" w:lineRule="auto"/>
              <w:jc w:val="both"/>
              <w:rPr>
                <w:rFonts w:ascii="Book Antiqua" w:hAnsi="Book Antiqua"/>
              </w:rPr>
            </w:pPr>
            <w:r w:rsidRPr="006B378B">
              <w:rPr>
                <w:rFonts w:ascii="Book Antiqua" w:hAnsi="Book Antiqua"/>
              </w:rPr>
              <w:t>1</w:t>
            </w:r>
            <w:r w:rsidR="009A72A0">
              <w:rPr>
                <w:rFonts w:ascii="Book Antiqua" w:hAnsi="Book Antiqua" w:hint="eastAsia"/>
                <w:lang w:eastAsia="zh-CN"/>
              </w:rPr>
              <w:t>-</w:t>
            </w:r>
            <w:r w:rsidRPr="006B378B">
              <w:rPr>
                <w:rFonts w:ascii="Book Antiqua" w:hAnsi="Book Antiqua"/>
              </w:rPr>
              <w:t>4 d</w:t>
            </w:r>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Headache, aseptic meningitis, renal insufficiency, fever, chills, nausea, thromboembolism, </w:t>
            </w:r>
            <w:proofErr w:type="spellStart"/>
            <w:r w:rsidRPr="006B378B">
              <w:rPr>
                <w:rFonts w:ascii="Book Antiqua" w:hAnsi="Book Antiqua"/>
                <w:sz w:val="24"/>
                <w:szCs w:val="24"/>
              </w:rPr>
              <w:t>anaphylactoid</w:t>
            </w:r>
            <w:proofErr w:type="spellEnd"/>
            <w:r w:rsidRPr="006B378B">
              <w:rPr>
                <w:rFonts w:ascii="Book Antiqua" w:hAnsi="Book Antiqua"/>
                <w:sz w:val="24"/>
                <w:szCs w:val="24"/>
              </w:rPr>
              <w:t xml:space="preserve"> reactions in patients with IgA-deficiency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Anti-Rh(D)</w:t>
            </w:r>
          </w:p>
        </w:tc>
        <w:tc>
          <w:tcPr>
            <w:tcW w:w="2084" w:type="dxa"/>
          </w:tcPr>
          <w:p w:rsidR="00FA650B" w:rsidRPr="006B378B" w:rsidRDefault="00FA650B" w:rsidP="009A72A0">
            <w:pPr>
              <w:spacing w:after="0" w:line="360" w:lineRule="auto"/>
              <w:jc w:val="both"/>
              <w:rPr>
                <w:rFonts w:ascii="Book Antiqua" w:hAnsi="Book Antiqua"/>
              </w:rPr>
            </w:pPr>
            <w:r w:rsidRPr="006B378B">
              <w:rPr>
                <w:rFonts w:ascii="Book Antiqua" w:hAnsi="Book Antiqua"/>
              </w:rPr>
              <w:t>50</w:t>
            </w:r>
            <w:r w:rsidR="009A72A0">
              <w:rPr>
                <w:rFonts w:ascii="Book Antiqua" w:hAnsi="Book Antiqua" w:hint="eastAsia"/>
                <w:lang w:eastAsia="zh-CN"/>
              </w:rPr>
              <w:t>-</w:t>
            </w:r>
            <w:r w:rsidRPr="006B378B">
              <w:rPr>
                <w:rFonts w:ascii="Book Antiqua" w:hAnsi="Book Antiqua"/>
              </w:rPr>
              <w:t>75 mcg/kg</w:t>
            </w:r>
          </w:p>
        </w:tc>
        <w:tc>
          <w:tcPr>
            <w:tcW w:w="1502"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1–5 d</w:t>
            </w:r>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Hemolytic anemia, fever, chills. Rarely, intravascular hemolysis, DIC, and renal failure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Splenectomy</w:t>
            </w:r>
          </w:p>
        </w:tc>
        <w:tc>
          <w:tcPr>
            <w:tcW w:w="2084"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N/A</w:t>
            </w:r>
          </w:p>
        </w:tc>
        <w:tc>
          <w:tcPr>
            <w:tcW w:w="1502" w:type="dxa"/>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0</w:t>
            </w:r>
            <w:r w:rsidR="009A72A0">
              <w:rPr>
                <w:rFonts w:ascii="Book Antiqua" w:hAnsi="Book Antiqua" w:hint="eastAsia"/>
                <w:sz w:val="24"/>
                <w:szCs w:val="24"/>
                <w:lang w:eastAsia="zh-CN"/>
              </w:rPr>
              <w:t>-</w:t>
            </w:r>
            <w:r w:rsidRPr="006B378B">
              <w:rPr>
                <w:rFonts w:ascii="Book Antiqua" w:hAnsi="Book Antiqua"/>
                <w:sz w:val="24"/>
                <w:szCs w:val="24"/>
              </w:rPr>
              <w:t>24 d</w:t>
            </w:r>
          </w:p>
          <w:p w:rsidR="00FA650B" w:rsidRPr="006B378B" w:rsidRDefault="00FA650B" w:rsidP="006B378B">
            <w:pPr>
              <w:spacing w:after="0" w:line="360" w:lineRule="auto"/>
              <w:jc w:val="both"/>
              <w:rPr>
                <w:rFonts w:ascii="Book Antiqua" w:hAnsi="Book Antiqua"/>
              </w:rPr>
            </w:pPr>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Adverse effects of surgery and anesthesia, increased risk of infection, long-term vascular complications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Rituximab</w:t>
            </w:r>
          </w:p>
        </w:tc>
        <w:tc>
          <w:tcPr>
            <w:tcW w:w="2084"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375 mg/m</w:t>
            </w:r>
            <w:r w:rsidRPr="006B378B">
              <w:rPr>
                <w:rFonts w:ascii="Book Antiqua" w:hAnsi="Book Antiqua"/>
                <w:sz w:val="24"/>
                <w:szCs w:val="24"/>
                <w:vertAlign w:val="superscript"/>
              </w:rPr>
              <w:t>2</w:t>
            </w:r>
            <w:r w:rsidRPr="006B378B">
              <w:rPr>
                <w:rFonts w:ascii="Book Antiqua" w:hAnsi="Book Antiqua"/>
                <w:sz w:val="24"/>
                <w:szCs w:val="24"/>
              </w:rPr>
              <w:t xml:space="preserve"> weekly 4 </w:t>
            </w:r>
            <w:proofErr w:type="spellStart"/>
            <w:r w:rsidRPr="006B378B">
              <w:rPr>
                <w:rFonts w:ascii="Book Antiqua" w:hAnsi="Book Antiqua"/>
                <w:sz w:val="24"/>
                <w:szCs w:val="24"/>
              </w:rPr>
              <w:t>wk</w:t>
            </w:r>
            <w:proofErr w:type="spellEnd"/>
            <w:r w:rsidRPr="006B378B">
              <w:rPr>
                <w:rFonts w:ascii="Book Antiqua" w:hAnsi="Book Antiqua"/>
                <w:sz w:val="24"/>
                <w:szCs w:val="24"/>
              </w:rPr>
              <w:t xml:space="preserve"> (lower doses </w:t>
            </w:r>
            <w:r w:rsidRPr="006B378B">
              <w:rPr>
                <w:rFonts w:ascii="Book Antiqua" w:hAnsi="Book Antiqua"/>
                <w:sz w:val="24"/>
                <w:szCs w:val="24"/>
              </w:rPr>
              <w:lastRenderedPageBreak/>
              <w:t xml:space="preserve">may be effective </w:t>
            </w:r>
          </w:p>
        </w:tc>
        <w:tc>
          <w:tcPr>
            <w:tcW w:w="1502" w:type="dxa"/>
          </w:tcPr>
          <w:p w:rsidR="00FA650B" w:rsidRPr="006B378B" w:rsidRDefault="00FA650B" w:rsidP="009A72A0">
            <w:pPr>
              <w:spacing w:after="0" w:line="360" w:lineRule="auto"/>
              <w:jc w:val="both"/>
              <w:rPr>
                <w:rFonts w:ascii="Book Antiqua" w:hAnsi="Book Antiqua"/>
                <w:lang w:eastAsia="zh-CN"/>
              </w:rPr>
            </w:pPr>
            <w:r w:rsidRPr="006B378B">
              <w:rPr>
                <w:rFonts w:ascii="Book Antiqua" w:hAnsi="Book Antiqua"/>
              </w:rPr>
              <w:lastRenderedPageBreak/>
              <w:t>1</w:t>
            </w:r>
            <w:r w:rsidR="009A72A0">
              <w:rPr>
                <w:rFonts w:ascii="Book Antiqua" w:hAnsi="Book Antiqua" w:hint="eastAsia"/>
                <w:lang w:eastAsia="zh-CN"/>
              </w:rPr>
              <w:t>-</w:t>
            </w:r>
            <w:r w:rsidRPr="006B378B">
              <w:rPr>
                <w:rFonts w:ascii="Book Antiqua" w:hAnsi="Book Antiqua"/>
              </w:rPr>
              <w:t xml:space="preserve">8 </w:t>
            </w:r>
            <w:proofErr w:type="spellStart"/>
            <w:r w:rsidRPr="006B378B">
              <w:rPr>
                <w:rFonts w:ascii="Book Antiqua" w:hAnsi="Book Antiqua"/>
              </w:rPr>
              <w:t>wk</w:t>
            </w:r>
            <w:proofErr w:type="spellEnd"/>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Infusion reactions, reactivation of hepatitis B infection, rare cases of progressive multifocal </w:t>
            </w:r>
            <w:proofErr w:type="spellStart"/>
            <w:r w:rsidRPr="006B378B">
              <w:rPr>
                <w:rFonts w:ascii="Book Antiqua" w:hAnsi="Book Antiqua"/>
                <w:sz w:val="24"/>
                <w:szCs w:val="24"/>
              </w:rPr>
              <w:lastRenderedPageBreak/>
              <w:t>leukoencephalopathy</w:t>
            </w:r>
            <w:proofErr w:type="spellEnd"/>
            <w:r w:rsidRPr="006B378B">
              <w:rPr>
                <w:rFonts w:ascii="Book Antiqua" w:hAnsi="Book Antiqua"/>
                <w:sz w:val="24"/>
                <w:szCs w:val="24"/>
              </w:rPr>
              <w:t xml:space="preserve"> </w:t>
            </w:r>
          </w:p>
        </w:tc>
      </w:tr>
      <w:tr w:rsidR="00FA650B" w:rsidRPr="006B378B" w:rsidTr="006B378B">
        <w:trPr>
          <w:trHeight w:val="356"/>
        </w:trPr>
        <w:tc>
          <w:tcPr>
            <w:tcW w:w="2979"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lastRenderedPageBreak/>
              <w:t>Eltrombopag</w:t>
            </w:r>
            <w:proofErr w:type="spellEnd"/>
          </w:p>
        </w:tc>
        <w:tc>
          <w:tcPr>
            <w:tcW w:w="2084" w:type="dxa"/>
          </w:tcPr>
          <w:p w:rsidR="00FA650B" w:rsidRPr="006B378B" w:rsidRDefault="00FA650B" w:rsidP="009A72A0">
            <w:pPr>
              <w:spacing w:after="0" w:line="360" w:lineRule="auto"/>
              <w:jc w:val="both"/>
              <w:rPr>
                <w:rFonts w:ascii="Book Antiqua" w:hAnsi="Book Antiqua"/>
              </w:rPr>
            </w:pPr>
            <w:r w:rsidRPr="006B378B">
              <w:rPr>
                <w:rFonts w:ascii="Book Antiqua" w:hAnsi="Book Antiqua"/>
              </w:rPr>
              <w:t>12.5</w:t>
            </w:r>
            <w:r w:rsidR="009A72A0">
              <w:rPr>
                <w:rFonts w:ascii="Book Antiqua" w:hAnsi="Book Antiqua" w:hint="eastAsia"/>
                <w:lang w:eastAsia="zh-CN"/>
              </w:rPr>
              <w:t>-</w:t>
            </w:r>
            <w:r w:rsidRPr="006B378B">
              <w:rPr>
                <w:rFonts w:ascii="Book Antiqua" w:hAnsi="Book Antiqua"/>
              </w:rPr>
              <w:t>75 mg PO daily</w:t>
            </w:r>
          </w:p>
        </w:tc>
        <w:tc>
          <w:tcPr>
            <w:tcW w:w="1502" w:type="dxa"/>
          </w:tcPr>
          <w:p w:rsidR="00FA650B" w:rsidRPr="006B378B" w:rsidRDefault="00FA650B" w:rsidP="009A72A0">
            <w:pPr>
              <w:spacing w:after="0" w:line="360" w:lineRule="auto"/>
              <w:jc w:val="both"/>
              <w:rPr>
                <w:rFonts w:ascii="Book Antiqua" w:hAnsi="Book Antiqua"/>
                <w:lang w:eastAsia="zh-CN"/>
              </w:rPr>
            </w:pPr>
            <w:r w:rsidRPr="006B378B">
              <w:rPr>
                <w:rFonts w:ascii="Book Antiqua" w:hAnsi="Book Antiqua"/>
              </w:rPr>
              <w:t>1</w:t>
            </w:r>
            <w:r w:rsidR="009A72A0">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vMerge w:val="restart"/>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Increased bone marrow </w:t>
            </w:r>
            <w:proofErr w:type="spellStart"/>
            <w:r w:rsidRPr="006B378B">
              <w:rPr>
                <w:rFonts w:ascii="Book Antiqua" w:hAnsi="Book Antiqua"/>
                <w:sz w:val="24"/>
                <w:szCs w:val="24"/>
              </w:rPr>
              <w:t>reticulin</w:t>
            </w:r>
            <w:proofErr w:type="spellEnd"/>
            <w:r w:rsidRPr="006B378B">
              <w:rPr>
                <w:rFonts w:ascii="Book Antiqua" w:hAnsi="Book Antiqua"/>
                <w:sz w:val="24"/>
                <w:szCs w:val="24"/>
              </w:rPr>
              <w:t xml:space="preserve">, rebound thrombocytopenia, thrombosis. </w:t>
            </w:r>
            <w:proofErr w:type="spellStart"/>
            <w:r w:rsidRPr="006B378B">
              <w:rPr>
                <w:rFonts w:ascii="Book Antiqua" w:hAnsi="Book Antiqua"/>
                <w:sz w:val="24"/>
                <w:szCs w:val="24"/>
              </w:rPr>
              <w:t>Eltrombopag</w:t>
            </w:r>
            <w:proofErr w:type="spellEnd"/>
            <w:r w:rsidRPr="006B378B">
              <w:rPr>
                <w:rFonts w:ascii="Book Antiqua" w:hAnsi="Book Antiqua"/>
                <w:sz w:val="24"/>
                <w:szCs w:val="24"/>
              </w:rPr>
              <w:t xml:space="preserve"> also associated with liver function test abnormalities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t>Romiplostim</w:t>
            </w:r>
            <w:proofErr w:type="spellEnd"/>
          </w:p>
        </w:tc>
        <w:tc>
          <w:tcPr>
            <w:tcW w:w="2084" w:type="dxa"/>
          </w:tcPr>
          <w:p w:rsidR="00FA650B" w:rsidRPr="006B378B" w:rsidRDefault="00FA650B" w:rsidP="009A72A0">
            <w:pPr>
              <w:spacing w:after="0" w:line="360" w:lineRule="auto"/>
              <w:jc w:val="both"/>
              <w:rPr>
                <w:rFonts w:ascii="Book Antiqua" w:hAnsi="Book Antiqua"/>
              </w:rPr>
            </w:pPr>
            <w:r w:rsidRPr="006B378B">
              <w:rPr>
                <w:rFonts w:ascii="Book Antiqua" w:hAnsi="Book Antiqua"/>
              </w:rPr>
              <w:t>1</w:t>
            </w:r>
            <w:r w:rsidR="009A72A0">
              <w:rPr>
                <w:rFonts w:ascii="Book Antiqua" w:hAnsi="Book Antiqua" w:hint="eastAsia"/>
                <w:lang w:eastAsia="zh-CN"/>
              </w:rPr>
              <w:t>-</w:t>
            </w:r>
            <w:r w:rsidRPr="006B378B">
              <w:rPr>
                <w:rFonts w:ascii="Book Antiqua" w:hAnsi="Book Antiqua"/>
              </w:rPr>
              <w:t xml:space="preserve">10 </w:t>
            </w:r>
            <w:proofErr w:type="spellStart"/>
            <w:r w:rsidRPr="006B378B">
              <w:rPr>
                <w:rFonts w:ascii="Book Antiqua" w:hAnsi="Book Antiqua"/>
              </w:rPr>
              <w:t>lg</w:t>
            </w:r>
            <w:proofErr w:type="spellEnd"/>
            <w:r w:rsidR="00A64C7E">
              <w:rPr>
                <w:rFonts w:ascii="Book Antiqua" w:hAnsi="Book Antiqua" w:hint="eastAsia"/>
                <w:lang w:eastAsia="zh-CN"/>
              </w:rPr>
              <w:t>/</w:t>
            </w:r>
            <w:bookmarkStart w:id="41" w:name="_GoBack"/>
            <w:bookmarkEnd w:id="41"/>
            <w:r w:rsidRPr="006B378B">
              <w:rPr>
                <w:rFonts w:ascii="Book Antiqua" w:hAnsi="Book Antiqua"/>
              </w:rPr>
              <w:t xml:space="preserve"> kg)1 SC weekly</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vMerge/>
          </w:tcPr>
          <w:p w:rsidR="00FA650B" w:rsidRPr="006B378B" w:rsidRDefault="00FA650B" w:rsidP="006B378B">
            <w:pPr>
              <w:spacing w:after="0" w:line="360" w:lineRule="auto"/>
              <w:jc w:val="both"/>
              <w:rPr>
                <w:rFonts w:ascii="Book Antiqua" w:hAnsi="Book Antiqua"/>
              </w:rPr>
            </w:pP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Azathioprine</w:t>
            </w:r>
          </w:p>
        </w:tc>
        <w:tc>
          <w:tcPr>
            <w:tcW w:w="2084" w:type="dxa"/>
          </w:tcPr>
          <w:p w:rsidR="00FA650B" w:rsidRPr="006B378B" w:rsidRDefault="00FA650B" w:rsidP="006B378B">
            <w:pPr>
              <w:spacing w:after="0" w:line="360" w:lineRule="auto"/>
              <w:jc w:val="both"/>
              <w:rPr>
                <w:rFonts w:ascii="Book Antiqua" w:hAnsi="Book Antiqua"/>
                <w:lang w:eastAsia="zh-CN"/>
              </w:rPr>
            </w:pPr>
            <w:r w:rsidRPr="006B378B">
              <w:rPr>
                <w:rFonts w:ascii="Book Antiqua" w:hAnsi="Book Antiqua"/>
              </w:rPr>
              <w:t>1–2 mg/kg</w:t>
            </w:r>
            <w:r w:rsidRPr="006B378B">
              <w:rPr>
                <w:rFonts w:ascii="Book Antiqua" w:hAnsi="Book Antiqua"/>
                <w:lang w:eastAsia="zh-CN"/>
              </w:rPr>
              <w:t xml:space="preserve"> per </w:t>
            </w:r>
            <w:r w:rsidRPr="006B378B">
              <w:rPr>
                <w:rFonts w:ascii="Book Antiqua" w:hAnsi="Book Antiqua"/>
              </w:rPr>
              <w:t>day (maximum 150 mg day)</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Liver function abnormalities, neutropenia, anemia, infection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Cyclosporine</w:t>
            </w:r>
          </w:p>
        </w:tc>
        <w:tc>
          <w:tcPr>
            <w:tcW w:w="2084" w:type="dxa"/>
          </w:tcPr>
          <w:p w:rsidR="00FA650B" w:rsidRPr="006B378B" w:rsidRDefault="00FA650B" w:rsidP="00DB5834">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5 mg/kg</w:t>
            </w:r>
            <w:r w:rsidRPr="006B378B">
              <w:rPr>
                <w:rFonts w:ascii="Book Antiqua" w:hAnsi="Book Antiqua"/>
                <w:sz w:val="24"/>
                <w:szCs w:val="24"/>
                <w:lang w:eastAsia="zh-CN"/>
              </w:rPr>
              <w:t xml:space="preserve"> per </w:t>
            </w:r>
            <w:r w:rsidRPr="006B378B">
              <w:rPr>
                <w:rFonts w:ascii="Book Antiqua" w:hAnsi="Book Antiqua"/>
                <w:sz w:val="24"/>
                <w:szCs w:val="24"/>
              </w:rPr>
              <w:t>day  6 d, then 2.5</w:t>
            </w:r>
            <w:r w:rsidR="00DB5834">
              <w:rPr>
                <w:rFonts w:ascii="Book Antiqua" w:hAnsi="Book Antiqua" w:hint="eastAsia"/>
                <w:sz w:val="24"/>
                <w:szCs w:val="24"/>
                <w:lang w:eastAsia="zh-CN"/>
              </w:rPr>
              <w:t>-</w:t>
            </w:r>
            <w:r w:rsidRPr="006B378B">
              <w:rPr>
                <w:rFonts w:ascii="Book Antiqua" w:hAnsi="Book Antiqua"/>
                <w:sz w:val="24"/>
                <w:szCs w:val="24"/>
              </w:rPr>
              <w:t>3 mg/kg</w:t>
            </w:r>
            <w:r w:rsidRPr="006B378B">
              <w:rPr>
                <w:rFonts w:ascii="Book Antiqua" w:hAnsi="Book Antiqua"/>
                <w:sz w:val="24"/>
                <w:szCs w:val="24"/>
                <w:lang w:eastAsia="zh-CN"/>
              </w:rPr>
              <w:t xml:space="preserve"> per </w:t>
            </w:r>
            <w:r w:rsidRPr="006B378B">
              <w:rPr>
                <w:rFonts w:ascii="Book Antiqua" w:hAnsi="Book Antiqua"/>
                <w:sz w:val="24"/>
                <w:szCs w:val="24"/>
              </w:rPr>
              <w:t>day (titrated to blood levels of 100</w:t>
            </w:r>
            <w:r w:rsidR="00DB5834">
              <w:rPr>
                <w:rFonts w:ascii="Book Antiqua" w:hAnsi="Book Antiqua" w:hint="eastAsia"/>
                <w:sz w:val="24"/>
                <w:szCs w:val="24"/>
                <w:lang w:eastAsia="zh-CN"/>
              </w:rPr>
              <w:t>-</w:t>
            </w:r>
            <w:r w:rsidRPr="006B378B">
              <w:rPr>
                <w:rFonts w:ascii="Book Antiqua" w:hAnsi="Book Antiqua"/>
                <w:sz w:val="24"/>
                <w:szCs w:val="24"/>
              </w:rPr>
              <w:t>200 ng</w:t>
            </w:r>
            <w:r w:rsidRPr="006B378B">
              <w:rPr>
                <w:rFonts w:ascii="Book Antiqua" w:hAnsi="Book Antiqua"/>
                <w:sz w:val="24"/>
                <w:szCs w:val="24"/>
                <w:lang w:eastAsia="zh-CN"/>
              </w:rPr>
              <w:t>/</w:t>
            </w:r>
            <w:r w:rsidRPr="006B378B">
              <w:rPr>
                <w:rFonts w:ascii="Book Antiqua" w:hAnsi="Book Antiqua"/>
                <w:sz w:val="24"/>
                <w:szCs w:val="24"/>
              </w:rPr>
              <w:t>mL)</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Renal failure, hypertension, tremor, infection</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Cyclophosphamide</w:t>
            </w:r>
          </w:p>
        </w:tc>
        <w:tc>
          <w:tcPr>
            <w:tcW w:w="2084" w:type="dxa"/>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1</w:t>
            </w:r>
            <w:r w:rsidR="00DB5834">
              <w:rPr>
                <w:rFonts w:ascii="Book Antiqua" w:hAnsi="Book Antiqua" w:hint="eastAsia"/>
                <w:sz w:val="24"/>
                <w:szCs w:val="24"/>
                <w:lang w:eastAsia="zh-CN"/>
              </w:rPr>
              <w:t>-</w:t>
            </w:r>
            <w:r w:rsidRPr="006B378B">
              <w:rPr>
                <w:rFonts w:ascii="Book Antiqua" w:hAnsi="Book Antiqua"/>
                <w:sz w:val="24"/>
                <w:szCs w:val="24"/>
              </w:rPr>
              <w:t>2 mg/kg PO daily or 0.3</w:t>
            </w:r>
            <w:r w:rsidR="00DB5834">
              <w:rPr>
                <w:rFonts w:ascii="Book Antiqua" w:hAnsi="Book Antiqua" w:hint="eastAsia"/>
                <w:sz w:val="24"/>
                <w:szCs w:val="24"/>
                <w:lang w:eastAsia="zh-CN"/>
              </w:rPr>
              <w:t>-</w:t>
            </w:r>
            <w:r w:rsidRPr="006B378B">
              <w:rPr>
                <w:rFonts w:ascii="Book Antiqua" w:hAnsi="Book Antiqua"/>
                <w:sz w:val="24"/>
                <w:szCs w:val="24"/>
              </w:rPr>
              <w:t>1 g m</w:t>
            </w:r>
            <w:r w:rsidRPr="006B378B">
              <w:rPr>
                <w:rFonts w:ascii="Book Antiqua" w:hAnsi="Book Antiqua"/>
                <w:sz w:val="24"/>
                <w:szCs w:val="24"/>
                <w:vertAlign w:val="superscript"/>
              </w:rPr>
              <w:t>2</w:t>
            </w:r>
            <w:r w:rsidRPr="006B378B">
              <w:rPr>
                <w:rFonts w:ascii="Book Antiqua" w:hAnsi="Book Antiqua"/>
                <w:sz w:val="24"/>
                <w:szCs w:val="24"/>
              </w:rPr>
              <w:t xml:space="preserve"> </w:t>
            </w:r>
            <w:proofErr w:type="spellStart"/>
            <w:r w:rsidRPr="006B378B">
              <w:rPr>
                <w:rFonts w:ascii="Book Antiqua" w:hAnsi="Book Antiqua"/>
                <w:i/>
                <w:sz w:val="24"/>
                <w:szCs w:val="24"/>
              </w:rPr>
              <w:t>i.v.</w:t>
            </w:r>
            <w:proofErr w:type="spellEnd"/>
            <w:r w:rsidRPr="006B378B">
              <w:rPr>
                <w:rFonts w:ascii="Book Antiqua" w:hAnsi="Book Antiqua"/>
                <w:sz w:val="24"/>
                <w:szCs w:val="24"/>
              </w:rPr>
              <w:t xml:space="preserve"> every 2</w:t>
            </w:r>
            <w:r w:rsidR="00DB5834">
              <w:rPr>
                <w:rFonts w:ascii="Book Antiqua" w:hAnsi="Book Antiqua" w:hint="eastAsia"/>
                <w:sz w:val="24"/>
                <w:szCs w:val="24"/>
                <w:lang w:eastAsia="zh-CN"/>
              </w:rPr>
              <w:t>-</w:t>
            </w:r>
            <w:r w:rsidRPr="006B378B">
              <w:rPr>
                <w:rFonts w:ascii="Book Antiqua" w:hAnsi="Book Antiqua"/>
                <w:sz w:val="24"/>
                <w:szCs w:val="24"/>
              </w:rPr>
              <w:t xml:space="preserve">4 </w:t>
            </w:r>
            <w:proofErr w:type="spellStart"/>
            <w:r w:rsidRPr="006B378B">
              <w:rPr>
                <w:rFonts w:ascii="Book Antiqua" w:hAnsi="Book Antiqua"/>
                <w:sz w:val="24"/>
                <w:szCs w:val="24"/>
              </w:rPr>
              <w:t>wk</w:t>
            </w:r>
            <w:proofErr w:type="spellEnd"/>
            <w:r w:rsidRPr="006B378B">
              <w:rPr>
                <w:rFonts w:ascii="Book Antiqua" w:hAnsi="Book Antiqua"/>
                <w:sz w:val="24"/>
                <w:szCs w:val="24"/>
              </w:rPr>
              <w:t xml:space="preserve"> · 1</w:t>
            </w:r>
            <w:r w:rsidR="00DB5834">
              <w:rPr>
                <w:rFonts w:ascii="Book Antiqua" w:hAnsi="Book Antiqua" w:hint="eastAsia"/>
                <w:sz w:val="24"/>
                <w:szCs w:val="24"/>
                <w:lang w:eastAsia="zh-CN"/>
              </w:rPr>
              <w:t>-</w:t>
            </w:r>
            <w:r w:rsidRPr="006B378B">
              <w:rPr>
                <w:rFonts w:ascii="Book Antiqua" w:hAnsi="Book Antiqua"/>
                <w:sz w:val="24"/>
                <w:szCs w:val="24"/>
              </w:rPr>
              <w:t xml:space="preserve">3 doses </w:t>
            </w:r>
          </w:p>
          <w:p w:rsidR="00FA650B" w:rsidRPr="006B378B" w:rsidRDefault="00FA650B" w:rsidP="006B378B">
            <w:pPr>
              <w:spacing w:after="0" w:line="360" w:lineRule="auto"/>
              <w:jc w:val="both"/>
              <w:rPr>
                <w:rFonts w:ascii="Book Antiqua" w:hAnsi="Book Antiqua"/>
              </w:rPr>
            </w:pP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t>Myelosuppression</w:t>
            </w:r>
            <w:proofErr w:type="spellEnd"/>
            <w:r w:rsidRPr="006B378B">
              <w:rPr>
                <w:rFonts w:ascii="Book Antiqua" w:hAnsi="Book Antiqua"/>
              </w:rPr>
              <w:t>, infection, secondary malignancy</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t>Danazol</w:t>
            </w:r>
            <w:proofErr w:type="spellEnd"/>
          </w:p>
        </w:tc>
        <w:tc>
          <w:tcPr>
            <w:tcW w:w="2084" w:type="dxa"/>
          </w:tcPr>
          <w:p w:rsidR="00FA650B" w:rsidRPr="006B378B" w:rsidRDefault="00FA650B" w:rsidP="00DB5834">
            <w:pPr>
              <w:spacing w:after="0" w:line="360" w:lineRule="auto"/>
              <w:jc w:val="both"/>
              <w:rPr>
                <w:rFonts w:ascii="Book Antiqua" w:hAnsi="Book Antiqua"/>
              </w:rPr>
            </w:pPr>
            <w:r w:rsidRPr="006B378B">
              <w:rPr>
                <w:rFonts w:ascii="Book Antiqua" w:hAnsi="Book Antiqua"/>
              </w:rPr>
              <w:t>200 mg 2</w:t>
            </w:r>
            <w:r w:rsidR="00DB5834">
              <w:rPr>
                <w:rFonts w:ascii="Book Antiqua" w:hAnsi="Book Antiqua" w:hint="eastAsia"/>
                <w:lang w:eastAsia="zh-CN"/>
              </w:rPr>
              <w:t>-</w:t>
            </w:r>
            <w:r w:rsidRPr="006B378B">
              <w:rPr>
                <w:rFonts w:ascii="Book Antiqua" w:hAnsi="Book Antiqua"/>
              </w:rPr>
              <w:t>4 times per day</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Acne, </w:t>
            </w:r>
            <w:proofErr w:type="spellStart"/>
            <w:r w:rsidRPr="006B378B">
              <w:rPr>
                <w:rFonts w:ascii="Book Antiqua" w:hAnsi="Book Antiqua"/>
                <w:sz w:val="24"/>
                <w:szCs w:val="24"/>
              </w:rPr>
              <w:t>hirsutism</w:t>
            </w:r>
            <w:proofErr w:type="spellEnd"/>
            <w:r w:rsidRPr="006B378B">
              <w:rPr>
                <w:rFonts w:ascii="Book Antiqua" w:hAnsi="Book Antiqua"/>
                <w:sz w:val="24"/>
                <w:szCs w:val="24"/>
              </w:rPr>
              <w:t xml:space="preserve">, dyslipidemia, amenorrhea, liver function abnormalities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t>Dapsone</w:t>
            </w:r>
            <w:proofErr w:type="spellEnd"/>
          </w:p>
        </w:tc>
        <w:tc>
          <w:tcPr>
            <w:tcW w:w="2084" w:type="dxa"/>
          </w:tcPr>
          <w:p w:rsidR="00FA650B" w:rsidRPr="006B378B" w:rsidRDefault="00FA650B" w:rsidP="00DB5834">
            <w:pPr>
              <w:spacing w:after="0" w:line="360" w:lineRule="auto"/>
              <w:jc w:val="both"/>
              <w:rPr>
                <w:rFonts w:ascii="Book Antiqua" w:hAnsi="Book Antiqua"/>
              </w:rPr>
            </w:pPr>
            <w:r w:rsidRPr="006B378B">
              <w:rPr>
                <w:rFonts w:ascii="Book Antiqua" w:hAnsi="Book Antiqua"/>
              </w:rPr>
              <w:t>75</w:t>
            </w:r>
            <w:r w:rsidR="00DB5834">
              <w:rPr>
                <w:rFonts w:ascii="Book Antiqua" w:hAnsi="Book Antiqua" w:hint="eastAsia"/>
                <w:lang w:eastAsia="zh-CN"/>
              </w:rPr>
              <w:t>-</w:t>
            </w:r>
            <w:r w:rsidRPr="006B378B">
              <w:rPr>
                <w:rFonts w:ascii="Book Antiqua" w:hAnsi="Book Antiqua"/>
              </w:rPr>
              <w:t>100 mg daily</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Hemolytic anemia in patients with G6PD deficiency, rash, </w:t>
            </w:r>
            <w:proofErr w:type="spellStart"/>
            <w:r w:rsidRPr="006B378B">
              <w:rPr>
                <w:rFonts w:ascii="Book Antiqua" w:hAnsi="Book Antiqua"/>
                <w:sz w:val="24"/>
                <w:szCs w:val="24"/>
              </w:rPr>
              <w:t>methemoglobinemia</w:t>
            </w:r>
            <w:proofErr w:type="spellEnd"/>
            <w:r w:rsidRPr="006B378B">
              <w:rPr>
                <w:rFonts w:ascii="Book Antiqua" w:hAnsi="Book Antiqua"/>
                <w:sz w:val="24"/>
                <w:szCs w:val="24"/>
              </w:rPr>
              <w:t xml:space="preserve"> </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proofErr w:type="spellStart"/>
            <w:r w:rsidRPr="006B378B">
              <w:rPr>
                <w:rFonts w:ascii="Book Antiqua" w:hAnsi="Book Antiqua"/>
              </w:rPr>
              <w:t>Mycophenolate</w:t>
            </w:r>
            <w:proofErr w:type="spellEnd"/>
            <w:r w:rsidRPr="006B378B">
              <w:rPr>
                <w:rFonts w:ascii="Book Antiqua" w:hAnsi="Book Antiqua"/>
              </w:rPr>
              <w:t xml:space="preserve"> </w:t>
            </w:r>
            <w:proofErr w:type="spellStart"/>
            <w:r w:rsidRPr="006B378B">
              <w:rPr>
                <w:rFonts w:ascii="Book Antiqua" w:hAnsi="Book Antiqua"/>
              </w:rPr>
              <w:t>mofetil</w:t>
            </w:r>
            <w:proofErr w:type="spellEnd"/>
          </w:p>
        </w:tc>
        <w:tc>
          <w:tcPr>
            <w:tcW w:w="2084"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1000 mg twice daily</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Headache, back pain, infection</w:t>
            </w:r>
          </w:p>
        </w:tc>
      </w:tr>
      <w:tr w:rsidR="00FA650B" w:rsidRPr="006B378B" w:rsidTr="006B378B">
        <w:trPr>
          <w:trHeight w:val="377"/>
        </w:trPr>
        <w:tc>
          <w:tcPr>
            <w:tcW w:w="2979" w:type="dxa"/>
          </w:tcPr>
          <w:p w:rsidR="00FA650B" w:rsidRPr="006B378B" w:rsidRDefault="00FA650B" w:rsidP="006B378B">
            <w:pPr>
              <w:spacing w:after="0" w:line="360" w:lineRule="auto"/>
              <w:jc w:val="both"/>
              <w:rPr>
                <w:rFonts w:ascii="Book Antiqua" w:hAnsi="Book Antiqua"/>
              </w:rPr>
            </w:pPr>
            <w:r w:rsidRPr="006B378B">
              <w:rPr>
                <w:rFonts w:ascii="Book Antiqua" w:hAnsi="Book Antiqua"/>
              </w:rPr>
              <w:t>Vincristine</w:t>
            </w:r>
          </w:p>
        </w:tc>
        <w:tc>
          <w:tcPr>
            <w:tcW w:w="2084" w:type="dxa"/>
          </w:tcPr>
          <w:p w:rsidR="00FA650B" w:rsidRPr="006B378B" w:rsidRDefault="00FA650B" w:rsidP="00DB5834">
            <w:pPr>
              <w:spacing w:after="0" w:line="360" w:lineRule="auto"/>
              <w:jc w:val="both"/>
              <w:rPr>
                <w:rFonts w:ascii="Book Antiqua" w:hAnsi="Book Antiqua"/>
              </w:rPr>
            </w:pPr>
            <w:r w:rsidRPr="006B378B">
              <w:rPr>
                <w:rFonts w:ascii="Book Antiqua" w:hAnsi="Book Antiqua"/>
              </w:rPr>
              <w:t>1</w:t>
            </w:r>
            <w:r w:rsidR="00DB5834">
              <w:rPr>
                <w:rFonts w:ascii="Book Antiqua" w:hAnsi="Book Antiqua" w:hint="eastAsia"/>
                <w:lang w:eastAsia="zh-CN"/>
              </w:rPr>
              <w:t>-</w:t>
            </w:r>
            <w:r w:rsidRPr="006B378B">
              <w:rPr>
                <w:rFonts w:ascii="Book Antiqua" w:hAnsi="Book Antiqua"/>
              </w:rPr>
              <w:t xml:space="preserve">2 mg </w:t>
            </w:r>
            <w:proofErr w:type="spellStart"/>
            <w:r w:rsidRPr="006B378B">
              <w:rPr>
                <w:rFonts w:ascii="Book Antiqua" w:hAnsi="Book Antiqua"/>
                <w:i/>
              </w:rPr>
              <w:t>i.v.</w:t>
            </w:r>
            <w:proofErr w:type="spellEnd"/>
            <w:r w:rsidRPr="006B378B">
              <w:rPr>
                <w:rFonts w:ascii="Book Antiqua" w:hAnsi="Book Antiqua"/>
              </w:rPr>
              <w:t xml:space="preserve"> </w:t>
            </w:r>
            <w:r w:rsidRPr="006B378B">
              <w:rPr>
                <w:rFonts w:ascii="Book Antiqua" w:hAnsi="Book Antiqua"/>
              </w:rPr>
              <w:lastRenderedPageBreak/>
              <w:t>weekly (total dose 6 mg)</w:t>
            </w:r>
          </w:p>
        </w:tc>
        <w:tc>
          <w:tcPr>
            <w:tcW w:w="1502" w:type="dxa"/>
          </w:tcPr>
          <w:p w:rsidR="00FA650B" w:rsidRPr="006B378B" w:rsidRDefault="00FA650B" w:rsidP="00DB5834">
            <w:pPr>
              <w:spacing w:after="0" w:line="360" w:lineRule="auto"/>
              <w:jc w:val="both"/>
              <w:rPr>
                <w:rFonts w:ascii="Book Antiqua" w:hAnsi="Book Antiqua"/>
                <w:lang w:eastAsia="zh-CN"/>
              </w:rPr>
            </w:pPr>
            <w:r w:rsidRPr="006B378B">
              <w:rPr>
                <w:rFonts w:ascii="Book Antiqua" w:hAnsi="Book Antiqua"/>
              </w:rPr>
              <w:lastRenderedPageBreak/>
              <w:t>1</w:t>
            </w:r>
            <w:r w:rsidR="00DB5834">
              <w:rPr>
                <w:rFonts w:ascii="Book Antiqua" w:hAnsi="Book Antiqua" w:hint="eastAsia"/>
                <w:lang w:eastAsia="zh-CN"/>
              </w:rPr>
              <w:t>-</w:t>
            </w:r>
            <w:r w:rsidRPr="006B378B">
              <w:rPr>
                <w:rFonts w:ascii="Book Antiqua" w:hAnsi="Book Antiqua"/>
              </w:rPr>
              <w:t xml:space="preserve">4 </w:t>
            </w:r>
            <w:proofErr w:type="spellStart"/>
            <w:r w:rsidRPr="006B378B">
              <w:rPr>
                <w:rFonts w:ascii="Book Antiqua" w:hAnsi="Book Antiqua"/>
              </w:rPr>
              <w:t>wk</w:t>
            </w:r>
            <w:proofErr w:type="spellEnd"/>
          </w:p>
        </w:tc>
        <w:tc>
          <w:tcPr>
            <w:tcW w:w="3642" w:type="dxa"/>
          </w:tcPr>
          <w:p w:rsidR="00FA650B" w:rsidRPr="006B378B" w:rsidRDefault="00FA650B" w:rsidP="006B378B">
            <w:pPr>
              <w:pStyle w:val="a3"/>
              <w:spacing w:before="2" w:after="2" w:line="360" w:lineRule="auto"/>
              <w:jc w:val="both"/>
              <w:rPr>
                <w:rFonts w:ascii="Book Antiqua" w:hAnsi="Book Antiqua"/>
                <w:sz w:val="24"/>
                <w:szCs w:val="24"/>
              </w:rPr>
            </w:pPr>
            <w:r w:rsidRPr="006B378B">
              <w:rPr>
                <w:rFonts w:ascii="Book Antiqua" w:hAnsi="Book Antiqua"/>
                <w:sz w:val="24"/>
                <w:szCs w:val="24"/>
              </w:rPr>
              <w:t xml:space="preserve">Neuropathy, constipation, </w:t>
            </w:r>
            <w:proofErr w:type="spellStart"/>
            <w:r w:rsidRPr="006B378B">
              <w:rPr>
                <w:rFonts w:ascii="Book Antiqua" w:hAnsi="Book Antiqua"/>
                <w:sz w:val="24"/>
                <w:szCs w:val="24"/>
              </w:rPr>
              <w:lastRenderedPageBreak/>
              <w:t>cytopenias</w:t>
            </w:r>
            <w:proofErr w:type="spellEnd"/>
            <w:r w:rsidRPr="006B378B">
              <w:rPr>
                <w:rFonts w:ascii="Book Antiqua" w:hAnsi="Book Antiqua"/>
                <w:sz w:val="24"/>
                <w:szCs w:val="24"/>
              </w:rPr>
              <w:t xml:space="preserve">, thrombophlebitis </w:t>
            </w:r>
          </w:p>
          <w:p w:rsidR="00FA650B" w:rsidRPr="006B378B" w:rsidRDefault="00FA650B" w:rsidP="006B378B">
            <w:pPr>
              <w:pStyle w:val="a3"/>
              <w:spacing w:before="2" w:after="2" w:line="360" w:lineRule="auto"/>
              <w:jc w:val="both"/>
              <w:rPr>
                <w:rFonts w:ascii="Book Antiqua" w:hAnsi="Book Antiqua"/>
                <w:sz w:val="24"/>
                <w:szCs w:val="24"/>
                <w:lang w:eastAsia="zh-CN"/>
              </w:rPr>
            </w:pPr>
            <w:r w:rsidRPr="006B378B">
              <w:rPr>
                <w:rFonts w:ascii="Book Antiqua" w:hAnsi="Book Antiqua"/>
                <w:sz w:val="24"/>
                <w:szCs w:val="24"/>
              </w:rPr>
              <w:t xml:space="preserve">at the infusion site </w:t>
            </w:r>
          </w:p>
        </w:tc>
      </w:tr>
    </w:tbl>
    <w:p w:rsidR="00FA650B" w:rsidRPr="00904142" w:rsidRDefault="00FA650B" w:rsidP="00904142">
      <w:pPr>
        <w:spacing w:after="0" w:line="360" w:lineRule="auto"/>
        <w:jc w:val="both"/>
        <w:rPr>
          <w:rFonts w:ascii="Book Antiqua" w:hAnsi="Book Antiqua"/>
        </w:rPr>
      </w:pPr>
    </w:p>
    <w:p w:rsidR="00FA650B" w:rsidRPr="00904142" w:rsidRDefault="00FA650B" w:rsidP="00904142">
      <w:pPr>
        <w:spacing w:after="0" w:line="360" w:lineRule="auto"/>
        <w:jc w:val="both"/>
        <w:rPr>
          <w:rFonts w:ascii="Book Antiqua" w:hAnsi="Book Antiqua"/>
          <w:b/>
        </w:rPr>
      </w:pPr>
    </w:p>
    <w:p w:rsidR="00FA650B" w:rsidRPr="00904142" w:rsidRDefault="00FA650B" w:rsidP="00904142">
      <w:pPr>
        <w:spacing w:after="0" w:line="360" w:lineRule="auto"/>
        <w:jc w:val="both"/>
        <w:rPr>
          <w:rFonts w:ascii="Book Antiqua" w:hAnsi="Book Antiqua"/>
          <w:b/>
        </w:rPr>
      </w:pPr>
    </w:p>
    <w:sectPr w:rsidR="00FA650B" w:rsidRPr="00904142" w:rsidSect="008D7617">
      <w:pgSz w:w="11900" w:h="16840"/>
      <w:pgMar w:top="1440" w:right="1800" w:bottom="1440" w:left="1800"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41" w:rsidRDefault="006F6A41" w:rsidP="0051331B">
      <w:pPr>
        <w:spacing w:after="0"/>
      </w:pPr>
      <w:r>
        <w:separator/>
      </w:r>
    </w:p>
  </w:endnote>
  <w:endnote w:type="continuationSeparator" w:id="0">
    <w:p w:rsidR="006F6A41" w:rsidRDefault="006F6A41" w:rsidP="00513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pple Symbols">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41" w:rsidRDefault="006F6A41" w:rsidP="0051331B">
      <w:pPr>
        <w:spacing w:after="0"/>
      </w:pPr>
      <w:r>
        <w:separator/>
      </w:r>
    </w:p>
  </w:footnote>
  <w:footnote w:type="continuationSeparator" w:id="0">
    <w:p w:rsidR="006F6A41" w:rsidRDefault="006F6A41" w:rsidP="005133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E09"/>
    <w:multiLevelType w:val="hybridMultilevel"/>
    <w:tmpl w:val="8A8CA6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F01BE7"/>
    <w:multiLevelType w:val="multilevel"/>
    <w:tmpl w:val="3BAA4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68A43F4"/>
    <w:multiLevelType w:val="multilevel"/>
    <w:tmpl w:val="3D461D9A"/>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77F78DC"/>
    <w:multiLevelType w:val="hybridMultilevel"/>
    <w:tmpl w:val="495252B8"/>
    <w:lvl w:ilvl="0" w:tplc="8B2A3D98">
      <w:start w:val="1"/>
      <w:numFmt w:val="decimal"/>
      <w:lvlText w:val="%1."/>
      <w:lvlJc w:val="left"/>
      <w:pPr>
        <w:ind w:left="786"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A459C0"/>
    <w:multiLevelType w:val="multilevel"/>
    <w:tmpl w:val="C3ECBF0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9544D73"/>
    <w:multiLevelType w:val="multilevel"/>
    <w:tmpl w:val="D6367F2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F88667B"/>
    <w:multiLevelType w:val="multilevel"/>
    <w:tmpl w:val="A140C1E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9E49EA"/>
    <w:multiLevelType w:val="multilevel"/>
    <w:tmpl w:val="D3DC36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A4B63CF"/>
    <w:multiLevelType w:val="hybridMultilevel"/>
    <w:tmpl w:val="B1A450F4"/>
    <w:lvl w:ilvl="0" w:tplc="04090011">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D3659FF"/>
    <w:multiLevelType w:val="multilevel"/>
    <w:tmpl w:val="9344157C"/>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E8"/>
    <w:rsid w:val="00002274"/>
    <w:rsid w:val="0001197B"/>
    <w:rsid w:val="00030333"/>
    <w:rsid w:val="0003320C"/>
    <w:rsid w:val="00037D60"/>
    <w:rsid w:val="00060EF2"/>
    <w:rsid w:val="0006707D"/>
    <w:rsid w:val="000748DF"/>
    <w:rsid w:val="000A50D3"/>
    <w:rsid w:val="000A5D72"/>
    <w:rsid w:val="000D758A"/>
    <w:rsid w:val="00114A41"/>
    <w:rsid w:val="00120EC6"/>
    <w:rsid w:val="00121493"/>
    <w:rsid w:val="0016194A"/>
    <w:rsid w:val="001669DC"/>
    <w:rsid w:val="00167611"/>
    <w:rsid w:val="00176262"/>
    <w:rsid w:val="00187432"/>
    <w:rsid w:val="001A7FC8"/>
    <w:rsid w:val="001B6042"/>
    <w:rsid w:val="001B6140"/>
    <w:rsid w:val="001F5B31"/>
    <w:rsid w:val="00202EA8"/>
    <w:rsid w:val="00230B0B"/>
    <w:rsid w:val="002574BF"/>
    <w:rsid w:val="002A72ED"/>
    <w:rsid w:val="002C1C1F"/>
    <w:rsid w:val="003011F4"/>
    <w:rsid w:val="003024A1"/>
    <w:rsid w:val="00314F64"/>
    <w:rsid w:val="00332C93"/>
    <w:rsid w:val="003926B0"/>
    <w:rsid w:val="003D3805"/>
    <w:rsid w:val="003D6C8E"/>
    <w:rsid w:val="0040003A"/>
    <w:rsid w:val="00403360"/>
    <w:rsid w:val="0046638B"/>
    <w:rsid w:val="00496DA4"/>
    <w:rsid w:val="004B2F07"/>
    <w:rsid w:val="004D0712"/>
    <w:rsid w:val="00511284"/>
    <w:rsid w:val="0051331B"/>
    <w:rsid w:val="005673FC"/>
    <w:rsid w:val="005808F6"/>
    <w:rsid w:val="00616146"/>
    <w:rsid w:val="00624A7C"/>
    <w:rsid w:val="006429E1"/>
    <w:rsid w:val="00663F32"/>
    <w:rsid w:val="00671452"/>
    <w:rsid w:val="006864C7"/>
    <w:rsid w:val="00687FC6"/>
    <w:rsid w:val="00696FCD"/>
    <w:rsid w:val="006A56B2"/>
    <w:rsid w:val="006B378B"/>
    <w:rsid w:val="006D2545"/>
    <w:rsid w:val="006F6A41"/>
    <w:rsid w:val="00701953"/>
    <w:rsid w:val="007270DE"/>
    <w:rsid w:val="007350B6"/>
    <w:rsid w:val="0074151E"/>
    <w:rsid w:val="007873CD"/>
    <w:rsid w:val="007B25FF"/>
    <w:rsid w:val="007B71CC"/>
    <w:rsid w:val="007C62D5"/>
    <w:rsid w:val="00802DCF"/>
    <w:rsid w:val="00823531"/>
    <w:rsid w:val="008564F9"/>
    <w:rsid w:val="00881DDC"/>
    <w:rsid w:val="008C78C3"/>
    <w:rsid w:val="008D142D"/>
    <w:rsid w:val="008D33D7"/>
    <w:rsid w:val="008D7617"/>
    <w:rsid w:val="008F471D"/>
    <w:rsid w:val="0090008A"/>
    <w:rsid w:val="00904142"/>
    <w:rsid w:val="00922690"/>
    <w:rsid w:val="00935099"/>
    <w:rsid w:val="009450E5"/>
    <w:rsid w:val="00990260"/>
    <w:rsid w:val="00995857"/>
    <w:rsid w:val="009A72A0"/>
    <w:rsid w:val="009F41FA"/>
    <w:rsid w:val="009F7FD5"/>
    <w:rsid w:val="00A472CE"/>
    <w:rsid w:val="00A47982"/>
    <w:rsid w:val="00A64C7E"/>
    <w:rsid w:val="00A77905"/>
    <w:rsid w:val="00A77CE3"/>
    <w:rsid w:val="00A91754"/>
    <w:rsid w:val="00AC6ECB"/>
    <w:rsid w:val="00AF41B5"/>
    <w:rsid w:val="00B014D6"/>
    <w:rsid w:val="00B1549B"/>
    <w:rsid w:val="00B16375"/>
    <w:rsid w:val="00B34BF8"/>
    <w:rsid w:val="00B412C5"/>
    <w:rsid w:val="00B51385"/>
    <w:rsid w:val="00B54057"/>
    <w:rsid w:val="00B57633"/>
    <w:rsid w:val="00B85222"/>
    <w:rsid w:val="00B86531"/>
    <w:rsid w:val="00BA3D3C"/>
    <w:rsid w:val="00BF3F9B"/>
    <w:rsid w:val="00C300E4"/>
    <w:rsid w:val="00C565F0"/>
    <w:rsid w:val="00C83206"/>
    <w:rsid w:val="00C84636"/>
    <w:rsid w:val="00C85EE8"/>
    <w:rsid w:val="00C86677"/>
    <w:rsid w:val="00C90D7A"/>
    <w:rsid w:val="00C9628A"/>
    <w:rsid w:val="00D07301"/>
    <w:rsid w:val="00D12226"/>
    <w:rsid w:val="00D4764D"/>
    <w:rsid w:val="00D61747"/>
    <w:rsid w:val="00D70FD5"/>
    <w:rsid w:val="00D85964"/>
    <w:rsid w:val="00D877A7"/>
    <w:rsid w:val="00DA210C"/>
    <w:rsid w:val="00DB5834"/>
    <w:rsid w:val="00DE4A01"/>
    <w:rsid w:val="00DF45C6"/>
    <w:rsid w:val="00E362DB"/>
    <w:rsid w:val="00E57B86"/>
    <w:rsid w:val="00E57C44"/>
    <w:rsid w:val="00E629E6"/>
    <w:rsid w:val="00E80EC2"/>
    <w:rsid w:val="00EA1C48"/>
    <w:rsid w:val="00EB0CD1"/>
    <w:rsid w:val="00EC420E"/>
    <w:rsid w:val="00EE4001"/>
    <w:rsid w:val="00F04ED0"/>
    <w:rsid w:val="00F65219"/>
    <w:rsid w:val="00F66AC2"/>
    <w:rsid w:val="00F757BC"/>
    <w:rsid w:val="00F816A4"/>
    <w:rsid w:val="00FA650B"/>
    <w:rsid w:val="00FC5300"/>
    <w:rsid w:val="00FD0194"/>
    <w:rsid w:val="00FD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7617"/>
    <w:pPr>
      <w:spacing w:beforeLines="1" w:afterLines="1"/>
    </w:pPr>
    <w:rPr>
      <w:rFonts w:ascii="Times" w:hAnsi="Times"/>
      <w:sz w:val="20"/>
      <w:szCs w:val="20"/>
    </w:rPr>
  </w:style>
  <w:style w:type="paragraph" w:styleId="a4">
    <w:name w:val="List Paragraph"/>
    <w:basedOn w:val="a"/>
    <w:uiPriority w:val="99"/>
    <w:qFormat/>
    <w:rsid w:val="001B6140"/>
    <w:pPr>
      <w:ind w:left="720"/>
      <w:contextualSpacing/>
    </w:pPr>
  </w:style>
  <w:style w:type="table" w:styleId="a5">
    <w:name w:val="Table Grid"/>
    <w:basedOn w:val="a1"/>
    <w:uiPriority w:val="99"/>
    <w:rsid w:val="00302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uiPriority w:val="99"/>
    <w:rsid w:val="00B16375"/>
    <w:pPr>
      <w:spacing w:after="0" w:line="240" w:lineRule="atLeast"/>
    </w:pPr>
    <w:rPr>
      <w:rFonts w:ascii="Century" w:hAnsi="Century" w:cs="宋体"/>
      <w:sz w:val="21"/>
      <w:szCs w:val="21"/>
      <w:lang w:eastAsia="zh-CN"/>
    </w:rPr>
  </w:style>
  <w:style w:type="character" w:styleId="a6">
    <w:name w:val="Emphasis"/>
    <w:uiPriority w:val="99"/>
    <w:qFormat/>
    <w:rsid w:val="00995857"/>
    <w:rPr>
      <w:rFonts w:cs="Times New Roman"/>
      <w:i/>
      <w:iCs/>
    </w:rPr>
  </w:style>
  <w:style w:type="character" w:customStyle="1" w:styleId="apple-converted-space">
    <w:name w:val="apple-converted-space"/>
    <w:uiPriority w:val="99"/>
    <w:rsid w:val="00995857"/>
    <w:rPr>
      <w:rFonts w:cs="Times New Roman"/>
    </w:rPr>
  </w:style>
  <w:style w:type="paragraph" w:styleId="a7">
    <w:name w:val="header"/>
    <w:basedOn w:val="a"/>
    <w:link w:val="Char"/>
    <w:uiPriority w:val="99"/>
    <w:unhideWhenUsed/>
    <w:rsid w:val="005133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rsid w:val="0051331B"/>
    <w:rPr>
      <w:kern w:val="0"/>
      <w:sz w:val="18"/>
      <w:szCs w:val="18"/>
      <w:lang w:eastAsia="en-US"/>
    </w:rPr>
  </w:style>
  <w:style w:type="paragraph" w:styleId="a8">
    <w:name w:val="footer"/>
    <w:basedOn w:val="a"/>
    <w:link w:val="Char0"/>
    <w:uiPriority w:val="99"/>
    <w:unhideWhenUsed/>
    <w:rsid w:val="0051331B"/>
    <w:pPr>
      <w:tabs>
        <w:tab w:val="center" w:pos="4153"/>
        <w:tab w:val="right" w:pos="8306"/>
      </w:tabs>
      <w:snapToGrid w:val="0"/>
    </w:pPr>
    <w:rPr>
      <w:sz w:val="18"/>
      <w:szCs w:val="18"/>
    </w:rPr>
  </w:style>
  <w:style w:type="character" w:customStyle="1" w:styleId="Char0">
    <w:name w:val="页脚 Char"/>
    <w:link w:val="a8"/>
    <w:uiPriority w:val="99"/>
    <w:rsid w:val="0051331B"/>
    <w:rPr>
      <w:kern w:val="0"/>
      <w:sz w:val="18"/>
      <w:szCs w:val="18"/>
      <w:lang w:eastAsia="en-US"/>
    </w:rPr>
  </w:style>
  <w:style w:type="paragraph" w:styleId="a9">
    <w:name w:val="Balloon Text"/>
    <w:basedOn w:val="a"/>
    <w:link w:val="Char1"/>
    <w:uiPriority w:val="99"/>
    <w:semiHidden/>
    <w:unhideWhenUsed/>
    <w:rsid w:val="009A72A0"/>
    <w:pPr>
      <w:spacing w:after="0"/>
    </w:pPr>
    <w:rPr>
      <w:sz w:val="18"/>
      <w:szCs w:val="18"/>
    </w:rPr>
  </w:style>
  <w:style w:type="character" w:customStyle="1" w:styleId="Char1">
    <w:name w:val="批注框文本 Char"/>
    <w:link w:val="a9"/>
    <w:uiPriority w:val="99"/>
    <w:semiHidden/>
    <w:rsid w:val="009A72A0"/>
    <w:rPr>
      <w:kern w:val="0"/>
      <w:sz w:val="18"/>
      <w:szCs w:val="18"/>
      <w:lang w:eastAsia="en-US"/>
    </w:rPr>
  </w:style>
  <w:style w:type="character" w:styleId="aa">
    <w:name w:val="annotation reference"/>
    <w:uiPriority w:val="99"/>
    <w:semiHidden/>
    <w:unhideWhenUsed/>
    <w:rsid w:val="009A72A0"/>
    <w:rPr>
      <w:sz w:val="21"/>
      <w:szCs w:val="21"/>
    </w:rPr>
  </w:style>
  <w:style w:type="paragraph" w:styleId="ab">
    <w:name w:val="annotation text"/>
    <w:basedOn w:val="a"/>
    <w:link w:val="Char2"/>
    <w:uiPriority w:val="99"/>
    <w:semiHidden/>
    <w:unhideWhenUsed/>
    <w:rsid w:val="009A72A0"/>
  </w:style>
  <w:style w:type="character" w:customStyle="1" w:styleId="Char2">
    <w:name w:val="批注文字 Char"/>
    <w:link w:val="ab"/>
    <w:uiPriority w:val="99"/>
    <w:semiHidden/>
    <w:rsid w:val="009A72A0"/>
    <w:rPr>
      <w:kern w:val="0"/>
      <w:sz w:val="24"/>
      <w:szCs w:val="24"/>
      <w:lang w:eastAsia="en-US"/>
    </w:rPr>
  </w:style>
  <w:style w:type="paragraph" w:styleId="ac">
    <w:name w:val="annotation subject"/>
    <w:basedOn w:val="ab"/>
    <w:next w:val="ab"/>
    <w:link w:val="Char3"/>
    <w:uiPriority w:val="99"/>
    <w:semiHidden/>
    <w:unhideWhenUsed/>
    <w:rsid w:val="009A72A0"/>
    <w:rPr>
      <w:b/>
      <w:bCs/>
    </w:rPr>
  </w:style>
  <w:style w:type="character" w:customStyle="1" w:styleId="Char3">
    <w:name w:val="批注主题 Char"/>
    <w:link w:val="ac"/>
    <w:uiPriority w:val="99"/>
    <w:semiHidden/>
    <w:rsid w:val="009A72A0"/>
    <w:rPr>
      <w:b/>
      <w:bCs/>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6830">
      <w:marLeft w:val="0"/>
      <w:marRight w:val="0"/>
      <w:marTop w:val="0"/>
      <w:marBottom w:val="0"/>
      <w:divBdr>
        <w:top w:val="none" w:sz="0" w:space="0" w:color="auto"/>
        <w:left w:val="none" w:sz="0" w:space="0" w:color="auto"/>
        <w:bottom w:val="none" w:sz="0" w:space="0" w:color="auto"/>
        <w:right w:val="none" w:sz="0" w:space="0" w:color="auto"/>
      </w:divBdr>
    </w:div>
    <w:div w:id="1493906832">
      <w:marLeft w:val="0"/>
      <w:marRight w:val="0"/>
      <w:marTop w:val="0"/>
      <w:marBottom w:val="0"/>
      <w:divBdr>
        <w:top w:val="none" w:sz="0" w:space="0" w:color="auto"/>
        <w:left w:val="none" w:sz="0" w:space="0" w:color="auto"/>
        <w:bottom w:val="none" w:sz="0" w:space="0" w:color="auto"/>
        <w:right w:val="none" w:sz="0" w:space="0" w:color="auto"/>
      </w:divBdr>
    </w:div>
    <w:div w:id="1493906833">
      <w:marLeft w:val="0"/>
      <w:marRight w:val="0"/>
      <w:marTop w:val="0"/>
      <w:marBottom w:val="0"/>
      <w:divBdr>
        <w:top w:val="none" w:sz="0" w:space="0" w:color="auto"/>
        <w:left w:val="none" w:sz="0" w:space="0" w:color="auto"/>
        <w:bottom w:val="none" w:sz="0" w:space="0" w:color="auto"/>
        <w:right w:val="none" w:sz="0" w:space="0" w:color="auto"/>
      </w:divBdr>
    </w:div>
    <w:div w:id="1493906834">
      <w:marLeft w:val="0"/>
      <w:marRight w:val="0"/>
      <w:marTop w:val="0"/>
      <w:marBottom w:val="0"/>
      <w:divBdr>
        <w:top w:val="none" w:sz="0" w:space="0" w:color="auto"/>
        <w:left w:val="none" w:sz="0" w:space="0" w:color="auto"/>
        <w:bottom w:val="none" w:sz="0" w:space="0" w:color="auto"/>
        <w:right w:val="none" w:sz="0" w:space="0" w:color="auto"/>
      </w:divBdr>
    </w:div>
    <w:div w:id="1493906835">
      <w:marLeft w:val="0"/>
      <w:marRight w:val="0"/>
      <w:marTop w:val="0"/>
      <w:marBottom w:val="0"/>
      <w:divBdr>
        <w:top w:val="none" w:sz="0" w:space="0" w:color="auto"/>
        <w:left w:val="none" w:sz="0" w:space="0" w:color="auto"/>
        <w:bottom w:val="none" w:sz="0" w:space="0" w:color="auto"/>
        <w:right w:val="none" w:sz="0" w:space="0" w:color="auto"/>
      </w:divBdr>
    </w:div>
    <w:div w:id="1493906837">
      <w:marLeft w:val="0"/>
      <w:marRight w:val="0"/>
      <w:marTop w:val="0"/>
      <w:marBottom w:val="0"/>
      <w:divBdr>
        <w:top w:val="none" w:sz="0" w:space="0" w:color="auto"/>
        <w:left w:val="none" w:sz="0" w:space="0" w:color="auto"/>
        <w:bottom w:val="none" w:sz="0" w:space="0" w:color="auto"/>
        <w:right w:val="none" w:sz="0" w:space="0" w:color="auto"/>
      </w:divBdr>
    </w:div>
    <w:div w:id="1493906841">
      <w:marLeft w:val="0"/>
      <w:marRight w:val="0"/>
      <w:marTop w:val="0"/>
      <w:marBottom w:val="0"/>
      <w:divBdr>
        <w:top w:val="none" w:sz="0" w:space="0" w:color="auto"/>
        <w:left w:val="none" w:sz="0" w:space="0" w:color="auto"/>
        <w:bottom w:val="none" w:sz="0" w:space="0" w:color="auto"/>
        <w:right w:val="none" w:sz="0" w:space="0" w:color="auto"/>
      </w:divBdr>
      <w:divsChild>
        <w:div w:id="1493906871">
          <w:marLeft w:val="0"/>
          <w:marRight w:val="0"/>
          <w:marTop w:val="0"/>
          <w:marBottom w:val="0"/>
          <w:divBdr>
            <w:top w:val="none" w:sz="0" w:space="0" w:color="auto"/>
            <w:left w:val="none" w:sz="0" w:space="0" w:color="auto"/>
            <w:bottom w:val="none" w:sz="0" w:space="0" w:color="auto"/>
            <w:right w:val="none" w:sz="0" w:space="0" w:color="auto"/>
          </w:divBdr>
        </w:div>
      </w:divsChild>
    </w:div>
    <w:div w:id="1493906843">
      <w:marLeft w:val="0"/>
      <w:marRight w:val="0"/>
      <w:marTop w:val="0"/>
      <w:marBottom w:val="0"/>
      <w:divBdr>
        <w:top w:val="none" w:sz="0" w:space="0" w:color="auto"/>
        <w:left w:val="none" w:sz="0" w:space="0" w:color="auto"/>
        <w:bottom w:val="none" w:sz="0" w:space="0" w:color="auto"/>
        <w:right w:val="none" w:sz="0" w:space="0" w:color="auto"/>
      </w:divBdr>
    </w:div>
    <w:div w:id="1493906846">
      <w:marLeft w:val="0"/>
      <w:marRight w:val="0"/>
      <w:marTop w:val="0"/>
      <w:marBottom w:val="0"/>
      <w:divBdr>
        <w:top w:val="none" w:sz="0" w:space="0" w:color="auto"/>
        <w:left w:val="none" w:sz="0" w:space="0" w:color="auto"/>
        <w:bottom w:val="none" w:sz="0" w:space="0" w:color="auto"/>
        <w:right w:val="none" w:sz="0" w:space="0" w:color="auto"/>
      </w:divBdr>
    </w:div>
    <w:div w:id="1493906848">
      <w:marLeft w:val="0"/>
      <w:marRight w:val="0"/>
      <w:marTop w:val="0"/>
      <w:marBottom w:val="0"/>
      <w:divBdr>
        <w:top w:val="none" w:sz="0" w:space="0" w:color="auto"/>
        <w:left w:val="none" w:sz="0" w:space="0" w:color="auto"/>
        <w:bottom w:val="none" w:sz="0" w:space="0" w:color="auto"/>
        <w:right w:val="none" w:sz="0" w:space="0" w:color="auto"/>
      </w:divBdr>
    </w:div>
    <w:div w:id="1493906850">
      <w:marLeft w:val="0"/>
      <w:marRight w:val="0"/>
      <w:marTop w:val="0"/>
      <w:marBottom w:val="0"/>
      <w:divBdr>
        <w:top w:val="none" w:sz="0" w:space="0" w:color="auto"/>
        <w:left w:val="none" w:sz="0" w:space="0" w:color="auto"/>
        <w:bottom w:val="none" w:sz="0" w:space="0" w:color="auto"/>
        <w:right w:val="none" w:sz="0" w:space="0" w:color="auto"/>
      </w:divBdr>
    </w:div>
    <w:div w:id="1493906853">
      <w:marLeft w:val="0"/>
      <w:marRight w:val="0"/>
      <w:marTop w:val="0"/>
      <w:marBottom w:val="0"/>
      <w:divBdr>
        <w:top w:val="none" w:sz="0" w:space="0" w:color="auto"/>
        <w:left w:val="none" w:sz="0" w:space="0" w:color="auto"/>
        <w:bottom w:val="none" w:sz="0" w:space="0" w:color="auto"/>
        <w:right w:val="none" w:sz="0" w:space="0" w:color="auto"/>
      </w:divBdr>
      <w:divsChild>
        <w:div w:id="1493906872">
          <w:marLeft w:val="0"/>
          <w:marRight w:val="0"/>
          <w:marTop w:val="0"/>
          <w:marBottom w:val="0"/>
          <w:divBdr>
            <w:top w:val="none" w:sz="0" w:space="0" w:color="auto"/>
            <w:left w:val="none" w:sz="0" w:space="0" w:color="auto"/>
            <w:bottom w:val="none" w:sz="0" w:space="0" w:color="auto"/>
            <w:right w:val="none" w:sz="0" w:space="0" w:color="auto"/>
          </w:divBdr>
          <w:divsChild>
            <w:div w:id="1493906874">
              <w:marLeft w:val="0"/>
              <w:marRight w:val="0"/>
              <w:marTop w:val="0"/>
              <w:marBottom w:val="0"/>
              <w:divBdr>
                <w:top w:val="none" w:sz="0" w:space="0" w:color="auto"/>
                <w:left w:val="none" w:sz="0" w:space="0" w:color="auto"/>
                <w:bottom w:val="none" w:sz="0" w:space="0" w:color="auto"/>
                <w:right w:val="none" w:sz="0" w:space="0" w:color="auto"/>
              </w:divBdr>
            </w:div>
            <w:div w:id="149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854">
      <w:marLeft w:val="0"/>
      <w:marRight w:val="0"/>
      <w:marTop w:val="0"/>
      <w:marBottom w:val="0"/>
      <w:divBdr>
        <w:top w:val="none" w:sz="0" w:space="0" w:color="auto"/>
        <w:left w:val="none" w:sz="0" w:space="0" w:color="auto"/>
        <w:bottom w:val="none" w:sz="0" w:space="0" w:color="auto"/>
        <w:right w:val="none" w:sz="0" w:space="0" w:color="auto"/>
      </w:divBdr>
    </w:div>
    <w:div w:id="1493906855">
      <w:marLeft w:val="0"/>
      <w:marRight w:val="0"/>
      <w:marTop w:val="0"/>
      <w:marBottom w:val="0"/>
      <w:divBdr>
        <w:top w:val="none" w:sz="0" w:space="0" w:color="auto"/>
        <w:left w:val="none" w:sz="0" w:space="0" w:color="auto"/>
        <w:bottom w:val="none" w:sz="0" w:space="0" w:color="auto"/>
        <w:right w:val="none" w:sz="0" w:space="0" w:color="auto"/>
      </w:divBdr>
    </w:div>
    <w:div w:id="1493906858">
      <w:marLeft w:val="0"/>
      <w:marRight w:val="0"/>
      <w:marTop w:val="0"/>
      <w:marBottom w:val="0"/>
      <w:divBdr>
        <w:top w:val="none" w:sz="0" w:space="0" w:color="auto"/>
        <w:left w:val="none" w:sz="0" w:space="0" w:color="auto"/>
        <w:bottom w:val="none" w:sz="0" w:space="0" w:color="auto"/>
        <w:right w:val="none" w:sz="0" w:space="0" w:color="auto"/>
      </w:divBdr>
    </w:div>
    <w:div w:id="1493906859">
      <w:marLeft w:val="0"/>
      <w:marRight w:val="0"/>
      <w:marTop w:val="0"/>
      <w:marBottom w:val="0"/>
      <w:divBdr>
        <w:top w:val="none" w:sz="0" w:space="0" w:color="auto"/>
        <w:left w:val="none" w:sz="0" w:space="0" w:color="auto"/>
        <w:bottom w:val="none" w:sz="0" w:space="0" w:color="auto"/>
        <w:right w:val="none" w:sz="0" w:space="0" w:color="auto"/>
      </w:divBdr>
    </w:div>
    <w:div w:id="1493906869">
      <w:marLeft w:val="0"/>
      <w:marRight w:val="0"/>
      <w:marTop w:val="0"/>
      <w:marBottom w:val="0"/>
      <w:divBdr>
        <w:top w:val="none" w:sz="0" w:space="0" w:color="auto"/>
        <w:left w:val="none" w:sz="0" w:space="0" w:color="auto"/>
        <w:bottom w:val="none" w:sz="0" w:space="0" w:color="auto"/>
        <w:right w:val="none" w:sz="0" w:space="0" w:color="auto"/>
      </w:divBdr>
    </w:div>
    <w:div w:id="1493906880">
      <w:marLeft w:val="0"/>
      <w:marRight w:val="0"/>
      <w:marTop w:val="0"/>
      <w:marBottom w:val="0"/>
      <w:divBdr>
        <w:top w:val="none" w:sz="0" w:space="0" w:color="auto"/>
        <w:left w:val="none" w:sz="0" w:space="0" w:color="auto"/>
        <w:bottom w:val="none" w:sz="0" w:space="0" w:color="auto"/>
        <w:right w:val="none" w:sz="0" w:space="0" w:color="auto"/>
      </w:divBdr>
      <w:divsChild>
        <w:div w:id="1493906852">
          <w:marLeft w:val="0"/>
          <w:marRight w:val="0"/>
          <w:marTop w:val="0"/>
          <w:marBottom w:val="0"/>
          <w:divBdr>
            <w:top w:val="none" w:sz="0" w:space="0" w:color="auto"/>
            <w:left w:val="none" w:sz="0" w:space="0" w:color="auto"/>
            <w:bottom w:val="none" w:sz="0" w:space="0" w:color="auto"/>
            <w:right w:val="none" w:sz="0" w:space="0" w:color="auto"/>
          </w:divBdr>
        </w:div>
      </w:divsChild>
    </w:div>
    <w:div w:id="1493906884">
      <w:marLeft w:val="0"/>
      <w:marRight w:val="0"/>
      <w:marTop w:val="0"/>
      <w:marBottom w:val="0"/>
      <w:divBdr>
        <w:top w:val="none" w:sz="0" w:space="0" w:color="auto"/>
        <w:left w:val="none" w:sz="0" w:space="0" w:color="auto"/>
        <w:bottom w:val="none" w:sz="0" w:space="0" w:color="auto"/>
        <w:right w:val="none" w:sz="0" w:space="0" w:color="auto"/>
      </w:divBdr>
      <w:divsChild>
        <w:div w:id="1493906890">
          <w:marLeft w:val="0"/>
          <w:marRight w:val="0"/>
          <w:marTop w:val="0"/>
          <w:marBottom w:val="0"/>
          <w:divBdr>
            <w:top w:val="none" w:sz="0" w:space="0" w:color="auto"/>
            <w:left w:val="none" w:sz="0" w:space="0" w:color="auto"/>
            <w:bottom w:val="none" w:sz="0" w:space="0" w:color="auto"/>
            <w:right w:val="none" w:sz="0" w:space="0" w:color="auto"/>
          </w:divBdr>
        </w:div>
      </w:divsChild>
    </w:div>
    <w:div w:id="1493906889">
      <w:marLeft w:val="0"/>
      <w:marRight w:val="0"/>
      <w:marTop w:val="0"/>
      <w:marBottom w:val="0"/>
      <w:divBdr>
        <w:top w:val="none" w:sz="0" w:space="0" w:color="auto"/>
        <w:left w:val="none" w:sz="0" w:space="0" w:color="auto"/>
        <w:bottom w:val="none" w:sz="0" w:space="0" w:color="auto"/>
        <w:right w:val="none" w:sz="0" w:space="0" w:color="auto"/>
      </w:divBdr>
      <w:divsChild>
        <w:div w:id="1493906845">
          <w:marLeft w:val="0"/>
          <w:marRight w:val="0"/>
          <w:marTop w:val="0"/>
          <w:marBottom w:val="0"/>
          <w:divBdr>
            <w:top w:val="none" w:sz="0" w:space="0" w:color="auto"/>
            <w:left w:val="none" w:sz="0" w:space="0" w:color="auto"/>
            <w:bottom w:val="none" w:sz="0" w:space="0" w:color="auto"/>
            <w:right w:val="none" w:sz="0" w:space="0" w:color="auto"/>
          </w:divBdr>
        </w:div>
      </w:divsChild>
    </w:div>
    <w:div w:id="1493906892">
      <w:marLeft w:val="0"/>
      <w:marRight w:val="0"/>
      <w:marTop w:val="0"/>
      <w:marBottom w:val="0"/>
      <w:divBdr>
        <w:top w:val="none" w:sz="0" w:space="0" w:color="auto"/>
        <w:left w:val="none" w:sz="0" w:space="0" w:color="auto"/>
        <w:bottom w:val="none" w:sz="0" w:space="0" w:color="auto"/>
        <w:right w:val="none" w:sz="0" w:space="0" w:color="auto"/>
      </w:divBdr>
    </w:div>
    <w:div w:id="1493906893">
      <w:marLeft w:val="0"/>
      <w:marRight w:val="0"/>
      <w:marTop w:val="0"/>
      <w:marBottom w:val="0"/>
      <w:divBdr>
        <w:top w:val="none" w:sz="0" w:space="0" w:color="auto"/>
        <w:left w:val="none" w:sz="0" w:space="0" w:color="auto"/>
        <w:bottom w:val="none" w:sz="0" w:space="0" w:color="auto"/>
        <w:right w:val="none" w:sz="0" w:space="0" w:color="auto"/>
      </w:divBdr>
      <w:divsChild>
        <w:div w:id="1493906831">
          <w:marLeft w:val="0"/>
          <w:marRight w:val="0"/>
          <w:marTop w:val="0"/>
          <w:marBottom w:val="0"/>
          <w:divBdr>
            <w:top w:val="none" w:sz="0" w:space="0" w:color="auto"/>
            <w:left w:val="none" w:sz="0" w:space="0" w:color="auto"/>
            <w:bottom w:val="none" w:sz="0" w:space="0" w:color="auto"/>
            <w:right w:val="none" w:sz="0" w:space="0" w:color="auto"/>
          </w:divBdr>
        </w:div>
        <w:div w:id="1493906836">
          <w:marLeft w:val="0"/>
          <w:marRight w:val="0"/>
          <w:marTop w:val="0"/>
          <w:marBottom w:val="0"/>
          <w:divBdr>
            <w:top w:val="none" w:sz="0" w:space="0" w:color="auto"/>
            <w:left w:val="none" w:sz="0" w:space="0" w:color="auto"/>
            <w:bottom w:val="none" w:sz="0" w:space="0" w:color="auto"/>
            <w:right w:val="none" w:sz="0" w:space="0" w:color="auto"/>
          </w:divBdr>
        </w:div>
        <w:div w:id="1493906838">
          <w:marLeft w:val="0"/>
          <w:marRight w:val="0"/>
          <w:marTop w:val="0"/>
          <w:marBottom w:val="0"/>
          <w:divBdr>
            <w:top w:val="none" w:sz="0" w:space="0" w:color="auto"/>
            <w:left w:val="none" w:sz="0" w:space="0" w:color="auto"/>
            <w:bottom w:val="none" w:sz="0" w:space="0" w:color="auto"/>
            <w:right w:val="none" w:sz="0" w:space="0" w:color="auto"/>
          </w:divBdr>
        </w:div>
        <w:div w:id="1493906839">
          <w:marLeft w:val="0"/>
          <w:marRight w:val="0"/>
          <w:marTop w:val="0"/>
          <w:marBottom w:val="0"/>
          <w:divBdr>
            <w:top w:val="none" w:sz="0" w:space="0" w:color="auto"/>
            <w:left w:val="none" w:sz="0" w:space="0" w:color="auto"/>
            <w:bottom w:val="none" w:sz="0" w:space="0" w:color="auto"/>
            <w:right w:val="none" w:sz="0" w:space="0" w:color="auto"/>
          </w:divBdr>
        </w:div>
        <w:div w:id="1493906840">
          <w:marLeft w:val="0"/>
          <w:marRight w:val="0"/>
          <w:marTop w:val="0"/>
          <w:marBottom w:val="0"/>
          <w:divBdr>
            <w:top w:val="none" w:sz="0" w:space="0" w:color="auto"/>
            <w:left w:val="none" w:sz="0" w:space="0" w:color="auto"/>
            <w:bottom w:val="none" w:sz="0" w:space="0" w:color="auto"/>
            <w:right w:val="none" w:sz="0" w:space="0" w:color="auto"/>
          </w:divBdr>
        </w:div>
        <w:div w:id="1493906842">
          <w:marLeft w:val="0"/>
          <w:marRight w:val="0"/>
          <w:marTop w:val="0"/>
          <w:marBottom w:val="0"/>
          <w:divBdr>
            <w:top w:val="none" w:sz="0" w:space="0" w:color="auto"/>
            <w:left w:val="none" w:sz="0" w:space="0" w:color="auto"/>
            <w:bottom w:val="none" w:sz="0" w:space="0" w:color="auto"/>
            <w:right w:val="none" w:sz="0" w:space="0" w:color="auto"/>
          </w:divBdr>
        </w:div>
        <w:div w:id="1493906844">
          <w:marLeft w:val="0"/>
          <w:marRight w:val="0"/>
          <w:marTop w:val="0"/>
          <w:marBottom w:val="0"/>
          <w:divBdr>
            <w:top w:val="none" w:sz="0" w:space="0" w:color="auto"/>
            <w:left w:val="none" w:sz="0" w:space="0" w:color="auto"/>
            <w:bottom w:val="none" w:sz="0" w:space="0" w:color="auto"/>
            <w:right w:val="none" w:sz="0" w:space="0" w:color="auto"/>
          </w:divBdr>
        </w:div>
        <w:div w:id="1493906849">
          <w:marLeft w:val="0"/>
          <w:marRight w:val="0"/>
          <w:marTop w:val="0"/>
          <w:marBottom w:val="0"/>
          <w:divBdr>
            <w:top w:val="none" w:sz="0" w:space="0" w:color="auto"/>
            <w:left w:val="none" w:sz="0" w:space="0" w:color="auto"/>
            <w:bottom w:val="none" w:sz="0" w:space="0" w:color="auto"/>
            <w:right w:val="none" w:sz="0" w:space="0" w:color="auto"/>
          </w:divBdr>
        </w:div>
        <w:div w:id="1493906851">
          <w:marLeft w:val="0"/>
          <w:marRight w:val="0"/>
          <w:marTop w:val="0"/>
          <w:marBottom w:val="0"/>
          <w:divBdr>
            <w:top w:val="none" w:sz="0" w:space="0" w:color="auto"/>
            <w:left w:val="none" w:sz="0" w:space="0" w:color="auto"/>
            <w:bottom w:val="none" w:sz="0" w:space="0" w:color="auto"/>
            <w:right w:val="none" w:sz="0" w:space="0" w:color="auto"/>
          </w:divBdr>
        </w:div>
        <w:div w:id="1493906856">
          <w:marLeft w:val="0"/>
          <w:marRight w:val="0"/>
          <w:marTop w:val="0"/>
          <w:marBottom w:val="0"/>
          <w:divBdr>
            <w:top w:val="none" w:sz="0" w:space="0" w:color="auto"/>
            <w:left w:val="none" w:sz="0" w:space="0" w:color="auto"/>
            <w:bottom w:val="none" w:sz="0" w:space="0" w:color="auto"/>
            <w:right w:val="none" w:sz="0" w:space="0" w:color="auto"/>
          </w:divBdr>
        </w:div>
        <w:div w:id="1493906857">
          <w:marLeft w:val="0"/>
          <w:marRight w:val="0"/>
          <w:marTop w:val="0"/>
          <w:marBottom w:val="0"/>
          <w:divBdr>
            <w:top w:val="none" w:sz="0" w:space="0" w:color="auto"/>
            <w:left w:val="none" w:sz="0" w:space="0" w:color="auto"/>
            <w:bottom w:val="none" w:sz="0" w:space="0" w:color="auto"/>
            <w:right w:val="none" w:sz="0" w:space="0" w:color="auto"/>
          </w:divBdr>
        </w:div>
        <w:div w:id="1493906865">
          <w:marLeft w:val="0"/>
          <w:marRight w:val="0"/>
          <w:marTop w:val="0"/>
          <w:marBottom w:val="0"/>
          <w:divBdr>
            <w:top w:val="none" w:sz="0" w:space="0" w:color="auto"/>
            <w:left w:val="none" w:sz="0" w:space="0" w:color="auto"/>
            <w:bottom w:val="none" w:sz="0" w:space="0" w:color="auto"/>
            <w:right w:val="none" w:sz="0" w:space="0" w:color="auto"/>
          </w:divBdr>
        </w:div>
        <w:div w:id="1493906866">
          <w:marLeft w:val="0"/>
          <w:marRight w:val="0"/>
          <w:marTop w:val="0"/>
          <w:marBottom w:val="0"/>
          <w:divBdr>
            <w:top w:val="none" w:sz="0" w:space="0" w:color="auto"/>
            <w:left w:val="none" w:sz="0" w:space="0" w:color="auto"/>
            <w:bottom w:val="none" w:sz="0" w:space="0" w:color="auto"/>
            <w:right w:val="none" w:sz="0" w:space="0" w:color="auto"/>
          </w:divBdr>
        </w:div>
        <w:div w:id="1493906868">
          <w:marLeft w:val="0"/>
          <w:marRight w:val="0"/>
          <w:marTop w:val="0"/>
          <w:marBottom w:val="0"/>
          <w:divBdr>
            <w:top w:val="none" w:sz="0" w:space="0" w:color="auto"/>
            <w:left w:val="none" w:sz="0" w:space="0" w:color="auto"/>
            <w:bottom w:val="none" w:sz="0" w:space="0" w:color="auto"/>
            <w:right w:val="none" w:sz="0" w:space="0" w:color="auto"/>
          </w:divBdr>
        </w:div>
        <w:div w:id="1493906870">
          <w:marLeft w:val="0"/>
          <w:marRight w:val="0"/>
          <w:marTop w:val="0"/>
          <w:marBottom w:val="0"/>
          <w:divBdr>
            <w:top w:val="none" w:sz="0" w:space="0" w:color="auto"/>
            <w:left w:val="none" w:sz="0" w:space="0" w:color="auto"/>
            <w:bottom w:val="none" w:sz="0" w:space="0" w:color="auto"/>
            <w:right w:val="none" w:sz="0" w:space="0" w:color="auto"/>
          </w:divBdr>
        </w:div>
        <w:div w:id="1493906873">
          <w:marLeft w:val="0"/>
          <w:marRight w:val="0"/>
          <w:marTop w:val="0"/>
          <w:marBottom w:val="0"/>
          <w:divBdr>
            <w:top w:val="none" w:sz="0" w:space="0" w:color="auto"/>
            <w:left w:val="none" w:sz="0" w:space="0" w:color="auto"/>
            <w:bottom w:val="none" w:sz="0" w:space="0" w:color="auto"/>
            <w:right w:val="none" w:sz="0" w:space="0" w:color="auto"/>
          </w:divBdr>
        </w:div>
        <w:div w:id="1493906875">
          <w:marLeft w:val="0"/>
          <w:marRight w:val="0"/>
          <w:marTop w:val="0"/>
          <w:marBottom w:val="0"/>
          <w:divBdr>
            <w:top w:val="none" w:sz="0" w:space="0" w:color="auto"/>
            <w:left w:val="none" w:sz="0" w:space="0" w:color="auto"/>
            <w:bottom w:val="none" w:sz="0" w:space="0" w:color="auto"/>
            <w:right w:val="none" w:sz="0" w:space="0" w:color="auto"/>
          </w:divBdr>
        </w:div>
        <w:div w:id="1493906876">
          <w:marLeft w:val="0"/>
          <w:marRight w:val="0"/>
          <w:marTop w:val="0"/>
          <w:marBottom w:val="0"/>
          <w:divBdr>
            <w:top w:val="none" w:sz="0" w:space="0" w:color="auto"/>
            <w:left w:val="none" w:sz="0" w:space="0" w:color="auto"/>
            <w:bottom w:val="none" w:sz="0" w:space="0" w:color="auto"/>
            <w:right w:val="none" w:sz="0" w:space="0" w:color="auto"/>
          </w:divBdr>
        </w:div>
        <w:div w:id="1493906877">
          <w:marLeft w:val="0"/>
          <w:marRight w:val="0"/>
          <w:marTop w:val="0"/>
          <w:marBottom w:val="0"/>
          <w:divBdr>
            <w:top w:val="none" w:sz="0" w:space="0" w:color="auto"/>
            <w:left w:val="none" w:sz="0" w:space="0" w:color="auto"/>
            <w:bottom w:val="none" w:sz="0" w:space="0" w:color="auto"/>
            <w:right w:val="none" w:sz="0" w:space="0" w:color="auto"/>
          </w:divBdr>
        </w:div>
        <w:div w:id="1493906879">
          <w:marLeft w:val="0"/>
          <w:marRight w:val="0"/>
          <w:marTop w:val="0"/>
          <w:marBottom w:val="0"/>
          <w:divBdr>
            <w:top w:val="none" w:sz="0" w:space="0" w:color="auto"/>
            <w:left w:val="none" w:sz="0" w:space="0" w:color="auto"/>
            <w:bottom w:val="none" w:sz="0" w:space="0" w:color="auto"/>
            <w:right w:val="none" w:sz="0" w:space="0" w:color="auto"/>
          </w:divBdr>
        </w:div>
        <w:div w:id="1493906881">
          <w:marLeft w:val="0"/>
          <w:marRight w:val="0"/>
          <w:marTop w:val="0"/>
          <w:marBottom w:val="0"/>
          <w:divBdr>
            <w:top w:val="none" w:sz="0" w:space="0" w:color="auto"/>
            <w:left w:val="none" w:sz="0" w:space="0" w:color="auto"/>
            <w:bottom w:val="none" w:sz="0" w:space="0" w:color="auto"/>
            <w:right w:val="none" w:sz="0" w:space="0" w:color="auto"/>
          </w:divBdr>
        </w:div>
        <w:div w:id="1493906883">
          <w:marLeft w:val="0"/>
          <w:marRight w:val="0"/>
          <w:marTop w:val="0"/>
          <w:marBottom w:val="0"/>
          <w:divBdr>
            <w:top w:val="none" w:sz="0" w:space="0" w:color="auto"/>
            <w:left w:val="none" w:sz="0" w:space="0" w:color="auto"/>
            <w:bottom w:val="none" w:sz="0" w:space="0" w:color="auto"/>
            <w:right w:val="none" w:sz="0" w:space="0" w:color="auto"/>
          </w:divBdr>
        </w:div>
        <w:div w:id="1493906885">
          <w:marLeft w:val="0"/>
          <w:marRight w:val="0"/>
          <w:marTop w:val="0"/>
          <w:marBottom w:val="0"/>
          <w:divBdr>
            <w:top w:val="none" w:sz="0" w:space="0" w:color="auto"/>
            <w:left w:val="none" w:sz="0" w:space="0" w:color="auto"/>
            <w:bottom w:val="none" w:sz="0" w:space="0" w:color="auto"/>
            <w:right w:val="none" w:sz="0" w:space="0" w:color="auto"/>
          </w:divBdr>
        </w:div>
        <w:div w:id="1493906888">
          <w:marLeft w:val="0"/>
          <w:marRight w:val="0"/>
          <w:marTop w:val="0"/>
          <w:marBottom w:val="0"/>
          <w:divBdr>
            <w:top w:val="none" w:sz="0" w:space="0" w:color="auto"/>
            <w:left w:val="none" w:sz="0" w:space="0" w:color="auto"/>
            <w:bottom w:val="none" w:sz="0" w:space="0" w:color="auto"/>
            <w:right w:val="none" w:sz="0" w:space="0" w:color="auto"/>
          </w:divBdr>
        </w:div>
        <w:div w:id="1493906891">
          <w:marLeft w:val="0"/>
          <w:marRight w:val="0"/>
          <w:marTop w:val="0"/>
          <w:marBottom w:val="0"/>
          <w:divBdr>
            <w:top w:val="none" w:sz="0" w:space="0" w:color="auto"/>
            <w:left w:val="none" w:sz="0" w:space="0" w:color="auto"/>
            <w:bottom w:val="none" w:sz="0" w:space="0" w:color="auto"/>
            <w:right w:val="none" w:sz="0" w:space="0" w:color="auto"/>
          </w:divBdr>
        </w:div>
        <w:div w:id="1493906897">
          <w:marLeft w:val="0"/>
          <w:marRight w:val="0"/>
          <w:marTop w:val="0"/>
          <w:marBottom w:val="0"/>
          <w:divBdr>
            <w:top w:val="none" w:sz="0" w:space="0" w:color="auto"/>
            <w:left w:val="none" w:sz="0" w:space="0" w:color="auto"/>
            <w:bottom w:val="none" w:sz="0" w:space="0" w:color="auto"/>
            <w:right w:val="none" w:sz="0" w:space="0" w:color="auto"/>
          </w:divBdr>
        </w:div>
        <w:div w:id="1493906899">
          <w:marLeft w:val="0"/>
          <w:marRight w:val="0"/>
          <w:marTop w:val="0"/>
          <w:marBottom w:val="0"/>
          <w:divBdr>
            <w:top w:val="none" w:sz="0" w:space="0" w:color="auto"/>
            <w:left w:val="none" w:sz="0" w:space="0" w:color="auto"/>
            <w:bottom w:val="none" w:sz="0" w:space="0" w:color="auto"/>
            <w:right w:val="none" w:sz="0" w:space="0" w:color="auto"/>
          </w:divBdr>
        </w:div>
        <w:div w:id="1493906900">
          <w:marLeft w:val="0"/>
          <w:marRight w:val="0"/>
          <w:marTop w:val="0"/>
          <w:marBottom w:val="0"/>
          <w:divBdr>
            <w:top w:val="none" w:sz="0" w:space="0" w:color="auto"/>
            <w:left w:val="none" w:sz="0" w:space="0" w:color="auto"/>
            <w:bottom w:val="none" w:sz="0" w:space="0" w:color="auto"/>
            <w:right w:val="none" w:sz="0" w:space="0" w:color="auto"/>
          </w:divBdr>
        </w:div>
        <w:div w:id="1493906904">
          <w:marLeft w:val="0"/>
          <w:marRight w:val="0"/>
          <w:marTop w:val="0"/>
          <w:marBottom w:val="0"/>
          <w:divBdr>
            <w:top w:val="none" w:sz="0" w:space="0" w:color="auto"/>
            <w:left w:val="none" w:sz="0" w:space="0" w:color="auto"/>
            <w:bottom w:val="none" w:sz="0" w:space="0" w:color="auto"/>
            <w:right w:val="none" w:sz="0" w:space="0" w:color="auto"/>
          </w:divBdr>
        </w:div>
        <w:div w:id="1493906910">
          <w:marLeft w:val="0"/>
          <w:marRight w:val="0"/>
          <w:marTop w:val="0"/>
          <w:marBottom w:val="0"/>
          <w:divBdr>
            <w:top w:val="none" w:sz="0" w:space="0" w:color="auto"/>
            <w:left w:val="none" w:sz="0" w:space="0" w:color="auto"/>
            <w:bottom w:val="none" w:sz="0" w:space="0" w:color="auto"/>
            <w:right w:val="none" w:sz="0" w:space="0" w:color="auto"/>
          </w:divBdr>
        </w:div>
        <w:div w:id="1493906911">
          <w:marLeft w:val="0"/>
          <w:marRight w:val="0"/>
          <w:marTop w:val="0"/>
          <w:marBottom w:val="0"/>
          <w:divBdr>
            <w:top w:val="none" w:sz="0" w:space="0" w:color="auto"/>
            <w:left w:val="none" w:sz="0" w:space="0" w:color="auto"/>
            <w:bottom w:val="none" w:sz="0" w:space="0" w:color="auto"/>
            <w:right w:val="none" w:sz="0" w:space="0" w:color="auto"/>
          </w:divBdr>
        </w:div>
        <w:div w:id="1493906913">
          <w:marLeft w:val="0"/>
          <w:marRight w:val="0"/>
          <w:marTop w:val="0"/>
          <w:marBottom w:val="0"/>
          <w:divBdr>
            <w:top w:val="none" w:sz="0" w:space="0" w:color="auto"/>
            <w:left w:val="none" w:sz="0" w:space="0" w:color="auto"/>
            <w:bottom w:val="none" w:sz="0" w:space="0" w:color="auto"/>
            <w:right w:val="none" w:sz="0" w:space="0" w:color="auto"/>
          </w:divBdr>
        </w:div>
        <w:div w:id="1493906914">
          <w:marLeft w:val="0"/>
          <w:marRight w:val="0"/>
          <w:marTop w:val="0"/>
          <w:marBottom w:val="0"/>
          <w:divBdr>
            <w:top w:val="none" w:sz="0" w:space="0" w:color="auto"/>
            <w:left w:val="none" w:sz="0" w:space="0" w:color="auto"/>
            <w:bottom w:val="none" w:sz="0" w:space="0" w:color="auto"/>
            <w:right w:val="none" w:sz="0" w:space="0" w:color="auto"/>
          </w:divBdr>
        </w:div>
        <w:div w:id="1493906915">
          <w:marLeft w:val="0"/>
          <w:marRight w:val="0"/>
          <w:marTop w:val="0"/>
          <w:marBottom w:val="0"/>
          <w:divBdr>
            <w:top w:val="none" w:sz="0" w:space="0" w:color="auto"/>
            <w:left w:val="none" w:sz="0" w:space="0" w:color="auto"/>
            <w:bottom w:val="none" w:sz="0" w:space="0" w:color="auto"/>
            <w:right w:val="none" w:sz="0" w:space="0" w:color="auto"/>
          </w:divBdr>
        </w:div>
        <w:div w:id="1493906916">
          <w:marLeft w:val="0"/>
          <w:marRight w:val="0"/>
          <w:marTop w:val="0"/>
          <w:marBottom w:val="0"/>
          <w:divBdr>
            <w:top w:val="none" w:sz="0" w:space="0" w:color="auto"/>
            <w:left w:val="none" w:sz="0" w:space="0" w:color="auto"/>
            <w:bottom w:val="none" w:sz="0" w:space="0" w:color="auto"/>
            <w:right w:val="none" w:sz="0" w:space="0" w:color="auto"/>
          </w:divBdr>
        </w:div>
        <w:div w:id="1493906919">
          <w:marLeft w:val="0"/>
          <w:marRight w:val="0"/>
          <w:marTop w:val="0"/>
          <w:marBottom w:val="0"/>
          <w:divBdr>
            <w:top w:val="none" w:sz="0" w:space="0" w:color="auto"/>
            <w:left w:val="none" w:sz="0" w:space="0" w:color="auto"/>
            <w:bottom w:val="none" w:sz="0" w:space="0" w:color="auto"/>
            <w:right w:val="none" w:sz="0" w:space="0" w:color="auto"/>
          </w:divBdr>
        </w:div>
        <w:div w:id="1493906920">
          <w:marLeft w:val="0"/>
          <w:marRight w:val="0"/>
          <w:marTop w:val="0"/>
          <w:marBottom w:val="0"/>
          <w:divBdr>
            <w:top w:val="none" w:sz="0" w:space="0" w:color="auto"/>
            <w:left w:val="none" w:sz="0" w:space="0" w:color="auto"/>
            <w:bottom w:val="none" w:sz="0" w:space="0" w:color="auto"/>
            <w:right w:val="none" w:sz="0" w:space="0" w:color="auto"/>
          </w:divBdr>
        </w:div>
        <w:div w:id="1493906922">
          <w:marLeft w:val="0"/>
          <w:marRight w:val="0"/>
          <w:marTop w:val="0"/>
          <w:marBottom w:val="0"/>
          <w:divBdr>
            <w:top w:val="none" w:sz="0" w:space="0" w:color="auto"/>
            <w:left w:val="none" w:sz="0" w:space="0" w:color="auto"/>
            <w:bottom w:val="none" w:sz="0" w:space="0" w:color="auto"/>
            <w:right w:val="none" w:sz="0" w:space="0" w:color="auto"/>
          </w:divBdr>
        </w:div>
        <w:div w:id="1493906925">
          <w:marLeft w:val="0"/>
          <w:marRight w:val="0"/>
          <w:marTop w:val="0"/>
          <w:marBottom w:val="0"/>
          <w:divBdr>
            <w:top w:val="none" w:sz="0" w:space="0" w:color="auto"/>
            <w:left w:val="none" w:sz="0" w:space="0" w:color="auto"/>
            <w:bottom w:val="none" w:sz="0" w:space="0" w:color="auto"/>
            <w:right w:val="none" w:sz="0" w:space="0" w:color="auto"/>
          </w:divBdr>
        </w:div>
        <w:div w:id="1493906928">
          <w:marLeft w:val="0"/>
          <w:marRight w:val="0"/>
          <w:marTop w:val="0"/>
          <w:marBottom w:val="0"/>
          <w:divBdr>
            <w:top w:val="none" w:sz="0" w:space="0" w:color="auto"/>
            <w:left w:val="none" w:sz="0" w:space="0" w:color="auto"/>
            <w:bottom w:val="none" w:sz="0" w:space="0" w:color="auto"/>
            <w:right w:val="none" w:sz="0" w:space="0" w:color="auto"/>
          </w:divBdr>
        </w:div>
        <w:div w:id="1493906929">
          <w:marLeft w:val="0"/>
          <w:marRight w:val="0"/>
          <w:marTop w:val="0"/>
          <w:marBottom w:val="0"/>
          <w:divBdr>
            <w:top w:val="none" w:sz="0" w:space="0" w:color="auto"/>
            <w:left w:val="none" w:sz="0" w:space="0" w:color="auto"/>
            <w:bottom w:val="none" w:sz="0" w:space="0" w:color="auto"/>
            <w:right w:val="none" w:sz="0" w:space="0" w:color="auto"/>
          </w:divBdr>
        </w:div>
        <w:div w:id="1493906930">
          <w:marLeft w:val="0"/>
          <w:marRight w:val="0"/>
          <w:marTop w:val="0"/>
          <w:marBottom w:val="0"/>
          <w:divBdr>
            <w:top w:val="none" w:sz="0" w:space="0" w:color="auto"/>
            <w:left w:val="none" w:sz="0" w:space="0" w:color="auto"/>
            <w:bottom w:val="none" w:sz="0" w:space="0" w:color="auto"/>
            <w:right w:val="none" w:sz="0" w:space="0" w:color="auto"/>
          </w:divBdr>
        </w:div>
        <w:div w:id="1493906931">
          <w:marLeft w:val="0"/>
          <w:marRight w:val="0"/>
          <w:marTop w:val="0"/>
          <w:marBottom w:val="0"/>
          <w:divBdr>
            <w:top w:val="none" w:sz="0" w:space="0" w:color="auto"/>
            <w:left w:val="none" w:sz="0" w:space="0" w:color="auto"/>
            <w:bottom w:val="none" w:sz="0" w:space="0" w:color="auto"/>
            <w:right w:val="none" w:sz="0" w:space="0" w:color="auto"/>
          </w:divBdr>
        </w:div>
        <w:div w:id="1493906932">
          <w:marLeft w:val="0"/>
          <w:marRight w:val="0"/>
          <w:marTop w:val="0"/>
          <w:marBottom w:val="0"/>
          <w:divBdr>
            <w:top w:val="none" w:sz="0" w:space="0" w:color="auto"/>
            <w:left w:val="none" w:sz="0" w:space="0" w:color="auto"/>
            <w:bottom w:val="none" w:sz="0" w:space="0" w:color="auto"/>
            <w:right w:val="none" w:sz="0" w:space="0" w:color="auto"/>
          </w:divBdr>
        </w:div>
        <w:div w:id="1493906934">
          <w:marLeft w:val="0"/>
          <w:marRight w:val="0"/>
          <w:marTop w:val="0"/>
          <w:marBottom w:val="0"/>
          <w:divBdr>
            <w:top w:val="none" w:sz="0" w:space="0" w:color="auto"/>
            <w:left w:val="none" w:sz="0" w:space="0" w:color="auto"/>
            <w:bottom w:val="none" w:sz="0" w:space="0" w:color="auto"/>
            <w:right w:val="none" w:sz="0" w:space="0" w:color="auto"/>
          </w:divBdr>
        </w:div>
        <w:div w:id="1493906936">
          <w:marLeft w:val="0"/>
          <w:marRight w:val="0"/>
          <w:marTop w:val="0"/>
          <w:marBottom w:val="0"/>
          <w:divBdr>
            <w:top w:val="none" w:sz="0" w:space="0" w:color="auto"/>
            <w:left w:val="none" w:sz="0" w:space="0" w:color="auto"/>
            <w:bottom w:val="none" w:sz="0" w:space="0" w:color="auto"/>
            <w:right w:val="none" w:sz="0" w:space="0" w:color="auto"/>
          </w:divBdr>
        </w:div>
        <w:div w:id="1493906938">
          <w:marLeft w:val="0"/>
          <w:marRight w:val="0"/>
          <w:marTop w:val="0"/>
          <w:marBottom w:val="0"/>
          <w:divBdr>
            <w:top w:val="none" w:sz="0" w:space="0" w:color="auto"/>
            <w:left w:val="none" w:sz="0" w:space="0" w:color="auto"/>
            <w:bottom w:val="none" w:sz="0" w:space="0" w:color="auto"/>
            <w:right w:val="none" w:sz="0" w:space="0" w:color="auto"/>
          </w:divBdr>
        </w:div>
        <w:div w:id="1493906939">
          <w:marLeft w:val="0"/>
          <w:marRight w:val="0"/>
          <w:marTop w:val="0"/>
          <w:marBottom w:val="0"/>
          <w:divBdr>
            <w:top w:val="none" w:sz="0" w:space="0" w:color="auto"/>
            <w:left w:val="none" w:sz="0" w:space="0" w:color="auto"/>
            <w:bottom w:val="none" w:sz="0" w:space="0" w:color="auto"/>
            <w:right w:val="none" w:sz="0" w:space="0" w:color="auto"/>
          </w:divBdr>
        </w:div>
        <w:div w:id="1493906940">
          <w:marLeft w:val="0"/>
          <w:marRight w:val="0"/>
          <w:marTop w:val="0"/>
          <w:marBottom w:val="0"/>
          <w:divBdr>
            <w:top w:val="none" w:sz="0" w:space="0" w:color="auto"/>
            <w:left w:val="none" w:sz="0" w:space="0" w:color="auto"/>
            <w:bottom w:val="none" w:sz="0" w:space="0" w:color="auto"/>
            <w:right w:val="none" w:sz="0" w:space="0" w:color="auto"/>
          </w:divBdr>
        </w:div>
        <w:div w:id="1493906941">
          <w:marLeft w:val="0"/>
          <w:marRight w:val="0"/>
          <w:marTop w:val="0"/>
          <w:marBottom w:val="0"/>
          <w:divBdr>
            <w:top w:val="none" w:sz="0" w:space="0" w:color="auto"/>
            <w:left w:val="none" w:sz="0" w:space="0" w:color="auto"/>
            <w:bottom w:val="none" w:sz="0" w:space="0" w:color="auto"/>
            <w:right w:val="none" w:sz="0" w:space="0" w:color="auto"/>
          </w:divBdr>
        </w:div>
        <w:div w:id="1493906942">
          <w:marLeft w:val="0"/>
          <w:marRight w:val="0"/>
          <w:marTop w:val="0"/>
          <w:marBottom w:val="0"/>
          <w:divBdr>
            <w:top w:val="none" w:sz="0" w:space="0" w:color="auto"/>
            <w:left w:val="none" w:sz="0" w:space="0" w:color="auto"/>
            <w:bottom w:val="none" w:sz="0" w:space="0" w:color="auto"/>
            <w:right w:val="none" w:sz="0" w:space="0" w:color="auto"/>
          </w:divBdr>
        </w:div>
        <w:div w:id="1493906946">
          <w:marLeft w:val="0"/>
          <w:marRight w:val="0"/>
          <w:marTop w:val="0"/>
          <w:marBottom w:val="0"/>
          <w:divBdr>
            <w:top w:val="none" w:sz="0" w:space="0" w:color="auto"/>
            <w:left w:val="none" w:sz="0" w:space="0" w:color="auto"/>
            <w:bottom w:val="none" w:sz="0" w:space="0" w:color="auto"/>
            <w:right w:val="none" w:sz="0" w:space="0" w:color="auto"/>
          </w:divBdr>
        </w:div>
      </w:divsChild>
    </w:div>
    <w:div w:id="1493906896">
      <w:marLeft w:val="0"/>
      <w:marRight w:val="0"/>
      <w:marTop w:val="0"/>
      <w:marBottom w:val="0"/>
      <w:divBdr>
        <w:top w:val="none" w:sz="0" w:space="0" w:color="auto"/>
        <w:left w:val="none" w:sz="0" w:space="0" w:color="auto"/>
        <w:bottom w:val="none" w:sz="0" w:space="0" w:color="auto"/>
        <w:right w:val="none" w:sz="0" w:space="0" w:color="auto"/>
      </w:divBdr>
      <w:divsChild>
        <w:div w:id="1493906867">
          <w:marLeft w:val="0"/>
          <w:marRight w:val="0"/>
          <w:marTop w:val="0"/>
          <w:marBottom w:val="0"/>
          <w:divBdr>
            <w:top w:val="none" w:sz="0" w:space="0" w:color="auto"/>
            <w:left w:val="none" w:sz="0" w:space="0" w:color="auto"/>
            <w:bottom w:val="none" w:sz="0" w:space="0" w:color="auto"/>
            <w:right w:val="none" w:sz="0" w:space="0" w:color="auto"/>
          </w:divBdr>
        </w:div>
      </w:divsChild>
    </w:div>
    <w:div w:id="1493906898">
      <w:marLeft w:val="0"/>
      <w:marRight w:val="0"/>
      <w:marTop w:val="0"/>
      <w:marBottom w:val="0"/>
      <w:divBdr>
        <w:top w:val="none" w:sz="0" w:space="0" w:color="auto"/>
        <w:left w:val="none" w:sz="0" w:space="0" w:color="auto"/>
        <w:bottom w:val="none" w:sz="0" w:space="0" w:color="auto"/>
        <w:right w:val="none" w:sz="0" w:space="0" w:color="auto"/>
      </w:divBdr>
      <w:divsChild>
        <w:div w:id="1493906860">
          <w:marLeft w:val="0"/>
          <w:marRight w:val="0"/>
          <w:marTop w:val="0"/>
          <w:marBottom w:val="0"/>
          <w:divBdr>
            <w:top w:val="none" w:sz="0" w:space="0" w:color="auto"/>
            <w:left w:val="none" w:sz="0" w:space="0" w:color="auto"/>
            <w:bottom w:val="none" w:sz="0" w:space="0" w:color="auto"/>
            <w:right w:val="none" w:sz="0" w:space="0" w:color="auto"/>
          </w:divBdr>
        </w:div>
      </w:divsChild>
    </w:div>
    <w:div w:id="1493906901">
      <w:marLeft w:val="0"/>
      <w:marRight w:val="0"/>
      <w:marTop w:val="0"/>
      <w:marBottom w:val="0"/>
      <w:divBdr>
        <w:top w:val="none" w:sz="0" w:space="0" w:color="auto"/>
        <w:left w:val="none" w:sz="0" w:space="0" w:color="auto"/>
        <w:bottom w:val="none" w:sz="0" w:space="0" w:color="auto"/>
        <w:right w:val="none" w:sz="0" w:space="0" w:color="auto"/>
      </w:divBdr>
      <w:divsChild>
        <w:div w:id="1493906886">
          <w:marLeft w:val="0"/>
          <w:marRight w:val="0"/>
          <w:marTop w:val="0"/>
          <w:marBottom w:val="0"/>
          <w:divBdr>
            <w:top w:val="none" w:sz="0" w:space="0" w:color="auto"/>
            <w:left w:val="none" w:sz="0" w:space="0" w:color="auto"/>
            <w:bottom w:val="none" w:sz="0" w:space="0" w:color="auto"/>
            <w:right w:val="none" w:sz="0" w:space="0" w:color="auto"/>
          </w:divBdr>
        </w:div>
      </w:divsChild>
    </w:div>
    <w:div w:id="1493906903">
      <w:marLeft w:val="0"/>
      <w:marRight w:val="0"/>
      <w:marTop w:val="0"/>
      <w:marBottom w:val="0"/>
      <w:divBdr>
        <w:top w:val="none" w:sz="0" w:space="0" w:color="auto"/>
        <w:left w:val="none" w:sz="0" w:space="0" w:color="auto"/>
        <w:bottom w:val="none" w:sz="0" w:space="0" w:color="auto"/>
        <w:right w:val="none" w:sz="0" w:space="0" w:color="auto"/>
      </w:divBdr>
    </w:div>
    <w:div w:id="1493906905">
      <w:marLeft w:val="0"/>
      <w:marRight w:val="0"/>
      <w:marTop w:val="0"/>
      <w:marBottom w:val="0"/>
      <w:divBdr>
        <w:top w:val="none" w:sz="0" w:space="0" w:color="auto"/>
        <w:left w:val="none" w:sz="0" w:space="0" w:color="auto"/>
        <w:bottom w:val="none" w:sz="0" w:space="0" w:color="auto"/>
        <w:right w:val="none" w:sz="0" w:space="0" w:color="auto"/>
      </w:divBdr>
      <w:divsChild>
        <w:div w:id="1493906935">
          <w:marLeft w:val="0"/>
          <w:marRight w:val="0"/>
          <w:marTop w:val="0"/>
          <w:marBottom w:val="0"/>
          <w:divBdr>
            <w:top w:val="none" w:sz="0" w:space="0" w:color="auto"/>
            <w:left w:val="none" w:sz="0" w:space="0" w:color="auto"/>
            <w:bottom w:val="none" w:sz="0" w:space="0" w:color="auto"/>
            <w:right w:val="none" w:sz="0" w:space="0" w:color="auto"/>
          </w:divBdr>
          <w:divsChild>
            <w:div w:id="1493906864">
              <w:marLeft w:val="0"/>
              <w:marRight w:val="0"/>
              <w:marTop w:val="0"/>
              <w:marBottom w:val="0"/>
              <w:divBdr>
                <w:top w:val="none" w:sz="0" w:space="0" w:color="auto"/>
                <w:left w:val="none" w:sz="0" w:space="0" w:color="auto"/>
                <w:bottom w:val="none" w:sz="0" w:space="0" w:color="auto"/>
                <w:right w:val="none" w:sz="0" w:space="0" w:color="auto"/>
              </w:divBdr>
            </w:div>
            <w:div w:id="14939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906">
      <w:marLeft w:val="0"/>
      <w:marRight w:val="0"/>
      <w:marTop w:val="0"/>
      <w:marBottom w:val="0"/>
      <w:divBdr>
        <w:top w:val="none" w:sz="0" w:space="0" w:color="auto"/>
        <w:left w:val="none" w:sz="0" w:space="0" w:color="auto"/>
        <w:bottom w:val="none" w:sz="0" w:space="0" w:color="auto"/>
        <w:right w:val="none" w:sz="0" w:space="0" w:color="auto"/>
      </w:divBdr>
      <w:divsChild>
        <w:div w:id="1493906895">
          <w:marLeft w:val="0"/>
          <w:marRight w:val="0"/>
          <w:marTop w:val="0"/>
          <w:marBottom w:val="0"/>
          <w:divBdr>
            <w:top w:val="none" w:sz="0" w:space="0" w:color="auto"/>
            <w:left w:val="none" w:sz="0" w:space="0" w:color="auto"/>
            <w:bottom w:val="none" w:sz="0" w:space="0" w:color="auto"/>
            <w:right w:val="none" w:sz="0" w:space="0" w:color="auto"/>
          </w:divBdr>
        </w:div>
      </w:divsChild>
    </w:div>
    <w:div w:id="1493906909">
      <w:marLeft w:val="0"/>
      <w:marRight w:val="0"/>
      <w:marTop w:val="0"/>
      <w:marBottom w:val="0"/>
      <w:divBdr>
        <w:top w:val="none" w:sz="0" w:space="0" w:color="auto"/>
        <w:left w:val="none" w:sz="0" w:space="0" w:color="auto"/>
        <w:bottom w:val="none" w:sz="0" w:space="0" w:color="auto"/>
        <w:right w:val="none" w:sz="0" w:space="0" w:color="auto"/>
      </w:divBdr>
      <w:divsChild>
        <w:div w:id="1493906847">
          <w:marLeft w:val="0"/>
          <w:marRight w:val="0"/>
          <w:marTop w:val="0"/>
          <w:marBottom w:val="0"/>
          <w:divBdr>
            <w:top w:val="none" w:sz="0" w:space="0" w:color="auto"/>
            <w:left w:val="none" w:sz="0" w:space="0" w:color="auto"/>
            <w:bottom w:val="none" w:sz="0" w:space="0" w:color="auto"/>
            <w:right w:val="none" w:sz="0" w:space="0" w:color="auto"/>
          </w:divBdr>
          <w:divsChild>
            <w:div w:id="1493906887">
              <w:marLeft w:val="0"/>
              <w:marRight w:val="0"/>
              <w:marTop w:val="0"/>
              <w:marBottom w:val="0"/>
              <w:divBdr>
                <w:top w:val="none" w:sz="0" w:space="0" w:color="auto"/>
                <w:left w:val="none" w:sz="0" w:space="0" w:color="auto"/>
                <w:bottom w:val="none" w:sz="0" w:space="0" w:color="auto"/>
                <w:right w:val="none" w:sz="0" w:space="0" w:color="auto"/>
              </w:divBdr>
            </w:div>
            <w:div w:id="14939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912">
      <w:marLeft w:val="0"/>
      <w:marRight w:val="0"/>
      <w:marTop w:val="0"/>
      <w:marBottom w:val="0"/>
      <w:divBdr>
        <w:top w:val="none" w:sz="0" w:space="0" w:color="auto"/>
        <w:left w:val="none" w:sz="0" w:space="0" w:color="auto"/>
        <w:bottom w:val="none" w:sz="0" w:space="0" w:color="auto"/>
        <w:right w:val="none" w:sz="0" w:space="0" w:color="auto"/>
      </w:divBdr>
      <w:divsChild>
        <w:div w:id="1493906862">
          <w:marLeft w:val="0"/>
          <w:marRight w:val="0"/>
          <w:marTop w:val="0"/>
          <w:marBottom w:val="0"/>
          <w:divBdr>
            <w:top w:val="none" w:sz="0" w:space="0" w:color="auto"/>
            <w:left w:val="none" w:sz="0" w:space="0" w:color="auto"/>
            <w:bottom w:val="none" w:sz="0" w:space="0" w:color="auto"/>
            <w:right w:val="none" w:sz="0" w:space="0" w:color="auto"/>
          </w:divBdr>
        </w:div>
      </w:divsChild>
    </w:div>
    <w:div w:id="1493906917">
      <w:marLeft w:val="0"/>
      <w:marRight w:val="0"/>
      <w:marTop w:val="0"/>
      <w:marBottom w:val="0"/>
      <w:divBdr>
        <w:top w:val="none" w:sz="0" w:space="0" w:color="auto"/>
        <w:left w:val="none" w:sz="0" w:space="0" w:color="auto"/>
        <w:bottom w:val="none" w:sz="0" w:space="0" w:color="auto"/>
        <w:right w:val="none" w:sz="0" w:space="0" w:color="auto"/>
      </w:divBdr>
      <w:divsChild>
        <w:div w:id="1493906947">
          <w:marLeft w:val="0"/>
          <w:marRight w:val="0"/>
          <w:marTop w:val="0"/>
          <w:marBottom w:val="0"/>
          <w:divBdr>
            <w:top w:val="none" w:sz="0" w:space="0" w:color="auto"/>
            <w:left w:val="none" w:sz="0" w:space="0" w:color="auto"/>
            <w:bottom w:val="none" w:sz="0" w:space="0" w:color="auto"/>
            <w:right w:val="none" w:sz="0" w:space="0" w:color="auto"/>
          </w:divBdr>
        </w:div>
      </w:divsChild>
    </w:div>
    <w:div w:id="1493906921">
      <w:marLeft w:val="0"/>
      <w:marRight w:val="0"/>
      <w:marTop w:val="0"/>
      <w:marBottom w:val="0"/>
      <w:divBdr>
        <w:top w:val="none" w:sz="0" w:space="0" w:color="auto"/>
        <w:left w:val="none" w:sz="0" w:space="0" w:color="auto"/>
        <w:bottom w:val="none" w:sz="0" w:space="0" w:color="auto"/>
        <w:right w:val="none" w:sz="0" w:space="0" w:color="auto"/>
      </w:divBdr>
      <w:divsChild>
        <w:div w:id="1493906863">
          <w:marLeft w:val="0"/>
          <w:marRight w:val="0"/>
          <w:marTop w:val="0"/>
          <w:marBottom w:val="0"/>
          <w:divBdr>
            <w:top w:val="none" w:sz="0" w:space="0" w:color="auto"/>
            <w:left w:val="none" w:sz="0" w:space="0" w:color="auto"/>
            <w:bottom w:val="none" w:sz="0" w:space="0" w:color="auto"/>
            <w:right w:val="none" w:sz="0" w:space="0" w:color="auto"/>
          </w:divBdr>
        </w:div>
      </w:divsChild>
    </w:div>
    <w:div w:id="1493906923">
      <w:marLeft w:val="0"/>
      <w:marRight w:val="0"/>
      <w:marTop w:val="0"/>
      <w:marBottom w:val="0"/>
      <w:divBdr>
        <w:top w:val="none" w:sz="0" w:space="0" w:color="auto"/>
        <w:left w:val="none" w:sz="0" w:space="0" w:color="auto"/>
        <w:bottom w:val="none" w:sz="0" w:space="0" w:color="auto"/>
        <w:right w:val="none" w:sz="0" w:space="0" w:color="auto"/>
      </w:divBdr>
      <w:divsChild>
        <w:div w:id="1493906907">
          <w:marLeft w:val="0"/>
          <w:marRight w:val="0"/>
          <w:marTop w:val="0"/>
          <w:marBottom w:val="0"/>
          <w:divBdr>
            <w:top w:val="none" w:sz="0" w:space="0" w:color="auto"/>
            <w:left w:val="none" w:sz="0" w:space="0" w:color="auto"/>
            <w:bottom w:val="none" w:sz="0" w:space="0" w:color="auto"/>
            <w:right w:val="none" w:sz="0" w:space="0" w:color="auto"/>
          </w:divBdr>
        </w:div>
      </w:divsChild>
    </w:div>
    <w:div w:id="1493906924">
      <w:marLeft w:val="0"/>
      <w:marRight w:val="0"/>
      <w:marTop w:val="0"/>
      <w:marBottom w:val="0"/>
      <w:divBdr>
        <w:top w:val="none" w:sz="0" w:space="0" w:color="auto"/>
        <w:left w:val="none" w:sz="0" w:space="0" w:color="auto"/>
        <w:bottom w:val="none" w:sz="0" w:space="0" w:color="auto"/>
        <w:right w:val="none" w:sz="0" w:space="0" w:color="auto"/>
      </w:divBdr>
    </w:div>
    <w:div w:id="1493906926">
      <w:marLeft w:val="0"/>
      <w:marRight w:val="0"/>
      <w:marTop w:val="0"/>
      <w:marBottom w:val="0"/>
      <w:divBdr>
        <w:top w:val="none" w:sz="0" w:space="0" w:color="auto"/>
        <w:left w:val="none" w:sz="0" w:space="0" w:color="auto"/>
        <w:bottom w:val="none" w:sz="0" w:space="0" w:color="auto"/>
        <w:right w:val="none" w:sz="0" w:space="0" w:color="auto"/>
      </w:divBdr>
      <w:divsChild>
        <w:div w:id="1493906878">
          <w:marLeft w:val="0"/>
          <w:marRight w:val="0"/>
          <w:marTop w:val="0"/>
          <w:marBottom w:val="0"/>
          <w:divBdr>
            <w:top w:val="none" w:sz="0" w:space="0" w:color="auto"/>
            <w:left w:val="none" w:sz="0" w:space="0" w:color="auto"/>
            <w:bottom w:val="none" w:sz="0" w:space="0" w:color="auto"/>
            <w:right w:val="none" w:sz="0" w:space="0" w:color="auto"/>
          </w:divBdr>
        </w:div>
      </w:divsChild>
    </w:div>
    <w:div w:id="1493906927">
      <w:marLeft w:val="0"/>
      <w:marRight w:val="0"/>
      <w:marTop w:val="0"/>
      <w:marBottom w:val="0"/>
      <w:divBdr>
        <w:top w:val="none" w:sz="0" w:space="0" w:color="auto"/>
        <w:left w:val="none" w:sz="0" w:space="0" w:color="auto"/>
        <w:bottom w:val="none" w:sz="0" w:space="0" w:color="auto"/>
        <w:right w:val="none" w:sz="0" w:space="0" w:color="auto"/>
      </w:divBdr>
    </w:div>
    <w:div w:id="1493906933">
      <w:marLeft w:val="0"/>
      <w:marRight w:val="0"/>
      <w:marTop w:val="0"/>
      <w:marBottom w:val="0"/>
      <w:divBdr>
        <w:top w:val="none" w:sz="0" w:space="0" w:color="auto"/>
        <w:left w:val="none" w:sz="0" w:space="0" w:color="auto"/>
        <w:bottom w:val="none" w:sz="0" w:space="0" w:color="auto"/>
        <w:right w:val="none" w:sz="0" w:space="0" w:color="auto"/>
      </w:divBdr>
      <w:divsChild>
        <w:div w:id="1493906861">
          <w:marLeft w:val="0"/>
          <w:marRight w:val="0"/>
          <w:marTop w:val="0"/>
          <w:marBottom w:val="0"/>
          <w:divBdr>
            <w:top w:val="none" w:sz="0" w:space="0" w:color="auto"/>
            <w:left w:val="none" w:sz="0" w:space="0" w:color="auto"/>
            <w:bottom w:val="none" w:sz="0" w:space="0" w:color="auto"/>
            <w:right w:val="none" w:sz="0" w:space="0" w:color="auto"/>
          </w:divBdr>
        </w:div>
      </w:divsChild>
    </w:div>
    <w:div w:id="1493906937">
      <w:marLeft w:val="0"/>
      <w:marRight w:val="0"/>
      <w:marTop w:val="0"/>
      <w:marBottom w:val="0"/>
      <w:divBdr>
        <w:top w:val="none" w:sz="0" w:space="0" w:color="auto"/>
        <w:left w:val="none" w:sz="0" w:space="0" w:color="auto"/>
        <w:bottom w:val="none" w:sz="0" w:space="0" w:color="auto"/>
        <w:right w:val="none" w:sz="0" w:space="0" w:color="auto"/>
      </w:divBdr>
    </w:div>
    <w:div w:id="1493906943">
      <w:marLeft w:val="0"/>
      <w:marRight w:val="0"/>
      <w:marTop w:val="0"/>
      <w:marBottom w:val="0"/>
      <w:divBdr>
        <w:top w:val="none" w:sz="0" w:space="0" w:color="auto"/>
        <w:left w:val="none" w:sz="0" w:space="0" w:color="auto"/>
        <w:bottom w:val="none" w:sz="0" w:space="0" w:color="auto"/>
        <w:right w:val="none" w:sz="0" w:space="0" w:color="auto"/>
      </w:divBdr>
    </w:div>
    <w:div w:id="1493906944">
      <w:marLeft w:val="0"/>
      <w:marRight w:val="0"/>
      <w:marTop w:val="0"/>
      <w:marBottom w:val="0"/>
      <w:divBdr>
        <w:top w:val="none" w:sz="0" w:space="0" w:color="auto"/>
        <w:left w:val="none" w:sz="0" w:space="0" w:color="auto"/>
        <w:bottom w:val="none" w:sz="0" w:space="0" w:color="auto"/>
        <w:right w:val="none" w:sz="0" w:space="0" w:color="auto"/>
      </w:divBdr>
      <w:divsChild>
        <w:div w:id="1493906882">
          <w:marLeft w:val="0"/>
          <w:marRight w:val="0"/>
          <w:marTop w:val="0"/>
          <w:marBottom w:val="0"/>
          <w:divBdr>
            <w:top w:val="none" w:sz="0" w:space="0" w:color="auto"/>
            <w:left w:val="none" w:sz="0" w:space="0" w:color="auto"/>
            <w:bottom w:val="none" w:sz="0" w:space="0" w:color="auto"/>
            <w:right w:val="none" w:sz="0" w:space="0" w:color="auto"/>
          </w:divBdr>
        </w:div>
      </w:divsChild>
    </w:div>
    <w:div w:id="1493906945">
      <w:marLeft w:val="0"/>
      <w:marRight w:val="0"/>
      <w:marTop w:val="0"/>
      <w:marBottom w:val="0"/>
      <w:divBdr>
        <w:top w:val="none" w:sz="0" w:space="0" w:color="auto"/>
        <w:left w:val="none" w:sz="0" w:space="0" w:color="auto"/>
        <w:bottom w:val="none" w:sz="0" w:space="0" w:color="auto"/>
        <w:right w:val="none" w:sz="0" w:space="0" w:color="auto"/>
      </w:divBdr>
      <w:divsChild>
        <w:div w:id="149390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9530</TotalTime>
  <Pages>1</Pages>
  <Words>6329</Words>
  <Characters>36077</Characters>
  <Application>Microsoft Office Word</Application>
  <DocSecurity>0</DocSecurity>
  <Lines>300</Lines>
  <Paragraphs>84</Paragraphs>
  <ScaleCrop>false</ScaleCrop>
  <Company>dr_v_karakus@yahoo.com</Company>
  <LinksUpToDate>false</LinksUpToDate>
  <CharactersWithSpaces>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Karakuş</dc:creator>
  <cp:keywords/>
  <dc:description/>
  <cp:lastModifiedBy>asdasd</cp:lastModifiedBy>
  <cp:revision>90</cp:revision>
  <dcterms:created xsi:type="dcterms:W3CDTF">2013-09-09T17:18:00Z</dcterms:created>
  <dcterms:modified xsi:type="dcterms:W3CDTF">2013-12-13T12:38:00Z</dcterms:modified>
</cp:coreProperties>
</file>