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E5" w:rsidRDefault="00C13C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F831E5" w:rsidRDefault="00C13C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59038</w:t>
      </w:r>
    </w:p>
    <w:p w:rsidR="00F831E5" w:rsidRDefault="00C13C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Clinical Trials Study</w:t>
      </w:r>
    </w:p>
    <w:p w:rsidR="00F831E5" w:rsidRDefault="00C13CFC">
      <w:pPr>
        <w:spacing w:line="360" w:lineRule="auto"/>
        <w:jc w:val="both"/>
      </w:pPr>
      <w:r>
        <w:rPr>
          <w:rFonts w:ascii="Book Antiqua" w:eastAsia="Book Antiqua" w:hAnsi="Book Antiqua" w:cs="Book Antiqua"/>
          <w:b/>
          <w:bCs/>
          <w:color w:val="000000"/>
        </w:rPr>
        <w:t xml:space="preserve">Effect of postoperative early </w:t>
      </w:r>
      <w:bookmarkStart w:id="0" w:name="OLE_LINK1"/>
      <w:r>
        <w:rPr>
          <w:rFonts w:ascii="Book Antiqua" w:eastAsia="Book Antiqua" w:hAnsi="Book Antiqua" w:cs="Book Antiqua"/>
          <w:b/>
          <w:bCs/>
          <w:color w:val="000000"/>
        </w:rPr>
        <w:t>enteral nutrition</w:t>
      </w:r>
      <w:bookmarkEnd w:id="0"/>
      <w:r>
        <w:rPr>
          <w:rFonts w:ascii="Book Antiqua" w:eastAsia="Book Antiqua" w:hAnsi="Book Antiqua" w:cs="Book Antiqua"/>
          <w:b/>
          <w:bCs/>
          <w:color w:val="000000"/>
        </w:rPr>
        <w:t xml:space="preserve"> on clinical outcomes and immune function of cholangiocarcinoma patients with malignant obstructive jaundice</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color w:val="000000"/>
        </w:rPr>
        <w:t xml:space="preserve">Ma BQ </w:t>
      </w:r>
      <w:r>
        <w:rPr>
          <w:rFonts w:ascii="Book Antiqua" w:eastAsia="Book Antiqua" w:hAnsi="Book Antiqua" w:cs="Book Antiqua"/>
          <w:i/>
          <w:iCs/>
          <w:color w:val="000000"/>
        </w:rPr>
        <w:t>et al.</w:t>
      </w:r>
      <w:r>
        <w:rPr>
          <w:rFonts w:ascii="Book Antiqua" w:eastAsia="Book Antiqua" w:hAnsi="Book Antiqua" w:cs="Book Antiqua"/>
          <w:color w:val="000000"/>
        </w:rPr>
        <w:t> EEN and cholangiocarcinoma patients with MOJ</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color w:val="000000"/>
        </w:rPr>
        <w:t>Bing-Qiang Ma, Shi-Yong Chen, Ze-Bin Jiang, Biao Wu, Yu He, Xin-Xin Wang, Yuan Li, Peng Gao, Xiao-Jun Yang</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Bing-Qiang Ma, Ze-Bin Jiang, Peng Gao, Xiao-Jun Yang, </w:t>
      </w:r>
      <w:r>
        <w:rPr>
          <w:rFonts w:ascii="Book Antiqua" w:eastAsia="Book Antiqua" w:hAnsi="Book Antiqua" w:cs="Book Antiqua"/>
          <w:color w:val="000000"/>
        </w:rPr>
        <w:t>Department of General Surgery, Gansu Provincial Hospital, Lanzhou 730000, Gansu Province, China</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Shi-Yong Chen, Biao Wu, Yuan Li, </w:t>
      </w:r>
      <w:r>
        <w:rPr>
          <w:rFonts w:ascii="Book Antiqua" w:eastAsia="Book Antiqua" w:hAnsi="Book Antiqua" w:cs="Book Antiqua"/>
          <w:color w:val="000000"/>
        </w:rPr>
        <w:t>School of Clinical Medicine, Ningxia Medical University, Yinchuan 750000, Ningxia Hui Autonomous Region, China</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Yu He, Xin-Xin Wang, </w:t>
      </w:r>
      <w:r>
        <w:rPr>
          <w:rFonts w:ascii="Book Antiqua" w:eastAsia="Book Antiqua" w:hAnsi="Book Antiqua" w:cs="Book Antiqua"/>
          <w:color w:val="000000"/>
        </w:rPr>
        <w:t>School of Clinical Medicine, Gansu University of Chinese Medicine, Lanzhou 730000, Gansu Province, China</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Ma BQ, Chen SY, and Jiang ZB contributed equally to this work and should be considered as co-first authors;</w:t>
      </w:r>
      <w:r>
        <w:rPr>
          <w:rFonts w:ascii="Book Antiqua" w:eastAsia="Book Antiqua" w:hAnsi="Book Antiqua" w:cs="Book Antiqua"/>
          <w:b/>
          <w:bCs/>
          <w:color w:val="000000"/>
        </w:rPr>
        <w:t> </w:t>
      </w:r>
      <w:r>
        <w:rPr>
          <w:rFonts w:ascii="Book Antiqua" w:eastAsia="Book Antiqua" w:hAnsi="Book Antiqua" w:cs="Book Antiqua"/>
          <w:color w:val="000000"/>
        </w:rPr>
        <w:t>Ma BQ, Chen SY, Jiang ZB, and Yang XJ conceived the experiment; Ma BQ and Jiang ZB analyzed the results; Ma BQ and Chen SY wrote the original draft; Ma BQ, Chen SY, Jiang ZB, Wu B, He Y, Wang XX, Li Y, Gao P, and Yang XJ conducted the experiment; All the authors revised the manuscript and approved the final version.</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 No. 81660398; and The Hospital Key Program of National Scientific Research Cultivation Plan, No. 19SYPYA-12.</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Corresponding author: Xiao-Jun Yang, MD, PhD, Chief Doctor, Professor, Surgeon, </w:t>
      </w:r>
      <w:r>
        <w:rPr>
          <w:rFonts w:ascii="Book Antiqua" w:eastAsia="Book Antiqua" w:hAnsi="Book Antiqua" w:cs="Book Antiqua"/>
          <w:color w:val="000000"/>
        </w:rPr>
        <w:t>Department of General Surgery, Gansu Provincial Hospital, No. 204 Donggang West Road, Chengguan District, Lanzhou 730000, Gansu Province, China. yangxjmd@aliyun.com</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27, 2020</w:t>
      </w:r>
    </w:p>
    <w:p w:rsidR="00F831E5" w:rsidRDefault="00C13C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2020</w:t>
      </w:r>
    </w:p>
    <w:p w:rsidR="00F831E5" w:rsidRDefault="00C13CFC">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21, 2020</w:t>
      </w:r>
    </w:p>
    <w:p w:rsidR="00F831E5" w:rsidRPr="0019256B" w:rsidRDefault="00C13CFC">
      <w:pPr>
        <w:spacing w:line="360" w:lineRule="auto"/>
        <w:jc w:val="both"/>
        <w:rPr>
          <w:lang w:eastAsia="zh-CN"/>
        </w:rPr>
      </w:pPr>
      <w:r>
        <w:rPr>
          <w:rFonts w:ascii="Book Antiqua" w:eastAsia="Book Antiqua" w:hAnsi="Book Antiqua" w:cs="Book Antiqua"/>
          <w:b/>
          <w:bCs/>
          <w:color w:val="000000"/>
        </w:rPr>
        <w:t xml:space="preserve">Published online: </w:t>
      </w:r>
      <w:r w:rsidR="0019256B" w:rsidRPr="0019256B">
        <w:rPr>
          <w:rFonts w:ascii="Book Antiqua" w:hAnsi="Book Antiqua" w:cs="Book Antiqua" w:hint="eastAsia"/>
          <w:bCs/>
          <w:color w:val="000000"/>
          <w:lang w:eastAsia="zh-CN"/>
        </w:rPr>
        <w:t>December 14, 2020</w:t>
      </w:r>
    </w:p>
    <w:p w:rsidR="00F831E5" w:rsidRDefault="00F831E5">
      <w:pPr>
        <w:spacing w:line="360" w:lineRule="auto"/>
        <w:jc w:val="both"/>
        <w:sectPr w:rsidR="00F831E5">
          <w:footerReference w:type="default" r:id="rId8"/>
          <w:pgSz w:w="12240" w:h="15840"/>
          <w:pgMar w:top="1440" w:right="1440" w:bottom="1440" w:left="1440" w:header="720" w:footer="720" w:gutter="0"/>
          <w:cols w:space="720"/>
          <w:docGrid w:linePitch="360"/>
        </w:sectPr>
      </w:pPr>
    </w:p>
    <w:p w:rsidR="00F831E5" w:rsidRDefault="00C13CFC">
      <w:pPr>
        <w:spacing w:line="360" w:lineRule="auto"/>
        <w:jc w:val="both"/>
      </w:pPr>
      <w:r>
        <w:rPr>
          <w:rFonts w:ascii="Book Antiqua" w:eastAsia="Book Antiqua" w:hAnsi="Book Antiqua" w:cs="Book Antiqua"/>
          <w:b/>
          <w:color w:val="000000"/>
        </w:rPr>
        <w:t>Abstract</w:t>
      </w:r>
    </w:p>
    <w:p w:rsidR="00F831E5" w:rsidRDefault="00C13CFC">
      <w:pPr>
        <w:spacing w:line="360" w:lineRule="auto"/>
        <w:jc w:val="both"/>
      </w:pPr>
      <w:r>
        <w:rPr>
          <w:rFonts w:ascii="Book Antiqua" w:eastAsia="Book Antiqua" w:hAnsi="Book Antiqua" w:cs="Book Antiqua"/>
          <w:color w:val="000000"/>
        </w:rPr>
        <w:t>BACKGROUND</w:t>
      </w:r>
    </w:p>
    <w:p w:rsidR="00F831E5" w:rsidRDefault="00C13CFC">
      <w:pPr>
        <w:spacing w:line="360" w:lineRule="auto"/>
        <w:jc w:val="both"/>
      </w:pPr>
      <w:r>
        <w:rPr>
          <w:rFonts w:ascii="Book Antiqua" w:eastAsia="Book Antiqua" w:hAnsi="Book Antiqua" w:cs="Book Antiqua"/>
          <w:color w:val="000000"/>
        </w:rPr>
        <w:t>Most cholangiocarcinoma patients with malignant obstructive jaundice (MOJ) have varying degrees of malnutrition and immunodeficiency preoperatively. Therefore, perioperative nutritional support has important clinical significance in the treatment of cholangiocarcinoma.</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color w:val="000000"/>
        </w:rPr>
        <w:t>AIM</w:t>
      </w:r>
    </w:p>
    <w:p w:rsidR="00F831E5" w:rsidRDefault="00C13CFC">
      <w:pPr>
        <w:spacing w:line="360" w:lineRule="auto"/>
        <w:jc w:val="both"/>
      </w:pPr>
      <w:r>
        <w:rPr>
          <w:rFonts w:ascii="Book Antiqua" w:eastAsia="Book Antiqua" w:hAnsi="Book Antiqua" w:cs="Book Antiqua"/>
          <w:color w:val="000000"/>
        </w:rPr>
        <w:t>To investigate the effects of postoperative early enteral nutrition (EEN) on immunity function and clinical outcomes of cholangiocarcinoma patients with MOJ.</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color w:val="000000"/>
        </w:rPr>
        <w:t>METHODS</w:t>
      </w:r>
    </w:p>
    <w:p w:rsidR="00F831E5" w:rsidRDefault="00C13CFC">
      <w:pPr>
        <w:spacing w:line="360" w:lineRule="auto"/>
        <w:jc w:val="both"/>
      </w:pPr>
      <w:r>
        <w:rPr>
          <w:rFonts w:ascii="Book Antiqua" w:eastAsia="Book Antiqua" w:hAnsi="Book Antiqua" w:cs="Book Antiqua"/>
          <w:color w:val="000000"/>
        </w:rPr>
        <w:t>This prospective clinical study included 60 cholangiocarcinoma patients with MOJ who underwent surgery. The patients were randomly divided into an experimental group and a control group according to the nutrition support modes. The control group received postoperative total parenteral nutrition (TPN), whereas the experimental group received postoperative EEN and parenteral nutrition (PN; EEN + PN). The clinical outcomes, postoperative immune function, incidences of surgical site infection and bile leakage, intestinal function recovery time, average hospitalization days, and hospitalization expenses of the two groups were assessed on postoperative days (PODs) 1, 3, and 7.</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color w:val="000000"/>
        </w:rPr>
        <w:t>RESULTS</w:t>
      </w:r>
    </w:p>
    <w:p w:rsidR="00F831E5" w:rsidRDefault="00C13CFC">
      <w:pPr>
        <w:spacing w:line="360" w:lineRule="auto"/>
        <w:jc w:val="both"/>
      </w:pPr>
      <w:r>
        <w:rPr>
          <w:rFonts w:ascii="Book Antiqua" w:eastAsia="Book Antiqua" w:hAnsi="Book Antiqua" w:cs="Book Antiqua"/>
          <w:color w:val="000000"/>
        </w:rPr>
        <w:t>The CD3+T, CD4+T, CD8+T, and CD4+T/CD8+T cell count and the immunoglobulin (Ig) G, IgM, and IgA levels in the EEN + 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whereas no significant differences in the CD3+T, CD4+T, CD8+T, and CD4+T/CD8+T cell counts and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intestinal function recovery time and postoperative hospital stay were shorter (</w:t>
      </w:r>
      <w:r>
        <w:rPr>
          <w:rFonts w:ascii="Book Antiqua" w:eastAsia="Book Antiqua" w:hAnsi="Book Antiqua" w:cs="Book Antiqua"/>
          <w:i/>
          <w:iCs/>
          <w:color w:val="000000"/>
        </w:rPr>
        <w:t>P</w:t>
      </w:r>
      <w:r>
        <w:rPr>
          <w:rFonts w:ascii="Book Antiqua" w:eastAsia="Book Antiqua" w:hAnsi="Book Antiqua" w:cs="Book Antiqua"/>
          <w:color w:val="000000"/>
        </w:rPr>
        <w:t> &lt; 0.001 for both) in the EEN + PN group than in the TPN group. The hospitalization expenses of the EEN + PN group were lower than those of the TPN group (</w:t>
      </w:r>
      <w:r>
        <w:rPr>
          <w:rFonts w:ascii="Book Antiqua" w:eastAsia="Book Antiqua" w:hAnsi="Book Antiqua" w:cs="Book Antiqua"/>
          <w:i/>
          <w:iCs/>
          <w:color w:val="000000"/>
        </w:rPr>
        <w:t>P</w:t>
      </w:r>
      <w:r>
        <w:rPr>
          <w:rFonts w:ascii="Book Antiqua" w:eastAsia="Book Antiqua" w:hAnsi="Book Antiqua" w:cs="Book Antiqua"/>
          <w:color w:val="000000"/>
        </w:rPr>
        <w:t> &lt; 0.001). However, the incidence of abdominal distension was higher than in the EEN + PN group than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The incidence rates of biliary leakage and surgical site infection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color w:val="000000"/>
        </w:rPr>
        <w:t>CONCLUSION</w:t>
      </w:r>
    </w:p>
    <w:p w:rsidR="00F831E5" w:rsidRDefault="00C13CFC">
      <w:pPr>
        <w:spacing w:line="360" w:lineRule="auto"/>
        <w:jc w:val="both"/>
      </w:pPr>
      <w:r>
        <w:rPr>
          <w:rFonts w:ascii="Book Antiqua" w:eastAsia="Book Antiqua" w:hAnsi="Book Antiqua" w:cs="Book Antiqua"/>
          <w:color w:val="000000"/>
        </w:rPr>
        <w:t>A postoperative EEN program could reduce the incidence of postoperative complications and improve the clinical outcomes and immune functions of cholangiocarcinoma patients with MOJ and is thus beneficial to patient recovery.</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Clinical outcomes; Early enteral nutrition; Immune function; Nutritional status; Malignant obstructive jaundice; Cholangiocarcinoma</w:t>
      </w:r>
    </w:p>
    <w:p w:rsidR="00F831E5" w:rsidRDefault="00F831E5">
      <w:pPr>
        <w:spacing w:line="360" w:lineRule="auto"/>
        <w:jc w:val="both"/>
      </w:pPr>
    </w:p>
    <w:p w:rsidR="007C78EC" w:rsidRDefault="007C78EC">
      <w:pPr>
        <w:spacing w:line="360" w:lineRule="auto"/>
        <w:jc w:val="both"/>
        <w:rPr>
          <w:rFonts w:ascii="Book Antiqua" w:hAnsi="Book Antiqua" w:cs="Book Antiqua" w:hint="eastAsia"/>
          <w:color w:val="000000"/>
          <w:lang w:eastAsia="zh-CN"/>
        </w:rPr>
      </w:pPr>
      <w:r w:rsidRPr="007C78EC">
        <w:rPr>
          <w:rFonts w:ascii="Book Antiqua" w:hAnsi="Book Antiqua" w:cs="Book Antiqua" w:hint="eastAsia"/>
          <w:b/>
          <w:color w:val="000000"/>
          <w:lang w:eastAsia="zh-CN"/>
        </w:rPr>
        <w:t xml:space="preserve">Citation: </w:t>
      </w:r>
      <w:r w:rsidR="00C13CFC">
        <w:rPr>
          <w:rFonts w:ascii="Book Antiqua" w:eastAsia="Book Antiqua" w:hAnsi="Book Antiqua" w:cs="Book Antiqua"/>
          <w:color w:val="000000"/>
        </w:rPr>
        <w:t xml:space="preserve">Ma BQ, Chen SY, Jiang ZB, Wu B, He Y, Wang XX, Li Y, Gao P, Yang XJ. Effect of postoperative early enteral nutrition on clinical outcomes and immune function of cholangiocarcinoma patients with malignant obstructive jaundice. </w:t>
      </w:r>
      <w:r w:rsidR="00C13CFC">
        <w:rPr>
          <w:rFonts w:ascii="Book Antiqua" w:eastAsia="Book Antiqua" w:hAnsi="Book Antiqua" w:cs="Book Antiqua"/>
          <w:i/>
          <w:iCs/>
          <w:color w:val="000000"/>
        </w:rPr>
        <w:t>World J Gastroenterol</w:t>
      </w:r>
      <w:r w:rsidR="00C13CFC">
        <w:rPr>
          <w:rFonts w:ascii="Book Antiqua" w:eastAsia="Book Antiqua" w:hAnsi="Book Antiqua" w:cs="Book Antiqua"/>
          <w:color w:val="000000"/>
        </w:rPr>
        <w:t xml:space="preserve"> 2020; </w:t>
      </w:r>
      <w:r w:rsidR="00487CB5" w:rsidRPr="00487CB5">
        <w:rPr>
          <w:rFonts w:ascii="Book Antiqua" w:eastAsia="Book Antiqua" w:hAnsi="Book Antiqua" w:cs="Book Antiqua"/>
          <w:color w:val="000000"/>
        </w:rPr>
        <w:t xml:space="preserve">26(46): </w:t>
      </w:r>
      <w:r w:rsidR="00D620A5" w:rsidRPr="00D620A5">
        <w:rPr>
          <w:rFonts w:ascii="Book Antiqua" w:eastAsia="Book Antiqua" w:hAnsi="Book Antiqua" w:cs="Book Antiqua"/>
          <w:color w:val="000000"/>
        </w:rPr>
        <w:t>7405-7415</w:t>
      </w:r>
      <w:r w:rsidR="00487CB5" w:rsidRPr="00487CB5">
        <w:rPr>
          <w:rFonts w:ascii="Book Antiqua" w:eastAsia="Book Antiqua" w:hAnsi="Book Antiqua" w:cs="Book Antiqua"/>
          <w:color w:val="000000"/>
        </w:rPr>
        <w:t xml:space="preserve">  </w:t>
      </w:r>
    </w:p>
    <w:p w:rsidR="007C78EC" w:rsidRDefault="00487CB5">
      <w:pPr>
        <w:spacing w:line="360" w:lineRule="auto"/>
        <w:jc w:val="both"/>
        <w:rPr>
          <w:rFonts w:ascii="Book Antiqua" w:hAnsi="Book Antiqua" w:cs="Book Antiqua" w:hint="eastAsia"/>
          <w:color w:val="000000"/>
          <w:lang w:eastAsia="zh-CN"/>
        </w:rPr>
      </w:pPr>
      <w:r w:rsidRPr="007C78EC">
        <w:rPr>
          <w:rFonts w:ascii="Book Antiqua" w:eastAsia="Book Antiqua" w:hAnsi="Book Antiqua" w:cs="Book Antiqua"/>
          <w:b/>
          <w:color w:val="000000"/>
        </w:rPr>
        <w:t xml:space="preserve">URL: </w:t>
      </w:r>
      <w:r w:rsidRPr="00487CB5">
        <w:rPr>
          <w:rFonts w:ascii="Book Antiqua" w:eastAsia="Book Antiqua" w:hAnsi="Book Antiqua" w:cs="Book Antiqua"/>
          <w:color w:val="000000"/>
        </w:rPr>
        <w:t>https://www.wjgnet.com/1007-9327/full/v26/i46/</w:t>
      </w:r>
      <w:r w:rsidR="00D620A5">
        <w:rPr>
          <w:rFonts w:ascii="Book Antiqua" w:hAnsi="Book Antiqua" w:cs="Book Antiqua" w:hint="eastAsia"/>
          <w:color w:val="000000"/>
          <w:lang w:eastAsia="zh-CN"/>
        </w:rPr>
        <w:t>7405</w:t>
      </w:r>
      <w:r w:rsidRPr="00487CB5">
        <w:rPr>
          <w:rFonts w:ascii="Book Antiqua" w:eastAsia="Book Antiqua" w:hAnsi="Book Antiqua" w:cs="Book Antiqua"/>
          <w:color w:val="000000"/>
        </w:rPr>
        <w:t xml:space="preserve">.htm  </w:t>
      </w:r>
    </w:p>
    <w:p w:rsidR="00F831E5" w:rsidRPr="00C1245C" w:rsidRDefault="00487CB5">
      <w:pPr>
        <w:spacing w:line="360" w:lineRule="auto"/>
        <w:jc w:val="both"/>
        <w:rPr>
          <w:rFonts w:hint="eastAsia"/>
          <w:lang w:eastAsia="zh-CN"/>
        </w:rPr>
      </w:pPr>
      <w:bookmarkStart w:id="1" w:name="_GoBack"/>
      <w:r w:rsidRPr="007C78EC">
        <w:rPr>
          <w:rFonts w:ascii="Book Antiqua" w:eastAsia="Book Antiqua" w:hAnsi="Book Antiqua" w:cs="Book Antiqua"/>
          <w:b/>
          <w:color w:val="000000"/>
        </w:rPr>
        <w:t>DOI:</w:t>
      </w:r>
      <w:bookmarkEnd w:id="1"/>
      <w:r w:rsidRPr="00487CB5">
        <w:rPr>
          <w:rFonts w:ascii="Book Antiqua" w:eastAsia="Book Antiqua" w:hAnsi="Book Antiqua" w:cs="Book Antiqua"/>
          <w:color w:val="000000"/>
        </w:rPr>
        <w:t xml:space="preserve"> https://dx.doi.org/10.3748/wjg.v26.i46.</w:t>
      </w:r>
      <w:r w:rsidR="00C1245C">
        <w:rPr>
          <w:rFonts w:ascii="Book Antiqua" w:hAnsi="Book Antiqua" w:cs="Book Antiqua" w:hint="eastAsia"/>
          <w:color w:val="000000"/>
          <w:lang w:eastAsia="zh-CN"/>
        </w:rPr>
        <w:t>7405</w:t>
      </w:r>
    </w:p>
    <w:p w:rsidR="00F831E5" w:rsidRDefault="00F831E5">
      <w:pPr>
        <w:spacing w:line="360" w:lineRule="auto"/>
        <w:jc w:val="both"/>
      </w:pPr>
    </w:p>
    <w:p w:rsidR="00F831E5" w:rsidRDefault="00C13CF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aim of this prospective clinical trial was to investigate the effects of postoperative early enteral nutrition (EEN) on immunity function and clinical outcomes of cholangiocarcinoma patients with malignant obstructive jaundice (MOJ). Patients were randomly divided into the early enteral nutrition and parenteral nutrition (EEN+PN) and total parenteral nutrition (TPN) groups. As a result, the CD3+T, CD4+T, CD8+T, and CD4+T/CD8+T cell counts, and the immunoglobulin (Ig) G, IgM, and IgA levels in the EEN+PN group were significantly higher than those in the TPNgroup on postoperative days 3 and 7 (</w:t>
      </w:r>
      <w:r>
        <w:rPr>
          <w:rFonts w:ascii="Book Antiqua" w:eastAsia="Book Antiqua" w:hAnsi="Book Antiqua" w:cs="Book Antiqua"/>
          <w:i/>
          <w:iCs/>
          <w:color w:val="000000"/>
        </w:rPr>
        <w:t>P</w:t>
      </w:r>
      <w:r>
        <w:rPr>
          <w:rFonts w:ascii="Book Antiqua" w:eastAsia="Book Antiqua" w:hAnsi="Book Antiqua" w:cs="Book Antiqua"/>
          <w:color w:val="000000"/>
        </w:rPr>
        <w:t> &lt; 0.05). A postoperative EEN program could improve the clinical outcomes and immune functions of cholangiocarcinoma patients with MOJ and is thus beneficial to patient recovery.</w:t>
      </w:r>
    </w:p>
    <w:p w:rsidR="00F831E5" w:rsidRDefault="00C13C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t>INTRODUCTION</w:t>
      </w:r>
    </w:p>
    <w:p w:rsidR="00F831E5" w:rsidRDefault="00C13CFC">
      <w:pPr>
        <w:spacing w:line="360" w:lineRule="auto"/>
        <w:jc w:val="both"/>
      </w:pPr>
      <w:r>
        <w:rPr>
          <w:rFonts w:ascii="Book Antiqua" w:eastAsia="Book Antiqua" w:hAnsi="Book Antiqua" w:cs="Book Antiqua"/>
          <w:color w:val="000000"/>
        </w:rPr>
        <w:t>Cholangiocarcinoma with malignant obstructive jaundice (MOJ) is a malignant tumor originating from the bile duct epithelium. According to their locations, cholangiocarcinomas are divided into intrahepatic and extrahepatic groups (ECC). This study refers to ECC. Radical surgical resection is the most commonly used method for the treatment of cholangiocarcinoma and is still the only method that can achieve long-term survival of patients.</w:t>
      </w:r>
    </w:p>
    <w:p w:rsidR="00F831E5" w:rsidRDefault="00C13CFC">
      <w:pPr>
        <w:spacing w:line="360" w:lineRule="auto"/>
        <w:ind w:firstLineChars="100" w:firstLine="240"/>
        <w:jc w:val="both"/>
      </w:pPr>
      <w:r>
        <w:rPr>
          <w:rFonts w:ascii="Book Antiqua" w:eastAsia="Book Antiqua" w:hAnsi="Book Antiqua" w:cs="Book Antiqua"/>
          <w:color w:val="000000"/>
        </w:rPr>
        <w:t>However, impaired lipid digestion and absorption in patients with cholangiocarcinoma may result from decreased bile flow into the intestine due to bile duct obstruction and inflammation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Most cholangiocarcinoma patients with MOJ have varying degrees of malnutrition and immunodeficiency preoperatively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therefore, perioperative nutritional support has important clinical significance in the comprehensive treatment of cholangiocarcinoma.</w:t>
      </w:r>
    </w:p>
    <w:p w:rsidR="00F831E5" w:rsidRDefault="00C13CFC">
      <w:pPr>
        <w:spacing w:line="360" w:lineRule="auto"/>
        <w:ind w:firstLineChars="100" w:firstLine="240"/>
        <w:jc w:val="both"/>
      </w:pPr>
      <w:r>
        <w:rPr>
          <w:rFonts w:ascii="Book Antiqua" w:eastAsia="Book Antiqua" w:hAnsi="Book Antiqua" w:cs="Book Antiqua"/>
          <w:color w:val="000000"/>
        </w:rPr>
        <w:t>In this study, the clinical data of 56 cholangiocarcinoma patients with MOJ who underwent surgery were collected. The clinical value of early enteral nutrition (EEN) support in these patients was evaluated using a statistical analysis of the effects of different nutritional support methods on postoperative immune function.</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aps/>
          <w:color w:val="000000"/>
          <w:u w:val="single"/>
        </w:rPr>
        <w:t>MATERIALS AND METHODS</w:t>
      </w:r>
    </w:p>
    <w:p w:rsidR="00F831E5" w:rsidRDefault="00C13CFC">
      <w:pPr>
        <w:spacing w:line="360" w:lineRule="auto"/>
        <w:jc w:val="both"/>
      </w:pPr>
      <w:r>
        <w:rPr>
          <w:rFonts w:ascii="Book Antiqua" w:eastAsia="Book Antiqua" w:hAnsi="Book Antiqua" w:cs="Book Antiqua"/>
          <w:b/>
          <w:bCs/>
          <w:i/>
          <w:iCs/>
          <w:color w:val="000000"/>
        </w:rPr>
        <w:t>Study design</w:t>
      </w:r>
    </w:p>
    <w:p w:rsidR="00F831E5" w:rsidRDefault="00C13CFC">
      <w:pPr>
        <w:spacing w:line="360" w:lineRule="auto"/>
        <w:jc w:val="both"/>
      </w:pPr>
      <w:r>
        <w:rPr>
          <w:rFonts w:ascii="Book Antiqua" w:eastAsia="Book Antiqua" w:hAnsi="Book Antiqua" w:cs="Book Antiqua"/>
          <w:color w:val="000000"/>
        </w:rPr>
        <w:t>This was a prospective, single-center, randomized clinical trial. The patients were randomly assigned to either the EEN and parenteral nutrition (EEN + PN) or total parenteral nutrition (TPN) group after surgery. We used simple or complete randomization, which is a grouping method based on the remaining random numbers. After a random number was generated, the remaining grouping method (divided by two) was performed in a computer to determine which group the patient was assigned to, either the EEN + PN or TPN group. The treatment allocation was concealed from the patients included in the study and was not deleted from the study after it was made known to the patients. The main difference between the two groups was the nutritional support mode, so blinding the treating physicians to the treatment allocation was not possible. As the included patients had no knowledge of the treatment allocation, this study was considered a single-blind clinical trial. This study was approved by the ethics committee of Gansu Provincial Hospital (approval No. 2016-036), and all the programs were performed after the patients or their relatives signed the informed consent form. This study was registered at the Chinese Clinical Trial Registry, under registration identification No. ChiCTR2000034561. Figure 1 shows the flowchart of the participants.</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Patients</w:t>
      </w:r>
    </w:p>
    <w:p w:rsidR="00F831E5" w:rsidRDefault="00C13CFC">
      <w:pPr>
        <w:spacing w:line="360" w:lineRule="auto"/>
        <w:jc w:val="both"/>
      </w:pPr>
      <w:r>
        <w:rPr>
          <w:rFonts w:ascii="Book Antiqua" w:eastAsia="Book Antiqua" w:hAnsi="Book Antiqua" w:cs="Book Antiqua"/>
          <w:color w:val="000000"/>
        </w:rPr>
        <w:t>All adult patients (aged 18-70 years) who were admitted to the Department of General Surgery of Gansu Provincial Hospital between November 2016 and June 2019 under the diagnosis of ECC were included in this prospective clinical study.</w:t>
      </w:r>
    </w:p>
    <w:p w:rsidR="00F831E5" w:rsidRDefault="00C13CFC">
      <w:pPr>
        <w:spacing w:line="360" w:lineRule="auto"/>
        <w:ind w:firstLineChars="100" w:firstLine="240"/>
        <w:jc w:val="both"/>
      </w:pPr>
      <w:r>
        <w:rPr>
          <w:rFonts w:ascii="Book Antiqua" w:eastAsia="Book Antiqua" w:hAnsi="Book Antiqua" w:cs="Book Antiqua"/>
          <w:color w:val="000000"/>
        </w:rPr>
        <w:t xml:space="preserve">The inclusion criteria were as follows: (1) patients whose total bilirubin level exceeded 17.1 µmol/L and who could understand the purpose of the study and signed the informed consent form; (2) patients with preoperative nutrition risk screening (NRS) score ≥ 3 points (the European Society for Parenteral Nutrition 2002 recommendation standard); (3) patients with a histological diagnosis of ECC with obstructive jaundice indicated for choledochojejunostomy or pancreatoduodenectomy; (4) patients with Child-Pugh liver function class A or B; (5) patients who underwent all operations by the same team of surgeons; and (6) patients whose bilirubin levels were reduced to 50-125 µmol/L before operation. </w:t>
      </w:r>
    </w:p>
    <w:p w:rsidR="00F831E5" w:rsidRDefault="00C13CFC">
      <w:pPr>
        <w:spacing w:line="360" w:lineRule="auto"/>
        <w:ind w:firstLineChars="100" w:firstLine="240"/>
        <w:jc w:val="both"/>
      </w:pPr>
      <w:r>
        <w:rPr>
          <w:rFonts w:ascii="Book Antiqua" w:eastAsia="Book Antiqua" w:hAnsi="Book Antiqua" w:cs="Book Antiqua"/>
          <w:color w:val="000000"/>
        </w:rPr>
        <w:t>The exclusion criteria were as follows: (1) patients who could not cooperate to complete the relevant investigation or examination; (2) patients who accepted palliative operation; (3) patients with cardiovascular, liver, kidney, brain, lung, or other serious diseases or those with poor control of hypertension or diabetes; (4) pregnant or lactating patients; (5) extremely weak patients with malignant fluids in the late stage of cancer; (6) patients with mental illness; (7) patients who participated in other clinical trials within 1 mo prior to participation in this study; and (8) patients who were unsuitable to participate in this clinical study on the basis of the evaluation performed by the researchers.</w:t>
      </w:r>
    </w:p>
    <w:p w:rsidR="00F831E5" w:rsidRDefault="00F831E5">
      <w:pPr>
        <w:spacing w:line="360" w:lineRule="auto"/>
        <w:ind w:firstLine="480"/>
        <w:jc w:val="both"/>
      </w:pPr>
    </w:p>
    <w:p w:rsidR="00F831E5" w:rsidRDefault="00C13CFC">
      <w:pPr>
        <w:spacing w:line="360" w:lineRule="auto"/>
        <w:jc w:val="both"/>
      </w:pPr>
      <w:r>
        <w:rPr>
          <w:rFonts w:ascii="Book Antiqua" w:eastAsia="Book Antiqua" w:hAnsi="Book Antiqua" w:cs="Book Antiqua"/>
          <w:b/>
          <w:bCs/>
          <w:i/>
          <w:iCs/>
          <w:color w:val="000000"/>
        </w:rPr>
        <w:t>Preoperative assessment</w:t>
      </w:r>
    </w:p>
    <w:p w:rsidR="00F831E5" w:rsidRDefault="00C13CFC">
      <w:pPr>
        <w:spacing w:line="360" w:lineRule="auto"/>
        <w:jc w:val="both"/>
      </w:pPr>
      <w:r>
        <w:rPr>
          <w:rFonts w:ascii="Book Antiqua" w:eastAsia="Book Antiqua" w:hAnsi="Book Antiqua" w:cs="Book Antiqua"/>
          <w:color w:val="000000"/>
        </w:rPr>
        <w:t>Preoperative parenteral nutrition was given according to the patient's nutritional status. Patients with preoperative total bilirubin greater than 200 µmol/L were treated with preoperative biliary drainage therapy, such as percutaneous transhepatic cholangial drainage or endoscopic nasobiliary drainage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 bilirubin of patients with cholangiocarcinoma dropped to around 200 µmol/L, and patients with Child-Pugh liver function was class A or B, so surgical treatment can be considered.</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Nutritional support mode</w:t>
      </w:r>
    </w:p>
    <w:p w:rsidR="00F831E5" w:rsidRDefault="00C13CFC">
      <w:pPr>
        <w:spacing w:line="360" w:lineRule="auto"/>
        <w:jc w:val="both"/>
      </w:pPr>
      <w:r>
        <w:rPr>
          <w:rFonts w:ascii="Book Antiqua" w:eastAsia="Book Antiqua" w:hAnsi="Book Antiqua" w:cs="Book Antiqua"/>
          <w:color w:val="000000"/>
        </w:rPr>
        <w:t xml:space="preserve">The postoperative nutritional support was based on a 40-mL/(kg · day) liquid volume and total energy levels of 10, 20, 30, and 35 kcal/kg on the first, second, third, and following days, respectively (Table 1). In the EEN + PN group, a 10-F nasojejunal feeding tube (Flocare, Nutricia Ltd, Paris, France) was placed as needed. EN (Peptisorb, Nutricia Ltd) was used on postoperative day (POD) 2, and PN was used as a supplement in the case of insufficient EN. In the TPN group, a 10-F nasojejunal feeding tube was placed as well, whereas patients were completely supplied by PN </w:t>
      </w:r>
      <w:r>
        <w:rPr>
          <w:rFonts w:ascii="Book Antiqua" w:eastAsia="Book Antiqua" w:hAnsi="Book Antiqua" w:cs="Book Antiqua"/>
          <w:i/>
          <w:iCs/>
          <w:color w:val="000000"/>
        </w:rPr>
        <w:t>via</w:t>
      </w:r>
      <w:r>
        <w:rPr>
          <w:rFonts w:ascii="Book Antiqua" w:eastAsia="Book Antiqua" w:hAnsi="Book Antiqua" w:cs="Book Antiqua"/>
          <w:color w:val="000000"/>
        </w:rPr>
        <w:t xml:space="preserve"> a central venous catheter, and the calorie-to-nitrogen ratio was defined as 120-150:1. Of the total energy intake, 50% to 70% was provided by glucose, while the supply of lipids was based on the serum triglyceride levels. In addition, electrolytes, adequate insulin, vitamins, and trace elements were supplemented.</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Data collection</w:t>
      </w:r>
    </w:p>
    <w:p w:rsidR="00F831E5" w:rsidRDefault="00C13CFC">
      <w:pPr>
        <w:spacing w:line="360" w:lineRule="auto"/>
        <w:jc w:val="both"/>
      </w:pPr>
      <w:r>
        <w:rPr>
          <w:rFonts w:ascii="Book Antiqua" w:eastAsia="Book Antiqua" w:hAnsi="Book Antiqua" w:cs="Book Antiqua"/>
          <w:color w:val="000000"/>
        </w:rPr>
        <w:t xml:space="preserve">On admission, the baseline data, including sex, age, NRS score, total bilirubin level, and jaundice duration, were collected. The general postoperative indicators, namely bile leakage, surgical site infection, abdominal distention, intestinal function recovery time, length of postoperative hospital stay, and total cost of hospitalization, in all the patients were recorded and compared. Multiple indicators of immune function and nutritional status were evaluated in all the patients before surgery and on PODs 1, 3, and 7. Immune function was assessed by measuring the counts of the blood lymphocyte subsets (CD3+T, CD4+T, CD8+T, and CD4+T/CD8+T cells) and serum </w:t>
      </w:r>
      <w:bookmarkStart w:id="2" w:name="_Hlk56435039"/>
      <w:r>
        <w:rPr>
          <w:rFonts w:ascii="Book Antiqua" w:eastAsia="Book Antiqua" w:hAnsi="Book Antiqua" w:cs="Book Antiqua"/>
          <w:color w:val="000000"/>
        </w:rPr>
        <w:t>immunoglobulin</w:t>
      </w:r>
      <w:bookmarkEnd w:id="2"/>
      <w:r>
        <w:rPr>
          <w:rFonts w:ascii="Book Antiqua" w:eastAsia="Book Antiqua" w:hAnsi="Book Antiqua" w:cs="Book Antiqua"/>
          <w:color w:val="000000"/>
        </w:rPr>
        <w:t xml:space="preserve"> (Ig) G, IgM, and IgA levels (g/L). T-cell subpopulations (CD3+T, CD4+T, and CD8+T) and serum IgG, IgM, and IgA were detected with commercially available human Quantikine enzyme-linked immunosorbent assay kits (R and D Systems, Bio-Techne Corporation, Minneapolis, MN, United States) in accordance with the manufacturer’s instructions.</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Statistical analysis </w:t>
      </w:r>
    </w:p>
    <w:p w:rsidR="00F831E5" w:rsidRDefault="00C13CFC">
      <w:pPr>
        <w:spacing w:line="360" w:lineRule="auto"/>
        <w:jc w:val="both"/>
      </w:pPr>
      <w:r>
        <w:rPr>
          <w:rFonts w:ascii="Book Antiqua" w:eastAsia="Book Antiqua" w:hAnsi="Book Antiqua" w:cs="Book Antiqua"/>
          <w:color w:val="000000"/>
        </w:rPr>
        <w:t xml:space="preserve">GraphPad Prism 8 (San Diego, CA, United States) and SPSS 22.0 package (SPSS Inc., Armonk, NY, United States) was used to perform the analysis. Continuous variables were expressed as the mean ± standard deviation. An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differences between the two groups. Categorical variables were expressed as absolute and relative frequencies. The Chi-square test or Fisher’s exact test were used to compare the differences in proportions between the two groups. A two-sided </w:t>
      </w:r>
      <w:r>
        <w:rPr>
          <w:rFonts w:ascii="Book Antiqua" w:eastAsia="Book Antiqua" w:hAnsi="Book Antiqua" w:cs="Book Antiqua"/>
          <w:i/>
          <w:iCs/>
          <w:color w:val="000000"/>
        </w:rPr>
        <w:t>P</w:t>
      </w:r>
      <w:r>
        <w:rPr>
          <w:rFonts w:ascii="Book Antiqua" w:eastAsia="Book Antiqua" w:hAnsi="Book Antiqua" w:cs="Book Antiqua"/>
          <w:color w:val="000000"/>
        </w:rPr>
        <w:t> value &lt; 0.05 was considered statistically significant.</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aps/>
          <w:color w:val="000000"/>
          <w:u w:val="single"/>
        </w:rPr>
        <w:t>RESULTS</w:t>
      </w:r>
    </w:p>
    <w:p w:rsidR="00F831E5" w:rsidRDefault="00C13CFC">
      <w:pPr>
        <w:spacing w:line="360" w:lineRule="auto"/>
        <w:jc w:val="both"/>
      </w:pPr>
      <w:r>
        <w:rPr>
          <w:rFonts w:ascii="Book Antiqua" w:eastAsia="Book Antiqua" w:hAnsi="Book Antiqua" w:cs="Book Antiqua"/>
          <w:b/>
          <w:bCs/>
          <w:i/>
          <w:iCs/>
          <w:color w:val="000000"/>
        </w:rPr>
        <w:t>Baseline data of the study population</w:t>
      </w:r>
    </w:p>
    <w:p w:rsidR="00F831E5" w:rsidRDefault="00C13CFC">
      <w:pPr>
        <w:spacing w:line="360" w:lineRule="auto"/>
        <w:jc w:val="both"/>
      </w:pPr>
      <w:r>
        <w:rPr>
          <w:rFonts w:ascii="Book Antiqua" w:eastAsia="Book Antiqua" w:hAnsi="Book Antiqua" w:cs="Book Antiqua"/>
          <w:color w:val="000000"/>
        </w:rPr>
        <w:t xml:space="preserve">As shown in Figure 1, 60 patients were enrolled in this randomized clinical trial during the study period. Of these patients, 28 received EEN + PN, and 30 received TPN. There were two patients in the EEN + PN group who dropped out for adverse reactions of early enteral feeding, and 56 patients were analyzed in this study in the end. The comparison of the basic data before surgery and on POD 1 between the two groups revealed no significant differences between the two groups in terms of sex, age, preoperative NRS score, serum total bilirubin level, disease duration of jaundice, or the proportion of patients who underwent percutaneous transhepatic cholangial drainage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which were comparable (Table 2). We found no significant differences in operation methods, operation time, intraoperative blood loss, and NRS score on POD 1 between the two groups (all </w:t>
      </w:r>
      <w:r>
        <w:rPr>
          <w:rFonts w:ascii="Book Antiqua" w:eastAsia="Book Antiqua" w:hAnsi="Book Antiqua" w:cs="Book Antiqua"/>
          <w:i/>
          <w:iCs/>
          <w:color w:val="000000"/>
        </w:rPr>
        <w:t>P</w:t>
      </w:r>
      <w:r>
        <w:rPr>
          <w:rFonts w:ascii="Book Antiqua" w:eastAsia="Book Antiqua" w:hAnsi="Book Antiqua" w:cs="Book Antiqua"/>
          <w:color w:val="000000"/>
        </w:rPr>
        <w:t> &gt; 0.05), as shown in Table 3.</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Changes in the related cellular and humoral immune indexes in the two groups</w:t>
      </w:r>
    </w:p>
    <w:p w:rsidR="00F831E5" w:rsidRDefault="00C13CFC">
      <w:pPr>
        <w:spacing w:line="360" w:lineRule="auto"/>
        <w:jc w:val="both"/>
      </w:pPr>
      <w:r>
        <w:rPr>
          <w:rFonts w:ascii="Book Antiqua" w:eastAsia="Book Antiqua" w:hAnsi="Book Antiqua" w:cs="Book Antiqua"/>
          <w:color w:val="000000"/>
        </w:rPr>
        <w:t>In the EEN + PN group, compared with the preoperative counts, the CD3+T, CD4+T, and CD4+T/CD8+T cell counts were all decreased on POD 1 (</w:t>
      </w:r>
      <w:r>
        <w:rPr>
          <w:rFonts w:ascii="Book Antiqua" w:eastAsia="Book Antiqua" w:hAnsi="Book Antiqua" w:cs="Book Antiqua"/>
          <w:i/>
          <w:iCs/>
          <w:color w:val="000000"/>
        </w:rPr>
        <w:t>P</w:t>
      </w:r>
      <w:r>
        <w:rPr>
          <w:rFonts w:ascii="Book Antiqua" w:eastAsia="Book Antiqua" w:hAnsi="Book Antiqua" w:cs="Book Antiqua"/>
          <w:color w:val="000000"/>
        </w:rPr>
        <w:t> &lt; 0.05; Figure 2) and then began to increase on POD 3 and were all higher on POD 7 (</w:t>
      </w:r>
      <w:r>
        <w:rPr>
          <w:rFonts w:ascii="Book Antiqua" w:eastAsia="Book Antiqua" w:hAnsi="Book Antiqua" w:cs="Book Antiqua"/>
          <w:i/>
          <w:iCs/>
          <w:color w:val="000000"/>
        </w:rPr>
        <w:t>P</w:t>
      </w:r>
      <w:r>
        <w:rPr>
          <w:rFonts w:ascii="Book Antiqua" w:eastAsia="Book Antiqua" w:hAnsi="Book Antiqua" w:cs="Book Antiqua"/>
          <w:color w:val="000000"/>
        </w:rPr>
        <w:t> &lt; 0.05), but the change in CD8+T cell count was not significant (</w:t>
      </w:r>
      <w:r>
        <w:rPr>
          <w:rFonts w:ascii="Book Antiqua" w:eastAsia="Book Antiqua" w:hAnsi="Book Antiqua" w:cs="Book Antiqua"/>
          <w:i/>
          <w:iCs/>
          <w:color w:val="000000"/>
        </w:rPr>
        <w:t>P</w:t>
      </w:r>
      <w:r>
        <w:rPr>
          <w:rFonts w:ascii="Book Antiqua" w:eastAsia="Book Antiqua" w:hAnsi="Book Antiqua" w:cs="Book Antiqua"/>
          <w:color w:val="000000"/>
        </w:rPr>
        <w:t> &gt; 0.05; Figure 2C). In the TPN group, the CD3+T, CD4+T, and CD4+T/CD8+T cell counts decreased on POD 1 (</w:t>
      </w:r>
      <w:r>
        <w:rPr>
          <w:rFonts w:ascii="Book Antiqua" w:eastAsia="Book Antiqua" w:hAnsi="Book Antiqua" w:cs="Book Antiqua"/>
          <w:i/>
          <w:iCs/>
          <w:color w:val="000000"/>
        </w:rPr>
        <w:t>P</w:t>
      </w:r>
      <w:r>
        <w:rPr>
          <w:rFonts w:ascii="Book Antiqua" w:eastAsia="Book Antiqua" w:hAnsi="Book Antiqua" w:cs="Book Antiqua"/>
          <w:color w:val="000000"/>
        </w:rPr>
        <w:t> &lt; 0.05). The CD3+T and CD8+T cell counts continued to decrease on POD 3 and began to increase on POD 7 but were both lower than the preoperative counts (</w:t>
      </w:r>
      <w:r>
        <w:rPr>
          <w:rFonts w:ascii="Book Antiqua" w:eastAsia="Book Antiqua" w:hAnsi="Book Antiqua" w:cs="Book Antiqua"/>
          <w:i/>
          <w:iCs/>
          <w:color w:val="000000"/>
        </w:rPr>
        <w:t>P</w:t>
      </w:r>
      <w:r>
        <w:rPr>
          <w:rFonts w:ascii="Book Antiqua" w:eastAsia="Book Antiqua" w:hAnsi="Book Antiqua" w:cs="Book Antiqua"/>
          <w:color w:val="000000"/>
        </w:rPr>
        <w:t> &lt; 0.05; Figure 2A). The CD4+T and CD4+T/CD8+T cell counts increased from PODs 3 to 7 but were still lower than the preoperative counts (</w:t>
      </w:r>
      <w:r>
        <w:rPr>
          <w:rFonts w:ascii="Book Antiqua" w:eastAsia="Book Antiqua" w:hAnsi="Book Antiqua" w:cs="Book Antiqua"/>
          <w:i/>
          <w:iCs/>
          <w:color w:val="000000"/>
        </w:rPr>
        <w:t>P</w:t>
      </w:r>
      <w:r>
        <w:rPr>
          <w:rFonts w:ascii="Book Antiqua" w:eastAsia="Book Antiqua" w:hAnsi="Book Antiqua" w:cs="Book Antiqua"/>
          <w:color w:val="000000"/>
        </w:rPr>
        <w:t> &lt; 0.05; Figures 2B and D). No significant differences in the CD3+T, CD4+T, CD8+T, and CD4+T/CD8+T cell counts before surgery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CD3+T, CD4+T, CD8+T, and CD4+T/CD8+T cell counts in the EEN + 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w:t>
      </w:r>
    </w:p>
    <w:p w:rsidR="00F831E5" w:rsidRDefault="00C13CFC">
      <w:pPr>
        <w:spacing w:line="360" w:lineRule="auto"/>
        <w:ind w:firstLineChars="100" w:firstLine="240"/>
        <w:jc w:val="both"/>
      </w:pPr>
      <w:r>
        <w:rPr>
          <w:rFonts w:ascii="Book Antiqua" w:eastAsia="Book Antiqua" w:hAnsi="Book Antiqua" w:cs="Book Antiqua"/>
          <w:color w:val="000000"/>
        </w:rPr>
        <w:t>In the EEN + PN group, the IgG, IgA, and IgM levels decreased on POD 1 as compared with the preoperative levels (</w:t>
      </w:r>
      <w:r>
        <w:rPr>
          <w:rFonts w:ascii="Book Antiqua" w:eastAsia="Book Antiqua" w:hAnsi="Book Antiqua" w:cs="Book Antiqua"/>
          <w:i/>
          <w:iCs/>
          <w:color w:val="000000"/>
        </w:rPr>
        <w:t>P</w:t>
      </w:r>
      <w:r>
        <w:rPr>
          <w:rFonts w:ascii="Book Antiqua" w:eastAsia="Book Antiqua" w:hAnsi="Book Antiqua" w:cs="Book Antiqua"/>
          <w:color w:val="000000"/>
        </w:rPr>
        <w:t> &lt; 0.05) and gradually increased on POD 3 and were significantly higher on POD 7 as compared with the preoperative levels (</w:t>
      </w:r>
      <w:r>
        <w:rPr>
          <w:rFonts w:ascii="Book Antiqua" w:eastAsia="Book Antiqua" w:hAnsi="Book Antiqua" w:cs="Book Antiqua"/>
          <w:i/>
          <w:iCs/>
          <w:color w:val="000000"/>
        </w:rPr>
        <w:t>P</w:t>
      </w:r>
      <w:r>
        <w:rPr>
          <w:rFonts w:ascii="Book Antiqua" w:eastAsia="Book Antiqua" w:hAnsi="Book Antiqua" w:cs="Book Antiqua"/>
          <w:color w:val="000000"/>
        </w:rPr>
        <w:t> &lt; 0.05; Figure 3). In the TPN group, as compared with the preoperative levels, the IgG, IgA, and IgM levels began to decrease on POD 1 (</w:t>
      </w:r>
      <w:r>
        <w:rPr>
          <w:rFonts w:ascii="Book Antiqua" w:eastAsia="Book Antiqua" w:hAnsi="Book Antiqua" w:cs="Book Antiqua"/>
          <w:i/>
          <w:iCs/>
          <w:color w:val="000000"/>
        </w:rPr>
        <w:t>P</w:t>
      </w:r>
      <w:r>
        <w:rPr>
          <w:rFonts w:ascii="Book Antiqua" w:eastAsia="Book Antiqua" w:hAnsi="Book Antiqua" w:cs="Book Antiqua"/>
          <w:color w:val="000000"/>
        </w:rPr>
        <w:t> &lt; 0.05) and slightly increased on POD 7 but were still lower than those before operation (</w:t>
      </w:r>
      <w:r>
        <w:rPr>
          <w:rFonts w:ascii="Book Antiqua" w:eastAsia="Book Antiqua" w:hAnsi="Book Antiqua" w:cs="Book Antiqua"/>
          <w:i/>
          <w:iCs/>
          <w:color w:val="000000"/>
        </w:rPr>
        <w:t>P</w:t>
      </w:r>
      <w:r>
        <w:rPr>
          <w:rFonts w:ascii="Book Antiqua" w:eastAsia="Book Antiqua" w:hAnsi="Book Antiqua" w:cs="Book Antiqua"/>
          <w:color w:val="000000"/>
        </w:rPr>
        <w:t> &lt; 0.05).</w:t>
      </w:r>
    </w:p>
    <w:p w:rsidR="00F831E5" w:rsidRDefault="00C13CFC">
      <w:pPr>
        <w:spacing w:line="360" w:lineRule="auto"/>
        <w:ind w:firstLineChars="100" w:firstLine="240"/>
        <w:jc w:val="both"/>
      </w:pPr>
      <w:r>
        <w:rPr>
          <w:rFonts w:ascii="Book Antiqua" w:eastAsia="Book Antiqua" w:hAnsi="Book Antiqua" w:cs="Book Antiqua"/>
          <w:color w:val="000000"/>
        </w:rPr>
        <w:t>No significant differences in the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IgG, IgM, and IgA levels in the EEN + 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Figure 3).</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Postoperative complications of the ECC patients with MOJ</w:t>
      </w:r>
    </w:p>
    <w:p w:rsidR="00F831E5" w:rsidRDefault="00C13CFC">
      <w:pPr>
        <w:spacing w:line="360" w:lineRule="auto"/>
        <w:jc w:val="both"/>
      </w:pPr>
      <w:r>
        <w:rPr>
          <w:rFonts w:ascii="Book Antiqua" w:eastAsia="Book Antiqua" w:hAnsi="Book Antiqua" w:cs="Book Antiqua"/>
          <w:color w:val="000000"/>
        </w:rPr>
        <w:t>The incidence of abdominal distention in the EEN + PN group was significantly higher than that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which mostly occurred on PODs 1 to 3. In the TPN group, two patients had abdominal distention until POD 9. No significant differences in the incidence rates of bile leakage and infections at the surgical site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as shown in Table 4.</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i/>
          <w:iCs/>
          <w:color w:val="000000"/>
        </w:rPr>
        <w:t>Comparison of recovery time of intestinal function, hospitalization time, and total cost of hospitalization</w:t>
      </w:r>
    </w:p>
    <w:p w:rsidR="00F831E5" w:rsidRDefault="00C13CFC">
      <w:pPr>
        <w:spacing w:line="360" w:lineRule="auto"/>
        <w:jc w:val="both"/>
      </w:pPr>
      <w:r>
        <w:rPr>
          <w:rFonts w:ascii="Book Antiqua" w:eastAsia="Book Antiqua" w:hAnsi="Book Antiqua" w:cs="Book Antiqua"/>
          <w:color w:val="000000"/>
        </w:rPr>
        <w:t>The recovery time of intestinal function in the EEN + PN group was significantly shorter than that in the TPN group (</w:t>
      </w:r>
      <w:r>
        <w:rPr>
          <w:rFonts w:ascii="Book Antiqua" w:eastAsia="Book Antiqua" w:hAnsi="Book Antiqua" w:cs="Book Antiqua"/>
          <w:i/>
          <w:iCs/>
          <w:color w:val="000000"/>
        </w:rPr>
        <w:t>P</w:t>
      </w:r>
      <w:r>
        <w:rPr>
          <w:rFonts w:ascii="Book Antiqua" w:eastAsia="Book Antiqua" w:hAnsi="Book Antiqua" w:cs="Book Antiqua"/>
          <w:color w:val="000000"/>
        </w:rPr>
        <w:t> &lt; 0.001). The hospitalization time and total cost in the EEN + PN group were shorter or lower than those in the TPN group (</w:t>
      </w:r>
      <w:r>
        <w:rPr>
          <w:rFonts w:ascii="Book Antiqua" w:eastAsia="Book Antiqua" w:hAnsi="Book Antiqua" w:cs="Book Antiqua"/>
          <w:i/>
          <w:iCs/>
          <w:color w:val="000000"/>
        </w:rPr>
        <w:t>P</w:t>
      </w:r>
      <w:r>
        <w:rPr>
          <w:rFonts w:ascii="Book Antiqua" w:eastAsia="Book Antiqua" w:hAnsi="Book Antiqua" w:cs="Book Antiqua"/>
          <w:color w:val="000000"/>
        </w:rPr>
        <w:t> &lt; 0.01), as shown in Table 5.</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aps/>
          <w:color w:val="000000"/>
          <w:u w:val="single"/>
        </w:rPr>
        <w:t>DISCUSSION</w:t>
      </w:r>
    </w:p>
    <w:p w:rsidR="00F831E5" w:rsidRDefault="00C13CFC">
      <w:pPr>
        <w:spacing w:line="360" w:lineRule="auto"/>
        <w:jc w:val="both"/>
      </w:pPr>
      <w:r>
        <w:rPr>
          <w:rFonts w:ascii="Book Antiqua" w:eastAsia="Book Antiqua" w:hAnsi="Book Antiqua" w:cs="Book Antiqua"/>
          <w:color w:val="000000"/>
        </w:rPr>
        <w:t>Many studies have found that EN can improve the metabolism of patients, promote the early recovery of liver and gastrointestinal functions, and significantly reduce the incidence of infection in perioperative patients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At the same time, in a study with patients in the intensive care unit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EN was found to show a stronger immune improvement effect on patients and lower concurrent infection rate. These results suggest that EN support may have a regulatory effect on the immune function of the body. Immune surveillance of tumors is mainly dependent on cellular immunity. As one of the main effector cells, T lymphocytes play an important role in tumor immunity. They are divided into CD4+T and CD8+T cells, and a decreased ratio of CD4+T/CD8+T cells represents a decrease in immunity</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CD4+T cells, as helper T lymphocytes, play an important role in tumor immune surveillance. Humoral immunity is mediated by antibodies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or substances with antibody activity. IgG, IgM, and IgA are non-specific antibodies, which are the main substances of mediated liquid immunity</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and humoral immunity mainly prevents infection. After surgery, EN can effectively stimulate the immune system, rapidly increase the ratios of CD3+T, CD4+T, CD8+T cells, and CD4+T/CD8+T cells in peripheral blood</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and increase the plasma immunoglobulin level</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p>
    <w:p w:rsidR="00F831E5" w:rsidRDefault="00C13CF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present, many studies have been conducted on postoperative nutritional support in patients with digestive system tumors such as gastric, colorectal, and esophageal cancers. Owing to the specific location of cholangiocarcinoma, the early diagnosis rate is low, the root treatment surgery is traumatic, the complication rates are high, and patients are often accompanied by malnutrition risk or malnutrition</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which is not only a complication of cancer but also a disease condition related to one of the reasons for general health deterioration</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In recent years, with the development of nutritional support, more in-depth research on nutritional support has been conducted. TPN has been found to cause possibly liver function damage such as intrahepatic cholestasis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and increase the risk of infection in patients, while EN has no such complications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In a study in patients with esophageal cancer</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immune-enhanced EN not only corrected malnutrition but also regulated the immune function impairment and enhanced the anti-tumor effect of T lymphocytes. </w:t>
      </w:r>
    </w:p>
    <w:p w:rsidR="00F831E5" w:rsidRDefault="00C13CFC">
      <w:pPr>
        <w:spacing w:line="360" w:lineRule="auto"/>
        <w:ind w:firstLineChars="100" w:firstLine="240"/>
        <w:jc w:val="both"/>
      </w:pPr>
      <w:r>
        <w:rPr>
          <w:rFonts w:ascii="Book Antiqua" w:eastAsia="Book Antiqua" w:hAnsi="Book Antiqua" w:cs="Book Antiqua"/>
          <w:color w:val="000000"/>
        </w:rPr>
        <w:t>The human immune system mainly includes cellular and humoral immunities. However, patients with cholangiocarcinoma have more trauma during operation, and most of them have obstructive jaundice and incomplete liver function preoperatively. In addition, their food intake before operation is insufficient, which may lead to low immune function, intestinal mucosa barrier damage, and increased postoperative complication and mortality rates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When patients with cholangiocarcinoma developed obstructive jaundice, the total number of lymphocytes decreased, the risk of infection increased</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the immune function of the intestinal mucosa decreased significantly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 reticuloendothelial system of the liver was damaged so that bacteria and endotoxins in the blood could not be effectively removed</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and sepsis was ultimately more likely to occur. The enteral nutrient solution is absorbed in the intestine, enters the liver through the portal vein, and finally transforms into the liver, which not only supplies nutrition to the body but also provides comprehensive demand for the gastrointestinal mucosa. In addition, it activates the intestinal neuroendocrine system, promotes the growth of the gastrointestinal mucosa, maintains the normal immune functions of the intestine and body, maintains the integrity of the intestinal mucosa function, and blocks the heterotopia of the flora</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EEN can promote the recovery of intestinal function, reduce the degree of abdominal distention, and shorten the time of abdominal distention</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Moreover, studies have shown that EN is more reasonable within 24 h after operation</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In a study on postoperative abdominal surgery, PN with postoperative EEN not only improved the nutritional status of patients with tumors but also reduced the incidence of postoperative complications</w:t>
      </w:r>
      <w:r>
        <w:rPr>
          <w:rFonts w:ascii="Book Antiqua" w:eastAsia="Book Antiqua" w:hAnsi="Book Antiqua" w:cs="Book Antiqua"/>
          <w:color w:val="000000"/>
          <w:szCs w:val="36"/>
          <w:vertAlign w:val="superscript"/>
        </w:rPr>
        <w:t>[24,25]</w:t>
      </w:r>
      <w:r>
        <w:rPr>
          <w:rFonts w:ascii="Book Antiqua" w:eastAsia="Book Antiqua" w:hAnsi="Book Antiqua" w:cs="Book Antiqua"/>
          <w:color w:val="000000"/>
        </w:rPr>
        <w:t>. The gastrointestinal tract function is not complete after the operation for obstructive jaundice and the absorption capacity of nutrition is reduced</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EN not only has a protective effect on the immune function of the intestinal mucosa</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but also is conducive to the recovery of liver function</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which can improve the postoperative nutrition of patients, promote the recovery of intestinal function, and reduce the incidence of bile leakage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w:t>
      </w:r>
    </w:p>
    <w:p w:rsidR="00F831E5" w:rsidRDefault="00C13CFC">
      <w:pPr>
        <w:spacing w:line="360" w:lineRule="auto"/>
        <w:ind w:firstLineChars="100" w:firstLine="240"/>
        <w:jc w:val="both"/>
      </w:pPr>
      <w:r>
        <w:rPr>
          <w:rFonts w:ascii="Book Antiqua" w:eastAsia="Book Antiqua" w:hAnsi="Book Antiqua" w:cs="Book Antiqua"/>
          <w:color w:val="000000"/>
        </w:rPr>
        <w:t>In this study, we found that the immunological indexes began to recover on the third day after radical operation of cholangiocarcinoma, and the CD3+T, CD4+T, CD8+T, and CD4+T/CD8+T cell counts and IgG, IgM, and IgA levels in the patients with EEN support were significantly higher than those in the patients with TPN support. Combined with the literature analysis, our findings showed that the causes of this phenomenon are not only related to postoperative cholangiocarcinoma, which affects the participation of bile in enterohepatic circulation and the balance of nutrient absorption after the release of obstruction</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but also more closely related to the maintenance of the intestinal mucosal barrier and improvement of immune function</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The use of postoperative EEN had significant advantages over TPN in terms of recovery time of intestinal function and total hospitalization cost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the incidence of abdominal distention in the EEN + PN group (42.31%) was higher than that in the TPN group (13.33%; </w:t>
      </w:r>
      <w:r>
        <w:rPr>
          <w:rFonts w:ascii="Book Antiqua" w:eastAsia="Book Antiqua" w:hAnsi="Book Antiqua" w:cs="Book Antiqua"/>
          <w:i/>
          <w:iCs/>
          <w:color w:val="000000"/>
        </w:rPr>
        <w:t>P</w:t>
      </w:r>
      <w:r>
        <w:rPr>
          <w:rFonts w:ascii="Book Antiqua" w:eastAsia="Book Antiqua" w:hAnsi="Book Antiqua" w:cs="Book Antiqua"/>
          <w:color w:val="000000"/>
        </w:rPr>
        <w:t> &lt; 0.05). However, abdominal distention also occurred in the TPN group, and the duration of abdominal distention in the EEN + PN group was longer than that in the TPN group. We found no significant differences in the incidence rates of infections in the surgical site and bile leakage and length of stay after surgery (</w:t>
      </w:r>
      <w:r>
        <w:rPr>
          <w:rFonts w:ascii="Book Antiqua" w:eastAsia="Book Antiqua" w:hAnsi="Book Antiqua" w:cs="Book Antiqua"/>
          <w:i/>
          <w:iCs/>
          <w:color w:val="000000"/>
        </w:rPr>
        <w:t>P</w:t>
      </w:r>
      <w:r>
        <w:rPr>
          <w:rFonts w:ascii="Book Antiqua" w:eastAsia="Book Antiqua" w:hAnsi="Book Antiqua" w:cs="Book Antiqua"/>
          <w:color w:val="000000"/>
        </w:rPr>
        <w:t> &gt; 0.05).</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aps/>
          <w:color w:val="000000"/>
          <w:u w:val="single"/>
        </w:rPr>
        <w:t>CONCLUSION</w:t>
      </w:r>
    </w:p>
    <w:p w:rsidR="00F831E5" w:rsidRDefault="00C13CFC">
      <w:pPr>
        <w:spacing w:line="360" w:lineRule="auto"/>
        <w:jc w:val="both"/>
      </w:pPr>
      <w:r>
        <w:rPr>
          <w:rFonts w:ascii="Book Antiqua" w:eastAsia="Book Antiqua" w:hAnsi="Book Antiqua" w:cs="Book Antiqua"/>
          <w:color w:val="000000"/>
        </w:rPr>
        <w:t>In conclusion, from the results of this study, as compared with TPN support alone, early use of EN support in ECC patients with MOJ not only can promote the recovery of immune function but also can significantly promote the recovery of gastrointestinal function, reduce the total treatment cost, and be used safely. However, long-term follow-up is needed, and statistical data from a large number of cases is needed to determine whether EN support has an impact on the survival time of patients with cholangiocarcinoma after surgery. Its role in immune monitoring for tumors needs further study.</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aps/>
          <w:color w:val="000000"/>
          <w:u w:val="single"/>
        </w:rPr>
        <w:t>ARTICLE HIGHLIGHTS</w:t>
      </w:r>
    </w:p>
    <w:p w:rsidR="00F831E5" w:rsidRDefault="00C13CFC">
      <w:pPr>
        <w:spacing w:line="360" w:lineRule="auto"/>
        <w:jc w:val="both"/>
      </w:pPr>
      <w:r>
        <w:rPr>
          <w:rFonts w:ascii="Book Antiqua" w:eastAsia="Book Antiqua" w:hAnsi="Book Antiqua" w:cs="Book Antiqua"/>
          <w:b/>
          <w:i/>
          <w:color w:val="000000"/>
        </w:rPr>
        <w:t>Research background</w:t>
      </w:r>
    </w:p>
    <w:p w:rsidR="00F831E5" w:rsidRDefault="00C13CFC">
      <w:pPr>
        <w:spacing w:line="360" w:lineRule="auto"/>
        <w:jc w:val="both"/>
      </w:pPr>
      <w:r>
        <w:rPr>
          <w:rFonts w:ascii="Book Antiqua" w:eastAsia="Book Antiqua" w:hAnsi="Book Antiqua" w:cs="Book Antiqua"/>
          <w:color w:val="000000"/>
        </w:rPr>
        <w:t>Most cholangiocarcinoma patients with malignant obstructive jaundice (MOJ) have varying degrees of malnutrition and immunodeficiency preoperatively.</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Research motivation</w:t>
      </w:r>
    </w:p>
    <w:p w:rsidR="00F831E5" w:rsidRDefault="00C13CFC">
      <w:pPr>
        <w:spacing w:line="360" w:lineRule="auto"/>
        <w:jc w:val="both"/>
      </w:pPr>
      <w:r>
        <w:rPr>
          <w:rFonts w:ascii="Book Antiqua" w:eastAsia="Book Antiqua" w:hAnsi="Book Antiqua" w:cs="Book Antiqua"/>
          <w:color w:val="000000"/>
        </w:rPr>
        <w:t>Perioperative nutritional support has important clinical significance in the comprehensive treatment of cholangiocarcinoma.</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Research objectives</w:t>
      </w:r>
    </w:p>
    <w:p w:rsidR="00F831E5" w:rsidRDefault="00C13CFC">
      <w:pPr>
        <w:spacing w:line="360" w:lineRule="auto"/>
        <w:jc w:val="both"/>
      </w:pPr>
      <w:r>
        <w:rPr>
          <w:rFonts w:ascii="Book Antiqua" w:eastAsia="Book Antiqua" w:hAnsi="Book Antiqua" w:cs="Book Antiqua"/>
          <w:color w:val="000000"/>
        </w:rPr>
        <w:t>We aimed to investigate the effects of postoperative early enteral nutrition (EEN) on immunity function and clinical outcomes of cholangiocarcinoma patients with MOJ.</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Research methods</w:t>
      </w:r>
    </w:p>
    <w:p w:rsidR="00F831E5" w:rsidRDefault="00C13CFC">
      <w:pPr>
        <w:spacing w:line="360" w:lineRule="auto"/>
        <w:jc w:val="both"/>
      </w:pPr>
      <w:r>
        <w:rPr>
          <w:rFonts w:ascii="Book Antiqua" w:eastAsia="Book Antiqua" w:hAnsi="Book Antiqua" w:cs="Book Antiqua"/>
          <w:color w:val="000000"/>
        </w:rPr>
        <w:t>The patients were randomly divided into an experimental group and a control group according to the nutrition support modes. The control group received postoperative total parenteral nutrition (TPN), whereas the experimental group received postoperative EEN and parenteral nutrition (PN; EEN + PN). The clinical outcomes, postoperative immune function, incidences of surgical site infection and bile leakage, intestinal function recovery time, average hospitalization days, and hospitalization expenses of the two groups were assessed on postoperative days (PODs) 1, 3, and 7.</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Research results</w:t>
      </w:r>
    </w:p>
    <w:p w:rsidR="00F831E5" w:rsidRDefault="00C13CFC">
      <w:pPr>
        <w:spacing w:line="360" w:lineRule="auto"/>
        <w:jc w:val="both"/>
      </w:pPr>
      <w:r>
        <w:rPr>
          <w:rFonts w:ascii="Book Antiqua" w:eastAsia="Book Antiqua" w:hAnsi="Book Antiqua" w:cs="Book Antiqua"/>
          <w:color w:val="000000"/>
        </w:rPr>
        <w:t>The CD3+T, CD4+T, CD8+T, and CD4+T/CD8+T cell counts and the immunoglobulin (Ig) G, IgM, and IgA levels in the EEN + PN group were significantly higher than those in the TPN group on PODs 3 and 7 (</w:t>
      </w:r>
      <w:r>
        <w:rPr>
          <w:rFonts w:ascii="Book Antiqua" w:eastAsia="Book Antiqua" w:hAnsi="Book Antiqua" w:cs="Book Antiqua"/>
          <w:i/>
          <w:iCs/>
          <w:color w:val="000000"/>
        </w:rPr>
        <w:t>P</w:t>
      </w:r>
      <w:r>
        <w:rPr>
          <w:rFonts w:ascii="Book Antiqua" w:eastAsia="Book Antiqua" w:hAnsi="Book Antiqua" w:cs="Book Antiqua"/>
          <w:color w:val="000000"/>
        </w:rPr>
        <w:t> &lt; 0.05), whereas no significant differences in the CD3+T, CD4+T, CD8+T, and CD4+T/CD8+T cell counts and IgG, IgM, and IgA levels before operation and on POD 1 were found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 The intestinal function recovery time and postoperative hospital stay were shorter (</w:t>
      </w:r>
      <w:r>
        <w:rPr>
          <w:rFonts w:ascii="Book Antiqua" w:eastAsia="Book Antiqua" w:hAnsi="Book Antiqua" w:cs="Book Antiqua"/>
          <w:i/>
          <w:iCs/>
          <w:color w:val="000000"/>
        </w:rPr>
        <w:t>P</w:t>
      </w:r>
      <w:r>
        <w:rPr>
          <w:rFonts w:ascii="Book Antiqua" w:eastAsia="Book Antiqua" w:hAnsi="Book Antiqua" w:cs="Book Antiqua"/>
          <w:color w:val="000000"/>
        </w:rPr>
        <w:t> &lt; 0.001 for both) in the EEN + PN group than in the TPN group. The hospitalization expenses of the EEN + PN group were lower than those of the TPN group (</w:t>
      </w:r>
      <w:r>
        <w:rPr>
          <w:rFonts w:ascii="Book Antiqua" w:eastAsia="Book Antiqua" w:hAnsi="Book Antiqua" w:cs="Book Antiqua"/>
          <w:i/>
          <w:iCs/>
          <w:color w:val="000000"/>
        </w:rPr>
        <w:t>P</w:t>
      </w:r>
      <w:r>
        <w:rPr>
          <w:rFonts w:ascii="Book Antiqua" w:eastAsia="Book Antiqua" w:hAnsi="Book Antiqua" w:cs="Book Antiqua"/>
          <w:color w:val="000000"/>
        </w:rPr>
        <w:t> &lt; 0.001). However, the incidence of abdominal distension was higher than in the EEN + PN group than in the TPN group (</w:t>
      </w:r>
      <w:r>
        <w:rPr>
          <w:rFonts w:ascii="Book Antiqua" w:eastAsia="Book Antiqua" w:hAnsi="Book Antiqua" w:cs="Book Antiqua"/>
          <w:i/>
          <w:iCs/>
          <w:color w:val="000000"/>
        </w:rPr>
        <w:t>P</w:t>
      </w:r>
      <w:r>
        <w:rPr>
          <w:rFonts w:ascii="Book Antiqua" w:eastAsia="Book Antiqua" w:hAnsi="Book Antiqua" w:cs="Book Antiqua"/>
          <w:color w:val="000000"/>
        </w:rPr>
        <w:t> &lt; 0.05). The incidence rates of biliary leakage and surgical site infection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&gt; 0.05).</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Research conclusions</w:t>
      </w:r>
    </w:p>
    <w:p w:rsidR="00F831E5" w:rsidRDefault="00C13CFC">
      <w:pPr>
        <w:spacing w:line="360" w:lineRule="auto"/>
        <w:jc w:val="both"/>
      </w:pPr>
      <w:r>
        <w:rPr>
          <w:rFonts w:ascii="Book Antiqua" w:eastAsia="Book Antiqua" w:hAnsi="Book Antiqua" w:cs="Book Antiqua"/>
          <w:color w:val="000000"/>
        </w:rPr>
        <w:t>A postoperative EEN program could reduce the incidence of postoperative complications and improve the clinical outcomes and immune functions of cholangiocarcinoma patients with MOJ and is thus beneficial to patient recovery.</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i/>
          <w:color w:val="000000"/>
        </w:rPr>
        <w:t>Research perspectives</w:t>
      </w:r>
    </w:p>
    <w:p w:rsidR="00F831E5" w:rsidRDefault="00C13CFC">
      <w:pPr>
        <w:spacing w:line="360" w:lineRule="auto"/>
        <w:jc w:val="both"/>
      </w:pPr>
      <w:r>
        <w:rPr>
          <w:rFonts w:ascii="Book Antiqua" w:eastAsia="Book Antiqua" w:hAnsi="Book Antiqua" w:cs="Book Antiqua"/>
          <w:color w:val="000000"/>
        </w:rPr>
        <w:t>Long-term follow-up is needed, and statistical data from a large number of cases are needed to determine whether EN support has an impact on the survival time of patients with cholangiocarcinoma after surgery.</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olor w:val="000000"/>
        </w:rPr>
        <w:t>REFERENCES</w:t>
      </w:r>
    </w:p>
    <w:p w:rsidR="00F831E5" w:rsidRDefault="00C13CF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Hussain I</w:t>
      </w:r>
      <w:r>
        <w:rPr>
          <w:rFonts w:ascii="Book Antiqua" w:eastAsia="Book Antiqua" w:hAnsi="Book Antiqua" w:cs="Book Antiqua"/>
          <w:color w:val="000000"/>
        </w:rPr>
        <w:t xml:space="preserve">, Ahmad Z, Garg A. Extreme hypercholesterolemia presenting with pseudohyponatremia - a case report and review of the literature. </w:t>
      </w:r>
      <w:r>
        <w:rPr>
          <w:rFonts w:ascii="Book Antiqua" w:eastAsia="Book Antiqua" w:hAnsi="Book Antiqua" w:cs="Book Antiqua"/>
          <w:i/>
          <w:iCs/>
          <w:color w:val="000000"/>
        </w:rPr>
        <w:t>J Clin Lipidol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260-264 [PMID: 25911084 DOI: 10.1016/j.jacl.2014.11.007]</w:t>
      </w:r>
    </w:p>
    <w:p w:rsidR="00F831E5" w:rsidRDefault="00C13CF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Kimura F</w:t>
      </w:r>
      <w:r>
        <w:rPr>
          <w:rFonts w:ascii="Book Antiqua" w:eastAsia="Book Antiqua" w:hAnsi="Book Antiqua" w:cs="Book Antiqua"/>
          <w:color w:val="000000"/>
        </w:rPr>
        <w:t xml:space="preserve">, Miyazaki M, Suwa T, Sugiura T, Shinoda T, Itoh H, Nagakawa K, Ambiru S, Shimizu H, Yoshitome H. Anti-inflammatory response in patients with obstructive jaundice caused by biliary malignancy.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467-472 [PMID: 11354287 DOI: 10.1046/j.1440-1746.2001.02465.x]</w:t>
      </w:r>
    </w:p>
    <w:p w:rsidR="00F831E5" w:rsidRDefault="00C13CF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Ljungdahl M</w:t>
      </w:r>
      <w:r>
        <w:rPr>
          <w:rFonts w:ascii="Book Antiqua" w:eastAsia="Book Antiqua" w:hAnsi="Book Antiqua" w:cs="Book Antiqua"/>
          <w:color w:val="000000"/>
        </w:rPr>
        <w:t xml:space="preserve">, Osterberg J, Ransjö U, Engstrand L, Haglund U. Inflammatory response in patients with malignant obstructive jaundice.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94-102 [PMID: 17190769 DOI: 10.1080/00365520600825190]</w:t>
      </w:r>
    </w:p>
    <w:p w:rsidR="00F831E5" w:rsidRDefault="00C13C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Nimura Y</w:t>
      </w:r>
      <w:r>
        <w:rPr>
          <w:rFonts w:ascii="Book Antiqua" w:eastAsia="Book Antiqua" w:hAnsi="Book Antiqua" w:cs="Book Antiqua"/>
          <w:color w:val="000000"/>
        </w:rPr>
        <w:t xml:space="preserve">. Preoperative biliary drainage before resection for cholangiocarcinoma (Pro).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130-133 [PMID: 18773090 DOI: 10.1080/13651820801992666]</w:t>
      </w:r>
    </w:p>
    <w:p w:rsidR="00F831E5" w:rsidRDefault="00C13CF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Xie TP</w:t>
      </w:r>
      <w:r>
        <w:rPr>
          <w:rFonts w:ascii="Book Antiqua" w:eastAsia="Book Antiqua" w:hAnsi="Book Antiqua" w:cs="Book Antiqua"/>
          <w:color w:val="000000"/>
        </w:rPr>
        <w:t xml:space="preserve">, Zhao YF, Peng L, Zhu J, Li Q. Effect of early enteral nutrition on liver functions in patients following esophageal cancer surgery. </w:t>
      </w:r>
      <w:r>
        <w:rPr>
          <w:rFonts w:ascii="Book Antiqua" w:eastAsia="Book Antiqua" w:hAnsi="Book Antiqua" w:cs="Book Antiqua"/>
          <w:i/>
          <w:iCs/>
          <w:color w:val="000000"/>
        </w:rPr>
        <w:t>Zhongguo Linchuang Yingyang Zazhi</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95-98</w:t>
      </w:r>
    </w:p>
    <w:p w:rsidR="00F831E5" w:rsidRDefault="00C13C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Jiang W</w:t>
      </w:r>
      <w:r>
        <w:rPr>
          <w:rFonts w:ascii="Book Antiqua" w:eastAsia="Book Antiqua" w:hAnsi="Book Antiqua" w:cs="Book Antiqua"/>
          <w:color w:val="000000"/>
        </w:rPr>
        <w:t xml:space="preserve">, Zhang J, Geng Q, Xu X, Lv X, Chen Y, Liu X, Tang W. Early enteral nutrition in neonates with partial gastrectomy: a multi-center study. </w:t>
      </w:r>
      <w:r>
        <w:rPr>
          <w:rFonts w:ascii="Book Antiqua" w:eastAsia="Book Antiqua" w:hAnsi="Book Antiqua" w:cs="Book Antiqua"/>
          <w:i/>
          <w:iCs/>
          <w:color w:val="000000"/>
        </w:rPr>
        <w:t>Asia Pac J Clin Nutr</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46-52 [PMID: 26965761 DOI: 10.6133/apjcn.2016.25.1.16]</w:t>
      </w:r>
    </w:p>
    <w:p w:rsidR="00F831E5" w:rsidRDefault="00C13CF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J, Zhu HL, Liang Y, Wu J. Effects of bifidobacterium-containing enteral nutrition intervention on the nutritional status and intestinal flora disturbance in patients with the severe cerebral infarction. </w:t>
      </w:r>
      <w:r>
        <w:rPr>
          <w:rFonts w:ascii="Book Antiqua" w:eastAsia="Book Antiqua" w:hAnsi="Book Antiqua" w:cs="Book Antiqua"/>
          <w:i/>
          <w:iCs/>
          <w:color w:val="000000"/>
        </w:rPr>
        <w:t>Hainan Yixueyuan Xuebao</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151-154 [DOI: 10.13210/j.cnki.jhmu.20170627.015]</w:t>
      </w:r>
    </w:p>
    <w:p w:rsidR="00F831E5" w:rsidRDefault="00C13CF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Yao D</w:t>
      </w:r>
      <w:r>
        <w:rPr>
          <w:rFonts w:ascii="Book Antiqua" w:eastAsia="Book Antiqua" w:hAnsi="Book Antiqua" w:cs="Book Antiqua"/>
          <w:color w:val="000000"/>
        </w:rPr>
        <w:t xml:space="preserve">, Zheng L, Wang J, Guo M, Yin J, Li Y. Perioperative Alanyl-Glutamine-Supplemented Parenteral Nutrition in Chronic Radiation Enteritis Patients With Surgical Intestinal Obstruction: A Prospective, Randomized, Controlled Study. </w:t>
      </w:r>
      <w:r>
        <w:rPr>
          <w:rFonts w:ascii="Book Antiqua" w:eastAsia="Book Antiqua" w:hAnsi="Book Antiqua" w:cs="Book Antiqua"/>
          <w:i/>
          <w:iCs/>
          <w:color w:val="000000"/>
        </w:rPr>
        <w:t>Nutr Clin Pract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250-256 [PMID: 26078286 DOI: 10.1177/0884533615591601]</w:t>
      </w:r>
    </w:p>
    <w:p w:rsidR="00F831E5" w:rsidRPr="00740352" w:rsidRDefault="00C13CFC">
      <w:pPr>
        <w:spacing w:line="360" w:lineRule="auto"/>
        <w:jc w:val="both"/>
      </w:pPr>
      <w:r w:rsidRPr="00740352">
        <w:rPr>
          <w:rFonts w:ascii="Book Antiqua" w:eastAsia="Book Antiqua" w:hAnsi="Book Antiqua" w:cs="Book Antiqua"/>
        </w:rPr>
        <w:t xml:space="preserve">9 </w:t>
      </w:r>
      <w:r w:rsidRPr="00740352">
        <w:rPr>
          <w:rFonts w:ascii="Book Antiqua" w:eastAsia="Book Antiqua" w:hAnsi="Book Antiqua" w:cs="Book Antiqua"/>
          <w:b/>
          <w:bCs/>
        </w:rPr>
        <w:t>Chuntrasakul C</w:t>
      </w:r>
      <w:r w:rsidRPr="00740352">
        <w:rPr>
          <w:rFonts w:ascii="Book Antiqua" w:eastAsia="Book Antiqua" w:hAnsi="Book Antiqua" w:cs="Book Antiqua"/>
        </w:rPr>
        <w:t xml:space="preserve">, Siltham S, Sarasombath S, Sittapairochana C, Leowattana W, Chockvivatanavanit S, Bunnak A. Comparison of a immunonutrition formula enriched arginine, glutamine and omega-3 fatty acid, with a currently high-enriched enteral nutrition for trauma patients. </w:t>
      </w:r>
      <w:r w:rsidRPr="00740352">
        <w:rPr>
          <w:rFonts w:ascii="Book Antiqua" w:eastAsia="Book Antiqua" w:hAnsi="Book Antiqua" w:cs="Book Antiqua"/>
          <w:i/>
          <w:iCs/>
        </w:rPr>
        <w:t>J Med Assoc Thai</w:t>
      </w:r>
      <w:r w:rsidRPr="00740352">
        <w:rPr>
          <w:rFonts w:ascii="Book Antiqua" w:eastAsia="Book Antiqua" w:hAnsi="Book Antiqua" w:cs="Book Antiqua"/>
        </w:rPr>
        <w:t xml:space="preserve"> 2003; </w:t>
      </w:r>
      <w:r w:rsidRPr="00740352">
        <w:rPr>
          <w:rFonts w:ascii="Book Antiqua" w:eastAsia="Book Antiqua" w:hAnsi="Book Antiqua" w:cs="Book Antiqua"/>
          <w:b/>
          <w:bCs/>
        </w:rPr>
        <w:t>86</w:t>
      </w:r>
      <w:r w:rsidRPr="00740352">
        <w:rPr>
          <w:rFonts w:ascii="Book Antiqua" w:eastAsia="Book Antiqua" w:hAnsi="Book Antiqua" w:cs="Book Antiqua"/>
        </w:rPr>
        <w:t>: 552-561 [PMID: 12924804]</w:t>
      </w:r>
    </w:p>
    <w:p w:rsidR="00F831E5" w:rsidRDefault="00C13CF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WC</w:t>
      </w:r>
      <w:r>
        <w:rPr>
          <w:rFonts w:ascii="Book Antiqua" w:eastAsia="Book Antiqua" w:hAnsi="Book Antiqua" w:cs="Book Antiqua"/>
          <w:color w:val="000000"/>
        </w:rPr>
        <w:t xml:space="preserve">, Li YM, Zhang H, Li X, Zhang L, Meng WB, Zhu KX, Zhang QB, He MY. Therapeutic effects of endoscopic therapy combined with enteral nutrition on acute severe biliary pancreatitis.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2993-2996 [PMID: 22040542]</w:t>
      </w:r>
    </w:p>
    <w:p w:rsidR="00F831E5" w:rsidRDefault="00C13CF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Zou XP</w:t>
      </w:r>
      <w:r>
        <w:rPr>
          <w:rFonts w:ascii="Book Antiqua" w:eastAsia="Book Antiqua" w:hAnsi="Book Antiqua" w:cs="Book Antiqua"/>
          <w:color w:val="000000"/>
        </w:rPr>
        <w:t xml:space="preserve">, Chen M, Wei W, Cao J, Chen L, Tian M. Effects of enteral immunonutrition on the maintenance of gut barrier function and immune function in pigs with severe acute pancreatitis.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554-566 [PMID: 20852186 DOI: 10.1177/0148607110362691]</w:t>
      </w:r>
    </w:p>
    <w:p w:rsidR="00F831E5" w:rsidRDefault="00C13CF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Rizvi S</w:t>
      </w:r>
      <w:r>
        <w:rPr>
          <w:rFonts w:ascii="Book Antiqua" w:eastAsia="Book Antiqua" w:hAnsi="Book Antiqua" w:cs="Book Antiqua"/>
          <w:color w:val="000000"/>
        </w:rPr>
        <w:t xml:space="preserve">, Khan SA, Hallemeier CL, Kelley RK, Gores GJ. Cholangiocarcinoma - evolving concepts and therapeutic strategies.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95-111 [PMID: 28994423 DOI: 10.1038/nrclinonc.2017.157]</w:t>
      </w:r>
    </w:p>
    <w:p w:rsidR="00F831E5" w:rsidRDefault="00C13CF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Braga M</w:t>
      </w:r>
      <w:r>
        <w:rPr>
          <w:rFonts w:ascii="Book Antiqua" w:eastAsia="Book Antiqua" w:hAnsi="Book Antiqua" w:cs="Book Antiqua"/>
          <w:color w:val="000000"/>
        </w:rPr>
        <w:t xml:space="preserve">, Gianotti L, Nespoli L, Radaelli G, Di Carlo V. Nutritional approach in malnourished surgical patients: a prospective randomized study.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137</w:t>
      </w:r>
      <w:r>
        <w:rPr>
          <w:rFonts w:ascii="Book Antiqua" w:eastAsia="Book Antiqua" w:hAnsi="Book Antiqua" w:cs="Book Antiqua"/>
          <w:color w:val="000000"/>
        </w:rPr>
        <w:t>: 174-180 [PMID: 11822956 DOI: 10.1001/archsurg.137.2.174]</w:t>
      </w:r>
    </w:p>
    <w:p w:rsidR="00F831E5" w:rsidRDefault="00C13CF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Ferreira LG</w:t>
      </w:r>
      <w:r>
        <w:rPr>
          <w:rFonts w:ascii="Book Antiqua" w:eastAsia="Book Antiqua" w:hAnsi="Book Antiqua" w:cs="Book Antiqua"/>
          <w:color w:val="000000"/>
        </w:rPr>
        <w:t xml:space="preserve">, Anastácio LR, Lima AS, Correia MI. [Malnutrition and inadequate food intake of patients in the waiting list for liver transplant].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389-393 [PMID: 19750303 DOI: 10.1590/s0104-42302009000400011]</w:t>
      </w:r>
    </w:p>
    <w:p w:rsidR="00F831E5" w:rsidRDefault="00C13C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Hajdú N</w:t>
      </w:r>
      <w:r>
        <w:rPr>
          <w:rFonts w:ascii="Book Antiqua" w:eastAsia="Book Antiqua" w:hAnsi="Book Antiqua" w:cs="Book Antiqua"/>
          <w:color w:val="000000"/>
        </w:rPr>
        <w:t xml:space="preserve">, Belágyi T, Issekutz A, Bartek P, Gartner B, Oláh A. [Intravenous glutamine and early nasojejunal nutrition in severe acute pancreatitis -- a prospective randomized clinical study]. </w:t>
      </w:r>
      <w:r>
        <w:rPr>
          <w:rFonts w:ascii="Book Antiqua" w:eastAsia="Book Antiqua" w:hAnsi="Book Antiqua" w:cs="Book Antiqua"/>
          <w:i/>
          <w:iCs/>
          <w:color w:val="000000"/>
        </w:rPr>
        <w:t>Magy Seb</w:t>
      </w:r>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44-51 [PMID: 22512878 DOI: 10.1556/MaSeb.65.2012.2.2]</w:t>
      </w:r>
    </w:p>
    <w:p w:rsidR="00F831E5" w:rsidRPr="00740352" w:rsidRDefault="00C13CFC">
      <w:pPr>
        <w:spacing w:line="360" w:lineRule="auto"/>
        <w:jc w:val="both"/>
      </w:pPr>
      <w:r w:rsidRPr="00740352">
        <w:rPr>
          <w:rFonts w:ascii="Book Antiqua" w:eastAsia="Book Antiqua" w:hAnsi="Book Antiqua" w:cs="Book Antiqua"/>
        </w:rPr>
        <w:t xml:space="preserve">16 </w:t>
      </w:r>
      <w:r w:rsidRPr="00740352">
        <w:rPr>
          <w:rFonts w:ascii="Book Antiqua" w:eastAsia="Book Antiqua" w:hAnsi="Book Antiqua" w:cs="Book Antiqua"/>
          <w:b/>
          <w:bCs/>
        </w:rPr>
        <w:t>Miyata H</w:t>
      </w:r>
      <w:r w:rsidRPr="00740352">
        <w:rPr>
          <w:rFonts w:ascii="Book Antiqua" w:eastAsia="Book Antiqua" w:hAnsi="Book Antiqua" w:cs="Book Antiqua" w:hint="eastAsia"/>
        </w:rPr>
        <w:t xml:space="preserve">, Yano M, Yasuda T, Yamasaki M, Murakami K, Makino T, Nishiki K, Sugimura K, Motoori M, Shiraishi O, Mori M, Doki Y. Randomized study of the clinical effects of ω-3 fatty acid-containing enteral nutrition support during neoadjuvant chemotherapy on chemotherapy-related toxicity in patients with esophageal cancer. </w:t>
      </w:r>
      <w:r w:rsidRPr="00740352">
        <w:rPr>
          <w:rFonts w:ascii="Book Antiqua" w:eastAsia="Book Antiqua" w:hAnsi="Book Antiqua" w:cs="Book Antiqua" w:hint="eastAsia"/>
          <w:i/>
          <w:iCs/>
        </w:rPr>
        <w:t>Nutrition</w:t>
      </w:r>
      <w:r w:rsidRPr="00740352">
        <w:rPr>
          <w:rFonts w:ascii="Book Antiqua" w:eastAsia="宋体" w:hAnsi="Book Antiqua" w:cs="Book Antiqua" w:hint="eastAsia"/>
          <w:lang w:eastAsia="zh-CN"/>
        </w:rPr>
        <w:t xml:space="preserve"> </w:t>
      </w:r>
      <w:r w:rsidRPr="00740352">
        <w:rPr>
          <w:rFonts w:ascii="Book Antiqua" w:eastAsia="Book Antiqua" w:hAnsi="Book Antiqua" w:cs="Book Antiqua" w:hint="eastAsia"/>
        </w:rPr>
        <w:t>2017;</w:t>
      </w:r>
      <w:r w:rsidRPr="00740352">
        <w:rPr>
          <w:rFonts w:ascii="Book Antiqua" w:eastAsia="宋体" w:hAnsi="Book Antiqua" w:cs="Book Antiqua" w:hint="eastAsia"/>
          <w:lang w:eastAsia="zh-CN"/>
        </w:rPr>
        <w:t xml:space="preserve"> </w:t>
      </w:r>
      <w:r w:rsidRPr="00740352">
        <w:rPr>
          <w:rFonts w:ascii="Book Antiqua" w:eastAsia="Book Antiqua" w:hAnsi="Book Antiqua" w:cs="Book Antiqua" w:hint="eastAsia"/>
          <w:b/>
          <w:bCs/>
        </w:rPr>
        <w:t>33</w:t>
      </w:r>
      <w:r w:rsidRPr="00740352">
        <w:rPr>
          <w:rFonts w:ascii="Book Antiqua" w:eastAsia="Book Antiqua" w:hAnsi="Book Antiqua" w:cs="Book Antiqua" w:hint="eastAsia"/>
        </w:rPr>
        <w:t>:</w:t>
      </w:r>
      <w:r w:rsidRPr="00740352">
        <w:rPr>
          <w:rFonts w:ascii="Book Antiqua" w:eastAsia="宋体" w:hAnsi="Book Antiqua" w:cs="Book Antiqua" w:hint="eastAsia"/>
          <w:lang w:eastAsia="zh-CN"/>
        </w:rPr>
        <w:t xml:space="preserve"> </w:t>
      </w:r>
      <w:r w:rsidRPr="00740352">
        <w:rPr>
          <w:rFonts w:ascii="Book Antiqua" w:eastAsia="Book Antiqua" w:hAnsi="Book Antiqua" w:cs="Book Antiqua" w:hint="eastAsia"/>
        </w:rPr>
        <w:t>204-210</w:t>
      </w:r>
      <w:r w:rsidRPr="00740352">
        <w:rPr>
          <w:rFonts w:ascii="Book Antiqua" w:eastAsia="宋体" w:hAnsi="Book Antiqua" w:cs="Book Antiqua" w:hint="eastAsia"/>
          <w:lang w:eastAsia="zh-CN"/>
        </w:rPr>
        <w:t xml:space="preserve"> [</w:t>
      </w:r>
      <w:r w:rsidRPr="00740352">
        <w:rPr>
          <w:rFonts w:ascii="Book Antiqua" w:eastAsia="Book Antiqua" w:hAnsi="Book Antiqua" w:cs="Book Antiqua" w:hint="eastAsia"/>
        </w:rPr>
        <w:t>PMID: 27644137</w:t>
      </w:r>
      <w:r w:rsidRPr="00740352">
        <w:rPr>
          <w:rFonts w:ascii="Book Antiqua" w:eastAsia="宋体" w:hAnsi="Book Antiqua" w:cs="Book Antiqua" w:hint="eastAsia"/>
          <w:lang w:eastAsia="zh-CN"/>
        </w:rPr>
        <w:t xml:space="preserve"> DOI</w:t>
      </w:r>
      <w:r w:rsidRPr="00740352">
        <w:rPr>
          <w:rFonts w:ascii="Book Antiqua" w:eastAsia="Book Antiqua" w:hAnsi="Book Antiqua" w:cs="Book Antiqua" w:hint="eastAsia"/>
        </w:rPr>
        <w:t>: 10.1016/j.nut.2016.07.004</w:t>
      </w:r>
      <w:r w:rsidRPr="00740352">
        <w:rPr>
          <w:rFonts w:ascii="Book Antiqua" w:eastAsia="宋体" w:hAnsi="Book Antiqua" w:cs="Book Antiqua" w:hint="eastAsia"/>
          <w:lang w:eastAsia="zh-CN"/>
        </w:rPr>
        <w:t xml:space="preserve"> ]</w:t>
      </w:r>
    </w:p>
    <w:p w:rsidR="00F831E5" w:rsidRDefault="00C13CF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Arends J. The causes and consequences of cancer-associated malnutrition. </w:t>
      </w:r>
      <w:r>
        <w:rPr>
          <w:rFonts w:ascii="Book Antiqua" w:eastAsia="Book Antiqua" w:hAnsi="Book Antiqua" w:cs="Book Antiqua"/>
          <w:i/>
          <w:iCs/>
          <w:color w:val="000000"/>
        </w:rPr>
        <w:t>Eur J Oncol Nurs</w:t>
      </w:r>
      <w:r>
        <w:rPr>
          <w:rFonts w:ascii="Book Antiqua" w:eastAsia="Book Antiqua" w:hAnsi="Book Antiqua" w:cs="Book Antiqua"/>
          <w:color w:val="000000"/>
        </w:rPr>
        <w:t xml:space="preserve"> 2005; </w:t>
      </w:r>
      <w:r>
        <w:rPr>
          <w:rFonts w:ascii="Book Antiqua" w:eastAsia="Book Antiqua" w:hAnsi="Book Antiqua" w:cs="Book Antiqua"/>
          <w:b/>
          <w:bCs/>
          <w:color w:val="000000"/>
        </w:rPr>
        <w:t>9 Suppl 2</w:t>
      </w:r>
      <w:r>
        <w:rPr>
          <w:rFonts w:ascii="Book Antiqua" w:eastAsia="Book Antiqua" w:hAnsi="Book Antiqua" w:cs="Book Antiqua"/>
          <w:color w:val="000000"/>
        </w:rPr>
        <w:t>: S51-S63 [PMID: 16437758 DOI: 10.1016/j.ejon.2005.09.007]</w:t>
      </w:r>
    </w:p>
    <w:p w:rsidR="00F831E5" w:rsidRDefault="00C13CF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F</w:t>
      </w:r>
      <w:r>
        <w:rPr>
          <w:rFonts w:ascii="Book Antiqua" w:eastAsia="Book Antiqua" w:hAnsi="Book Antiqua" w:cs="Book Antiqua"/>
          <w:color w:val="000000"/>
        </w:rPr>
        <w:t xml:space="preserve">, Duan H, Xie Y. Preventive Effects of Dexmedetomidine on Renal Dysfunction and Hemodynamic Stability in Malignant Obstructive Jaundice Patients During Peri-Operative Period.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6782-6787 [PMID: 31498783 DOI: 10.12659/MSM.916329]</w:t>
      </w:r>
    </w:p>
    <w:p w:rsidR="00F831E5" w:rsidRDefault="00C13CF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Tian YF</w:t>
      </w:r>
      <w:r>
        <w:rPr>
          <w:rFonts w:ascii="Book Antiqua" w:eastAsia="Book Antiqua" w:hAnsi="Book Antiqua" w:cs="Book Antiqua"/>
          <w:color w:val="000000"/>
        </w:rPr>
        <w:t xml:space="preserve">, Li Y, Zhao Q, Fan LQ, Zhao WJ, Xu BL, Song ZC, Kuang G, Dong ZM, Zhang QF. [Effect of ulinastatin on intestinal mucosal barrier function of rats with obstructive jaundice]. </w:t>
      </w:r>
      <w:r>
        <w:rPr>
          <w:rFonts w:ascii="Book Antiqua" w:eastAsia="Book Antiqua" w:hAnsi="Book Antiqua" w:cs="Book Antiqua"/>
          <w:i/>
          <w:iCs/>
          <w:color w:val="000000"/>
        </w:rPr>
        <w:t>Nanfang Yike Daxue Xuebao</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987-990 [PMID: 17666333]</w:t>
      </w:r>
    </w:p>
    <w:p w:rsidR="00F831E5" w:rsidRDefault="00C13CF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Bleier JI</w:t>
      </w:r>
      <w:r>
        <w:rPr>
          <w:rFonts w:ascii="Book Antiqua" w:eastAsia="Book Antiqua" w:hAnsi="Book Antiqua" w:cs="Book Antiqua"/>
          <w:color w:val="000000"/>
        </w:rPr>
        <w:t xml:space="preserve">, Katz SC, Chaudhry UI, Pillarisetty VG, Kingham TP 3rd, Shah AB, Raab JR, DeMatteo RP. Biliary obstruction selectively expands and activates liver myeloid dendritic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7189-7195 [PMID: 16751362 DOI: 10.4049/jimmunol.176.12.7189]</w:t>
      </w:r>
    </w:p>
    <w:p w:rsidR="00F831E5" w:rsidRDefault="00C13CF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Ouyang H</w:t>
      </w:r>
      <w:r>
        <w:rPr>
          <w:rFonts w:ascii="Book Antiqua" w:eastAsia="Book Antiqua" w:hAnsi="Book Antiqua" w:cs="Book Antiqua"/>
          <w:color w:val="000000"/>
        </w:rPr>
        <w:t xml:space="preserve">, Xu B, Zhao H. Application of early enteral nutrition through nasojejunostomy in children with acute pancreatitis. </w:t>
      </w:r>
      <w:r>
        <w:rPr>
          <w:rFonts w:ascii="Book Antiqua" w:eastAsia="Book Antiqua" w:hAnsi="Book Antiqua" w:cs="Book Antiqua"/>
          <w:i/>
          <w:iCs/>
          <w:color w:val="000000"/>
        </w:rPr>
        <w:t>J Clin Pediatr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510-512, 517</w:t>
      </w:r>
    </w:p>
    <w:p w:rsidR="00F831E5" w:rsidRDefault="00C13CF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Reis AMD</w:t>
      </w:r>
      <w:r>
        <w:rPr>
          <w:rFonts w:ascii="Book Antiqua" w:eastAsia="Book Antiqua" w:hAnsi="Book Antiqua" w:cs="Book Antiqua"/>
          <w:color w:val="000000"/>
        </w:rPr>
        <w:t xml:space="preserve">, Fruchtenicht AV, Loss SH, Moreira LF. Use of dietary fibers in enteral nutrition of critically ill patients: a systematic review. </w:t>
      </w:r>
      <w:r>
        <w:rPr>
          <w:rFonts w:ascii="Book Antiqua" w:eastAsia="Book Antiqua" w:hAnsi="Book Antiqua" w:cs="Book Antiqua"/>
          <w:i/>
          <w:iCs/>
          <w:color w:val="000000"/>
        </w:rPr>
        <w:t>Rev Bras Ter Intensiva</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358-365 [PMID: 30328989 DOI: 10.5935/0103-507X.20180050]</w:t>
      </w:r>
    </w:p>
    <w:p w:rsidR="00F831E5" w:rsidRDefault="00C13CF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Wheble GA</w:t>
      </w:r>
      <w:r>
        <w:rPr>
          <w:rFonts w:ascii="Book Antiqua" w:eastAsia="Book Antiqua" w:hAnsi="Book Antiqua" w:cs="Book Antiqua"/>
          <w:color w:val="000000"/>
        </w:rPr>
        <w:t xml:space="preserve">, Knight WR, Khan OA. Enteral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parenteral nutrition following major upper gastrointestinal surgery.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194-197 [PMID: 22414681 DOI: 10.1016/j.ijsu.2012.02.015]</w:t>
      </w:r>
    </w:p>
    <w:p w:rsidR="00F831E5" w:rsidRDefault="00C13CF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Devin CL, Pucci MJ, Berger AC, Rosato EL, Palazzo F. Optimal timing and route of nutritional support after esophagectomy: A review of the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4427-4436 [PMID: 31496622 DOI: 10.3748/wjg.v25.i31.4427]</w:t>
      </w:r>
    </w:p>
    <w:p w:rsidR="00F831E5" w:rsidRDefault="00C13CF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Hu Y</w:t>
      </w:r>
      <w:r>
        <w:rPr>
          <w:rFonts w:ascii="Book Antiqua" w:eastAsia="Book Antiqua" w:hAnsi="Book Antiqua" w:cs="Book Antiqua"/>
          <w:color w:val="000000"/>
        </w:rPr>
        <w:t xml:space="preserve">. Clinical value of early enteral nutrition with three lumen gastrointestinal tract in patients with hilar cholangiocarcinoma. </w:t>
      </w:r>
      <w:r>
        <w:rPr>
          <w:rFonts w:ascii="Book Antiqua" w:eastAsia="Book Antiqua" w:hAnsi="Book Antiqua" w:cs="Book Antiqua"/>
          <w:i/>
          <w:iCs/>
          <w:color w:val="000000"/>
        </w:rPr>
        <w:t>Guoji Yiyao Weisheng Daobao</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123-126 [DOI: 10.3760/cma.j.issn.1007-1245.2017.01.0043]</w:t>
      </w:r>
    </w:p>
    <w:p w:rsidR="00F831E5" w:rsidRDefault="00C13CF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D</w:t>
      </w:r>
      <w:r>
        <w:rPr>
          <w:rFonts w:ascii="Book Antiqua" w:eastAsia="Book Antiqua" w:hAnsi="Book Antiqua" w:cs="Book Antiqua"/>
          <w:color w:val="000000"/>
        </w:rPr>
        <w:t xml:space="preserve">, Liang LJ, Peng BG, Zhou Q, Li SQ, Tang D, Huang L, Huang JF. [Effect of preoperative biliary drainage on liver function changes in patients with malignant obstructive jaundice in the low bile duct before and after pancreaticoduodenectomy].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78-82 [PMID: 18184470]</w:t>
      </w:r>
    </w:p>
    <w:p w:rsidR="00F831E5" w:rsidRDefault="00C13CF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Y</w:t>
      </w:r>
      <w:r>
        <w:rPr>
          <w:rFonts w:ascii="Book Antiqua" w:eastAsia="Book Antiqua" w:hAnsi="Book Antiqua" w:cs="Book Antiqua"/>
          <w:color w:val="000000"/>
        </w:rPr>
        <w:t xml:space="preserve">, Guo Z, Huang L, Gong J, Li Y, Gu L, Shen W, Zhu W. A nomogram for predicting the response to exclusive enteral nutrition in adult patients with isolated colonic Crohn's disease.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1756284819881301 [PMID: 31656533 DOI: 10.1177/1756284819881301]</w:t>
      </w:r>
    </w:p>
    <w:p w:rsidR="00F831E5" w:rsidRDefault="00C13CF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 SL</w:t>
      </w:r>
      <w:r>
        <w:rPr>
          <w:rFonts w:ascii="Book Antiqua" w:eastAsia="Book Antiqua" w:hAnsi="Book Antiqua" w:cs="Book Antiqua"/>
          <w:color w:val="000000"/>
        </w:rPr>
        <w:t xml:space="preserve">, Li YC. Early administration of enteral nutrition after surgical resection of hilar cholangiocarcinoma. </w:t>
      </w:r>
      <w:r>
        <w:rPr>
          <w:rFonts w:ascii="Book Antiqua" w:eastAsia="Book Antiqua" w:hAnsi="Book Antiqua" w:cs="Book Antiqua"/>
          <w:i/>
          <w:iCs/>
          <w:color w:val="000000"/>
        </w:rPr>
        <w:t>Zhongguo Putong Waike Zazhi</w:t>
      </w:r>
      <w:r>
        <w:rPr>
          <w:rFonts w:ascii="Book Antiqua" w:eastAsia="Book Antiqua" w:hAnsi="Book Antiqua" w:cs="Book Antiqua"/>
          <w:color w:val="000000"/>
        </w:rPr>
        <w:t xml:space="preserve"> 2012</w:t>
      </w:r>
    </w:p>
    <w:p w:rsidR="00F831E5" w:rsidRDefault="00C13CF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P</w:t>
      </w:r>
      <w:r>
        <w:rPr>
          <w:rFonts w:ascii="Book Antiqua" w:eastAsia="Book Antiqua" w:hAnsi="Book Antiqua" w:cs="Book Antiqua"/>
          <w:color w:val="000000"/>
        </w:rPr>
        <w:t xml:space="preserve">, Mao L, Bian XJ, Zhou T, Fan YY, Zhang J, Xie M, Qiu YD. [Curative effect analysis of bile reinfusion combined with enteral nutrition support before surgery of hilar cholangiocarcinoma]. </w:t>
      </w:r>
      <w:r>
        <w:rPr>
          <w:rFonts w:ascii="Book Antiqua" w:eastAsia="Book Antiqua" w:hAnsi="Book Antiqua" w:cs="Book Antiqua"/>
          <w:i/>
          <w:iCs/>
          <w:color w:val="000000"/>
        </w:rPr>
        <w:t>Zhonghua Wai Ke Za 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367-373 [PMID: 29779313 DOI: 10.3760/cma.j.issn.0529-5815.2018.05.009]</w:t>
      </w:r>
    </w:p>
    <w:p w:rsidR="00F831E5" w:rsidRDefault="00C13CF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Pavlidis ET</w:t>
      </w:r>
      <w:r>
        <w:rPr>
          <w:rFonts w:ascii="Book Antiqua" w:eastAsia="Book Antiqua" w:hAnsi="Book Antiqua" w:cs="Book Antiqua"/>
          <w:color w:val="000000"/>
        </w:rPr>
        <w:t xml:space="preserve">, Pavlidis TE. Pathophysiological consequences of obstructive jaundice and perioperative management.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17-21 [PMID: 29428098 DOI: 10.1016/j.hbpd.2018.01.008]</w:t>
      </w:r>
    </w:p>
    <w:p w:rsidR="00F831E5" w:rsidRDefault="00C13CF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Stefanov CS</w:t>
      </w:r>
      <w:r>
        <w:rPr>
          <w:rFonts w:ascii="Book Antiqua" w:eastAsia="Book Antiqua" w:hAnsi="Book Antiqua" w:cs="Book Antiqua"/>
          <w:color w:val="000000"/>
        </w:rPr>
        <w:t xml:space="preserve">, Boyadzhiev NP, Uchikov AP, Dimov R, Mandev P, Terzhumanov R. Enteral nutrition in sepsis patients. </w:t>
      </w:r>
      <w:r>
        <w:rPr>
          <w:rFonts w:ascii="Book Antiqua" w:eastAsia="Book Antiqua" w:hAnsi="Book Antiqua" w:cs="Book Antiqua"/>
          <w:i/>
          <w:iCs/>
          <w:color w:val="000000"/>
        </w:rPr>
        <w:t>Folia Med (Plovdiv)</w:t>
      </w:r>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11-20 [PMID: 16152766]</w:t>
      </w:r>
    </w:p>
    <w:p w:rsidR="00F831E5" w:rsidRDefault="00C13CF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Sun JK</w:t>
      </w:r>
      <w:r>
        <w:rPr>
          <w:rFonts w:ascii="Book Antiqua" w:eastAsia="Book Antiqua" w:hAnsi="Book Antiqua" w:cs="Book Antiqua"/>
          <w:color w:val="000000"/>
        </w:rPr>
        <w:t xml:space="preserve">, Zhang WH, Chen WX, Wang X, Mu XW. Effects of early enteral nutrition on Th17/Treg cells and IL-23/IL-17 in septic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2799-2808 [PMID: 31236002 DOI: 10.3748/wjg.v25.i22.2799]</w:t>
      </w:r>
    </w:p>
    <w:p w:rsidR="00F831E5" w:rsidRDefault="00F831E5">
      <w:pPr>
        <w:spacing w:line="360" w:lineRule="auto"/>
        <w:jc w:val="both"/>
        <w:sectPr w:rsidR="00F831E5">
          <w:pgSz w:w="12240" w:h="15840"/>
          <w:pgMar w:top="1440" w:right="1440" w:bottom="1440" w:left="1440" w:header="720" w:footer="720" w:gutter="0"/>
          <w:cols w:space="720"/>
          <w:docGrid w:linePitch="360"/>
        </w:sectPr>
      </w:pPr>
    </w:p>
    <w:p w:rsidR="00F831E5" w:rsidRDefault="00C13CFC">
      <w:pPr>
        <w:spacing w:line="360" w:lineRule="auto"/>
        <w:jc w:val="both"/>
      </w:pPr>
      <w:r>
        <w:rPr>
          <w:rFonts w:ascii="Book Antiqua" w:eastAsia="Book Antiqua" w:hAnsi="Book Antiqua" w:cs="Book Antiqua"/>
          <w:b/>
          <w:color w:val="000000"/>
        </w:rPr>
        <w:t>Footnotes</w:t>
      </w:r>
    </w:p>
    <w:p w:rsidR="00F831E5" w:rsidRDefault="00C13C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of Gansu Provincial Hospital (Approval No. 2016-036).</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This study was registered at the Chinese Clinical Trial Registry (http://www.chictr.org.cn/index.aspx). The registration identification number is ChiCTR2000034561.</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27, 2020</w:t>
      </w:r>
    </w:p>
    <w:p w:rsidR="00F831E5" w:rsidRDefault="00C13C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rsidR="00F831E5" w:rsidRDefault="00C13CFC">
      <w:pPr>
        <w:spacing w:line="360" w:lineRule="auto"/>
        <w:jc w:val="both"/>
      </w:pPr>
      <w:r>
        <w:rPr>
          <w:rFonts w:ascii="Book Antiqua" w:eastAsia="Book Antiqua" w:hAnsi="Book Antiqua" w:cs="Book Antiqua"/>
          <w:b/>
          <w:color w:val="000000"/>
        </w:rPr>
        <w:t xml:space="preserve">Article in press: </w:t>
      </w:r>
      <w:r w:rsidR="0019256B">
        <w:rPr>
          <w:rFonts w:ascii="Book Antiqua" w:eastAsia="Book Antiqua" w:hAnsi="Book Antiqua" w:cs="Book Antiqua"/>
          <w:color w:val="000000"/>
        </w:rPr>
        <w:t>November 21, 2020</w:t>
      </w:r>
    </w:p>
    <w:p w:rsidR="00F831E5" w:rsidRDefault="00F831E5">
      <w:pPr>
        <w:spacing w:line="360" w:lineRule="auto"/>
        <w:jc w:val="both"/>
      </w:pPr>
    </w:p>
    <w:p w:rsidR="00F831E5" w:rsidRDefault="00C13CF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hepatology </w:t>
      </w:r>
    </w:p>
    <w:p w:rsidR="00F831E5" w:rsidRDefault="00C13C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F831E5" w:rsidRDefault="00C13CFC">
      <w:pPr>
        <w:spacing w:line="360" w:lineRule="auto"/>
        <w:jc w:val="both"/>
      </w:pPr>
      <w:r>
        <w:rPr>
          <w:rFonts w:ascii="Book Antiqua" w:eastAsia="Book Antiqua" w:hAnsi="Book Antiqua" w:cs="Book Antiqua"/>
          <w:b/>
          <w:color w:val="000000"/>
        </w:rPr>
        <w:t>Peer-review report’s scientific quality classification</w:t>
      </w:r>
    </w:p>
    <w:p w:rsidR="00F831E5" w:rsidRDefault="00C13CFC">
      <w:pPr>
        <w:spacing w:line="360" w:lineRule="auto"/>
        <w:jc w:val="both"/>
      </w:pPr>
      <w:r>
        <w:rPr>
          <w:rFonts w:ascii="Book Antiqua" w:eastAsia="Book Antiqua" w:hAnsi="Book Antiqua" w:cs="Book Antiqua"/>
          <w:color w:val="000000"/>
        </w:rPr>
        <w:t>Grade A (Excellent): 0</w:t>
      </w:r>
    </w:p>
    <w:p w:rsidR="00F831E5" w:rsidRDefault="00C13CFC">
      <w:pPr>
        <w:spacing w:line="360" w:lineRule="auto"/>
        <w:jc w:val="both"/>
      </w:pPr>
      <w:r>
        <w:rPr>
          <w:rFonts w:ascii="Book Antiqua" w:eastAsia="Book Antiqua" w:hAnsi="Book Antiqua" w:cs="Book Antiqua"/>
          <w:color w:val="000000"/>
        </w:rPr>
        <w:t>Grade B (Very good): B</w:t>
      </w:r>
    </w:p>
    <w:p w:rsidR="00F831E5" w:rsidRDefault="00C13CFC">
      <w:pPr>
        <w:spacing w:line="360" w:lineRule="auto"/>
        <w:jc w:val="both"/>
      </w:pPr>
      <w:r>
        <w:rPr>
          <w:rFonts w:ascii="Book Antiqua" w:eastAsia="Book Antiqua" w:hAnsi="Book Antiqua" w:cs="Book Antiqua"/>
          <w:color w:val="000000"/>
        </w:rPr>
        <w:t>Grade C (Good): C</w:t>
      </w:r>
    </w:p>
    <w:p w:rsidR="00F831E5" w:rsidRDefault="00C13CFC">
      <w:pPr>
        <w:spacing w:line="360" w:lineRule="auto"/>
        <w:jc w:val="both"/>
      </w:pPr>
      <w:r>
        <w:rPr>
          <w:rFonts w:ascii="Book Antiqua" w:eastAsia="Book Antiqua" w:hAnsi="Book Antiqua" w:cs="Book Antiqua"/>
          <w:color w:val="000000"/>
        </w:rPr>
        <w:t>Grade D (Fair): 0</w:t>
      </w:r>
    </w:p>
    <w:p w:rsidR="00F831E5" w:rsidRDefault="00C13CFC">
      <w:pPr>
        <w:spacing w:line="360" w:lineRule="auto"/>
        <w:jc w:val="both"/>
      </w:pPr>
      <w:r>
        <w:rPr>
          <w:rFonts w:ascii="Book Antiqua" w:eastAsia="Book Antiqua" w:hAnsi="Book Antiqua" w:cs="Book Antiqua"/>
          <w:color w:val="000000"/>
        </w:rPr>
        <w:t>Grade E (Poor): 0</w:t>
      </w:r>
    </w:p>
    <w:p w:rsidR="00F831E5" w:rsidRDefault="00F831E5">
      <w:pPr>
        <w:spacing w:line="360" w:lineRule="auto"/>
        <w:jc w:val="both"/>
      </w:pPr>
    </w:p>
    <w:p w:rsidR="00F831E5" w:rsidRPr="0019256B" w:rsidRDefault="00C13CF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Dinç T, Ooi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19256B">
        <w:rPr>
          <w:rFonts w:ascii="Book Antiqua" w:hAnsi="Book Antiqua" w:cs="Book Antiqua" w:hint="eastAsia"/>
          <w:b/>
          <w:color w:val="000000"/>
          <w:lang w:eastAsia="zh-CN"/>
        </w:rPr>
        <w:t>Ma YJ</w:t>
      </w:r>
    </w:p>
    <w:p w:rsidR="00F831E5" w:rsidRDefault="00F831E5">
      <w:pPr>
        <w:spacing w:line="360" w:lineRule="auto"/>
        <w:jc w:val="both"/>
        <w:sectPr w:rsidR="00F831E5">
          <w:pgSz w:w="12240" w:h="15840"/>
          <w:pgMar w:top="1440" w:right="1440" w:bottom="1440" w:left="1440" w:header="720" w:footer="720" w:gutter="0"/>
          <w:cols w:space="720"/>
          <w:docGrid w:linePitch="360"/>
        </w:sectPr>
      </w:pPr>
    </w:p>
    <w:p w:rsidR="00F831E5" w:rsidRDefault="00C13C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F831E5" w:rsidRDefault="00C13CFC">
      <w:pPr>
        <w:spacing w:line="360" w:lineRule="auto"/>
        <w:jc w:val="both"/>
      </w:pPr>
      <w:r>
        <w:rPr>
          <w:noProof/>
          <w:lang w:eastAsia="zh-CN"/>
        </w:rPr>
        <w:drawing>
          <wp:inline distT="0" distB="0" distL="0" distR="0" wp14:anchorId="44075E22" wp14:editId="69B30D06">
            <wp:extent cx="5941695" cy="281051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69552" cy="2823816"/>
                    </a:xfrm>
                    <a:prstGeom prst="rect">
                      <a:avLst/>
                    </a:prstGeom>
                    <a:noFill/>
                  </pic:spPr>
                </pic:pic>
              </a:graphicData>
            </a:graphic>
          </wp:inline>
        </w:drawing>
      </w:r>
    </w:p>
    <w:p w:rsidR="00F831E5" w:rsidRDefault="00C13CF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 Flow chart of the participants.</w:t>
      </w:r>
    </w:p>
    <w:p w:rsidR="00F831E5" w:rsidRDefault="00C13CF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r>
        <w:rPr>
          <w:rFonts w:ascii="Book Antiqua" w:eastAsia="Book Antiqua" w:hAnsi="Book Antiqua" w:cs="Book Antiqua"/>
          <w:b/>
          <w:bCs/>
          <w:noProof/>
          <w:color w:val="000000"/>
          <w:szCs w:val="22"/>
          <w:lang w:eastAsia="zh-CN"/>
        </w:rPr>
        <w:drawing>
          <wp:inline distT="0" distB="0" distL="0" distR="0">
            <wp:extent cx="3082925" cy="224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98421" cy="2252934"/>
                    </a:xfrm>
                    <a:prstGeom prst="rect">
                      <a:avLst/>
                    </a:prstGeom>
                    <a:noFill/>
                  </pic:spPr>
                </pic:pic>
              </a:graphicData>
            </a:graphic>
          </wp:inline>
        </w:drawing>
      </w:r>
    </w:p>
    <w:p w:rsidR="00F831E5" w:rsidRDefault="00C13CFC">
      <w:pPr>
        <w:spacing w:line="360" w:lineRule="auto"/>
        <w:jc w:val="both"/>
      </w:pPr>
      <w:r>
        <w:rPr>
          <w:noProof/>
          <w:lang w:eastAsia="zh-CN"/>
        </w:rPr>
        <w:drawing>
          <wp:inline distT="0" distB="0" distL="0" distR="0">
            <wp:extent cx="3110865" cy="2270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18955" cy="2276730"/>
                    </a:xfrm>
                    <a:prstGeom prst="rect">
                      <a:avLst/>
                    </a:prstGeom>
                    <a:noFill/>
                  </pic:spPr>
                </pic:pic>
              </a:graphicData>
            </a:graphic>
          </wp:inline>
        </w:drawing>
      </w:r>
    </w:p>
    <w:p w:rsidR="00F831E5" w:rsidRDefault="00C13CFC">
      <w:pPr>
        <w:spacing w:line="360" w:lineRule="auto"/>
        <w:jc w:val="both"/>
      </w:pPr>
      <w:r>
        <w:rPr>
          <w:noProof/>
          <w:lang w:eastAsia="zh-CN"/>
        </w:rPr>
        <w:drawing>
          <wp:inline distT="0" distB="0" distL="0" distR="0">
            <wp:extent cx="3129280" cy="22840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48374" cy="2298204"/>
                    </a:xfrm>
                    <a:prstGeom prst="rect">
                      <a:avLst/>
                    </a:prstGeom>
                    <a:noFill/>
                  </pic:spPr>
                </pic:pic>
              </a:graphicData>
            </a:graphic>
          </wp:inline>
        </w:drawing>
      </w:r>
    </w:p>
    <w:p w:rsidR="00F831E5" w:rsidRDefault="00C13CFC">
      <w:pPr>
        <w:spacing w:line="360" w:lineRule="auto"/>
        <w:jc w:val="both"/>
      </w:pPr>
      <w:r>
        <w:rPr>
          <w:noProof/>
          <w:lang w:eastAsia="zh-CN"/>
        </w:rPr>
        <w:drawing>
          <wp:inline distT="0" distB="0" distL="0" distR="0">
            <wp:extent cx="3037205" cy="24168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72976" cy="2445208"/>
                    </a:xfrm>
                    <a:prstGeom prst="rect">
                      <a:avLst/>
                    </a:prstGeom>
                    <a:noFill/>
                  </pic:spPr>
                </pic:pic>
              </a:graphicData>
            </a:graphic>
          </wp:inline>
        </w:drawing>
      </w:r>
    </w:p>
    <w:p w:rsidR="00F831E5" w:rsidRDefault="00C13CFC">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2 Difference in the counts of CD3+T, CD4+T, CD8+T, and the CD4+T/CD8+T cell ratios between the early enteral nutrition + parenteral nutrition and </w:t>
      </w:r>
      <w:bookmarkStart w:id="3" w:name="_Hlk56437062"/>
      <w:r>
        <w:rPr>
          <w:rFonts w:ascii="Book Antiqua" w:eastAsia="Book Antiqua" w:hAnsi="Book Antiqua" w:cs="Book Antiqua"/>
          <w:b/>
          <w:bCs/>
          <w:color w:val="000000"/>
          <w:szCs w:val="22"/>
        </w:rPr>
        <w:t>total parenteral nutrition</w:t>
      </w:r>
      <w:bookmarkEnd w:id="3"/>
      <w:r>
        <w:rPr>
          <w:rFonts w:ascii="Book Antiqua" w:eastAsia="Book Antiqua" w:hAnsi="Book Antiqua" w:cs="Book Antiqua"/>
          <w:b/>
          <w:bCs/>
          <w:color w:val="000000"/>
          <w:szCs w:val="22"/>
        </w:rPr>
        <w:t xml:space="preserve"> groups. </w:t>
      </w:r>
      <w:r>
        <w:rPr>
          <w:rFonts w:ascii="Book Antiqua" w:eastAsia="Book Antiqua" w:hAnsi="Book Antiqua" w:cs="Book Antiqua"/>
          <w:color w:val="000000"/>
          <w:szCs w:val="22"/>
        </w:rPr>
        <w:t xml:space="preserve">A: Difference in the counts of CD3+T between the early enteral nutrition + parenteral nutrition (EEN + PN) and total parenteral nutrition (TPN) groups; B: Difference in the counts of CD4+T between the EEN + PN and TPN groups; C: Difference in the counts of CD8+T between the EEN + PN and TPN groups; D: Differences in the CD4+T/CD8+T cell ratios between the EEN + PN and TPN groups. </w:t>
      </w:r>
      <w:r>
        <w:rPr>
          <w:rFonts w:ascii="Book Antiqua" w:eastAsia="Book Antiqua" w:hAnsi="Book Antiqua" w:cs="Book Antiqua"/>
          <w:color w:val="000000"/>
          <w:szCs w:val="33"/>
          <w:vertAlign w:val="superscript"/>
        </w:rPr>
        <w:t>a</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EEN: Early enteral nutrition; PN: Parenteral nutrition; POD: Postoperative day; TPN: Total parenteral nutrition.</w:t>
      </w:r>
    </w:p>
    <w:p w:rsidR="00F831E5" w:rsidRDefault="00C13CFC">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br w:type="page"/>
      </w:r>
      <w:r>
        <w:rPr>
          <w:rFonts w:ascii="Book Antiqua" w:eastAsia="Book Antiqua" w:hAnsi="Book Antiqua" w:cs="Book Antiqua"/>
          <w:noProof/>
          <w:color w:val="000000"/>
          <w:szCs w:val="22"/>
          <w:lang w:eastAsia="zh-CN"/>
        </w:rPr>
        <w:drawing>
          <wp:inline distT="0" distB="0" distL="0" distR="0">
            <wp:extent cx="3056890" cy="2188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69605" cy="2198194"/>
                    </a:xfrm>
                    <a:prstGeom prst="rect">
                      <a:avLst/>
                    </a:prstGeom>
                    <a:noFill/>
                  </pic:spPr>
                </pic:pic>
              </a:graphicData>
            </a:graphic>
          </wp:inline>
        </w:drawing>
      </w:r>
    </w:p>
    <w:p w:rsidR="00F831E5" w:rsidRDefault="00C13CFC">
      <w:pPr>
        <w:spacing w:line="360" w:lineRule="auto"/>
        <w:jc w:val="both"/>
      </w:pPr>
      <w:r>
        <w:rPr>
          <w:noProof/>
          <w:lang w:eastAsia="zh-CN"/>
        </w:rPr>
        <w:drawing>
          <wp:inline distT="0" distB="0" distL="0" distR="0">
            <wp:extent cx="3079750" cy="2192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94741" cy="2202445"/>
                    </a:xfrm>
                    <a:prstGeom prst="rect">
                      <a:avLst/>
                    </a:prstGeom>
                    <a:noFill/>
                  </pic:spPr>
                </pic:pic>
              </a:graphicData>
            </a:graphic>
          </wp:inline>
        </w:drawing>
      </w:r>
    </w:p>
    <w:p w:rsidR="00F831E5" w:rsidRDefault="00C13CFC">
      <w:pPr>
        <w:spacing w:line="360" w:lineRule="auto"/>
        <w:jc w:val="both"/>
      </w:pPr>
      <w:r>
        <w:rPr>
          <w:noProof/>
          <w:lang w:eastAsia="zh-CN"/>
        </w:rPr>
        <w:drawing>
          <wp:inline distT="0" distB="0" distL="0" distR="0">
            <wp:extent cx="3100705" cy="23075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20034" cy="2322263"/>
                    </a:xfrm>
                    <a:prstGeom prst="rect">
                      <a:avLst/>
                    </a:prstGeom>
                    <a:noFill/>
                  </pic:spPr>
                </pic:pic>
              </a:graphicData>
            </a:graphic>
          </wp:inline>
        </w:drawing>
      </w:r>
    </w:p>
    <w:p w:rsidR="00F831E5" w:rsidRDefault="00C13CFC">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Figure 3 Difference in the serum immunoglobulin G, </w:t>
      </w:r>
      <w:bookmarkStart w:id="4" w:name="_Hlk56437248"/>
      <w:r>
        <w:rPr>
          <w:rFonts w:ascii="Book Antiqua" w:eastAsia="Book Antiqua" w:hAnsi="Book Antiqua" w:cs="Book Antiqua"/>
          <w:b/>
          <w:bCs/>
          <w:color w:val="000000"/>
          <w:szCs w:val="22"/>
        </w:rPr>
        <w:t>immunoglobulin</w:t>
      </w:r>
      <w:bookmarkEnd w:id="4"/>
      <w:r>
        <w:rPr>
          <w:rFonts w:ascii="Book Antiqua" w:eastAsia="Book Antiqua" w:hAnsi="Book Antiqua" w:cs="Book Antiqua"/>
          <w:b/>
          <w:bCs/>
          <w:color w:val="000000"/>
          <w:szCs w:val="22"/>
        </w:rPr>
        <w:t xml:space="preserve"> M, and immunoglobulin A levels between the </w:t>
      </w:r>
      <w:bookmarkStart w:id="5" w:name="_Hlk56437198"/>
      <w:r>
        <w:rPr>
          <w:rFonts w:ascii="Book Antiqua" w:eastAsia="Book Antiqua" w:hAnsi="Book Antiqua" w:cs="Book Antiqua"/>
          <w:b/>
          <w:bCs/>
          <w:color w:val="000000"/>
          <w:szCs w:val="22"/>
        </w:rPr>
        <w:t>early enteral nutrition + parenteral nutrition</w:t>
      </w:r>
      <w:bookmarkEnd w:id="5"/>
      <w:r>
        <w:rPr>
          <w:rFonts w:ascii="Book Antiqua" w:eastAsia="Book Antiqua" w:hAnsi="Book Antiqua" w:cs="Book Antiqua"/>
          <w:b/>
          <w:bCs/>
          <w:color w:val="000000"/>
          <w:szCs w:val="22"/>
        </w:rPr>
        <w:t xml:space="preserve"> and </w:t>
      </w:r>
      <w:bookmarkStart w:id="6" w:name="_Hlk56437211"/>
      <w:r>
        <w:rPr>
          <w:rFonts w:ascii="Book Antiqua" w:eastAsia="Book Antiqua" w:hAnsi="Book Antiqua" w:cs="Book Antiqua"/>
          <w:b/>
          <w:bCs/>
          <w:color w:val="000000"/>
          <w:szCs w:val="22"/>
        </w:rPr>
        <w:t>total parenteral nutrition</w:t>
      </w:r>
      <w:bookmarkEnd w:id="6"/>
      <w:r>
        <w:rPr>
          <w:rFonts w:ascii="Book Antiqua" w:eastAsia="Book Antiqua" w:hAnsi="Book Antiqua" w:cs="Book Antiqua"/>
          <w:b/>
          <w:bCs/>
          <w:color w:val="000000"/>
          <w:szCs w:val="22"/>
        </w:rPr>
        <w:t xml:space="preserve"> groups. </w:t>
      </w:r>
      <w:r>
        <w:rPr>
          <w:rFonts w:ascii="Book Antiqua" w:eastAsia="Book Antiqua" w:hAnsi="Book Antiqua" w:cs="Book Antiqua"/>
          <w:color w:val="000000"/>
          <w:szCs w:val="22"/>
        </w:rPr>
        <w:t xml:space="preserve">A: Difference in the serum immunoglobulin (Ig) G levels between the early enteral nutrition + parenteral nutrition (EEN + PN) and total parenteral nutrition (TPN) groups; B: Difference in the serum IgM levels between the EEN + PN and TPN groups; C: Difference in the serum IgA levels between the EEN + PN and TPN groups. </w:t>
      </w:r>
      <w:r>
        <w:rPr>
          <w:rFonts w:ascii="Book Antiqua" w:eastAsia="Book Antiqua" w:hAnsi="Book Antiqua" w:cs="Book Antiqua"/>
          <w:color w:val="000000"/>
          <w:szCs w:val="33"/>
          <w:vertAlign w:val="superscript"/>
        </w:rPr>
        <w:t>a</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 0.05. EEN: Early enteral nutrition; PN: Parenteral nutrition; POD: Postoperative day; TPN: Total parenteral nutrition.</w:t>
      </w:r>
    </w:p>
    <w:p w:rsidR="00244A15" w:rsidRDefault="00C13CFC" w:rsidP="00244A1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244A15">
        <w:rPr>
          <w:rFonts w:ascii="Book Antiqua" w:eastAsia="Book Antiqua" w:hAnsi="Book Antiqua" w:cs="Book Antiqua"/>
          <w:b/>
          <w:bCs/>
          <w:color w:val="000000"/>
          <w:szCs w:val="22"/>
        </w:rPr>
        <w:t>Table 1</w:t>
      </w:r>
      <w:r w:rsidR="00244A15">
        <w:rPr>
          <w:rFonts w:ascii="Book Antiqua" w:hAnsi="Book Antiqua" w:cs="Book Antiqua" w:hint="eastAsia"/>
          <w:b/>
          <w:bCs/>
          <w:color w:val="000000"/>
          <w:szCs w:val="22"/>
          <w:lang w:eastAsia="zh-CN"/>
        </w:rPr>
        <w:t xml:space="preserve"> </w:t>
      </w:r>
      <w:r w:rsidR="00244A15">
        <w:rPr>
          <w:rFonts w:ascii="Book Antiqua" w:eastAsia="Book Antiqua" w:hAnsi="Book Antiqua" w:cs="Book Antiqua"/>
          <w:b/>
          <w:bCs/>
          <w:color w:val="000000"/>
          <w:szCs w:val="22"/>
        </w:rPr>
        <w:t xml:space="preserve"> Nutrition supply postoperatively</w:t>
      </w:r>
    </w:p>
    <w:tbl>
      <w:tblPr>
        <w:tblStyle w:val="a8"/>
        <w:tblW w:w="9606"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020"/>
        <w:gridCol w:w="1356"/>
        <w:gridCol w:w="1134"/>
        <w:gridCol w:w="1276"/>
        <w:gridCol w:w="1276"/>
        <w:gridCol w:w="992"/>
        <w:gridCol w:w="1418"/>
        <w:gridCol w:w="1134"/>
      </w:tblGrid>
      <w:tr w:rsidR="00244A15" w:rsidTr="009D7DEC">
        <w:trPr>
          <w:trHeight w:val="550"/>
        </w:trPr>
        <w:tc>
          <w:tcPr>
            <w:tcW w:w="1020"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Group</w:t>
            </w:r>
          </w:p>
        </w:tc>
        <w:tc>
          <w:tcPr>
            <w:tcW w:w="1356"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N</w:t>
            </w:r>
            <w:r>
              <w:rPr>
                <w:rFonts w:ascii="Book Antiqua" w:eastAsia="宋体" w:hAnsi="Book Antiqua"/>
                <w:b/>
                <w:bCs/>
                <w:lang w:eastAsia="zh-CN"/>
              </w:rPr>
              <w:t>utritional support</w:t>
            </w:r>
          </w:p>
        </w:tc>
        <w:tc>
          <w:tcPr>
            <w:tcW w:w="1134"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 xml:space="preserve">POD 1 </w:t>
            </w:r>
          </w:p>
        </w:tc>
        <w:tc>
          <w:tcPr>
            <w:tcW w:w="1276"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POD 2</w:t>
            </w:r>
          </w:p>
        </w:tc>
        <w:tc>
          <w:tcPr>
            <w:tcW w:w="1276"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POD 3</w:t>
            </w:r>
          </w:p>
        </w:tc>
        <w:tc>
          <w:tcPr>
            <w:tcW w:w="992"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POD 4</w:t>
            </w:r>
          </w:p>
        </w:tc>
        <w:tc>
          <w:tcPr>
            <w:tcW w:w="1418"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POD 5</w:t>
            </w:r>
          </w:p>
        </w:tc>
        <w:tc>
          <w:tcPr>
            <w:tcW w:w="1134" w:type="dxa"/>
            <w:tcBorders>
              <w:top w:val="single" w:sz="4" w:space="0" w:color="auto"/>
              <w:bottom w:val="single" w:sz="4" w:space="0" w:color="auto"/>
            </w:tcBorders>
            <w:shd w:val="clear" w:color="auto" w:fill="auto"/>
          </w:tcPr>
          <w:p w:rsidR="00244A15" w:rsidRDefault="00244A15" w:rsidP="009D7DEC">
            <w:pPr>
              <w:spacing w:line="360" w:lineRule="auto"/>
              <w:rPr>
                <w:rFonts w:ascii="Book Antiqua" w:eastAsia="宋体" w:hAnsi="Book Antiqua"/>
                <w:b/>
                <w:bCs/>
                <w:lang w:eastAsia="zh-CN"/>
              </w:rPr>
            </w:pPr>
            <w:r>
              <w:rPr>
                <w:rFonts w:ascii="Book Antiqua" w:hAnsi="Book Antiqua"/>
                <w:b/>
                <w:bCs/>
                <w:lang w:eastAsia="zh-CN"/>
              </w:rPr>
              <w:t>POD 6</w:t>
            </w:r>
          </w:p>
        </w:tc>
      </w:tr>
      <w:tr w:rsidR="00244A15" w:rsidTr="009D7DEC">
        <w:trPr>
          <w:trHeight w:val="848"/>
        </w:trPr>
        <w:tc>
          <w:tcPr>
            <w:tcW w:w="1020"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TPN group</w:t>
            </w:r>
          </w:p>
        </w:tc>
        <w:tc>
          <w:tcPr>
            <w:tcW w:w="1356"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PN</w:t>
            </w:r>
          </w:p>
        </w:tc>
        <w:tc>
          <w:tcPr>
            <w:tcW w:w="1134"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10 kcal/kg</w:t>
            </w:r>
          </w:p>
        </w:tc>
        <w:tc>
          <w:tcPr>
            <w:tcW w:w="1276"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20 kcal/kg</w:t>
            </w:r>
          </w:p>
        </w:tc>
        <w:tc>
          <w:tcPr>
            <w:tcW w:w="1276"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30 kcal/kg</w:t>
            </w:r>
          </w:p>
        </w:tc>
        <w:tc>
          <w:tcPr>
            <w:tcW w:w="992"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35 kcal/kg</w:t>
            </w:r>
          </w:p>
        </w:tc>
        <w:tc>
          <w:tcPr>
            <w:tcW w:w="1418"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35 kcal/kg</w:t>
            </w:r>
          </w:p>
        </w:tc>
        <w:tc>
          <w:tcPr>
            <w:tcW w:w="1134" w:type="dxa"/>
            <w:tcBorders>
              <w:top w:val="single" w:sz="4" w:space="0" w:color="auto"/>
            </w:tcBorders>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35 kcal/kg</w:t>
            </w:r>
          </w:p>
        </w:tc>
      </w:tr>
      <w:tr w:rsidR="00244A15" w:rsidTr="009D7DEC">
        <w:trPr>
          <w:trHeight w:val="412"/>
        </w:trPr>
        <w:tc>
          <w:tcPr>
            <w:tcW w:w="1020" w:type="dxa"/>
            <w:shd w:val="clear" w:color="auto" w:fill="auto"/>
          </w:tcPr>
          <w:p w:rsidR="00244A15" w:rsidRDefault="00244A15" w:rsidP="009D7DEC">
            <w:pPr>
              <w:spacing w:line="360" w:lineRule="auto"/>
              <w:rPr>
                <w:rFonts w:ascii="Book Antiqua" w:eastAsia="宋体" w:hAnsi="Book Antiqua"/>
                <w:lang w:eastAsia="zh-CN"/>
              </w:rPr>
            </w:pPr>
          </w:p>
        </w:tc>
        <w:tc>
          <w:tcPr>
            <w:tcW w:w="135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EN</w:t>
            </w:r>
          </w:p>
        </w:tc>
        <w:tc>
          <w:tcPr>
            <w:tcW w:w="1134"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127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127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992"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1418"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1134"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r>
      <w:tr w:rsidR="00244A15" w:rsidTr="009D7DEC">
        <w:trPr>
          <w:trHeight w:val="1272"/>
        </w:trPr>
        <w:tc>
          <w:tcPr>
            <w:tcW w:w="1020"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EEN + PN group</w:t>
            </w:r>
          </w:p>
        </w:tc>
        <w:tc>
          <w:tcPr>
            <w:tcW w:w="135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PN</w:t>
            </w:r>
          </w:p>
        </w:tc>
        <w:tc>
          <w:tcPr>
            <w:tcW w:w="1134"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10 kcal/kg</w:t>
            </w:r>
          </w:p>
        </w:tc>
        <w:tc>
          <w:tcPr>
            <w:tcW w:w="127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10 kcal/kg</w:t>
            </w:r>
          </w:p>
        </w:tc>
        <w:tc>
          <w:tcPr>
            <w:tcW w:w="127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10 kcal/kg</w:t>
            </w:r>
          </w:p>
        </w:tc>
        <w:tc>
          <w:tcPr>
            <w:tcW w:w="992"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5 kcal/kg</w:t>
            </w:r>
          </w:p>
        </w:tc>
        <w:tc>
          <w:tcPr>
            <w:tcW w:w="1418"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1134"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r>
      <w:tr w:rsidR="00244A15" w:rsidTr="009D7DEC">
        <w:trPr>
          <w:trHeight w:val="848"/>
        </w:trPr>
        <w:tc>
          <w:tcPr>
            <w:tcW w:w="1020" w:type="dxa"/>
            <w:shd w:val="clear" w:color="auto" w:fill="auto"/>
          </w:tcPr>
          <w:p w:rsidR="00244A15" w:rsidRDefault="00244A15" w:rsidP="009D7DEC">
            <w:pPr>
              <w:spacing w:line="360" w:lineRule="auto"/>
              <w:rPr>
                <w:rFonts w:ascii="Book Antiqua" w:eastAsia="宋体" w:hAnsi="Book Antiqua"/>
                <w:lang w:eastAsia="zh-CN"/>
              </w:rPr>
            </w:pPr>
          </w:p>
        </w:tc>
        <w:tc>
          <w:tcPr>
            <w:tcW w:w="135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EN</w:t>
            </w:r>
          </w:p>
        </w:tc>
        <w:tc>
          <w:tcPr>
            <w:tcW w:w="1134"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0</w:t>
            </w:r>
          </w:p>
        </w:tc>
        <w:tc>
          <w:tcPr>
            <w:tcW w:w="127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10 kcal/kg</w:t>
            </w:r>
          </w:p>
        </w:tc>
        <w:tc>
          <w:tcPr>
            <w:tcW w:w="1276"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20 kcal/kg</w:t>
            </w:r>
          </w:p>
        </w:tc>
        <w:tc>
          <w:tcPr>
            <w:tcW w:w="992"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30 kcal/kg</w:t>
            </w:r>
          </w:p>
        </w:tc>
        <w:tc>
          <w:tcPr>
            <w:tcW w:w="1418"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35 kcal/kg</w:t>
            </w:r>
          </w:p>
        </w:tc>
        <w:tc>
          <w:tcPr>
            <w:tcW w:w="1134" w:type="dxa"/>
            <w:shd w:val="clear" w:color="auto" w:fill="auto"/>
          </w:tcPr>
          <w:p w:rsidR="00244A15" w:rsidRDefault="00244A15" w:rsidP="009D7DEC">
            <w:pPr>
              <w:spacing w:line="360" w:lineRule="auto"/>
              <w:rPr>
                <w:rFonts w:ascii="Book Antiqua" w:eastAsia="宋体" w:hAnsi="Book Antiqua"/>
                <w:lang w:eastAsia="zh-CN"/>
              </w:rPr>
            </w:pPr>
            <w:r>
              <w:rPr>
                <w:rFonts w:ascii="Book Antiqua" w:hAnsi="Book Antiqua"/>
                <w:lang w:eastAsia="zh-CN"/>
              </w:rPr>
              <w:t>35 kcal/kg</w:t>
            </w:r>
          </w:p>
        </w:tc>
      </w:tr>
    </w:tbl>
    <w:p w:rsidR="00244A15" w:rsidRPr="00BE30EB" w:rsidRDefault="00244A15" w:rsidP="00244A15">
      <w:pPr>
        <w:spacing w:line="360" w:lineRule="auto"/>
        <w:rPr>
          <w:rFonts w:ascii="Book Antiqua" w:hAnsi="Book Antiqua"/>
        </w:rPr>
      </w:pPr>
      <w:r>
        <w:rPr>
          <w:rFonts w:ascii="Book Antiqua" w:hAnsi="Book Antiqua"/>
        </w:rPr>
        <w:t>EEN: Early enteral nutrition; EN: Enteral nutrition; PN: Parenteral nutrition; POD: Postoperative day; TPN: Total parenteral nutrition.</w:t>
      </w:r>
    </w:p>
    <w:p w:rsidR="00F831E5" w:rsidRDefault="00F831E5" w:rsidP="00244A15">
      <w:pPr>
        <w:spacing w:line="360" w:lineRule="auto"/>
        <w:jc w:val="both"/>
        <w:rPr>
          <w:rFonts w:ascii="Book Antiqua" w:hAnsi="Book Antiqua"/>
        </w:rPr>
      </w:pPr>
    </w:p>
    <w:p w:rsidR="00F831E5" w:rsidRDefault="00C13CFC">
      <w:pPr>
        <w:spacing w:line="360" w:lineRule="auto"/>
        <w:jc w:val="both"/>
        <w:rPr>
          <w:rFonts w:ascii="Book Antiqua" w:hAnsi="Book Antiqua"/>
          <w:b/>
          <w:bCs/>
        </w:rPr>
      </w:pPr>
      <w:r>
        <w:rPr>
          <w:rFonts w:ascii="Book Antiqua" w:hAnsi="Book Antiqua"/>
        </w:rPr>
        <w:br w:type="page"/>
      </w:r>
      <w:r>
        <w:rPr>
          <w:rFonts w:ascii="Book Antiqua" w:hAnsi="Book Antiqua"/>
          <w:b/>
          <w:bCs/>
        </w:rPr>
        <w:t>Table 2 Baseline data before operation</w:t>
      </w:r>
    </w:p>
    <w:tbl>
      <w:tblPr>
        <w:tblStyle w:val="a8"/>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054"/>
        <w:gridCol w:w="836"/>
        <w:gridCol w:w="1464"/>
        <w:gridCol w:w="1072"/>
        <w:gridCol w:w="1434"/>
        <w:gridCol w:w="1546"/>
        <w:gridCol w:w="1234"/>
        <w:gridCol w:w="936"/>
      </w:tblGrid>
      <w:tr w:rsidR="00F831E5">
        <w:trPr>
          <w:trHeight w:val="2059"/>
        </w:trPr>
        <w:tc>
          <w:tcPr>
            <w:tcW w:w="1055"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Group</w:t>
            </w:r>
          </w:p>
        </w:tc>
        <w:tc>
          <w:tcPr>
            <w:tcW w:w="837"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eastAsia="宋体" w:hAnsi="Book Antiqua"/>
                <w:b/>
                <w:bCs/>
                <w:lang w:eastAsia="zh-CN"/>
              </w:rPr>
              <w:t>Number of cases</w:t>
            </w:r>
          </w:p>
        </w:tc>
        <w:tc>
          <w:tcPr>
            <w:tcW w:w="1464"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Age in yr</w:t>
            </w:r>
            <w:r>
              <w:rPr>
                <w:rFonts w:ascii="Book Antiqua" w:eastAsia="宋体" w:hAnsi="Book Antiqua" w:hint="eastAsia"/>
                <w:b/>
                <w:bCs/>
                <w:lang w:eastAsia="zh-CN"/>
              </w:rPr>
              <w:t>,</w:t>
            </w:r>
            <w:r>
              <w:rPr>
                <w:rFonts w:ascii="Book Antiqua" w:eastAsia="宋体" w:hAnsi="Book Antiqua"/>
                <w:b/>
                <w:bCs/>
                <w:lang w:eastAsia="zh-CN"/>
              </w:rPr>
              <w:t xml:space="preserve"> </w:t>
            </w:r>
            <w:r>
              <w:rPr>
                <w:rFonts w:ascii="Book Antiqua" w:hAnsi="Book Antiqua"/>
                <w:b/>
                <w:bCs/>
                <w:lang w:eastAsia="zh-CN"/>
              </w:rPr>
              <w:t>mean ± SD</w:t>
            </w:r>
          </w:p>
        </w:tc>
        <w:tc>
          <w:tcPr>
            <w:tcW w:w="1072"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 xml:space="preserve">Gender of cases, </w:t>
            </w:r>
            <w:r>
              <w:rPr>
                <w:rFonts w:ascii="Book Antiqua" w:eastAsia="宋体" w:hAnsi="Book Antiqua"/>
                <w:b/>
                <w:bCs/>
                <w:lang w:eastAsia="zh-CN"/>
              </w:rPr>
              <w:t>M/F</w:t>
            </w:r>
          </w:p>
        </w:tc>
        <w:tc>
          <w:tcPr>
            <w:tcW w:w="1434"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bookmarkStart w:id="7" w:name="OLE_LINK17"/>
            <w:r>
              <w:rPr>
                <w:rFonts w:ascii="Book Antiqua" w:hAnsi="Book Antiqua"/>
                <w:b/>
                <w:bCs/>
                <w:lang w:eastAsia="zh-CN"/>
              </w:rPr>
              <w:t>NRS</w:t>
            </w:r>
            <w:bookmarkEnd w:id="7"/>
            <w:r>
              <w:rPr>
                <w:rFonts w:ascii="Book Antiqua" w:hAnsi="Book Antiqua"/>
                <w:b/>
                <w:bCs/>
                <w:lang w:eastAsia="zh-CN"/>
              </w:rPr>
              <w:t xml:space="preserve"> score, mean ± SD</w:t>
            </w:r>
          </w:p>
        </w:tc>
        <w:tc>
          <w:tcPr>
            <w:tcW w:w="1547"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Total bilirubin as µmol/L, mean ± SD</w:t>
            </w:r>
          </w:p>
        </w:tc>
        <w:tc>
          <w:tcPr>
            <w:tcW w:w="1234"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Jaundice duration in d, mean ± SD</w:t>
            </w:r>
          </w:p>
        </w:tc>
        <w:tc>
          <w:tcPr>
            <w:tcW w:w="936"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PTCD cases</w:t>
            </w:r>
          </w:p>
        </w:tc>
      </w:tr>
      <w:tr w:rsidR="00F831E5">
        <w:trPr>
          <w:trHeight w:val="845"/>
        </w:trPr>
        <w:tc>
          <w:tcPr>
            <w:tcW w:w="1055"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TPN group</w:t>
            </w:r>
          </w:p>
        </w:tc>
        <w:tc>
          <w:tcPr>
            <w:tcW w:w="837"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30</w:t>
            </w:r>
          </w:p>
        </w:tc>
        <w:tc>
          <w:tcPr>
            <w:tcW w:w="1464"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58.90 ± 7.42</w:t>
            </w:r>
          </w:p>
        </w:tc>
        <w:tc>
          <w:tcPr>
            <w:tcW w:w="1072"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18/12</w:t>
            </w:r>
          </w:p>
        </w:tc>
        <w:tc>
          <w:tcPr>
            <w:tcW w:w="1434"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4.03 ± 0.78</w:t>
            </w:r>
          </w:p>
        </w:tc>
        <w:tc>
          <w:tcPr>
            <w:tcW w:w="1547"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100.26 ± 19.18</w:t>
            </w:r>
          </w:p>
        </w:tc>
        <w:tc>
          <w:tcPr>
            <w:tcW w:w="1234"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21.26 ± 9.16</w:t>
            </w:r>
          </w:p>
        </w:tc>
        <w:tc>
          <w:tcPr>
            <w:tcW w:w="936"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16</w:t>
            </w:r>
          </w:p>
        </w:tc>
      </w:tr>
      <w:tr w:rsidR="00F831E5">
        <w:trPr>
          <w:trHeight w:val="1273"/>
        </w:trPr>
        <w:tc>
          <w:tcPr>
            <w:tcW w:w="105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EEN + PN group</w:t>
            </w:r>
          </w:p>
        </w:tc>
        <w:tc>
          <w:tcPr>
            <w:tcW w:w="837"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26</w:t>
            </w:r>
          </w:p>
        </w:tc>
        <w:tc>
          <w:tcPr>
            <w:tcW w:w="146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59.08 ± 7.64</w:t>
            </w:r>
          </w:p>
        </w:tc>
        <w:tc>
          <w:tcPr>
            <w:tcW w:w="1072"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15/11</w:t>
            </w:r>
          </w:p>
        </w:tc>
        <w:tc>
          <w:tcPr>
            <w:tcW w:w="143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4.08 ± 0.78</w:t>
            </w:r>
          </w:p>
        </w:tc>
        <w:tc>
          <w:tcPr>
            <w:tcW w:w="1547"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96.50 ± 18.01</w:t>
            </w:r>
          </w:p>
        </w:tc>
        <w:tc>
          <w:tcPr>
            <w:tcW w:w="123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18.96 ± 8.89</w:t>
            </w:r>
          </w:p>
        </w:tc>
        <w:tc>
          <w:tcPr>
            <w:tcW w:w="936"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18</w:t>
            </w:r>
          </w:p>
        </w:tc>
      </w:tr>
      <w:tr w:rsidR="00F831E5">
        <w:trPr>
          <w:trHeight w:val="428"/>
        </w:trPr>
        <w:tc>
          <w:tcPr>
            <w:tcW w:w="105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i/>
                <w:iCs/>
                <w:lang w:eastAsia="zh-CN"/>
              </w:rPr>
              <w:t>t</w:t>
            </w:r>
            <w:r>
              <w:rPr>
                <w:rFonts w:ascii="Book Antiqua" w:hAnsi="Book Antiqua"/>
                <w:lang w:eastAsia="zh-CN"/>
              </w:rPr>
              <w:t xml:space="preserve"> or </w:t>
            </w:r>
            <w:r>
              <w:rPr>
                <w:rFonts w:ascii="Book Antiqua" w:hAnsi="Book Antiqua"/>
                <w:i/>
                <w:lang w:eastAsia="zh-CN"/>
              </w:rPr>
              <w:t>χ</w:t>
            </w:r>
            <w:r>
              <w:rPr>
                <w:rFonts w:ascii="Book Antiqua" w:hAnsi="Book Antiqua"/>
                <w:vertAlign w:val="superscript"/>
                <w:lang w:eastAsia="zh-CN"/>
              </w:rPr>
              <w:t>2</w:t>
            </w:r>
          </w:p>
        </w:tc>
        <w:tc>
          <w:tcPr>
            <w:tcW w:w="837" w:type="dxa"/>
            <w:shd w:val="clear" w:color="auto" w:fill="auto"/>
          </w:tcPr>
          <w:p w:rsidR="00F831E5" w:rsidRDefault="00F831E5">
            <w:pPr>
              <w:spacing w:line="360" w:lineRule="auto"/>
              <w:rPr>
                <w:rFonts w:ascii="Book Antiqua" w:eastAsia="宋体" w:hAnsi="Book Antiqua"/>
                <w:lang w:eastAsia="zh-CN"/>
              </w:rPr>
            </w:pPr>
          </w:p>
        </w:tc>
        <w:tc>
          <w:tcPr>
            <w:tcW w:w="146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0.089</w:t>
            </w:r>
          </w:p>
        </w:tc>
        <w:tc>
          <w:tcPr>
            <w:tcW w:w="1072"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0.031</w:t>
            </w:r>
          </w:p>
        </w:tc>
        <w:tc>
          <w:tcPr>
            <w:tcW w:w="143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0.239</w:t>
            </w:r>
          </w:p>
        </w:tc>
        <w:tc>
          <w:tcPr>
            <w:tcW w:w="1547"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0.753</w:t>
            </w:r>
          </w:p>
        </w:tc>
        <w:tc>
          <w:tcPr>
            <w:tcW w:w="123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0.950</w:t>
            </w:r>
          </w:p>
        </w:tc>
        <w:tc>
          <w:tcPr>
            <w:tcW w:w="936"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1.476</w:t>
            </w:r>
          </w:p>
        </w:tc>
      </w:tr>
      <w:tr w:rsidR="00F831E5">
        <w:trPr>
          <w:trHeight w:val="428"/>
        </w:trPr>
        <w:tc>
          <w:tcPr>
            <w:tcW w:w="1055"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837" w:type="dxa"/>
            <w:tcBorders>
              <w:bottom w:val="single" w:sz="4" w:space="0" w:color="auto"/>
            </w:tcBorders>
            <w:shd w:val="clear" w:color="auto" w:fill="auto"/>
          </w:tcPr>
          <w:p w:rsidR="00F831E5" w:rsidRDefault="00F831E5">
            <w:pPr>
              <w:spacing w:line="360" w:lineRule="auto"/>
              <w:rPr>
                <w:rFonts w:ascii="Book Antiqua" w:eastAsia="宋体" w:hAnsi="Book Antiqua"/>
                <w:lang w:eastAsia="zh-CN"/>
              </w:rPr>
            </w:pPr>
          </w:p>
        </w:tc>
        <w:tc>
          <w:tcPr>
            <w:tcW w:w="1464"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0.929</w:t>
            </w:r>
            <w:r>
              <w:rPr>
                <w:rFonts w:ascii="Book Antiqua" w:hAnsi="Book Antiqua" w:hint="eastAsia"/>
                <w:vertAlign w:val="superscript"/>
                <w:lang w:eastAsia="zh-CN"/>
              </w:rPr>
              <w:t>1</w:t>
            </w:r>
          </w:p>
        </w:tc>
        <w:tc>
          <w:tcPr>
            <w:tcW w:w="1072"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0.861</w:t>
            </w:r>
            <w:r>
              <w:rPr>
                <w:rFonts w:ascii="Book Antiqua" w:hAnsi="Book Antiqua"/>
                <w:vertAlign w:val="superscript"/>
                <w:lang w:eastAsia="zh-CN"/>
              </w:rPr>
              <w:t>2</w:t>
            </w:r>
          </w:p>
        </w:tc>
        <w:tc>
          <w:tcPr>
            <w:tcW w:w="1434"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0.812</w:t>
            </w:r>
            <w:r>
              <w:rPr>
                <w:rFonts w:ascii="Book Antiqua" w:hAnsi="Book Antiqua"/>
                <w:vertAlign w:val="superscript"/>
                <w:lang w:eastAsia="zh-CN"/>
              </w:rPr>
              <w:t xml:space="preserve">1 </w:t>
            </w:r>
          </w:p>
        </w:tc>
        <w:tc>
          <w:tcPr>
            <w:tcW w:w="1547"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0.455</w:t>
            </w:r>
            <w:r>
              <w:rPr>
                <w:rFonts w:ascii="Book Antiqua" w:hAnsi="Book Antiqua"/>
                <w:vertAlign w:val="superscript"/>
                <w:lang w:eastAsia="zh-CN"/>
              </w:rPr>
              <w:t>1</w:t>
            </w:r>
          </w:p>
        </w:tc>
        <w:tc>
          <w:tcPr>
            <w:tcW w:w="1234"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0.346</w:t>
            </w:r>
            <w:r>
              <w:rPr>
                <w:rFonts w:ascii="Book Antiqua" w:hAnsi="Book Antiqua"/>
                <w:vertAlign w:val="superscript"/>
                <w:lang w:eastAsia="zh-CN"/>
              </w:rPr>
              <w:t>1</w:t>
            </w:r>
          </w:p>
        </w:tc>
        <w:tc>
          <w:tcPr>
            <w:tcW w:w="936"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0.224</w:t>
            </w:r>
            <w:r>
              <w:rPr>
                <w:rFonts w:ascii="Book Antiqua" w:hAnsi="Book Antiqua"/>
                <w:vertAlign w:val="superscript"/>
                <w:lang w:eastAsia="zh-CN"/>
              </w:rPr>
              <w:t>2</w:t>
            </w:r>
          </w:p>
        </w:tc>
      </w:tr>
    </w:tbl>
    <w:p w:rsidR="00F831E5" w:rsidRDefault="00C13CFC">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color w:val="000000"/>
          <w:vertAlign w:val="superscript"/>
          <w:lang w:eastAsia="zh-CN" w:bidi="ar"/>
        </w:rPr>
        <w:t>1</w:t>
      </w: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Pr>
          <w:rFonts w:ascii="Book Antiqua" w:eastAsia="Book Antiqua" w:hAnsi="Book Antiqua" w:cs="Book Antiqua" w:hint="eastAsia"/>
          <w:color w:val="000000"/>
          <w:lang w:eastAsia="zh-CN" w:bidi="ar"/>
        </w:rPr>
        <w:t>;</w:t>
      </w:r>
      <w:r>
        <w:rPr>
          <w:rFonts w:ascii="Book Antiqua" w:eastAsia="Book Antiqua" w:hAnsi="Book Antiqua" w:cs="Book Antiqua" w:hint="eastAsia"/>
          <w:color w:val="000000"/>
          <w:vertAlign w:val="superscript"/>
          <w:lang w:eastAsia="zh-CN" w:bidi="ar"/>
        </w:rPr>
        <w:t xml:space="preserve"> </w:t>
      </w: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Chi-square test</w:t>
      </w:r>
      <w:r>
        <w:rPr>
          <w:rFonts w:ascii="Book Antiqua" w:eastAsia="Book Antiqua" w:hAnsi="Book Antiqua" w:cs="Book Antiqua" w:hint="eastAsia"/>
          <w:color w:val="000000"/>
          <w:lang w:eastAsia="zh-CN" w:bidi="ar"/>
        </w:rPr>
        <w:t xml:space="preserve">. </w:t>
      </w:r>
      <w:r>
        <w:rPr>
          <w:rFonts w:ascii="Book Antiqua" w:eastAsia="Book Antiqua" w:hAnsi="Book Antiqua" w:cs="Book Antiqua"/>
          <w:color w:val="000000"/>
          <w:lang w:eastAsia="zh-CN" w:bidi="ar"/>
        </w:rPr>
        <w:t>EEN: Early enteral nutrition</w:t>
      </w:r>
      <w:r>
        <w:rPr>
          <w:rFonts w:ascii="Book Antiqua" w:eastAsia="Book Antiqua" w:hAnsi="Book Antiqua" w:cs="Book Antiqua" w:hint="eastAsia"/>
          <w:color w:val="000000"/>
          <w:lang w:eastAsia="zh-CN" w:bidi="ar"/>
        </w:rPr>
        <w:t>; F: Female;</w:t>
      </w:r>
      <w:r>
        <w:rPr>
          <w:rFonts w:ascii="Book Antiqua" w:eastAsia="Book Antiqua" w:hAnsi="Book Antiqua" w:cs="Book Antiqua"/>
          <w:color w:val="000000"/>
          <w:lang w:eastAsia="zh-CN" w:bidi="ar"/>
        </w:rPr>
        <w:t xml:space="preserve"> </w:t>
      </w:r>
      <w:r>
        <w:rPr>
          <w:rFonts w:ascii="Book Antiqua" w:eastAsia="Book Antiqua" w:hAnsi="Book Antiqua" w:cs="Book Antiqua" w:hint="eastAsia"/>
          <w:color w:val="000000"/>
          <w:lang w:eastAsia="zh-CN" w:bidi="ar"/>
        </w:rPr>
        <w:t>M: Male; NRS: Nutrition risk screening; PN: Parenteral nutrition; PTCD: Percutaneous transhepatic cholangial drainage</w:t>
      </w:r>
      <w:r>
        <w:rPr>
          <w:rFonts w:ascii="Book Antiqua" w:eastAsia="Book Antiqua" w:hAnsi="Book Antiqua" w:cs="Book Antiqua"/>
          <w:color w:val="000000"/>
          <w:lang w:eastAsia="zh-CN" w:bidi="ar"/>
        </w:rPr>
        <w:t xml:space="preserve">; </w:t>
      </w:r>
      <w:bookmarkStart w:id="8" w:name="_Hlk56438021"/>
      <w:r>
        <w:rPr>
          <w:rFonts w:ascii="Book Antiqua" w:eastAsia="Book Antiqua" w:hAnsi="Book Antiqua" w:cs="Book Antiqua"/>
          <w:color w:val="000000"/>
          <w:lang w:eastAsia="zh-CN" w:bidi="ar"/>
        </w:rPr>
        <w:t>SD: Standard deviation;</w:t>
      </w:r>
      <w:bookmarkEnd w:id="8"/>
      <w:r>
        <w:rPr>
          <w:rFonts w:ascii="Book Antiqua" w:eastAsia="Book Antiqua" w:hAnsi="Book Antiqua" w:cs="Book Antiqua" w:hint="eastAsia"/>
          <w:color w:val="000000"/>
          <w:lang w:eastAsia="zh-CN" w:bidi="ar"/>
        </w:rPr>
        <w:t xml:space="preserve"> TPN: Total parenteral nutrition</w:t>
      </w:r>
      <w:r>
        <w:rPr>
          <w:rFonts w:ascii="Book Antiqua" w:eastAsia="Book Antiqua" w:hAnsi="Book Antiqua" w:cs="Book Antiqua"/>
          <w:color w:val="000000"/>
          <w:lang w:eastAsia="zh-CN" w:bidi="ar"/>
        </w:rPr>
        <w:t>.</w:t>
      </w:r>
    </w:p>
    <w:p w:rsidR="00F831E5" w:rsidRDefault="00C13CFC">
      <w:pPr>
        <w:spacing w:line="360" w:lineRule="auto"/>
        <w:jc w:val="both"/>
        <w:rPr>
          <w:rFonts w:ascii="Book Antiqua" w:eastAsia="Book Antiqua" w:hAnsi="Book Antiqua" w:cs="Book Antiqua"/>
          <w:b/>
          <w:bCs/>
          <w:color w:val="000000"/>
          <w:lang w:eastAsia="zh-CN" w:bidi="ar"/>
        </w:rPr>
      </w:pPr>
      <w:r>
        <w:rPr>
          <w:rFonts w:ascii="Book Antiqua" w:eastAsia="Book Antiqua" w:hAnsi="Book Antiqua" w:cs="Book Antiqua"/>
          <w:color w:val="000000"/>
          <w:lang w:eastAsia="zh-CN" w:bidi="ar"/>
        </w:rPr>
        <w:br w:type="page"/>
      </w:r>
      <w:r>
        <w:rPr>
          <w:rFonts w:ascii="Book Antiqua" w:eastAsia="Book Antiqua" w:hAnsi="Book Antiqua" w:cs="Book Antiqua"/>
          <w:b/>
          <w:bCs/>
          <w:color w:val="000000"/>
          <w:lang w:eastAsia="zh-CN" w:bidi="ar"/>
        </w:rPr>
        <w:t>Table 3 Comparison of operation methods and relevant data</w:t>
      </w:r>
    </w:p>
    <w:tbl>
      <w:tblPr>
        <w:tblStyle w:val="a8"/>
        <w:tblW w:w="9464"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936"/>
        <w:gridCol w:w="1701"/>
        <w:gridCol w:w="1725"/>
        <w:gridCol w:w="1027"/>
        <w:gridCol w:w="1075"/>
      </w:tblGrid>
      <w:tr w:rsidR="00F831E5" w:rsidTr="004A0967">
        <w:trPr>
          <w:trHeight w:val="494"/>
        </w:trPr>
        <w:tc>
          <w:tcPr>
            <w:tcW w:w="3936"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Basic data</w:t>
            </w:r>
          </w:p>
        </w:tc>
        <w:tc>
          <w:tcPr>
            <w:tcW w:w="1701"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eastAsia="宋体" w:hAnsi="Book Antiqua"/>
                <w:b/>
                <w:bCs/>
                <w:lang w:eastAsia="zh-CN"/>
              </w:rPr>
              <w:t>EEN + PN group,</w:t>
            </w:r>
            <w:r>
              <w:rPr>
                <w:rFonts w:ascii="Book Antiqua" w:eastAsia="宋体" w:hAnsi="Book Antiqua" w:hint="eastAsia"/>
                <w:b/>
                <w:bCs/>
                <w:lang w:eastAsia="zh-CN"/>
              </w:rPr>
              <w:t xml:space="preserve"> </w:t>
            </w:r>
            <w:r>
              <w:rPr>
                <w:rFonts w:ascii="Book Antiqua" w:hAnsi="Book Antiqua"/>
                <w:b/>
                <w:bCs/>
                <w:i/>
                <w:iCs/>
                <w:lang w:eastAsia="zh-CN"/>
              </w:rPr>
              <w:t>n</w:t>
            </w:r>
            <w:r>
              <w:rPr>
                <w:rFonts w:ascii="Book Antiqua" w:hAnsi="Book Antiqua"/>
                <w:b/>
                <w:bCs/>
                <w:lang w:eastAsia="zh-CN"/>
              </w:rPr>
              <w:t xml:space="preserve"> = 26</w:t>
            </w:r>
          </w:p>
        </w:tc>
        <w:tc>
          <w:tcPr>
            <w:tcW w:w="1725"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eastAsia="宋体" w:hAnsi="Book Antiqua"/>
                <w:b/>
                <w:bCs/>
                <w:lang w:eastAsia="zh-CN"/>
              </w:rPr>
              <w:t>TPN group,</w:t>
            </w:r>
            <w:r>
              <w:rPr>
                <w:rFonts w:ascii="Book Antiqua" w:eastAsia="宋体" w:hAnsi="Book Antiqua" w:hint="eastAsia"/>
                <w:b/>
                <w:bCs/>
                <w:lang w:eastAsia="zh-CN"/>
              </w:rPr>
              <w:t xml:space="preserve"> </w:t>
            </w:r>
            <w:r>
              <w:rPr>
                <w:rFonts w:ascii="Book Antiqua" w:hAnsi="Book Antiqua"/>
                <w:b/>
                <w:bCs/>
                <w:i/>
                <w:iCs/>
                <w:lang w:eastAsia="zh-CN"/>
              </w:rPr>
              <w:t>n</w:t>
            </w:r>
            <w:r>
              <w:rPr>
                <w:rFonts w:ascii="Book Antiqua" w:hAnsi="Book Antiqua"/>
                <w:b/>
                <w:bCs/>
                <w:lang w:eastAsia="zh-CN"/>
              </w:rPr>
              <w:t xml:space="preserve"> = 30</w:t>
            </w:r>
          </w:p>
        </w:tc>
        <w:tc>
          <w:tcPr>
            <w:tcW w:w="1027"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i/>
                <w:iCs/>
                <w:lang w:eastAsia="zh-CN"/>
              </w:rPr>
              <w:t>t</w:t>
            </w:r>
            <w:r>
              <w:rPr>
                <w:rFonts w:ascii="Book Antiqua" w:eastAsia="宋体" w:hAnsi="Book Antiqua"/>
                <w:b/>
                <w:bCs/>
                <w:lang w:eastAsia="zh-CN"/>
              </w:rPr>
              <w:t xml:space="preserve"> or</w:t>
            </w:r>
            <w:bookmarkStart w:id="9" w:name="OLE_LINK13"/>
            <w:r>
              <w:rPr>
                <w:rFonts w:ascii="Book Antiqua" w:eastAsia="宋体" w:hAnsi="Book Antiqua"/>
                <w:b/>
                <w:bCs/>
                <w:lang w:eastAsia="zh-CN"/>
              </w:rPr>
              <w:t xml:space="preserve"> </w:t>
            </w:r>
            <w:r>
              <w:rPr>
                <w:rFonts w:ascii="Book Antiqua" w:hAnsi="Book Antiqua"/>
                <w:b/>
                <w:bCs/>
                <w:i/>
                <w:iCs/>
                <w:lang w:eastAsia="zh-CN"/>
              </w:rPr>
              <w:t>χ</w:t>
            </w:r>
            <w:r>
              <w:rPr>
                <w:rFonts w:ascii="Book Antiqua" w:eastAsia="宋体" w:hAnsi="Book Antiqua"/>
                <w:b/>
                <w:bCs/>
                <w:vertAlign w:val="superscript"/>
                <w:lang w:eastAsia="zh-CN"/>
              </w:rPr>
              <w:t>2</w:t>
            </w:r>
            <w:bookmarkEnd w:id="9"/>
          </w:p>
        </w:tc>
        <w:tc>
          <w:tcPr>
            <w:tcW w:w="1075"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i/>
                <w:iCs/>
                <w:lang w:eastAsia="zh-CN"/>
              </w:rPr>
              <w:t xml:space="preserve">P </w:t>
            </w:r>
            <w:r>
              <w:rPr>
                <w:rFonts w:ascii="Book Antiqua" w:hAnsi="Book Antiqua"/>
                <w:b/>
                <w:bCs/>
                <w:lang w:eastAsia="zh-CN"/>
              </w:rPr>
              <w:t>value</w:t>
            </w:r>
          </w:p>
        </w:tc>
      </w:tr>
      <w:tr w:rsidR="00F831E5" w:rsidTr="004A0967">
        <w:trPr>
          <w:trHeight w:val="266"/>
        </w:trPr>
        <w:tc>
          <w:tcPr>
            <w:tcW w:w="3936"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Operation</w:t>
            </w:r>
            <w:r>
              <w:rPr>
                <w:rFonts w:ascii="Book Antiqua" w:hAnsi="Book Antiqua"/>
                <w:lang w:eastAsia="zh-CN"/>
              </w:rPr>
              <w:t xml:space="preserve"> </w:t>
            </w:r>
            <w:bookmarkStart w:id="10" w:name="OLE_LINK7"/>
            <w:r>
              <w:rPr>
                <w:rFonts w:ascii="Book Antiqua" w:eastAsia="宋体" w:hAnsi="Book Antiqua"/>
                <w:lang w:eastAsia="zh-CN"/>
              </w:rPr>
              <w:t>metho</w:t>
            </w:r>
            <w:r>
              <w:rPr>
                <w:rFonts w:ascii="Book Antiqua" w:hAnsi="Book Antiqua"/>
                <w:lang w:eastAsia="zh-CN"/>
              </w:rPr>
              <w:t>ds</w:t>
            </w:r>
            <w:bookmarkEnd w:id="10"/>
            <w:r>
              <w:rPr>
                <w:rFonts w:ascii="Book Antiqua" w:hAnsi="Book Antiqua"/>
                <w:lang w:eastAsia="zh-CN"/>
              </w:rPr>
              <w:t xml:space="preserve"> by </w:t>
            </w:r>
            <w:r>
              <w:rPr>
                <w:rFonts w:ascii="Book Antiqua" w:eastAsia="宋体" w:hAnsi="Book Antiqua"/>
                <w:lang w:eastAsia="zh-CN"/>
              </w:rPr>
              <w:t>case</w:t>
            </w:r>
          </w:p>
        </w:tc>
        <w:tc>
          <w:tcPr>
            <w:tcW w:w="1701" w:type="dxa"/>
            <w:tcBorders>
              <w:top w:val="single" w:sz="4" w:space="0" w:color="auto"/>
            </w:tcBorders>
            <w:shd w:val="clear" w:color="auto" w:fill="auto"/>
          </w:tcPr>
          <w:p w:rsidR="00F831E5" w:rsidRDefault="00F831E5">
            <w:pPr>
              <w:spacing w:line="360" w:lineRule="auto"/>
              <w:rPr>
                <w:rFonts w:ascii="Book Antiqua" w:eastAsia="宋体" w:hAnsi="Book Antiqua"/>
                <w:lang w:eastAsia="zh-CN"/>
              </w:rPr>
            </w:pPr>
          </w:p>
        </w:tc>
        <w:tc>
          <w:tcPr>
            <w:tcW w:w="1725" w:type="dxa"/>
            <w:tcBorders>
              <w:top w:val="single" w:sz="4" w:space="0" w:color="auto"/>
            </w:tcBorders>
            <w:shd w:val="clear" w:color="auto" w:fill="auto"/>
          </w:tcPr>
          <w:p w:rsidR="00F831E5" w:rsidRDefault="00F831E5">
            <w:pPr>
              <w:spacing w:line="360" w:lineRule="auto"/>
              <w:rPr>
                <w:rFonts w:ascii="Book Antiqua" w:eastAsia="宋体" w:hAnsi="Book Antiqua"/>
                <w:lang w:eastAsia="zh-CN"/>
              </w:rPr>
            </w:pPr>
          </w:p>
        </w:tc>
        <w:tc>
          <w:tcPr>
            <w:tcW w:w="1027" w:type="dxa"/>
            <w:tcBorders>
              <w:top w:val="single" w:sz="4" w:space="0" w:color="auto"/>
            </w:tcBorders>
            <w:shd w:val="clear" w:color="auto" w:fill="auto"/>
          </w:tcPr>
          <w:p w:rsidR="00F831E5" w:rsidRDefault="00F831E5">
            <w:pPr>
              <w:spacing w:line="360" w:lineRule="auto"/>
              <w:rPr>
                <w:rFonts w:ascii="Book Antiqua" w:eastAsia="宋体" w:hAnsi="Book Antiqua"/>
                <w:lang w:eastAsia="zh-CN"/>
              </w:rPr>
            </w:pPr>
          </w:p>
        </w:tc>
        <w:tc>
          <w:tcPr>
            <w:tcW w:w="1075" w:type="dxa"/>
            <w:tcBorders>
              <w:top w:val="single" w:sz="4" w:space="0" w:color="auto"/>
            </w:tcBorders>
            <w:shd w:val="clear" w:color="auto" w:fill="auto"/>
          </w:tcPr>
          <w:p w:rsidR="00F831E5" w:rsidRDefault="00F831E5">
            <w:pPr>
              <w:spacing w:line="360" w:lineRule="auto"/>
              <w:rPr>
                <w:rFonts w:ascii="Book Antiqua" w:eastAsia="宋体" w:hAnsi="Book Antiqua"/>
                <w:lang w:eastAsia="zh-CN"/>
              </w:rPr>
            </w:pPr>
          </w:p>
        </w:tc>
      </w:tr>
      <w:tr w:rsidR="00F831E5" w:rsidTr="004A0967">
        <w:trPr>
          <w:trHeight w:val="174"/>
        </w:trPr>
        <w:tc>
          <w:tcPr>
            <w:tcW w:w="3936" w:type="dxa"/>
            <w:shd w:val="clear" w:color="auto" w:fill="auto"/>
          </w:tcPr>
          <w:p w:rsidR="00F831E5" w:rsidRDefault="00C13CFC">
            <w:pPr>
              <w:spacing w:line="360" w:lineRule="auto"/>
              <w:ind w:firstLineChars="100" w:firstLine="240"/>
              <w:rPr>
                <w:rFonts w:ascii="Book Antiqua" w:eastAsia="宋体" w:hAnsi="Book Antiqua"/>
                <w:lang w:eastAsia="zh-CN"/>
              </w:rPr>
            </w:pPr>
            <w:r>
              <w:rPr>
                <w:rFonts w:ascii="Book Antiqua" w:eastAsia="宋体" w:hAnsi="Book Antiqua"/>
                <w:lang w:eastAsia="zh-CN"/>
              </w:rPr>
              <w:t>Pancreatoduodenectomy</w:t>
            </w:r>
          </w:p>
        </w:tc>
        <w:tc>
          <w:tcPr>
            <w:tcW w:w="1701"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12</w:t>
            </w:r>
          </w:p>
        </w:tc>
        <w:tc>
          <w:tcPr>
            <w:tcW w:w="172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20</w:t>
            </w:r>
          </w:p>
        </w:tc>
        <w:tc>
          <w:tcPr>
            <w:tcW w:w="1027" w:type="dxa"/>
            <w:vMerge w:val="restart"/>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2.393</w:t>
            </w:r>
          </w:p>
        </w:tc>
        <w:tc>
          <w:tcPr>
            <w:tcW w:w="1075" w:type="dxa"/>
            <w:vMerge w:val="restart"/>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0.122</w:t>
            </w:r>
            <w:r>
              <w:rPr>
                <w:rFonts w:ascii="Book Antiqua" w:hAnsi="Book Antiqua"/>
                <w:vertAlign w:val="superscript"/>
                <w:lang w:eastAsia="zh-CN"/>
              </w:rPr>
              <w:t>2</w:t>
            </w:r>
          </w:p>
        </w:tc>
      </w:tr>
      <w:tr w:rsidR="00F831E5" w:rsidTr="004A0967">
        <w:trPr>
          <w:trHeight w:val="153"/>
        </w:trPr>
        <w:tc>
          <w:tcPr>
            <w:tcW w:w="3936" w:type="dxa"/>
            <w:shd w:val="clear" w:color="auto" w:fill="auto"/>
          </w:tcPr>
          <w:p w:rsidR="00F831E5" w:rsidRDefault="00C13CFC">
            <w:pPr>
              <w:spacing w:line="360" w:lineRule="auto"/>
              <w:ind w:firstLineChars="100" w:firstLine="240"/>
              <w:rPr>
                <w:rFonts w:ascii="Book Antiqua" w:eastAsia="宋体" w:hAnsi="Book Antiqua"/>
                <w:lang w:eastAsia="zh-CN"/>
              </w:rPr>
            </w:pPr>
            <w:r>
              <w:rPr>
                <w:rFonts w:ascii="Book Antiqua" w:eastAsia="宋体" w:hAnsi="Book Antiqua"/>
                <w:lang w:eastAsia="zh-CN"/>
              </w:rPr>
              <w:t>Choledochojejunostomy</w:t>
            </w:r>
          </w:p>
        </w:tc>
        <w:tc>
          <w:tcPr>
            <w:tcW w:w="1701"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14</w:t>
            </w:r>
          </w:p>
        </w:tc>
        <w:tc>
          <w:tcPr>
            <w:tcW w:w="172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10</w:t>
            </w:r>
          </w:p>
        </w:tc>
        <w:tc>
          <w:tcPr>
            <w:tcW w:w="1027" w:type="dxa"/>
            <w:vMerge/>
            <w:shd w:val="clear" w:color="auto" w:fill="auto"/>
          </w:tcPr>
          <w:p w:rsidR="00F831E5" w:rsidRDefault="00F831E5">
            <w:pPr>
              <w:spacing w:line="360" w:lineRule="auto"/>
              <w:rPr>
                <w:rFonts w:ascii="Book Antiqua" w:eastAsia="宋体" w:hAnsi="Book Antiqua"/>
                <w:lang w:eastAsia="zh-CN"/>
              </w:rPr>
            </w:pPr>
          </w:p>
        </w:tc>
        <w:tc>
          <w:tcPr>
            <w:tcW w:w="1075" w:type="dxa"/>
            <w:vMerge/>
            <w:shd w:val="clear" w:color="auto" w:fill="auto"/>
          </w:tcPr>
          <w:p w:rsidR="00F831E5" w:rsidRDefault="00F831E5">
            <w:pPr>
              <w:spacing w:line="360" w:lineRule="auto"/>
              <w:rPr>
                <w:rFonts w:ascii="Book Antiqua" w:eastAsia="宋体" w:hAnsi="Book Antiqua"/>
                <w:lang w:eastAsia="zh-CN"/>
              </w:rPr>
            </w:pPr>
          </w:p>
        </w:tc>
      </w:tr>
      <w:tr w:rsidR="00F831E5" w:rsidTr="004A0967">
        <w:trPr>
          <w:trHeight w:val="366"/>
        </w:trPr>
        <w:tc>
          <w:tcPr>
            <w:tcW w:w="3936"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 xml:space="preserve">Operative duration </w:t>
            </w:r>
            <w:r>
              <w:rPr>
                <w:rFonts w:ascii="Book Antiqua" w:hAnsi="Book Antiqua"/>
                <w:lang w:eastAsia="zh-CN"/>
              </w:rPr>
              <w:t xml:space="preserve">in </w:t>
            </w:r>
            <w:r>
              <w:rPr>
                <w:rFonts w:ascii="Book Antiqua" w:eastAsia="宋体" w:hAnsi="Book Antiqua"/>
                <w:lang w:eastAsia="zh-CN"/>
              </w:rPr>
              <w:t>h</w:t>
            </w:r>
            <w:r>
              <w:rPr>
                <w:rFonts w:ascii="Book Antiqua" w:hAnsi="Book Antiqua"/>
                <w:lang w:eastAsia="zh-CN"/>
              </w:rPr>
              <w:t xml:space="preserve">, </w:t>
            </w:r>
            <w:r>
              <w:rPr>
                <w:rFonts w:ascii="Book Antiqua" w:eastAsia="宋体" w:hAnsi="Book Antiqua"/>
                <w:lang w:eastAsia="zh-CN"/>
              </w:rPr>
              <w:t>mean ± SD</w:t>
            </w:r>
          </w:p>
        </w:tc>
        <w:tc>
          <w:tcPr>
            <w:tcW w:w="1701"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3.27 ± 0.88</w:t>
            </w:r>
          </w:p>
        </w:tc>
        <w:tc>
          <w:tcPr>
            <w:tcW w:w="172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2.84 ± 0.90</w:t>
            </w:r>
          </w:p>
        </w:tc>
        <w:tc>
          <w:tcPr>
            <w:tcW w:w="1027"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1.802</w:t>
            </w:r>
          </w:p>
        </w:tc>
        <w:tc>
          <w:tcPr>
            <w:tcW w:w="107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0.077</w:t>
            </w:r>
            <w:r>
              <w:rPr>
                <w:rFonts w:ascii="Book Antiqua" w:hAnsi="Book Antiqua"/>
                <w:vertAlign w:val="superscript"/>
                <w:lang w:eastAsia="zh-CN"/>
              </w:rPr>
              <w:t>1</w:t>
            </w:r>
          </w:p>
        </w:tc>
      </w:tr>
      <w:tr w:rsidR="00F831E5" w:rsidTr="004A0967">
        <w:trPr>
          <w:trHeight w:val="352"/>
        </w:trPr>
        <w:tc>
          <w:tcPr>
            <w:tcW w:w="3936"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Amount of bleeding in mL</w:t>
            </w:r>
            <w:r>
              <w:rPr>
                <w:rFonts w:ascii="Book Antiqua" w:hAnsi="Book Antiqua"/>
                <w:lang w:eastAsia="zh-CN"/>
              </w:rPr>
              <w:t>, mean ± SD</w:t>
            </w:r>
          </w:p>
        </w:tc>
        <w:tc>
          <w:tcPr>
            <w:tcW w:w="1701"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476.00 ± 187.71</w:t>
            </w:r>
          </w:p>
        </w:tc>
        <w:tc>
          <w:tcPr>
            <w:tcW w:w="172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524.00 ± 169.61</w:t>
            </w:r>
          </w:p>
        </w:tc>
        <w:tc>
          <w:tcPr>
            <w:tcW w:w="1027"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1.005</w:t>
            </w:r>
          </w:p>
        </w:tc>
        <w:tc>
          <w:tcPr>
            <w:tcW w:w="107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0.319</w:t>
            </w:r>
            <w:r>
              <w:rPr>
                <w:rFonts w:ascii="Book Antiqua" w:hAnsi="Book Antiqua"/>
                <w:vertAlign w:val="superscript"/>
                <w:lang w:eastAsia="zh-CN"/>
              </w:rPr>
              <w:t>1</w:t>
            </w:r>
          </w:p>
        </w:tc>
      </w:tr>
      <w:tr w:rsidR="00F831E5" w:rsidTr="004A0967">
        <w:trPr>
          <w:trHeight w:val="441"/>
        </w:trPr>
        <w:tc>
          <w:tcPr>
            <w:tcW w:w="3936"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 xml:space="preserve">NRS score on the first day after operation </w:t>
            </w:r>
            <w:r>
              <w:rPr>
                <w:rFonts w:ascii="Book Antiqua" w:hAnsi="Book Antiqua"/>
                <w:lang w:eastAsia="zh-CN"/>
              </w:rPr>
              <w:t xml:space="preserve">by </w:t>
            </w:r>
            <w:r>
              <w:rPr>
                <w:rFonts w:ascii="Book Antiqua" w:eastAsia="宋体" w:hAnsi="Book Antiqua"/>
                <w:lang w:eastAsia="zh-CN"/>
              </w:rPr>
              <w:t>score</w:t>
            </w:r>
            <w:r>
              <w:rPr>
                <w:rFonts w:ascii="Book Antiqua" w:hAnsi="Book Antiqua"/>
                <w:lang w:eastAsia="zh-CN"/>
              </w:rPr>
              <w:t>, mean ± SD</w:t>
            </w:r>
          </w:p>
        </w:tc>
        <w:tc>
          <w:tcPr>
            <w:tcW w:w="1701"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4.25 ± 0.74</w:t>
            </w:r>
          </w:p>
        </w:tc>
        <w:tc>
          <w:tcPr>
            <w:tcW w:w="172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4.21 ± 0.88</w:t>
            </w:r>
          </w:p>
        </w:tc>
        <w:tc>
          <w:tcPr>
            <w:tcW w:w="1027"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0.183</w:t>
            </w:r>
          </w:p>
        </w:tc>
        <w:tc>
          <w:tcPr>
            <w:tcW w:w="107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0.856</w:t>
            </w:r>
            <w:r>
              <w:rPr>
                <w:rFonts w:ascii="Book Antiqua" w:hAnsi="Book Antiqua"/>
                <w:vertAlign w:val="superscript"/>
                <w:lang w:eastAsia="zh-CN"/>
              </w:rPr>
              <w:t>1</w:t>
            </w:r>
          </w:p>
        </w:tc>
      </w:tr>
    </w:tbl>
    <w:p w:rsidR="00DA4786" w:rsidRDefault="00C13CFC">
      <w:pPr>
        <w:spacing w:line="360" w:lineRule="auto"/>
        <w:jc w:val="both"/>
        <w:rPr>
          <w:rFonts w:ascii="Book Antiqua" w:hAnsi="Book Antiqua" w:cs="Book Antiqua"/>
          <w:color w:val="000000"/>
          <w:lang w:eastAsia="zh-CN" w:bidi="ar"/>
        </w:rPr>
      </w:pPr>
      <w:r>
        <w:rPr>
          <w:rFonts w:ascii="Book Antiqua" w:eastAsia="Book Antiqua" w:hAnsi="Book Antiqua" w:cs="Book Antiqua"/>
          <w:color w:val="000000"/>
          <w:vertAlign w:val="superscript"/>
          <w:lang w:eastAsia="zh-CN" w:bidi="ar"/>
        </w:rPr>
        <w:t>1</w:t>
      </w: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sidR="00DA4786">
        <w:rPr>
          <w:rFonts w:ascii="Book Antiqua" w:hAnsi="Book Antiqua" w:cs="Book Antiqua" w:hint="eastAsia"/>
          <w:color w:val="000000"/>
          <w:lang w:eastAsia="zh-CN" w:bidi="ar"/>
        </w:rPr>
        <w:t>.</w:t>
      </w:r>
      <w:r>
        <w:rPr>
          <w:rFonts w:ascii="Book Antiqua" w:eastAsia="Book Antiqua" w:hAnsi="Book Antiqua" w:cs="Book Antiqua"/>
          <w:color w:val="000000"/>
          <w:lang w:eastAsia="zh-CN" w:bidi="ar"/>
        </w:rPr>
        <w:t xml:space="preserve"> </w:t>
      </w:r>
    </w:p>
    <w:p w:rsidR="00DA4786" w:rsidRDefault="00C13CFC">
      <w:pPr>
        <w:spacing w:line="360" w:lineRule="auto"/>
        <w:jc w:val="both"/>
        <w:rPr>
          <w:rFonts w:ascii="Book Antiqua" w:hAnsi="Book Antiqua" w:cs="Book Antiqua"/>
          <w:color w:val="000000"/>
          <w:lang w:eastAsia="zh-CN" w:bidi="ar"/>
        </w:rPr>
      </w:pPr>
      <w:r>
        <w:rPr>
          <w:rFonts w:ascii="Book Antiqua" w:eastAsia="Book Antiqua" w:hAnsi="Book Antiqua" w:cs="Book Antiqua"/>
          <w:color w:val="000000"/>
          <w:vertAlign w:val="superscript"/>
          <w:lang w:eastAsia="zh-CN" w:bidi="ar"/>
        </w:rPr>
        <w:t>2</w:t>
      </w:r>
      <w:r>
        <w:rPr>
          <w:rFonts w:ascii="Book Antiqua" w:eastAsia="Book Antiqua" w:hAnsi="Book Antiqua" w:cs="Book Antiqua"/>
          <w:color w:val="000000"/>
          <w:lang w:eastAsia="zh-CN" w:bidi="ar"/>
        </w:rPr>
        <w:t>Chi-square test</w:t>
      </w:r>
      <w:r>
        <w:rPr>
          <w:rFonts w:ascii="Book Antiqua" w:eastAsia="Book Antiqua" w:hAnsi="Book Antiqua" w:cs="Book Antiqua" w:hint="eastAsia"/>
          <w:color w:val="000000"/>
          <w:lang w:eastAsia="zh-CN" w:bidi="ar"/>
        </w:rPr>
        <w:t xml:space="preserve">. </w:t>
      </w:r>
    </w:p>
    <w:p w:rsidR="00F831E5" w:rsidRDefault="00C13CFC">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color w:val="000000"/>
          <w:lang w:eastAsia="zh-CN" w:bidi="ar"/>
        </w:rPr>
        <w:t>EEN: Early enteral nutrition; NRS: Nutrition risk screening; PN: Parenteral nutrition; SD: Standard deviation; TPN: Total parenteral nutrition.</w:t>
      </w:r>
    </w:p>
    <w:p w:rsidR="00F831E5" w:rsidRDefault="00C13CFC">
      <w:pPr>
        <w:spacing w:line="360" w:lineRule="auto"/>
        <w:jc w:val="both"/>
        <w:rPr>
          <w:b/>
          <w:bCs/>
        </w:rPr>
      </w:pPr>
      <w:r>
        <w:rPr>
          <w:rFonts w:ascii="Book Antiqua" w:eastAsia="Book Antiqua" w:hAnsi="Book Antiqua" w:cs="Book Antiqua"/>
          <w:color w:val="000000"/>
          <w:lang w:eastAsia="zh-CN" w:bidi="ar"/>
        </w:rPr>
        <w:br w:type="page"/>
      </w:r>
      <w:r>
        <w:rPr>
          <w:rFonts w:ascii="Book Antiqua" w:eastAsia="Book Antiqua" w:hAnsi="Book Antiqua" w:cs="Book Antiqua"/>
          <w:b/>
          <w:bCs/>
          <w:color w:val="000000"/>
          <w:lang w:eastAsia="zh-CN" w:bidi="ar"/>
        </w:rPr>
        <w:t xml:space="preserve">Table 4 The incidence of abdominal distention, bile leakage, and infection of operation site in the two groups, </w:t>
      </w:r>
      <w:r>
        <w:rPr>
          <w:rFonts w:ascii="Book Antiqua" w:eastAsia="Book Antiqua" w:hAnsi="Book Antiqua" w:cs="Book Antiqua"/>
          <w:b/>
          <w:bCs/>
          <w:i/>
          <w:iCs/>
          <w:color w:val="000000"/>
          <w:lang w:eastAsia="zh-CN" w:bidi="ar"/>
        </w:rPr>
        <w:t>n</w:t>
      </w:r>
      <w:r>
        <w:rPr>
          <w:rFonts w:ascii="Book Antiqua" w:eastAsia="Book Antiqua" w:hAnsi="Book Antiqua" w:cs="Book Antiqua"/>
          <w:b/>
          <w:bCs/>
          <w:color w:val="000000"/>
          <w:lang w:eastAsia="zh-CN" w:bidi="ar"/>
        </w:rPr>
        <w:t xml:space="preserve"> (%)</w:t>
      </w:r>
    </w:p>
    <w:tbl>
      <w:tblPr>
        <w:tblStyle w:val="a8"/>
        <w:tblW w:w="96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557"/>
        <w:gridCol w:w="1149"/>
        <w:gridCol w:w="2578"/>
        <w:gridCol w:w="1969"/>
        <w:gridCol w:w="2441"/>
      </w:tblGrid>
      <w:tr w:rsidR="00F831E5">
        <w:trPr>
          <w:trHeight w:val="83"/>
        </w:trPr>
        <w:tc>
          <w:tcPr>
            <w:tcW w:w="1557" w:type="dxa"/>
            <w:tcBorders>
              <w:top w:val="single" w:sz="4" w:space="0" w:color="auto"/>
              <w:bottom w:val="single" w:sz="4" w:space="0" w:color="auto"/>
            </w:tcBorders>
            <w:shd w:val="clear" w:color="auto" w:fill="auto"/>
          </w:tcPr>
          <w:p w:rsidR="00F831E5" w:rsidRDefault="00F831E5">
            <w:pPr>
              <w:spacing w:line="360" w:lineRule="auto"/>
              <w:rPr>
                <w:rFonts w:ascii="Book Antiqua" w:eastAsia="宋体" w:hAnsi="Book Antiqua"/>
                <w:b/>
                <w:bCs/>
                <w:lang w:eastAsia="zh-CN"/>
              </w:rPr>
            </w:pPr>
          </w:p>
        </w:tc>
        <w:tc>
          <w:tcPr>
            <w:tcW w:w="1149"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eastAsia="宋体" w:hAnsi="Book Antiqua"/>
                <w:b/>
                <w:bCs/>
                <w:lang w:eastAsia="zh-CN"/>
              </w:rPr>
              <w:t>Cases</w:t>
            </w:r>
          </w:p>
        </w:tc>
        <w:tc>
          <w:tcPr>
            <w:tcW w:w="2578"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eastAsia="宋体" w:hAnsi="Book Antiqua"/>
                <w:b/>
                <w:bCs/>
                <w:lang w:eastAsia="zh-CN"/>
              </w:rPr>
              <w:t>Abdominal distention</w:t>
            </w:r>
          </w:p>
        </w:tc>
        <w:tc>
          <w:tcPr>
            <w:tcW w:w="1969"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eastAsia="宋体" w:hAnsi="Book Antiqua"/>
                <w:b/>
                <w:bCs/>
                <w:lang w:eastAsia="zh-CN"/>
              </w:rPr>
              <w:t>Bile leakage</w:t>
            </w:r>
          </w:p>
        </w:tc>
        <w:tc>
          <w:tcPr>
            <w:tcW w:w="2441"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bookmarkStart w:id="11" w:name="OLE_LINK8"/>
            <w:r>
              <w:rPr>
                <w:rFonts w:ascii="Book Antiqua" w:eastAsia="宋体" w:hAnsi="Book Antiqua"/>
                <w:b/>
                <w:bCs/>
                <w:lang w:eastAsia="zh-CN"/>
              </w:rPr>
              <w:t>Surgical</w:t>
            </w:r>
            <w:bookmarkEnd w:id="11"/>
            <w:r>
              <w:rPr>
                <w:rFonts w:ascii="Book Antiqua" w:eastAsia="宋体" w:hAnsi="Book Antiqua"/>
                <w:b/>
                <w:bCs/>
                <w:lang w:eastAsia="zh-CN"/>
              </w:rPr>
              <w:t xml:space="preserve"> site infection</w:t>
            </w:r>
          </w:p>
        </w:tc>
      </w:tr>
      <w:tr w:rsidR="00F831E5">
        <w:trPr>
          <w:trHeight w:val="365"/>
        </w:trPr>
        <w:tc>
          <w:tcPr>
            <w:tcW w:w="1557"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TPN group</w:t>
            </w:r>
          </w:p>
        </w:tc>
        <w:tc>
          <w:tcPr>
            <w:tcW w:w="1149"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30</w:t>
            </w:r>
          </w:p>
        </w:tc>
        <w:tc>
          <w:tcPr>
            <w:tcW w:w="2578"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4 (13.33)</w:t>
            </w:r>
          </w:p>
        </w:tc>
        <w:tc>
          <w:tcPr>
            <w:tcW w:w="1969"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4 (13.33)</w:t>
            </w:r>
          </w:p>
        </w:tc>
        <w:tc>
          <w:tcPr>
            <w:tcW w:w="2441"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5 (16.67)</w:t>
            </w:r>
          </w:p>
        </w:tc>
      </w:tr>
      <w:tr w:rsidR="00F831E5">
        <w:trPr>
          <w:trHeight w:val="336"/>
        </w:trPr>
        <w:tc>
          <w:tcPr>
            <w:tcW w:w="1557"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EEN + PN group</w:t>
            </w:r>
          </w:p>
        </w:tc>
        <w:tc>
          <w:tcPr>
            <w:tcW w:w="1149"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26</w:t>
            </w:r>
          </w:p>
        </w:tc>
        <w:tc>
          <w:tcPr>
            <w:tcW w:w="2578"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11 (42.31)</w:t>
            </w:r>
          </w:p>
        </w:tc>
        <w:tc>
          <w:tcPr>
            <w:tcW w:w="1969"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2 (7.96)</w:t>
            </w:r>
          </w:p>
        </w:tc>
        <w:tc>
          <w:tcPr>
            <w:tcW w:w="2441"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2 (7.96)</w:t>
            </w:r>
          </w:p>
        </w:tc>
      </w:tr>
      <w:tr w:rsidR="00F831E5">
        <w:trPr>
          <w:trHeight w:val="83"/>
        </w:trPr>
        <w:tc>
          <w:tcPr>
            <w:tcW w:w="1557"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Total</w:t>
            </w:r>
          </w:p>
        </w:tc>
        <w:tc>
          <w:tcPr>
            <w:tcW w:w="1149"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56</w:t>
            </w:r>
          </w:p>
        </w:tc>
        <w:tc>
          <w:tcPr>
            <w:tcW w:w="2578"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15 (26.79)</w:t>
            </w:r>
          </w:p>
        </w:tc>
        <w:tc>
          <w:tcPr>
            <w:tcW w:w="1969"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6 (10.71)</w:t>
            </w:r>
          </w:p>
        </w:tc>
        <w:tc>
          <w:tcPr>
            <w:tcW w:w="2441" w:type="dxa"/>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7 (12.50)</w:t>
            </w:r>
          </w:p>
        </w:tc>
      </w:tr>
      <w:tr w:rsidR="00F831E5">
        <w:trPr>
          <w:trHeight w:val="83"/>
        </w:trPr>
        <w:tc>
          <w:tcPr>
            <w:tcW w:w="1557"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i/>
                <w:iCs/>
                <w:lang w:eastAsia="zh-CN"/>
              </w:rPr>
              <w:t xml:space="preserve">P </w:t>
            </w:r>
            <w:r>
              <w:rPr>
                <w:rFonts w:ascii="Book Antiqua" w:eastAsia="宋体" w:hAnsi="Book Antiqua"/>
                <w:lang w:eastAsia="zh-CN"/>
              </w:rPr>
              <w:t>value</w:t>
            </w:r>
          </w:p>
        </w:tc>
        <w:tc>
          <w:tcPr>
            <w:tcW w:w="1149" w:type="dxa"/>
            <w:tcBorders>
              <w:bottom w:val="single" w:sz="4" w:space="0" w:color="auto"/>
            </w:tcBorders>
            <w:shd w:val="clear" w:color="auto" w:fill="auto"/>
          </w:tcPr>
          <w:p w:rsidR="00F831E5" w:rsidRDefault="00F831E5">
            <w:pPr>
              <w:spacing w:line="360" w:lineRule="auto"/>
              <w:rPr>
                <w:rFonts w:ascii="Book Antiqua" w:eastAsia="宋体" w:hAnsi="Book Antiqua"/>
                <w:lang w:eastAsia="zh-CN"/>
              </w:rPr>
            </w:pPr>
          </w:p>
        </w:tc>
        <w:tc>
          <w:tcPr>
            <w:tcW w:w="2578"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0.018</w:t>
            </w:r>
          </w:p>
        </w:tc>
        <w:tc>
          <w:tcPr>
            <w:tcW w:w="1969"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0.675</w:t>
            </w:r>
          </w:p>
        </w:tc>
        <w:tc>
          <w:tcPr>
            <w:tcW w:w="2441"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eastAsia="宋体" w:hAnsi="Book Antiqua"/>
                <w:lang w:eastAsia="zh-CN"/>
              </w:rPr>
              <w:t>0.431</w:t>
            </w:r>
          </w:p>
        </w:tc>
      </w:tr>
    </w:tbl>
    <w:p w:rsidR="00F831E5" w:rsidRDefault="00C13CFC">
      <w:pPr>
        <w:spacing w:line="360" w:lineRule="auto"/>
        <w:jc w:val="both"/>
        <w:rPr>
          <w:rFonts w:ascii="Book Antiqua" w:hAnsi="Book Antiqua"/>
        </w:rPr>
      </w:pPr>
      <w:r>
        <w:rPr>
          <w:rFonts w:ascii="Book Antiqua" w:hAnsi="Book Antiqua"/>
        </w:rPr>
        <w:t>Fisher's exact test. EEN: Early enteral nutrition; PN: Parenteral nutrition; TPN: Total parenteral nutrition.</w:t>
      </w:r>
    </w:p>
    <w:p w:rsidR="00F831E5" w:rsidRDefault="00C13CFC">
      <w:pPr>
        <w:spacing w:line="360" w:lineRule="auto"/>
        <w:jc w:val="both"/>
        <w:rPr>
          <w:rFonts w:ascii="Book Antiqua" w:hAnsi="Book Antiqua"/>
          <w:b/>
          <w:bCs/>
        </w:rPr>
      </w:pPr>
      <w:r>
        <w:rPr>
          <w:rFonts w:ascii="Book Antiqua" w:hAnsi="Book Antiqua"/>
        </w:rPr>
        <w:br w:type="page"/>
      </w:r>
      <w:r>
        <w:rPr>
          <w:rFonts w:ascii="Book Antiqua" w:hAnsi="Book Antiqua"/>
          <w:b/>
          <w:bCs/>
        </w:rPr>
        <w:t>Table 5 Comparison of recovery time of intestinal function, hospitalization time, and total cost of hospitalization, mean ± standard deviation</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440"/>
        <w:gridCol w:w="1165"/>
        <w:gridCol w:w="2734"/>
        <w:gridCol w:w="1672"/>
        <w:gridCol w:w="2386"/>
      </w:tblGrid>
      <w:tr w:rsidR="00F831E5">
        <w:trPr>
          <w:trHeight w:val="84"/>
        </w:trPr>
        <w:tc>
          <w:tcPr>
            <w:tcW w:w="1440" w:type="dxa"/>
            <w:tcBorders>
              <w:top w:val="single" w:sz="4" w:space="0" w:color="auto"/>
              <w:bottom w:val="single" w:sz="4" w:space="0" w:color="auto"/>
            </w:tcBorders>
            <w:shd w:val="clear" w:color="auto" w:fill="auto"/>
          </w:tcPr>
          <w:p w:rsidR="00F831E5" w:rsidRDefault="00F831E5">
            <w:pPr>
              <w:spacing w:line="360" w:lineRule="auto"/>
              <w:rPr>
                <w:rFonts w:ascii="Book Antiqua" w:eastAsia="宋体" w:hAnsi="Book Antiqua"/>
                <w:b/>
                <w:bCs/>
                <w:lang w:eastAsia="zh-CN"/>
              </w:rPr>
            </w:pPr>
          </w:p>
        </w:tc>
        <w:tc>
          <w:tcPr>
            <w:tcW w:w="1165"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Cases</w:t>
            </w:r>
          </w:p>
        </w:tc>
        <w:tc>
          <w:tcPr>
            <w:tcW w:w="2734"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Recovery time of intestinal function after operation in h</w:t>
            </w:r>
          </w:p>
        </w:tc>
        <w:tc>
          <w:tcPr>
            <w:tcW w:w="1672"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Postoperative hospital stay in d</w:t>
            </w:r>
          </w:p>
        </w:tc>
        <w:tc>
          <w:tcPr>
            <w:tcW w:w="2386" w:type="dxa"/>
            <w:tcBorders>
              <w:top w:val="single" w:sz="4" w:space="0" w:color="auto"/>
              <w:bottom w:val="single" w:sz="4" w:space="0" w:color="auto"/>
            </w:tcBorders>
            <w:shd w:val="clear" w:color="auto" w:fill="auto"/>
          </w:tcPr>
          <w:p w:rsidR="00F831E5" w:rsidRDefault="00C13CFC">
            <w:pPr>
              <w:spacing w:line="360" w:lineRule="auto"/>
              <w:rPr>
                <w:rFonts w:ascii="Book Antiqua" w:eastAsia="宋体" w:hAnsi="Book Antiqua"/>
                <w:b/>
                <w:bCs/>
                <w:lang w:eastAsia="zh-CN"/>
              </w:rPr>
            </w:pPr>
            <w:r>
              <w:rPr>
                <w:rFonts w:ascii="Book Antiqua" w:hAnsi="Book Antiqua"/>
                <w:b/>
                <w:bCs/>
                <w:lang w:eastAsia="zh-CN"/>
              </w:rPr>
              <w:t>Cost of hospitalization in RMB</w:t>
            </w:r>
          </w:p>
        </w:tc>
      </w:tr>
      <w:tr w:rsidR="00F831E5">
        <w:trPr>
          <w:trHeight w:val="84"/>
        </w:trPr>
        <w:tc>
          <w:tcPr>
            <w:tcW w:w="1440"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TPN group</w:t>
            </w:r>
          </w:p>
        </w:tc>
        <w:tc>
          <w:tcPr>
            <w:tcW w:w="1165"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30</w:t>
            </w:r>
          </w:p>
        </w:tc>
        <w:tc>
          <w:tcPr>
            <w:tcW w:w="2734"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 xml:space="preserve">72.0 ± 12.9 </w:t>
            </w:r>
          </w:p>
        </w:tc>
        <w:tc>
          <w:tcPr>
            <w:tcW w:w="1672"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9.7 ± 1.5</w:t>
            </w:r>
          </w:p>
        </w:tc>
        <w:tc>
          <w:tcPr>
            <w:tcW w:w="2386" w:type="dxa"/>
            <w:tcBorders>
              <w:top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109036.69 ± 7949.71</w:t>
            </w:r>
          </w:p>
        </w:tc>
      </w:tr>
      <w:tr w:rsidR="00F831E5">
        <w:trPr>
          <w:trHeight w:val="84"/>
        </w:trPr>
        <w:tc>
          <w:tcPr>
            <w:tcW w:w="1440"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EEN + PN group</w:t>
            </w:r>
          </w:p>
        </w:tc>
        <w:tc>
          <w:tcPr>
            <w:tcW w:w="1165"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26</w:t>
            </w:r>
          </w:p>
        </w:tc>
        <w:tc>
          <w:tcPr>
            <w:tcW w:w="273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 xml:space="preserve">51.2 ± 4.4 </w:t>
            </w:r>
          </w:p>
        </w:tc>
        <w:tc>
          <w:tcPr>
            <w:tcW w:w="1672"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8.7 ± 0.8</w:t>
            </w:r>
          </w:p>
        </w:tc>
        <w:tc>
          <w:tcPr>
            <w:tcW w:w="2386"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87852.37 ± 9127.04</w:t>
            </w:r>
          </w:p>
        </w:tc>
      </w:tr>
      <w:tr w:rsidR="00F831E5">
        <w:trPr>
          <w:trHeight w:val="84"/>
        </w:trPr>
        <w:tc>
          <w:tcPr>
            <w:tcW w:w="1440"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i/>
                <w:iCs/>
                <w:lang w:eastAsia="zh-CN"/>
              </w:rPr>
              <w:t>t</w:t>
            </w:r>
          </w:p>
        </w:tc>
        <w:tc>
          <w:tcPr>
            <w:tcW w:w="1165" w:type="dxa"/>
            <w:shd w:val="clear" w:color="auto" w:fill="auto"/>
          </w:tcPr>
          <w:p w:rsidR="00F831E5" w:rsidRDefault="00F831E5">
            <w:pPr>
              <w:spacing w:line="360" w:lineRule="auto"/>
              <w:rPr>
                <w:rFonts w:ascii="Book Antiqua" w:eastAsia="宋体" w:hAnsi="Book Antiqua"/>
                <w:lang w:eastAsia="zh-CN"/>
              </w:rPr>
            </w:pPr>
          </w:p>
        </w:tc>
        <w:tc>
          <w:tcPr>
            <w:tcW w:w="2734"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7.828</w:t>
            </w:r>
          </w:p>
        </w:tc>
        <w:tc>
          <w:tcPr>
            <w:tcW w:w="1672"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3.043</w:t>
            </w:r>
          </w:p>
        </w:tc>
        <w:tc>
          <w:tcPr>
            <w:tcW w:w="2386" w:type="dxa"/>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9.285</w:t>
            </w:r>
          </w:p>
        </w:tc>
      </w:tr>
      <w:tr w:rsidR="00F831E5">
        <w:trPr>
          <w:trHeight w:val="84"/>
        </w:trPr>
        <w:tc>
          <w:tcPr>
            <w:tcW w:w="1440"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i/>
                <w:iCs/>
                <w:lang w:eastAsia="zh-CN"/>
              </w:rPr>
              <w:t xml:space="preserve">P </w:t>
            </w:r>
            <w:r>
              <w:rPr>
                <w:rFonts w:ascii="Book Antiqua" w:hAnsi="Book Antiqua"/>
                <w:lang w:eastAsia="zh-CN"/>
              </w:rPr>
              <w:t>value</w:t>
            </w:r>
          </w:p>
        </w:tc>
        <w:tc>
          <w:tcPr>
            <w:tcW w:w="1165" w:type="dxa"/>
            <w:tcBorders>
              <w:bottom w:val="single" w:sz="4" w:space="0" w:color="auto"/>
            </w:tcBorders>
            <w:shd w:val="clear" w:color="auto" w:fill="auto"/>
          </w:tcPr>
          <w:p w:rsidR="00F831E5" w:rsidRDefault="00F831E5">
            <w:pPr>
              <w:spacing w:line="360" w:lineRule="auto"/>
              <w:rPr>
                <w:rFonts w:ascii="Book Antiqua" w:eastAsia="宋体" w:hAnsi="Book Antiqua"/>
                <w:lang w:eastAsia="zh-CN"/>
              </w:rPr>
            </w:pPr>
          </w:p>
        </w:tc>
        <w:tc>
          <w:tcPr>
            <w:tcW w:w="2734"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&lt; 0.001</w:t>
            </w:r>
          </w:p>
        </w:tc>
        <w:tc>
          <w:tcPr>
            <w:tcW w:w="1672"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0.004</w:t>
            </w:r>
          </w:p>
        </w:tc>
        <w:tc>
          <w:tcPr>
            <w:tcW w:w="2386" w:type="dxa"/>
            <w:tcBorders>
              <w:bottom w:val="single" w:sz="4" w:space="0" w:color="auto"/>
            </w:tcBorders>
            <w:shd w:val="clear" w:color="auto" w:fill="auto"/>
          </w:tcPr>
          <w:p w:rsidR="00F831E5" w:rsidRDefault="00C13CFC">
            <w:pPr>
              <w:spacing w:line="360" w:lineRule="auto"/>
              <w:rPr>
                <w:rFonts w:ascii="Book Antiqua" w:eastAsia="宋体" w:hAnsi="Book Antiqua"/>
                <w:lang w:eastAsia="zh-CN"/>
              </w:rPr>
            </w:pPr>
            <w:r>
              <w:rPr>
                <w:rFonts w:ascii="Book Antiqua" w:hAnsi="Book Antiqua"/>
                <w:lang w:eastAsia="zh-CN"/>
              </w:rPr>
              <w:t>&lt; 0.001</w:t>
            </w:r>
          </w:p>
        </w:tc>
      </w:tr>
    </w:tbl>
    <w:p w:rsidR="00F831E5" w:rsidRDefault="00C13CFC">
      <w:pPr>
        <w:spacing w:line="360" w:lineRule="auto"/>
        <w:jc w:val="both"/>
        <w:rPr>
          <w:rFonts w:ascii="Book Antiqua" w:eastAsia="Book Antiqua" w:hAnsi="Book Antiqua" w:cs="Book Antiqua"/>
          <w:color w:val="000000"/>
          <w:lang w:eastAsia="zh-CN" w:bidi="ar"/>
        </w:rPr>
      </w:pPr>
      <w:r>
        <w:rPr>
          <w:rFonts w:ascii="Book Antiqua" w:eastAsia="Book Antiqua" w:hAnsi="Book Antiqua" w:cs="Book Antiqua"/>
          <w:i/>
          <w:iCs/>
          <w:color w:val="000000"/>
          <w:lang w:eastAsia="zh-CN" w:bidi="ar"/>
        </w:rPr>
        <w:t>t</w:t>
      </w:r>
      <w:r>
        <w:rPr>
          <w:rFonts w:ascii="Book Antiqua" w:eastAsia="Book Antiqua" w:hAnsi="Book Antiqua" w:cs="Book Antiqua"/>
          <w:color w:val="000000"/>
          <w:lang w:eastAsia="zh-CN" w:bidi="ar"/>
        </w:rPr>
        <w:t>-test</w:t>
      </w:r>
      <w:r>
        <w:rPr>
          <w:rFonts w:ascii="Book Antiqua" w:eastAsia="Book Antiqua" w:hAnsi="Book Antiqua" w:cs="Book Antiqua" w:hint="eastAsia"/>
          <w:color w:val="000000"/>
          <w:lang w:eastAsia="zh-CN" w:bidi="ar"/>
        </w:rPr>
        <w:t>. EEN: Early enteral nutrition; PN: Parenteral nutrition</w:t>
      </w:r>
      <w:r>
        <w:rPr>
          <w:rFonts w:ascii="Book Antiqua" w:eastAsia="Book Antiqua" w:hAnsi="Book Antiqua" w:cs="Book Antiqua"/>
          <w:color w:val="000000"/>
          <w:lang w:eastAsia="zh-CN" w:bidi="ar"/>
        </w:rPr>
        <w:t>;</w:t>
      </w:r>
      <w:r>
        <w:rPr>
          <w:rFonts w:ascii="Book Antiqua" w:eastAsia="Book Antiqua" w:hAnsi="Book Antiqua" w:cs="Book Antiqua" w:hint="eastAsia"/>
          <w:color w:val="000000"/>
          <w:lang w:eastAsia="zh-CN" w:bidi="ar"/>
        </w:rPr>
        <w:t xml:space="preserve"> TPN: Total parenteral nutrition</w:t>
      </w:r>
      <w:r>
        <w:rPr>
          <w:rFonts w:ascii="Book Antiqua" w:eastAsia="Book Antiqua" w:hAnsi="Book Antiqua" w:cs="Book Antiqua"/>
          <w:color w:val="000000"/>
          <w:lang w:eastAsia="zh-CN" w:bidi="ar"/>
        </w:rPr>
        <w:t>.</w:t>
      </w:r>
    </w:p>
    <w:sectPr w:rsidR="00F831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FD" w:rsidRDefault="002A69FD">
      <w:r>
        <w:separator/>
      </w:r>
    </w:p>
  </w:endnote>
  <w:endnote w:type="continuationSeparator" w:id="0">
    <w:p w:rsidR="002A69FD" w:rsidRDefault="002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43200889"/>
      <w:docPartObj>
        <w:docPartGallery w:val="AutoText"/>
      </w:docPartObj>
    </w:sdtPr>
    <w:sdtEndPr/>
    <w:sdtContent>
      <w:p w:rsidR="00F831E5" w:rsidRDefault="00C13CFC">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A69F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30</w:t>
        </w:r>
      </w:p>
    </w:sdtContent>
  </w:sdt>
  <w:p w:rsidR="00F831E5" w:rsidRDefault="00F831E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FD" w:rsidRDefault="002A69FD">
      <w:r>
        <w:separator/>
      </w:r>
    </w:p>
  </w:footnote>
  <w:footnote w:type="continuationSeparator" w:id="0">
    <w:p w:rsidR="002A69FD" w:rsidRDefault="002A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6BD"/>
    <w:rsid w:val="000433A1"/>
    <w:rsid w:val="00097539"/>
    <w:rsid w:val="000A5583"/>
    <w:rsid w:val="000B22AE"/>
    <w:rsid w:val="000E6AAD"/>
    <w:rsid w:val="000F5583"/>
    <w:rsid w:val="00120983"/>
    <w:rsid w:val="001209E3"/>
    <w:rsid w:val="00123D8B"/>
    <w:rsid w:val="0013622A"/>
    <w:rsid w:val="00151D28"/>
    <w:rsid w:val="00167537"/>
    <w:rsid w:val="0019256B"/>
    <w:rsid w:val="001B4ABA"/>
    <w:rsid w:val="00235E21"/>
    <w:rsid w:val="00244A15"/>
    <w:rsid w:val="00254DF3"/>
    <w:rsid w:val="00280B2C"/>
    <w:rsid w:val="00294FC9"/>
    <w:rsid w:val="002A69FD"/>
    <w:rsid w:val="003001AD"/>
    <w:rsid w:val="0032098F"/>
    <w:rsid w:val="00320DD2"/>
    <w:rsid w:val="00346CCC"/>
    <w:rsid w:val="00357BF2"/>
    <w:rsid w:val="00364B95"/>
    <w:rsid w:val="00377EB3"/>
    <w:rsid w:val="003977E2"/>
    <w:rsid w:val="003A5492"/>
    <w:rsid w:val="003B5BC5"/>
    <w:rsid w:val="00410C00"/>
    <w:rsid w:val="004435A8"/>
    <w:rsid w:val="00454799"/>
    <w:rsid w:val="00487CB5"/>
    <w:rsid w:val="004A0967"/>
    <w:rsid w:val="004D0589"/>
    <w:rsid w:val="005240E5"/>
    <w:rsid w:val="00527DD3"/>
    <w:rsid w:val="00533EB7"/>
    <w:rsid w:val="00540233"/>
    <w:rsid w:val="00540C02"/>
    <w:rsid w:val="00542945"/>
    <w:rsid w:val="00546610"/>
    <w:rsid w:val="005575EF"/>
    <w:rsid w:val="00580FBF"/>
    <w:rsid w:val="005A6399"/>
    <w:rsid w:val="005B7E15"/>
    <w:rsid w:val="005D16F3"/>
    <w:rsid w:val="005E162E"/>
    <w:rsid w:val="0060416A"/>
    <w:rsid w:val="0063549B"/>
    <w:rsid w:val="00643B2A"/>
    <w:rsid w:val="006601A7"/>
    <w:rsid w:val="0068079B"/>
    <w:rsid w:val="006809A0"/>
    <w:rsid w:val="00697E39"/>
    <w:rsid w:val="006A2F05"/>
    <w:rsid w:val="006B5596"/>
    <w:rsid w:val="007273F0"/>
    <w:rsid w:val="00732830"/>
    <w:rsid w:val="007356D6"/>
    <w:rsid w:val="00737FCF"/>
    <w:rsid w:val="00740352"/>
    <w:rsid w:val="007776AC"/>
    <w:rsid w:val="007C0042"/>
    <w:rsid w:val="007C5DE2"/>
    <w:rsid w:val="007C78EC"/>
    <w:rsid w:val="007D5F33"/>
    <w:rsid w:val="0080318E"/>
    <w:rsid w:val="00813E9D"/>
    <w:rsid w:val="00820C34"/>
    <w:rsid w:val="00846B20"/>
    <w:rsid w:val="008B58D8"/>
    <w:rsid w:val="008C3C84"/>
    <w:rsid w:val="008D675B"/>
    <w:rsid w:val="008F3EA3"/>
    <w:rsid w:val="009316DD"/>
    <w:rsid w:val="009375D8"/>
    <w:rsid w:val="009639A5"/>
    <w:rsid w:val="00996D80"/>
    <w:rsid w:val="009D1170"/>
    <w:rsid w:val="00A6730C"/>
    <w:rsid w:val="00A77B3E"/>
    <w:rsid w:val="00A903D7"/>
    <w:rsid w:val="00AC47A0"/>
    <w:rsid w:val="00B2131E"/>
    <w:rsid w:val="00B30517"/>
    <w:rsid w:val="00B4076A"/>
    <w:rsid w:val="00B42B32"/>
    <w:rsid w:val="00BA42D2"/>
    <w:rsid w:val="00BA6D45"/>
    <w:rsid w:val="00BD4110"/>
    <w:rsid w:val="00BF0F1B"/>
    <w:rsid w:val="00BF5C96"/>
    <w:rsid w:val="00C1245C"/>
    <w:rsid w:val="00C13CFC"/>
    <w:rsid w:val="00C804E6"/>
    <w:rsid w:val="00CA2A55"/>
    <w:rsid w:val="00CF1304"/>
    <w:rsid w:val="00CF20EC"/>
    <w:rsid w:val="00CF2E33"/>
    <w:rsid w:val="00D119C3"/>
    <w:rsid w:val="00D301B5"/>
    <w:rsid w:val="00D620A5"/>
    <w:rsid w:val="00D95C6F"/>
    <w:rsid w:val="00DA4786"/>
    <w:rsid w:val="00DC39DC"/>
    <w:rsid w:val="00DD0D49"/>
    <w:rsid w:val="00DF4E81"/>
    <w:rsid w:val="00E10094"/>
    <w:rsid w:val="00E17AF0"/>
    <w:rsid w:val="00E65EFA"/>
    <w:rsid w:val="00E810D2"/>
    <w:rsid w:val="00E83324"/>
    <w:rsid w:val="00EB405E"/>
    <w:rsid w:val="00EF252D"/>
    <w:rsid w:val="00F50AA6"/>
    <w:rsid w:val="00F73C93"/>
    <w:rsid w:val="00F831E5"/>
    <w:rsid w:val="32BB0B7A"/>
    <w:rsid w:val="569E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annotation reference"/>
    <w:basedOn w:val="a0"/>
    <w:semiHidden/>
    <w:unhideWhenUsed/>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rFonts w:eastAsiaTheme="minorEastAsia"/>
      <w:sz w:val="24"/>
      <w:szCs w:val="24"/>
      <w:lang w:eastAsia="en-US"/>
    </w:rPr>
  </w:style>
  <w:style w:type="character" w:customStyle="1" w:styleId="Char3">
    <w:name w:val="批注主题 Char"/>
    <w:basedOn w:val="Char"/>
    <w:link w:val="a7"/>
    <w:semiHidden/>
    <w:qFormat/>
    <w:rPr>
      <w:rFonts w:eastAsiaTheme="minorEastAsia"/>
      <w:b/>
      <w:bCs/>
      <w:sz w:val="24"/>
      <w:szCs w:val="24"/>
      <w:lang w:eastAsia="en-US"/>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annotation reference"/>
    <w:basedOn w:val="a0"/>
    <w:semiHidden/>
    <w:unhideWhenUsed/>
    <w:rPr>
      <w:sz w:val="21"/>
      <w:szCs w:val="21"/>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rFonts w:eastAsiaTheme="minorEastAsia"/>
      <w:sz w:val="24"/>
      <w:szCs w:val="24"/>
      <w:lang w:eastAsia="en-US"/>
    </w:rPr>
  </w:style>
  <w:style w:type="character" w:customStyle="1" w:styleId="Char3">
    <w:name w:val="批注主题 Char"/>
    <w:basedOn w:val="Char"/>
    <w:link w:val="a7"/>
    <w:semiHidden/>
    <w:qFormat/>
    <w:rPr>
      <w:rFonts w:eastAsiaTheme="minorEastAsia"/>
      <w:b/>
      <w:bCs/>
      <w:sz w:val="24"/>
      <w:szCs w:val="24"/>
      <w:lang w:eastAsia="en-US"/>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5905</Words>
  <Characters>33665</Characters>
  <Application>Microsoft Office Word</Application>
  <DocSecurity>0</DocSecurity>
  <Lines>280</Lines>
  <Paragraphs>78</Paragraphs>
  <ScaleCrop>false</ScaleCrop>
  <Company/>
  <LinksUpToDate>false</LinksUpToDate>
  <CharactersWithSpaces>39492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23</cp:revision>
  <dcterms:created xsi:type="dcterms:W3CDTF">2020-11-23T14:37:00Z</dcterms:created>
  <dcterms:modified xsi:type="dcterms:W3CDTF">2020-12-10T08:10:00Z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