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7D355" w14:textId="77777777" w:rsidR="00A77B3E" w:rsidRDefault="00900C6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CF337BA" w14:textId="77777777" w:rsidR="00A77B3E" w:rsidRDefault="00900C6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59073</w:t>
      </w:r>
    </w:p>
    <w:p w14:paraId="09AD97DE" w14:textId="77777777" w:rsidR="00A77B3E" w:rsidRDefault="00900C6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3A7C316" w14:textId="77777777" w:rsidR="00A77B3E" w:rsidRDefault="00A77B3E">
      <w:pPr>
        <w:spacing w:line="360" w:lineRule="auto"/>
        <w:jc w:val="both"/>
      </w:pPr>
    </w:p>
    <w:p w14:paraId="35F41FF9" w14:textId="77777777" w:rsidR="00A77B3E" w:rsidRDefault="00900C61">
      <w:pPr>
        <w:spacing w:line="360" w:lineRule="auto"/>
        <w:jc w:val="both"/>
      </w:pPr>
      <w:bookmarkStart w:id="0" w:name="OLE_LINK363"/>
      <w:bookmarkStart w:id="1" w:name="OLE_LINK364"/>
      <w:r>
        <w:rPr>
          <w:rFonts w:ascii="Book Antiqua" w:eastAsia="Book Antiqua" w:hAnsi="Book Antiqua" w:cs="Book Antiqua"/>
          <w:b/>
          <w:bCs/>
          <w:color w:val="000000"/>
        </w:rPr>
        <w:t xml:space="preserve">Contrast enhanced ultrasound in diagnosing liver lesion that spontaneously disappeared: A case report </w:t>
      </w:r>
    </w:p>
    <w:bookmarkEnd w:id="0"/>
    <w:bookmarkEnd w:id="1"/>
    <w:p w14:paraId="717B6C65" w14:textId="77777777" w:rsidR="00A77B3E" w:rsidRDefault="00A77B3E">
      <w:pPr>
        <w:spacing w:line="360" w:lineRule="auto"/>
        <w:jc w:val="both"/>
      </w:pPr>
    </w:p>
    <w:p w14:paraId="26FA4FD6" w14:textId="77777777" w:rsidR="00A77B3E" w:rsidRDefault="00900C61">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ZD </w:t>
      </w:r>
      <w:r w:rsidRPr="00900C6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Contrast enhanced ultrasound in diagnosing liver lesion</w:t>
      </w:r>
    </w:p>
    <w:p w14:paraId="6BD58301" w14:textId="77777777" w:rsidR="00A77B3E" w:rsidRDefault="00A77B3E">
      <w:pPr>
        <w:spacing w:line="360" w:lineRule="auto"/>
        <w:jc w:val="both"/>
      </w:pPr>
    </w:p>
    <w:p w14:paraId="790FBB64" w14:textId="77777777" w:rsidR="00A77B3E" w:rsidRDefault="00900C61">
      <w:pPr>
        <w:spacing w:line="360" w:lineRule="auto"/>
        <w:jc w:val="both"/>
      </w:pPr>
      <w:r>
        <w:rPr>
          <w:rFonts w:ascii="Book Antiqua" w:eastAsia="Book Antiqua" w:hAnsi="Book Antiqua" w:cs="Book Antiqua"/>
          <w:color w:val="000000"/>
        </w:rPr>
        <w:t xml:space="preserve">Zong-Ding </w:t>
      </w:r>
      <w:bookmarkStart w:id="2" w:name="OLE_LINK252"/>
      <w:bookmarkStart w:id="3" w:name="OLE_LINK253"/>
      <w:r>
        <w:rPr>
          <w:rFonts w:ascii="Book Antiqua" w:eastAsia="Book Antiqua" w:hAnsi="Book Antiqua" w:cs="Book Antiqua"/>
          <w:color w:val="000000"/>
        </w:rPr>
        <w:t>Wang</w:t>
      </w:r>
      <w:bookmarkEnd w:id="2"/>
      <w:bookmarkEnd w:id="3"/>
      <w:r>
        <w:rPr>
          <w:rFonts w:ascii="Book Antiqua" w:eastAsia="Book Antiqua" w:hAnsi="Book Antiqua" w:cs="Book Antiqua"/>
          <w:color w:val="000000"/>
        </w:rPr>
        <w:t>, Salameen Haitham, Jian-Ping Gong, Zi-Li Pen</w:t>
      </w:r>
    </w:p>
    <w:p w14:paraId="6B94D93F" w14:textId="77777777" w:rsidR="00A77B3E" w:rsidRDefault="00A77B3E">
      <w:pPr>
        <w:spacing w:line="360" w:lineRule="auto"/>
        <w:jc w:val="both"/>
      </w:pPr>
    </w:p>
    <w:p w14:paraId="485F31B5" w14:textId="77777777" w:rsidR="00A77B3E" w:rsidRDefault="00900C61">
      <w:pPr>
        <w:spacing w:line="360" w:lineRule="auto"/>
        <w:jc w:val="both"/>
      </w:pPr>
      <w:r>
        <w:rPr>
          <w:rFonts w:ascii="Book Antiqua" w:eastAsia="Book Antiqua" w:hAnsi="Book Antiqua" w:cs="Book Antiqua"/>
          <w:b/>
          <w:bCs/>
          <w:color w:val="000000"/>
        </w:rPr>
        <w:t xml:space="preserve">Zong-Ding Wang, Zi-Li Pen, </w:t>
      </w:r>
      <w:r>
        <w:rPr>
          <w:rFonts w:ascii="Book Antiqua" w:eastAsia="Book Antiqua" w:hAnsi="Book Antiqua" w:cs="Book Antiqua"/>
          <w:color w:val="000000"/>
        </w:rPr>
        <w:t>Department of Surgery, Fengjie People’s Hospital, Chongqing 400010, China</w:t>
      </w:r>
    </w:p>
    <w:p w14:paraId="0702D548" w14:textId="77777777" w:rsidR="00A77B3E" w:rsidRDefault="00A77B3E">
      <w:pPr>
        <w:spacing w:line="360" w:lineRule="auto"/>
        <w:jc w:val="both"/>
      </w:pPr>
    </w:p>
    <w:p w14:paraId="12BCED8C" w14:textId="766D7570" w:rsidR="00A77B3E" w:rsidRDefault="00900C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Salameen Haitham, </w:t>
      </w:r>
      <w:r w:rsidR="0087513C">
        <w:rPr>
          <w:rFonts w:ascii="Book Antiqua" w:eastAsia="Book Antiqua" w:hAnsi="Book Antiqua" w:cs="Book Antiqua"/>
          <w:b/>
          <w:bCs/>
          <w:color w:val="000000"/>
        </w:rPr>
        <w:t xml:space="preserve">Jian-Ping Gong, </w:t>
      </w:r>
      <w:r>
        <w:rPr>
          <w:rFonts w:ascii="Book Antiqua" w:eastAsia="Book Antiqua" w:hAnsi="Book Antiqua" w:cs="Book Antiqua"/>
          <w:color w:val="000000"/>
        </w:rPr>
        <w:t xml:space="preserve">Department of Hepatobiliary Surgery, The Second Affiliated Hospital of Chongqing Medical University, Chongqing 400010, </w:t>
      </w:r>
      <w:bookmarkStart w:id="4" w:name="OLE_LINK357"/>
      <w:bookmarkStart w:id="5" w:name="OLE_LINK358"/>
      <w:r>
        <w:rPr>
          <w:rFonts w:ascii="Book Antiqua" w:eastAsia="Book Antiqua" w:hAnsi="Book Antiqua" w:cs="Book Antiqua"/>
          <w:color w:val="000000"/>
        </w:rPr>
        <w:t>China</w:t>
      </w:r>
      <w:bookmarkEnd w:id="4"/>
      <w:bookmarkEnd w:id="5"/>
    </w:p>
    <w:p w14:paraId="69A47D1D" w14:textId="77777777" w:rsidR="00A77B3E" w:rsidRDefault="00A77B3E">
      <w:pPr>
        <w:spacing w:line="360" w:lineRule="auto"/>
        <w:jc w:val="both"/>
      </w:pPr>
    </w:p>
    <w:p w14:paraId="6660A975" w14:textId="77777777" w:rsidR="00A77B3E" w:rsidRDefault="00900C61">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Wang ZD collected the patient's information and wrote the paper; Haitham S wrote and edited the paper; Gong JP and Pen ZL reviewed and revised the paper.</w:t>
      </w:r>
    </w:p>
    <w:p w14:paraId="2551EB3C" w14:textId="77777777" w:rsidR="00A77B3E" w:rsidRDefault="00A77B3E">
      <w:pPr>
        <w:spacing w:line="360" w:lineRule="auto"/>
        <w:jc w:val="both"/>
      </w:pPr>
    </w:p>
    <w:p w14:paraId="52BA2EB1" w14:textId="12512098" w:rsidR="00A77B3E" w:rsidRDefault="005A46D5">
      <w:pPr>
        <w:spacing w:line="360" w:lineRule="auto"/>
        <w:jc w:val="both"/>
      </w:pPr>
      <w:r w:rsidRPr="005A46D5">
        <w:rPr>
          <w:rFonts w:ascii="Book Antiqua" w:eastAsia="Book Antiqua" w:hAnsi="Book Antiqua" w:cs="Book Antiqua"/>
          <w:b/>
          <w:bCs/>
          <w:color w:val="000000"/>
        </w:rPr>
        <w:t>Corresponding author:</w:t>
      </w:r>
      <w:r w:rsidR="00900C61">
        <w:rPr>
          <w:rFonts w:ascii="Book Antiqua" w:eastAsia="Book Antiqua" w:hAnsi="Book Antiqua" w:cs="Book Antiqua"/>
          <w:b/>
          <w:bCs/>
          <w:color w:val="000000"/>
        </w:rPr>
        <w:t xml:space="preserve"> Zi-Li Pen, MD, PhD, Chief Doctor, Surgeon, </w:t>
      </w:r>
      <w:r w:rsidR="00900C61">
        <w:rPr>
          <w:rFonts w:ascii="Book Antiqua" w:eastAsia="Book Antiqua" w:hAnsi="Book Antiqua" w:cs="Book Antiqua"/>
          <w:color w:val="000000"/>
        </w:rPr>
        <w:t>Department of Surgery, Fengjie People’s Hospital, No. 2 Kangning Street, Chongqing 400010, China. 623645246@qq.com</w:t>
      </w:r>
    </w:p>
    <w:p w14:paraId="4B9E2A98" w14:textId="77777777" w:rsidR="00A77B3E" w:rsidRDefault="00A77B3E">
      <w:pPr>
        <w:spacing w:line="360" w:lineRule="auto"/>
        <w:jc w:val="both"/>
      </w:pPr>
    </w:p>
    <w:p w14:paraId="0DD4F173" w14:textId="77777777" w:rsidR="00A77B3E" w:rsidRDefault="00900C6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19, 2020</w:t>
      </w:r>
    </w:p>
    <w:p w14:paraId="3D3F6F4A" w14:textId="77777777" w:rsidR="00A77B3E" w:rsidRDefault="00900C6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17, 2021</w:t>
      </w:r>
    </w:p>
    <w:p w14:paraId="459D51A9" w14:textId="795261CE" w:rsidR="00A77B3E" w:rsidRDefault="00900C61">
      <w:pPr>
        <w:spacing w:line="360" w:lineRule="auto"/>
        <w:jc w:val="both"/>
      </w:pPr>
      <w:r>
        <w:rPr>
          <w:rFonts w:ascii="Book Antiqua" w:eastAsia="Book Antiqua" w:hAnsi="Book Antiqua" w:cs="Book Antiqua"/>
          <w:b/>
          <w:bCs/>
          <w:color w:val="000000"/>
        </w:rPr>
        <w:t xml:space="preserve">Accepted: </w:t>
      </w:r>
      <w:r w:rsidR="00B43B4E" w:rsidRPr="00B43B4E">
        <w:rPr>
          <w:rFonts w:ascii="Book Antiqua" w:eastAsia="Book Antiqua" w:hAnsi="Book Antiqua" w:cs="Book Antiqua"/>
          <w:color w:val="000000"/>
        </w:rPr>
        <w:t>April 6, 2021</w:t>
      </w:r>
    </w:p>
    <w:p w14:paraId="3F5289D3" w14:textId="09E779E9" w:rsidR="00A77B3E" w:rsidRDefault="00900C61">
      <w:pPr>
        <w:spacing w:line="360" w:lineRule="auto"/>
        <w:jc w:val="both"/>
      </w:pPr>
      <w:r>
        <w:rPr>
          <w:rFonts w:ascii="Book Antiqua" w:eastAsia="Book Antiqua" w:hAnsi="Book Antiqua" w:cs="Book Antiqua"/>
          <w:b/>
          <w:bCs/>
          <w:color w:val="000000"/>
        </w:rPr>
        <w:t xml:space="preserve">Published online: </w:t>
      </w:r>
      <w:r w:rsidR="000D1EEB" w:rsidRPr="00343FB9">
        <w:rPr>
          <w:rFonts w:ascii="Book Antiqua" w:hAnsi="Book Antiqua"/>
        </w:rPr>
        <w:t>Ju</w:t>
      </w:r>
      <w:r w:rsidR="000D1EEB">
        <w:rPr>
          <w:rFonts w:ascii="Book Antiqua" w:hAnsi="Book Antiqua"/>
        </w:rPr>
        <w:t>ly</w:t>
      </w:r>
      <w:r w:rsidR="000D1EEB" w:rsidRPr="00343FB9">
        <w:rPr>
          <w:rFonts w:ascii="Book Antiqua" w:hAnsi="Book Antiqua"/>
        </w:rPr>
        <w:t xml:space="preserve"> 26, 2021</w:t>
      </w:r>
    </w:p>
    <w:p w14:paraId="5C7E3DC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2155BED" w14:textId="77777777" w:rsidR="00A77B3E" w:rsidRDefault="00900C61">
      <w:pPr>
        <w:spacing w:line="360" w:lineRule="auto"/>
        <w:jc w:val="both"/>
      </w:pPr>
      <w:r>
        <w:rPr>
          <w:rFonts w:ascii="Book Antiqua" w:eastAsia="Book Antiqua" w:hAnsi="Book Antiqua" w:cs="Book Antiqua"/>
          <w:b/>
          <w:color w:val="000000"/>
        </w:rPr>
        <w:lastRenderedPageBreak/>
        <w:t>Abstract</w:t>
      </w:r>
    </w:p>
    <w:p w14:paraId="3874825E" w14:textId="77777777" w:rsidR="00A77B3E" w:rsidRDefault="00900C61">
      <w:pPr>
        <w:spacing w:line="360" w:lineRule="auto"/>
        <w:jc w:val="both"/>
      </w:pPr>
      <w:r>
        <w:rPr>
          <w:rFonts w:ascii="Book Antiqua" w:eastAsia="Book Antiqua" w:hAnsi="Book Antiqua" w:cs="Book Antiqua"/>
          <w:color w:val="000000"/>
        </w:rPr>
        <w:t>BACKGROUND</w:t>
      </w:r>
    </w:p>
    <w:p w14:paraId="68BA1FF2" w14:textId="77777777" w:rsidR="00A77B3E" w:rsidRDefault="00900C61">
      <w:pPr>
        <w:spacing w:line="360" w:lineRule="auto"/>
        <w:jc w:val="both"/>
      </w:pPr>
      <w:r>
        <w:rPr>
          <w:rFonts w:ascii="Book Antiqua" w:eastAsia="Book Antiqua" w:hAnsi="Book Antiqua" w:cs="Book Antiqua"/>
          <w:color w:val="000000"/>
        </w:rPr>
        <w:t>Focal liver lesions (FLLs) are abnormal masses that are distinguishable from the surrounding liver parenchyma, solid or cystic and may be benign or malignant. They are usually detected incidentally on abdominal examinations. The classification of FLLs is very important as it directly determines the diagnosis and treatment of patients.</w:t>
      </w:r>
    </w:p>
    <w:p w14:paraId="476871E9" w14:textId="77777777" w:rsidR="00A77B3E" w:rsidRDefault="00A77B3E">
      <w:pPr>
        <w:spacing w:line="360" w:lineRule="auto"/>
        <w:jc w:val="both"/>
      </w:pPr>
    </w:p>
    <w:p w14:paraId="0CE6E02C" w14:textId="77777777" w:rsidR="00A77B3E" w:rsidRDefault="00900C61">
      <w:pPr>
        <w:spacing w:line="360" w:lineRule="auto"/>
        <w:jc w:val="both"/>
      </w:pPr>
      <w:r>
        <w:rPr>
          <w:rFonts w:ascii="Book Antiqua" w:eastAsia="Book Antiqua" w:hAnsi="Book Antiqua" w:cs="Book Antiqua"/>
          <w:color w:val="000000"/>
        </w:rPr>
        <w:t>CASE SUMMARY</w:t>
      </w:r>
    </w:p>
    <w:p w14:paraId="1032BA60" w14:textId="76C90429" w:rsidR="00A77B3E" w:rsidRDefault="00900C61">
      <w:pPr>
        <w:spacing w:line="360" w:lineRule="auto"/>
        <w:jc w:val="both"/>
      </w:pPr>
      <w:r>
        <w:rPr>
          <w:rFonts w:ascii="Book Antiqua" w:eastAsia="Book Antiqua" w:hAnsi="Book Antiqua" w:cs="Book Antiqua"/>
          <w:color w:val="000000"/>
        </w:rPr>
        <w:t>A 46-year-old male patient was admitted into the hospital with tarry stool, during the investigation of this issue an incidental FLL was detected. Upon further investigation of this “incidentaloma” computerized tomography and magnetic resonance imaging reached contradictory conclusions. The lesion was then further investigated using contrast-enhanced ultrasound (CEUS) with an initial diagnosis of idiopathic FLL was acquired and observation of the FLL over time need for final diagnosis, however in the follow up the FLL disappeared spontaneously.</w:t>
      </w:r>
    </w:p>
    <w:p w14:paraId="0524A5CF" w14:textId="77777777" w:rsidR="00A77B3E" w:rsidRDefault="00A77B3E">
      <w:pPr>
        <w:spacing w:line="360" w:lineRule="auto"/>
        <w:jc w:val="both"/>
      </w:pPr>
    </w:p>
    <w:p w14:paraId="69F99AC3" w14:textId="77777777" w:rsidR="00A77B3E" w:rsidRDefault="00900C61">
      <w:pPr>
        <w:spacing w:line="360" w:lineRule="auto"/>
        <w:jc w:val="both"/>
      </w:pPr>
      <w:r>
        <w:rPr>
          <w:rFonts w:ascii="Book Antiqua" w:eastAsia="Book Antiqua" w:hAnsi="Book Antiqua" w:cs="Book Antiqua"/>
          <w:color w:val="000000"/>
        </w:rPr>
        <w:t>CONCLUSION</w:t>
      </w:r>
    </w:p>
    <w:p w14:paraId="27B31D42" w14:textId="77777777" w:rsidR="00A77B3E" w:rsidRDefault="00900C61">
      <w:pPr>
        <w:spacing w:line="360" w:lineRule="auto"/>
        <w:jc w:val="both"/>
      </w:pPr>
      <w:r>
        <w:rPr>
          <w:rFonts w:ascii="Book Antiqua" w:eastAsia="Book Antiqua" w:hAnsi="Book Antiqua" w:cs="Book Antiqua"/>
          <w:color w:val="000000"/>
        </w:rPr>
        <w:t>CEUSs value for characterization of FLLs is undeniable, especially when other methods produce inconsistent results, is undeniable but with its limitations. Why and how the FLL disappeared is not known, and can be only hypothesized it was a pseudolesion.</w:t>
      </w:r>
    </w:p>
    <w:p w14:paraId="1D762E77" w14:textId="77777777" w:rsidR="00A77B3E" w:rsidRDefault="00A77B3E">
      <w:pPr>
        <w:spacing w:line="360" w:lineRule="auto"/>
        <w:jc w:val="both"/>
      </w:pPr>
    </w:p>
    <w:p w14:paraId="59E15BA1" w14:textId="04201917" w:rsidR="00A77B3E" w:rsidRDefault="00900C61">
      <w:pPr>
        <w:spacing w:line="360" w:lineRule="auto"/>
        <w:jc w:val="both"/>
        <w:rPr>
          <w:lang w:eastAsia="zh-CN"/>
        </w:rPr>
      </w:pPr>
      <w:r>
        <w:rPr>
          <w:rFonts w:ascii="Book Antiqua" w:eastAsia="Book Antiqua" w:hAnsi="Book Antiqua" w:cs="Book Antiqua"/>
          <w:b/>
          <w:bCs/>
          <w:color w:val="000000"/>
          <w:szCs w:val="22"/>
        </w:rPr>
        <w:t xml:space="preserve">Key Words: </w:t>
      </w:r>
      <w:bookmarkStart w:id="6" w:name="OLE_LINK1"/>
      <w:bookmarkStart w:id="7" w:name="OLE_LINK2"/>
      <w:r>
        <w:rPr>
          <w:rFonts w:ascii="Book Antiqua" w:eastAsia="Book Antiqua" w:hAnsi="Book Antiqua" w:cs="Book Antiqua"/>
          <w:color w:val="000000"/>
        </w:rPr>
        <w:t>Liver; Ultrasonography; Tomography; Contrast enhanced ultrasound; Focal liver lesions</w:t>
      </w:r>
      <w:r w:rsidR="0087513C">
        <w:rPr>
          <w:rFonts w:ascii="Book Antiqua" w:eastAsia="Book Antiqua" w:hAnsi="Book Antiqua" w:cs="Book Antiqua"/>
          <w:color w:val="000000"/>
        </w:rPr>
        <w:t>; Case report</w:t>
      </w:r>
      <w:bookmarkEnd w:id="6"/>
      <w:bookmarkEnd w:id="7"/>
    </w:p>
    <w:p w14:paraId="6BE85B76" w14:textId="77777777" w:rsidR="009643F3" w:rsidRDefault="009643F3" w:rsidP="009643F3">
      <w:pPr>
        <w:spacing w:line="360" w:lineRule="auto"/>
        <w:jc w:val="both"/>
        <w:rPr>
          <w:lang w:eastAsia="zh-CN"/>
        </w:rPr>
      </w:pPr>
    </w:p>
    <w:p w14:paraId="4C09B5E7" w14:textId="77777777" w:rsidR="009643F3" w:rsidRPr="00026CB8" w:rsidRDefault="009643F3" w:rsidP="009643F3">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5850582" w14:textId="77777777" w:rsidR="00A77B3E" w:rsidRDefault="00A77B3E">
      <w:pPr>
        <w:spacing w:line="360" w:lineRule="auto"/>
        <w:jc w:val="both"/>
      </w:pPr>
    </w:p>
    <w:p w14:paraId="55D9950C" w14:textId="2CF899D9" w:rsidR="0068135A" w:rsidRDefault="0068135A" w:rsidP="0051388A">
      <w:pPr>
        <w:adjustRightInd w:val="0"/>
        <w:snapToGrid w:val="0"/>
        <w:spacing w:line="360" w:lineRule="auto"/>
        <w:rPr>
          <w:rFonts w:ascii="Book Antiqua" w:hAnsi="Book Antiqua" w:cs="Book Antiqua" w:hint="eastAsia"/>
          <w:lang w:val="pt-BR" w:eastAsia="zh-CN"/>
        </w:rPr>
      </w:pPr>
      <w:r w:rsidRPr="0068135A">
        <w:rPr>
          <w:rFonts w:ascii="Book Antiqua" w:eastAsia="Book Antiqua" w:hAnsi="Book Antiqua" w:cs="Book Antiqua"/>
          <w:b/>
          <w:color w:val="000000"/>
        </w:rPr>
        <w:t>Citation</w:t>
      </w:r>
      <w:r w:rsidRPr="0068135A">
        <w:rPr>
          <w:rFonts w:ascii="Book Antiqua" w:hAnsi="Book Antiqua" w:cs="Book Antiqua" w:hint="eastAsia"/>
          <w:b/>
          <w:color w:val="000000"/>
          <w:lang w:eastAsia="zh-CN"/>
        </w:rPr>
        <w:t xml:space="preserve">: </w:t>
      </w:r>
      <w:r w:rsidR="00900C61">
        <w:rPr>
          <w:rFonts w:ascii="Book Antiqua" w:eastAsia="Book Antiqua" w:hAnsi="Book Antiqua" w:cs="Book Antiqua"/>
          <w:color w:val="000000"/>
        </w:rPr>
        <w:t xml:space="preserve">Wang ZD, Haitham S, Gong JP, Pen ZL. Contrast enhanced ultrasound in diagnosing liver lesion that spontaneously disappeared: A case report. </w:t>
      </w:r>
      <w:r w:rsidR="00900C61">
        <w:rPr>
          <w:rFonts w:ascii="Book Antiqua" w:eastAsia="Book Antiqua" w:hAnsi="Book Antiqua" w:cs="Book Antiqua"/>
          <w:i/>
          <w:iCs/>
          <w:color w:val="000000"/>
        </w:rPr>
        <w:t>World J Clin Cases</w:t>
      </w:r>
      <w:r w:rsidR="00900C61">
        <w:rPr>
          <w:rFonts w:ascii="Book Antiqua" w:eastAsia="Book Antiqua" w:hAnsi="Book Antiqua" w:cs="Book Antiqua"/>
          <w:color w:val="000000"/>
        </w:rPr>
        <w:t xml:space="preserve"> </w:t>
      </w:r>
      <w:bookmarkStart w:id="8" w:name="_Hlk56867303"/>
      <w:bookmarkStart w:id="9" w:name="OLE_LINK71"/>
      <w:bookmarkStart w:id="10" w:name="OLE_LINK72"/>
      <w:r w:rsidR="0051388A" w:rsidRPr="00D2753A">
        <w:rPr>
          <w:rFonts w:ascii="Book Antiqua" w:eastAsia="Book Antiqua" w:hAnsi="Book Antiqua" w:cs="Book Antiqua"/>
          <w:lang w:val="pt-BR"/>
        </w:rPr>
        <w:t>2021; 9(</w:t>
      </w:r>
      <w:r w:rsidR="0051388A">
        <w:rPr>
          <w:rFonts w:ascii="Book Antiqua" w:eastAsia="Book Antiqua" w:hAnsi="Book Antiqua" w:cs="Book Antiqua"/>
          <w:lang w:val="pt-BR"/>
        </w:rPr>
        <w:t>21</w:t>
      </w:r>
      <w:r w:rsidR="0051388A" w:rsidRPr="00D2753A">
        <w:rPr>
          <w:rFonts w:ascii="Book Antiqua" w:eastAsia="Book Antiqua" w:hAnsi="Book Antiqua" w:cs="Book Antiqua"/>
          <w:lang w:val="pt-BR"/>
        </w:rPr>
        <w:t xml:space="preserve">): </w:t>
      </w:r>
      <w:r w:rsidR="000C0B2D" w:rsidRPr="000C0B2D">
        <w:rPr>
          <w:rFonts w:ascii="Book Antiqua" w:eastAsia="Book Antiqua" w:hAnsi="Book Antiqua" w:cs="Book Antiqua"/>
          <w:lang w:val="pt-BR"/>
        </w:rPr>
        <w:t>5948-</w:t>
      </w:r>
      <w:bookmarkStart w:id="11" w:name="OLE_LINK74"/>
      <w:bookmarkStart w:id="12" w:name="OLE_LINK75"/>
      <w:r w:rsidR="000C0B2D" w:rsidRPr="000C0B2D">
        <w:rPr>
          <w:rFonts w:ascii="Book Antiqua" w:eastAsia="Book Antiqua" w:hAnsi="Book Antiqua" w:cs="Book Antiqua"/>
          <w:lang w:val="pt-BR"/>
        </w:rPr>
        <w:t>5954</w:t>
      </w:r>
      <w:bookmarkEnd w:id="9"/>
      <w:bookmarkEnd w:id="10"/>
      <w:bookmarkEnd w:id="11"/>
      <w:bookmarkEnd w:id="12"/>
      <w:r w:rsidR="0051388A" w:rsidRPr="00D2753A">
        <w:rPr>
          <w:rFonts w:ascii="Book Antiqua" w:eastAsia="Book Antiqua" w:hAnsi="Book Antiqua" w:cs="Book Antiqua"/>
          <w:lang w:val="pt-BR"/>
        </w:rPr>
        <w:t xml:space="preserve"> </w:t>
      </w:r>
    </w:p>
    <w:p w14:paraId="1C61516D" w14:textId="1737BE49" w:rsidR="0068135A" w:rsidRDefault="0051388A" w:rsidP="0051388A">
      <w:pPr>
        <w:adjustRightInd w:val="0"/>
        <w:snapToGrid w:val="0"/>
        <w:spacing w:line="360" w:lineRule="auto"/>
        <w:rPr>
          <w:rFonts w:ascii="Book Antiqua" w:hAnsi="Book Antiqua" w:cs="Book Antiqua" w:hint="eastAsia"/>
          <w:lang w:val="pt-BR" w:eastAsia="zh-CN"/>
        </w:rPr>
      </w:pPr>
      <w:r w:rsidRPr="0068135A">
        <w:rPr>
          <w:rFonts w:ascii="Book Antiqua" w:eastAsia="Book Antiqua" w:hAnsi="Book Antiqua" w:cs="Book Antiqua"/>
          <w:b/>
          <w:lang w:val="pt-BR"/>
        </w:rPr>
        <w:t xml:space="preserve">URL: </w:t>
      </w:r>
      <w:r w:rsidRPr="00D2753A">
        <w:rPr>
          <w:rFonts w:ascii="Book Antiqua" w:eastAsia="Book Antiqua" w:hAnsi="Book Antiqua" w:cs="Book Antiqua"/>
          <w:lang w:val="pt-BR"/>
        </w:rPr>
        <w:t>https://www.wjgnet.com/2307-8960/full/v9/i</w:t>
      </w:r>
      <w:r>
        <w:rPr>
          <w:rFonts w:ascii="Book Antiqua" w:eastAsia="Book Antiqua" w:hAnsi="Book Antiqua" w:cs="Book Antiqua"/>
          <w:lang w:val="pt-BR"/>
        </w:rPr>
        <w:t>21</w:t>
      </w:r>
      <w:r w:rsidRPr="00D2753A">
        <w:rPr>
          <w:rFonts w:ascii="Book Antiqua" w:eastAsia="Book Antiqua" w:hAnsi="Book Antiqua" w:cs="Book Antiqua"/>
          <w:lang w:val="pt-BR"/>
        </w:rPr>
        <w:t>/</w:t>
      </w:r>
      <w:r w:rsidR="0068135A" w:rsidRPr="000C0B2D">
        <w:rPr>
          <w:rFonts w:ascii="Book Antiqua" w:eastAsia="Book Antiqua" w:hAnsi="Book Antiqua" w:cs="Book Antiqua"/>
          <w:lang w:val="pt-BR"/>
        </w:rPr>
        <w:t>5948</w:t>
      </w:r>
      <w:r w:rsidRPr="00D2753A">
        <w:rPr>
          <w:rFonts w:ascii="Book Antiqua" w:eastAsia="Book Antiqua" w:hAnsi="Book Antiqua" w:cs="Book Antiqua"/>
          <w:lang w:val="pt-BR"/>
        </w:rPr>
        <w:t>.htm</w:t>
      </w:r>
      <w:r>
        <w:rPr>
          <w:rFonts w:ascii="Book Antiqua" w:eastAsia="Book Antiqua" w:hAnsi="Book Antiqua" w:cs="Book Antiqua"/>
          <w:lang w:val="pt-BR"/>
        </w:rPr>
        <w:t xml:space="preserve"> </w:t>
      </w:r>
    </w:p>
    <w:p w14:paraId="34D0CB67" w14:textId="5C7D8163" w:rsidR="00A77B3E" w:rsidRPr="0051388A" w:rsidRDefault="0051388A" w:rsidP="0051388A">
      <w:pPr>
        <w:adjustRightInd w:val="0"/>
        <w:snapToGrid w:val="0"/>
        <w:spacing w:line="360" w:lineRule="auto"/>
        <w:rPr>
          <w:rFonts w:ascii="Book Antiqua" w:hAnsi="Book Antiqua" w:cs="Book Antiqua"/>
          <w:lang w:val="pt-BR"/>
        </w:rPr>
      </w:pPr>
      <w:r w:rsidRPr="0068135A">
        <w:rPr>
          <w:rFonts w:ascii="Book Antiqua" w:eastAsia="Book Antiqua" w:hAnsi="Book Antiqua" w:cs="Book Antiqua"/>
          <w:b/>
          <w:lang w:val="pt-BR"/>
        </w:rPr>
        <w:t xml:space="preserve">DOI: </w:t>
      </w:r>
      <w:bookmarkStart w:id="13" w:name="OLE_LINK73"/>
      <w:r w:rsidRPr="00D2753A">
        <w:rPr>
          <w:rFonts w:ascii="Book Antiqua" w:eastAsia="Book Antiqua" w:hAnsi="Book Antiqua" w:cs="Book Antiqua"/>
          <w:lang w:val="pt-BR"/>
        </w:rPr>
        <w:t>https://dx.doi.org/10.12998/wjcc.v9.i</w:t>
      </w:r>
      <w:r>
        <w:rPr>
          <w:rFonts w:ascii="Book Antiqua" w:eastAsia="Book Antiqua" w:hAnsi="Book Antiqua" w:cs="Book Antiqua"/>
          <w:lang w:val="pt-BR"/>
        </w:rPr>
        <w:t>21</w:t>
      </w:r>
      <w:r w:rsidRPr="00D2753A">
        <w:rPr>
          <w:rFonts w:ascii="Book Antiqua" w:eastAsia="Book Antiqua" w:hAnsi="Book Antiqua" w:cs="Book Antiqua"/>
          <w:lang w:val="pt-BR"/>
        </w:rPr>
        <w:t>.</w:t>
      </w:r>
      <w:bookmarkEnd w:id="8"/>
      <w:r w:rsidR="0068135A" w:rsidRPr="000C0B2D">
        <w:rPr>
          <w:rFonts w:ascii="Book Antiqua" w:eastAsia="Book Antiqua" w:hAnsi="Book Antiqua" w:cs="Book Antiqua"/>
          <w:lang w:val="pt-BR"/>
        </w:rPr>
        <w:t>5948</w:t>
      </w:r>
      <w:bookmarkEnd w:id="13"/>
    </w:p>
    <w:p w14:paraId="49180FE6" w14:textId="3A537ABE" w:rsidR="00A77B3E" w:rsidRDefault="00900C61">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This case report describes a patient with an incidentally detected focal liver lesion (FLL) in a routine computerized tomography (CT) scan preformed for an unrelated issue. After further investigation of the FLL, the CT scans gave a conclusion of hepatic </w:t>
      </w:r>
      <w:r w:rsidR="00AB754B">
        <w:rPr>
          <w:rFonts w:ascii="Book Antiqua" w:eastAsia="Book Antiqua" w:hAnsi="Book Antiqua" w:cs="Book Antiqua"/>
          <w:color w:val="000000"/>
        </w:rPr>
        <w:t>hemangioma</w:t>
      </w:r>
      <w:r>
        <w:rPr>
          <w:rFonts w:ascii="Book Antiqua" w:eastAsia="Book Antiqua" w:hAnsi="Book Antiqua" w:cs="Book Antiqua"/>
          <w:color w:val="000000"/>
        </w:rPr>
        <w:t xml:space="preserve"> and couldn’t exclude neoplastic, while the magnetic resonance imaging scans diagnosed the lesion as small hepatocellular carcinoma, thus contrast-enhanced ultrasound (CEUS) was preformed to accurately diagnose the lesion which initially gave us a possible diagnosis of a benign idiopathic lesion, and observation over time required for a final diagnosis. In the 1, 3, 6 and 12</w:t>
      </w:r>
      <w:r w:rsidR="00A012F1">
        <w:rPr>
          <w:rFonts w:ascii="Book Antiqua" w:eastAsia="Book Antiqua" w:hAnsi="Book Antiqua" w:cs="Book Antiqua"/>
          <w:color w:val="000000"/>
        </w:rPr>
        <w:t xml:space="preserve"> </w:t>
      </w:r>
      <w:r>
        <w:rPr>
          <w:rFonts w:ascii="Book Antiqua" w:eastAsia="Book Antiqua" w:hAnsi="Book Antiqua" w:cs="Book Antiqua"/>
          <w:color w:val="000000"/>
        </w:rPr>
        <w:t xml:space="preserve">mo post-discharge follow up, the lesion spontaneously disappeared, and no final diagnosis was acquired as to what FLL might be. CEUS is very useful at diagnosing FLL but still has its limitations. </w:t>
      </w:r>
    </w:p>
    <w:p w14:paraId="3B26D075" w14:textId="5DB84535" w:rsidR="002E153D" w:rsidRDefault="002E153D">
      <w:pPr>
        <w:spacing w:line="360" w:lineRule="auto"/>
        <w:jc w:val="both"/>
      </w:pPr>
      <w:r>
        <w:br w:type="page"/>
      </w:r>
    </w:p>
    <w:p w14:paraId="5B17F38A" w14:textId="77777777" w:rsidR="00A77B3E" w:rsidRDefault="00900C61">
      <w:pPr>
        <w:spacing w:line="360" w:lineRule="auto"/>
        <w:jc w:val="both"/>
      </w:pPr>
      <w:r>
        <w:rPr>
          <w:rFonts w:ascii="Book Antiqua" w:eastAsia="Book Antiqua" w:hAnsi="Book Antiqua" w:cs="Book Antiqua"/>
          <w:b/>
          <w:caps/>
          <w:color w:val="000000"/>
          <w:u w:val="single"/>
        </w:rPr>
        <w:t>INTRODUCTION</w:t>
      </w:r>
    </w:p>
    <w:p w14:paraId="40E6E992" w14:textId="086F6D52" w:rsidR="00A77B3E" w:rsidRDefault="00900C61">
      <w:pPr>
        <w:spacing w:line="360" w:lineRule="auto"/>
        <w:jc w:val="both"/>
      </w:pPr>
      <w:r>
        <w:rPr>
          <w:rFonts w:ascii="Book Antiqua" w:eastAsia="Book Antiqua" w:hAnsi="Book Antiqua" w:cs="Book Antiqua"/>
          <w:color w:val="000000"/>
        </w:rPr>
        <w:t>Due to its feasibility, low cost and ease of accessibility, ultrasound</w:t>
      </w:r>
      <w:r w:rsidR="0087513C">
        <w:rPr>
          <w:rFonts w:ascii="Book Antiqua" w:eastAsia="Book Antiqua" w:hAnsi="Book Antiqua" w:cs="Book Antiqua"/>
          <w:color w:val="000000"/>
        </w:rPr>
        <w:t xml:space="preserve"> </w:t>
      </w:r>
      <w:r>
        <w:rPr>
          <w:rFonts w:ascii="Book Antiqua" w:eastAsia="Book Antiqua" w:hAnsi="Book Antiqua" w:cs="Book Antiqua"/>
          <w:color w:val="000000"/>
        </w:rPr>
        <w:t>became one of the most popular imaging methods</w:t>
      </w:r>
      <w:r w:rsidRPr="00ED011D">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Pr>
          <w:rFonts w:ascii="Book Antiqua" w:eastAsia="Book Antiqua" w:hAnsi="Book Antiqua" w:cs="Book Antiqua"/>
          <w:caps/>
          <w:color w:val="000000"/>
        </w:rPr>
        <w:t>f</w:t>
      </w:r>
      <w:r>
        <w:rPr>
          <w:rFonts w:ascii="Book Antiqua" w:eastAsia="Book Antiqua" w:hAnsi="Book Antiqua" w:cs="Book Antiqua"/>
          <w:color w:val="000000"/>
        </w:rPr>
        <w:t>ocal liver lesions (FLLs) are often discovered incidentally due to the large number of abdominal ultrasounds performed on a daily basis</w:t>
      </w:r>
      <w:r w:rsidRPr="00ED011D">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Although ultrasound is a sensitive method for visualization, it still exhibits low specificity in terms of characterization</w:t>
      </w:r>
      <w:r w:rsidRPr="00ED011D">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Taking hepatocellular carcinoma as an example, the sensitivity ultrasound for diagnosis is only 46%</w:t>
      </w:r>
      <w:r w:rsidRPr="00ED011D">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r>
        <w:rPr>
          <w:rFonts w:ascii="Book Antiqua" w:eastAsia="Book Antiqua" w:hAnsi="Book Antiqua" w:cs="Book Antiqua"/>
          <w:caps/>
          <w:color w:val="000000"/>
        </w:rPr>
        <w:t>c</w:t>
      </w:r>
      <w:r>
        <w:rPr>
          <w:rFonts w:ascii="Book Antiqua" w:eastAsia="Book Antiqua" w:hAnsi="Book Antiqua" w:cs="Book Antiqua"/>
          <w:color w:val="000000"/>
        </w:rPr>
        <w:t xml:space="preserve">ontrast-enhanced </w:t>
      </w:r>
      <w:r w:rsidR="0087513C">
        <w:rPr>
          <w:rFonts w:ascii="Book Antiqua" w:eastAsia="Book Antiqua" w:hAnsi="Book Antiqua" w:cs="Book Antiqua"/>
          <w:color w:val="000000"/>
        </w:rPr>
        <w:t xml:space="preserve">ultrasound </w:t>
      </w:r>
      <w:r>
        <w:rPr>
          <w:rFonts w:ascii="Book Antiqua" w:eastAsia="Book Antiqua" w:hAnsi="Book Antiqua" w:cs="Book Antiqua"/>
          <w:color w:val="000000"/>
        </w:rPr>
        <w:t>(CEUS) can acquire real-time and dynamic imaging changes in different phases after an intravenous injection of microbubble contrast agent (MBCA). According to published studies, CEUS can be performed immediately after ultrasound and is safe with side effects being uncommon</w:t>
      </w:r>
      <w:r w:rsidRPr="00ED011D">
        <w:rPr>
          <w:rFonts w:ascii="Book Antiqua" w:eastAsia="Book Antiqua" w:hAnsi="Book Antiqua" w:cs="Book Antiqua"/>
          <w:color w:val="000000"/>
          <w:szCs w:val="30"/>
          <w:vertAlign w:val="superscript"/>
        </w:rPr>
        <w:t>[5,6]</w:t>
      </w:r>
      <w:r w:rsidRPr="00501657">
        <w:rPr>
          <w:rFonts w:ascii="Book Antiqua" w:eastAsia="Book Antiqua" w:hAnsi="Book Antiqua" w:cs="Book Antiqua"/>
          <w:color w:val="000000"/>
        </w:rPr>
        <w:t>.</w:t>
      </w:r>
      <w:r>
        <w:rPr>
          <w:rFonts w:ascii="Book Antiqua" w:eastAsia="Book Antiqua" w:hAnsi="Book Antiqua" w:cs="Book Antiqua"/>
          <w:color w:val="000000"/>
        </w:rPr>
        <w:t xml:space="preserve"> Compared to computerized tomography (CT) and magnetic resonance imaging (MRI), CEUS does not use ionizing radiation as with CT, and its contrast agent has no renal toxicity, making it more important in the diagnosis of various diseases.</w:t>
      </w:r>
    </w:p>
    <w:p w14:paraId="759B6A37" w14:textId="2F9897AD" w:rsidR="00A77B3E" w:rsidRDefault="00900C61">
      <w:pPr>
        <w:spacing w:line="360" w:lineRule="auto"/>
        <w:ind w:firstLine="480"/>
        <w:jc w:val="both"/>
      </w:pPr>
      <w:r>
        <w:rPr>
          <w:rFonts w:ascii="Book Antiqua" w:eastAsia="Book Antiqua" w:hAnsi="Book Antiqua" w:cs="Book Antiqua"/>
          <w:color w:val="000000"/>
        </w:rPr>
        <w:t>We report a case of the so-called “incidentalomas” (incidentally discovered lesions in asymptomatic subjects). However, in this case, CT and MRI came to contradictory conclusions, so we opted for CEUS to ensure a correct diagnosis, and then the lesion disappeared spontaneously.</w:t>
      </w:r>
    </w:p>
    <w:p w14:paraId="6646BA90" w14:textId="77777777" w:rsidR="00A77B3E" w:rsidRDefault="00A77B3E" w:rsidP="0087513C">
      <w:pPr>
        <w:spacing w:line="360" w:lineRule="auto"/>
        <w:jc w:val="both"/>
      </w:pPr>
    </w:p>
    <w:p w14:paraId="42700672" w14:textId="77777777" w:rsidR="00A77B3E" w:rsidRDefault="00900C61">
      <w:pPr>
        <w:spacing w:line="360" w:lineRule="auto"/>
        <w:jc w:val="both"/>
      </w:pPr>
      <w:r>
        <w:rPr>
          <w:rFonts w:ascii="Book Antiqua" w:eastAsia="Book Antiqua" w:hAnsi="Book Antiqua" w:cs="Book Antiqua"/>
          <w:b/>
          <w:caps/>
          <w:color w:val="000000"/>
          <w:u w:val="single"/>
        </w:rPr>
        <w:t>CASE PRESENTATION</w:t>
      </w:r>
    </w:p>
    <w:p w14:paraId="5EB41EFA" w14:textId="77777777" w:rsidR="00A77B3E" w:rsidRDefault="00900C61">
      <w:pPr>
        <w:spacing w:line="360" w:lineRule="auto"/>
        <w:jc w:val="both"/>
      </w:pPr>
      <w:r>
        <w:rPr>
          <w:rFonts w:ascii="Book Antiqua" w:eastAsia="Book Antiqua" w:hAnsi="Book Antiqua" w:cs="Book Antiqua"/>
          <w:b/>
          <w:i/>
          <w:color w:val="000000"/>
        </w:rPr>
        <w:t>Chief complaints</w:t>
      </w:r>
    </w:p>
    <w:p w14:paraId="3F153550" w14:textId="77777777" w:rsidR="00A77B3E" w:rsidRDefault="00900C61">
      <w:pPr>
        <w:spacing w:line="360" w:lineRule="auto"/>
        <w:jc w:val="both"/>
      </w:pPr>
      <w:r>
        <w:rPr>
          <w:rFonts w:ascii="Book Antiqua" w:eastAsia="Book Antiqua" w:hAnsi="Book Antiqua" w:cs="Book Antiqua"/>
          <w:color w:val="000000"/>
        </w:rPr>
        <w:t>A 46-year-old male patient was admitted by gastroenterology department for having tarry stools in the past 5 d. A CT scan was suggested to find the source of his hematochezia during which a lesion was discovered in the liver and thus the patient was transferred to the hepatobiliary surgical department to investigate the incidentally found lesion while concurrently being treated for his hematochezia by the gastroenterology department.</w:t>
      </w:r>
    </w:p>
    <w:p w14:paraId="2BAB0565" w14:textId="77777777" w:rsidR="00A77B3E" w:rsidRDefault="00A77B3E">
      <w:pPr>
        <w:spacing w:line="360" w:lineRule="auto"/>
        <w:jc w:val="both"/>
      </w:pPr>
    </w:p>
    <w:p w14:paraId="5AFACA88" w14:textId="77777777" w:rsidR="00A77B3E" w:rsidRDefault="00900C61">
      <w:pPr>
        <w:spacing w:line="360" w:lineRule="auto"/>
        <w:jc w:val="both"/>
      </w:pPr>
      <w:r>
        <w:rPr>
          <w:rFonts w:ascii="Book Antiqua" w:eastAsia="Book Antiqua" w:hAnsi="Book Antiqua" w:cs="Book Antiqua"/>
          <w:b/>
          <w:i/>
          <w:color w:val="000000"/>
        </w:rPr>
        <w:t>History of present illness</w:t>
      </w:r>
    </w:p>
    <w:p w14:paraId="6238B140" w14:textId="77777777" w:rsidR="00A77B3E" w:rsidRDefault="00900C61">
      <w:pPr>
        <w:spacing w:line="360" w:lineRule="auto"/>
        <w:jc w:val="both"/>
      </w:pPr>
      <w:r>
        <w:rPr>
          <w:rFonts w:ascii="Book Antiqua" w:eastAsia="Book Antiqua" w:hAnsi="Book Antiqua" w:cs="Book Antiqua"/>
          <w:color w:val="000000"/>
        </w:rPr>
        <w:t>Patient’s symptoms started about 2 d prior to admission with regards to the hematochezia and had no previous history with regards to the lesion.</w:t>
      </w:r>
    </w:p>
    <w:p w14:paraId="33F4C908" w14:textId="77777777" w:rsidR="00A77B3E" w:rsidRDefault="00A77B3E">
      <w:pPr>
        <w:spacing w:line="360" w:lineRule="auto"/>
        <w:jc w:val="both"/>
      </w:pPr>
    </w:p>
    <w:p w14:paraId="50D0F725" w14:textId="77777777" w:rsidR="00A77B3E" w:rsidRDefault="00900C61">
      <w:pPr>
        <w:spacing w:line="360" w:lineRule="auto"/>
        <w:jc w:val="both"/>
      </w:pPr>
      <w:r>
        <w:rPr>
          <w:rFonts w:ascii="Book Antiqua" w:eastAsia="Book Antiqua" w:hAnsi="Book Antiqua" w:cs="Book Antiqua"/>
          <w:b/>
          <w:i/>
          <w:color w:val="000000"/>
        </w:rPr>
        <w:t>History of past illness</w:t>
      </w:r>
    </w:p>
    <w:p w14:paraId="7BA62BF7" w14:textId="77777777" w:rsidR="00A77B3E" w:rsidRDefault="00900C61">
      <w:pPr>
        <w:spacing w:line="360" w:lineRule="auto"/>
        <w:jc w:val="both"/>
      </w:pPr>
      <w:r>
        <w:rPr>
          <w:rFonts w:ascii="Book Antiqua" w:eastAsia="Book Antiqua" w:hAnsi="Book Antiqua" w:cs="Book Antiqua"/>
          <w:color w:val="000000"/>
        </w:rPr>
        <w:t xml:space="preserve">Patient denied any history of chronic cirrhotic liver disease. </w:t>
      </w:r>
    </w:p>
    <w:p w14:paraId="30F1A7A8" w14:textId="77777777" w:rsidR="00A77B3E" w:rsidRPr="00900C61" w:rsidRDefault="00A77B3E">
      <w:pPr>
        <w:spacing w:line="360" w:lineRule="auto"/>
        <w:jc w:val="both"/>
        <w:rPr>
          <w:lang w:eastAsia="zh-CN"/>
        </w:rPr>
      </w:pPr>
    </w:p>
    <w:p w14:paraId="41B99480" w14:textId="77777777" w:rsidR="00A77B3E" w:rsidRDefault="00900C61">
      <w:pPr>
        <w:spacing w:line="360" w:lineRule="auto"/>
        <w:jc w:val="both"/>
      </w:pPr>
      <w:r>
        <w:rPr>
          <w:rFonts w:ascii="Book Antiqua" w:eastAsia="Book Antiqua" w:hAnsi="Book Antiqua" w:cs="Book Antiqua"/>
          <w:b/>
          <w:i/>
          <w:color w:val="000000"/>
        </w:rPr>
        <w:t>Physical examination</w:t>
      </w:r>
    </w:p>
    <w:p w14:paraId="0782BC62" w14:textId="77777777" w:rsidR="00A77B3E" w:rsidRDefault="00900C61">
      <w:pPr>
        <w:spacing w:line="360" w:lineRule="auto"/>
        <w:jc w:val="both"/>
      </w:pPr>
      <w:r>
        <w:rPr>
          <w:rFonts w:ascii="Book Antiqua" w:eastAsia="Book Antiqua" w:hAnsi="Book Antiqua" w:cs="Book Antiqua"/>
          <w:color w:val="000000"/>
        </w:rPr>
        <w:t xml:space="preserve">The patient showed no tenderness, rebound tenderness or muscle tension on abdominal palpation. His liver and spleen were not enlarged, no vessel murmur and normal bowel sounds were found during auscultation, and superficial lymph nodes were not palpable. </w:t>
      </w:r>
    </w:p>
    <w:p w14:paraId="3D81B2D3" w14:textId="77777777" w:rsidR="00A77B3E" w:rsidRDefault="00A77B3E">
      <w:pPr>
        <w:spacing w:line="360" w:lineRule="auto"/>
        <w:jc w:val="both"/>
      </w:pPr>
    </w:p>
    <w:p w14:paraId="33B61D79" w14:textId="77777777" w:rsidR="00A77B3E" w:rsidRDefault="00900C61">
      <w:pPr>
        <w:spacing w:line="360" w:lineRule="auto"/>
        <w:jc w:val="both"/>
      </w:pPr>
      <w:r>
        <w:rPr>
          <w:rFonts w:ascii="Book Antiqua" w:eastAsia="Book Antiqua" w:hAnsi="Book Antiqua" w:cs="Book Antiqua"/>
          <w:b/>
          <w:i/>
          <w:color w:val="000000"/>
        </w:rPr>
        <w:t>Laboratory examinations</w:t>
      </w:r>
    </w:p>
    <w:p w14:paraId="6C95761C" w14:textId="7EA4F83A" w:rsidR="00A77B3E" w:rsidRDefault="00900C61">
      <w:pPr>
        <w:spacing w:line="360" w:lineRule="auto"/>
        <w:jc w:val="both"/>
      </w:pPr>
      <w:r>
        <w:rPr>
          <w:rFonts w:ascii="Book Antiqua" w:eastAsia="Book Antiqua" w:hAnsi="Book Antiqua" w:cs="Book Antiqua"/>
          <w:color w:val="000000"/>
        </w:rPr>
        <w:t xml:space="preserve">Routine blood test showed a decrease in </w:t>
      </w:r>
      <w:r w:rsidR="0087513C">
        <w:rPr>
          <w:rFonts w:ascii="Book Antiqua" w:eastAsia="Book Antiqua" w:hAnsi="Book Antiqua" w:cs="Book Antiqua"/>
          <w:color w:val="000000"/>
        </w:rPr>
        <w:t>r</w:t>
      </w:r>
      <w:r>
        <w:rPr>
          <w:rFonts w:ascii="Book Antiqua" w:eastAsia="Book Antiqua" w:hAnsi="Book Antiqua" w:cs="Book Antiqua"/>
          <w:color w:val="000000"/>
        </w:rPr>
        <w:t>ed blood cell (RBC) (2.52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normal range</w:t>
      </w:r>
      <w:r w:rsidR="006E29B1">
        <w:rPr>
          <w:rFonts w:ascii="Book Antiqua" w:eastAsia="Book Antiqua" w:hAnsi="Book Antiqua" w:cs="Book Antiqua"/>
          <w:color w:val="000000"/>
        </w:rPr>
        <w:t>:</w:t>
      </w:r>
      <w:r>
        <w:rPr>
          <w:rFonts w:ascii="Book Antiqua" w:eastAsia="Book Antiqua" w:hAnsi="Book Antiqua" w:cs="Book Antiqua"/>
          <w:color w:val="000000"/>
        </w:rPr>
        <w:t xml:space="preserve"> 4.3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r w:rsidR="00397F7E">
        <w:rPr>
          <w:rFonts w:ascii="Book Antiqua" w:eastAsia="Book Antiqua" w:hAnsi="Book Antiqua" w:cs="Book Antiqua"/>
          <w:color w:val="000000"/>
        </w:rPr>
        <w:t>-</w:t>
      </w:r>
      <w:r>
        <w:rPr>
          <w:rFonts w:ascii="Book Antiqua" w:eastAsia="Book Antiqua" w:hAnsi="Book Antiqua" w:cs="Book Antiqua"/>
          <w:color w:val="000000"/>
        </w:rPr>
        <w:t>5.8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and </w:t>
      </w:r>
      <w:r w:rsidR="0087513C">
        <w:rPr>
          <w:rFonts w:ascii="Book Antiqua" w:eastAsia="Book Antiqua" w:hAnsi="Book Antiqua" w:cs="Book Antiqua"/>
          <w:color w:val="000000"/>
        </w:rPr>
        <w:t>h</w:t>
      </w:r>
      <w:r>
        <w:rPr>
          <w:rFonts w:ascii="Book Antiqua" w:eastAsia="Book Antiqua" w:hAnsi="Book Antiqua" w:cs="Book Antiqua"/>
          <w:color w:val="000000"/>
        </w:rPr>
        <w:t>emoglobin (Hb) (75.0 g/L, normal range</w:t>
      </w:r>
      <w:r w:rsidR="006E29B1">
        <w:rPr>
          <w:rFonts w:ascii="Book Antiqua" w:eastAsia="Book Antiqua" w:hAnsi="Book Antiqua" w:cs="Book Antiqua"/>
          <w:color w:val="000000"/>
        </w:rPr>
        <w:t>:</w:t>
      </w:r>
      <w:r>
        <w:rPr>
          <w:rFonts w:ascii="Book Antiqua" w:eastAsia="Book Antiqua" w:hAnsi="Book Antiqua" w:cs="Book Antiqua"/>
          <w:color w:val="000000"/>
        </w:rPr>
        <w:t xml:space="preserve"> 130</w:t>
      </w:r>
      <w:r w:rsidR="00397F7E">
        <w:rPr>
          <w:rFonts w:ascii="Book Antiqua" w:eastAsia="Book Antiqua" w:hAnsi="Book Antiqua" w:cs="Book Antiqua"/>
          <w:color w:val="000000"/>
        </w:rPr>
        <w:t>-</w:t>
      </w:r>
      <w:r>
        <w:rPr>
          <w:rFonts w:ascii="Book Antiqua" w:eastAsia="Book Antiqua" w:hAnsi="Book Antiqua" w:cs="Book Antiqua"/>
          <w:color w:val="000000"/>
        </w:rPr>
        <w:t xml:space="preserve">175 g/L) and </w:t>
      </w:r>
      <w:r w:rsidR="0087513C">
        <w:rPr>
          <w:rFonts w:ascii="Book Antiqua" w:eastAsia="Book Antiqua" w:hAnsi="Book Antiqua" w:cs="Book Antiqua"/>
          <w:color w:val="000000"/>
        </w:rPr>
        <w:t>h</w:t>
      </w:r>
      <w:r>
        <w:rPr>
          <w:rFonts w:ascii="Book Antiqua" w:eastAsia="Book Antiqua" w:hAnsi="Book Antiqua" w:cs="Book Antiqua"/>
          <w:color w:val="000000"/>
        </w:rPr>
        <w:t>ematocrit (Hct) (22.8%, normal range</w:t>
      </w:r>
      <w:r w:rsidR="006E29B1">
        <w:rPr>
          <w:rFonts w:ascii="Book Antiqua" w:eastAsia="Book Antiqua" w:hAnsi="Book Antiqua" w:cs="Book Antiqua"/>
          <w:color w:val="000000"/>
        </w:rPr>
        <w:t>:</w:t>
      </w:r>
      <w:r>
        <w:rPr>
          <w:rFonts w:ascii="Book Antiqua" w:eastAsia="Book Antiqua" w:hAnsi="Book Antiqua" w:cs="Book Antiqua"/>
          <w:color w:val="000000"/>
        </w:rPr>
        <w:t xml:space="preserve"> 40%</w:t>
      </w:r>
      <w:r w:rsidR="00397F7E">
        <w:rPr>
          <w:rFonts w:ascii="Book Antiqua" w:eastAsia="Book Antiqua" w:hAnsi="Book Antiqua" w:cs="Book Antiqua"/>
          <w:color w:val="000000"/>
        </w:rPr>
        <w:t>-</w:t>
      </w:r>
      <w:r>
        <w:rPr>
          <w:rFonts w:ascii="Book Antiqua" w:eastAsia="Book Antiqua" w:hAnsi="Book Antiqua" w:cs="Book Antiqua"/>
          <w:color w:val="000000"/>
        </w:rPr>
        <w:t>50%).</w:t>
      </w:r>
    </w:p>
    <w:p w14:paraId="3CE0F121" w14:textId="19D3C12F" w:rsidR="00A77B3E" w:rsidRDefault="00900C61">
      <w:pPr>
        <w:spacing w:line="360" w:lineRule="auto"/>
        <w:ind w:firstLine="480"/>
        <w:jc w:val="both"/>
      </w:pPr>
      <w:r>
        <w:rPr>
          <w:rFonts w:ascii="Book Antiqua" w:eastAsia="Book Antiqua" w:hAnsi="Book Antiqua" w:cs="Book Antiqua"/>
          <w:color w:val="000000"/>
        </w:rPr>
        <w:t>Liver function tests revealed that the total protein levels (59 g/L, normal range</w:t>
      </w:r>
      <w:r w:rsidR="006E29B1">
        <w:rPr>
          <w:rFonts w:ascii="Book Antiqua" w:eastAsia="Book Antiqua" w:hAnsi="Book Antiqua" w:cs="Book Antiqua"/>
          <w:color w:val="000000"/>
        </w:rPr>
        <w:t>:</w:t>
      </w:r>
      <w:r>
        <w:rPr>
          <w:rFonts w:ascii="Book Antiqua" w:eastAsia="Book Antiqua" w:hAnsi="Book Antiqua" w:cs="Book Antiqua"/>
          <w:color w:val="000000"/>
        </w:rPr>
        <w:t xml:space="preserve"> 60</w:t>
      </w:r>
      <w:r w:rsidR="00397F7E">
        <w:rPr>
          <w:rFonts w:ascii="Book Antiqua" w:eastAsia="Book Antiqua" w:hAnsi="Book Antiqua" w:cs="Book Antiqua"/>
          <w:color w:val="000000"/>
        </w:rPr>
        <w:t>-</w:t>
      </w:r>
      <w:r>
        <w:rPr>
          <w:rFonts w:ascii="Book Antiqua" w:eastAsia="Book Antiqua" w:hAnsi="Book Antiqua" w:cs="Book Antiqua"/>
          <w:color w:val="000000"/>
        </w:rPr>
        <w:t xml:space="preserve">83 g/L), albumin 40 g/L were slightly lower considered related to his gastrointestinal bleeding, and </w:t>
      </w:r>
      <w:r w:rsidR="0087513C">
        <w:rPr>
          <w:rFonts w:ascii="Book Antiqua" w:eastAsia="Book Antiqua" w:hAnsi="Book Antiqua" w:cs="Book Antiqua"/>
          <w:color w:val="000000"/>
        </w:rPr>
        <w:t>a</w:t>
      </w:r>
      <w:r>
        <w:rPr>
          <w:rFonts w:ascii="Book Antiqua" w:eastAsia="Book Antiqua" w:hAnsi="Book Antiqua" w:cs="Book Antiqua"/>
          <w:color w:val="000000"/>
        </w:rPr>
        <w:t xml:space="preserve">lanine aminotransferase (ALT) and </w:t>
      </w:r>
      <w:r w:rsidR="0087513C">
        <w:rPr>
          <w:rFonts w:ascii="Book Antiqua" w:eastAsia="Book Antiqua" w:hAnsi="Book Antiqua" w:cs="Book Antiqua"/>
          <w:color w:val="000000"/>
        </w:rPr>
        <w:t>a</w:t>
      </w:r>
      <w:r>
        <w:rPr>
          <w:rFonts w:ascii="Book Antiqua" w:eastAsia="Book Antiqua" w:hAnsi="Book Antiqua" w:cs="Book Antiqua"/>
          <w:color w:val="000000"/>
        </w:rPr>
        <w:t>spartate aminotransferase (AST) is within normal range.</w:t>
      </w:r>
    </w:p>
    <w:p w14:paraId="1C8F5AA1" w14:textId="77777777" w:rsidR="00A77B3E" w:rsidRDefault="00A77B3E" w:rsidP="0087513C">
      <w:pPr>
        <w:spacing w:line="360" w:lineRule="auto"/>
        <w:jc w:val="both"/>
      </w:pPr>
    </w:p>
    <w:p w14:paraId="42948B95" w14:textId="77777777" w:rsidR="00A77B3E" w:rsidRDefault="00900C61">
      <w:pPr>
        <w:spacing w:line="360" w:lineRule="auto"/>
        <w:jc w:val="both"/>
      </w:pPr>
      <w:r>
        <w:rPr>
          <w:rFonts w:ascii="Book Antiqua" w:eastAsia="Book Antiqua" w:hAnsi="Book Antiqua" w:cs="Book Antiqua"/>
          <w:b/>
          <w:i/>
          <w:color w:val="000000"/>
        </w:rPr>
        <w:t>Imaging examinations</w:t>
      </w:r>
    </w:p>
    <w:p w14:paraId="57BBBCB4" w14:textId="2DED4909" w:rsidR="00A77B3E" w:rsidRDefault="00900C61">
      <w:pPr>
        <w:spacing w:line="360" w:lineRule="auto"/>
        <w:jc w:val="both"/>
      </w:pPr>
      <w:r>
        <w:rPr>
          <w:rFonts w:ascii="Book Antiqua" w:eastAsia="Book Antiqua" w:hAnsi="Book Antiqua" w:cs="Book Antiqua"/>
          <w:color w:val="000000"/>
        </w:rPr>
        <w:t>Upper-abdomen CT images (Figure 1) revealed a homogeneous mass without enhancement, enhanced CT showed a hypodense lesion in the right lobe of the liver, in the arterial phase, a well-defined mass was observed in the portal venous phase, and the isodense lesion was observed in the delayed phase, the radiologists considered it was a hepatic hemangioma however couldn’t exclude neoplastic lesion, so further MRI was recommended. MRI Imaging prior to contrast enhancement: started with successive acquisition of localizer T2-weighted (3 planes), T2-weighted and diffusion-weighted images. For the contrast-enhanced scans, the system automatically issues breath-hold commands and adheres to typical delays between the different phases. After simultaneous initiation of contrast injection and imaging countdown, arterial, portal-venous and delayed phase imaging will be performed automatically with predefined pauses (15-25, 25-60 and 60-120</w:t>
      </w:r>
      <w:r w:rsidR="00BD05A2">
        <w:rPr>
          <w:rFonts w:ascii="Book Antiqua" w:eastAsia="Book Antiqua" w:hAnsi="Book Antiqua" w:cs="Book Antiqua"/>
          <w:color w:val="000000"/>
        </w:rPr>
        <w:t xml:space="preserve"> sec</w:t>
      </w:r>
      <w:r>
        <w:rPr>
          <w:rFonts w:ascii="Book Antiqua" w:eastAsia="Book Antiqua" w:hAnsi="Book Antiqua" w:cs="Book Antiqua"/>
          <w:color w:val="000000"/>
        </w:rPr>
        <w:t xml:space="preserve"> respectively). Approximately 15 min after contrast injection, the hepatobiliary phase scans including T1-weighted images (in both coronal and axial orientation) started Primovist (Bayer Healthcare) was used as contrast agent. MRI (Figure 2), the lesion displayed iso T1 and long T2 signals, with slight enhancement in the arterial phase, wash-out in portal phase, and restriction in diffusion-weighted sequences. However, radiologists concluded that it might be a small hepatocellular carcinoma and also could not rule out an atypical hemangioma, which was completely opposite to what the CT scan suggested. </w:t>
      </w:r>
    </w:p>
    <w:p w14:paraId="58431C9B" w14:textId="649A7A4B" w:rsidR="00A77B3E" w:rsidRDefault="00900C61">
      <w:pPr>
        <w:spacing w:line="360" w:lineRule="auto"/>
        <w:ind w:firstLine="240"/>
        <w:jc w:val="both"/>
      </w:pPr>
      <w:r>
        <w:rPr>
          <w:rFonts w:ascii="Book Antiqua" w:eastAsia="Book Antiqua" w:hAnsi="Book Antiqua" w:cs="Book Antiqua"/>
          <w:color w:val="000000"/>
        </w:rPr>
        <w:t xml:space="preserve">As differentiation of this lesion was important, we performed CEUS. We used B-mode </w:t>
      </w:r>
      <w:r w:rsidR="0087513C">
        <w:rPr>
          <w:rFonts w:ascii="Book Antiqua" w:eastAsia="Book Antiqua" w:hAnsi="Book Antiqua" w:cs="Book Antiqua"/>
          <w:color w:val="000000"/>
        </w:rPr>
        <w:t>ultrasound</w:t>
      </w:r>
      <w:r>
        <w:rPr>
          <w:rFonts w:ascii="Book Antiqua" w:eastAsia="Book Antiqua" w:hAnsi="Book Antiqua" w:cs="Book Antiqua"/>
          <w:color w:val="000000"/>
        </w:rPr>
        <w:t xml:space="preserve"> to localize the 1.1 cm </w:t>
      </w:r>
      <w:r w:rsidR="0087513C" w:rsidRPr="0087513C">
        <w:rPr>
          <w:rFonts w:ascii="Book Antiqua" w:eastAsia="Book Antiqua" w:hAnsi="Book Antiqua"/>
          <w:color w:val="000000"/>
        </w:rPr>
        <w:t>×</w:t>
      </w:r>
      <w:r>
        <w:rPr>
          <w:rFonts w:ascii="Book Antiqua" w:eastAsia="Book Antiqua" w:hAnsi="Book Antiqua" w:cs="Book Antiqua"/>
          <w:color w:val="000000"/>
        </w:rPr>
        <w:t xml:space="preserve"> 0.8 cm hypoechoic nodule with a clear boundary in the right anterior segment of liver and then MBCA, SonoVue (Bracco, Italy), was injected subsequently to reveal more characteristics. The parameters used were as follows</w:t>
      </w:r>
      <w:r w:rsidR="0087513C">
        <w:rPr>
          <w:rFonts w:ascii="Book Antiqua" w:eastAsia="Book Antiqua" w:hAnsi="Book Antiqua" w:cs="Book Antiqua"/>
          <w:color w:val="000000"/>
        </w:rPr>
        <w:t xml:space="preserve"> f</w:t>
      </w:r>
      <w:r>
        <w:rPr>
          <w:rFonts w:ascii="Book Antiqua" w:eastAsia="Book Antiqua" w:hAnsi="Book Antiqua" w:cs="Book Antiqua"/>
          <w:color w:val="000000"/>
        </w:rPr>
        <w:t>rame rate: 8 H</w:t>
      </w:r>
      <w:r w:rsidR="0087513C">
        <w:rPr>
          <w:rFonts w:ascii="Book Antiqua" w:eastAsia="Book Antiqua" w:hAnsi="Book Antiqua" w:cs="Book Antiqua"/>
          <w:color w:val="000000"/>
        </w:rPr>
        <w:t>z</w:t>
      </w:r>
      <w:r>
        <w:rPr>
          <w:rFonts w:ascii="Book Antiqua" w:eastAsia="Book Antiqua" w:hAnsi="Book Antiqua" w:cs="Book Antiqua"/>
          <w:color w:val="000000"/>
        </w:rPr>
        <w:t xml:space="preserve">; MI: 1.1; </w:t>
      </w:r>
      <w:r w:rsidR="0087513C">
        <w:rPr>
          <w:rFonts w:ascii="Book Antiqua" w:eastAsia="Book Antiqua" w:hAnsi="Book Antiqua" w:cs="Book Antiqua"/>
          <w:color w:val="000000"/>
        </w:rPr>
        <w:t>c</w:t>
      </w:r>
      <w:r>
        <w:rPr>
          <w:rFonts w:ascii="Book Antiqua" w:eastAsia="Book Antiqua" w:hAnsi="Book Antiqua" w:cs="Book Antiqua"/>
          <w:color w:val="000000"/>
        </w:rPr>
        <w:t xml:space="preserve">olor gain: 54%; </w:t>
      </w:r>
      <w:r w:rsidR="0087513C">
        <w:rPr>
          <w:rFonts w:ascii="Book Antiqua" w:eastAsia="Book Antiqua" w:hAnsi="Book Antiqua" w:cs="Book Antiqua"/>
          <w:color w:val="000000"/>
        </w:rPr>
        <w:t>c</w:t>
      </w:r>
      <w:r>
        <w:rPr>
          <w:rFonts w:ascii="Book Antiqua" w:eastAsia="Book Antiqua" w:hAnsi="Book Antiqua" w:cs="Book Antiqua"/>
          <w:color w:val="000000"/>
        </w:rPr>
        <w:t xml:space="preserve">olor scale 7.7; </w:t>
      </w:r>
      <w:r w:rsidR="0087513C">
        <w:rPr>
          <w:rFonts w:ascii="Book Antiqua" w:eastAsia="Book Antiqua" w:hAnsi="Book Antiqua" w:cs="Book Antiqua"/>
          <w:color w:val="000000"/>
        </w:rPr>
        <w:t>w</w:t>
      </w:r>
      <w:r>
        <w:rPr>
          <w:rFonts w:ascii="Book Antiqua" w:eastAsia="Book Antiqua" w:hAnsi="Book Antiqua" w:cs="Book Antiqua"/>
          <w:color w:val="000000"/>
        </w:rPr>
        <w:t>all filter: 85 H</w:t>
      </w:r>
      <w:r w:rsidR="0087513C">
        <w:rPr>
          <w:rFonts w:ascii="Book Antiqua" w:eastAsia="Book Antiqua" w:hAnsi="Book Antiqua" w:cs="Book Antiqua"/>
          <w:color w:val="000000"/>
        </w:rPr>
        <w:t>z</w:t>
      </w:r>
      <w:r>
        <w:rPr>
          <w:rFonts w:ascii="Book Antiqua" w:eastAsia="Book Antiqua" w:hAnsi="Book Antiqua" w:cs="Book Antiqua"/>
          <w:color w:val="000000"/>
        </w:rPr>
        <w:t xml:space="preserve">. However, we did not see any MBCA filling during the dynamic real-time observation of arterial, portal and delayed phase (Figure 3). </w:t>
      </w:r>
    </w:p>
    <w:p w14:paraId="21AD50A2" w14:textId="77777777" w:rsidR="00A77B3E" w:rsidRDefault="00A77B3E">
      <w:pPr>
        <w:spacing w:line="360" w:lineRule="auto"/>
        <w:ind w:firstLine="240"/>
        <w:jc w:val="both"/>
      </w:pPr>
    </w:p>
    <w:p w14:paraId="10FB2707" w14:textId="77777777" w:rsidR="00A77B3E" w:rsidRDefault="00900C61">
      <w:pPr>
        <w:spacing w:line="360" w:lineRule="auto"/>
        <w:jc w:val="both"/>
      </w:pPr>
      <w:r>
        <w:rPr>
          <w:rFonts w:ascii="Book Antiqua" w:eastAsia="Book Antiqua" w:hAnsi="Book Antiqua" w:cs="Book Antiqua"/>
          <w:b/>
          <w:caps/>
          <w:color w:val="000000"/>
          <w:u w:val="single"/>
        </w:rPr>
        <w:t>FINAL DIAGNOSIS</w:t>
      </w:r>
    </w:p>
    <w:p w14:paraId="0E14F8A9" w14:textId="77777777" w:rsidR="00A77B3E" w:rsidRDefault="00900C61">
      <w:pPr>
        <w:spacing w:line="360" w:lineRule="auto"/>
        <w:jc w:val="both"/>
      </w:pPr>
      <w:r>
        <w:rPr>
          <w:rFonts w:ascii="Book Antiqua" w:eastAsia="Book Antiqua" w:hAnsi="Book Antiqua" w:cs="Book Antiqua"/>
          <w:color w:val="000000"/>
        </w:rPr>
        <w:t>Given the above-mentioned facts, the above lesion was deemed benign and the lesion was thought initially to be an idiopathic FLL, with further observations over time required for a final diagnosis.</w:t>
      </w:r>
    </w:p>
    <w:p w14:paraId="559418F3" w14:textId="77777777" w:rsidR="00A77B3E" w:rsidRDefault="00A77B3E">
      <w:pPr>
        <w:spacing w:line="360" w:lineRule="auto"/>
        <w:jc w:val="both"/>
      </w:pPr>
    </w:p>
    <w:p w14:paraId="2D8E0CE7" w14:textId="77777777" w:rsidR="00A77B3E" w:rsidRDefault="00900C61">
      <w:pPr>
        <w:spacing w:line="360" w:lineRule="auto"/>
        <w:jc w:val="both"/>
      </w:pPr>
      <w:r>
        <w:rPr>
          <w:rFonts w:ascii="Book Antiqua" w:eastAsia="Book Antiqua" w:hAnsi="Book Antiqua" w:cs="Book Antiqua"/>
          <w:b/>
          <w:caps/>
          <w:color w:val="000000"/>
          <w:u w:val="single"/>
        </w:rPr>
        <w:t>TREATMENT</w:t>
      </w:r>
    </w:p>
    <w:p w14:paraId="3D91BF9A" w14:textId="20C3CBF4" w:rsidR="00A77B3E" w:rsidRDefault="00900C61">
      <w:pPr>
        <w:spacing w:line="360" w:lineRule="auto"/>
        <w:jc w:val="both"/>
      </w:pPr>
      <w:r>
        <w:rPr>
          <w:rFonts w:ascii="Book Antiqua" w:eastAsia="Book Antiqua" w:hAnsi="Book Antiqua" w:cs="Book Antiqua"/>
          <w:color w:val="000000"/>
        </w:rPr>
        <w:t>The lesion was be observed over time and have the patient do an outpatient follow-up at regular intervals (1</w:t>
      </w:r>
      <w:r w:rsidR="0087513C">
        <w:rPr>
          <w:rFonts w:ascii="Book Antiqua" w:eastAsia="Book Antiqua" w:hAnsi="Book Antiqua" w:cs="Book Antiqua"/>
          <w:color w:val="000000"/>
        </w:rPr>
        <w:t>-</w:t>
      </w:r>
      <w:r>
        <w:rPr>
          <w:rFonts w:ascii="Book Antiqua" w:eastAsia="Book Antiqua" w:hAnsi="Book Antiqua" w:cs="Book Antiqua"/>
          <w:color w:val="000000"/>
        </w:rPr>
        <w:t>, 3</w:t>
      </w:r>
      <w:r w:rsidR="0087513C">
        <w:rPr>
          <w:rFonts w:ascii="Book Antiqua" w:eastAsia="Book Antiqua" w:hAnsi="Book Antiqua" w:cs="Book Antiqua"/>
          <w:color w:val="000000"/>
        </w:rPr>
        <w:t>-</w:t>
      </w:r>
      <w:r>
        <w:rPr>
          <w:rFonts w:ascii="Book Antiqua" w:eastAsia="Book Antiqua" w:hAnsi="Book Antiqua" w:cs="Book Antiqua"/>
          <w:color w:val="000000"/>
        </w:rPr>
        <w:t>, 6</w:t>
      </w:r>
      <w:r w:rsidR="0087513C">
        <w:rPr>
          <w:rFonts w:ascii="Book Antiqua" w:eastAsia="Book Antiqua" w:hAnsi="Book Antiqua" w:cs="Book Antiqua"/>
          <w:color w:val="000000"/>
        </w:rPr>
        <w:t>-</w:t>
      </w:r>
      <w:r>
        <w:rPr>
          <w:rFonts w:ascii="Book Antiqua" w:eastAsia="Book Antiqua" w:hAnsi="Book Antiqua" w:cs="Book Antiqua"/>
          <w:color w:val="000000"/>
        </w:rPr>
        <w:t xml:space="preserve"> and 12-mo post-discharge) by CT scan and B mode </w:t>
      </w:r>
      <w:r w:rsidR="0087513C">
        <w:rPr>
          <w:rFonts w:ascii="Book Antiqua" w:eastAsia="Book Antiqua" w:hAnsi="Book Antiqua" w:cs="Book Antiqua"/>
          <w:color w:val="000000"/>
        </w:rPr>
        <w:t>ultrasound</w:t>
      </w:r>
      <w:r>
        <w:rPr>
          <w:rFonts w:ascii="Book Antiqua" w:eastAsia="Book Antiqua" w:hAnsi="Book Antiqua" w:cs="Book Antiqua"/>
          <w:color w:val="000000"/>
        </w:rPr>
        <w:t xml:space="preserve">. </w:t>
      </w:r>
    </w:p>
    <w:p w14:paraId="1B704DF1" w14:textId="77777777" w:rsidR="00A77B3E" w:rsidRDefault="00A77B3E">
      <w:pPr>
        <w:spacing w:line="360" w:lineRule="auto"/>
        <w:jc w:val="both"/>
      </w:pPr>
    </w:p>
    <w:p w14:paraId="3E6AC59B" w14:textId="77777777" w:rsidR="00A77B3E" w:rsidRDefault="00900C61">
      <w:pPr>
        <w:spacing w:line="360" w:lineRule="auto"/>
        <w:jc w:val="both"/>
      </w:pPr>
      <w:r>
        <w:rPr>
          <w:rFonts w:ascii="Book Antiqua" w:eastAsia="Book Antiqua" w:hAnsi="Book Antiqua" w:cs="Book Antiqua"/>
          <w:b/>
          <w:caps/>
          <w:color w:val="000000"/>
          <w:u w:val="single"/>
        </w:rPr>
        <w:t>OUTCOME AND FOLLOW-UP</w:t>
      </w:r>
    </w:p>
    <w:p w14:paraId="212BA7D9" w14:textId="77777777" w:rsidR="00A77B3E" w:rsidRDefault="00900C61">
      <w:pPr>
        <w:spacing w:line="360" w:lineRule="auto"/>
        <w:jc w:val="both"/>
      </w:pPr>
      <w:r>
        <w:rPr>
          <w:rFonts w:ascii="Book Antiqua" w:eastAsia="Book Antiqua" w:hAnsi="Book Antiqua" w:cs="Book Antiqua"/>
          <w:color w:val="000000"/>
        </w:rPr>
        <w:t>Surprisingly, at the first follow-up visit, no signs of any lesion in the previously mentioned liver segment were detected, even after a doublechecking using color duplex ultrasound, as well as in the next four follow-ups, thus leaving us with a lack of some sort of conclusive final diagnosis on specifically what type of lesion it was.</w:t>
      </w:r>
    </w:p>
    <w:p w14:paraId="22D2EFD3" w14:textId="77777777" w:rsidR="00A77B3E" w:rsidRDefault="00A77B3E">
      <w:pPr>
        <w:spacing w:line="360" w:lineRule="auto"/>
        <w:jc w:val="both"/>
      </w:pPr>
    </w:p>
    <w:p w14:paraId="114729C7" w14:textId="77777777" w:rsidR="00A77B3E" w:rsidRDefault="00900C61">
      <w:pPr>
        <w:spacing w:line="360" w:lineRule="auto"/>
        <w:jc w:val="both"/>
      </w:pPr>
      <w:r>
        <w:rPr>
          <w:rFonts w:ascii="Book Antiqua" w:eastAsia="Book Antiqua" w:hAnsi="Book Antiqua" w:cs="Book Antiqua"/>
          <w:b/>
          <w:caps/>
          <w:color w:val="000000"/>
          <w:u w:val="single"/>
        </w:rPr>
        <w:t>DISCUSSION</w:t>
      </w:r>
    </w:p>
    <w:p w14:paraId="721A6CA4" w14:textId="07203B53" w:rsidR="00A77B3E" w:rsidRDefault="00900C61">
      <w:pPr>
        <w:spacing w:line="360" w:lineRule="auto"/>
        <w:jc w:val="both"/>
      </w:pPr>
      <w:r>
        <w:rPr>
          <w:rFonts w:ascii="Book Antiqua" w:eastAsia="Book Antiqua" w:hAnsi="Book Antiqua" w:cs="Book Antiqua"/>
          <w:color w:val="000000"/>
        </w:rPr>
        <w:t>For many years, CT and MRI have been used to further assess lesions, but since the first use of MBCA in an ultrasound examination approximately 20 years ago, CEUS has become an important tool in imaging diagnosis. MBCA mainly has two main components a gas core (an air chamber making up the majority of particle volume) and a shell (a barrier between the gas and its surroundings, usually made of either proteins, lipids or polymers)</w:t>
      </w:r>
      <w:r w:rsidRPr="00ED011D">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MBCA is not an extra-cellular agent, this is due to the bubble size, which allows them to flow easily in the circulation as well as in the microcirculation. After injection and the intensity of the applied acoustic due to their compressibility they undergo volumetric oscillation and thus scatter much more energy thus enabling the observation of microcirculatory perfusion under ultrasound and revealing distinctive advantages in the observation of arterial phase enhancement</w:t>
      </w:r>
      <w:r w:rsidRPr="00ED011D">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MBCA is metabolized by the liver and the rest is excreted </w:t>
      </w:r>
      <w:r>
        <w:rPr>
          <w:rFonts w:ascii="Book Antiqua" w:eastAsia="Book Antiqua" w:hAnsi="Book Antiqua" w:cs="Book Antiqua"/>
          <w:i/>
          <w:iCs/>
          <w:color w:val="000000"/>
        </w:rPr>
        <w:t>via</w:t>
      </w:r>
      <w:r>
        <w:rPr>
          <w:rFonts w:ascii="Book Antiqua" w:eastAsia="Book Antiqua" w:hAnsi="Book Antiqua" w:cs="Book Antiqua"/>
          <w:color w:val="000000"/>
        </w:rPr>
        <w:t xml:space="preserve"> respiration within 15 min, and as it shows no renal toxicity, CEUS is favorable to patients with renal insufficiency. At the same time, MBCA remains completely intravascular, so CEUS can objectively reflect the actual blood supply to the tissues under examination and allowing CEUS to provide a real-time dynamic observation instead of scheduled periods compared to the presetting scans of CT, MRI.</w:t>
      </w:r>
    </w:p>
    <w:p w14:paraId="7AC6B600" w14:textId="0D39151E" w:rsidR="00A77B3E" w:rsidRDefault="00900C61">
      <w:pPr>
        <w:spacing w:line="360" w:lineRule="auto"/>
        <w:ind w:firstLine="240"/>
        <w:jc w:val="both"/>
      </w:pPr>
      <w:r>
        <w:rPr>
          <w:rFonts w:ascii="Book Antiqua" w:eastAsia="Book Antiqua" w:hAnsi="Book Antiqua" w:cs="Book Antiqua"/>
          <w:color w:val="000000"/>
        </w:rPr>
        <w:t>FLLs are often found in routine inspections, and although most FLLs are benign lesions, the priority of CEUS is to distinguish between benign and malignant lesions. CEUS distinguishes between malignant and benign FLLs by analyzing the arterial, portal-venous, and late phases</w:t>
      </w:r>
      <w:r w:rsidRPr="00ED011D">
        <w:rPr>
          <w:rFonts w:ascii="Book Antiqua" w:eastAsia="Book Antiqua" w:hAnsi="Book Antiqua" w:cs="Book Antiqua"/>
          <w:color w:val="000000"/>
          <w:szCs w:val="30"/>
          <w:vertAlign w:val="superscript"/>
        </w:rPr>
        <w:t>[6]</w:t>
      </w:r>
      <w:r w:rsidRPr="00501657">
        <w:rPr>
          <w:rFonts w:ascii="Book Antiqua" w:eastAsia="Book Antiqua" w:hAnsi="Book Antiqua" w:cs="Book Antiqua"/>
          <w:color w:val="000000"/>
        </w:rPr>
        <w:t>.</w:t>
      </w:r>
      <w:r>
        <w:rPr>
          <w:rFonts w:ascii="Book Antiqua" w:eastAsia="Book Antiqua" w:hAnsi="Book Antiqua" w:cs="Book Antiqua"/>
          <w:color w:val="000000"/>
        </w:rPr>
        <w:t xml:space="preserve"> A multicenter trial reported that the accuracy of CEUS for differentiating between benign and malignant FLLs is not inferior to using CT or MRI</w:t>
      </w:r>
      <w:r w:rsidRPr="00ED011D">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In a CEUS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w:t>
      </w:r>
      <w:r w:rsidR="0087513C">
        <w:rPr>
          <w:rFonts w:ascii="Book Antiqua" w:eastAsia="Book Antiqua" w:hAnsi="Book Antiqua" w:cs="Book Antiqua"/>
          <w:color w:val="000000"/>
        </w:rPr>
        <w:t>ultrasound</w:t>
      </w:r>
      <w:r>
        <w:rPr>
          <w:rFonts w:ascii="Book Antiqua" w:eastAsia="Book Antiqua" w:hAnsi="Book Antiqua" w:cs="Book Antiqua"/>
          <w:color w:val="000000"/>
        </w:rPr>
        <w:t>, a study investigated the ability of radiologists in correctly reading and differentiating lesions, the total number of correctly characterized lesions after CEUS increased from 62% to 98% for reader 1 and from 56% to 96% for reader 2</w:t>
      </w:r>
      <w:r w:rsidRPr="00ED011D">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a published study, non-contrast </w:t>
      </w:r>
      <w:r w:rsidR="0087513C">
        <w:rPr>
          <w:rFonts w:ascii="Book Antiqua" w:eastAsia="Book Antiqua" w:hAnsi="Book Antiqua" w:cs="Book Antiqua"/>
          <w:color w:val="000000"/>
        </w:rPr>
        <w:t>ultrasound</w:t>
      </w:r>
      <w:r>
        <w:rPr>
          <w:rFonts w:ascii="Book Antiqua" w:eastAsia="Book Antiqua" w:hAnsi="Book Antiqua" w:cs="Book Antiqua"/>
          <w:color w:val="000000"/>
        </w:rPr>
        <w:t xml:space="preserve"> was shown to be correct in differentiating the lesion 87.5%</w:t>
      </w:r>
      <w:r w:rsidR="00051F71">
        <w:rPr>
          <w:rFonts w:ascii="Book Antiqua" w:eastAsia="Book Antiqua" w:hAnsi="Book Antiqua" w:cs="Book Antiqua"/>
          <w:color w:val="000000"/>
        </w:rPr>
        <w:t xml:space="preserve"> of the time</w:t>
      </w:r>
      <w:r>
        <w:rPr>
          <w:rFonts w:ascii="Book Antiqua" w:eastAsia="Book Antiqua" w:hAnsi="Book Antiqua" w:cs="Book Antiqua"/>
          <w:color w:val="000000"/>
        </w:rPr>
        <w:t>. After CEUS, correct differential diagnosis between benign and malignant rose to 95%</w:t>
      </w:r>
      <w:r w:rsidRPr="00ED011D">
        <w:rPr>
          <w:rFonts w:ascii="Book Antiqua" w:eastAsia="Book Antiqua" w:hAnsi="Book Antiqua" w:cs="Book Antiqua"/>
          <w:color w:val="000000"/>
          <w:szCs w:val="30"/>
          <w:vertAlign w:val="superscript"/>
        </w:rPr>
        <w:t>[12]</w:t>
      </w:r>
      <w:r w:rsidRPr="00501657">
        <w:rPr>
          <w:rFonts w:ascii="Book Antiqua" w:eastAsia="Book Antiqua" w:hAnsi="Book Antiqua" w:cs="Book Antiqua"/>
          <w:color w:val="000000"/>
        </w:rPr>
        <w:t>.</w:t>
      </w:r>
      <w:r>
        <w:rPr>
          <w:rFonts w:ascii="Book Antiqua" w:eastAsia="Book Antiqua" w:hAnsi="Book Antiqua" w:cs="Book Antiqua"/>
          <w:color w:val="000000"/>
        </w:rPr>
        <w:t xml:space="preserve"> </w:t>
      </w:r>
    </w:p>
    <w:p w14:paraId="344129E4" w14:textId="77777777" w:rsidR="00A77B3E" w:rsidRDefault="00900C61">
      <w:pPr>
        <w:spacing w:line="360" w:lineRule="auto"/>
        <w:ind w:firstLine="240"/>
        <w:jc w:val="both"/>
      </w:pPr>
      <w:r>
        <w:rPr>
          <w:rFonts w:ascii="Book Antiqua" w:eastAsia="Book Antiqua" w:hAnsi="Book Antiqua" w:cs="Book Antiqua"/>
          <w:color w:val="000000"/>
        </w:rPr>
        <w:t>CEUS is recommended for characterization of FLLs in the non-cirrhotic liver according to the WFUMB guidelines in characterization of FLL in the non-cirrhotic liver, if both CT and MRI are contraindicated</w:t>
      </w:r>
      <w:r w:rsidRPr="00ED011D">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And with regards to our case, CT and MRI presented us an inconclusive diagnosis. The patient also denied a history of chronic cirrhotic liver disease, and tumor markers screening did not reveal any abnormalities. Therefore, CEUS became the optimal option, considering the risk of bleeding and implantation metastasis of tumor if a biopsy was to be performed. CEUS provided a real-time dynamic display of MBCA in three continuous phases, and we did not observe any MBCA filled with hypoechoic areas throughout, thus leading us to the conclusion that the lesion is benign. However, in the first follow-up after discharge, no lesions were found in the previously aforementioned area, and here show the limitations of CEUS, as in our case it did not characterize it furtherly. It is well documented that there are malignant FLLs and pseudolesions, that mimic benign lesions, such as Cystic Liver Metastases and Metastases with Delayed Phase Enhancement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Thus a definite diagnosis and classification of the lesion should be the goal. CEUS allows us to distinguish malignant lesions from benign ones. However even though in our case this was correct, further diagnostics should have been prescribed to characterize the lesion, and differentiate it from other pseudolesions.</w:t>
      </w:r>
    </w:p>
    <w:p w14:paraId="42F0EE76" w14:textId="77777777" w:rsidR="00A77B3E" w:rsidRDefault="00A77B3E">
      <w:pPr>
        <w:spacing w:line="360" w:lineRule="auto"/>
        <w:ind w:firstLine="240"/>
        <w:jc w:val="both"/>
      </w:pPr>
    </w:p>
    <w:p w14:paraId="2FF90E84" w14:textId="77777777" w:rsidR="00A77B3E" w:rsidRDefault="00900C61">
      <w:pPr>
        <w:spacing w:line="360" w:lineRule="auto"/>
        <w:jc w:val="both"/>
      </w:pPr>
      <w:r>
        <w:rPr>
          <w:rFonts w:ascii="Book Antiqua" w:eastAsia="Book Antiqua" w:hAnsi="Book Antiqua" w:cs="Book Antiqua"/>
          <w:b/>
          <w:caps/>
          <w:color w:val="000000"/>
          <w:u w:val="single"/>
        </w:rPr>
        <w:t>CONCLUSION</w:t>
      </w:r>
    </w:p>
    <w:p w14:paraId="00AEBC24" w14:textId="7C3E7683" w:rsidR="00A77B3E" w:rsidRDefault="00900C61">
      <w:pPr>
        <w:spacing w:line="360" w:lineRule="auto"/>
        <w:jc w:val="both"/>
      </w:pPr>
      <w:r>
        <w:rPr>
          <w:rFonts w:ascii="Book Antiqua" w:eastAsia="Book Antiqua" w:hAnsi="Book Antiqua" w:cs="Book Antiqua"/>
          <w:color w:val="000000"/>
        </w:rPr>
        <w:t xml:space="preserve">Even though CEUS was honored as the next major technical innovation after Doppler ultrasonography, it still not without its limitations. We still do not know how or why the lesion disappeared and can only hypothesize that it was a pseudolesion. CEUS has improved the detection and classification of FLLs into benign or malignant, and we can conclude that at least it is suitable for immediate assessment of FLLs found incidentally, especially in inconclusive cases, such as ours, but a more comprehensive means of diagnosis is a must and should be always performed, as diagnosis of the FLL is very crucial to the patient’s outcome, and adding CEUS to our arsenal of diagnostic mediums is </w:t>
      </w:r>
      <w:r w:rsidR="00051F71">
        <w:rPr>
          <w:rFonts w:ascii="Book Antiqua" w:eastAsia="Book Antiqua" w:hAnsi="Book Antiqua" w:cs="Book Antiqua"/>
          <w:color w:val="000000"/>
        </w:rPr>
        <w:t xml:space="preserve">a </w:t>
      </w:r>
      <w:r>
        <w:rPr>
          <w:rFonts w:ascii="Book Antiqua" w:eastAsia="Book Antiqua" w:hAnsi="Book Antiqua" w:cs="Book Antiqua"/>
          <w:color w:val="000000"/>
        </w:rPr>
        <w:t>welcome thought.</w:t>
      </w:r>
    </w:p>
    <w:p w14:paraId="4A7470EB" w14:textId="77777777" w:rsidR="00A77B3E" w:rsidRDefault="00A77B3E">
      <w:pPr>
        <w:spacing w:line="360" w:lineRule="auto"/>
        <w:jc w:val="both"/>
      </w:pPr>
    </w:p>
    <w:p w14:paraId="701CB7EB" w14:textId="77777777" w:rsidR="00A77B3E" w:rsidRDefault="00900C61">
      <w:pPr>
        <w:spacing w:line="360" w:lineRule="auto"/>
        <w:jc w:val="both"/>
      </w:pPr>
      <w:r>
        <w:rPr>
          <w:rFonts w:ascii="Book Antiqua" w:eastAsia="Book Antiqua" w:hAnsi="Book Antiqua" w:cs="Book Antiqua"/>
          <w:b/>
          <w:caps/>
          <w:color w:val="000000"/>
          <w:u w:val="single"/>
        </w:rPr>
        <w:t>ACKNOWLEDGEMENTS</w:t>
      </w:r>
    </w:p>
    <w:p w14:paraId="18C8A1CB" w14:textId="77777777" w:rsidR="00A77B3E" w:rsidRDefault="00900C61">
      <w:pPr>
        <w:spacing w:line="360" w:lineRule="auto"/>
        <w:jc w:val="both"/>
      </w:pPr>
      <w:r>
        <w:rPr>
          <w:rFonts w:ascii="Book Antiqua" w:eastAsia="Book Antiqua" w:hAnsi="Book Antiqua" w:cs="Book Antiqua"/>
          <w:color w:val="000000"/>
        </w:rPr>
        <w:t>The authors thank the Department of Radiology of Second Affiliated Hospital of Chongqing Medical University for offering the images of computerized tomography, magnetic resonance imaging and contrast-enhanced ultrasound.</w:t>
      </w:r>
    </w:p>
    <w:p w14:paraId="63F3A01E" w14:textId="1046E7A1" w:rsidR="002E153D" w:rsidRDefault="002E153D">
      <w:pPr>
        <w:spacing w:line="360" w:lineRule="auto"/>
        <w:jc w:val="both"/>
      </w:pPr>
      <w:r>
        <w:br w:type="page"/>
      </w:r>
    </w:p>
    <w:p w14:paraId="145281A8" w14:textId="77777777" w:rsidR="00A77B3E" w:rsidRDefault="00900C61">
      <w:pPr>
        <w:spacing w:line="360" w:lineRule="auto"/>
        <w:jc w:val="both"/>
      </w:pPr>
      <w:r>
        <w:rPr>
          <w:rFonts w:ascii="Book Antiqua" w:eastAsia="Book Antiqua" w:hAnsi="Book Antiqua" w:cs="Book Antiqua"/>
          <w:b/>
          <w:color w:val="000000"/>
        </w:rPr>
        <w:t>REFERENCES</w:t>
      </w:r>
    </w:p>
    <w:p w14:paraId="3C44CCF1" w14:textId="77777777" w:rsidR="00A77B3E" w:rsidRDefault="00900C6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Cantisani V</w:t>
      </w:r>
      <w:r>
        <w:rPr>
          <w:rFonts w:ascii="Book Antiqua" w:eastAsia="Book Antiqua" w:hAnsi="Book Antiqua" w:cs="Book Antiqua"/>
          <w:color w:val="000000"/>
        </w:rPr>
        <w:t xml:space="preserve">, Wilson SR. CEUS: Where are we in 2015? </w:t>
      </w:r>
      <w:r>
        <w:rPr>
          <w:rFonts w:ascii="Book Antiqua" w:eastAsia="Book Antiqua" w:hAnsi="Book Antiqua" w:cs="Book Antiqua"/>
          <w:i/>
          <w:iCs/>
          <w:color w:val="000000"/>
        </w:rPr>
        <w:t>Eur J Radiol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84</w:t>
      </w:r>
      <w:r>
        <w:rPr>
          <w:rFonts w:ascii="Book Antiqua" w:eastAsia="Book Antiqua" w:hAnsi="Book Antiqua" w:cs="Book Antiqua"/>
          <w:color w:val="000000"/>
        </w:rPr>
        <w:t>: 1621-1622 [PMID: 26093473 DOI: 10.1016/j.ejrad.2015.05.028]</w:t>
      </w:r>
    </w:p>
    <w:p w14:paraId="36771B42" w14:textId="77777777" w:rsidR="00A77B3E" w:rsidRDefault="00900C6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D'Onofrio M</w:t>
      </w:r>
      <w:r>
        <w:rPr>
          <w:rFonts w:ascii="Book Antiqua" w:eastAsia="Book Antiqua" w:hAnsi="Book Antiqua" w:cs="Book Antiqua"/>
          <w:color w:val="000000"/>
        </w:rPr>
        <w:t xml:space="preserve">, Crosara S, De Robertis R, Canestrini S, Mucelli RP. Contrast-Enhanced Ultrasound of Focal Liver Lesions.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205</w:t>
      </w:r>
      <w:r>
        <w:rPr>
          <w:rFonts w:ascii="Book Antiqua" w:eastAsia="Book Antiqua" w:hAnsi="Book Antiqua" w:cs="Book Antiqua"/>
          <w:color w:val="000000"/>
        </w:rPr>
        <w:t>: W56-W66 [PMID: 26102419 DOI: 10.2214/AJR.14.14203]</w:t>
      </w:r>
    </w:p>
    <w:p w14:paraId="125D876D" w14:textId="77777777" w:rsidR="00A77B3E" w:rsidRDefault="00900C6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Strobel D</w:t>
      </w:r>
      <w:r>
        <w:rPr>
          <w:rFonts w:ascii="Book Antiqua" w:eastAsia="Book Antiqua" w:hAnsi="Book Antiqua" w:cs="Book Antiqua"/>
          <w:color w:val="000000"/>
        </w:rPr>
        <w:t xml:space="preserve">, Seitz K, Blank W, Schuler A, Dietrich C, von Herbay A, Friedrich-Rust M, Kunze G, Becker D, Will U, Kratzer W, Albert FW, Pachmann C, Dirks K, Strunk H, Greis C, Bernatik T. Contrast-enhanced ultrasound for the characterization of focal liver lesions--diagnostic accuracy in clinical practice (DEGUM multicenter trial). </w:t>
      </w:r>
      <w:r>
        <w:rPr>
          <w:rFonts w:ascii="Book Antiqua" w:eastAsia="Book Antiqua" w:hAnsi="Book Antiqua" w:cs="Book Antiqua"/>
          <w:i/>
          <w:iCs/>
          <w:color w:val="000000"/>
        </w:rPr>
        <w:t>Ultraschall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499-505 [PMID: 19241506 DOI: 10.1055/s-2008-1027806]</w:t>
      </w:r>
    </w:p>
    <w:p w14:paraId="292108E9" w14:textId="77777777" w:rsidR="00A77B3E" w:rsidRDefault="00900C6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Yu NC</w:t>
      </w:r>
      <w:r>
        <w:rPr>
          <w:rFonts w:ascii="Book Antiqua" w:eastAsia="Book Antiqua" w:hAnsi="Book Antiqua" w:cs="Book Antiqua"/>
          <w:color w:val="000000"/>
        </w:rPr>
        <w:t xml:space="preserve">, Chaudhari V, Raman SS, Lassman C, Tong MJ, Busuttil RW, Lu DS. CT and MRI improve detection of hepatocellular carcinoma, compared with ultrasound alone, in patients with cirrhosis.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161-167 [PMID: 20920597 DOI: 10.1016/j.cgh.2010.09.017]</w:t>
      </w:r>
    </w:p>
    <w:p w14:paraId="735FA1D7" w14:textId="77777777" w:rsidR="00A77B3E" w:rsidRDefault="00900C6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Piscaglia F</w:t>
      </w:r>
      <w:r>
        <w:rPr>
          <w:rFonts w:ascii="Book Antiqua" w:eastAsia="Book Antiqua" w:hAnsi="Book Antiqua" w:cs="Book Antiqua"/>
          <w:color w:val="000000"/>
        </w:rPr>
        <w:t xml:space="preserve">, Bolondi L; Italian Society for Ultrasound in Medicine and Biology (SIUMB) Study Group on Ultrasound Contrast Agents. The safety of Sonovue in abdominal applications: retrospective analysis of 23188 investigations.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32</w:t>
      </w:r>
      <w:r>
        <w:rPr>
          <w:rFonts w:ascii="Book Antiqua" w:eastAsia="Book Antiqua" w:hAnsi="Book Antiqua" w:cs="Book Antiqua"/>
          <w:color w:val="000000"/>
        </w:rPr>
        <w:t>: 1369-1375 [PMID: 16965977 DOI: 10.1016/j.ultrasmedbio.2006.05.031]</w:t>
      </w:r>
    </w:p>
    <w:p w14:paraId="36D0B515" w14:textId="77777777" w:rsidR="00A77B3E" w:rsidRDefault="00900C6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Claudon M</w:t>
      </w:r>
      <w:r>
        <w:rPr>
          <w:rFonts w:ascii="Book Antiqua" w:eastAsia="Book Antiqua" w:hAnsi="Book Antiqua" w:cs="Book Antiqua"/>
          <w:color w:val="000000"/>
        </w:rPr>
        <w:t xml:space="preserve">, Dietrich CF, Choi BI, Cosgrove DO, Kudo M, Nolsøe CP, Piscaglia F, Wilson SR, Barr RG, Chammas MC, Chaubal NG, Chen MH, Clevert DA, Correas JM, Ding H, Forsberg F, Fowlkes JB, Gibson RN, Goldberg BB, Lassau N, Leen EL, Mattrey RF, Moriyasu F, Solbiati L, Weskott HP, Xu HX; World Federation for Ultrasound in Medicine; European Federation of Societies for Ultrasound. Guidelines and good clinical practice recommendations for Contrast Enhanced Ultrasound (CEUS) in the liver - update 2012: A WFUMB-EFSUMB initiative in cooperation with representatives of AFSUMB, AIUM, ASUM, FLAUS and ICUS.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187-210 [PMID: 23137926 DOI: 10.1016/j.ultrasmedbio.2012.09.002]</w:t>
      </w:r>
    </w:p>
    <w:p w14:paraId="7FBFC9C1" w14:textId="77777777" w:rsidR="00A77B3E" w:rsidRDefault="00900C6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Sirsi S</w:t>
      </w:r>
      <w:r>
        <w:rPr>
          <w:rFonts w:ascii="Book Antiqua" w:eastAsia="Book Antiqua" w:hAnsi="Book Antiqua" w:cs="Book Antiqua"/>
          <w:color w:val="000000"/>
        </w:rPr>
        <w:t xml:space="preserve">, Borden M. Microbubble Compositions, Properties and Biomedical Applications. </w:t>
      </w:r>
      <w:r>
        <w:rPr>
          <w:rFonts w:ascii="Book Antiqua" w:eastAsia="Book Antiqua" w:hAnsi="Book Antiqua" w:cs="Book Antiqua"/>
          <w:i/>
          <w:iCs/>
          <w:color w:val="000000"/>
        </w:rPr>
        <w:t>Bubble Sci Eng Technol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w:t>
      </w:r>
      <w:r>
        <w:rPr>
          <w:rFonts w:ascii="Book Antiqua" w:eastAsia="Book Antiqua" w:hAnsi="Book Antiqua" w:cs="Book Antiqua"/>
          <w:color w:val="000000"/>
        </w:rPr>
        <w:t>: 3-17 [PMID: 20574549 DOI: 10.1179/175889709X446507]</w:t>
      </w:r>
    </w:p>
    <w:p w14:paraId="7BABFD3A" w14:textId="77777777" w:rsidR="00A77B3E" w:rsidRDefault="00900C6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Stride E</w:t>
      </w:r>
      <w:r>
        <w:rPr>
          <w:rFonts w:ascii="Book Antiqua" w:eastAsia="Book Antiqua" w:hAnsi="Book Antiqua" w:cs="Book Antiqua"/>
          <w:color w:val="000000"/>
        </w:rPr>
        <w:t xml:space="preserve">, Saffari N. Microbubble ultrasound contrast agents: a review. </w:t>
      </w:r>
      <w:r>
        <w:rPr>
          <w:rFonts w:ascii="Book Antiqua" w:eastAsia="Book Antiqua" w:hAnsi="Book Antiqua" w:cs="Book Antiqua"/>
          <w:i/>
          <w:iCs/>
          <w:color w:val="000000"/>
        </w:rPr>
        <w:t>Proc Inst Mech Eng H</w:t>
      </w:r>
      <w:r>
        <w:rPr>
          <w:rFonts w:ascii="Book Antiqua" w:eastAsia="Book Antiqua" w:hAnsi="Book Antiqua" w:cs="Book Antiqua"/>
          <w:color w:val="000000"/>
        </w:rPr>
        <w:t xml:space="preserve"> 2003; </w:t>
      </w:r>
      <w:r>
        <w:rPr>
          <w:rFonts w:ascii="Book Antiqua" w:eastAsia="Book Antiqua" w:hAnsi="Book Antiqua" w:cs="Book Antiqua"/>
          <w:b/>
          <w:bCs/>
          <w:color w:val="000000"/>
        </w:rPr>
        <w:t>217</w:t>
      </w:r>
      <w:r>
        <w:rPr>
          <w:rFonts w:ascii="Book Antiqua" w:eastAsia="Book Antiqua" w:hAnsi="Book Antiqua" w:cs="Book Antiqua"/>
          <w:color w:val="000000"/>
        </w:rPr>
        <w:t>: 429-447 [PMID: 14702981 DOI: 10.1243/09544110360729072]</w:t>
      </w:r>
    </w:p>
    <w:p w14:paraId="101E8DB0" w14:textId="77777777" w:rsidR="00A77B3E" w:rsidRDefault="00900C6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Seitz K</w:t>
      </w:r>
      <w:r>
        <w:rPr>
          <w:rFonts w:ascii="Book Antiqua" w:eastAsia="Book Antiqua" w:hAnsi="Book Antiqua" w:cs="Book Antiqua"/>
          <w:color w:val="000000"/>
        </w:rPr>
        <w:t xml:space="preserve">, Strobel D, Bernatik T, Blank W, Friedrich-Rust M, Herbay Av, Dietrich CF, Strunk H, Kratzer W, Schuler A. Contrast-Enhanced Ultrasound (CEUS) for the characterization of focal liver lesions - prospective comparison in clinical practice: CEUS vs. CT (DEGUM multicenter trial). Parts of this manuscript were presented at the Ultrasound Dreiländertreffen 2008, Davos. </w:t>
      </w:r>
      <w:r>
        <w:rPr>
          <w:rFonts w:ascii="Book Antiqua" w:eastAsia="Book Antiqua" w:hAnsi="Book Antiqua" w:cs="Book Antiqua"/>
          <w:i/>
          <w:iCs/>
          <w:color w:val="000000"/>
        </w:rPr>
        <w:t>Ultraschall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383-389 [PMID: 19688670 DOI: 10.1055/s-0028-1109673]</w:t>
      </w:r>
    </w:p>
    <w:p w14:paraId="7F2E56E6" w14:textId="77777777" w:rsidR="00A77B3E" w:rsidRDefault="00900C6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Seitz K</w:t>
      </w:r>
      <w:r>
        <w:rPr>
          <w:rFonts w:ascii="Book Antiqua" w:eastAsia="Book Antiqua" w:hAnsi="Book Antiqua" w:cs="Book Antiqua"/>
          <w:color w:val="000000"/>
        </w:rPr>
        <w:t xml:space="preserve">, Bernatik T, Strobel D, Blank W, Friedrich-Rust M, Strunk H, Greis C, Kratzer W, Schuler A. Contrast-enhanced ultrasound (CEUS) for the characterization of focal liver lesions in clinical practice (DEGUM Multicenter Trial): CEUS vs. MRI--a prospective comparison in 269 patients. </w:t>
      </w:r>
      <w:r>
        <w:rPr>
          <w:rFonts w:ascii="Book Antiqua" w:eastAsia="Book Antiqua" w:hAnsi="Book Antiqua" w:cs="Book Antiqua"/>
          <w:i/>
          <w:iCs/>
          <w:color w:val="000000"/>
        </w:rPr>
        <w:t>Ultraschall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492-499 [PMID: 20652854 DOI: 10.1055/s-0029-1245591]</w:t>
      </w:r>
    </w:p>
    <w:p w14:paraId="2FC8BE13" w14:textId="77777777" w:rsidR="00A77B3E" w:rsidRDefault="00900C6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Corvino A</w:t>
      </w:r>
      <w:r>
        <w:rPr>
          <w:rFonts w:ascii="Book Antiqua" w:eastAsia="Book Antiqua" w:hAnsi="Book Antiqua" w:cs="Book Antiqua"/>
          <w:color w:val="000000"/>
        </w:rPr>
        <w:t xml:space="preserve">, Catalano O, Corvino F, Sandomenico F, Petrillo A. Diagnostic Performance and Confidence of Contrast-Enhanced Ultrasound in the Differential Diagnosis of Cystic and Cysticlike Liver Lesions.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209</w:t>
      </w:r>
      <w:r>
        <w:rPr>
          <w:rFonts w:ascii="Book Antiqua" w:eastAsia="Book Antiqua" w:hAnsi="Book Antiqua" w:cs="Book Antiqua"/>
          <w:color w:val="000000"/>
        </w:rPr>
        <w:t>: W119-W127 [PMID: 28639831 DOI: 10.2214/AJR.16.17062]</w:t>
      </w:r>
    </w:p>
    <w:p w14:paraId="4330B6F1" w14:textId="77777777" w:rsidR="00A77B3E" w:rsidRDefault="00900C6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Corvino A</w:t>
      </w:r>
      <w:r>
        <w:rPr>
          <w:rFonts w:ascii="Book Antiqua" w:eastAsia="Book Antiqua" w:hAnsi="Book Antiqua" w:cs="Book Antiqua"/>
          <w:color w:val="000000"/>
        </w:rPr>
        <w:t xml:space="preserve">, Catalano O, Setola SV, Sandomenico F, Corvino F, Petrillo A. Contrast-enhanced ultrasound in the characterization of complex cystic focal liver lesions.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1301-1310 [PMID: 25666723 DOI: 10.1016/j.ultrasmedbio.2014.12.667]</w:t>
      </w:r>
    </w:p>
    <w:p w14:paraId="3EE725CD" w14:textId="77777777" w:rsidR="00A77B3E" w:rsidRDefault="00900C6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Dietrich CF</w:t>
      </w:r>
      <w:r>
        <w:rPr>
          <w:rFonts w:ascii="Book Antiqua" w:eastAsia="Book Antiqua" w:hAnsi="Book Antiqua" w:cs="Book Antiqua"/>
          <w:color w:val="000000"/>
        </w:rPr>
        <w:t xml:space="preserve">, Nolsøe CP, Barr RG, Berzigotti A, Burns PN, Cantisani V, Chammas MC, Chaubal N, Choi BI, Clevert DA, Cui X, Dong Y, D'Onofrio M, Fowlkes JB, Gilja OH, Huang P, Ignee A, Jenssen C, Kono Y, Kudo M, Lassau N, Lee WJ, Lee JY, Liang P, Lim A, Lyshchik A, Meloni MF, Correas JM, Minami Y, Moriyasu F, Nicolau C, Piscaglia F, Saftoiu A, Sidhu PS, Sporea I, Torzilli G, Xie X, Zheng R. Guidelines and Good Clinical Practice Recommendations for Contrast-Enhanced Ultrasound (CEUS) in the Liver-Update 2020 WFUMB in Cooperation with EFSUMB, AFSUMB, AIUM, and FLAUS.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2579-2604 [PMID: 32713788 DOI: 10.1016/j.ultrasmedbio.2020.04.030]</w:t>
      </w:r>
    </w:p>
    <w:p w14:paraId="44A1F2AD" w14:textId="77777777" w:rsidR="00A77B3E" w:rsidRDefault="00900C6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Elsayes KM</w:t>
      </w:r>
      <w:r>
        <w:rPr>
          <w:rFonts w:ascii="Book Antiqua" w:eastAsia="Book Antiqua" w:hAnsi="Book Antiqua" w:cs="Book Antiqua"/>
          <w:color w:val="000000"/>
        </w:rPr>
        <w:t xml:space="preserve">, Menias CO, Morshid AI, Shaaban AM, Fowler KJ, Tang A, Chernyak V, Szklaruk J, Bashir MR. Spectrum of Pitfalls, Pseudolesions, and Misdiagnoses in Noncirrhotic Liver.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211</w:t>
      </w:r>
      <w:r>
        <w:rPr>
          <w:rFonts w:ascii="Book Antiqua" w:eastAsia="Book Antiqua" w:hAnsi="Book Antiqua" w:cs="Book Antiqua"/>
          <w:color w:val="000000"/>
        </w:rPr>
        <w:t>: 97-108 [PMID: 29932762 DOI: 10.2214/AJR.18.19820]</w:t>
      </w:r>
    </w:p>
    <w:p w14:paraId="13E7C27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D1B62F6" w14:textId="77777777" w:rsidR="00A77B3E" w:rsidRDefault="00900C61">
      <w:pPr>
        <w:spacing w:line="360" w:lineRule="auto"/>
        <w:jc w:val="both"/>
      </w:pPr>
      <w:r>
        <w:rPr>
          <w:rFonts w:ascii="Book Antiqua" w:eastAsia="Book Antiqua" w:hAnsi="Book Antiqua" w:cs="Book Antiqua"/>
          <w:b/>
          <w:color w:val="000000"/>
        </w:rPr>
        <w:t>Footnotes</w:t>
      </w:r>
    </w:p>
    <w:p w14:paraId="5EB03F26" w14:textId="77777777" w:rsidR="00A77B3E" w:rsidRDefault="00900C61">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 xml:space="preserve">Written informed consent was obtained from the patient for publication of this case report and any accompanying images. </w:t>
      </w:r>
    </w:p>
    <w:p w14:paraId="2A736F18" w14:textId="77777777" w:rsidR="00A77B3E" w:rsidRDefault="00A77B3E">
      <w:pPr>
        <w:spacing w:line="360" w:lineRule="auto"/>
        <w:jc w:val="both"/>
      </w:pPr>
    </w:p>
    <w:p w14:paraId="2979C0D7" w14:textId="71AA4BFE" w:rsidR="00A77B3E" w:rsidRDefault="00900C61">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they have no conflict</w:t>
      </w:r>
      <w:r w:rsidR="00051F71">
        <w:rPr>
          <w:rFonts w:ascii="Book Antiqua" w:eastAsia="Book Antiqua" w:hAnsi="Book Antiqua" w:cs="Book Antiqua"/>
          <w:color w:val="000000"/>
        </w:rPr>
        <w:t>s</w:t>
      </w:r>
      <w:r>
        <w:rPr>
          <w:rFonts w:ascii="Book Antiqua" w:eastAsia="Book Antiqua" w:hAnsi="Book Antiqua" w:cs="Book Antiqua"/>
          <w:color w:val="000000"/>
        </w:rPr>
        <w:t xml:space="preserve"> of interest.</w:t>
      </w:r>
    </w:p>
    <w:p w14:paraId="3EE7B8C5" w14:textId="77777777" w:rsidR="00A77B3E" w:rsidRDefault="00A77B3E">
      <w:pPr>
        <w:spacing w:line="360" w:lineRule="auto"/>
        <w:jc w:val="both"/>
      </w:pPr>
    </w:p>
    <w:p w14:paraId="5AA82E0A" w14:textId="77777777" w:rsidR="00A77B3E" w:rsidRDefault="00900C61">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0FB129F" w14:textId="77777777" w:rsidR="00A77B3E" w:rsidRDefault="00A77B3E">
      <w:pPr>
        <w:spacing w:line="360" w:lineRule="auto"/>
        <w:jc w:val="both"/>
      </w:pPr>
    </w:p>
    <w:p w14:paraId="3B062133" w14:textId="77777777" w:rsidR="00A77B3E" w:rsidRDefault="00900C61">
      <w:pPr>
        <w:spacing w:line="360" w:lineRule="auto"/>
        <w:jc w:val="both"/>
      </w:pPr>
      <w:r>
        <w:rPr>
          <w:rFonts w:ascii="Book Antiqua" w:eastAsia="Book Antiqua" w:hAnsi="Book Antiqua" w:cs="Book Antiqua"/>
          <w:b/>
          <w:bCs/>
          <w:color w:val="000000"/>
        </w:rPr>
        <w:t xml:space="preserve">Open-Access: </w:t>
      </w:r>
      <w:bookmarkStart w:id="14" w:name="OLE_LINK359"/>
      <w:bookmarkStart w:id="15" w:name="OLE_LINK360"/>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bookmarkEnd w:id="15"/>
    <w:p w14:paraId="75346749" w14:textId="77777777" w:rsidR="00A77B3E" w:rsidRDefault="00A77B3E">
      <w:pPr>
        <w:spacing w:line="360" w:lineRule="auto"/>
        <w:jc w:val="both"/>
      </w:pPr>
    </w:p>
    <w:p w14:paraId="766B44F1" w14:textId="5AA37A85" w:rsidR="00A77B3E" w:rsidRDefault="00900C6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7513C">
        <w:rPr>
          <w:rFonts w:ascii="Book Antiqua" w:eastAsia="Book Antiqua" w:hAnsi="Book Antiqua" w:cs="Book Antiqua"/>
          <w:color w:val="000000"/>
        </w:rPr>
        <w:t>m</w:t>
      </w:r>
      <w:r>
        <w:rPr>
          <w:rFonts w:ascii="Book Antiqua" w:eastAsia="Book Antiqua" w:hAnsi="Book Antiqua" w:cs="Book Antiqua"/>
          <w:color w:val="000000"/>
        </w:rPr>
        <w:t>anuscript</w:t>
      </w:r>
    </w:p>
    <w:p w14:paraId="0C40C146" w14:textId="77777777" w:rsidR="00A77B3E" w:rsidRDefault="00A77B3E">
      <w:pPr>
        <w:spacing w:line="360" w:lineRule="auto"/>
        <w:jc w:val="both"/>
      </w:pPr>
    </w:p>
    <w:p w14:paraId="2B434750" w14:textId="77777777" w:rsidR="00A77B3E" w:rsidRDefault="00900C6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19, 2020</w:t>
      </w:r>
    </w:p>
    <w:p w14:paraId="4F139A55" w14:textId="77777777" w:rsidR="00A77B3E" w:rsidRDefault="00900C6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28, 2020</w:t>
      </w:r>
    </w:p>
    <w:p w14:paraId="3E1499A7" w14:textId="598F32FC" w:rsidR="00A77B3E" w:rsidRDefault="00900C61">
      <w:pPr>
        <w:spacing w:line="360" w:lineRule="auto"/>
        <w:jc w:val="both"/>
      </w:pPr>
      <w:r>
        <w:rPr>
          <w:rFonts w:ascii="Book Antiqua" w:eastAsia="Book Antiqua" w:hAnsi="Book Antiqua" w:cs="Book Antiqua"/>
          <w:b/>
          <w:color w:val="000000"/>
        </w:rPr>
        <w:t xml:space="preserve">Article in press: </w:t>
      </w:r>
      <w:r w:rsidR="00B82D81" w:rsidRPr="00B43B4E">
        <w:rPr>
          <w:rFonts w:ascii="Book Antiqua" w:eastAsia="Book Antiqua" w:hAnsi="Book Antiqua" w:cs="Book Antiqua"/>
          <w:color w:val="000000"/>
        </w:rPr>
        <w:t>April 6, 2021</w:t>
      </w:r>
    </w:p>
    <w:p w14:paraId="37576F4A" w14:textId="77777777" w:rsidR="00A77B3E" w:rsidRDefault="00A77B3E">
      <w:pPr>
        <w:spacing w:line="360" w:lineRule="auto"/>
        <w:jc w:val="both"/>
      </w:pPr>
    </w:p>
    <w:p w14:paraId="305538A2" w14:textId="77777777" w:rsidR="00A77B3E" w:rsidRDefault="00900C6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506A7505" w14:textId="77777777" w:rsidR="00A77B3E" w:rsidRDefault="00900C6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F181650" w14:textId="77777777" w:rsidR="00A77B3E" w:rsidRDefault="00900C61">
      <w:pPr>
        <w:spacing w:line="360" w:lineRule="auto"/>
        <w:jc w:val="both"/>
      </w:pPr>
      <w:r>
        <w:rPr>
          <w:rFonts w:ascii="Book Antiqua" w:eastAsia="Book Antiqua" w:hAnsi="Book Antiqua" w:cs="Book Antiqua"/>
          <w:b/>
          <w:color w:val="000000"/>
        </w:rPr>
        <w:t>Peer-review report’s scientific quality classification</w:t>
      </w:r>
    </w:p>
    <w:p w14:paraId="7A1CB833" w14:textId="77777777" w:rsidR="00A77B3E" w:rsidRDefault="00900C61">
      <w:pPr>
        <w:spacing w:line="360" w:lineRule="auto"/>
        <w:jc w:val="both"/>
      </w:pPr>
      <w:r>
        <w:rPr>
          <w:rFonts w:ascii="Book Antiqua" w:eastAsia="Book Antiqua" w:hAnsi="Book Antiqua" w:cs="Book Antiqua"/>
          <w:color w:val="000000"/>
        </w:rPr>
        <w:t>Grade A (Excellent): 0</w:t>
      </w:r>
    </w:p>
    <w:p w14:paraId="3AD3851F" w14:textId="77777777" w:rsidR="00A77B3E" w:rsidRDefault="00900C61">
      <w:pPr>
        <w:spacing w:line="360" w:lineRule="auto"/>
        <w:jc w:val="both"/>
      </w:pPr>
      <w:r>
        <w:rPr>
          <w:rFonts w:ascii="Book Antiqua" w:eastAsia="Book Antiqua" w:hAnsi="Book Antiqua" w:cs="Book Antiqua"/>
          <w:color w:val="000000"/>
        </w:rPr>
        <w:t>Grade B (Very good): 0</w:t>
      </w:r>
    </w:p>
    <w:p w14:paraId="5FA6D532" w14:textId="77777777" w:rsidR="00A77B3E" w:rsidRDefault="00900C61">
      <w:pPr>
        <w:spacing w:line="360" w:lineRule="auto"/>
        <w:jc w:val="both"/>
      </w:pPr>
      <w:r>
        <w:rPr>
          <w:rFonts w:ascii="Book Antiqua" w:eastAsia="Book Antiqua" w:hAnsi="Book Antiqua" w:cs="Book Antiqua"/>
          <w:color w:val="000000"/>
        </w:rPr>
        <w:t>Grade C (Good): C</w:t>
      </w:r>
    </w:p>
    <w:p w14:paraId="1E4DBE53" w14:textId="77777777" w:rsidR="00A77B3E" w:rsidRDefault="00900C61">
      <w:pPr>
        <w:spacing w:line="360" w:lineRule="auto"/>
        <w:jc w:val="both"/>
      </w:pPr>
      <w:r>
        <w:rPr>
          <w:rFonts w:ascii="Book Antiqua" w:eastAsia="Book Antiqua" w:hAnsi="Book Antiqua" w:cs="Book Antiqua"/>
          <w:color w:val="000000"/>
        </w:rPr>
        <w:t>Grade D (Fair): D</w:t>
      </w:r>
    </w:p>
    <w:p w14:paraId="278B43DB" w14:textId="77777777" w:rsidR="00A77B3E" w:rsidRDefault="00900C61">
      <w:pPr>
        <w:spacing w:line="360" w:lineRule="auto"/>
        <w:jc w:val="both"/>
      </w:pPr>
      <w:r>
        <w:rPr>
          <w:rFonts w:ascii="Book Antiqua" w:eastAsia="Book Antiqua" w:hAnsi="Book Antiqua" w:cs="Book Antiqua"/>
          <w:color w:val="000000"/>
        </w:rPr>
        <w:t>Grade E (Poor): E</w:t>
      </w:r>
    </w:p>
    <w:p w14:paraId="24B6E9E6" w14:textId="77777777" w:rsidR="00A77B3E" w:rsidRDefault="00A77B3E">
      <w:pPr>
        <w:spacing w:line="360" w:lineRule="auto"/>
        <w:jc w:val="both"/>
      </w:pPr>
    </w:p>
    <w:p w14:paraId="1837DF05" w14:textId="14BF8960" w:rsidR="00A77B3E" w:rsidRDefault="00900C6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Carulli L, Gencdal G, Wisse E</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1351DA">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B82D81" w:rsidRPr="00B82D81">
        <w:rPr>
          <w:rFonts w:ascii="Book Antiqua" w:eastAsia="Book Antiqua" w:hAnsi="Book Antiqua" w:cs="Book Antiqua"/>
          <w:bCs/>
          <w:color w:val="000000"/>
        </w:rPr>
        <w:t>Wang LYT</w:t>
      </w:r>
    </w:p>
    <w:p w14:paraId="32737AB7" w14:textId="77777777" w:rsidR="00A77B3E" w:rsidRDefault="00900C6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1337854A" w14:textId="77777777" w:rsidR="00900C61" w:rsidRPr="00900C61" w:rsidRDefault="00900C61">
      <w:pPr>
        <w:spacing w:line="360" w:lineRule="auto"/>
        <w:jc w:val="both"/>
        <w:rPr>
          <w:lang w:eastAsia="zh-CN"/>
        </w:rPr>
      </w:pPr>
      <w:r w:rsidRPr="00FB60B1">
        <w:rPr>
          <w:rFonts w:ascii="Book Antiqua" w:eastAsia="等线" w:hAnsi="Book Antiqua"/>
          <w:b/>
          <w:noProof/>
          <w:kern w:val="2"/>
          <w:lang w:eastAsia="zh-CN"/>
        </w:rPr>
        <w:drawing>
          <wp:inline distT="0" distB="0" distL="0" distR="0" wp14:anchorId="66F367BD" wp14:editId="22DF9F38">
            <wp:extent cx="5823585" cy="542394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5828856" cy="5428856"/>
                    </a:xfrm>
                    <a:prstGeom prst="rect">
                      <a:avLst/>
                    </a:prstGeom>
                    <a:noFill/>
                    <a:ln>
                      <a:noFill/>
                    </a:ln>
                  </pic:spPr>
                </pic:pic>
              </a:graphicData>
            </a:graphic>
          </wp:inline>
        </w:drawing>
      </w:r>
    </w:p>
    <w:p w14:paraId="5401344F" w14:textId="39DD03F0" w:rsidR="00A77B3E" w:rsidRDefault="00900C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 A 46</w:t>
      </w:r>
      <w:r w:rsidR="006E29B1">
        <w:rPr>
          <w:rFonts w:ascii="Book Antiqua" w:hAnsi="Book Antiqua" w:cs="Book Antiqua"/>
          <w:b/>
          <w:bCs/>
          <w:color w:val="000000"/>
          <w:lang w:eastAsia="zh-CN"/>
        </w:rPr>
        <w:t>-</w:t>
      </w:r>
      <w:r>
        <w:rPr>
          <w:rFonts w:ascii="Book Antiqua" w:eastAsia="Book Antiqua" w:hAnsi="Book Antiqua" w:cs="Book Antiqua"/>
          <w:b/>
          <w:bCs/>
          <w:color w:val="000000"/>
        </w:rPr>
        <w:t>year</w:t>
      </w:r>
      <w:r w:rsidR="006E29B1">
        <w:rPr>
          <w:rFonts w:ascii="Book Antiqua" w:hAnsi="Book Antiqua" w:cs="Book Antiqua"/>
          <w:b/>
          <w:bCs/>
          <w:color w:val="000000"/>
          <w:lang w:eastAsia="zh-CN"/>
        </w:rPr>
        <w:t>-</w:t>
      </w:r>
      <w:r>
        <w:rPr>
          <w:rFonts w:ascii="Book Antiqua" w:eastAsia="Book Antiqua" w:hAnsi="Book Antiqua" w:cs="Book Antiqua"/>
          <w:b/>
          <w:bCs/>
          <w:color w:val="000000"/>
        </w:rPr>
        <w:t>old male patient with focal liver lesions involving the right lobe of the liver.</w:t>
      </w:r>
      <w:r>
        <w:rPr>
          <w:rFonts w:ascii="Book Antiqua" w:eastAsia="Book Antiqua" w:hAnsi="Book Antiqua" w:cs="Book Antiqua"/>
          <w:color w:val="000000"/>
        </w:rPr>
        <w:t xml:space="preserve"> A: Routine computerized tomography (CT) scan revealed an indistinct hypodense lesion (arrow) located in segment V of the liver; B: In the arterial phase, contrast enhanced CT revealed a homogeneous mass with no enhancement (arrow)</w:t>
      </w:r>
      <w:r w:rsidR="0087513C">
        <w:rPr>
          <w:rFonts w:ascii="Book Antiqua" w:eastAsia="Book Antiqua" w:hAnsi="Book Antiqua" w:cs="Book Antiqua"/>
          <w:color w:val="000000"/>
        </w:rPr>
        <w:t>; C and D:</w:t>
      </w:r>
      <w:r>
        <w:rPr>
          <w:rFonts w:ascii="Book Antiqua" w:eastAsia="Book Antiqua" w:hAnsi="Book Antiqua" w:cs="Book Antiqua"/>
          <w:color w:val="000000"/>
        </w:rPr>
        <w:t xml:space="preserve"> A well-defined round mass (arrow), measured about 10 mm × 9 mm, was observed in the portal venous phase</w:t>
      </w:r>
      <w:r w:rsidR="0087513C">
        <w:rPr>
          <w:rFonts w:ascii="Book Antiqua" w:eastAsia="Book Antiqua" w:hAnsi="Book Antiqua" w:cs="Book Antiqua"/>
          <w:color w:val="000000"/>
        </w:rPr>
        <w:t xml:space="preserve"> (C) </w:t>
      </w:r>
      <w:r>
        <w:rPr>
          <w:rFonts w:ascii="Book Antiqua" w:eastAsia="Book Antiqua" w:hAnsi="Book Antiqua" w:cs="Book Antiqua"/>
          <w:color w:val="000000"/>
        </w:rPr>
        <w:t>and the mass showed iso-density in the delayed phase (D).</w:t>
      </w:r>
    </w:p>
    <w:p w14:paraId="4D409F07" w14:textId="77777777" w:rsidR="00900C61" w:rsidRPr="00900C61" w:rsidRDefault="00900C61">
      <w:pPr>
        <w:spacing w:line="360" w:lineRule="auto"/>
        <w:jc w:val="both"/>
        <w:rPr>
          <w:lang w:eastAsia="zh-CN"/>
        </w:rPr>
      </w:pPr>
      <w:r>
        <w:rPr>
          <w:rFonts w:ascii="Book Antiqua" w:hAnsi="Book Antiqua" w:cs="Book Antiqua"/>
          <w:color w:val="000000"/>
          <w:lang w:eastAsia="zh-CN"/>
        </w:rPr>
        <w:br w:type="page"/>
      </w:r>
      <w:r w:rsidRPr="00FB60B1">
        <w:rPr>
          <w:rFonts w:ascii="Book Antiqua" w:eastAsia="等线" w:hAnsi="Book Antiqua"/>
          <w:b/>
          <w:noProof/>
          <w:lang w:eastAsia="zh-CN"/>
        </w:rPr>
        <w:drawing>
          <wp:inline distT="0" distB="0" distL="0" distR="0" wp14:anchorId="77EBEDD9" wp14:editId="31109B1D">
            <wp:extent cx="4855133" cy="64843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4890174" cy="6531172"/>
                    </a:xfrm>
                    <a:prstGeom prst="rect">
                      <a:avLst/>
                    </a:prstGeom>
                    <a:noFill/>
                    <a:ln>
                      <a:noFill/>
                    </a:ln>
                  </pic:spPr>
                </pic:pic>
              </a:graphicData>
            </a:graphic>
          </wp:inline>
        </w:drawing>
      </w:r>
    </w:p>
    <w:p w14:paraId="4321B1B3" w14:textId="5131003A" w:rsidR="00A77B3E" w:rsidRDefault="00900C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Magnetic resonance </w:t>
      </w:r>
      <w:r w:rsidR="00AB754B">
        <w:rPr>
          <w:rFonts w:ascii="Book Antiqua" w:eastAsia="Book Antiqua" w:hAnsi="Book Antiqua" w:cs="Book Antiqua"/>
          <w:b/>
          <w:bCs/>
          <w:color w:val="000000"/>
        </w:rPr>
        <w:t>imaging</w:t>
      </w:r>
      <w:r>
        <w:rPr>
          <w:rFonts w:ascii="Book Antiqua" w:eastAsia="Book Antiqua" w:hAnsi="Book Antiqua" w:cs="Book Antiqua"/>
          <w:b/>
          <w:bCs/>
          <w:color w:val="000000"/>
        </w:rPr>
        <w:t xml:space="preserve"> of upper abdomen. </w:t>
      </w:r>
      <w:r>
        <w:rPr>
          <w:rFonts w:ascii="Book Antiqua" w:eastAsia="Book Antiqua" w:hAnsi="Book Antiqua" w:cs="Book Antiqua"/>
          <w:color w:val="000000"/>
        </w:rPr>
        <w:t>Magnetic resonance imaging scan revealed an iso T1 and long T2 signal</w:t>
      </w:r>
      <w:r w:rsidR="00640B31">
        <w:rPr>
          <w:rFonts w:ascii="Book Antiqua" w:eastAsia="Book Antiqua" w:hAnsi="Book Antiqua" w:cs="Book Antiqua"/>
          <w:color w:val="000000"/>
        </w:rPr>
        <w:t>s</w:t>
      </w:r>
      <w:r>
        <w:rPr>
          <w:rFonts w:ascii="Book Antiqua" w:eastAsia="Book Antiqua" w:hAnsi="Book Antiqua" w:cs="Book Antiqua"/>
          <w:color w:val="000000"/>
        </w:rPr>
        <w:t>, lesion only showed slightly enhancement in arterial phase, relatively low signal in portal and delayed phase hyperintense signal was observed in diffusion-weighted imaging.</w:t>
      </w:r>
      <w:r w:rsidR="00640B31">
        <w:rPr>
          <w:rFonts w:ascii="Book Antiqua" w:eastAsia="Book Antiqua" w:hAnsi="Book Antiqua" w:cs="Book Antiqua"/>
          <w:color w:val="000000"/>
        </w:rPr>
        <w:t xml:space="preserve"> A: Iso T1 signal; B: Lesion only showed slightly enhancement in arterial phase; C and D: Relatively low signal in portal and delayed phase; E: Long T2 signal; F: Hyperintense signal was observed in diffusion-weighted imaging. </w:t>
      </w:r>
    </w:p>
    <w:p w14:paraId="7EAAF7EA" w14:textId="77777777" w:rsidR="00900C61" w:rsidRPr="00900C61" w:rsidRDefault="00900C61">
      <w:pPr>
        <w:spacing w:line="360" w:lineRule="auto"/>
        <w:jc w:val="both"/>
        <w:rPr>
          <w:lang w:eastAsia="zh-CN"/>
        </w:rPr>
      </w:pPr>
      <w:r>
        <w:rPr>
          <w:rFonts w:ascii="Book Antiqua" w:hAnsi="Book Antiqua" w:cs="Book Antiqua"/>
          <w:color w:val="000000"/>
          <w:lang w:eastAsia="zh-CN"/>
        </w:rPr>
        <w:br w:type="page"/>
      </w:r>
      <w:r w:rsidRPr="00FB60B1">
        <w:rPr>
          <w:rFonts w:ascii="Book Antiqua" w:eastAsia="等线" w:hAnsi="Book Antiqua"/>
          <w:b/>
          <w:noProof/>
          <w:lang w:eastAsia="zh-CN"/>
        </w:rPr>
        <w:drawing>
          <wp:inline distT="0" distB="0" distL="0" distR="0" wp14:anchorId="651B75FC" wp14:editId="698A2534">
            <wp:extent cx="5943600" cy="2086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5943600" cy="2086610"/>
                    </a:xfrm>
                    <a:prstGeom prst="rect">
                      <a:avLst/>
                    </a:prstGeom>
                    <a:noFill/>
                    <a:ln>
                      <a:noFill/>
                    </a:ln>
                  </pic:spPr>
                </pic:pic>
              </a:graphicData>
            </a:graphic>
          </wp:inline>
        </w:drawing>
      </w:r>
    </w:p>
    <w:p w14:paraId="1406E106" w14:textId="0833DBDB" w:rsidR="009643F3" w:rsidRDefault="00900C6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Realtime contrast-enhanced ultrasound of the patient.</w:t>
      </w:r>
      <w:r>
        <w:rPr>
          <w:rFonts w:ascii="Book Antiqua" w:eastAsia="Book Antiqua" w:hAnsi="Book Antiqua" w:cs="Book Antiqua"/>
          <w:color w:val="000000"/>
        </w:rPr>
        <w:t xml:space="preserve"> The lesion identified by B-mode ultrasound and contrast agent SonoVue (Bracco, Italy) was then injected through the cubital vein with a fixed body position. However, no microbubble contrast agent filling was observed during the 5 min consecutive examination.</w:t>
      </w:r>
    </w:p>
    <w:p w14:paraId="4886063F" w14:textId="77777777" w:rsidR="009643F3" w:rsidRDefault="009643F3">
      <w:pPr>
        <w:rPr>
          <w:rFonts w:ascii="Book Antiqua" w:eastAsia="Book Antiqua" w:hAnsi="Book Antiqua" w:cs="Book Antiqua"/>
          <w:color w:val="000000"/>
        </w:rPr>
      </w:pPr>
      <w:r>
        <w:rPr>
          <w:rFonts w:ascii="Book Antiqua" w:eastAsia="Book Antiqua" w:hAnsi="Book Antiqua" w:cs="Book Antiqua"/>
          <w:color w:val="000000"/>
        </w:rPr>
        <w:br w:type="page"/>
      </w:r>
    </w:p>
    <w:p w14:paraId="5388FD5D" w14:textId="77777777" w:rsidR="009643F3" w:rsidRDefault="009643F3" w:rsidP="009643F3">
      <w:pPr>
        <w:jc w:val="center"/>
        <w:rPr>
          <w:rFonts w:ascii="Book Antiqua" w:hAnsi="Book Antiqua"/>
          <w:lang w:eastAsia="zh-CN"/>
        </w:rPr>
      </w:pPr>
    </w:p>
    <w:p w14:paraId="496CB0FA" w14:textId="77777777" w:rsidR="009643F3" w:rsidRDefault="009643F3" w:rsidP="009643F3">
      <w:pPr>
        <w:jc w:val="center"/>
        <w:rPr>
          <w:rFonts w:ascii="Book Antiqua" w:hAnsi="Book Antiqua"/>
          <w:lang w:eastAsia="zh-CN"/>
        </w:rPr>
      </w:pPr>
    </w:p>
    <w:p w14:paraId="69CE38A4" w14:textId="77777777" w:rsidR="009643F3" w:rsidRDefault="009643F3" w:rsidP="009643F3">
      <w:pPr>
        <w:jc w:val="center"/>
        <w:rPr>
          <w:rFonts w:ascii="Book Antiqua" w:hAnsi="Book Antiqua"/>
          <w:lang w:eastAsia="zh-CN"/>
        </w:rPr>
      </w:pPr>
    </w:p>
    <w:p w14:paraId="275FD2E8" w14:textId="77777777" w:rsidR="009643F3" w:rsidRDefault="009643F3" w:rsidP="009643F3">
      <w:pPr>
        <w:jc w:val="center"/>
        <w:rPr>
          <w:rFonts w:ascii="Book Antiqua" w:hAnsi="Book Antiqua"/>
          <w:lang w:eastAsia="zh-CN"/>
        </w:rPr>
      </w:pPr>
    </w:p>
    <w:p w14:paraId="222AD444" w14:textId="77777777" w:rsidR="009643F3" w:rsidRDefault="009643F3" w:rsidP="009643F3">
      <w:pPr>
        <w:jc w:val="center"/>
        <w:rPr>
          <w:rFonts w:ascii="Book Antiqua" w:hAnsi="Book Antiqua"/>
          <w:lang w:eastAsia="zh-CN"/>
        </w:rPr>
      </w:pPr>
    </w:p>
    <w:p w14:paraId="601E0134" w14:textId="77777777" w:rsidR="009643F3" w:rsidRDefault="009643F3" w:rsidP="009643F3">
      <w:pPr>
        <w:jc w:val="center"/>
        <w:rPr>
          <w:rFonts w:ascii="Book Antiqua" w:hAnsi="Book Antiqua"/>
          <w:lang w:eastAsia="zh-CN"/>
        </w:rPr>
      </w:pPr>
      <w:r>
        <w:rPr>
          <w:rFonts w:ascii="Book Antiqua" w:hAnsi="Book Antiqua"/>
          <w:noProof/>
          <w:lang w:eastAsia="zh-CN"/>
        </w:rPr>
        <w:drawing>
          <wp:inline distT="0" distB="0" distL="0" distR="0" wp14:anchorId="49CC374C" wp14:editId="3A72386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21132F" w14:textId="77777777" w:rsidR="009643F3" w:rsidRDefault="009643F3" w:rsidP="009643F3">
      <w:pPr>
        <w:jc w:val="center"/>
        <w:rPr>
          <w:rFonts w:ascii="Book Antiqua" w:hAnsi="Book Antiqua"/>
          <w:lang w:eastAsia="zh-CN"/>
        </w:rPr>
      </w:pPr>
    </w:p>
    <w:p w14:paraId="61E9F679" w14:textId="77777777" w:rsidR="009643F3" w:rsidRPr="00763D22" w:rsidRDefault="009643F3" w:rsidP="009643F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7A1584C" w14:textId="77777777" w:rsidR="009643F3" w:rsidRPr="00763D22" w:rsidRDefault="009643F3" w:rsidP="009643F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3C53B5E" w14:textId="77777777" w:rsidR="009643F3" w:rsidRPr="00763D22" w:rsidRDefault="009643F3" w:rsidP="009643F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083643C" w14:textId="77777777" w:rsidR="009643F3" w:rsidRPr="00763D22" w:rsidRDefault="009643F3" w:rsidP="009643F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BA91888" w14:textId="77777777" w:rsidR="009643F3" w:rsidRPr="00763D22" w:rsidRDefault="009643F3" w:rsidP="009643F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11EDEDD" w14:textId="77777777" w:rsidR="009643F3" w:rsidRPr="00763D22" w:rsidRDefault="009643F3" w:rsidP="009643F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858ACBB" w14:textId="77777777" w:rsidR="009643F3" w:rsidRDefault="009643F3" w:rsidP="009643F3">
      <w:pPr>
        <w:jc w:val="center"/>
        <w:rPr>
          <w:rFonts w:ascii="Book Antiqua" w:hAnsi="Book Antiqua"/>
          <w:lang w:eastAsia="zh-CN"/>
        </w:rPr>
      </w:pPr>
    </w:p>
    <w:p w14:paraId="7CE78A13" w14:textId="77777777" w:rsidR="009643F3" w:rsidRDefault="009643F3" w:rsidP="009643F3">
      <w:pPr>
        <w:jc w:val="center"/>
        <w:rPr>
          <w:rFonts w:ascii="Book Antiqua" w:hAnsi="Book Antiqua"/>
          <w:lang w:eastAsia="zh-CN"/>
        </w:rPr>
      </w:pPr>
    </w:p>
    <w:p w14:paraId="59A8FCC0" w14:textId="77777777" w:rsidR="009643F3" w:rsidRDefault="009643F3" w:rsidP="009643F3">
      <w:pPr>
        <w:jc w:val="center"/>
        <w:rPr>
          <w:rFonts w:ascii="Book Antiqua" w:hAnsi="Book Antiqua"/>
          <w:lang w:eastAsia="zh-CN"/>
        </w:rPr>
      </w:pPr>
    </w:p>
    <w:p w14:paraId="42F549B6" w14:textId="77777777" w:rsidR="009643F3" w:rsidRDefault="009643F3" w:rsidP="009643F3">
      <w:pPr>
        <w:jc w:val="center"/>
        <w:rPr>
          <w:rFonts w:ascii="Book Antiqua" w:hAnsi="Book Antiqua"/>
          <w:lang w:eastAsia="zh-CN"/>
        </w:rPr>
      </w:pPr>
      <w:r>
        <w:rPr>
          <w:rFonts w:ascii="Book Antiqua" w:hAnsi="Book Antiqua"/>
          <w:noProof/>
          <w:lang w:eastAsia="zh-CN"/>
        </w:rPr>
        <w:drawing>
          <wp:inline distT="0" distB="0" distL="0" distR="0" wp14:anchorId="4AE98594" wp14:editId="7BB65C4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199D8A" w14:textId="77777777" w:rsidR="009643F3" w:rsidRDefault="009643F3" w:rsidP="009643F3">
      <w:pPr>
        <w:jc w:val="center"/>
        <w:rPr>
          <w:rFonts w:ascii="Book Antiqua" w:hAnsi="Book Antiqua"/>
          <w:lang w:eastAsia="zh-CN"/>
        </w:rPr>
      </w:pPr>
    </w:p>
    <w:p w14:paraId="0CBD897C" w14:textId="77777777" w:rsidR="009643F3" w:rsidRDefault="009643F3" w:rsidP="009643F3">
      <w:pPr>
        <w:jc w:val="center"/>
        <w:rPr>
          <w:rFonts w:ascii="Book Antiqua" w:hAnsi="Book Antiqua"/>
          <w:lang w:eastAsia="zh-CN"/>
        </w:rPr>
      </w:pPr>
    </w:p>
    <w:p w14:paraId="5E4FFF0F" w14:textId="77777777" w:rsidR="009643F3" w:rsidRDefault="009643F3" w:rsidP="009643F3">
      <w:pPr>
        <w:jc w:val="center"/>
        <w:rPr>
          <w:rFonts w:ascii="Book Antiqua" w:hAnsi="Book Antiqua"/>
          <w:lang w:eastAsia="zh-CN"/>
        </w:rPr>
      </w:pPr>
    </w:p>
    <w:p w14:paraId="3DF8D850" w14:textId="77777777" w:rsidR="009643F3" w:rsidRDefault="009643F3" w:rsidP="009643F3">
      <w:pPr>
        <w:jc w:val="center"/>
        <w:rPr>
          <w:rFonts w:ascii="Book Antiqua" w:hAnsi="Book Antiqua"/>
          <w:lang w:eastAsia="zh-CN"/>
        </w:rPr>
      </w:pPr>
    </w:p>
    <w:p w14:paraId="0E8F4431" w14:textId="77777777" w:rsidR="009643F3" w:rsidRDefault="009643F3" w:rsidP="009643F3">
      <w:pPr>
        <w:jc w:val="center"/>
        <w:rPr>
          <w:rFonts w:ascii="Book Antiqua" w:hAnsi="Book Antiqua"/>
          <w:lang w:eastAsia="zh-CN"/>
        </w:rPr>
      </w:pPr>
    </w:p>
    <w:p w14:paraId="2937B816" w14:textId="77777777" w:rsidR="009643F3" w:rsidRDefault="009643F3" w:rsidP="009643F3">
      <w:pPr>
        <w:jc w:val="center"/>
        <w:rPr>
          <w:rFonts w:ascii="Book Antiqua" w:hAnsi="Book Antiqua"/>
          <w:lang w:eastAsia="zh-CN"/>
        </w:rPr>
      </w:pPr>
    </w:p>
    <w:p w14:paraId="599DE4E1" w14:textId="77777777" w:rsidR="009643F3" w:rsidRDefault="009643F3" w:rsidP="009643F3">
      <w:pPr>
        <w:jc w:val="center"/>
        <w:rPr>
          <w:rFonts w:ascii="Book Antiqua" w:hAnsi="Book Antiqua"/>
          <w:lang w:eastAsia="zh-CN"/>
        </w:rPr>
      </w:pPr>
    </w:p>
    <w:p w14:paraId="1962711E" w14:textId="77777777" w:rsidR="009643F3" w:rsidRDefault="009643F3" w:rsidP="009643F3">
      <w:pPr>
        <w:jc w:val="center"/>
        <w:rPr>
          <w:rFonts w:ascii="Book Antiqua" w:hAnsi="Book Antiqua"/>
          <w:lang w:eastAsia="zh-CN"/>
        </w:rPr>
      </w:pPr>
    </w:p>
    <w:p w14:paraId="709A5C85" w14:textId="77777777" w:rsidR="009643F3" w:rsidRDefault="009643F3" w:rsidP="009643F3">
      <w:pPr>
        <w:jc w:val="center"/>
        <w:rPr>
          <w:rFonts w:ascii="Book Antiqua" w:hAnsi="Book Antiqua"/>
          <w:lang w:eastAsia="zh-CN"/>
        </w:rPr>
      </w:pPr>
    </w:p>
    <w:p w14:paraId="6CDC453D" w14:textId="77777777" w:rsidR="009643F3" w:rsidRPr="00763D22" w:rsidRDefault="009643F3" w:rsidP="009643F3">
      <w:pPr>
        <w:jc w:val="right"/>
        <w:rPr>
          <w:rFonts w:ascii="Book Antiqua" w:hAnsi="Book Antiqua"/>
          <w:color w:val="000000" w:themeColor="text1"/>
          <w:lang w:eastAsia="zh-CN"/>
        </w:rPr>
      </w:pPr>
    </w:p>
    <w:p w14:paraId="595916CA" w14:textId="77777777" w:rsidR="009643F3" w:rsidRPr="00763D22" w:rsidRDefault="009643F3" w:rsidP="009643F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040FCEC" w14:textId="77777777" w:rsidR="00900C61" w:rsidRPr="009643F3" w:rsidRDefault="00900C61">
      <w:pPr>
        <w:spacing w:line="360" w:lineRule="auto"/>
        <w:jc w:val="both"/>
        <w:rPr>
          <w:rFonts w:ascii="Book Antiqua" w:hAnsi="Book Antiqua" w:cs="Book Antiqua"/>
          <w:color w:val="000000"/>
          <w:lang w:eastAsia="zh-CN"/>
        </w:rPr>
      </w:pPr>
      <w:bookmarkStart w:id="16" w:name="_GoBack"/>
      <w:bookmarkEnd w:id="16"/>
    </w:p>
    <w:sectPr w:rsidR="00900C61" w:rsidRPr="009643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A0FC6" w14:textId="77777777" w:rsidR="00760AC0" w:rsidRDefault="00760AC0" w:rsidP="00986DAB">
      <w:r>
        <w:separator/>
      </w:r>
    </w:p>
  </w:endnote>
  <w:endnote w:type="continuationSeparator" w:id="0">
    <w:p w14:paraId="63E29BD6" w14:textId="77777777" w:rsidR="00760AC0" w:rsidRDefault="00760AC0" w:rsidP="0098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10355"/>
      <w:docPartObj>
        <w:docPartGallery w:val="Page Numbers (Bottom of Page)"/>
        <w:docPartUnique/>
      </w:docPartObj>
    </w:sdtPr>
    <w:sdtEndPr/>
    <w:sdtContent>
      <w:sdt>
        <w:sdtPr>
          <w:id w:val="98381352"/>
          <w:docPartObj>
            <w:docPartGallery w:val="Page Numbers (Top of Page)"/>
            <w:docPartUnique/>
          </w:docPartObj>
        </w:sdtPr>
        <w:sdtEndPr/>
        <w:sdtContent>
          <w:p w14:paraId="3986363D" w14:textId="3E952DD7" w:rsidR="002E153D" w:rsidRPr="006E29B1" w:rsidRDefault="002E153D" w:rsidP="002E153D">
            <w:pPr>
              <w:pStyle w:val="a5"/>
              <w:jc w:val="right"/>
            </w:pPr>
            <w:r w:rsidRPr="002E153D">
              <w:rPr>
                <w:rFonts w:ascii="Book Antiqua" w:hAnsi="Book Antiqua"/>
                <w:lang w:val="zh-CN" w:eastAsia="zh-CN"/>
              </w:rPr>
              <w:t xml:space="preserve"> </w:t>
            </w:r>
            <w:r w:rsidRPr="007B7371">
              <w:rPr>
                <w:rFonts w:ascii="Book Antiqua" w:hAnsi="Book Antiqua"/>
              </w:rPr>
              <w:fldChar w:fldCharType="begin"/>
            </w:r>
            <w:r w:rsidRPr="007B7371">
              <w:rPr>
                <w:rFonts w:ascii="Book Antiqua" w:hAnsi="Book Antiqua"/>
              </w:rPr>
              <w:instrText>PAGE</w:instrText>
            </w:r>
            <w:r w:rsidRPr="007B7371">
              <w:rPr>
                <w:rFonts w:ascii="Book Antiqua" w:hAnsi="Book Antiqua"/>
              </w:rPr>
              <w:fldChar w:fldCharType="separate"/>
            </w:r>
            <w:r w:rsidR="00760AC0">
              <w:rPr>
                <w:rFonts w:ascii="Book Antiqua" w:hAnsi="Book Antiqua"/>
                <w:noProof/>
              </w:rPr>
              <w:t>1</w:t>
            </w:r>
            <w:r w:rsidRPr="007B7371">
              <w:rPr>
                <w:rFonts w:ascii="Book Antiqua" w:hAnsi="Book Antiqua"/>
              </w:rPr>
              <w:fldChar w:fldCharType="end"/>
            </w:r>
            <w:r w:rsidRPr="006E29B1">
              <w:rPr>
                <w:rFonts w:ascii="Book Antiqua" w:hAnsi="Book Antiqua"/>
                <w:lang w:val="zh-CN" w:eastAsia="zh-CN"/>
              </w:rPr>
              <w:t xml:space="preserve"> / </w:t>
            </w:r>
            <w:r w:rsidRPr="007B7371">
              <w:rPr>
                <w:rFonts w:ascii="Book Antiqua" w:hAnsi="Book Antiqua"/>
              </w:rPr>
              <w:fldChar w:fldCharType="begin"/>
            </w:r>
            <w:r w:rsidRPr="007B7371">
              <w:rPr>
                <w:rFonts w:ascii="Book Antiqua" w:hAnsi="Book Antiqua"/>
              </w:rPr>
              <w:instrText>NUMPAGES</w:instrText>
            </w:r>
            <w:r w:rsidRPr="007B7371">
              <w:rPr>
                <w:rFonts w:ascii="Book Antiqua" w:hAnsi="Book Antiqua"/>
              </w:rPr>
              <w:fldChar w:fldCharType="separate"/>
            </w:r>
            <w:r w:rsidR="00760AC0">
              <w:rPr>
                <w:rFonts w:ascii="Book Antiqua" w:hAnsi="Book Antiqua"/>
                <w:noProof/>
              </w:rPr>
              <w:t>1</w:t>
            </w:r>
            <w:r w:rsidRPr="007B7371">
              <w:rPr>
                <w:rFonts w:ascii="Book Antiqua" w:hAnsi="Book Antiqua"/>
              </w:rPr>
              <w:fldChar w:fldCharType="end"/>
            </w:r>
          </w:p>
        </w:sdtContent>
      </w:sdt>
    </w:sdtContent>
  </w:sdt>
  <w:p w14:paraId="4C85FECA" w14:textId="77777777" w:rsidR="002E153D" w:rsidRDefault="002E15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3A343" w14:textId="77777777" w:rsidR="00760AC0" w:rsidRDefault="00760AC0" w:rsidP="00986DAB">
      <w:r>
        <w:separator/>
      </w:r>
    </w:p>
  </w:footnote>
  <w:footnote w:type="continuationSeparator" w:id="0">
    <w:p w14:paraId="48CE7094" w14:textId="77777777" w:rsidR="00760AC0" w:rsidRDefault="00760AC0" w:rsidP="00986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84E"/>
    <w:rsid w:val="00051F71"/>
    <w:rsid w:val="000C0B2D"/>
    <w:rsid w:val="000D1EEB"/>
    <w:rsid w:val="000F4F6B"/>
    <w:rsid w:val="001351DA"/>
    <w:rsid w:val="002C62EC"/>
    <w:rsid w:val="002E153D"/>
    <w:rsid w:val="00304C5C"/>
    <w:rsid w:val="00343109"/>
    <w:rsid w:val="00397F7E"/>
    <w:rsid w:val="004669D5"/>
    <w:rsid w:val="004B0E6A"/>
    <w:rsid w:val="00501657"/>
    <w:rsid w:val="0051388A"/>
    <w:rsid w:val="005A46D5"/>
    <w:rsid w:val="005B4D3D"/>
    <w:rsid w:val="005D63E3"/>
    <w:rsid w:val="006353D4"/>
    <w:rsid w:val="00640B31"/>
    <w:rsid w:val="0068135A"/>
    <w:rsid w:val="006A6C95"/>
    <w:rsid w:val="006E29B1"/>
    <w:rsid w:val="00760AC0"/>
    <w:rsid w:val="007B7371"/>
    <w:rsid w:val="0087513C"/>
    <w:rsid w:val="00900C61"/>
    <w:rsid w:val="009643F3"/>
    <w:rsid w:val="00986DAB"/>
    <w:rsid w:val="00A012F1"/>
    <w:rsid w:val="00A25998"/>
    <w:rsid w:val="00A77B3E"/>
    <w:rsid w:val="00AB754B"/>
    <w:rsid w:val="00B4013C"/>
    <w:rsid w:val="00B43B4E"/>
    <w:rsid w:val="00B45306"/>
    <w:rsid w:val="00B82D81"/>
    <w:rsid w:val="00BD05A2"/>
    <w:rsid w:val="00C42A60"/>
    <w:rsid w:val="00CA2A55"/>
    <w:rsid w:val="00D93B8F"/>
    <w:rsid w:val="00ED01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A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00C61"/>
    <w:rPr>
      <w:sz w:val="18"/>
      <w:szCs w:val="18"/>
    </w:rPr>
  </w:style>
  <w:style w:type="character" w:customStyle="1" w:styleId="Char">
    <w:name w:val="批注框文本 Char"/>
    <w:basedOn w:val="a0"/>
    <w:link w:val="a3"/>
    <w:rsid w:val="00900C61"/>
    <w:rPr>
      <w:sz w:val="18"/>
      <w:szCs w:val="18"/>
    </w:rPr>
  </w:style>
  <w:style w:type="paragraph" w:styleId="a4">
    <w:name w:val="header"/>
    <w:basedOn w:val="a"/>
    <w:link w:val="Char0"/>
    <w:unhideWhenUsed/>
    <w:rsid w:val="00986DAB"/>
    <w:pPr>
      <w:tabs>
        <w:tab w:val="center" w:pos="4680"/>
        <w:tab w:val="right" w:pos="9360"/>
      </w:tabs>
    </w:pPr>
  </w:style>
  <w:style w:type="character" w:customStyle="1" w:styleId="Char0">
    <w:name w:val="页眉 Char"/>
    <w:basedOn w:val="a0"/>
    <w:link w:val="a4"/>
    <w:rsid w:val="00986DAB"/>
    <w:rPr>
      <w:sz w:val="24"/>
      <w:szCs w:val="24"/>
    </w:rPr>
  </w:style>
  <w:style w:type="paragraph" w:styleId="a5">
    <w:name w:val="footer"/>
    <w:basedOn w:val="a"/>
    <w:link w:val="Char1"/>
    <w:uiPriority w:val="99"/>
    <w:unhideWhenUsed/>
    <w:rsid w:val="00986DAB"/>
    <w:pPr>
      <w:tabs>
        <w:tab w:val="center" w:pos="4680"/>
        <w:tab w:val="right" w:pos="9360"/>
      </w:tabs>
    </w:pPr>
  </w:style>
  <w:style w:type="character" w:customStyle="1" w:styleId="Char1">
    <w:name w:val="页脚 Char"/>
    <w:basedOn w:val="a0"/>
    <w:link w:val="a5"/>
    <w:uiPriority w:val="99"/>
    <w:rsid w:val="00986DAB"/>
    <w:rPr>
      <w:sz w:val="24"/>
      <w:szCs w:val="24"/>
    </w:rPr>
  </w:style>
  <w:style w:type="paragraph" w:styleId="a6">
    <w:name w:val="Revision"/>
    <w:hidden/>
    <w:uiPriority w:val="99"/>
    <w:semiHidden/>
    <w:rsid w:val="00986DAB"/>
    <w:rPr>
      <w:sz w:val="24"/>
      <w:szCs w:val="24"/>
    </w:rPr>
  </w:style>
  <w:style w:type="character" w:styleId="a7">
    <w:name w:val="annotation reference"/>
    <w:basedOn w:val="a0"/>
    <w:semiHidden/>
    <w:unhideWhenUsed/>
    <w:rsid w:val="00986DAB"/>
    <w:rPr>
      <w:sz w:val="16"/>
      <w:szCs w:val="16"/>
    </w:rPr>
  </w:style>
  <w:style w:type="paragraph" w:styleId="a8">
    <w:name w:val="annotation text"/>
    <w:basedOn w:val="a"/>
    <w:link w:val="Char2"/>
    <w:semiHidden/>
    <w:unhideWhenUsed/>
    <w:rsid w:val="00986DAB"/>
    <w:rPr>
      <w:sz w:val="20"/>
      <w:szCs w:val="20"/>
    </w:rPr>
  </w:style>
  <w:style w:type="character" w:customStyle="1" w:styleId="Char2">
    <w:name w:val="批注文字 Char"/>
    <w:basedOn w:val="a0"/>
    <w:link w:val="a8"/>
    <w:semiHidden/>
    <w:rsid w:val="00986DAB"/>
  </w:style>
  <w:style w:type="paragraph" w:styleId="a9">
    <w:name w:val="annotation subject"/>
    <w:basedOn w:val="a8"/>
    <w:next w:val="a8"/>
    <w:link w:val="Char3"/>
    <w:semiHidden/>
    <w:unhideWhenUsed/>
    <w:rsid w:val="00986DAB"/>
    <w:rPr>
      <w:b/>
      <w:bCs/>
    </w:rPr>
  </w:style>
  <w:style w:type="character" w:customStyle="1" w:styleId="Char3">
    <w:name w:val="批注主题 Char"/>
    <w:basedOn w:val="Char2"/>
    <w:link w:val="a9"/>
    <w:semiHidden/>
    <w:rsid w:val="00986D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00C61"/>
    <w:rPr>
      <w:sz w:val="18"/>
      <w:szCs w:val="18"/>
    </w:rPr>
  </w:style>
  <w:style w:type="character" w:customStyle="1" w:styleId="Char">
    <w:name w:val="批注框文本 Char"/>
    <w:basedOn w:val="a0"/>
    <w:link w:val="a3"/>
    <w:rsid w:val="00900C61"/>
    <w:rPr>
      <w:sz w:val="18"/>
      <w:szCs w:val="18"/>
    </w:rPr>
  </w:style>
  <w:style w:type="paragraph" w:styleId="a4">
    <w:name w:val="header"/>
    <w:basedOn w:val="a"/>
    <w:link w:val="Char0"/>
    <w:unhideWhenUsed/>
    <w:rsid w:val="00986DAB"/>
    <w:pPr>
      <w:tabs>
        <w:tab w:val="center" w:pos="4680"/>
        <w:tab w:val="right" w:pos="9360"/>
      </w:tabs>
    </w:pPr>
  </w:style>
  <w:style w:type="character" w:customStyle="1" w:styleId="Char0">
    <w:name w:val="页眉 Char"/>
    <w:basedOn w:val="a0"/>
    <w:link w:val="a4"/>
    <w:rsid w:val="00986DAB"/>
    <w:rPr>
      <w:sz w:val="24"/>
      <w:szCs w:val="24"/>
    </w:rPr>
  </w:style>
  <w:style w:type="paragraph" w:styleId="a5">
    <w:name w:val="footer"/>
    <w:basedOn w:val="a"/>
    <w:link w:val="Char1"/>
    <w:uiPriority w:val="99"/>
    <w:unhideWhenUsed/>
    <w:rsid w:val="00986DAB"/>
    <w:pPr>
      <w:tabs>
        <w:tab w:val="center" w:pos="4680"/>
        <w:tab w:val="right" w:pos="9360"/>
      </w:tabs>
    </w:pPr>
  </w:style>
  <w:style w:type="character" w:customStyle="1" w:styleId="Char1">
    <w:name w:val="页脚 Char"/>
    <w:basedOn w:val="a0"/>
    <w:link w:val="a5"/>
    <w:uiPriority w:val="99"/>
    <w:rsid w:val="00986DAB"/>
    <w:rPr>
      <w:sz w:val="24"/>
      <w:szCs w:val="24"/>
    </w:rPr>
  </w:style>
  <w:style w:type="paragraph" w:styleId="a6">
    <w:name w:val="Revision"/>
    <w:hidden/>
    <w:uiPriority w:val="99"/>
    <w:semiHidden/>
    <w:rsid w:val="00986DAB"/>
    <w:rPr>
      <w:sz w:val="24"/>
      <w:szCs w:val="24"/>
    </w:rPr>
  </w:style>
  <w:style w:type="character" w:styleId="a7">
    <w:name w:val="annotation reference"/>
    <w:basedOn w:val="a0"/>
    <w:semiHidden/>
    <w:unhideWhenUsed/>
    <w:rsid w:val="00986DAB"/>
    <w:rPr>
      <w:sz w:val="16"/>
      <w:szCs w:val="16"/>
    </w:rPr>
  </w:style>
  <w:style w:type="paragraph" w:styleId="a8">
    <w:name w:val="annotation text"/>
    <w:basedOn w:val="a"/>
    <w:link w:val="Char2"/>
    <w:semiHidden/>
    <w:unhideWhenUsed/>
    <w:rsid w:val="00986DAB"/>
    <w:rPr>
      <w:sz w:val="20"/>
      <w:szCs w:val="20"/>
    </w:rPr>
  </w:style>
  <w:style w:type="character" w:customStyle="1" w:styleId="Char2">
    <w:name w:val="批注文字 Char"/>
    <w:basedOn w:val="a0"/>
    <w:link w:val="a8"/>
    <w:semiHidden/>
    <w:rsid w:val="00986DAB"/>
  </w:style>
  <w:style w:type="paragraph" w:styleId="a9">
    <w:name w:val="annotation subject"/>
    <w:basedOn w:val="a8"/>
    <w:next w:val="a8"/>
    <w:link w:val="Char3"/>
    <w:semiHidden/>
    <w:unhideWhenUsed/>
    <w:rsid w:val="00986DAB"/>
    <w:rPr>
      <w:b/>
      <w:bCs/>
    </w:rPr>
  </w:style>
  <w:style w:type="character" w:customStyle="1" w:styleId="Char3">
    <w:name w:val="批注主题 Char"/>
    <w:basedOn w:val="Char2"/>
    <w:link w:val="a9"/>
    <w:semiHidden/>
    <w:rsid w:val="00986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Haitham Salameen</dc:creator>
  <cp:lastModifiedBy>liujihong2008@qq.con</cp:lastModifiedBy>
  <cp:revision>9</cp:revision>
  <dcterms:created xsi:type="dcterms:W3CDTF">2021-06-24T05:12:00Z</dcterms:created>
  <dcterms:modified xsi:type="dcterms:W3CDTF">2021-07-15T06:54:00Z</dcterms:modified>
</cp:coreProperties>
</file>