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F67472"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t xml:space="preserve">Name of Journal: </w:t>
      </w:r>
      <w:r w:rsidRPr="002E2DEC">
        <w:rPr>
          <w:rFonts w:ascii="Book Antiqua" w:eastAsia="Book Antiqua" w:hAnsi="Book Antiqua" w:cs="Book Antiqua"/>
          <w:i/>
          <w:color w:val="000000" w:themeColor="text1"/>
        </w:rPr>
        <w:t>World Journal of Gastroenterology</w:t>
      </w:r>
    </w:p>
    <w:p w14:paraId="7FDE3F3C"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t xml:space="preserve">Manuscript NO: </w:t>
      </w:r>
      <w:r w:rsidRPr="002E2DEC">
        <w:rPr>
          <w:rFonts w:ascii="Book Antiqua" w:eastAsia="Book Antiqua" w:hAnsi="Book Antiqua" w:cs="Book Antiqua"/>
          <w:color w:val="000000" w:themeColor="text1"/>
        </w:rPr>
        <w:t>59142</w:t>
      </w:r>
    </w:p>
    <w:p w14:paraId="0C2CCA86"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t xml:space="preserve">Manuscript Type: </w:t>
      </w:r>
      <w:r w:rsidRPr="002E2DEC">
        <w:rPr>
          <w:rFonts w:ascii="Book Antiqua" w:eastAsia="Book Antiqua" w:hAnsi="Book Antiqua" w:cs="Book Antiqua"/>
          <w:color w:val="000000" w:themeColor="text1"/>
        </w:rPr>
        <w:t>ORIGINAL ARTICLE</w:t>
      </w:r>
    </w:p>
    <w:p w14:paraId="2D62358C" w14:textId="77777777" w:rsidR="00A77B3E" w:rsidRPr="002E2DEC" w:rsidRDefault="00A77B3E" w:rsidP="002E2DEC">
      <w:pPr>
        <w:snapToGrid w:val="0"/>
        <w:spacing w:line="360" w:lineRule="auto"/>
        <w:jc w:val="both"/>
        <w:rPr>
          <w:rFonts w:ascii="Book Antiqua" w:hAnsi="Book Antiqua"/>
          <w:color w:val="000000" w:themeColor="text1"/>
        </w:rPr>
      </w:pPr>
    </w:p>
    <w:p w14:paraId="2BACFE8C"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i/>
          <w:color w:val="000000" w:themeColor="text1"/>
        </w:rPr>
        <w:t>Case Control Study</w:t>
      </w:r>
    </w:p>
    <w:p w14:paraId="26AE0DAA"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t xml:space="preserve">Response of </w:t>
      </w:r>
      <w:r w:rsidR="00F07C1A" w:rsidRPr="002E2DEC">
        <w:rPr>
          <w:rFonts w:ascii="Book Antiqua" w:eastAsia="Book Antiqua" w:hAnsi="Book Antiqua" w:cs="Book Antiqua"/>
          <w:b/>
          <w:color w:val="000000" w:themeColor="text1"/>
        </w:rPr>
        <w:t>gut microbiota to serum metabolome changes in intrahepatic cholestasis of pregnant pat</w:t>
      </w:r>
      <w:r w:rsidRPr="002E2DEC">
        <w:rPr>
          <w:rFonts w:ascii="Book Antiqua" w:eastAsia="Book Antiqua" w:hAnsi="Book Antiqua" w:cs="Book Antiqua"/>
          <w:b/>
          <w:color w:val="000000" w:themeColor="text1"/>
        </w:rPr>
        <w:t>ients</w:t>
      </w:r>
    </w:p>
    <w:p w14:paraId="7E4EED33" w14:textId="77777777" w:rsidR="00A77B3E" w:rsidRPr="002E2DEC" w:rsidRDefault="00A77B3E" w:rsidP="002E2DEC">
      <w:pPr>
        <w:snapToGrid w:val="0"/>
        <w:spacing w:line="360" w:lineRule="auto"/>
        <w:jc w:val="both"/>
        <w:rPr>
          <w:rFonts w:ascii="Book Antiqua" w:hAnsi="Book Antiqua"/>
          <w:color w:val="000000" w:themeColor="text1"/>
        </w:rPr>
      </w:pPr>
    </w:p>
    <w:p w14:paraId="34EEB171" w14:textId="77777777" w:rsidR="00A77B3E" w:rsidRPr="002E2DEC" w:rsidRDefault="00F07C1A"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Li</w:t>
      </w:r>
      <w:r w:rsidRPr="002E2DEC">
        <w:rPr>
          <w:rFonts w:ascii="Book Antiqua" w:hAnsi="Book Antiqua" w:cs="Book Antiqua"/>
          <w:color w:val="000000" w:themeColor="text1"/>
          <w:lang w:eastAsia="zh-CN"/>
        </w:rPr>
        <w:t xml:space="preserve"> GH </w:t>
      </w:r>
      <w:r w:rsidRPr="002E2DEC">
        <w:rPr>
          <w:rFonts w:ascii="Book Antiqua" w:hAnsi="Book Antiqua" w:cs="Book Antiqua"/>
          <w:i/>
          <w:color w:val="000000" w:themeColor="text1"/>
          <w:lang w:eastAsia="zh-CN"/>
        </w:rPr>
        <w:t xml:space="preserve">et al. </w:t>
      </w:r>
      <w:r w:rsidR="003022FF" w:rsidRPr="002E2DEC">
        <w:rPr>
          <w:rFonts w:ascii="Book Antiqua" w:eastAsia="Book Antiqua" w:hAnsi="Book Antiqua" w:cs="Book Antiqua"/>
          <w:color w:val="000000" w:themeColor="text1"/>
        </w:rPr>
        <w:t>Gut microbiota changes of ICP</w:t>
      </w:r>
    </w:p>
    <w:p w14:paraId="441A15E4" w14:textId="77777777" w:rsidR="00A77B3E" w:rsidRPr="002E2DEC" w:rsidRDefault="00A77B3E" w:rsidP="002E2DEC">
      <w:pPr>
        <w:snapToGrid w:val="0"/>
        <w:spacing w:line="360" w:lineRule="auto"/>
        <w:jc w:val="both"/>
        <w:rPr>
          <w:rFonts w:ascii="Book Antiqua" w:hAnsi="Book Antiqua"/>
          <w:color w:val="000000" w:themeColor="text1"/>
        </w:rPr>
      </w:pPr>
    </w:p>
    <w:p w14:paraId="37C69D80"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Guo-Hua Li, Shi-Jia Huang, Xiang Li, Xiao-Song Liu, Qiao-Ling Du</w:t>
      </w:r>
    </w:p>
    <w:p w14:paraId="599510E3" w14:textId="77777777" w:rsidR="00A77B3E" w:rsidRPr="002E2DEC" w:rsidRDefault="00A77B3E" w:rsidP="002E2DEC">
      <w:pPr>
        <w:snapToGrid w:val="0"/>
        <w:spacing w:line="360" w:lineRule="auto"/>
        <w:jc w:val="both"/>
        <w:rPr>
          <w:rFonts w:ascii="Book Antiqua" w:hAnsi="Book Antiqua"/>
          <w:color w:val="000000" w:themeColor="text1"/>
        </w:rPr>
      </w:pPr>
    </w:p>
    <w:p w14:paraId="46B5C90E"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Guo-Hua Li, </w:t>
      </w:r>
      <w:r w:rsidRPr="002E2DEC">
        <w:rPr>
          <w:rFonts w:ascii="Book Antiqua" w:eastAsia="Book Antiqua" w:hAnsi="Book Antiqua" w:cs="Book Antiqua"/>
          <w:color w:val="000000" w:themeColor="text1"/>
        </w:rPr>
        <w:t>Department of Reproductive Immunology, Shanghai First Maternity and Infant Hospital, Tongji University School of Medicine, Shanghai 200040, China</w:t>
      </w:r>
    </w:p>
    <w:p w14:paraId="46EEE9D7" w14:textId="77777777" w:rsidR="00A77B3E" w:rsidRPr="002E2DEC" w:rsidRDefault="00A77B3E" w:rsidP="002E2DEC">
      <w:pPr>
        <w:snapToGrid w:val="0"/>
        <w:spacing w:line="360" w:lineRule="auto"/>
        <w:jc w:val="both"/>
        <w:rPr>
          <w:rFonts w:ascii="Book Antiqua" w:hAnsi="Book Antiqua"/>
          <w:color w:val="000000" w:themeColor="text1"/>
        </w:rPr>
      </w:pPr>
    </w:p>
    <w:p w14:paraId="568DA915"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Shi-Jia Huang, Xiang Li, Xiao-Song Liu, Qiao-Ling Du, </w:t>
      </w:r>
      <w:r w:rsidRPr="002E2DEC">
        <w:rPr>
          <w:rFonts w:ascii="Book Antiqua" w:eastAsia="Book Antiqua" w:hAnsi="Book Antiqua" w:cs="Book Antiqua"/>
          <w:color w:val="000000" w:themeColor="text1"/>
        </w:rPr>
        <w:t>Department of Obstetrics, Shanghai First Maternity and Infant Hospital, Tongji University School of Medicine, Shanghai 200040, China</w:t>
      </w:r>
    </w:p>
    <w:p w14:paraId="139C6B84" w14:textId="77777777" w:rsidR="00A77B3E" w:rsidRPr="002E2DEC" w:rsidRDefault="00A77B3E" w:rsidP="002E2DEC">
      <w:pPr>
        <w:snapToGrid w:val="0"/>
        <w:spacing w:line="360" w:lineRule="auto"/>
        <w:jc w:val="both"/>
        <w:rPr>
          <w:rFonts w:ascii="Book Antiqua" w:hAnsi="Book Antiqua"/>
          <w:color w:val="000000" w:themeColor="text1"/>
        </w:rPr>
      </w:pPr>
    </w:p>
    <w:p w14:paraId="72D5551B" w14:textId="1508D830"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Author contributions: </w:t>
      </w:r>
      <w:r w:rsidRPr="002E2DEC">
        <w:rPr>
          <w:rFonts w:ascii="Book Antiqua" w:eastAsia="Book Antiqua" w:hAnsi="Book Antiqua" w:cs="Book Antiqua"/>
          <w:color w:val="000000" w:themeColor="text1"/>
        </w:rPr>
        <w:t xml:space="preserve">Du QL and Li GH </w:t>
      </w:r>
      <w:r w:rsidR="009709C0" w:rsidRPr="002E2DEC">
        <w:rPr>
          <w:rFonts w:ascii="Book Antiqua" w:eastAsia="Book Antiqua" w:hAnsi="Book Antiqua" w:cs="Book Antiqua"/>
          <w:color w:val="000000" w:themeColor="text1"/>
        </w:rPr>
        <w:t>proposed and designed the study</w:t>
      </w:r>
      <w:r w:rsidR="009709C0" w:rsidRPr="002E2DEC">
        <w:rPr>
          <w:rFonts w:ascii="Book Antiqua" w:hAnsi="Book Antiqua" w:cs="Book Antiqua"/>
          <w:color w:val="000000" w:themeColor="text1"/>
          <w:lang w:eastAsia="zh-CN"/>
        </w:rPr>
        <w:t>;</w:t>
      </w:r>
      <w:r w:rsidRPr="002E2DEC">
        <w:rPr>
          <w:rFonts w:ascii="Book Antiqua" w:eastAsia="Book Antiqua" w:hAnsi="Book Antiqua" w:cs="Book Antiqua"/>
          <w:color w:val="000000" w:themeColor="text1"/>
        </w:rPr>
        <w:t xml:space="preserve"> Li X, Liu XS and Hua</w:t>
      </w:r>
      <w:r w:rsidR="009709C0" w:rsidRPr="002E2DEC">
        <w:rPr>
          <w:rFonts w:ascii="Book Antiqua" w:eastAsia="Book Antiqua" w:hAnsi="Book Antiqua" w:cs="Book Antiqua"/>
          <w:color w:val="000000" w:themeColor="text1"/>
        </w:rPr>
        <w:t>ng SJ collected data</w:t>
      </w:r>
      <w:r w:rsidR="009709C0" w:rsidRPr="002E2DEC">
        <w:rPr>
          <w:rFonts w:ascii="Book Antiqua" w:hAnsi="Book Antiqua" w:cs="Book Antiqua"/>
          <w:color w:val="000000" w:themeColor="text1"/>
          <w:lang w:eastAsia="zh-CN"/>
        </w:rPr>
        <w:t>;</w:t>
      </w:r>
      <w:r w:rsidR="009709C0" w:rsidRPr="002E2DEC">
        <w:rPr>
          <w:rFonts w:ascii="Book Antiqua" w:eastAsia="Book Antiqua" w:hAnsi="Book Antiqua" w:cs="Book Antiqua"/>
          <w:color w:val="000000" w:themeColor="text1"/>
        </w:rPr>
        <w:t xml:space="preserve"> Li GH and</w:t>
      </w:r>
      <w:r w:rsidRPr="002E2DEC">
        <w:rPr>
          <w:rFonts w:ascii="Book Antiqua" w:eastAsia="Book Antiqua" w:hAnsi="Book Antiqua" w:cs="Book Antiqua"/>
          <w:color w:val="000000" w:themeColor="text1"/>
        </w:rPr>
        <w:t xml:space="preserve"> Huang S</w:t>
      </w:r>
      <w:r w:rsidR="009709C0" w:rsidRPr="002E2DEC">
        <w:rPr>
          <w:rFonts w:ascii="Book Antiqua" w:eastAsia="Book Antiqua" w:hAnsi="Book Antiqua" w:cs="Book Antiqua"/>
          <w:color w:val="000000" w:themeColor="text1"/>
        </w:rPr>
        <w:t>J analyzed and interpreted data</w:t>
      </w:r>
      <w:r w:rsidR="009709C0" w:rsidRPr="002E2DEC">
        <w:rPr>
          <w:rFonts w:ascii="Book Antiqua" w:hAnsi="Book Antiqua" w:cs="Book Antiqua"/>
          <w:color w:val="000000" w:themeColor="text1"/>
          <w:lang w:eastAsia="zh-CN"/>
        </w:rPr>
        <w:t>;</w:t>
      </w:r>
      <w:r w:rsidR="009709C0" w:rsidRPr="002E2DEC">
        <w:rPr>
          <w:rFonts w:ascii="Book Antiqua" w:eastAsia="Book Antiqua" w:hAnsi="Book Antiqua" w:cs="Book Antiqua"/>
          <w:color w:val="000000" w:themeColor="text1"/>
        </w:rPr>
        <w:t xml:space="preserve"> Li GH</w:t>
      </w:r>
      <w:r w:rsidRPr="002E2DEC">
        <w:rPr>
          <w:rFonts w:ascii="Book Antiqua" w:eastAsia="Book Antiqua" w:hAnsi="Book Antiqua" w:cs="Book Antiqua"/>
          <w:color w:val="000000" w:themeColor="text1"/>
        </w:rPr>
        <w:t xml:space="preserve"> </w:t>
      </w:r>
      <w:r w:rsidR="009709C0" w:rsidRPr="002E2DEC">
        <w:rPr>
          <w:rFonts w:ascii="Book Antiqua" w:eastAsia="Book Antiqua" w:hAnsi="Book Antiqua" w:cs="Book Antiqua"/>
          <w:color w:val="000000" w:themeColor="text1"/>
          <w:shd w:val="clear" w:color="auto" w:fill="FFFFFF"/>
        </w:rPr>
        <w:t>drafted the manuscript</w:t>
      </w:r>
      <w:r w:rsidR="009709C0" w:rsidRPr="002E2DEC">
        <w:rPr>
          <w:rFonts w:ascii="Book Antiqua" w:hAnsi="Book Antiqua" w:cs="Book Antiqua"/>
          <w:color w:val="000000" w:themeColor="text1"/>
          <w:shd w:val="clear" w:color="auto" w:fill="FFFFFF"/>
          <w:lang w:eastAsia="zh-CN"/>
        </w:rPr>
        <w:t>;</w:t>
      </w:r>
      <w:r w:rsidR="009709C0" w:rsidRPr="002E2DEC">
        <w:rPr>
          <w:rFonts w:ascii="Book Antiqua" w:eastAsia="Book Antiqua" w:hAnsi="Book Antiqua" w:cs="Book Antiqua"/>
          <w:color w:val="000000" w:themeColor="text1"/>
          <w:shd w:val="clear" w:color="auto" w:fill="FFFFFF"/>
        </w:rPr>
        <w:t xml:space="preserve"> Du QL and Huang SJ </w:t>
      </w:r>
      <w:r w:rsidRPr="002E2DEC">
        <w:rPr>
          <w:rFonts w:ascii="Book Antiqua" w:eastAsia="Book Antiqua" w:hAnsi="Book Antiqua" w:cs="Book Antiqua"/>
          <w:color w:val="000000" w:themeColor="text1"/>
          <w:shd w:val="clear" w:color="auto" w:fill="FFFFFF"/>
        </w:rPr>
        <w:t>rev</w:t>
      </w:r>
      <w:r w:rsidR="009709C0" w:rsidRPr="002E2DEC">
        <w:rPr>
          <w:rFonts w:ascii="Book Antiqua" w:eastAsia="Book Antiqua" w:hAnsi="Book Antiqua" w:cs="Book Antiqua"/>
          <w:color w:val="000000" w:themeColor="text1"/>
          <w:shd w:val="clear" w:color="auto" w:fill="FFFFFF"/>
        </w:rPr>
        <w:t>iewed and edited the manuscript</w:t>
      </w:r>
      <w:r w:rsidR="009709C0" w:rsidRPr="002E2DEC">
        <w:rPr>
          <w:rFonts w:ascii="Book Antiqua" w:hAnsi="Book Antiqua" w:cs="Book Antiqua"/>
          <w:color w:val="000000" w:themeColor="text1"/>
          <w:shd w:val="clear" w:color="auto" w:fill="FFFFFF"/>
          <w:lang w:eastAsia="zh-CN"/>
        </w:rPr>
        <w:t>;</w:t>
      </w:r>
      <w:r w:rsidR="009709C0" w:rsidRPr="002E2DEC">
        <w:rPr>
          <w:rFonts w:ascii="Book Antiqua" w:eastAsia="Book Antiqua" w:hAnsi="Book Antiqua" w:cs="Book Antiqua"/>
          <w:color w:val="000000" w:themeColor="text1"/>
          <w:shd w:val="clear" w:color="auto" w:fill="FFFFFF"/>
        </w:rPr>
        <w:t xml:space="preserve"> Du QL</w:t>
      </w:r>
      <w:r w:rsidRPr="002E2DEC">
        <w:rPr>
          <w:rFonts w:ascii="Book Antiqua" w:eastAsia="Book Antiqua" w:hAnsi="Book Antiqua" w:cs="Book Antiqua"/>
          <w:color w:val="000000" w:themeColor="text1"/>
          <w:shd w:val="clear" w:color="auto" w:fill="FFFFFF"/>
        </w:rPr>
        <w:t xml:space="preserve"> provided administrative support and funding acquisition</w:t>
      </w:r>
      <w:r w:rsidR="0052138C" w:rsidRPr="002E2DEC">
        <w:rPr>
          <w:rFonts w:ascii="Book Antiqua" w:eastAsia="Book Antiqua" w:hAnsi="Book Antiqua" w:cs="Book Antiqua"/>
          <w:color w:val="000000" w:themeColor="text1"/>
          <w:shd w:val="clear" w:color="auto" w:fill="FFFFFF"/>
        </w:rPr>
        <w:t xml:space="preserve">; </w:t>
      </w:r>
      <w:r w:rsidR="00D22219">
        <w:rPr>
          <w:rFonts w:ascii="Book Antiqua" w:eastAsia="Book Antiqua" w:hAnsi="Book Antiqua" w:cs="Book Antiqua"/>
          <w:color w:val="000000" w:themeColor="text1"/>
        </w:rPr>
        <w:t>A</w:t>
      </w:r>
      <w:r w:rsidRPr="002E2DEC">
        <w:rPr>
          <w:rFonts w:ascii="Book Antiqua" w:eastAsia="Book Antiqua" w:hAnsi="Book Antiqua" w:cs="Book Antiqua"/>
          <w:color w:val="000000" w:themeColor="text1"/>
        </w:rPr>
        <w:t>ll authors read, revised and approved the final draft.</w:t>
      </w:r>
      <w:r w:rsidRPr="002E2DEC">
        <w:rPr>
          <w:rFonts w:ascii="Book Antiqua" w:eastAsia="Book Antiqua" w:hAnsi="Book Antiqua" w:cs="Book Antiqua"/>
          <w:color w:val="000000" w:themeColor="text1"/>
          <w:shd w:val="clear" w:color="auto" w:fill="FFFFFF"/>
        </w:rPr>
        <w:t xml:space="preserve"> </w:t>
      </w:r>
    </w:p>
    <w:p w14:paraId="7D2EE8D0" w14:textId="77777777" w:rsidR="00A77B3E" w:rsidRPr="002E2DEC" w:rsidRDefault="00A77B3E" w:rsidP="002E2DEC">
      <w:pPr>
        <w:snapToGrid w:val="0"/>
        <w:spacing w:line="360" w:lineRule="auto"/>
        <w:jc w:val="both"/>
        <w:rPr>
          <w:rFonts w:ascii="Book Antiqua" w:hAnsi="Book Antiqua"/>
          <w:color w:val="000000" w:themeColor="text1"/>
        </w:rPr>
      </w:pPr>
    </w:p>
    <w:p w14:paraId="0BA66515"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Supported by </w:t>
      </w:r>
      <w:r w:rsidR="00EF4653" w:rsidRPr="002E2DEC">
        <w:rPr>
          <w:rFonts w:ascii="Book Antiqua" w:hAnsi="Book Antiqua" w:cs="Book Antiqua"/>
          <w:bCs/>
          <w:color w:val="000000" w:themeColor="text1"/>
          <w:lang w:eastAsia="zh-CN"/>
        </w:rPr>
        <w:t>the</w:t>
      </w:r>
      <w:r w:rsidR="00EF4653" w:rsidRPr="002E2DEC">
        <w:rPr>
          <w:rFonts w:ascii="Book Antiqua" w:hAnsi="Book Antiqua" w:cs="Book Antiqua"/>
          <w:b/>
          <w:bCs/>
          <w:color w:val="000000" w:themeColor="text1"/>
          <w:lang w:eastAsia="zh-CN"/>
        </w:rPr>
        <w:t xml:space="preserve"> </w:t>
      </w:r>
      <w:r w:rsidRPr="002E2DEC">
        <w:rPr>
          <w:rFonts w:ascii="Book Antiqua" w:eastAsia="Book Antiqua" w:hAnsi="Book Antiqua" w:cs="Book Antiqua"/>
          <w:color w:val="000000" w:themeColor="text1"/>
        </w:rPr>
        <w:t xml:space="preserve">Technology Project of Shanghai Pudong New District Health and Family Planning Commission, </w:t>
      </w:r>
      <w:r w:rsidRPr="002E2DEC">
        <w:rPr>
          <w:rFonts w:ascii="Book Antiqua" w:eastAsia="Book Antiqua" w:hAnsi="Book Antiqua" w:cs="Book Antiqua"/>
          <w:color w:val="000000" w:themeColor="text1"/>
          <w:shd w:val="clear" w:color="auto" w:fill="FFFFFF"/>
        </w:rPr>
        <w:t xml:space="preserve">No. </w:t>
      </w:r>
      <w:r w:rsidRPr="002E2DEC">
        <w:rPr>
          <w:rFonts w:ascii="Book Antiqua" w:eastAsia="Book Antiqua" w:hAnsi="Book Antiqua" w:cs="Book Antiqua"/>
          <w:color w:val="000000" w:themeColor="text1"/>
        </w:rPr>
        <w:t>PW2019D-9.</w:t>
      </w:r>
    </w:p>
    <w:p w14:paraId="0980914D" w14:textId="77777777" w:rsidR="00A77B3E" w:rsidRPr="002E2DEC" w:rsidRDefault="00A77B3E" w:rsidP="002E2DEC">
      <w:pPr>
        <w:snapToGrid w:val="0"/>
        <w:spacing w:line="360" w:lineRule="auto"/>
        <w:jc w:val="both"/>
        <w:rPr>
          <w:rFonts w:ascii="Book Antiqua" w:hAnsi="Book Antiqua"/>
          <w:color w:val="000000" w:themeColor="text1"/>
        </w:rPr>
      </w:pPr>
    </w:p>
    <w:p w14:paraId="2452F311" w14:textId="4C004818"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lastRenderedPageBreak/>
        <w:t xml:space="preserve">Corresponding author: Qiao-Ling Du, PhD, Doctor, </w:t>
      </w:r>
      <w:r w:rsidRPr="002E2DEC">
        <w:rPr>
          <w:rFonts w:ascii="Book Antiqua" w:eastAsia="Book Antiqua" w:hAnsi="Book Antiqua" w:cs="Book Antiqua"/>
          <w:color w:val="000000" w:themeColor="text1"/>
        </w:rPr>
        <w:t>Department of Obstetrics, Shanghai First Maternity and Infant Hospital, Tongji University School of Medicine, No.</w:t>
      </w:r>
      <w:r w:rsidR="00DD3F40" w:rsidRPr="002E2DEC">
        <w:rPr>
          <w:rFonts w:ascii="Book Antiqua" w:hAnsi="Book Antiqua" w:cs="Book Antiqua"/>
          <w:color w:val="000000" w:themeColor="text1"/>
          <w:lang w:eastAsia="zh-CN"/>
        </w:rPr>
        <w:t xml:space="preserve"> </w:t>
      </w:r>
      <w:r w:rsidRPr="002E2DEC">
        <w:rPr>
          <w:rFonts w:ascii="Book Antiqua" w:eastAsia="Book Antiqua" w:hAnsi="Book Antiqua" w:cs="Book Antiqua"/>
          <w:color w:val="000000" w:themeColor="text1"/>
        </w:rPr>
        <w:t>2699</w:t>
      </w:r>
      <w:r w:rsidR="00780900"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West Gaoke Road, Shanghai 200040, China. qldu2004@126.com</w:t>
      </w:r>
    </w:p>
    <w:p w14:paraId="1D43A094" w14:textId="77777777" w:rsidR="00A77B3E" w:rsidRPr="002E2DEC" w:rsidRDefault="00A77B3E" w:rsidP="002E2DEC">
      <w:pPr>
        <w:snapToGrid w:val="0"/>
        <w:spacing w:line="360" w:lineRule="auto"/>
        <w:jc w:val="both"/>
        <w:rPr>
          <w:rFonts w:ascii="Book Antiqua" w:hAnsi="Book Antiqua"/>
          <w:color w:val="000000" w:themeColor="text1"/>
        </w:rPr>
      </w:pPr>
    </w:p>
    <w:p w14:paraId="46741998"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Received: </w:t>
      </w:r>
      <w:r w:rsidRPr="002E2DEC">
        <w:rPr>
          <w:rFonts w:ascii="Book Antiqua" w:eastAsia="Book Antiqua" w:hAnsi="Book Antiqua" w:cs="Book Antiqua"/>
          <w:color w:val="000000" w:themeColor="text1"/>
        </w:rPr>
        <w:t>September 9, 2020</w:t>
      </w:r>
    </w:p>
    <w:p w14:paraId="6F06AF29" w14:textId="77777777" w:rsidR="00A77B3E" w:rsidRPr="002E2DEC" w:rsidRDefault="003022FF" w:rsidP="002E2DEC">
      <w:pPr>
        <w:snapToGrid w:val="0"/>
        <w:spacing w:line="360" w:lineRule="auto"/>
        <w:jc w:val="both"/>
        <w:rPr>
          <w:rFonts w:ascii="Book Antiqua" w:hAnsi="Book Antiqua"/>
          <w:color w:val="000000" w:themeColor="text1"/>
          <w:lang w:eastAsia="zh-CN"/>
        </w:rPr>
      </w:pPr>
      <w:r w:rsidRPr="002E2DEC">
        <w:rPr>
          <w:rFonts w:ascii="Book Antiqua" w:eastAsia="Book Antiqua" w:hAnsi="Book Antiqua" w:cs="Book Antiqua"/>
          <w:b/>
          <w:bCs/>
          <w:color w:val="000000" w:themeColor="text1"/>
        </w:rPr>
        <w:t xml:space="preserve">Revised: </w:t>
      </w:r>
      <w:r w:rsidR="00347953" w:rsidRPr="002E2DEC">
        <w:rPr>
          <w:rFonts w:ascii="Book Antiqua" w:hAnsi="Book Antiqua" w:cs="Book Antiqua"/>
          <w:bCs/>
          <w:color w:val="000000" w:themeColor="text1"/>
          <w:lang w:eastAsia="zh-CN"/>
        </w:rPr>
        <w:t>October 9, 2020</w:t>
      </w:r>
    </w:p>
    <w:p w14:paraId="6E7ABB04" w14:textId="235126DE"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Accepted: </w:t>
      </w:r>
      <w:r w:rsidR="0020450C" w:rsidRPr="002E2DEC">
        <w:rPr>
          <w:rFonts w:ascii="Book Antiqua" w:eastAsia="Book Antiqua" w:hAnsi="Book Antiqua" w:cs="Book Antiqua"/>
          <w:color w:val="000000" w:themeColor="text1"/>
        </w:rPr>
        <w:t>November 4, 2020</w:t>
      </w:r>
    </w:p>
    <w:p w14:paraId="756583DB" w14:textId="7FD1D310"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Published online:</w:t>
      </w:r>
      <w:r w:rsidR="00586FE6" w:rsidRPr="00586FE6">
        <w:rPr>
          <w:rFonts w:ascii="Book Antiqua" w:eastAsia="Book Antiqua" w:hAnsi="Book Antiqua" w:cs="Book Antiqua"/>
          <w:bCs/>
          <w:color w:val="000000"/>
        </w:rPr>
        <w:t xml:space="preserve"> </w:t>
      </w:r>
      <w:r w:rsidR="00586FE6" w:rsidRPr="00C142F0">
        <w:rPr>
          <w:rFonts w:ascii="Book Antiqua" w:eastAsia="Book Antiqua" w:hAnsi="Book Antiqua" w:cs="Book Antiqua"/>
          <w:bCs/>
          <w:color w:val="000000"/>
        </w:rPr>
        <w:t xml:space="preserve">December </w:t>
      </w:r>
      <w:r w:rsidR="00586FE6">
        <w:rPr>
          <w:rFonts w:ascii="Book Antiqua" w:hAnsi="Book Antiqua" w:cs="Book Antiqua" w:hint="eastAsia"/>
          <w:bCs/>
          <w:color w:val="000000"/>
          <w:lang w:eastAsia="zh-CN"/>
        </w:rPr>
        <w:t>14</w:t>
      </w:r>
      <w:r w:rsidR="00586FE6" w:rsidRPr="00C142F0">
        <w:rPr>
          <w:rFonts w:ascii="Book Antiqua" w:hAnsi="Book Antiqua" w:cs="Book Antiqua" w:hint="eastAsia"/>
          <w:bCs/>
          <w:color w:val="000000"/>
          <w:lang w:eastAsia="zh-CN"/>
        </w:rPr>
        <w:t>, 2020</w:t>
      </w:r>
      <w:r w:rsidRPr="002E2DEC">
        <w:rPr>
          <w:rFonts w:ascii="Book Antiqua" w:eastAsia="Book Antiqua" w:hAnsi="Book Antiqua" w:cs="Book Antiqua"/>
          <w:b/>
          <w:bCs/>
          <w:color w:val="000000" w:themeColor="text1"/>
        </w:rPr>
        <w:t xml:space="preserve"> </w:t>
      </w:r>
    </w:p>
    <w:p w14:paraId="52806F0E" w14:textId="77777777" w:rsidR="00260A5B" w:rsidRPr="002E2DEC" w:rsidRDefault="00260A5B" w:rsidP="002E2DEC">
      <w:pPr>
        <w:snapToGrid w:val="0"/>
        <w:spacing w:line="360" w:lineRule="auto"/>
        <w:jc w:val="both"/>
        <w:rPr>
          <w:rFonts w:ascii="Book Antiqua" w:hAnsi="Book Antiqua"/>
          <w:color w:val="000000" w:themeColor="text1"/>
        </w:rPr>
        <w:sectPr w:rsidR="00260A5B" w:rsidRPr="002E2DEC" w:rsidSect="00F7713A">
          <w:footerReference w:type="default" r:id="rId8"/>
          <w:pgSz w:w="12240" w:h="15840"/>
          <w:pgMar w:top="1440" w:right="1440" w:bottom="1440" w:left="1440" w:header="720" w:footer="720" w:gutter="0"/>
          <w:cols w:space="720"/>
          <w:docGrid w:linePitch="360"/>
        </w:sectPr>
      </w:pPr>
    </w:p>
    <w:p w14:paraId="243147BA"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t>Abstract</w:t>
      </w:r>
    </w:p>
    <w:p w14:paraId="119963AB"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BACKGROUND</w:t>
      </w:r>
    </w:p>
    <w:p w14:paraId="44915A55" w14:textId="124D25E4" w:rsidR="00A77B3E" w:rsidRPr="002E2DEC" w:rsidRDefault="003022FF" w:rsidP="002E2DEC">
      <w:pPr>
        <w:snapToGrid w:val="0"/>
        <w:spacing w:line="360" w:lineRule="auto"/>
        <w:jc w:val="both"/>
        <w:rPr>
          <w:rFonts w:ascii="Book Antiqua" w:hAnsi="Book Antiqua" w:cs="Arial"/>
          <w:color w:val="000000" w:themeColor="text1"/>
          <w:shd w:val="clear" w:color="auto" w:fill="FFFFFF"/>
        </w:rPr>
      </w:pPr>
      <w:bookmarkStart w:id="0" w:name="OLE_LINK11"/>
      <w:bookmarkStart w:id="1" w:name="OLE_LINK12"/>
      <w:bookmarkStart w:id="2" w:name="OLE_LINK114"/>
      <w:bookmarkStart w:id="3" w:name="OLE_LINK3"/>
      <w:bookmarkStart w:id="4" w:name="OLE_LINK4"/>
      <w:r w:rsidRPr="002E2DEC">
        <w:rPr>
          <w:rFonts w:ascii="Book Antiqua" w:eastAsia="Book Antiqua" w:hAnsi="Book Antiqua" w:cs="Book Antiqua"/>
          <w:color w:val="000000" w:themeColor="text1"/>
        </w:rPr>
        <w:t>Intrahepatic cholestasis in pregnancy</w:t>
      </w:r>
      <w:bookmarkEnd w:id="0"/>
      <w:bookmarkEnd w:id="1"/>
      <w:bookmarkEnd w:id="2"/>
      <w:r w:rsidRPr="002E2DEC">
        <w:rPr>
          <w:rFonts w:ascii="Book Antiqua" w:eastAsia="Book Antiqua" w:hAnsi="Book Antiqua" w:cs="Book Antiqua"/>
          <w:color w:val="000000" w:themeColor="text1"/>
        </w:rPr>
        <w:t xml:space="preserve"> (ICP)</w:t>
      </w:r>
      <w:bookmarkEnd w:id="3"/>
      <w:bookmarkEnd w:id="4"/>
      <w:r w:rsidRPr="002E2DEC">
        <w:rPr>
          <w:rFonts w:ascii="Book Antiqua" w:eastAsia="Book Antiqua" w:hAnsi="Book Antiqua" w:cs="Book Antiqua"/>
          <w:color w:val="000000" w:themeColor="text1"/>
        </w:rPr>
        <w:t xml:space="preserve"> is the most common liver disease during pregnancy, and its </w:t>
      </w:r>
      <w:r w:rsidR="00CC3EF9" w:rsidRPr="002E2DEC">
        <w:rPr>
          <w:rFonts w:ascii="Book Antiqua" w:eastAsia="Book Antiqua" w:hAnsi="Book Antiqua" w:cs="Book Antiqua"/>
          <w:color w:val="000000" w:themeColor="text1"/>
        </w:rPr>
        <w:t>exact etiology</w:t>
      </w:r>
      <w:r w:rsidRPr="002E2DEC">
        <w:rPr>
          <w:rFonts w:ascii="Book Antiqua" w:eastAsia="Book Antiqua" w:hAnsi="Book Antiqua" w:cs="Book Antiqua"/>
          <w:color w:val="000000" w:themeColor="text1"/>
        </w:rPr>
        <w:t xml:space="preserve"> and course of progression are still poorly understood.</w:t>
      </w:r>
    </w:p>
    <w:p w14:paraId="17434619" w14:textId="77777777" w:rsidR="00A77B3E" w:rsidRPr="002E2DEC" w:rsidRDefault="00A77B3E" w:rsidP="002E2DEC">
      <w:pPr>
        <w:snapToGrid w:val="0"/>
        <w:spacing w:line="360" w:lineRule="auto"/>
        <w:jc w:val="both"/>
        <w:rPr>
          <w:rFonts w:ascii="Book Antiqua" w:hAnsi="Book Antiqua"/>
          <w:color w:val="000000" w:themeColor="text1"/>
        </w:rPr>
      </w:pPr>
    </w:p>
    <w:p w14:paraId="0AE4F10C"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AIM</w:t>
      </w:r>
    </w:p>
    <w:p w14:paraId="0C00032C" w14:textId="7D0CC250"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To investigate the link between the gut microbiota and serum metabolome in ICP patients.</w:t>
      </w:r>
    </w:p>
    <w:p w14:paraId="77867018" w14:textId="77777777" w:rsidR="00A77B3E" w:rsidRPr="002E2DEC" w:rsidRDefault="00A77B3E" w:rsidP="002E2DEC">
      <w:pPr>
        <w:snapToGrid w:val="0"/>
        <w:spacing w:line="360" w:lineRule="auto"/>
        <w:jc w:val="both"/>
        <w:rPr>
          <w:rFonts w:ascii="Book Antiqua" w:hAnsi="Book Antiqua"/>
          <w:color w:val="000000" w:themeColor="text1"/>
        </w:rPr>
      </w:pPr>
    </w:p>
    <w:p w14:paraId="7B874300"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METHODS</w:t>
      </w:r>
    </w:p>
    <w:p w14:paraId="0F2241A0" w14:textId="0AB67563"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In this study, a total of 30 patients were recruited, including 15 patients with ICP (disease group) and 15 healthy pregnant patients (healthy group). The serum nontarget metabolomes from both groups were determined. Amplification of the 16S rRNA V3-V4 region was performed using fecal samples from the disease and healthy groups. By comparing the differences in the microbiota and metabolite compositions between the two groups, the relationship between the gut microbiota and serum metabolites was also investigated.</w:t>
      </w:r>
    </w:p>
    <w:p w14:paraId="303C5CE2" w14:textId="77777777" w:rsidR="00A77B3E" w:rsidRPr="002E2DEC" w:rsidRDefault="00A77B3E" w:rsidP="002E2DEC">
      <w:pPr>
        <w:snapToGrid w:val="0"/>
        <w:spacing w:line="360" w:lineRule="auto"/>
        <w:jc w:val="both"/>
        <w:rPr>
          <w:rFonts w:ascii="Book Antiqua" w:hAnsi="Book Antiqua"/>
          <w:color w:val="000000" w:themeColor="text1"/>
        </w:rPr>
      </w:pPr>
    </w:p>
    <w:p w14:paraId="16C42811"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RESULTS</w:t>
      </w:r>
    </w:p>
    <w:p w14:paraId="7E41BF1B" w14:textId="72316D11"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 xml:space="preserve">The </w:t>
      </w:r>
      <w:r w:rsidR="00EC7AAD" w:rsidRPr="002E2DEC">
        <w:rPr>
          <w:rFonts w:ascii="Book Antiqua" w:eastAsia="Book Antiqua" w:hAnsi="Book Antiqua" w:cs="Book Antiqua"/>
          <w:color w:val="000000" w:themeColor="text1"/>
        </w:rPr>
        <w:t>Kyoto Encyclopedia of Genes and Genomes</w:t>
      </w:r>
      <w:r w:rsidRPr="002E2DEC">
        <w:rPr>
          <w:rFonts w:ascii="Book Antiqua" w:eastAsia="Book Antiqua" w:hAnsi="Book Antiqua" w:cs="Book Antiqua"/>
          <w:color w:val="000000" w:themeColor="text1"/>
        </w:rPr>
        <w:t xml:space="preserve"> analysis results showed that the primary bile acid biosynthesis, bile secretion and taurine and hypotaurine metabolism pathways were enriched in the ICP patients compared with the healthy controls. In addition, some pathways related to protein metabolism were also enriched in the ICP patients. The principal coordination analysis results showed that there was a </w:t>
      </w:r>
      <w:r w:rsidR="004A209E" w:rsidRPr="002E2DEC">
        <w:rPr>
          <w:rFonts w:ascii="Book Antiqua" w:eastAsia="Book Antiqua" w:hAnsi="Book Antiqua" w:cs="Book Antiqua"/>
          <w:color w:val="000000" w:themeColor="text1"/>
        </w:rPr>
        <w:t>distinct</w:t>
      </w:r>
      <w:r w:rsidRPr="002E2DEC">
        <w:rPr>
          <w:rFonts w:ascii="Book Antiqua" w:eastAsia="Book Antiqua" w:hAnsi="Book Antiqua" w:cs="Book Antiqua"/>
          <w:color w:val="000000" w:themeColor="text1"/>
        </w:rPr>
        <w:t xml:space="preserve"> difference in the gut microbiota composition (beta diversity) between the ICP patients and healthy controls. At the phylum level, we observed that the relative abundance of Firmicutes was higher in the healthy group, while Bacteroidetes were enriched in the disease group. At the genus level, most of the bacteria depleted in ICP are able to produce short-chain fatty acids (</w:t>
      </w:r>
      <w:r w:rsidRPr="002E2DEC">
        <w:rPr>
          <w:rFonts w:ascii="Book Antiqua" w:eastAsia="Book Antiqua" w:hAnsi="Book Antiqua" w:cs="Book Antiqua"/>
          <w:i/>
          <w:color w:val="000000" w:themeColor="text1"/>
        </w:rPr>
        <w:t>e.g</w:t>
      </w:r>
      <w:r w:rsidR="003D253E" w:rsidRPr="002E2DEC">
        <w:rPr>
          <w:rFonts w:ascii="Book Antiqua" w:eastAsia="Book Antiqua" w:hAnsi="Book Antiqua" w:cs="Book Antiqua"/>
          <w:i/>
          <w:color w:val="000000" w:themeColor="text1"/>
        </w:rPr>
        <w:t>.</w:t>
      </w:r>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 xml:space="preserve">Faecalibacterium, Blautia </w:t>
      </w:r>
      <w:r w:rsidRPr="002E2DEC">
        <w:rPr>
          <w:rFonts w:ascii="Book Antiqua" w:eastAsia="Book Antiqua" w:hAnsi="Book Antiqua" w:cs="Book Antiqua"/>
          <w:color w:val="000000" w:themeColor="text1"/>
        </w:rPr>
        <w:t xml:space="preserve">and </w:t>
      </w:r>
      <w:r w:rsidRPr="002E2DEC">
        <w:rPr>
          <w:rFonts w:ascii="Book Antiqua" w:eastAsia="Book Antiqua" w:hAnsi="Book Antiqua" w:cs="Book Antiqua"/>
          <w:i/>
          <w:iCs/>
          <w:color w:val="000000" w:themeColor="text1"/>
        </w:rPr>
        <w:t>Eubacterium hallii</w:t>
      </w:r>
      <w:r w:rsidRPr="002E2DEC">
        <w:rPr>
          <w:rFonts w:ascii="Book Antiqua" w:eastAsia="Book Antiqua" w:hAnsi="Book Antiqua" w:cs="Book Antiqua"/>
          <w:color w:val="000000" w:themeColor="text1"/>
        </w:rPr>
        <w:t>), while the bacteria enriched in ICP are associated with bile acid metabolism (</w:t>
      </w:r>
      <w:r w:rsidRPr="002E2DEC">
        <w:rPr>
          <w:rFonts w:ascii="Book Antiqua" w:eastAsia="Book Antiqua" w:hAnsi="Book Antiqua" w:cs="Book Antiqua"/>
          <w:i/>
          <w:color w:val="000000" w:themeColor="text1"/>
        </w:rPr>
        <w:t>e.g</w:t>
      </w:r>
      <w:r w:rsidR="00D30883" w:rsidRPr="002E2DEC">
        <w:rPr>
          <w:rFonts w:ascii="Book Antiqua" w:eastAsia="Book Antiqua" w:hAnsi="Book Antiqua" w:cs="Book Antiqua"/>
          <w:i/>
          <w:color w:val="000000" w:themeColor="text1"/>
        </w:rPr>
        <w:t>.</w:t>
      </w:r>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 xml:space="preserve">Parabacteroides </w:t>
      </w:r>
      <w:r w:rsidRPr="002E2DEC">
        <w:rPr>
          <w:rFonts w:ascii="Book Antiqua" w:eastAsia="Book Antiqua" w:hAnsi="Book Antiqua" w:cs="Book Antiqua"/>
          <w:color w:val="000000" w:themeColor="text1"/>
        </w:rPr>
        <w:t>and</w:t>
      </w:r>
      <w:r w:rsidRPr="002E2DEC">
        <w:rPr>
          <w:rFonts w:ascii="Book Antiqua" w:eastAsia="Book Antiqua" w:hAnsi="Book Antiqua" w:cs="Book Antiqua"/>
          <w:i/>
          <w:iCs/>
          <w:color w:val="000000" w:themeColor="text1"/>
        </w:rPr>
        <w:t xml:space="preserve"> Bilophila</w:t>
      </w:r>
      <w:r w:rsidRPr="002E2DEC">
        <w:rPr>
          <w:rFonts w:ascii="Book Antiqua" w:eastAsia="Book Antiqua" w:hAnsi="Book Antiqua" w:cs="Book Antiqua"/>
          <w:color w:val="000000" w:themeColor="text1"/>
        </w:rPr>
        <w:t>). Our results also showed that specific genera were associated with the serum metabolome.</w:t>
      </w:r>
    </w:p>
    <w:p w14:paraId="3B4D7215" w14:textId="77777777" w:rsidR="00A77B3E" w:rsidRPr="002E2DEC" w:rsidRDefault="00A77B3E" w:rsidP="002E2DEC">
      <w:pPr>
        <w:snapToGrid w:val="0"/>
        <w:spacing w:line="360" w:lineRule="auto"/>
        <w:jc w:val="both"/>
        <w:rPr>
          <w:rFonts w:ascii="Book Antiqua" w:hAnsi="Book Antiqua"/>
          <w:color w:val="000000" w:themeColor="text1"/>
        </w:rPr>
      </w:pPr>
    </w:p>
    <w:p w14:paraId="251E7276"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CONCLUSION</w:t>
      </w:r>
    </w:p>
    <w:p w14:paraId="1C19E2C0" w14:textId="6D32155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Our study showed that the serum metabolome was altered in ICP patients compared to healthy controls, with significant differences in the bile, taurine and hypotaurine metabolite pathways. Alterations in the metabolization of these pathways may lead to disturbances in the gut microbiota, which may further affect the course of progression of ICP.</w:t>
      </w:r>
    </w:p>
    <w:p w14:paraId="281C96F9" w14:textId="77777777" w:rsidR="00A77B3E" w:rsidRPr="002E2DEC" w:rsidRDefault="00A77B3E" w:rsidP="002E2DEC">
      <w:pPr>
        <w:snapToGrid w:val="0"/>
        <w:spacing w:line="360" w:lineRule="auto"/>
        <w:jc w:val="both"/>
        <w:rPr>
          <w:rFonts w:ascii="Book Antiqua" w:hAnsi="Book Antiqua"/>
          <w:color w:val="000000" w:themeColor="text1"/>
        </w:rPr>
      </w:pPr>
    </w:p>
    <w:p w14:paraId="6BD8A346"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Key Words: </w:t>
      </w:r>
      <w:r w:rsidRPr="002E2DEC">
        <w:rPr>
          <w:rFonts w:ascii="Book Antiqua" w:eastAsia="Book Antiqua" w:hAnsi="Book Antiqua" w:cs="Book Antiqua"/>
          <w:color w:val="000000" w:themeColor="text1"/>
        </w:rPr>
        <w:t>Intrahepatic cholestasis in pregnancy; Metabolome; Gut microbiota; Bile acids</w:t>
      </w:r>
    </w:p>
    <w:p w14:paraId="70FCA5F2" w14:textId="77777777" w:rsidR="00A77B3E" w:rsidRPr="00913017" w:rsidRDefault="00A77B3E" w:rsidP="002E2DEC">
      <w:pPr>
        <w:snapToGrid w:val="0"/>
        <w:spacing w:line="360" w:lineRule="auto"/>
        <w:jc w:val="both"/>
        <w:rPr>
          <w:rFonts w:ascii="Book Antiqua" w:hAnsi="Book Antiqua"/>
          <w:b/>
          <w:color w:val="000000" w:themeColor="text1"/>
        </w:rPr>
      </w:pPr>
    </w:p>
    <w:p w14:paraId="1BB66B8A" w14:textId="6702C506" w:rsidR="00913017" w:rsidRDefault="00913017" w:rsidP="002E2DEC">
      <w:pPr>
        <w:snapToGrid w:val="0"/>
        <w:spacing w:line="360" w:lineRule="auto"/>
        <w:jc w:val="both"/>
        <w:rPr>
          <w:rFonts w:ascii="Book Antiqua" w:hAnsi="Book Antiqua" w:cs="Book Antiqua" w:hint="eastAsia"/>
          <w:color w:val="000000"/>
          <w:lang w:eastAsia="zh-CN"/>
        </w:rPr>
      </w:pPr>
      <w:r w:rsidRPr="00913017">
        <w:rPr>
          <w:rFonts w:ascii="Book Antiqua" w:hAnsi="Book Antiqua" w:cs="Book Antiqua" w:hint="eastAsia"/>
          <w:b/>
          <w:color w:val="000000" w:themeColor="text1"/>
          <w:lang w:eastAsia="zh-CN"/>
        </w:rPr>
        <w:t xml:space="preserve">Citation: </w:t>
      </w:r>
      <w:r w:rsidR="003022FF" w:rsidRPr="002E2DEC">
        <w:rPr>
          <w:rFonts w:ascii="Book Antiqua" w:eastAsia="Book Antiqua" w:hAnsi="Book Antiqua" w:cs="Book Antiqua"/>
          <w:color w:val="000000" w:themeColor="text1"/>
        </w:rPr>
        <w:t xml:space="preserve">Li GH, Huang SJ, Li X, Liu XS, Du QL. Response of </w:t>
      </w:r>
      <w:r w:rsidR="00D22219">
        <w:rPr>
          <w:rFonts w:ascii="Book Antiqua" w:eastAsia="Book Antiqua" w:hAnsi="Book Antiqua" w:cs="Book Antiqua"/>
          <w:color w:val="000000" w:themeColor="text1"/>
        </w:rPr>
        <w:t>g</w:t>
      </w:r>
      <w:r w:rsidR="003022FF" w:rsidRPr="002E2DEC">
        <w:rPr>
          <w:rFonts w:ascii="Book Antiqua" w:eastAsia="Book Antiqua" w:hAnsi="Book Antiqua" w:cs="Book Antiqua"/>
          <w:color w:val="000000" w:themeColor="text1"/>
        </w:rPr>
        <w:t xml:space="preserve">ut </w:t>
      </w:r>
      <w:r w:rsidR="00F30C14" w:rsidRPr="002E2DEC">
        <w:rPr>
          <w:rFonts w:ascii="Book Antiqua" w:eastAsia="Book Antiqua" w:hAnsi="Book Antiqua" w:cs="Book Antiqua"/>
          <w:color w:val="000000" w:themeColor="text1"/>
        </w:rPr>
        <w:t>microbiota to serum metabolome changes in intrahepatic cholestasis of pregnant p</w:t>
      </w:r>
      <w:r w:rsidR="003022FF" w:rsidRPr="002E2DEC">
        <w:rPr>
          <w:rFonts w:ascii="Book Antiqua" w:eastAsia="Book Antiqua" w:hAnsi="Book Antiqua" w:cs="Book Antiqua"/>
          <w:color w:val="000000" w:themeColor="text1"/>
        </w:rPr>
        <w:t xml:space="preserve">atients. </w:t>
      </w:r>
      <w:r w:rsidR="003022FF" w:rsidRPr="002E2DEC">
        <w:rPr>
          <w:rFonts w:ascii="Book Antiqua" w:eastAsia="Book Antiqua" w:hAnsi="Book Antiqua" w:cs="Book Antiqua"/>
          <w:i/>
          <w:iCs/>
          <w:color w:val="000000" w:themeColor="text1"/>
        </w:rPr>
        <w:t>World J Gastroenterol</w:t>
      </w:r>
      <w:r w:rsidR="003022FF" w:rsidRPr="002E2DEC">
        <w:rPr>
          <w:rFonts w:ascii="Book Antiqua" w:eastAsia="Book Antiqua" w:hAnsi="Book Antiqua" w:cs="Book Antiqua"/>
          <w:color w:val="000000" w:themeColor="text1"/>
        </w:rPr>
        <w:t xml:space="preserve"> </w:t>
      </w:r>
      <w:r w:rsidR="00B44026" w:rsidRPr="0032360E">
        <w:rPr>
          <w:rFonts w:ascii="Book Antiqua" w:eastAsia="Book Antiqua" w:hAnsi="Book Antiqua" w:cs="Book Antiqua"/>
          <w:color w:val="000000"/>
        </w:rPr>
        <w:t>2020; 26(4</w:t>
      </w:r>
      <w:r w:rsidR="00B44026">
        <w:rPr>
          <w:rFonts w:ascii="Book Antiqua" w:hAnsi="Book Antiqua" w:cs="Book Antiqua" w:hint="eastAsia"/>
          <w:color w:val="000000"/>
          <w:lang w:eastAsia="zh-CN"/>
        </w:rPr>
        <w:t>6</w:t>
      </w:r>
      <w:r w:rsidR="00B44026" w:rsidRPr="0032360E">
        <w:rPr>
          <w:rFonts w:ascii="Book Antiqua" w:eastAsia="Book Antiqua" w:hAnsi="Book Antiqua" w:cs="Book Antiqua"/>
          <w:color w:val="000000"/>
        </w:rPr>
        <w:t xml:space="preserve">): </w:t>
      </w:r>
      <w:r w:rsidR="00AE1D76" w:rsidRPr="00AE1D76">
        <w:rPr>
          <w:rFonts w:ascii="Book Antiqua" w:hAnsi="Book Antiqua" w:cs="Book Antiqua"/>
          <w:color w:val="000000"/>
          <w:lang w:eastAsia="zh-CN"/>
        </w:rPr>
        <w:t>7338-7351</w:t>
      </w:r>
      <w:r w:rsidR="00B44026" w:rsidRPr="0032360E">
        <w:rPr>
          <w:rFonts w:ascii="Book Antiqua" w:eastAsia="Book Antiqua" w:hAnsi="Book Antiqua" w:cs="Book Antiqua"/>
          <w:color w:val="000000"/>
        </w:rPr>
        <w:t xml:space="preserve">  </w:t>
      </w:r>
    </w:p>
    <w:p w14:paraId="3341A009" w14:textId="77777777" w:rsidR="00913017" w:rsidRDefault="00B44026" w:rsidP="002E2DEC">
      <w:pPr>
        <w:snapToGrid w:val="0"/>
        <w:spacing w:line="360" w:lineRule="auto"/>
        <w:jc w:val="both"/>
        <w:rPr>
          <w:rFonts w:ascii="Book Antiqua" w:hAnsi="Book Antiqua" w:cs="Book Antiqua" w:hint="eastAsia"/>
          <w:color w:val="000000"/>
          <w:lang w:eastAsia="zh-CN"/>
        </w:rPr>
      </w:pPr>
      <w:r w:rsidRPr="00913017">
        <w:rPr>
          <w:rFonts w:ascii="Book Antiqua" w:eastAsia="Book Antiqua" w:hAnsi="Book Antiqua" w:cs="Book Antiqua"/>
          <w:b/>
          <w:color w:val="000000"/>
        </w:rPr>
        <w:t xml:space="preserve">URL: </w:t>
      </w:r>
      <w:r w:rsidRPr="0032360E">
        <w:rPr>
          <w:rFonts w:ascii="Book Antiqua" w:eastAsia="Book Antiqua" w:hAnsi="Book Antiqua" w:cs="Book Antiqua"/>
          <w:color w:val="000000"/>
        </w:rPr>
        <w:t>https://www.wjgnet.com/1007-9327/full/v26/i4</w:t>
      </w:r>
      <w:r>
        <w:rPr>
          <w:rFonts w:ascii="Book Antiqua" w:hAnsi="Book Antiqua" w:cs="Book Antiqua" w:hint="eastAsia"/>
          <w:color w:val="000000"/>
          <w:lang w:eastAsia="zh-CN"/>
        </w:rPr>
        <w:t>6</w:t>
      </w:r>
      <w:r w:rsidRPr="0032360E">
        <w:rPr>
          <w:rFonts w:ascii="Book Antiqua" w:eastAsia="Book Antiqua" w:hAnsi="Book Antiqua" w:cs="Book Antiqua"/>
          <w:color w:val="000000"/>
        </w:rPr>
        <w:t>/</w:t>
      </w:r>
      <w:r w:rsidR="00AE1D76">
        <w:rPr>
          <w:rFonts w:ascii="Book Antiqua" w:hAnsi="Book Antiqua" w:cs="Book Antiqua" w:hint="eastAsia"/>
          <w:color w:val="000000"/>
          <w:lang w:eastAsia="zh-CN"/>
        </w:rPr>
        <w:t>7338</w:t>
      </w:r>
      <w:r w:rsidRPr="0032360E">
        <w:rPr>
          <w:rFonts w:ascii="Book Antiqua" w:eastAsia="Book Antiqua" w:hAnsi="Book Antiqua" w:cs="Book Antiqua"/>
          <w:color w:val="000000"/>
        </w:rPr>
        <w:t xml:space="preserve">.htm  </w:t>
      </w:r>
    </w:p>
    <w:p w14:paraId="277715F3" w14:textId="77A55AD3" w:rsidR="00A77B3E" w:rsidRPr="002E2DEC" w:rsidRDefault="00B44026" w:rsidP="002E2DEC">
      <w:pPr>
        <w:snapToGrid w:val="0"/>
        <w:spacing w:line="360" w:lineRule="auto"/>
        <w:jc w:val="both"/>
        <w:rPr>
          <w:rFonts w:ascii="Book Antiqua" w:hAnsi="Book Antiqua"/>
          <w:color w:val="000000" w:themeColor="text1"/>
        </w:rPr>
      </w:pPr>
      <w:bookmarkStart w:id="5" w:name="_GoBack"/>
      <w:r w:rsidRPr="00913017">
        <w:rPr>
          <w:rFonts w:ascii="Book Antiqua" w:eastAsia="Book Antiqua" w:hAnsi="Book Antiqua" w:cs="Book Antiqua"/>
          <w:b/>
          <w:color w:val="000000"/>
        </w:rPr>
        <w:t xml:space="preserve">DOI: </w:t>
      </w:r>
      <w:bookmarkEnd w:id="5"/>
      <w:r w:rsidRPr="0032360E">
        <w:rPr>
          <w:rFonts w:ascii="Book Antiqua" w:eastAsia="Book Antiqua" w:hAnsi="Book Antiqua" w:cs="Book Antiqua"/>
          <w:color w:val="000000"/>
        </w:rPr>
        <w:t>https://dx.doi.org/10.3748/wjg.v26.i4</w:t>
      </w:r>
      <w:r>
        <w:rPr>
          <w:rFonts w:ascii="Book Antiqua" w:hAnsi="Book Antiqua" w:cs="Book Antiqua" w:hint="eastAsia"/>
          <w:color w:val="000000"/>
          <w:lang w:eastAsia="zh-CN"/>
        </w:rPr>
        <w:t>6</w:t>
      </w:r>
      <w:r w:rsidRPr="0032360E">
        <w:rPr>
          <w:rFonts w:ascii="Book Antiqua" w:eastAsia="Book Antiqua" w:hAnsi="Book Antiqua" w:cs="Book Antiqua"/>
          <w:color w:val="000000"/>
        </w:rPr>
        <w:t>.</w:t>
      </w:r>
      <w:r w:rsidR="00AE1D76">
        <w:rPr>
          <w:rFonts w:ascii="Book Antiqua" w:hAnsi="Book Antiqua" w:cs="Book Antiqua" w:hint="eastAsia"/>
          <w:color w:val="000000"/>
          <w:lang w:eastAsia="zh-CN"/>
        </w:rPr>
        <w:t>7338</w:t>
      </w:r>
    </w:p>
    <w:p w14:paraId="1E91C772" w14:textId="77777777" w:rsidR="00A77B3E" w:rsidRPr="002E2DEC" w:rsidRDefault="00A77B3E" w:rsidP="002E2DEC">
      <w:pPr>
        <w:snapToGrid w:val="0"/>
        <w:spacing w:line="360" w:lineRule="auto"/>
        <w:jc w:val="both"/>
        <w:rPr>
          <w:rFonts w:ascii="Book Antiqua" w:hAnsi="Book Antiqua"/>
          <w:color w:val="000000" w:themeColor="text1"/>
        </w:rPr>
      </w:pPr>
    </w:p>
    <w:p w14:paraId="599D34C8" w14:textId="3151DE61"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Core Tip: </w:t>
      </w:r>
      <w:r w:rsidRPr="002E2DEC">
        <w:rPr>
          <w:rFonts w:ascii="Book Antiqua" w:eastAsia="Book Antiqua" w:hAnsi="Book Antiqua" w:cs="Book Antiqua"/>
          <w:color w:val="000000" w:themeColor="text1"/>
        </w:rPr>
        <w:t xml:space="preserve">This study is the first to investigate the consequences of </w:t>
      </w:r>
      <w:r w:rsidR="004C462F" w:rsidRPr="002E2DEC">
        <w:rPr>
          <w:rFonts w:ascii="Book Antiqua" w:hAnsi="Book Antiqua" w:cs="Book Antiqua"/>
          <w:color w:val="000000" w:themeColor="text1"/>
          <w:lang w:eastAsia="zh-CN"/>
        </w:rPr>
        <w:t>i</w:t>
      </w:r>
      <w:r w:rsidR="004C462F" w:rsidRPr="002E2DEC">
        <w:rPr>
          <w:rFonts w:ascii="Book Antiqua" w:eastAsia="Book Antiqua" w:hAnsi="Book Antiqua" w:cs="Book Antiqua"/>
          <w:color w:val="000000" w:themeColor="text1"/>
        </w:rPr>
        <w:t xml:space="preserve">ntrahepatic cholestasis in pregnancy (ICP) </w:t>
      </w:r>
      <w:r w:rsidRPr="002E2DEC">
        <w:rPr>
          <w:rFonts w:ascii="Book Antiqua" w:eastAsia="Book Antiqua" w:hAnsi="Book Antiqua" w:cs="Book Antiqua"/>
          <w:color w:val="000000" w:themeColor="text1"/>
        </w:rPr>
        <w:t xml:space="preserve">with respect to the serum metabolome and gut microbiota. Our data suggest that ICP can cause significant changes in the serum metabolome. Changes in the relative abundance of bile acid-related compounds in serum due to ICP may have an impact on gut microbiota, which in turn may threaten the safety of pregnant women and fetuses. Our findings also suggest a mechanism of ICP that is associated with the microbiota </w:t>
      </w:r>
      <w:r w:rsidRPr="002E2DEC">
        <w:rPr>
          <w:rFonts w:ascii="Book Antiqua" w:eastAsia="Book Antiqua" w:hAnsi="Book Antiqua" w:cs="Book Antiqua"/>
          <w:i/>
          <w:iCs/>
          <w:color w:val="000000" w:themeColor="text1"/>
        </w:rPr>
        <w:t>via</w:t>
      </w:r>
      <w:r w:rsidRPr="002E2DEC">
        <w:rPr>
          <w:rFonts w:ascii="Book Antiqua" w:eastAsia="Book Antiqua" w:hAnsi="Book Antiqua" w:cs="Book Antiqua"/>
          <w:color w:val="000000" w:themeColor="text1"/>
        </w:rPr>
        <w:t xml:space="preserve"> changes in serum metabolites.</w:t>
      </w:r>
    </w:p>
    <w:p w14:paraId="7EFECAB9" w14:textId="77777777" w:rsidR="00A77B3E" w:rsidRPr="002E2DEC" w:rsidRDefault="00A77B3E" w:rsidP="002E2DEC">
      <w:pPr>
        <w:snapToGrid w:val="0"/>
        <w:spacing w:line="360" w:lineRule="auto"/>
        <w:jc w:val="both"/>
        <w:rPr>
          <w:rFonts w:ascii="Book Antiqua" w:hAnsi="Book Antiqua"/>
          <w:color w:val="000000" w:themeColor="text1"/>
        </w:rPr>
      </w:pPr>
    </w:p>
    <w:p w14:paraId="0FB414E5" w14:textId="77777777" w:rsidR="00A77B3E" w:rsidRPr="002E2DEC" w:rsidRDefault="00DE7C9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aps/>
          <w:color w:val="000000" w:themeColor="text1"/>
          <w:u w:val="single"/>
        </w:rPr>
        <w:br w:type="page"/>
      </w:r>
      <w:r w:rsidR="003022FF" w:rsidRPr="002E2DEC">
        <w:rPr>
          <w:rFonts w:ascii="Book Antiqua" w:eastAsia="Book Antiqua" w:hAnsi="Book Antiqua" w:cs="Book Antiqua"/>
          <w:b/>
          <w:caps/>
          <w:color w:val="000000" w:themeColor="text1"/>
          <w:u w:val="single"/>
        </w:rPr>
        <w:t>INTRODUCTION</w:t>
      </w:r>
    </w:p>
    <w:p w14:paraId="0A924812" w14:textId="2B740908" w:rsidR="00A77B3E" w:rsidRPr="002E2DEC" w:rsidRDefault="003022FF" w:rsidP="002E2DEC">
      <w:pPr>
        <w:snapToGrid w:val="0"/>
        <w:spacing w:line="360" w:lineRule="auto"/>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 xml:space="preserve">Intrahepatic cholestasis in pregnancy (ICP) is the most common </w:t>
      </w:r>
      <w:r w:rsidR="00197133" w:rsidRPr="002E2DEC">
        <w:rPr>
          <w:rFonts w:ascii="Book Antiqua" w:eastAsia="Book Antiqua" w:hAnsi="Book Antiqua" w:cs="Book Antiqua"/>
          <w:color w:val="000000" w:themeColor="text1"/>
        </w:rPr>
        <w:t>l</w:t>
      </w:r>
      <w:r w:rsidR="004A209E" w:rsidRPr="002E2DEC">
        <w:rPr>
          <w:rFonts w:ascii="Book Antiqua" w:eastAsia="Book Antiqua" w:hAnsi="Book Antiqua" w:cs="Book Antiqua"/>
          <w:color w:val="000000" w:themeColor="text1"/>
        </w:rPr>
        <w:t>iver disease associated with pregnancy</w:t>
      </w:r>
      <w:r w:rsidRPr="002E2DEC">
        <w:rPr>
          <w:rFonts w:ascii="Book Antiqua" w:eastAsia="Book Antiqua" w:hAnsi="Book Antiqua" w:cs="Book Antiqua"/>
          <w:color w:val="000000" w:themeColor="text1"/>
        </w:rPr>
        <w:t>. ICP usually develops in the third trimester of pregnancy and is characterized</w:t>
      </w:r>
      <w:r w:rsidR="00442F09"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by</w:t>
      </w:r>
      <w:r w:rsidR="00442F09" w:rsidRPr="002E2DEC">
        <w:rPr>
          <w:rFonts w:ascii="Book Antiqua" w:eastAsia="Book Antiqua" w:hAnsi="Book Antiqua" w:cs="Book Antiqua"/>
          <w:color w:val="000000" w:themeColor="text1"/>
        </w:rPr>
        <w:t xml:space="preserve"> </w:t>
      </w:r>
      <w:r w:rsidR="00197133" w:rsidRPr="002E2DEC">
        <w:rPr>
          <w:rFonts w:ascii="Book Antiqua" w:eastAsia="Book Antiqua" w:hAnsi="Book Antiqua" w:cs="Book Antiqua"/>
          <w:color w:val="000000" w:themeColor="text1"/>
        </w:rPr>
        <w:t>itching</w:t>
      </w:r>
      <w:r w:rsidRPr="002E2DEC">
        <w:rPr>
          <w:rFonts w:ascii="Book Antiqua" w:eastAsia="Book Antiqua" w:hAnsi="Book Antiqua" w:cs="Book Antiqua"/>
          <w:color w:val="000000" w:themeColor="text1"/>
        </w:rPr>
        <w:t xml:space="preserve"> and </w:t>
      </w:r>
      <w:r w:rsidR="00197133" w:rsidRPr="002E2DEC">
        <w:rPr>
          <w:rFonts w:ascii="Book Antiqua" w:eastAsia="Book Antiqua" w:hAnsi="Book Antiqua" w:cs="Book Antiqua"/>
          <w:color w:val="000000" w:themeColor="text1"/>
        </w:rPr>
        <w:t>increased</w:t>
      </w:r>
      <w:r w:rsidRPr="002E2DEC">
        <w:rPr>
          <w:rFonts w:ascii="Book Antiqua" w:eastAsia="Book Antiqua" w:hAnsi="Book Antiqua" w:cs="Book Antiqua"/>
          <w:color w:val="000000" w:themeColor="text1"/>
        </w:rPr>
        <w:t xml:space="preserve"> levels</w:t>
      </w:r>
      <w:r w:rsidR="00442F09"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of bile acid and/or alanine aminotransferase. The disease spontaneously resolves after delivery; however, it tends to recur in more severe forms in 45</w:t>
      </w:r>
      <w:r w:rsidR="00DE7C9F" w:rsidRPr="002E2DEC">
        <w:rPr>
          <w:rFonts w:ascii="Book Antiqua" w:hAnsi="Book Antiqua" w:cs="Book Antiqua"/>
          <w:color w:val="000000" w:themeColor="text1"/>
          <w:lang w:eastAsia="zh-CN"/>
        </w:rPr>
        <w:t>%</w:t>
      </w:r>
      <w:r w:rsidRPr="002E2DEC">
        <w:rPr>
          <w:rFonts w:ascii="Book Antiqua" w:eastAsia="Book Antiqua" w:hAnsi="Book Antiqua" w:cs="Book Antiqua"/>
          <w:color w:val="000000" w:themeColor="text1"/>
        </w:rPr>
        <w:t xml:space="preserve">-90% of patients during second pregnancies. The incidence of </w:t>
      </w:r>
      <w:r w:rsidR="00A606C5" w:rsidRPr="002E2DEC">
        <w:rPr>
          <w:rFonts w:ascii="Book Antiqua" w:eastAsia="Book Antiqua" w:hAnsi="Book Antiqua" w:cs="Book Antiqua"/>
          <w:color w:val="000000" w:themeColor="text1"/>
        </w:rPr>
        <w:t xml:space="preserve">intrahepatic cholestasis </w:t>
      </w:r>
      <w:r w:rsidRPr="002E2DEC">
        <w:rPr>
          <w:rFonts w:ascii="Book Antiqua" w:eastAsia="Book Antiqua" w:hAnsi="Book Antiqua" w:cs="Book Antiqua"/>
          <w:color w:val="000000" w:themeColor="text1"/>
        </w:rPr>
        <w:t>varies among ethnic groups according to geographic region</w:t>
      </w:r>
      <w:r w:rsidRPr="002E2DEC">
        <w:rPr>
          <w:rFonts w:ascii="Book Antiqua" w:eastAsia="Book Antiqua" w:hAnsi="Book Antiqua" w:cs="Book Antiqua"/>
          <w:color w:val="000000" w:themeColor="text1"/>
          <w:vertAlign w:val="superscript"/>
        </w:rPr>
        <w:t>[</w:t>
      </w:r>
      <w:hyperlink w:anchor="_ENREF_1" w:tooltip="Wood, 2018 #242" w:history="1">
        <w:r w:rsidRPr="002E2DEC">
          <w:rPr>
            <w:rFonts w:ascii="Book Antiqua" w:eastAsia="Book Antiqua" w:hAnsi="Book Antiqua" w:cs="Book Antiqua"/>
            <w:color w:val="000000" w:themeColor="text1"/>
            <w:vertAlign w:val="superscript"/>
          </w:rPr>
          <w:t>1</w:t>
        </w:r>
      </w:hyperlink>
      <w:r w:rsidRPr="002E2DEC">
        <w:rPr>
          <w:rFonts w:ascii="Book Antiqua" w:eastAsia="Book Antiqua" w:hAnsi="Book Antiqua" w:cs="Book Antiqua"/>
          <w:color w:val="000000" w:themeColor="text1"/>
          <w:vertAlign w:val="superscript"/>
        </w:rPr>
        <w:t>,</w:t>
      </w:r>
      <w:hyperlink w:anchor="_ENREF_2" w:tooltip="Lee, 2009 #243" w:history="1">
        <w:r w:rsidRPr="002E2DEC">
          <w:rPr>
            <w:rFonts w:ascii="Book Antiqua" w:eastAsia="Book Antiqua" w:hAnsi="Book Antiqua" w:cs="Book Antiqua"/>
            <w:color w:val="000000" w:themeColor="text1"/>
            <w:vertAlign w:val="superscript"/>
          </w:rPr>
          <w:t>2</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ICP increases the risk of premature delivery, intrauterine asphyxia, fecal staining of amniotic fluid and fetal bradycardia. Women with ICP have a significantly increased risk of preterm birth, stillbirth and admission to the neonatal unit for treatment</w:t>
      </w:r>
      <w:r w:rsidRPr="002E2DEC">
        <w:rPr>
          <w:rFonts w:ascii="Book Antiqua" w:eastAsia="Book Antiqua" w:hAnsi="Book Antiqua" w:cs="Book Antiqua"/>
          <w:color w:val="000000" w:themeColor="text1"/>
          <w:vertAlign w:val="superscript"/>
        </w:rPr>
        <w:t>[</w:t>
      </w:r>
      <w:hyperlink w:anchor="_ENREF_3" w:tooltip="Geenes, 2014 #247" w:history="1">
        <w:r w:rsidRPr="002E2DEC">
          <w:rPr>
            <w:rFonts w:ascii="Book Antiqua" w:eastAsia="Book Antiqua" w:hAnsi="Book Antiqua" w:cs="Book Antiqua"/>
            <w:color w:val="000000" w:themeColor="text1"/>
            <w:vertAlign w:val="superscript"/>
          </w:rPr>
          <w:t>3</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Other symptoms that can </w:t>
      </w:r>
      <w:r w:rsidR="00197133" w:rsidRPr="002E2DEC">
        <w:rPr>
          <w:rFonts w:ascii="Book Antiqua" w:eastAsia="Book Antiqua" w:hAnsi="Book Antiqua" w:cs="Book Antiqua"/>
          <w:color w:val="000000" w:themeColor="text1"/>
        </w:rPr>
        <w:t>impact</w:t>
      </w:r>
      <w:r w:rsidRPr="002E2DEC">
        <w:rPr>
          <w:rFonts w:ascii="Book Antiqua" w:eastAsia="Book Antiqua" w:hAnsi="Book Antiqua" w:cs="Book Antiqua"/>
          <w:color w:val="000000" w:themeColor="text1"/>
        </w:rPr>
        <w:t xml:space="preserve"> the fetus include neonatal depression and respiratory distress syndrome</w:t>
      </w:r>
      <w:r w:rsidRPr="002E2DEC">
        <w:rPr>
          <w:rFonts w:ascii="Book Antiqua" w:eastAsia="Book Antiqua" w:hAnsi="Book Antiqua" w:cs="Book Antiqua"/>
          <w:color w:val="000000" w:themeColor="text1"/>
          <w:vertAlign w:val="superscript"/>
        </w:rPr>
        <w:t>[</w:t>
      </w:r>
      <w:hyperlink w:anchor="_ENREF_4" w:tooltip="Brouwers, 2015 #246" w:history="1">
        <w:r w:rsidRPr="002E2DEC">
          <w:rPr>
            <w:rFonts w:ascii="Book Antiqua" w:eastAsia="Book Antiqua" w:hAnsi="Book Antiqua" w:cs="Book Antiqua"/>
            <w:color w:val="000000" w:themeColor="text1"/>
            <w:vertAlign w:val="superscript"/>
          </w:rPr>
          <w:t>4</w:t>
        </w:r>
      </w:hyperlink>
      <w:r w:rsidRPr="002E2DEC">
        <w:rPr>
          <w:rFonts w:ascii="Book Antiqua" w:eastAsia="Book Antiqua" w:hAnsi="Book Antiqua" w:cs="Book Antiqua"/>
          <w:color w:val="000000" w:themeColor="text1"/>
          <w:vertAlign w:val="superscript"/>
        </w:rPr>
        <w:t>,</w:t>
      </w:r>
      <w:hyperlink w:anchor="_ENREF_5" w:tooltip="Zecca, 2006 #245" w:history="1">
        <w:r w:rsidRPr="002E2DEC">
          <w:rPr>
            <w:rFonts w:ascii="Book Antiqua" w:eastAsia="Book Antiqua" w:hAnsi="Book Antiqua" w:cs="Book Antiqua"/>
            <w:color w:val="000000" w:themeColor="text1"/>
            <w:vertAlign w:val="superscript"/>
          </w:rPr>
          <w:t>5</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However, the etiology of cholestasis is poorly understood, and its management is difficult due to the </w:t>
      </w:r>
      <w:r w:rsidR="00DD25FC" w:rsidRPr="002E2DEC">
        <w:rPr>
          <w:rFonts w:ascii="Book Antiqua" w:eastAsia="Book Antiqua" w:hAnsi="Book Antiqua" w:cs="Book Antiqua"/>
          <w:color w:val="000000" w:themeColor="text1"/>
        </w:rPr>
        <w:t>lack</w:t>
      </w:r>
      <w:r w:rsidRPr="002E2DEC">
        <w:rPr>
          <w:rFonts w:ascii="Book Antiqua" w:eastAsia="Book Antiqua" w:hAnsi="Book Antiqua" w:cs="Book Antiqua"/>
          <w:color w:val="000000" w:themeColor="text1"/>
        </w:rPr>
        <w:t xml:space="preserve"> of data on its diagnosis, treatment and </w:t>
      </w:r>
      <w:r w:rsidR="00DD25FC" w:rsidRPr="002E2DEC">
        <w:rPr>
          <w:rFonts w:ascii="Book Antiqua" w:eastAsia="Book Antiqua" w:hAnsi="Book Antiqua" w:cs="Book Antiqua"/>
          <w:color w:val="000000" w:themeColor="text1"/>
        </w:rPr>
        <w:t>associated</w:t>
      </w:r>
      <w:r w:rsidRPr="002E2DEC">
        <w:rPr>
          <w:rFonts w:ascii="Book Antiqua" w:eastAsia="Book Antiqua" w:hAnsi="Book Antiqua" w:cs="Book Antiqua"/>
          <w:color w:val="000000" w:themeColor="text1"/>
        </w:rPr>
        <w:t xml:space="preserve"> adverse consequences.</w:t>
      </w:r>
    </w:p>
    <w:p w14:paraId="4D6F295C" w14:textId="5E9729BC" w:rsidR="00BD1AB7" w:rsidRPr="002E2DEC" w:rsidRDefault="003022FF" w:rsidP="002E2DEC">
      <w:pPr>
        <w:spacing w:line="360" w:lineRule="auto"/>
        <w:ind w:firstLineChars="100" w:firstLine="240"/>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 xml:space="preserve">At present, the most sensitive biochemical marker for the diagnosis of ICP is the level of total bile acid (TBA), which may be the first or only index measured by laboratory tests. The cut-off point has been defined as a concentration of </w:t>
      </w:r>
      <w:r w:rsidR="009E2B23" w:rsidRPr="002E2DEC">
        <w:rPr>
          <w:rFonts w:ascii="Book Antiqua" w:eastAsia="Book Antiqua" w:hAnsi="Book Antiqua" w:cs="Book Antiqua"/>
          <w:color w:val="000000" w:themeColor="text1"/>
        </w:rPr>
        <w:t>TBAs</w:t>
      </w:r>
      <w:r w:rsidRPr="002E2DEC">
        <w:rPr>
          <w:rFonts w:ascii="Book Antiqua" w:eastAsia="Book Antiqua" w:hAnsi="Book Antiqua" w:cs="Book Antiqua"/>
          <w:color w:val="000000" w:themeColor="text1"/>
        </w:rPr>
        <w:t xml:space="preserve"> higher than 10 μmol/L</w:t>
      </w:r>
      <w:r w:rsidRPr="002E2DEC">
        <w:rPr>
          <w:rFonts w:ascii="Book Antiqua" w:eastAsia="Book Antiqua" w:hAnsi="Book Antiqua" w:cs="Book Antiqua"/>
          <w:color w:val="000000" w:themeColor="text1"/>
          <w:vertAlign w:val="superscript"/>
        </w:rPr>
        <w:t>[</w:t>
      </w:r>
      <w:hyperlink w:anchor="_ENREF_3" w:tooltip="Geenes, 2014 #247" w:history="1">
        <w:r w:rsidRPr="002E2DEC">
          <w:rPr>
            <w:rFonts w:ascii="Book Antiqua" w:eastAsia="Book Antiqua" w:hAnsi="Book Antiqua" w:cs="Book Antiqua"/>
            <w:color w:val="000000" w:themeColor="text1"/>
            <w:vertAlign w:val="superscript"/>
          </w:rPr>
          <w:t>3</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Some prospective studies have assessed the risk of complications to fetal development at TBA concentrations higher than 40 μmol/L</w:t>
      </w:r>
      <w:r w:rsidRPr="002E2DEC">
        <w:rPr>
          <w:rFonts w:ascii="Book Antiqua" w:eastAsia="Book Antiqua" w:hAnsi="Book Antiqua" w:cs="Book Antiqua"/>
          <w:color w:val="000000" w:themeColor="text1"/>
          <w:vertAlign w:val="superscript"/>
        </w:rPr>
        <w:t>[</w:t>
      </w:r>
      <w:hyperlink w:anchor="_ENREF_3" w:tooltip="Geenes, 2014 #247" w:history="1">
        <w:r w:rsidRPr="002E2DEC">
          <w:rPr>
            <w:rFonts w:ascii="Book Antiqua" w:eastAsia="Book Antiqua" w:hAnsi="Book Antiqua" w:cs="Book Antiqua"/>
            <w:color w:val="000000" w:themeColor="text1"/>
            <w:vertAlign w:val="superscript"/>
          </w:rPr>
          <w:t>3</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In the human body, cholesterol forms primary bile acids through two different pathways. The classical pathway generates cholic acid and chenodeoxycholic acid (CDCA), and at least 75% of bile acids are produced by this pathway; on the other hand, the alternative pathway generates </w:t>
      </w:r>
      <w:r w:rsidRPr="002E2DEC">
        <w:rPr>
          <w:rFonts w:ascii="Book Antiqua" w:eastAsia="Book Antiqua" w:hAnsi="Book Antiqua" w:cs="Book Antiqua"/>
          <w:color w:val="000000"/>
        </w:rPr>
        <w:t>CDCA</w:t>
      </w:r>
      <w:r w:rsidRPr="002E2DEC">
        <w:rPr>
          <w:rFonts w:ascii="Book Antiqua" w:eastAsia="Book Antiqua" w:hAnsi="Book Antiqua" w:cs="Book Antiqua"/>
          <w:color w:val="000000" w:themeColor="text1"/>
          <w:vertAlign w:val="superscript"/>
        </w:rPr>
        <w:t>[</w:t>
      </w:r>
      <w:hyperlink w:anchor="_ENREF_6" w:tooltip="Wahlström, 2016 #248" w:history="1">
        <w:r w:rsidRPr="002E2DEC">
          <w:rPr>
            <w:rFonts w:ascii="Book Antiqua" w:eastAsia="Book Antiqua" w:hAnsi="Book Antiqua" w:cs="Book Antiqua"/>
            <w:color w:val="000000" w:themeColor="text1"/>
            <w:vertAlign w:val="superscript"/>
          </w:rPr>
          <w:t>6</w:t>
        </w:r>
      </w:hyperlink>
      <w:r w:rsidRPr="002E2DEC">
        <w:rPr>
          <w:rFonts w:ascii="Book Antiqua" w:eastAsia="Book Antiqua" w:hAnsi="Book Antiqua" w:cs="Book Antiqua"/>
          <w:color w:val="000000" w:themeColor="text1"/>
          <w:vertAlign w:val="superscript"/>
        </w:rPr>
        <w:t>,</w:t>
      </w:r>
      <w:hyperlink w:anchor="_ENREF_7" w:tooltip="de Aguiar Vallim, 2013 #249" w:history="1">
        <w:r w:rsidRPr="002E2DEC">
          <w:rPr>
            <w:rFonts w:ascii="Book Antiqua" w:eastAsia="Book Antiqua" w:hAnsi="Book Antiqua" w:cs="Book Antiqua"/>
            <w:color w:val="000000" w:themeColor="text1"/>
            <w:vertAlign w:val="superscript"/>
          </w:rPr>
          <w:t>7</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Primary bile acids are generated and conjugated with taurine and glycine to form conjugated bile acids. Unconjugated bile acids can cross cell membranes by diffusion, while conjugated bile acids need to be actively transported into the bile by a bile salt export pump and stored in the gallbladder. The gallbladder contracts to release bile acids into the intestine, and microorganisms from the gut microbiota continue to metabolize bile acids, glycine and taurine-conjugated </w:t>
      </w:r>
      <w:r w:rsidR="009E2B23" w:rsidRPr="002E2DEC">
        <w:rPr>
          <w:rFonts w:ascii="Book Antiqua" w:eastAsia="Book Antiqua" w:hAnsi="Book Antiqua" w:cs="Book Antiqua"/>
          <w:color w:val="000000" w:themeColor="text1"/>
        </w:rPr>
        <w:t>cholic acid</w:t>
      </w:r>
      <w:r w:rsidRPr="002E2DEC">
        <w:rPr>
          <w:rFonts w:ascii="Book Antiqua" w:eastAsia="Book Antiqua" w:hAnsi="Book Antiqua" w:cs="Book Antiqua"/>
          <w:color w:val="000000" w:themeColor="text1"/>
        </w:rPr>
        <w:t xml:space="preserve"> and </w:t>
      </w:r>
      <w:r w:rsidRPr="002E2DEC">
        <w:rPr>
          <w:rFonts w:ascii="Book Antiqua" w:eastAsia="Book Antiqua" w:hAnsi="Book Antiqua" w:cs="Book Antiqua"/>
          <w:color w:val="000000"/>
        </w:rPr>
        <w:t>CDCA</w:t>
      </w:r>
      <w:r w:rsidRPr="002E2DEC">
        <w:rPr>
          <w:rFonts w:ascii="Book Antiqua" w:eastAsia="Book Antiqua" w:hAnsi="Book Antiqua" w:cs="Book Antiqua"/>
          <w:color w:val="000000" w:themeColor="text1"/>
        </w:rPr>
        <w:t xml:space="preserve"> to form secondary bile acids </w:t>
      </w:r>
      <w:r w:rsidRPr="002E2DEC">
        <w:rPr>
          <w:rFonts w:ascii="Book Antiqua" w:eastAsia="Book Antiqua" w:hAnsi="Book Antiqua" w:cs="Book Antiqua"/>
          <w:i/>
          <w:iCs/>
          <w:color w:val="000000" w:themeColor="text1"/>
        </w:rPr>
        <w:t>via</w:t>
      </w:r>
      <w:r w:rsidRPr="002E2DEC">
        <w:rPr>
          <w:rFonts w:ascii="Book Antiqua" w:eastAsia="Book Antiqua" w:hAnsi="Book Antiqua" w:cs="Book Antiqua"/>
          <w:color w:val="000000" w:themeColor="text1"/>
        </w:rPr>
        <w:t xml:space="preserve"> bile acid hydrolase deconjugation and 7α-dehydroxylation</w:t>
      </w:r>
      <w:r w:rsidRPr="002E2DEC">
        <w:rPr>
          <w:rFonts w:ascii="Book Antiqua" w:eastAsia="Book Antiqua" w:hAnsi="Book Antiqua" w:cs="Book Antiqua"/>
          <w:color w:val="000000" w:themeColor="text1"/>
          <w:vertAlign w:val="superscript"/>
        </w:rPr>
        <w:t>[</w:t>
      </w:r>
      <w:hyperlink w:anchor="_ENREF_6" w:tooltip="Wahlström, 2016 #248" w:history="1">
        <w:r w:rsidRPr="002E2DEC">
          <w:rPr>
            <w:rFonts w:ascii="Book Antiqua" w:eastAsia="Book Antiqua" w:hAnsi="Book Antiqua" w:cs="Book Antiqua"/>
            <w:color w:val="000000" w:themeColor="text1"/>
            <w:vertAlign w:val="superscript"/>
          </w:rPr>
          <w:t>6</w:t>
        </w:r>
      </w:hyperlink>
      <w:r w:rsidRPr="002E2DEC">
        <w:rPr>
          <w:rFonts w:ascii="Book Antiqua" w:eastAsia="Book Antiqua" w:hAnsi="Book Antiqua" w:cs="Book Antiqua"/>
          <w:color w:val="000000" w:themeColor="text1"/>
          <w:vertAlign w:val="superscript"/>
        </w:rPr>
        <w:t>,</w:t>
      </w:r>
      <w:hyperlink w:anchor="_ENREF_8" w:tooltip="Jones, 2008 #250" w:history="1">
        <w:r w:rsidRPr="002E2DEC">
          <w:rPr>
            <w:rFonts w:ascii="Book Antiqua" w:eastAsia="Book Antiqua" w:hAnsi="Book Antiqua" w:cs="Book Antiqua"/>
            <w:color w:val="000000" w:themeColor="text1"/>
            <w:vertAlign w:val="superscript"/>
          </w:rPr>
          <w:t>8</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In the terminal ileum, most unconjugated bile acids are absorbed into intestinal epithelial cells by apical sodium-dependent bile acid transporters and then are secreted into the </w:t>
      </w:r>
      <w:r w:rsidR="00DD25FC" w:rsidRPr="002E2DEC">
        <w:rPr>
          <w:rFonts w:ascii="Book Antiqua" w:eastAsia="Book Antiqua" w:hAnsi="Book Antiqua" w:cs="Book Antiqua"/>
          <w:color w:val="000000" w:themeColor="text1"/>
        </w:rPr>
        <w:t>vena portae</w:t>
      </w:r>
      <w:r w:rsidR="008C0683" w:rsidRPr="002E2DEC">
        <w:rPr>
          <w:rFonts w:ascii="Book Antiqua" w:eastAsia="Book Antiqua" w:hAnsi="Book Antiqua" w:cs="Book Antiqua"/>
          <w:color w:val="000000" w:themeColor="text1"/>
        </w:rPr>
        <w:t xml:space="preserve">, eventually reaching the liver through the circulatory system and completing the liver-intestinal circulation. </w:t>
      </w:r>
    </w:p>
    <w:p w14:paraId="28E39AD4" w14:textId="34663B58" w:rsidR="00A77B3E" w:rsidRPr="002E2DEC" w:rsidRDefault="003022FF" w:rsidP="002E2DEC">
      <w:pPr>
        <w:snapToGrid w:val="0"/>
        <w:spacing w:line="360" w:lineRule="auto"/>
        <w:ind w:firstLineChars="100" w:firstLine="240"/>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Of the pool of bile acid, 90</w:t>
      </w:r>
      <w:r w:rsidR="008221C4" w:rsidRPr="002E2DEC">
        <w:rPr>
          <w:rFonts w:ascii="Book Antiqua" w:hAnsi="Book Antiqua" w:cs="Book Antiqua"/>
          <w:color w:val="000000" w:themeColor="text1"/>
          <w:lang w:eastAsia="zh-CN"/>
        </w:rPr>
        <w:t>%</w:t>
      </w:r>
      <w:r w:rsidRPr="002E2DEC">
        <w:rPr>
          <w:rFonts w:ascii="Book Antiqua" w:eastAsia="Book Antiqua" w:hAnsi="Book Antiqua" w:cs="Book Antiqua"/>
          <w:color w:val="000000" w:themeColor="text1"/>
        </w:rPr>
        <w:t xml:space="preserve">-95% is circulated daily, with approximately </w:t>
      </w:r>
      <w:r w:rsidR="00BD1AB7" w:rsidRPr="002E2DEC">
        <w:rPr>
          <w:rFonts w:ascii="Book Antiqua" w:eastAsia="Book Antiqua" w:hAnsi="Book Antiqua" w:cs="Book Antiqua"/>
          <w:color w:val="000000" w:themeColor="text1"/>
        </w:rPr>
        <w:t>six to ten</w:t>
      </w:r>
      <w:r w:rsidRPr="002E2DEC">
        <w:rPr>
          <w:rFonts w:ascii="Book Antiqua" w:eastAsia="Book Antiqua" w:hAnsi="Book Antiqua" w:cs="Book Antiqua"/>
          <w:color w:val="000000" w:themeColor="text1"/>
        </w:rPr>
        <w:t xml:space="preserve"> cycles between the intestine and the liver each day producing approximately 0.2-0.6 g of newly synthesized bile acids per day to maintain a stable pool of bile acids</w:t>
      </w:r>
      <w:r w:rsidRPr="002E2DEC">
        <w:rPr>
          <w:rFonts w:ascii="Book Antiqua" w:eastAsia="Book Antiqua" w:hAnsi="Book Antiqua" w:cs="Book Antiqua"/>
          <w:color w:val="000000" w:themeColor="text1"/>
          <w:vertAlign w:val="superscript"/>
        </w:rPr>
        <w:t>[</w:t>
      </w:r>
      <w:hyperlink w:anchor="_ENREF_6" w:tooltip="Wahlström, 2016 #248" w:history="1">
        <w:r w:rsidRPr="002E2DEC">
          <w:rPr>
            <w:rFonts w:ascii="Book Antiqua" w:eastAsia="Book Antiqua" w:hAnsi="Book Antiqua" w:cs="Book Antiqua"/>
            <w:color w:val="000000" w:themeColor="text1"/>
            <w:vertAlign w:val="superscript"/>
          </w:rPr>
          <w:t>6</w:t>
        </w:r>
      </w:hyperlink>
      <w:r w:rsidRPr="002E2DEC">
        <w:rPr>
          <w:rFonts w:ascii="Book Antiqua" w:eastAsia="Book Antiqua" w:hAnsi="Book Antiqua" w:cs="Book Antiqua"/>
          <w:color w:val="000000" w:themeColor="text1"/>
          <w:vertAlign w:val="superscript"/>
        </w:rPr>
        <w:t>,</w:t>
      </w:r>
      <w:hyperlink w:anchor="_ENREF_7" w:tooltip="de Aguiar Vallim, 2013 #249" w:history="1">
        <w:r w:rsidRPr="002E2DEC">
          <w:rPr>
            <w:rFonts w:ascii="Book Antiqua" w:eastAsia="Book Antiqua" w:hAnsi="Book Antiqua" w:cs="Book Antiqua"/>
            <w:color w:val="000000" w:themeColor="text1"/>
            <w:vertAlign w:val="superscript"/>
          </w:rPr>
          <w:t>7</w:t>
        </w:r>
      </w:hyperlink>
      <w:r w:rsidRPr="002E2DEC">
        <w:rPr>
          <w:rFonts w:ascii="Book Antiqua" w:eastAsia="Book Antiqua" w:hAnsi="Book Antiqua" w:cs="Book Antiqua"/>
          <w:color w:val="000000" w:themeColor="text1"/>
          <w:vertAlign w:val="superscript"/>
        </w:rPr>
        <w:t>,</w:t>
      </w:r>
      <w:hyperlink w:anchor="_ENREF_9" w:tooltip="Jia, 2018 #254" w:history="1">
        <w:r w:rsidRPr="002E2DEC">
          <w:rPr>
            <w:rFonts w:ascii="Book Antiqua" w:eastAsia="Book Antiqua" w:hAnsi="Book Antiqua" w:cs="Book Antiqua"/>
            <w:color w:val="000000" w:themeColor="text1"/>
            <w:vertAlign w:val="superscript"/>
          </w:rPr>
          <w:t>9</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The intestinal microbiome </w:t>
      </w:r>
      <w:r w:rsidR="00E7185B" w:rsidRPr="002E2DEC">
        <w:rPr>
          <w:rFonts w:ascii="Book Antiqua" w:eastAsia="Book Antiqua" w:hAnsi="Book Antiqua" w:cs="Book Antiqua"/>
          <w:color w:val="000000" w:themeColor="text1"/>
        </w:rPr>
        <w:t>exerts a</w:t>
      </w:r>
      <w:r w:rsidR="00E7185B" w:rsidRPr="002E2DEC">
        <w:rPr>
          <w:rFonts w:ascii="Book Antiqua" w:hAnsi="Book Antiqua" w:cs="Book Antiqua"/>
          <w:color w:val="000000" w:themeColor="text1"/>
          <w:lang w:eastAsia="zh-CN"/>
        </w:rPr>
        <w:t>n</w:t>
      </w:r>
      <w:r w:rsidR="00E7185B" w:rsidRPr="002E2DEC">
        <w:rPr>
          <w:rFonts w:ascii="Book Antiqua" w:eastAsia="Book Antiqua" w:hAnsi="Book Antiqua" w:cs="Book Antiqua"/>
          <w:color w:val="000000" w:themeColor="text1"/>
        </w:rPr>
        <w:t xml:space="preserve"> enormous function on </w:t>
      </w:r>
      <w:r w:rsidRPr="002E2DEC">
        <w:rPr>
          <w:rFonts w:ascii="Book Antiqua" w:eastAsia="Book Antiqua" w:hAnsi="Book Antiqua" w:cs="Book Antiqua"/>
          <w:color w:val="000000" w:themeColor="text1"/>
        </w:rPr>
        <w:t xml:space="preserve">the process of bile acid circulation, and the process of bile acid deconjugation is mainly performed by bacteria with BSH activity in the intestine. </w:t>
      </w:r>
      <w:r w:rsidR="00FA34D1" w:rsidRPr="002E2DEC">
        <w:rPr>
          <w:rFonts w:ascii="Book Antiqua" w:eastAsia="Book Antiqua" w:hAnsi="Book Antiqua" w:cs="Book Antiqua"/>
          <w:color w:val="000000" w:themeColor="text1"/>
        </w:rPr>
        <w:t>In addition, t</w:t>
      </w:r>
      <w:r w:rsidRPr="002E2DEC">
        <w:rPr>
          <w:rFonts w:ascii="Book Antiqua" w:eastAsia="Book Antiqua" w:hAnsi="Book Antiqua" w:cs="Book Antiqua"/>
          <w:color w:val="000000" w:themeColor="text1"/>
        </w:rPr>
        <w:t xml:space="preserve">he </w:t>
      </w:r>
      <w:r w:rsidR="00FA34D1" w:rsidRPr="002E2DEC">
        <w:rPr>
          <w:rFonts w:ascii="Book Antiqua" w:eastAsia="Book Antiqua" w:hAnsi="Book Antiqua" w:cs="Book Antiqua"/>
          <w:color w:val="000000" w:themeColor="text1"/>
        </w:rPr>
        <w:t>intestinal</w:t>
      </w:r>
      <w:r w:rsidRPr="002E2DEC">
        <w:rPr>
          <w:rFonts w:ascii="Book Antiqua" w:eastAsia="Book Antiqua" w:hAnsi="Book Antiqua" w:cs="Book Antiqua"/>
          <w:color w:val="000000" w:themeColor="text1"/>
        </w:rPr>
        <w:t xml:space="preserve"> microbiota can indirectly regulate</w:t>
      </w:r>
      <w:r w:rsidR="00FA34D1" w:rsidRPr="002E2DEC">
        <w:rPr>
          <w:rFonts w:ascii="Book Antiqua" w:eastAsia="Book Antiqua" w:hAnsi="Book Antiqua" w:cs="Book Antiqua"/>
          <w:color w:val="000000" w:themeColor="text1"/>
        </w:rPr>
        <w:t xml:space="preserve"> synthesis of</w:t>
      </w:r>
      <w:r w:rsidRPr="002E2DEC">
        <w:rPr>
          <w:rFonts w:ascii="Book Antiqua" w:eastAsia="Book Antiqua" w:hAnsi="Book Antiqua" w:cs="Book Antiqua"/>
          <w:color w:val="000000" w:themeColor="text1"/>
        </w:rPr>
        <w:t xml:space="preserve"> bile acid</w:t>
      </w:r>
      <w:r w:rsidR="00FA34D1"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through its effects on receptors</w:t>
      </w:r>
      <w:r w:rsidR="00FA34D1" w:rsidRPr="002E2DEC">
        <w:rPr>
          <w:rFonts w:ascii="Book Antiqua" w:eastAsia="Book Antiqua" w:hAnsi="Book Antiqua" w:cs="Book Antiqua"/>
          <w:color w:val="000000" w:themeColor="text1"/>
        </w:rPr>
        <w:t xml:space="preserve"> like </w:t>
      </w:r>
      <w:r w:rsidRPr="002E2DEC">
        <w:rPr>
          <w:rFonts w:ascii="Book Antiqua" w:eastAsia="Book Antiqua" w:hAnsi="Book Antiqua" w:cs="Book Antiqua"/>
          <w:color w:val="000000" w:themeColor="text1"/>
        </w:rPr>
        <w:t>FXR</w:t>
      </w:r>
      <w:r w:rsidR="00FA34D1" w:rsidRPr="002E2DEC">
        <w:rPr>
          <w:rFonts w:ascii="Book Antiqua" w:eastAsia="Book Antiqua" w:hAnsi="Book Antiqua" w:cs="Book Antiqua"/>
          <w:color w:val="000000" w:themeColor="text1"/>
        </w:rPr>
        <w:t xml:space="preserve"> and</w:t>
      </w:r>
      <w:r w:rsidRPr="002E2DEC">
        <w:rPr>
          <w:rFonts w:ascii="Book Antiqua" w:eastAsia="Book Antiqua" w:hAnsi="Book Antiqua" w:cs="Book Antiqua"/>
          <w:color w:val="000000" w:themeColor="text1"/>
        </w:rPr>
        <w:t xml:space="preserve"> FGF19</w:t>
      </w:r>
      <w:r w:rsidRPr="002E2DEC">
        <w:rPr>
          <w:rFonts w:ascii="Book Antiqua" w:eastAsia="Book Antiqua" w:hAnsi="Book Antiqua" w:cs="Book Antiqua"/>
          <w:color w:val="000000" w:themeColor="text1"/>
          <w:vertAlign w:val="superscript"/>
        </w:rPr>
        <w:t>[</w:t>
      </w:r>
      <w:hyperlink w:anchor="_ENREF_6" w:tooltip="Wahlström, 2016 #248" w:history="1">
        <w:r w:rsidRPr="002E2DEC">
          <w:rPr>
            <w:rFonts w:ascii="Book Antiqua" w:eastAsia="Book Antiqua" w:hAnsi="Book Antiqua" w:cs="Book Antiqua"/>
            <w:color w:val="000000" w:themeColor="text1"/>
            <w:vertAlign w:val="superscript"/>
          </w:rPr>
          <w:t>6</w:t>
        </w:r>
      </w:hyperlink>
      <w:r w:rsidRPr="002E2DEC">
        <w:rPr>
          <w:rFonts w:ascii="Book Antiqua" w:eastAsia="Book Antiqua" w:hAnsi="Book Antiqua" w:cs="Book Antiqua"/>
          <w:color w:val="000000" w:themeColor="text1"/>
          <w:vertAlign w:val="superscript"/>
        </w:rPr>
        <w:t>,</w:t>
      </w:r>
      <w:hyperlink w:anchor="_ENREF_7" w:tooltip="de Aguiar Vallim, 2013 #249" w:history="1">
        <w:r w:rsidRPr="002E2DEC">
          <w:rPr>
            <w:rFonts w:ascii="Book Antiqua" w:eastAsia="Book Antiqua" w:hAnsi="Book Antiqua" w:cs="Book Antiqua"/>
            <w:color w:val="000000" w:themeColor="text1"/>
            <w:vertAlign w:val="superscript"/>
          </w:rPr>
          <w:t>7</w:t>
        </w:r>
      </w:hyperlink>
      <w:r w:rsidRPr="002E2DEC">
        <w:rPr>
          <w:rFonts w:ascii="Book Antiqua" w:eastAsia="Book Antiqua" w:hAnsi="Book Antiqua" w:cs="Book Antiqua"/>
          <w:color w:val="000000" w:themeColor="text1"/>
          <w:vertAlign w:val="superscript"/>
        </w:rPr>
        <w:t>,</w:t>
      </w:r>
      <w:hyperlink w:anchor="_ENREF_10" w:tooltip="Islam, 2012 #251" w:history="1">
        <w:r w:rsidRPr="002E2DEC">
          <w:rPr>
            <w:rFonts w:ascii="Book Antiqua" w:eastAsia="Book Antiqua" w:hAnsi="Book Antiqua" w:cs="Book Antiqua"/>
            <w:color w:val="000000" w:themeColor="text1"/>
            <w:vertAlign w:val="superscript"/>
          </w:rPr>
          <w:t>10</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w:t>
      </w:r>
      <w:r w:rsidR="0068265C" w:rsidRPr="002E2DEC">
        <w:rPr>
          <w:rFonts w:ascii="Book Antiqua" w:eastAsia="Book Antiqua" w:hAnsi="Book Antiqua" w:cs="Book Antiqua"/>
          <w:color w:val="000000" w:themeColor="text1"/>
        </w:rPr>
        <w:t>Under the pathological conditions</w:t>
      </w:r>
      <w:r w:rsidR="00442F09" w:rsidRPr="002E2DEC">
        <w:rPr>
          <w:rFonts w:ascii="Book Antiqua" w:eastAsia="Book Antiqua" w:hAnsi="Book Antiqua" w:cs="Book Antiqua"/>
          <w:color w:val="000000" w:themeColor="text1"/>
        </w:rPr>
        <w:t xml:space="preserve"> </w:t>
      </w:r>
      <w:r w:rsidR="0068265C" w:rsidRPr="002E2DEC">
        <w:rPr>
          <w:rFonts w:ascii="Book Antiqua" w:eastAsia="Book Antiqua" w:hAnsi="Book Antiqua" w:cs="Book Antiqua"/>
          <w:color w:val="000000" w:themeColor="text1"/>
        </w:rPr>
        <w:t>of</w:t>
      </w:r>
      <w:r w:rsidR="00442F09" w:rsidRPr="002E2DEC">
        <w:rPr>
          <w:rFonts w:ascii="Book Antiqua" w:eastAsia="Book Antiqua" w:hAnsi="Book Antiqua" w:cs="Book Antiqua"/>
          <w:color w:val="000000" w:themeColor="text1"/>
        </w:rPr>
        <w:t xml:space="preserve"> </w:t>
      </w:r>
      <w:r w:rsidR="0068265C" w:rsidRPr="002E2DEC">
        <w:rPr>
          <w:rFonts w:ascii="Book Antiqua" w:eastAsia="Book Antiqua" w:hAnsi="Book Antiqua" w:cs="Book Antiqua"/>
          <w:color w:val="000000" w:themeColor="text1"/>
        </w:rPr>
        <w:t>dietary</w:t>
      </w:r>
      <w:r w:rsidR="00442F09" w:rsidRPr="002E2DEC">
        <w:rPr>
          <w:rFonts w:ascii="Book Antiqua" w:eastAsia="Book Antiqua" w:hAnsi="Book Antiqua" w:cs="Book Antiqua"/>
          <w:color w:val="000000" w:themeColor="text1"/>
        </w:rPr>
        <w:t xml:space="preserve"> </w:t>
      </w:r>
      <w:r w:rsidR="0068265C" w:rsidRPr="002E2DEC">
        <w:rPr>
          <w:rFonts w:ascii="Book Antiqua" w:eastAsia="Book Antiqua" w:hAnsi="Book Antiqua" w:cs="Book Antiqua"/>
          <w:color w:val="000000" w:themeColor="text1"/>
        </w:rPr>
        <w:t>obesity</w:t>
      </w:r>
      <w:r w:rsidR="0068265C" w:rsidRPr="002E2DEC">
        <w:rPr>
          <w:rFonts w:ascii="Book Antiqua" w:eastAsia="Book Antiqua" w:hAnsi="Book Antiqua" w:cs="Book Antiqua"/>
          <w:color w:val="000000" w:themeColor="text1"/>
          <w:vertAlign w:val="superscript"/>
        </w:rPr>
        <w:t>[</w:t>
      </w:r>
      <w:hyperlink w:anchor="_ENREF_11" w:tooltip="Zheng, 2017 #252" w:history="1">
        <w:r w:rsidR="0068265C" w:rsidRPr="002E2DEC">
          <w:rPr>
            <w:rFonts w:ascii="Book Antiqua" w:eastAsia="Book Antiqua" w:hAnsi="Book Antiqua" w:cs="Book Antiqua"/>
            <w:color w:val="000000" w:themeColor="text1"/>
            <w:vertAlign w:val="superscript"/>
          </w:rPr>
          <w:t>11</w:t>
        </w:r>
      </w:hyperlink>
      <w:r w:rsidR="0068265C" w:rsidRPr="002E2DEC">
        <w:rPr>
          <w:rFonts w:ascii="Book Antiqua" w:eastAsia="Book Antiqua" w:hAnsi="Book Antiqua" w:cs="Book Antiqua"/>
          <w:color w:val="000000" w:themeColor="text1"/>
          <w:vertAlign w:val="superscript"/>
        </w:rPr>
        <w:t>]</w:t>
      </w:r>
      <w:r w:rsidR="0068265C" w:rsidRPr="002E2DEC">
        <w:rPr>
          <w:rFonts w:ascii="Book Antiqua" w:eastAsia="Book Antiqua" w:hAnsi="Book Antiqua" w:cs="Book Antiqua"/>
          <w:color w:val="000000" w:themeColor="text1"/>
        </w:rPr>
        <w:t>, cholestatic liver disease</w:t>
      </w:r>
      <w:r w:rsidR="0068265C" w:rsidRPr="002E2DEC">
        <w:rPr>
          <w:rFonts w:ascii="Book Antiqua" w:eastAsia="Book Antiqua" w:hAnsi="Book Antiqua" w:cs="Book Antiqua"/>
          <w:color w:val="000000" w:themeColor="text1"/>
          <w:vertAlign w:val="superscript"/>
        </w:rPr>
        <w:t>[</w:t>
      </w:r>
      <w:hyperlink w:anchor="_ENREF_12" w:tooltip="Li, 2017 #253" w:history="1">
        <w:r w:rsidR="0068265C" w:rsidRPr="002E2DEC">
          <w:rPr>
            <w:rFonts w:ascii="Book Antiqua" w:eastAsia="Book Antiqua" w:hAnsi="Book Antiqua" w:cs="Book Antiqua"/>
            <w:color w:val="000000" w:themeColor="text1"/>
            <w:vertAlign w:val="superscript"/>
          </w:rPr>
          <w:t>12</w:t>
        </w:r>
      </w:hyperlink>
      <w:r w:rsidR="0068265C" w:rsidRPr="002E2DEC">
        <w:rPr>
          <w:rFonts w:ascii="Book Antiqua" w:eastAsia="Book Antiqua" w:hAnsi="Book Antiqua" w:cs="Book Antiqua"/>
          <w:color w:val="000000" w:themeColor="text1"/>
          <w:vertAlign w:val="superscript"/>
        </w:rPr>
        <w:t>]</w:t>
      </w:r>
      <w:r w:rsidR="0068265C" w:rsidRPr="002E2DEC">
        <w:rPr>
          <w:rFonts w:ascii="Book Antiqua" w:eastAsia="Book Antiqua" w:hAnsi="Book Antiqua" w:cs="Book Antiqua"/>
          <w:color w:val="000000" w:themeColor="text1"/>
        </w:rPr>
        <w:t>, gastrointestinal inflammation</w:t>
      </w:r>
      <w:r w:rsidR="00986B5E" w:rsidRPr="002E2DEC">
        <w:rPr>
          <w:rFonts w:ascii="Book Antiqua" w:eastAsia="Book Antiqua" w:hAnsi="Book Antiqua" w:cs="Book Antiqua"/>
          <w:color w:val="000000" w:themeColor="text1"/>
        </w:rPr>
        <w:t xml:space="preserve">, </w:t>
      </w:r>
      <w:r w:rsidR="0068265C" w:rsidRPr="002E2DEC">
        <w:rPr>
          <w:rFonts w:ascii="Book Antiqua" w:eastAsia="Book Antiqua" w:hAnsi="Book Antiqua" w:cs="Book Antiqua"/>
          <w:color w:val="000000" w:themeColor="text1"/>
        </w:rPr>
        <w:t>cancerization</w:t>
      </w:r>
      <w:r w:rsidR="00986B5E" w:rsidRPr="002E2DEC">
        <w:rPr>
          <w:rFonts w:ascii="Book Antiqua" w:eastAsia="Book Antiqua" w:hAnsi="Book Antiqua" w:cs="Book Antiqua"/>
          <w:color w:val="000000" w:themeColor="text1"/>
        </w:rPr>
        <w:t xml:space="preserve"> and so on</w:t>
      </w:r>
      <w:r w:rsidR="0068265C" w:rsidRPr="002E2DEC">
        <w:rPr>
          <w:rFonts w:ascii="Book Antiqua" w:eastAsia="Book Antiqua" w:hAnsi="Book Antiqua" w:cs="Book Antiqua"/>
          <w:color w:val="000000" w:themeColor="text1"/>
          <w:vertAlign w:val="superscript"/>
        </w:rPr>
        <w:t>[</w:t>
      </w:r>
      <w:hyperlink w:anchor="_ENREF_9" w:tooltip="Jia, 2018 #254" w:history="1">
        <w:r w:rsidR="0068265C" w:rsidRPr="002E2DEC">
          <w:rPr>
            <w:rFonts w:ascii="Book Antiqua" w:eastAsia="Book Antiqua" w:hAnsi="Book Antiqua" w:cs="Book Antiqua"/>
            <w:color w:val="000000" w:themeColor="text1"/>
            <w:vertAlign w:val="superscript"/>
          </w:rPr>
          <w:t>9</w:t>
        </w:r>
      </w:hyperlink>
      <w:r w:rsidR="0068265C" w:rsidRPr="002E2DEC">
        <w:rPr>
          <w:rFonts w:ascii="Book Antiqua" w:eastAsia="Book Antiqua" w:hAnsi="Book Antiqua" w:cs="Book Antiqua"/>
          <w:color w:val="000000" w:themeColor="text1"/>
          <w:vertAlign w:val="superscript"/>
        </w:rPr>
        <w:t>]</w:t>
      </w:r>
      <w:r w:rsidR="0068265C" w:rsidRPr="002E2DEC">
        <w:rPr>
          <w:rFonts w:ascii="Book Antiqua" w:hAnsi="Book Antiqua" w:cs="Arial"/>
          <w:color w:val="000000" w:themeColor="text1"/>
          <w:shd w:val="clear" w:color="auto" w:fill="F7F8FA"/>
        </w:rPr>
        <w:t>,</w:t>
      </w:r>
      <w:r w:rsidR="0068265C" w:rsidRPr="002E2DEC">
        <w:rPr>
          <w:rFonts w:ascii="Book Antiqua" w:eastAsia="Book Antiqua" w:hAnsi="Book Antiqua" w:cs="Book Antiqua"/>
          <w:color w:val="000000" w:themeColor="text1"/>
        </w:rPr>
        <w:t xml:space="preserve"> the imbalance of microbe-bile acid mutual</w:t>
      </w:r>
      <w:r w:rsidR="00BD1AB7" w:rsidRPr="002E2DEC">
        <w:rPr>
          <w:rFonts w:ascii="Book Antiqua" w:eastAsia="Book Antiqua" w:hAnsi="Book Antiqua" w:cs="Book Antiqua"/>
          <w:color w:val="000000" w:themeColor="text1"/>
        </w:rPr>
        <w:t xml:space="preserve"> </w:t>
      </w:r>
      <w:r w:rsidR="0068265C" w:rsidRPr="002E2DEC">
        <w:rPr>
          <w:rFonts w:ascii="Book Antiqua" w:eastAsia="Book Antiqua" w:hAnsi="Book Antiqua" w:cs="Book Antiqua"/>
          <w:color w:val="000000" w:themeColor="text1"/>
        </w:rPr>
        <w:t xml:space="preserve">effect also occurs. </w:t>
      </w:r>
      <w:r w:rsidRPr="002E2DEC">
        <w:rPr>
          <w:rFonts w:ascii="Book Antiqua" w:eastAsia="Book Antiqua" w:hAnsi="Book Antiqua" w:cs="Book Antiqua"/>
          <w:color w:val="000000" w:themeColor="text1"/>
        </w:rPr>
        <w:t>To date, few studies have provided information on whether ICP can affect the gut microbiota and metabolome of pregnant women.</w:t>
      </w:r>
    </w:p>
    <w:p w14:paraId="3EB78B03" w14:textId="3AA4F975" w:rsidR="00A77B3E" w:rsidRPr="002E2DEC" w:rsidRDefault="003022FF" w:rsidP="002E2DEC">
      <w:pPr>
        <w:snapToGrid w:val="0"/>
        <w:spacing w:line="360" w:lineRule="auto"/>
        <w:ind w:firstLineChars="100" w:firstLine="240"/>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 xml:space="preserve">The gastrointestinal tract provides </w:t>
      </w:r>
      <w:r w:rsidR="00485127" w:rsidRPr="002E2DEC">
        <w:rPr>
          <w:rFonts w:ascii="Book Antiqua" w:eastAsia="Book Antiqua" w:hAnsi="Book Antiqua" w:cs="Book Antiqua"/>
          <w:color w:val="000000" w:themeColor="text1"/>
        </w:rPr>
        <w:t>surviving</w:t>
      </w:r>
      <w:r w:rsidR="00BD1AB7" w:rsidRPr="002E2DEC">
        <w:rPr>
          <w:rFonts w:ascii="Book Antiqua" w:eastAsia="Book Antiqua" w:hAnsi="Book Antiqua" w:cs="Book Antiqua"/>
          <w:color w:val="000000" w:themeColor="text1"/>
        </w:rPr>
        <w:t xml:space="preserve"> </w:t>
      </w:r>
      <w:r w:rsidR="00485127" w:rsidRPr="002E2DEC">
        <w:rPr>
          <w:rFonts w:ascii="Book Antiqua" w:eastAsia="Book Antiqua" w:hAnsi="Book Antiqua" w:cs="Book Antiqua"/>
          <w:color w:val="000000" w:themeColor="text1"/>
        </w:rPr>
        <w:t>conditions</w:t>
      </w:r>
      <w:r w:rsidRPr="002E2DEC">
        <w:rPr>
          <w:rFonts w:ascii="Book Antiqua" w:eastAsia="Book Antiqua" w:hAnsi="Book Antiqua" w:cs="Book Antiqua"/>
          <w:color w:val="000000" w:themeColor="text1"/>
        </w:rPr>
        <w:t xml:space="preserve"> for the gut microbiota, which </w:t>
      </w:r>
      <w:r w:rsidR="00026879" w:rsidRPr="002E2DEC">
        <w:rPr>
          <w:rFonts w:ascii="Book Antiqua" w:eastAsia="Book Antiqua" w:hAnsi="Book Antiqua" w:cs="Book Antiqua"/>
          <w:color w:val="000000" w:themeColor="text1"/>
        </w:rPr>
        <w:t>is</w:t>
      </w:r>
      <w:r w:rsidR="00BD1AB7" w:rsidRPr="002E2DEC">
        <w:rPr>
          <w:rFonts w:ascii="Book Antiqua" w:eastAsia="Book Antiqua" w:hAnsi="Book Antiqua" w:cs="Book Antiqua"/>
          <w:color w:val="000000" w:themeColor="text1"/>
        </w:rPr>
        <w:t xml:space="preserve"> </w:t>
      </w:r>
      <w:r w:rsidR="00026879" w:rsidRPr="002E2DEC">
        <w:rPr>
          <w:rFonts w:ascii="Book Antiqua" w:eastAsia="Book Antiqua" w:hAnsi="Book Antiqua" w:cs="Book Antiqua"/>
          <w:color w:val="000000" w:themeColor="text1"/>
        </w:rPr>
        <w:t>f</w:t>
      </w:r>
      <w:r w:rsidR="00BD1AB7" w:rsidRPr="002E2DEC">
        <w:rPr>
          <w:rFonts w:ascii="Book Antiqua" w:eastAsia="Book Antiqua" w:hAnsi="Book Antiqua" w:cs="Book Antiqua"/>
          <w:color w:val="000000" w:themeColor="text1"/>
        </w:rPr>
        <w:t xml:space="preserve"> </w:t>
      </w:r>
      <w:r w:rsidR="00026879" w:rsidRPr="002E2DEC">
        <w:rPr>
          <w:rFonts w:ascii="Book Antiqua" w:eastAsia="Book Antiqua" w:hAnsi="Book Antiqua" w:cs="Book Antiqua"/>
          <w:color w:val="000000" w:themeColor="text1"/>
        </w:rPr>
        <w:t>important</w:t>
      </w:r>
      <w:r w:rsidR="00BD1AB7" w:rsidRPr="002E2DEC">
        <w:rPr>
          <w:rFonts w:ascii="Book Antiqua" w:eastAsia="Book Antiqua" w:hAnsi="Book Antiqua" w:cs="Book Antiqua"/>
          <w:color w:val="000000" w:themeColor="text1"/>
        </w:rPr>
        <w:t xml:space="preserve"> </w:t>
      </w:r>
      <w:r w:rsidR="0052136A" w:rsidRPr="002E2DEC">
        <w:rPr>
          <w:rFonts w:ascii="Book Antiqua" w:eastAsia="Book Antiqua" w:hAnsi="Book Antiqua" w:cs="Book Antiqua"/>
          <w:color w:val="000000" w:themeColor="text1"/>
        </w:rPr>
        <w:t>for</w:t>
      </w:r>
      <w:r w:rsidR="00BD1AB7" w:rsidRPr="002E2DEC">
        <w:rPr>
          <w:rFonts w:ascii="Book Antiqua" w:eastAsia="Book Antiqua" w:hAnsi="Book Antiqua" w:cs="Book Antiqua"/>
          <w:color w:val="000000" w:themeColor="text1"/>
        </w:rPr>
        <w:t xml:space="preserve"> </w:t>
      </w:r>
      <w:r w:rsidR="00026879" w:rsidRPr="002E2DEC">
        <w:rPr>
          <w:rFonts w:ascii="Book Antiqua" w:eastAsia="Book Antiqua" w:hAnsi="Book Antiqua" w:cs="Book Antiqua"/>
          <w:color w:val="000000" w:themeColor="text1"/>
        </w:rPr>
        <w:t>the</w:t>
      </w:r>
      <w:r w:rsidR="00BD1AB7" w:rsidRPr="002E2DEC">
        <w:rPr>
          <w:rFonts w:ascii="Book Antiqua" w:eastAsia="Book Antiqua" w:hAnsi="Book Antiqua" w:cs="Book Antiqua"/>
          <w:color w:val="000000" w:themeColor="text1"/>
        </w:rPr>
        <w:t xml:space="preserve"> </w:t>
      </w:r>
      <w:r w:rsidR="00026879" w:rsidRPr="002E2DEC">
        <w:rPr>
          <w:rFonts w:ascii="Book Antiqua" w:eastAsia="Book Antiqua" w:hAnsi="Book Antiqua" w:cs="Book Antiqua"/>
          <w:color w:val="000000" w:themeColor="text1"/>
        </w:rPr>
        <w:t>function</w:t>
      </w:r>
      <w:r w:rsidR="00BD1AB7" w:rsidRPr="002E2DEC">
        <w:rPr>
          <w:rFonts w:ascii="Book Antiqua" w:eastAsia="Book Antiqua" w:hAnsi="Book Antiqua" w:cs="Book Antiqua"/>
          <w:color w:val="000000" w:themeColor="text1"/>
        </w:rPr>
        <w:t xml:space="preserve"> </w:t>
      </w:r>
      <w:r w:rsidR="00026879" w:rsidRPr="002E2DEC">
        <w:rPr>
          <w:rFonts w:ascii="Book Antiqua" w:eastAsia="Book Antiqua" w:hAnsi="Book Antiqua" w:cs="Book Antiqua"/>
          <w:color w:val="000000" w:themeColor="text1"/>
        </w:rPr>
        <w:t>and</w:t>
      </w:r>
      <w:r w:rsidR="00BD1AB7" w:rsidRPr="002E2DEC">
        <w:rPr>
          <w:rFonts w:ascii="Book Antiqua" w:eastAsia="Book Antiqua" w:hAnsi="Book Antiqua" w:cs="Book Antiqua"/>
          <w:color w:val="000000" w:themeColor="text1"/>
        </w:rPr>
        <w:t xml:space="preserve"> </w:t>
      </w:r>
      <w:r w:rsidR="00026879" w:rsidRPr="002E2DEC">
        <w:rPr>
          <w:rFonts w:ascii="Book Antiqua" w:eastAsia="Book Antiqua" w:hAnsi="Book Antiqua" w:cs="Book Antiqua"/>
          <w:color w:val="000000" w:themeColor="text1"/>
        </w:rPr>
        <w:t>metabolic</w:t>
      </w:r>
      <w:r w:rsidR="00BD1AB7" w:rsidRPr="002E2DEC">
        <w:rPr>
          <w:rFonts w:ascii="Book Antiqua" w:eastAsia="Book Antiqua" w:hAnsi="Book Antiqua" w:cs="Book Antiqua"/>
          <w:color w:val="000000" w:themeColor="text1"/>
        </w:rPr>
        <w:t xml:space="preserve"> </w:t>
      </w:r>
      <w:r w:rsidR="00026879" w:rsidRPr="002E2DEC">
        <w:rPr>
          <w:rFonts w:ascii="Book Antiqua" w:eastAsia="Book Antiqua" w:hAnsi="Book Antiqua" w:cs="Book Antiqua"/>
          <w:color w:val="000000" w:themeColor="text1"/>
        </w:rPr>
        <w:t>activity</w:t>
      </w:r>
      <w:r w:rsidR="00BD1AB7" w:rsidRPr="002E2DEC">
        <w:rPr>
          <w:rFonts w:ascii="Book Antiqua" w:eastAsia="Book Antiqua" w:hAnsi="Book Antiqua" w:cs="Book Antiqua"/>
          <w:color w:val="000000" w:themeColor="text1"/>
        </w:rPr>
        <w:t xml:space="preserve"> </w:t>
      </w:r>
      <w:r w:rsidR="00026879" w:rsidRPr="002E2DEC">
        <w:rPr>
          <w:rFonts w:ascii="Book Antiqua" w:eastAsia="Book Antiqua" w:hAnsi="Book Antiqua" w:cs="Book Antiqua"/>
          <w:color w:val="000000" w:themeColor="text1"/>
        </w:rPr>
        <w:t>of the human body</w:t>
      </w:r>
      <w:r w:rsidR="00026879" w:rsidRPr="002E2DEC">
        <w:rPr>
          <w:rFonts w:ascii="Book Antiqua" w:eastAsia="Book Antiqua" w:hAnsi="Book Antiqua" w:cs="Book Antiqua"/>
          <w:color w:val="000000" w:themeColor="text1"/>
          <w:vertAlign w:val="superscript"/>
        </w:rPr>
        <w:t>[</w:t>
      </w:r>
      <w:hyperlink w:anchor="_ENREF_13" w:tooltip="Pei, 2019 #358" w:history="1">
        <w:r w:rsidR="00026879" w:rsidRPr="002E2DEC">
          <w:rPr>
            <w:rFonts w:ascii="Book Antiqua" w:eastAsia="Book Antiqua" w:hAnsi="Book Antiqua" w:cs="Book Antiqua"/>
            <w:color w:val="000000" w:themeColor="text1"/>
            <w:vertAlign w:val="superscript"/>
          </w:rPr>
          <w:t>13</w:t>
        </w:r>
      </w:hyperlink>
      <w:r w:rsidR="00026879" w:rsidRPr="002E2DEC">
        <w:rPr>
          <w:rFonts w:ascii="Book Antiqua" w:eastAsia="Book Antiqua" w:hAnsi="Book Antiqua" w:cs="Book Antiqua"/>
          <w:color w:val="000000" w:themeColor="text1"/>
          <w:vertAlign w:val="superscript"/>
        </w:rPr>
        <w:t>,</w:t>
      </w:r>
      <w:hyperlink w:anchor="_ENREF_14" w:tooltip="Magro, 2019 #355" w:history="1">
        <w:r w:rsidR="00026879" w:rsidRPr="002E2DEC">
          <w:rPr>
            <w:rFonts w:ascii="Book Antiqua" w:eastAsia="Book Antiqua" w:hAnsi="Book Antiqua" w:cs="Book Antiqua"/>
            <w:color w:val="000000" w:themeColor="text1"/>
            <w:vertAlign w:val="superscript"/>
          </w:rPr>
          <w:t>14</w:t>
        </w:r>
      </w:hyperlink>
      <w:r w:rsidR="00026879" w:rsidRPr="002E2DEC">
        <w:rPr>
          <w:rFonts w:ascii="Book Antiqua" w:eastAsia="Book Antiqua" w:hAnsi="Book Antiqua" w:cs="Book Antiqua"/>
          <w:color w:val="000000" w:themeColor="text1"/>
          <w:vertAlign w:val="superscript"/>
        </w:rPr>
        <w:t>]</w:t>
      </w:r>
      <w:r w:rsidR="00026879" w:rsidRPr="002E2DEC">
        <w:rPr>
          <w:rFonts w:ascii="Book Antiqua" w:hAnsi="Book Antiqua" w:cs="Book Antiqua"/>
          <w:color w:val="000000" w:themeColor="text1"/>
          <w:lang w:eastAsia="zh-CN"/>
        </w:rPr>
        <w:t xml:space="preserve">. </w:t>
      </w:r>
      <w:r w:rsidRPr="002E2DEC">
        <w:rPr>
          <w:rFonts w:ascii="Book Antiqua" w:eastAsia="Book Antiqua" w:hAnsi="Book Antiqua" w:cs="Book Antiqua"/>
          <w:color w:val="000000" w:themeColor="text1"/>
        </w:rPr>
        <w:t xml:space="preserve">A </w:t>
      </w:r>
      <w:r w:rsidR="00026879" w:rsidRPr="002E2DEC">
        <w:rPr>
          <w:rFonts w:ascii="Book Antiqua" w:eastAsia="Book Antiqua" w:hAnsi="Book Antiqua" w:cs="Book Antiqua"/>
          <w:color w:val="000000" w:themeColor="text1"/>
        </w:rPr>
        <w:t>steady</w:t>
      </w:r>
      <w:r w:rsidRPr="002E2DEC">
        <w:rPr>
          <w:rFonts w:ascii="Book Antiqua" w:eastAsia="Book Antiqua" w:hAnsi="Book Antiqua" w:cs="Book Antiqua"/>
          <w:color w:val="000000" w:themeColor="text1"/>
        </w:rPr>
        <w:t xml:space="preserve"> gut microbiota is </w:t>
      </w:r>
      <w:r w:rsidR="00026879" w:rsidRPr="002E2DEC">
        <w:rPr>
          <w:rFonts w:ascii="Book Antiqua" w:eastAsia="Book Antiqua" w:hAnsi="Book Antiqua" w:cs="Book Antiqua"/>
          <w:color w:val="000000" w:themeColor="text1"/>
        </w:rPr>
        <w:t>crucial</w:t>
      </w:r>
      <w:r w:rsidRPr="002E2DEC">
        <w:rPr>
          <w:rFonts w:ascii="Book Antiqua" w:eastAsia="Book Antiqua" w:hAnsi="Book Antiqua" w:cs="Book Antiqua"/>
          <w:color w:val="000000" w:themeColor="text1"/>
        </w:rPr>
        <w:t xml:space="preserve"> for </w:t>
      </w:r>
      <w:r w:rsidR="0052136A" w:rsidRPr="002E2DEC">
        <w:rPr>
          <w:rFonts w:ascii="Book Antiqua" w:eastAsia="Book Antiqua" w:hAnsi="Book Antiqua" w:cs="Book Antiqua"/>
          <w:color w:val="000000" w:themeColor="text1"/>
        </w:rPr>
        <w:t xml:space="preserve">maintaining </w:t>
      </w:r>
      <w:r w:rsidRPr="002E2DEC">
        <w:rPr>
          <w:rFonts w:ascii="Book Antiqua" w:eastAsia="Book Antiqua" w:hAnsi="Book Antiqua" w:cs="Book Antiqua"/>
          <w:color w:val="000000" w:themeColor="text1"/>
        </w:rPr>
        <w:t>human health,</w:t>
      </w:r>
      <w:r w:rsidR="00AD24C5"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 xml:space="preserve">and dysbiosis of </w:t>
      </w:r>
      <w:r w:rsidR="00C679F8" w:rsidRPr="002E2DEC">
        <w:rPr>
          <w:rFonts w:ascii="Book Antiqua" w:eastAsia="Book Antiqua" w:hAnsi="Book Antiqua" w:cs="Book Antiqua"/>
          <w:color w:val="000000" w:themeColor="text1"/>
        </w:rPr>
        <w:t xml:space="preserve">gut </w:t>
      </w:r>
      <w:r w:rsidRPr="002E2DEC">
        <w:rPr>
          <w:rFonts w:ascii="Book Antiqua" w:eastAsia="Book Antiqua" w:hAnsi="Book Antiqua" w:cs="Book Antiqua"/>
          <w:color w:val="000000" w:themeColor="text1"/>
        </w:rPr>
        <w:t xml:space="preserve">microbiota plays a </w:t>
      </w:r>
      <w:r w:rsidR="00C679F8" w:rsidRPr="002E2DEC">
        <w:rPr>
          <w:rFonts w:ascii="Book Antiqua" w:eastAsia="Book Antiqua" w:hAnsi="Book Antiqua" w:cs="Book Antiqua"/>
          <w:color w:val="000000" w:themeColor="text1"/>
        </w:rPr>
        <w:t>critical</w:t>
      </w:r>
      <w:r w:rsidRPr="002E2DEC">
        <w:rPr>
          <w:rFonts w:ascii="Book Antiqua" w:eastAsia="Book Antiqua" w:hAnsi="Book Antiqua" w:cs="Book Antiqua"/>
          <w:color w:val="000000" w:themeColor="text1"/>
        </w:rPr>
        <w:t xml:space="preserve"> role in the </w:t>
      </w:r>
      <w:r w:rsidR="00C679F8" w:rsidRPr="002E2DEC">
        <w:rPr>
          <w:rFonts w:ascii="Book Antiqua" w:eastAsia="Book Antiqua" w:hAnsi="Book Antiqua" w:cs="Book Antiqua"/>
          <w:color w:val="000000" w:themeColor="text1"/>
        </w:rPr>
        <w:t>etiopathogenesis</w:t>
      </w:r>
      <w:r w:rsidRPr="002E2DEC">
        <w:rPr>
          <w:rFonts w:ascii="Book Antiqua" w:eastAsia="Book Antiqua" w:hAnsi="Book Antiqua" w:cs="Book Antiqua"/>
          <w:color w:val="000000" w:themeColor="text1"/>
        </w:rPr>
        <w:t xml:space="preserve"> of many disea</w:t>
      </w:r>
      <w:r w:rsidR="00AD24C5" w:rsidRPr="002E2DEC">
        <w:rPr>
          <w:rFonts w:ascii="Book Antiqua" w:eastAsia="Book Antiqua" w:hAnsi="Book Antiqua" w:cs="Book Antiqua"/>
          <w:color w:val="000000" w:themeColor="text1"/>
        </w:rPr>
        <w:t>ses, such as ulcerative colitis</w:t>
      </w:r>
      <w:r w:rsidRPr="002E2DEC">
        <w:rPr>
          <w:rFonts w:ascii="Book Antiqua" w:eastAsia="Book Antiqua" w:hAnsi="Book Antiqua" w:cs="Book Antiqua"/>
          <w:color w:val="000000" w:themeColor="text1"/>
          <w:vertAlign w:val="superscript"/>
        </w:rPr>
        <w:t>[</w:t>
      </w:r>
      <w:hyperlink w:anchor="_ENREF_13" w:tooltip="Pei, 2019 #358" w:history="1">
        <w:r w:rsidRPr="002E2DEC">
          <w:rPr>
            <w:rFonts w:ascii="Book Antiqua" w:eastAsia="Book Antiqua" w:hAnsi="Book Antiqua" w:cs="Book Antiqua"/>
            <w:color w:val="000000" w:themeColor="text1"/>
            <w:vertAlign w:val="superscript"/>
          </w:rPr>
          <w:t>13-16</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We speculate that changes in serum metabolism caused by ICP may </w:t>
      </w:r>
      <w:r w:rsidR="00C679F8" w:rsidRPr="002E2DEC">
        <w:rPr>
          <w:rFonts w:ascii="Book Antiqua" w:eastAsia="Book Antiqua" w:hAnsi="Book Antiqua" w:cs="Book Antiqua"/>
          <w:color w:val="000000" w:themeColor="text1"/>
        </w:rPr>
        <w:t>influence</w:t>
      </w:r>
      <w:r w:rsidRPr="002E2DEC">
        <w:rPr>
          <w:rFonts w:ascii="Book Antiqua" w:eastAsia="Book Antiqua" w:hAnsi="Book Antiqua" w:cs="Book Antiqua"/>
          <w:color w:val="000000" w:themeColor="text1"/>
        </w:rPr>
        <w:t xml:space="preserve"> the intestinal </w:t>
      </w:r>
      <w:r w:rsidR="00C679F8" w:rsidRPr="002E2DEC">
        <w:rPr>
          <w:rFonts w:ascii="Book Antiqua" w:eastAsia="Book Antiqua" w:hAnsi="Book Antiqua" w:cs="Book Antiqua"/>
          <w:color w:val="000000" w:themeColor="text1"/>
        </w:rPr>
        <w:t>tract circumstance</w:t>
      </w:r>
      <w:r w:rsidRPr="002E2DEC">
        <w:rPr>
          <w:rFonts w:ascii="Book Antiqua" w:eastAsia="Book Antiqua" w:hAnsi="Book Antiqua" w:cs="Book Antiqua"/>
          <w:color w:val="000000" w:themeColor="text1"/>
        </w:rPr>
        <w:t xml:space="preserve"> and thus the intestinal microbiome. The gut microbiota may represent a mechanism by which ICP affects the health of pregnant women and fetuses. In other areas, there are precedents for treating diseases with </w:t>
      </w:r>
      <w:r w:rsidR="0052136A" w:rsidRPr="002E2DEC">
        <w:rPr>
          <w:rFonts w:ascii="Book Antiqua" w:eastAsia="Book Antiqua" w:hAnsi="Book Antiqua" w:cs="Book Antiqua"/>
          <w:color w:val="000000" w:themeColor="text1"/>
        </w:rPr>
        <w:t>f</w:t>
      </w:r>
      <w:r w:rsidRPr="002E2DEC">
        <w:rPr>
          <w:rFonts w:ascii="Book Antiqua" w:eastAsia="Book Antiqua" w:hAnsi="Book Antiqua" w:cs="Book Antiqua"/>
          <w:color w:val="000000" w:themeColor="text1"/>
        </w:rPr>
        <w:t>ec</w:t>
      </w:r>
      <w:r w:rsidR="00723BCA" w:rsidRPr="002E2DEC">
        <w:rPr>
          <w:rFonts w:ascii="Book Antiqua" w:eastAsia="Book Antiqua" w:hAnsi="Book Antiqua" w:cs="Book Antiqua"/>
          <w:color w:val="000000" w:themeColor="text1"/>
        </w:rPr>
        <w:t xml:space="preserve">al microbiota transplantation. </w:t>
      </w:r>
      <w:r w:rsidRPr="002E2DEC">
        <w:rPr>
          <w:rFonts w:ascii="Book Antiqua" w:eastAsia="Book Antiqua" w:hAnsi="Book Antiqua" w:cs="Book Antiqua"/>
          <w:color w:val="000000" w:themeColor="text1"/>
        </w:rPr>
        <w:t>In the field of the gut microbiota, we will also find the novel therapeutic strategies in ICP.</w:t>
      </w:r>
      <w:r w:rsidR="00723BCA" w:rsidRPr="002E2DEC">
        <w:rPr>
          <w:rFonts w:ascii="Book Antiqua" w:hAnsi="Book Antiqua" w:cs="Book Antiqua"/>
          <w:color w:val="000000" w:themeColor="text1"/>
          <w:lang w:eastAsia="zh-CN"/>
        </w:rPr>
        <w:t xml:space="preserve"> </w:t>
      </w:r>
      <w:r w:rsidRPr="002E2DEC">
        <w:rPr>
          <w:rFonts w:ascii="Book Antiqua" w:eastAsia="Book Antiqua" w:hAnsi="Book Antiqua" w:cs="Book Antiqua"/>
          <w:color w:val="000000" w:themeColor="text1"/>
        </w:rPr>
        <w:t xml:space="preserve">Identifying microbiota-driven mechanisms that link ICP and serum metabolites holds promise for the use of microbiota intervention </w:t>
      </w:r>
      <w:r w:rsidR="00C679F8" w:rsidRPr="002E2DEC">
        <w:rPr>
          <w:rFonts w:ascii="Book Antiqua" w:eastAsia="Book Antiqua" w:hAnsi="Book Antiqua" w:cs="Book Antiqua"/>
          <w:color w:val="000000" w:themeColor="text1"/>
        </w:rPr>
        <w:t>tactics</w:t>
      </w:r>
      <w:r w:rsidRPr="002E2DEC">
        <w:rPr>
          <w:rFonts w:ascii="Book Antiqua" w:eastAsia="Book Antiqua" w:hAnsi="Book Antiqua" w:cs="Book Antiqua"/>
          <w:color w:val="000000" w:themeColor="text1"/>
        </w:rPr>
        <w:t xml:space="preserve"> in ICP treatment.</w:t>
      </w:r>
      <w:r w:rsidR="00723BCA"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 xml:space="preserve">Here, we </w:t>
      </w:r>
      <w:r w:rsidR="00C679F8" w:rsidRPr="002E2DEC">
        <w:rPr>
          <w:rFonts w:ascii="Book Antiqua" w:eastAsia="Book Antiqua" w:hAnsi="Book Antiqua" w:cs="Book Antiqua"/>
          <w:color w:val="000000" w:themeColor="text1"/>
        </w:rPr>
        <w:t>researched</w:t>
      </w:r>
      <w:r w:rsidRPr="002E2DEC">
        <w:rPr>
          <w:rFonts w:ascii="Book Antiqua" w:eastAsia="Book Antiqua" w:hAnsi="Book Antiqua" w:cs="Book Antiqua"/>
          <w:color w:val="000000" w:themeColor="text1"/>
        </w:rPr>
        <w:t xml:space="preserve"> the serum metabolites and gut microbiota of ICP patients and healthy controls using metabolomics and 16S rRNA sequencing analysis. The </w:t>
      </w:r>
      <w:r w:rsidR="008E053E" w:rsidRPr="002E2DEC">
        <w:rPr>
          <w:rFonts w:ascii="Book Antiqua" w:eastAsia="Book Antiqua" w:hAnsi="Book Antiqua" w:cs="Book Antiqua"/>
          <w:color w:val="000000" w:themeColor="text1"/>
        </w:rPr>
        <w:t>relationship</w:t>
      </w:r>
      <w:r w:rsidRPr="002E2DEC">
        <w:rPr>
          <w:rFonts w:ascii="Book Antiqua" w:eastAsia="Book Antiqua" w:hAnsi="Book Antiqua" w:cs="Book Antiqua"/>
          <w:color w:val="000000" w:themeColor="text1"/>
        </w:rPr>
        <w:t xml:space="preserve"> of the gut microbiota with ICP-induced differential metabolites was further</w:t>
      </w:r>
      <w:r w:rsidR="008E053E" w:rsidRPr="002E2DEC">
        <w:rPr>
          <w:rFonts w:ascii="Book Antiqua" w:eastAsia="Book Antiqua" w:hAnsi="Book Antiqua" w:cs="Book Antiqua"/>
          <w:color w:val="000000" w:themeColor="text1"/>
        </w:rPr>
        <w:t xml:space="preserve"> studied</w:t>
      </w:r>
      <w:r w:rsidRPr="002E2DEC">
        <w:rPr>
          <w:rFonts w:ascii="Book Antiqua" w:eastAsia="Book Antiqua" w:hAnsi="Book Antiqua" w:cs="Book Antiqua"/>
          <w:color w:val="000000" w:themeColor="text1"/>
        </w:rPr>
        <w:t>. This study reveal</w:t>
      </w:r>
      <w:r w:rsidR="008E053E" w:rsidRPr="002E2DEC">
        <w:rPr>
          <w:rFonts w:ascii="Book Antiqua" w:eastAsia="Book Antiqua" w:hAnsi="Book Antiqua" w:cs="Book Antiqua"/>
          <w:color w:val="000000" w:themeColor="text1"/>
        </w:rPr>
        <w:t>s, for the first time,</w:t>
      </w:r>
      <w:r w:rsidRPr="002E2DEC">
        <w:rPr>
          <w:rFonts w:ascii="Book Antiqua" w:eastAsia="Book Antiqua" w:hAnsi="Book Antiqua" w:cs="Book Antiqua"/>
          <w:color w:val="000000" w:themeColor="text1"/>
        </w:rPr>
        <w:t xml:space="preserve"> the health consequences of ICP with respect to the gut microbiota and metabolome.</w:t>
      </w:r>
    </w:p>
    <w:p w14:paraId="225CBD52" w14:textId="77777777" w:rsidR="00A77B3E" w:rsidRPr="002E2DEC" w:rsidRDefault="00A77B3E" w:rsidP="002E2DEC">
      <w:pPr>
        <w:snapToGrid w:val="0"/>
        <w:spacing w:line="360" w:lineRule="auto"/>
        <w:jc w:val="both"/>
        <w:rPr>
          <w:rFonts w:ascii="Book Antiqua" w:hAnsi="Book Antiqua"/>
          <w:color w:val="000000" w:themeColor="text1"/>
        </w:rPr>
      </w:pPr>
    </w:p>
    <w:p w14:paraId="5AD7B45A"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aps/>
          <w:color w:val="000000" w:themeColor="text1"/>
          <w:u w:val="single"/>
        </w:rPr>
        <w:t>MATERIALS AND METHODS</w:t>
      </w:r>
    </w:p>
    <w:p w14:paraId="202EB810" w14:textId="77777777" w:rsidR="00A77B3E" w:rsidRPr="002E2DEC" w:rsidRDefault="003022FF" w:rsidP="002E2DEC">
      <w:pPr>
        <w:snapToGrid w:val="0"/>
        <w:spacing w:line="360" w:lineRule="auto"/>
        <w:jc w:val="both"/>
        <w:rPr>
          <w:rFonts w:ascii="Book Antiqua" w:hAnsi="Book Antiqua"/>
          <w:b/>
          <w:color w:val="000000" w:themeColor="text1"/>
        </w:rPr>
      </w:pPr>
      <w:r w:rsidRPr="002E2DEC">
        <w:rPr>
          <w:rFonts w:ascii="Book Antiqua" w:eastAsia="Book Antiqua" w:hAnsi="Book Antiqua" w:cs="Book Antiqua"/>
          <w:b/>
          <w:i/>
          <w:color w:val="000000" w:themeColor="text1"/>
        </w:rPr>
        <w:t xml:space="preserve">Study </w:t>
      </w:r>
      <w:r w:rsidR="00641191" w:rsidRPr="002E2DEC">
        <w:rPr>
          <w:rFonts w:ascii="Book Antiqua" w:eastAsia="Book Antiqua" w:hAnsi="Book Antiqua" w:cs="Book Antiqua"/>
          <w:b/>
          <w:i/>
          <w:color w:val="000000" w:themeColor="text1"/>
        </w:rPr>
        <w:t>design and sa</w:t>
      </w:r>
      <w:r w:rsidRPr="002E2DEC">
        <w:rPr>
          <w:rFonts w:ascii="Book Antiqua" w:eastAsia="Book Antiqua" w:hAnsi="Book Antiqua" w:cs="Book Antiqua"/>
          <w:b/>
          <w:i/>
          <w:color w:val="000000" w:themeColor="text1"/>
        </w:rPr>
        <w:t>mples</w:t>
      </w:r>
    </w:p>
    <w:p w14:paraId="6E7A57EE" w14:textId="3E50B75C" w:rsidR="00FC36BF" w:rsidRPr="002E2DEC" w:rsidRDefault="003022FF" w:rsidP="002E2DEC">
      <w:pPr>
        <w:snapToGrid w:val="0"/>
        <w:spacing w:line="360" w:lineRule="auto"/>
        <w:jc w:val="both"/>
        <w:rPr>
          <w:rFonts w:ascii="Book Antiqua" w:hAnsi="Book Antiqua"/>
          <w:color w:val="000000" w:themeColor="text1"/>
          <w:lang w:eastAsia="zh-CN"/>
        </w:rPr>
      </w:pPr>
      <w:r w:rsidRPr="002E2DEC">
        <w:rPr>
          <w:rFonts w:ascii="Book Antiqua" w:eastAsia="Book Antiqua" w:hAnsi="Book Antiqua" w:cs="Book Antiqua"/>
          <w:color w:val="000000" w:themeColor="text1"/>
        </w:rPr>
        <w:t xml:space="preserve">This study was </w:t>
      </w:r>
      <w:r w:rsidR="003D5223" w:rsidRPr="002E2DEC">
        <w:rPr>
          <w:rFonts w:ascii="Book Antiqua" w:eastAsia="Book Antiqua" w:hAnsi="Book Antiqua" w:cs="Book Antiqua"/>
          <w:color w:val="000000" w:themeColor="text1"/>
        </w:rPr>
        <w:t xml:space="preserve">carried out </w:t>
      </w:r>
      <w:r w:rsidR="007100E5" w:rsidRPr="002E2DEC">
        <w:rPr>
          <w:rFonts w:ascii="Book Antiqua" w:eastAsia="Book Antiqua" w:hAnsi="Book Antiqua" w:cs="Book Antiqua"/>
          <w:color w:val="000000" w:themeColor="text1"/>
        </w:rPr>
        <w:t>at the</w:t>
      </w:r>
      <w:r w:rsidRPr="002E2DEC">
        <w:rPr>
          <w:rFonts w:ascii="Book Antiqua" w:eastAsia="Book Antiqua" w:hAnsi="Book Antiqua" w:cs="Book Antiqua"/>
          <w:color w:val="000000" w:themeColor="text1"/>
        </w:rPr>
        <w:t xml:space="preserve"> Shanghai First Maternity and Infant Health Hospital from September 2019 to February 2020. </w:t>
      </w:r>
      <w:r w:rsidR="007100E5" w:rsidRPr="002E2DEC">
        <w:rPr>
          <w:rFonts w:ascii="Book Antiqua" w:eastAsia="Book Antiqua" w:hAnsi="Book Antiqua" w:cs="Book Antiqua"/>
          <w:color w:val="000000" w:themeColor="text1"/>
        </w:rPr>
        <w:t>A total of 30 patients (15</w:t>
      </w:r>
      <w:r w:rsidRPr="002E2DEC">
        <w:rPr>
          <w:rFonts w:ascii="Book Antiqua" w:eastAsia="Book Antiqua" w:hAnsi="Book Antiqua" w:cs="Book Antiqua"/>
          <w:color w:val="000000" w:themeColor="text1"/>
        </w:rPr>
        <w:t xml:space="preserve"> ICP patients and 15 healthy pregnant women</w:t>
      </w:r>
      <w:r w:rsidR="007100E5"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were recruited for this study. </w:t>
      </w:r>
      <w:r w:rsidR="00B6536A" w:rsidRPr="002E2DEC">
        <w:rPr>
          <w:rFonts w:ascii="Book Antiqua" w:eastAsia="Book Antiqua" w:hAnsi="Book Antiqua" w:cs="Book Antiqua"/>
          <w:color w:val="000000" w:themeColor="text1"/>
        </w:rPr>
        <w:t>Signed</w:t>
      </w:r>
      <w:r w:rsidRPr="002E2DEC">
        <w:rPr>
          <w:rFonts w:ascii="Book Antiqua" w:eastAsia="Book Antiqua" w:hAnsi="Book Antiqua" w:cs="Book Antiqua"/>
          <w:color w:val="000000" w:themeColor="text1"/>
        </w:rPr>
        <w:t xml:space="preserve"> informed consent was obtained from all </w:t>
      </w:r>
      <w:r w:rsidR="00B6536A" w:rsidRPr="002E2DEC">
        <w:rPr>
          <w:rFonts w:ascii="Book Antiqua" w:eastAsia="Book Antiqua" w:hAnsi="Book Antiqua" w:cs="Book Antiqua"/>
          <w:color w:val="000000" w:themeColor="text1"/>
        </w:rPr>
        <w:t>study</w:t>
      </w:r>
      <w:r w:rsidRPr="002E2DEC">
        <w:rPr>
          <w:rFonts w:ascii="Book Antiqua" w:eastAsia="Book Antiqua" w:hAnsi="Book Antiqua" w:cs="Book Antiqua"/>
          <w:color w:val="000000" w:themeColor="text1"/>
        </w:rPr>
        <w:t xml:space="preserve"> participants. This study was approved by the Ethics Committee of Shanghai First Maternity and Infant Health Hospital (KS2035). Thirty fecal samples were collected with a sterile sampler and were immediately trans</w:t>
      </w:r>
      <w:r w:rsidR="00B6536A" w:rsidRPr="002E2DEC">
        <w:rPr>
          <w:rFonts w:ascii="Book Antiqua" w:eastAsia="Book Antiqua" w:hAnsi="Book Antiqua" w:cs="Book Antiqua"/>
          <w:color w:val="000000" w:themeColor="text1"/>
        </w:rPr>
        <w:t>fer</w:t>
      </w:r>
      <w:r w:rsidR="007100E5" w:rsidRPr="002E2DEC">
        <w:rPr>
          <w:rFonts w:ascii="Book Antiqua" w:eastAsia="Book Antiqua" w:hAnsi="Book Antiqua" w:cs="Book Antiqua"/>
          <w:color w:val="000000" w:themeColor="text1"/>
        </w:rPr>
        <w:t>r</w:t>
      </w:r>
      <w:r w:rsidRPr="002E2DEC">
        <w:rPr>
          <w:rFonts w:ascii="Book Antiqua" w:eastAsia="Book Antiqua" w:hAnsi="Book Antiqua" w:cs="Book Antiqua"/>
          <w:color w:val="000000" w:themeColor="text1"/>
        </w:rPr>
        <w:t>ed to the laboratory on dry ice. Each sa</w:t>
      </w:r>
      <w:r w:rsidR="00451BA3" w:rsidRPr="002E2DEC">
        <w:rPr>
          <w:rFonts w:ascii="Book Antiqua" w:eastAsia="Book Antiqua" w:hAnsi="Book Antiqua" w:cs="Book Antiqua"/>
          <w:color w:val="000000" w:themeColor="text1"/>
        </w:rPr>
        <w:t>mple was dispensed into two 1.5</w:t>
      </w:r>
      <w:r w:rsidR="00451BA3" w:rsidRPr="002E2DEC">
        <w:rPr>
          <w:rFonts w:ascii="Book Antiqua" w:hAnsi="Book Antiqua" w:cs="Book Antiqua"/>
          <w:color w:val="000000" w:themeColor="text1"/>
          <w:lang w:eastAsia="zh-CN"/>
        </w:rPr>
        <w:t xml:space="preserve"> </w:t>
      </w:r>
      <w:r w:rsidR="00451BA3" w:rsidRPr="002E2DEC">
        <w:rPr>
          <w:rFonts w:ascii="Book Antiqua" w:eastAsia="Book Antiqua" w:hAnsi="Book Antiqua" w:cs="Book Antiqua"/>
          <w:color w:val="000000" w:themeColor="text1"/>
        </w:rPr>
        <w:t>m</w:t>
      </w:r>
      <w:r w:rsidR="00451BA3" w:rsidRPr="002E2DEC">
        <w:rPr>
          <w:rFonts w:ascii="Book Antiqua" w:hAnsi="Book Antiqua" w:cs="Book Antiqua"/>
          <w:color w:val="000000" w:themeColor="text1"/>
          <w:lang w:eastAsia="zh-CN"/>
        </w:rPr>
        <w:t>L</w:t>
      </w:r>
      <w:r w:rsidRPr="002E2DEC">
        <w:rPr>
          <w:rFonts w:ascii="Book Antiqua" w:eastAsia="Book Antiqua" w:hAnsi="Book Antiqua" w:cs="Book Antiqua"/>
          <w:color w:val="000000" w:themeColor="text1"/>
        </w:rPr>
        <w:t xml:space="preserve"> Eppendorf tubes and stored at -80 °C until DNA extraction (</w:t>
      </w:r>
      <w:r w:rsidR="006B3F49" w:rsidRPr="002E2DEC">
        <w:rPr>
          <w:rFonts w:ascii="Book Antiqua" w:eastAsia="Book Antiqua" w:hAnsi="Book Antiqua" w:cs="Book Antiqua"/>
          <w:color w:val="000000" w:themeColor="text1"/>
        </w:rPr>
        <w:t>carried out in a sterile operating chamber</w:t>
      </w:r>
      <w:r w:rsidRPr="002E2DEC">
        <w:rPr>
          <w:rFonts w:ascii="Book Antiqua" w:eastAsia="Book Antiqua" w:hAnsi="Book Antiqua" w:cs="Book Antiqua"/>
          <w:color w:val="000000" w:themeColor="text1"/>
        </w:rPr>
        <w:t>). The diagnosis of ICP was made on the basis of the following criteria: severe</w:t>
      </w:r>
      <w:r w:rsidR="006E0101" w:rsidRPr="002E2DEC">
        <w:rPr>
          <w:rFonts w:ascii="Book Antiqua" w:eastAsia="Book Antiqua" w:hAnsi="Book Antiqua" w:cs="Book Antiqua"/>
          <w:color w:val="000000" w:themeColor="text1"/>
        </w:rPr>
        <w:t xml:space="preserve"> itching </w:t>
      </w:r>
      <w:r w:rsidRPr="002E2DEC">
        <w:rPr>
          <w:rFonts w:ascii="Book Antiqua" w:eastAsia="Book Antiqua" w:hAnsi="Book Antiqua" w:cs="Book Antiqua"/>
          <w:color w:val="000000" w:themeColor="text1"/>
        </w:rPr>
        <w:t>without</w:t>
      </w:r>
      <w:r w:rsidR="006E0101" w:rsidRPr="002E2DEC">
        <w:rPr>
          <w:rFonts w:ascii="Book Antiqua" w:eastAsia="Book Antiqua" w:hAnsi="Book Antiqua" w:cs="Book Antiqua"/>
          <w:color w:val="000000" w:themeColor="text1"/>
        </w:rPr>
        <w:t xml:space="preserve"> eruption</w:t>
      </w:r>
      <w:r w:rsidRPr="002E2DEC">
        <w:rPr>
          <w:rFonts w:ascii="Book Antiqua" w:eastAsia="Book Antiqua" w:hAnsi="Book Antiqua" w:cs="Book Antiqua"/>
          <w:color w:val="000000" w:themeColor="text1"/>
        </w:rPr>
        <w:t xml:space="preserve">; markedly </w:t>
      </w:r>
      <w:r w:rsidR="006E0101" w:rsidRPr="002E2DEC">
        <w:rPr>
          <w:rFonts w:ascii="Book Antiqua" w:eastAsia="Book Antiqua" w:hAnsi="Book Antiqua" w:cs="Book Antiqua"/>
          <w:color w:val="000000" w:themeColor="text1"/>
        </w:rPr>
        <w:t>increased</w:t>
      </w:r>
      <w:r w:rsidR="007100E5" w:rsidRPr="002E2DEC">
        <w:rPr>
          <w:rFonts w:ascii="Book Antiqua" w:eastAsia="Book Antiqua" w:hAnsi="Book Antiqua" w:cs="Book Antiqua"/>
          <w:color w:val="000000" w:themeColor="text1"/>
        </w:rPr>
        <w:t xml:space="preserve"> </w:t>
      </w:r>
      <w:r w:rsidR="006E0101" w:rsidRPr="002E2DEC">
        <w:rPr>
          <w:rFonts w:ascii="Book Antiqua" w:eastAsia="Book Antiqua" w:hAnsi="Book Antiqua" w:cs="Book Antiqua"/>
          <w:color w:val="000000" w:themeColor="text1"/>
        </w:rPr>
        <w:t>concentrations</w:t>
      </w:r>
      <w:r w:rsidR="007100E5" w:rsidRPr="002E2DEC">
        <w:rPr>
          <w:rFonts w:ascii="Book Antiqua" w:eastAsia="Book Antiqua" w:hAnsi="Book Antiqua" w:cs="Book Antiqua"/>
          <w:color w:val="000000" w:themeColor="text1"/>
        </w:rPr>
        <w:t xml:space="preserve"> </w:t>
      </w:r>
      <w:r w:rsidR="006E0101" w:rsidRPr="002E2DEC">
        <w:rPr>
          <w:rFonts w:ascii="Book Antiqua" w:eastAsia="Book Antiqua" w:hAnsi="Book Antiqua" w:cs="Book Antiqua"/>
          <w:color w:val="000000" w:themeColor="text1"/>
        </w:rPr>
        <w:t>of</w:t>
      </w:r>
      <w:r w:rsidRPr="002E2DEC">
        <w:rPr>
          <w:rFonts w:ascii="Book Antiqua" w:eastAsia="Book Antiqua" w:hAnsi="Book Antiqua" w:cs="Book Antiqua"/>
          <w:color w:val="000000" w:themeColor="text1"/>
        </w:rPr>
        <w:t xml:space="preserve"> maternal serum bile acid (&gt; 10 μ</w:t>
      </w:r>
      <w:r w:rsidR="003D253E" w:rsidRPr="002E2DEC">
        <w:rPr>
          <w:rFonts w:ascii="Book Antiqua" w:eastAsia="Book Antiqua" w:hAnsi="Book Antiqua" w:cs="Book Antiqua"/>
          <w:color w:val="000000" w:themeColor="text1"/>
        </w:rPr>
        <w:t>mol/L</w:t>
      </w:r>
      <w:r w:rsidRPr="002E2DEC">
        <w:rPr>
          <w:rFonts w:ascii="Book Antiqua" w:eastAsia="Book Antiqua" w:hAnsi="Book Antiqua" w:cs="Book Antiqua"/>
          <w:color w:val="000000" w:themeColor="text1"/>
        </w:rPr>
        <w:t xml:space="preserve">); </w:t>
      </w:r>
      <w:r w:rsidR="007100E5" w:rsidRPr="002E2DEC">
        <w:rPr>
          <w:rFonts w:ascii="Book Antiqua" w:eastAsia="Book Antiqua" w:hAnsi="Book Antiqua" w:cs="Book Antiqua"/>
          <w:color w:val="000000" w:themeColor="text1"/>
        </w:rPr>
        <w:t>inexistence</w:t>
      </w:r>
      <w:r w:rsidR="00E373B4" w:rsidRPr="002E2DEC">
        <w:rPr>
          <w:rFonts w:ascii="Book Antiqua" w:eastAsia="Book Antiqua" w:hAnsi="Book Antiqua" w:cs="Book Antiqua"/>
          <w:color w:val="000000" w:themeColor="text1"/>
        </w:rPr>
        <w:t xml:space="preserve"> of</w:t>
      </w:r>
      <w:r w:rsidRPr="002E2DEC">
        <w:rPr>
          <w:rFonts w:ascii="Book Antiqua" w:eastAsia="Book Antiqua" w:hAnsi="Book Antiqua" w:cs="Book Antiqua"/>
          <w:color w:val="000000" w:themeColor="text1"/>
        </w:rPr>
        <w:t xml:space="preserve"> </w:t>
      </w:r>
      <w:r w:rsidR="006E0101" w:rsidRPr="002E2DEC">
        <w:rPr>
          <w:rFonts w:ascii="Book Antiqua" w:eastAsia="Book Antiqua" w:hAnsi="Book Antiqua" w:cs="Book Antiqua"/>
          <w:color w:val="000000" w:themeColor="text1"/>
        </w:rPr>
        <w:t>obvious pruritus disease</w:t>
      </w:r>
      <w:r w:rsidRPr="002E2DEC">
        <w:rPr>
          <w:rFonts w:ascii="Book Antiqua" w:eastAsia="Book Antiqua" w:hAnsi="Book Antiqua" w:cs="Book Antiqua"/>
          <w:color w:val="000000" w:themeColor="text1"/>
        </w:rPr>
        <w:t xml:space="preserve">; </w:t>
      </w:r>
      <w:r w:rsidR="007100E5" w:rsidRPr="002E2DEC">
        <w:rPr>
          <w:rFonts w:ascii="Book Antiqua" w:eastAsia="Book Antiqua" w:hAnsi="Book Antiqua" w:cs="Book Antiqua"/>
          <w:color w:val="000000" w:themeColor="text1"/>
        </w:rPr>
        <w:t>exclusive of</w:t>
      </w:r>
      <w:r w:rsidR="003B154F"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 xml:space="preserve">other </w:t>
      </w:r>
      <w:r w:rsidR="003B154F" w:rsidRPr="002E2DEC">
        <w:rPr>
          <w:rFonts w:ascii="Book Antiqua" w:eastAsia="Book Antiqua" w:hAnsi="Book Antiqua" w:cs="Book Antiqua"/>
          <w:color w:val="000000" w:themeColor="text1"/>
        </w:rPr>
        <w:t>hepatic</w:t>
      </w:r>
      <w:r w:rsidR="00961D3E" w:rsidRPr="002E2DEC">
        <w:rPr>
          <w:rFonts w:ascii="Book Antiqua" w:eastAsia="Book Antiqua" w:hAnsi="Book Antiqua" w:cs="Book Antiqua"/>
          <w:color w:val="000000" w:themeColor="text1"/>
        </w:rPr>
        <w:t xml:space="preserve"> </w:t>
      </w:r>
      <w:r w:rsidR="003B154F" w:rsidRPr="002E2DEC">
        <w:rPr>
          <w:rFonts w:ascii="Book Antiqua" w:eastAsia="Book Antiqua" w:hAnsi="Book Antiqua" w:cs="Book Antiqua"/>
          <w:color w:val="000000" w:themeColor="text1"/>
        </w:rPr>
        <w:t>disease</w:t>
      </w:r>
      <w:r w:rsidRPr="002E2DEC">
        <w:rPr>
          <w:rFonts w:ascii="Book Antiqua" w:eastAsia="Book Antiqua" w:hAnsi="Book Antiqua" w:cs="Book Antiqua"/>
          <w:color w:val="000000" w:themeColor="text1"/>
        </w:rPr>
        <w:t>s, such</w:t>
      </w:r>
      <w:r w:rsidR="00555B5D"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 xml:space="preserve">as </w:t>
      </w:r>
      <w:r w:rsidR="00961D3E" w:rsidRPr="002E2DEC">
        <w:rPr>
          <w:rFonts w:ascii="Book Antiqua" w:eastAsia="Book Antiqua" w:hAnsi="Book Antiqua" w:cs="Book Antiqua"/>
          <w:color w:val="000000" w:themeColor="text1"/>
        </w:rPr>
        <w:t>viral</w:t>
      </w:r>
      <w:r w:rsidR="00555B5D" w:rsidRPr="002E2DEC">
        <w:rPr>
          <w:rFonts w:ascii="Book Antiqua" w:eastAsia="Book Antiqua" w:hAnsi="Book Antiqua" w:cs="Book Antiqua"/>
          <w:color w:val="000000" w:themeColor="text1"/>
        </w:rPr>
        <w:t xml:space="preserve"> hepatitis, </w:t>
      </w:r>
      <w:r w:rsidR="003B154F" w:rsidRPr="002E2DEC">
        <w:rPr>
          <w:rFonts w:ascii="Book Antiqua" w:eastAsia="Book Antiqua" w:hAnsi="Book Antiqua" w:cs="Book Antiqua"/>
          <w:color w:val="000000" w:themeColor="text1"/>
        </w:rPr>
        <w:t>cholelithiasis</w:t>
      </w:r>
      <w:r w:rsidRPr="002E2DEC">
        <w:rPr>
          <w:rFonts w:ascii="Book Antiqua" w:eastAsia="Book Antiqua" w:hAnsi="Book Antiqua" w:cs="Book Antiqua"/>
          <w:color w:val="000000" w:themeColor="text1"/>
        </w:rPr>
        <w:t>,</w:t>
      </w:r>
      <w:r w:rsidR="00555B5D" w:rsidRPr="002E2DEC">
        <w:rPr>
          <w:rFonts w:ascii="Book Antiqua" w:eastAsia="Book Antiqua" w:hAnsi="Book Antiqua" w:cs="Book Antiqua"/>
          <w:color w:val="000000" w:themeColor="text1"/>
        </w:rPr>
        <w:t xml:space="preserve"> </w:t>
      </w:r>
      <w:r w:rsidR="00961D3E" w:rsidRPr="002E2DEC">
        <w:rPr>
          <w:rFonts w:ascii="Book Antiqua" w:eastAsia="Book Antiqua" w:hAnsi="Book Antiqua" w:cs="Book Antiqua"/>
          <w:color w:val="000000" w:themeColor="text1"/>
        </w:rPr>
        <w:t>fatty liver</w:t>
      </w:r>
      <w:r w:rsidR="00555B5D"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hepatotoxic drug consumption</w:t>
      </w:r>
      <w:r w:rsidR="00961D3E" w:rsidRPr="002E2DEC">
        <w:rPr>
          <w:rFonts w:ascii="Book Antiqua" w:eastAsia="Book Antiqua" w:hAnsi="Book Antiqua" w:cs="Book Antiqua"/>
          <w:color w:val="000000" w:themeColor="text1"/>
        </w:rPr>
        <w:t xml:space="preserve"> and</w:t>
      </w:r>
      <w:r w:rsidR="00555B5D"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inflammatory bowel disease; and absence of antibiotic therapy prior to fecal sample collection. After the participants</w:t>
      </w:r>
      <w:r w:rsidR="00961D3E"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stools were obtained, their peripheral blood samples were collected within 24 h; the blood was centrifuged 10 min</w:t>
      </w:r>
      <w:r w:rsidR="003D253E" w:rsidRPr="002E2DEC">
        <w:rPr>
          <w:rFonts w:ascii="Book Antiqua" w:eastAsia="Book Antiqua" w:hAnsi="Book Antiqua" w:cs="Book Antiqua"/>
          <w:color w:val="000000" w:themeColor="text1"/>
        </w:rPr>
        <w:t xml:space="preserve"> at </w:t>
      </w:r>
      <w:r w:rsidR="00961D3E" w:rsidRPr="002E2DEC">
        <w:rPr>
          <w:rFonts w:ascii="Book Antiqua" w:eastAsia="Book Antiqua" w:hAnsi="Book Antiqua" w:cs="Book Antiqua"/>
          <w:color w:val="000000" w:themeColor="text1"/>
        </w:rPr>
        <w:t xml:space="preserve">a </w:t>
      </w:r>
      <w:r w:rsidR="003D253E" w:rsidRPr="002E2DEC">
        <w:rPr>
          <w:rFonts w:ascii="Book Antiqua" w:eastAsia="Book Antiqua" w:hAnsi="Book Antiqua" w:cs="Book Antiqua"/>
          <w:color w:val="000000" w:themeColor="text1"/>
        </w:rPr>
        <w:t>speed of 3000 rpm</w:t>
      </w:r>
      <w:r w:rsidR="004F0515"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t</w:t>
      </w:r>
      <w:r w:rsidR="00A34C68" w:rsidRPr="002E2DEC">
        <w:rPr>
          <w:rFonts w:ascii="Book Antiqua" w:eastAsia="Book Antiqua" w:hAnsi="Book Antiqua" w:cs="Book Antiqua"/>
          <w:color w:val="000000" w:themeColor="text1"/>
        </w:rPr>
        <w:t xml:space="preserve">he serum was </w:t>
      </w:r>
      <w:r w:rsidR="004F0515" w:rsidRPr="002E2DEC">
        <w:rPr>
          <w:rFonts w:ascii="Book Antiqua" w:eastAsia="Book Antiqua" w:hAnsi="Book Antiqua" w:cs="Book Antiqua"/>
          <w:color w:val="000000" w:themeColor="text1"/>
        </w:rPr>
        <w:t xml:space="preserve">carefully </w:t>
      </w:r>
      <w:r w:rsidR="00A34C68" w:rsidRPr="002E2DEC">
        <w:rPr>
          <w:rFonts w:ascii="Book Antiqua" w:eastAsia="Book Antiqua" w:hAnsi="Book Antiqua" w:cs="Book Antiqua"/>
          <w:color w:val="000000" w:themeColor="text1"/>
        </w:rPr>
        <w:t>collected, and 0.5</w:t>
      </w:r>
      <w:r w:rsidR="00A34C68" w:rsidRPr="002E2DEC">
        <w:rPr>
          <w:rFonts w:ascii="Book Antiqua" w:hAnsi="Book Antiqua" w:cs="Book Antiqua"/>
          <w:color w:val="000000" w:themeColor="text1"/>
          <w:lang w:eastAsia="zh-CN"/>
        </w:rPr>
        <w:t xml:space="preserve"> </w:t>
      </w:r>
      <w:r w:rsidRPr="002E2DEC">
        <w:rPr>
          <w:rFonts w:ascii="Book Antiqua" w:eastAsia="Book Antiqua" w:hAnsi="Book Antiqua" w:cs="Book Antiqua"/>
          <w:color w:val="000000" w:themeColor="text1"/>
        </w:rPr>
        <w:t xml:space="preserve">mL </w:t>
      </w:r>
      <w:r w:rsidR="00A34C68" w:rsidRPr="002E2DEC">
        <w:rPr>
          <w:rFonts w:ascii="Book Antiqua" w:eastAsia="Book Antiqua" w:hAnsi="Book Antiqua" w:cs="Book Antiqua"/>
          <w:color w:val="000000" w:themeColor="text1"/>
        </w:rPr>
        <w:t>aliquot was</w:t>
      </w:r>
      <w:r w:rsidRPr="002E2DEC">
        <w:rPr>
          <w:rFonts w:ascii="Book Antiqua" w:eastAsia="Book Antiqua" w:hAnsi="Book Antiqua" w:cs="Book Antiqua"/>
          <w:color w:val="000000" w:themeColor="text1"/>
        </w:rPr>
        <w:t xml:space="preserve"> stored at -80 °C.</w:t>
      </w:r>
      <w:r w:rsidR="00442F09" w:rsidRPr="002E2DEC">
        <w:rPr>
          <w:rFonts w:ascii="Book Antiqua" w:hAnsi="Book Antiqua"/>
          <w:color w:val="000000" w:themeColor="text1"/>
          <w:lang w:eastAsia="zh-CN"/>
        </w:rPr>
        <w:t xml:space="preserve"> </w:t>
      </w:r>
    </w:p>
    <w:p w14:paraId="3C5F810D" w14:textId="779DDB39" w:rsidR="00A77B3E" w:rsidRPr="002E2DEC" w:rsidRDefault="003022FF" w:rsidP="002E2DEC">
      <w:pPr>
        <w:snapToGrid w:val="0"/>
        <w:spacing w:line="360" w:lineRule="auto"/>
        <w:ind w:firstLineChars="100" w:firstLine="240"/>
        <w:jc w:val="both"/>
        <w:rPr>
          <w:rFonts w:ascii="Book Antiqua" w:hAnsi="Book Antiqua"/>
          <w:color w:val="000000" w:themeColor="text1"/>
          <w:lang w:eastAsia="zh-CN"/>
        </w:rPr>
      </w:pPr>
      <w:r w:rsidRPr="002E2DEC">
        <w:rPr>
          <w:rFonts w:ascii="Book Antiqua" w:eastAsia="Book Antiqua" w:hAnsi="Book Antiqua" w:cs="Book Antiqua"/>
          <w:color w:val="000000" w:themeColor="text1"/>
        </w:rPr>
        <w:t>The clinical data</w:t>
      </w:r>
      <w:r w:rsidR="00555B5D" w:rsidRPr="002E2DEC">
        <w:rPr>
          <w:rFonts w:ascii="Book Antiqua" w:eastAsia="Book Antiqua" w:hAnsi="Book Antiqua" w:cs="Book Antiqua"/>
          <w:color w:val="000000" w:themeColor="text1"/>
        </w:rPr>
        <w:t xml:space="preserve"> </w:t>
      </w:r>
      <w:r w:rsidR="00961D3E" w:rsidRPr="002E2DEC">
        <w:rPr>
          <w:rFonts w:ascii="Book Antiqua" w:eastAsia="Book Antiqua" w:hAnsi="Book Antiqua" w:cs="Book Antiqua"/>
          <w:color w:val="000000" w:themeColor="text1"/>
        </w:rPr>
        <w:t>of</w:t>
      </w:r>
      <w:r w:rsidR="001A4A8C" w:rsidRPr="002E2DEC">
        <w:rPr>
          <w:rFonts w:ascii="Book Antiqua" w:eastAsia="Book Antiqua" w:hAnsi="Book Antiqua" w:cs="Book Antiqua"/>
          <w:color w:val="000000" w:themeColor="text1"/>
        </w:rPr>
        <w:t xml:space="preserve"> aspartate aminotransferase, </w:t>
      </w:r>
      <w:r w:rsidRPr="002E2DEC">
        <w:rPr>
          <w:rFonts w:ascii="Book Antiqua" w:eastAsia="Book Antiqua" w:hAnsi="Book Antiqua" w:cs="Book Antiqua"/>
          <w:color w:val="000000" w:themeColor="text1"/>
        </w:rPr>
        <w:t xml:space="preserve">alanine aminotransferase, serum </w:t>
      </w:r>
      <w:r w:rsidR="001A4A8C" w:rsidRPr="002E2DEC">
        <w:rPr>
          <w:rFonts w:ascii="Book Antiqua" w:eastAsia="Book Antiqua" w:hAnsi="Book Antiqua" w:cs="Book Antiqua"/>
          <w:color w:val="000000" w:themeColor="text1"/>
        </w:rPr>
        <w:t>bilirubin (indirect and direct)</w:t>
      </w:r>
      <w:r w:rsidRPr="002E2DEC">
        <w:rPr>
          <w:rFonts w:ascii="Book Antiqua" w:eastAsia="Book Antiqua" w:hAnsi="Book Antiqua" w:cs="Book Antiqua"/>
          <w:color w:val="000000" w:themeColor="text1"/>
        </w:rPr>
        <w:t xml:space="preserve"> and </w:t>
      </w:r>
      <w:r w:rsidR="001A4A8C" w:rsidRPr="002E2DEC">
        <w:rPr>
          <w:rFonts w:ascii="Book Antiqua" w:eastAsia="Book Antiqua" w:hAnsi="Book Antiqua" w:cs="Book Antiqua"/>
          <w:color w:val="000000" w:themeColor="text1"/>
        </w:rPr>
        <w:t>TBA</w:t>
      </w:r>
      <w:r w:rsidRPr="002E2DEC">
        <w:rPr>
          <w:rFonts w:ascii="Book Antiqua" w:eastAsia="Book Antiqua" w:hAnsi="Book Antiqua" w:cs="Book Antiqua"/>
          <w:color w:val="000000" w:themeColor="text1"/>
        </w:rPr>
        <w:t xml:space="preserve"> were obtained from the paper medical records and electronic medical record system of </w:t>
      </w:r>
      <w:r w:rsidR="00961D3E" w:rsidRPr="002E2DEC">
        <w:rPr>
          <w:rFonts w:ascii="Book Antiqua" w:eastAsia="Book Antiqua" w:hAnsi="Book Antiqua" w:cs="Book Antiqua"/>
          <w:color w:val="000000" w:themeColor="text1"/>
        </w:rPr>
        <w:t xml:space="preserve">the </w:t>
      </w:r>
      <w:r w:rsidRPr="002E2DEC">
        <w:rPr>
          <w:rFonts w:ascii="Book Antiqua" w:eastAsia="Book Antiqua" w:hAnsi="Book Antiqua" w:cs="Book Antiqua"/>
          <w:color w:val="000000" w:themeColor="text1"/>
        </w:rPr>
        <w:t>Shanghai First Maternity and Infant Health Hospital.</w:t>
      </w:r>
    </w:p>
    <w:p w14:paraId="36E69196" w14:textId="77777777" w:rsidR="00813229" w:rsidRPr="002E2DEC" w:rsidRDefault="00813229" w:rsidP="002E2DEC">
      <w:pPr>
        <w:snapToGrid w:val="0"/>
        <w:spacing w:line="360" w:lineRule="auto"/>
        <w:jc w:val="both"/>
        <w:rPr>
          <w:rFonts w:ascii="Book Antiqua" w:hAnsi="Book Antiqua" w:cs="Book Antiqua"/>
          <w:b/>
          <w:i/>
          <w:color w:val="000000" w:themeColor="text1"/>
          <w:lang w:eastAsia="zh-CN"/>
        </w:rPr>
      </w:pPr>
    </w:p>
    <w:p w14:paraId="466BF45E" w14:textId="7DF020E0" w:rsidR="00A77B3E" w:rsidRPr="002E2DEC" w:rsidRDefault="003022FF" w:rsidP="002E2DEC">
      <w:pPr>
        <w:snapToGrid w:val="0"/>
        <w:spacing w:line="360" w:lineRule="auto"/>
        <w:jc w:val="both"/>
        <w:rPr>
          <w:rFonts w:ascii="Book Antiqua" w:hAnsi="Book Antiqua"/>
          <w:b/>
          <w:color w:val="000000" w:themeColor="text1"/>
        </w:rPr>
      </w:pPr>
      <w:r w:rsidRPr="002E2DEC">
        <w:rPr>
          <w:rFonts w:ascii="Book Antiqua" w:eastAsia="Book Antiqua" w:hAnsi="Book Antiqua" w:cs="Book Antiqua"/>
          <w:b/>
          <w:i/>
          <w:color w:val="000000" w:themeColor="text1"/>
        </w:rPr>
        <w:t xml:space="preserve">Fecal DNA </w:t>
      </w:r>
      <w:r w:rsidR="00813229" w:rsidRPr="002E2DEC">
        <w:rPr>
          <w:rFonts w:ascii="Book Antiqua" w:eastAsia="Book Antiqua" w:hAnsi="Book Antiqua" w:cs="Book Antiqua"/>
          <w:b/>
          <w:i/>
          <w:color w:val="000000" w:themeColor="text1"/>
        </w:rPr>
        <w:t>extraction and high-throughput seque</w:t>
      </w:r>
      <w:r w:rsidRPr="002E2DEC">
        <w:rPr>
          <w:rFonts w:ascii="Book Antiqua" w:eastAsia="Book Antiqua" w:hAnsi="Book Antiqua" w:cs="Book Antiqua"/>
          <w:b/>
          <w:i/>
          <w:color w:val="000000" w:themeColor="text1"/>
        </w:rPr>
        <w:t>ncing</w:t>
      </w:r>
    </w:p>
    <w:p w14:paraId="368AA1ED" w14:textId="3E5E6A29"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An Omega fecal bacterial genomic DNA extraction kit was used, and the specific procedure was performed according to the instructions. The 16S rRNA V3-V4 region was amplified by PCR using the 341F (5</w:t>
      </w:r>
      <w:r w:rsidR="00E74050"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-CCTACGGGNGGCWGCAG-3</w:t>
      </w:r>
      <w:r w:rsidR="00E74050"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and 805R (5</w:t>
      </w:r>
      <w:r w:rsidR="00E74050"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-GACTACHVGGGTATCTAATCC-3</w:t>
      </w:r>
      <w:r w:rsidR="00E74050"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primers. The PCR products were recovered using 2% agarose gels and purified using the AxyPrep DNA Gel Extraction Kit (Axygen </w:t>
      </w:r>
      <w:r w:rsidR="00683C04" w:rsidRPr="002E2DEC">
        <w:rPr>
          <w:rFonts w:ascii="Book Antiqua" w:eastAsia="Book Antiqua" w:hAnsi="Book Antiqua" w:cs="Book Antiqua"/>
          <w:color w:val="000000" w:themeColor="text1"/>
        </w:rPr>
        <w:t>Biosciences, Union City, CA, U</w:t>
      </w:r>
      <w:r w:rsidR="00683C04" w:rsidRPr="002E2DEC">
        <w:rPr>
          <w:rFonts w:ascii="Book Antiqua" w:hAnsi="Book Antiqua" w:cs="Book Antiqua"/>
          <w:color w:val="000000" w:themeColor="text1"/>
          <w:lang w:eastAsia="zh-CN"/>
        </w:rPr>
        <w:t>nited States</w:t>
      </w:r>
      <w:r w:rsidRPr="002E2DEC">
        <w:rPr>
          <w:rFonts w:ascii="Book Antiqua" w:eastAsia="Book Antiqua" w:hAnsi="Book Antiqua" w:cs="Book Antiqua"/>
          <w:color w:val="000000" w:themeColor="text1"/>
        </w:rPr>
        <w:t>). The final 16S rRNA gene amplicon library was sequenced on the MiSeq platform (Illumina) using a 2 × 300 bp paired-end protocol.</w:t>
      </w:r>
    </w:p>
    <w:p w14:paraId="7F72CA86" w14:textId="77777777" w:rsidR="00683C04" w:rsidRPr="002E2DEC" w:rsidRDefault="00683C04" w:rsidP="002E2DEC">
      <w:pPr>
        <w:snapToGrid w:val="0"/>
        <w:spacing w:line="360" w:lineRule="auto"/>
        <w:jc w:val="both"/>
        <w:rPr>
          <w:rFonts w:ascii="Book Antiqua" w:hAnsi="Book Antiqua" w:cs="Book Antiqua"/>
          <w:b/>
          <w:i/>
          <w:color w:val="000000" w:themeColor="text1"/>
          <w:lang w:eastAsia="zh-CN"/>
        </w:rPr>
      </w:pPr>
    </w:p>
    <w:p w14:paraId="71D0772E" w14:textId="0999953F" w:rsidR="00A77B3E" w:rsidRPr="002E2DEC" w:rsidRDefault="003022FF" w:rsidP="002E2DEC">
      <w:pPr>
        <w:snapToGrid w:val="0"/>
        <w:spacing w:line="360" w:lineRule="auto"/>
        <w:jc w:val="both"/>
        <w:rPr>
          <w:rFonts w:ascii="Book Antiqua" w:hAnsi="Book Antiqua"/>
          <w:b/>
          <w:color w:val="000000" w:themeColor="text1"/>
        </w:rPr>
      </w:pPr>
      <w:r w:rsidRPr="002E2DEC">
        <w:rPr>
          <w:rFonts w:ascii="Book Antiqua" w:eastAsia="Book Antiqua" w:hAnsi="Book Antiqua" w:cs="Book Antiqua"/>
          <w:b/>
          <w:i/>
          <w:color w:val="000000" w:themeColor="text1"/>
        </w:rPr>
        <w:t>L</w:t>
      </w:r>
      <w:r w:rsidR="005E3880" w:rsidRPr="002E2DEC">
        <w:rPr>
          <w:rFonts w:ascii="Book Antiqua" w:eastAsia="Book Antiqua" w:hAnsi="Book Antiqua" w:cs="Book Antiqua"/>
          <w:b/>
          <w:i/>
          <w:color w:val="000000" w:themeColor="text1"/>
        </w:rPr>
        <w:t>iquid chromatography</w:t>
      </w:r>
      <w:r w:rsidRPr="002E2DEC">
        <w:rPr>
          <w:rFonts w:ascii="Book Antiqua" w:eastAsia="Book Antiqua" w:hAnsi="Book Antiqua" w:cs="Book Antiqua"/>
          <w:b/>
          <w:i/>
          <w:color w:val="000000" w:themeColor="text1"/>
        </w:rPr>
        <w:t>-</w:t>
      </w:r>
      <w:r w:rsidR="005E3880" w:rsidRPr="002E2DEC">
        <w:rPr>
          <w:rFonts w:ascii="Book Antiqua" w:eastAsia="Book Antiqua" w:hAnsi="Book Antiqua" w:cs="Book Antiqua"/>
          <w:b/>
          <w:i/>
          <w:color w:val="000000" w:themeColor="text1"/>
        </w:rPr>
        <w:t>mass spectrometry</w:t>
      </w:r>
      <w:r w:rsidRPr="002E2DEC">
        <w:rPr>
          <w:rFonts w:ascii="Book Antiqua" w:eastAsia="Book Antiqua" w:hAnsi="Book Antiqua" w:cs="Book Antiqua"/>
          <w:b/>
          <w:i/>
          <w:color w:val="000000" w:themeColor="text1"/>
        </w:rPr>
        <w:t>-</w:t>
      </w:r>
      <w:r w:rsidR="00683C04" w:rsidRPr="002E2DEC">
        <w:rPr>
          <w:rFonts w:ascii="Book Antiqua" w:eastAsia="Book Antiqua" w:hAnsi="Book Antiqua" w:cs="Book Antiqua"/>
          <w:b/>
          <w:i/>
          <w:color w:val="000000" w:themeColor="text1"/>
        </w:rPr>
        <w:t>based metabolism analysis</w:t>
      </w:r>
    </w:p>
    <w:p w14:paraId="65790D54" w14:textId="1FFC4C71" w:rsidR="00A77B3E" w:rsidRPr="002E2DEC" w:rsidRDefault="003022FF" w:rsidP="002E2DEC">
      <w:pPr>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Serum samples were separated on an Agilent 1290 Infinity LC Ultra Performance Liquid Chromatography System HILIC column</w:t>
      </w:r>
      <w:r w:rsidR="005E3880" w:rsidRPr="002E2DEC">
        <w:rPr>
          <w:rFonts w:ascii="Book Antiqua" w:eastAsia="Book Antiqua" w:hAnsi="Book Antiqua" w:cs="Book Antiqua"/>
          <w:color w:val="000000" w:themeColor="text1"/>
        </w:rPr>
        <w:t xml:space="preserve"> with the following conditions:</w:t>
      </w:r>
      <w:r w:rsidRPr="002E2DEC">
        <w:rPr>
          <w:rFonts w:ascii="Book Antiqua" w:eastAsia="Book Antiqua" w:hAnsi="Book Antiqua" w:cs="Book Antiqua"/>
          <w:color w:val="000000" w:themeColor="text1"/>
        </w:rPr>
        <w:t xml:space="preserve"> column temperature: 25 °C; flow rate: 0.3 mL/min; and mobile phase composition: A: water 25 mmol/L amm</w:t>
      </w:r>
      <w:r w:rsidR="00062508" w:rsidRPr="002E2DEC">
        <w:rPr>
          <w:rFonts w:ascii="Book Antiqua" w:eastAsia="Book Antiqua" w:hAnsi="Book Antiqua" w:cs="Book Antiqua"/>
          <w:color w:val="000000" w:themeColor="text1"/>
        </w:rPr>
        <w:t>onium acetate 25 mmol/L ammonia</w:t>
      </w:r>
      <w:r w:rsidR="00062508" w:rsidRPr="002E2DEC">
        <w:rPr>
          <w:rFonts w:ascii="Book Antiqua" w:hAnsi="Book Antiqua" w:cs="Book Antiqua"/>
          <w:color w:val="000000" w:themeColor="text1"/>
          <w:lang w:eastAsia="zh-CN"/>
        </w:rPr>
        <w:t>;</w:t>
      </w:r>
      <w:r w:rsidRPr="002E2DEC">
        <w:rPr>
          <w:rFonts w:ascii="Book Antiqua" w:eastAsia="Book Antiqua" w:hAnsi="Book Antiqua" w:cs="Book Antiqua"/>
          <w:color w:val="000000" w:themeColor="text1"/>
        </w:rPr>
        <w:t xml:space="preserve"> B: acetonitrile. The</w:t>
      </w:r>
      <w:r w:rsidR="00B7787E"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gradient</w:t>
      </w:r>
      <w:r w:rsidR="00B7787E"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elution</w:t>
      </w:r>
      <w:r w:rsidR="00B7787E"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program</w:t>
      </w:r>
      <w:r w:rsidR="006A06C3" w:rsidRPr="002E2DEC">
        <w:rPr>
          <w:rFonts w:ascii="Book Antiqua" w:eastAsia="Book Antiqua" w:hAnsi="Book Antiqua" w:cs="Book Antiqua"/>
          <w:color w:val="000000" w:themeColor="text1"/>
        </w:rPr>
        <w:t xml:space="preserve"> was</w:t>
      </w:r>
      <w:r w:rsidR="005E3880" w:rsidRPr="002E2DEC">
        <w:rPr>
          <w:rFonts w:ascii="Book Antiqua" w:eastAsia="Book Antiqua" w:hAnsi="Book Antiqua" w:cs="Book Antiqua"/>
          <w:color w:val="000000" w:themeColor="text1"/>
        </w:rPr>
        <w:t xml:space="preserve"> </w:t>
      </w:r>
      <w:r w:rsidR="00B7787E" w:rsidRPr="002E2DEC">
        <w:rPr>
          <w:rFonts w:ascii="Book Antiqua" w:eastAsia="Book Antiqua" w:hAnsi="Book Antiqua" w:cs="Book Antiqua"/>
          <w:color w:val="000000" w:themeColor="text1"/>
        </w:rPr>
        <w:t>illustrated</w:t>
      </w:r>
      <w:r w:rsidR="005E3880" w:rsidRPr="002E2DEC">
        <w:rPr>
          <w:rFonts w:ascii="Book Antiqua" w:eastAsia="Book Antiqua" w:hAnsi="Book Antiqua" w:cs="Book Antiqua"/>
          <w:color w:val="000000" w:themeColor="text1"/>
        </w:rPr>
        <w:t xml:space="preserve"> </w:t>
      </w:r>
      <w:r w:rsidR="00B7787E" w:rsidRPr="002E2DEC">
        <w:rPr>
          <w:rFonts w:ascii="Book Antiqua" w:eastAsia="Book Antiqua" w:hAnsi="Book Antiqua" w:cs="Book Antiqua"/>
          <w:color w:val="000000" w:themeColor="text1"/>
        </w:rPr>
        <w:t>below</w:t>
      </w:r>
      <w:r w:rsidRPr="002E2DEC">
        <w:rPr>
          <w:rFonts w:ascii="Book Antiqua" w:eastAsia="Book Antiqua" w:hAnsi="Book Antiqua" w:cs="Book Antiqua"/>
          <w:color w:val="000000" w:themeColor="text1"/>
        </w:rPr>
        <w:t>: 0-0.5 min, 95% B; 0.5-7 min, B changed linearly from 95% to 65%; 7-8 min, B changed linearly from 65% to 40%; 8-9 min, B maintained at 40%; 9-9.1 min, B changed linearly from 40% to 95%; 9.1-12 min, B maintained at 95%. The samples were placed in an autosampler at 4 °C throughout the analysis.</w:t>
      </w:r>
      <w:r w:rsidRPr="002E2DEC">
        <w:rPr>
          <w:rFonts w:ascii="Book Antiqua" w:eastAsia="Book Antiqua" w:hAnsi="Book Antiqua" w:cs="Book Antiqua"/>
          <w:b/>
          <w:bCs/>
          <w:color w:val="000000" w:themeColor="text1"/>
        </w:rPr>
        <w:t xml:space="preserve"> </w:t>
      </w:r>
      <w:r w:rsidRPr="002E2DEC">
        <w:rPr>
          <w:rFonts w:ascii="Book Antiqua" w:eastAsia="Book Antiqua" w:hAnsi="Book Antiqua" w:cs="Book Antiqua"/>
          <w:color w:val="000000" w:themeColor="text1"/>
        </w:rPr>
        <w:t>Electrospray ionization(ESI) positive and negative ion modes were used for detection. The samples were analy</w:t>
      </w:r>
      <w:r w:rsidR="005E3880" w:rsidRPr="002E2DEC">
        <w:rPr>
          <w:rFonts w:ascii="Book Antiqua" w:eastAsia="Book Antiqua" w:hAnsi="Book Antiqua" w:cs="Book Antiqua"/>
          <w:color w:val="000000" w:themeColor="text1"/>
        </w:rPr>
        <w:t>z</w:t>
      </w:r>
      <w:r w:rsidRPr="002E2DEC">
        <w:rPr>
          <w:rFonts w:ascii="Book Antiqua" w:eastAsia="Book Antiqua" w:hAnsi="Book Antiqua" w:cs="Book Antiqua"/>
          <w:color w:val="000000" w:themeColor="text1"/>
        </w:rPr>
        <w:t>ed by mass spectrometry with an Agilent 6550 mass spectrometer.</w:t>
      </w:r>
      <w:r w:rsidRPr="002E2DEC">
        <w:rPr>
          <w:rFonts w:ascii="Book Antiqua" w:eastAsia="Book Antiqua" w:hAnsi="Book Antiqua" w:cs="Book Antiqua"/>
          <w:b/>
          <w:bCs/>
          <w:color w:val="000000" w:themeColor="text1"/>
        </w:rPr>
        <w:t xml:space="preserve"> </w:t>
      </w:r>
      <w:r w:rsidRPr="002E2DEC">
        <w:rPr>
          <w:rFonts w:ascii="Book Antiqua" w:eastAsia="Book Antiqua" w:hAnsi="Book Antiqua" w:cs="Book Antiqua"/>
          <w:color w:val="000000" w:themeColor="text1"/>
        </w:rPr>
        <w:t>The</w:t>
      </w:r>
      <w:r w:rsidRPr="002E2DEC">
        <w:rPr>
          <w:rFonts w:ascii="Book Antiqua" w:eastAsia="Book Antiqua" w:hAnsi="Book Antiqua" w:cs="Book Antiqua"/>
          <w:b/>
          <w:bCs/>
          <w:color w:val="000000" w:themeColor="text1"/>
        </w:rPr>
        <w:t xml:space="preserve"> </w:t>
      </w:r>
      <w:r w:rsidRPr="002E2DEC">
        <w:rPr>
          <w:rFonts w:ascii="Book Antiqua" w:eastAsia="Book Antiqua" w:hAnsi="Book Antiqua" w:cs="Book Antiqua"/>
          <w:color w:val="000000"/>
        </w:rPr>
        <w:t>ESI</w:t>
      </w:r>
      <w:r w:rsidRPr="002E2DEC">
        <w:rPr>
          <w:rFonts w:ascii="Book Antiqua" w:eastAsia="Book Antiqua" w:hAnsi="Book Antiqua" w:cs="Book Antiqua"/>
          <w:color w:val="000000" w:themeColor="text1"/>
        </w:rPr>
        <w:t xml:space="preserve"> source conditions were</w:t>
      </w:r>
      <w:r w:rsidR="006A06C3" w:rsidRPr="002E2DEC">
        <w:rPr>
          <w:rFonts w:ascii="Book Antiqua" w:hAnsi="Book Antiqua" w:cs="Book Antiqua"/>
          <w:color w:val="000000" w:themeColor="text1"/>
          <w:lang w:eastAsia="zh-CN"/>
        </w:rPr>
        <w:t xml:space="preserve"> </w:t>
      </w:r>
      <w:r w:rsidR="003D5223" w:rsidRPr="002E2DEC">
        <w:rPr>
          <w:rFonts w:ascii="Book Antiqua" w:eastAsia="Book Antiqua" w:hAnsi="Book Antiqua" w:cs="Book Antiqua"/>
          <w:color w:val="000000" w:themeColor="text1"/>
        </w:rPr>
        <w:t>illustrated</w:t>
      </w:r>
      <w:r w:rsidR="005E3880" w:rsidRPr="002E2DEC">
        <w:rPr>
          <w:rFonts w:ascii="Book Antiqua" w:eastAsia="Book Antiqua" w:hAnsi="Book Antiqua" w:cs="Book Antiqua"/>
          <w:color w:val="000000" w:themeColor="text1"/>
        </w:rPr>
        <w:t xml:space="preserve"> </w:t>
      </w:r>
      <w:r w:rsidR="003D5223" w:rsidRPr="002E2DEC">
        <w:rPr>
          <w:rFonts w:ascii="Book Antiqua" w:eastAsia="Book Antiqua" w:hAnsi="Book Antiqua" w:cs="Book Antiqua"/>
          <w:color w:val="000000" w:themeColor="text1"/>
        </w:rPr>
        <w:t>below</w:t>
      </w:r>
      <w:r w:rsidRPr="002E2DEC">
        <w:rPr>
          <w:rFonts w:ascii="Book Antiqua" w:eastAsia="Book Antiqua" w:hAnsi="Book Antiqua" w:cs="Book Antiqua"/>
          <w:color w:val="000000" w:themeColor="text1"/>
        </w:rPr>
        <w:t>: gas temp: 250 °C</w:t>
      </w:r>
      <w:r w:rsidR="005E3880"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drying gas: 16 L/min</w:t>
      </w:r>
      <w:r w:rsidR="005E3880"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nebulizer: 20 psi</w:t>
      </w:r>
      <w:r w:rsidR="00C21209"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sheath gas temp: 400 °C</w:t>
      </w:r>
      <w:r w:rsidR="00C21209"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gas sheath flow: 12 L/min</w:t>
      </w:r>
      <w:r w:rsidR="00C21209"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Vcap: 3000 V</w:t>
      </w:r>
      <w:r w:rsidR="00C21209"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nozzle voltage: 0 V</w:t>
      </w:r>
      <w:r w:rsidR="00C21209"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fragment: 175 V</w:t>
      </w:r>
      <w:r w:rsidR="00C21209"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mass range: 50-1200</w:t>
      </w:r>
      <w:r w:rsidR="00C21209"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acquisition rate: 4 Hz</w:t>
      </w:r>
      <w:r w:rsidR="00C21209"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and cycle time: 250 ms.</w:t>
      </w:r>
    </w:p>
    <w:p w14:paraId="700145D3" w14:textId="77777777" w:rsidR="00062508" w:rsidRPr="002E2DEC" w:rsidRDefault="00062508" w:rsidP="002E2DEC">
      <w:pPr>
        <w:snapToGrid w:val="0"/>
        <w:spacing w:line="360" w:lineRule="auto"/>
        <w:jc w:val="both"/>
        <w:rPr>
          <w:rFonts w:ascii="Book Antiqua" w:hAnsi="Book Antiqua" w:cs="Book Antiqua"/>
          <w:i/>
          <w:color w:val="000000" w:themeColor="text1"/>
          <w:lang w:eastAsia="zh-CN"/>
        </w:rPr>
      </w:pPr>
    </w:p>
    <w:p w14:paraId="7BE0A895" w14:textId="77777777" w:rsidR="00A77B3E" w:rsidRPr="002E2DEC" w:rsidRDefault="003022FF" w:rsidP="002E2DEC">
      <w:pPr>
        <w:snapToGrid w:val="0"/>
        <w:spacing w:line="360" w:lineRule="auto"/>
        <w:jc w:val="both"/>
        <w:rPr>
          <w:rFonts w:ascii="Book Antiqua" w:hAnsi="Book Antiqua"/>
          <w:b/>
          <w:color w:val="000000" w:themeColor="text1"/>
        </w:rPr>
      </w:pPr>
      <w:r w:rsidRPr="002E2DEC">
        <w:rPr>
          <w:rFonts w:ascii="Book Antiqua" w:eastAsia="Book Antiqua" w:hAnsi="Book Antiqua" w:cs="Book Antiqua"/>
          <w:b/>
          <w:i/>
          <w:color w:val="000000" w:themeColor="text1"/>
        </w:rPr>
        <w:t xml:space="preserve">Bioinformatics and </w:t>
      </w:r>
      <w:r w:rsidR="00630177" w:rsidRPr="002E2DEC">
        <w:rPr>
          <w:rFonts w:ascii="Book Antiqua" w:eastAsia="Book Antiqua" w:hAnsi="Book Antiqua" w:cs="Book Antiqua"/>
          <w:b/>
          <w:i/>
          <w:color w:val="000000" w:themeColor="text1"/>
        </w:rPr>
        <w:t>statistical analy</w:t>
      </w:r>
      <w:r w:rsidRPr="002E2DEC">
        <w:rPr>
          <w:rFonts w:ascii="Book Antiqua" w:eastAsia="Book Antiqua" w:hAnsi="Book Antiqua" w:cs="Book Antiqua"/>
          <w:b/>
          <w:i/>
          <w:color w:val="000000" w:themeColor="text1"/>
        </w:rPr>
        <w:t>sis</w:t>
      </w:r>
    </w:p>
    <w:p w14:paraId="74B062EC" w14:textId="4250E065" w:rsidR="00A77B3E" w:rsidRPr="002E2DEC" w:rsidRDefault="003022FF" w:rsidP="002E2DEC">
      <w:pPr>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 xml:space="preserve">Sequencing read pairs were demultiplexed based on the unique molecular barcodes, and the reads were merged using USEARCH Version 8.0. </w:t>
      </w:r>
      <w:r w:rsidR="009851AA" w:rsidRPr="002E2DEC">
        <w:rPr>
          <w:rFonts w:ascii="Book Antiqua" w:eastAsia="Book Antiqua" w:hAnsi="Book Antiqua" w:cs="Book Antiqua"/>
          <w:color w:val="000000" w:themeColor="text1"/>
        </w:rPr>
        <w:t>During the merge process,</w:t>
      </w:r>
      <w:r w:rsidRPr="002E2DEC">
        <w:rPr>
          <w:rFonts w:ascii="Book Antiqua" w:eastAsia="Book Antiqua" w:hAnsi="Book Antiqua" w:cs="Book Antiqua"/>
          <w:color w:val="000000" w:themeColor="text1"/>
        </w:rPr>
        <w:t xml:space="preserve"> 0 mismatches and a minimum overlap of 50 bases</w:t>
      </w:r>
      <w:r w:rsidR="009851AA" w:rsidRPr="002E2DEC">
        <w:rPr>
          <w:rFonts w:ascii="Book Antiqua" w:eastAsia="Book Antiqua" w:hAnsi="Book Antiqua" w:cs="Book Antiqua"/>
          <w:color w:val="000000" w:themeColor="text1"/>
        </w:rPr>
        <w:t xml:space="preserve"> were allowed</w:t>
      </w:r>
      <w:r w:rsidRPr="002E2DEC">
        <w:rPr>
          <w:rFonts w:ascii="Book Antiqua" w:eastAsia="Book Antiqua" w:hAnsi="Book Antiqua" w:cs="Book Antiqua"/>
          <w:color w:val="000000" w:themeColor="text1"/>
        </w:rPr>
        <w:t>. Sequences that could not be spliced and chimaeras were removed, and chimaeras were eliminated using UCHIME software. Sequences less than 400 bases in length after splicing were</w:t>
      </w:r>
      <w:r w:rsidR="009851AA" w:rsidRPr="002E2DEC">
        <w:rPr>
          <w:rFonts w:ascii="Book Antiqua" w:eastAsia="Book Antiqua" w:hAnsi="Book Antiqua" w:cs="Book Antiqua"/>
          <w:color w:val="000000" w:themeColor="text1"/>
        </w:rPr>
        <w:t xml:space="preserve"> deleted</w:t>
      </w:r>
      <w:r w:rsidRPr="002E2DEC">
        <w:rPr>
          <w:rFonts w:ascii="Book Antiqua" w:eastAsia="Book Antiqua" w:hAnsi="Book Antiqua" w:cs="Book Antiqua"/>
          <w:color w:val="000000" w:themeColor="text1"/>
        </w:rPr>
        <w:t xml:space="preserve">. Operational taxonomy units (OTUs) were clustered using UPARSE53 (version 7.1 http://drive5.com/uparse/) software based on 97% similarity. </w:t>
      </w:r>
      <w:r w:rsidRPr="002E2DEC">
        <w:rPr>
          <w:rFonts w:ascii="Book Antiqua" w:eastAsia="Book Antiqua" w:hAnsi="Book Antiqua" w:cs="Book Antiqua"/>
          <w:color w:val="000000"/>
        </w:rPr>
        <w:t xml:space="preserve">OTUs </w:t>
      </w:r>
      <w:r w:rsidRPr="002E2DEC">
        <w:rPr>
          <w:rFonts w:ascii="Book Antiqua" w:eastAsia="Book Antiqua" w:hAnsi="Book Antiqua" w:cs="Book Antiqua"/>
          <w:color w:val="000000" w:themeColor="text1"/>
        </w:rPr>
        <w:t>were determined by mapping the centroids to the SILVA v128 database. Other analyses were performed using the QIIME 1.9 pipeline</w:t>
      </w:r>
      <w:r w:rsidRPr="002E2DEC">
        <w:rPr>
          <w:rFonts w:ascii="Book Antiqua" w:eastAsia="Book Antiqua" w:hAnsi="Book Antiqua" w:cs="Book Antiqua"/>
          <w:color w:val="000000" w:themeColor="text1"/>
          <w:vertAlign w:val="superscript"/>
        </w:rPr>
        <w:t>[</w:t>
      </w:r>
      <w:hyperlink w:anchor="_ENREF_17" w:tooltip="Caporaso, 2010 #209" w:history="1">
        <w:r w:rsidRPr="002E2DEC">
          <w:rPr>
            <w:rFonts w:ascii="Book Antiqua" w:eastAsia="Book Antiqua" w:hAnsi="Book Antiqua" w:cs="Book Antiqua"/>
            <w:color w:val="000000" w:themeColor="text1"/>
            <w:u w:val="single" w:color="0000FF"/>
            <w:vertAlign w:val="superscript"/>
          </w:rPr>
          <w:t>17</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The raw sequencing data have been submitted to the NCBI Sequence Read Archive under accession number PRJNA657645.</w:t>
      </w:r>
    </w:p>
    <w:p w14:paraId="2DCFEF3F" w14:textId="2D0D43C6" w:rsidR="00A77B3E" w:rsidRPr="002E2DEC" w:rsidRDefault="003022FF" w:rsidP="002E2DEC">
      <w:pPr>
        <w:snapToGrid w:val="0"/>
        <w:spacing w:line="360" w:lineRule="auto"/>
        <w:ind w:firstLine="240"/>
        <w:jc w:val="both"/>
        <w:rPr>
          <w:rFonts w:ascii="Book Antiqua" w:hAnsi="Book Antiqua"/>
          <w:color w:val="000000" w:themeColor="text1"/>
        </w:rPr>
      </w:pPr>
      <w:r w:rsidRPr="002E2DEC">
        <w:rPr>
          <w:rFonts w:ascii="Book Antiqua" w:eastAsia="Book Antiqua" w:hAnsi="Book Antiqua" w:cs="Book Antiqua"/>
          <w:color w:val="000000" w:themeColor="text1"/>
        </w:rPr>
        <w:t xml:space="preserve">Microbiota data principal coordinate analysis ordination plots were based on Bray-Curtis distances, and significance between </w:t>
      </w:r>
      <w:bookmarkStart w:id="6" w:name="OLE_LINK112"/>
      <w:bookmarkStart w:id="7" w:name="OLE_LINK113"/>
      <w:r w:rsidR="009305B1" w:rsidRPr="002E2DEC">
        <w:rPr>
          <w:rFonts w:ascii="Book Antiqua" w:eastAsia="Book Antiqua" w:hAnsi="Book Antiqua" w:cs="Book Antiqua"/>
          <w:color w:val="000000" w:themeColor="text1"/>
        </w:rPr>
        <w:t>healthy controls</w:t>
      </w:r>
      <w:bookmarkEnd w:id="6"/>
      <w:bookmarkEnd w:id="7"/>
      <w:r w:rsidR="009305B1" w:rsidRPr="002E2DEC">
        <w:rPr>
          <w:rFonts w:ascii="Book Antiqua" w:hAnsi="Book Antiqua" w:cs="Book Antiqua"/>
          <w:color w:val="000000" w:themeColor="text1"/>
          <w:lang w:eastAsia="zh-CN"/>
        </w:rPr>
        <w:t xml:space="preserve"> (</w:t>
      </w:r>
      <w:r w:rsidRPr="002E2DEC">
        <w:rPr>
          <w:rFonts w:ascii="Book Antiqua" w:eastAsia="Book Antiqua" w:hAnsi="Book Antiqua" w:cs="Book Antiqua"/>
          <w:color w:val="000000" w:themeColor="text1"/>
        </w:rPr>
        <w:t>HC</w:t>
      </w:r>
      <w:r w:rsidR="009305B1" w:rsidRPr="002E2DEC">
        <w:rPr>
          <w:rFonts w:ascii="Book Antiqua" w:hAnsi="Book Antiqua" w:cs="Book Antiqua"/>
          <w:color w:val="000000" w:themeColor="text1"/>
          <w:lang w:eastAsia="zh-CN"/>
        </w:rPr>
        <w:t>)</w:t>
      </w:r>
      <w:r w:rsidRPr="002E2DEC">
        <w:rPr>
          <w:rFonts w:ascii="Book Antiqua" w:eastAsia="Book Antiqua" w:hAnsi="Book Antiqua" w:cs="Book Antiqua"/>
          <w:color w:val="000000" w:themeColor="text1"/>
        </w:rPr>
        <w:t xml:space="preserve"> and ICP was determined by anosim using the vegan package</w:t>
      </w:r>
      <w:r w:rsidRPr="002E2DEC">
        <w:rPr>
          <w:rFonts w:ascii="Book Antiqua" w:eastAsia="Book Antiqua" w:hAnsi="Book Antiqua" w:cs="Book Antiqua"/>
          <w:color w:val="000000" w:themeColor="text1"/>
          <w:vertAlign w:val="superscript"/>
        </w:rPr>
        <w:t>[</w:t>
      </w:r>
      <w:hyperlink w:anchor="_ENREF_18" w:tooltip="Oksanen, 2019 #205" w:history="1">
        <w:r w:rsidRPr="002E2DEC">
          <w:rPr>
            <w:rFonts w:ascii="Book Antiqua" w:eastAsia="Book Antiqua" w:hAnsi="Book Antiqua" w:cs="Book Antiqua"/>
            <w:color w:val="000000" w:themeColor="text1"/>
            <w:u w:val="single" w:color="0000FF"/>
            <w:vertAlign w:val="superscript"/>
          </w:rPr>
          <w:t>18</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Significant differences in the relative abundance of the bacterial genera between groups were determined by the Mann-Whitney </w:t>
      </w:r>
      <w:r w:rsidRPr="002E2DEC">
        <w:rPr>
          <w:rFonts w:ascii="Book Antiqua" w:eastAsia="Book Antiqua" w:hAnsi="Book Antiqua" w:cs="Book Antiqua"/>
          <w:i/>
          <w:color w:val="000000" w:themeColor="text1"/>
        </w:rPr>
        <w:t>U</w:t>
      </w:r>
      <w:r w:rsidRPr="002E2DEC">
        <w:rPr>
          <w:rFonts w:ascii="Book Antiqua" w:eastAsia="Book Antiqua" w:hAnsi="Book Antiqua" w:cs="Book Antiqua"/>
          <w:color w:val="000000" w:themeColor="text1"/>
        </w:rPr>
        <w:t xml:space="preserve"> test. All </w:t>
      </w:r>
      <w:r w:rsidRPr="002E2DEC">
        <w:rPr>
          <w:rFonts w:ascii="Book Antiqua" w:eastAsia="Book Antiqua" w:hAnsi="Book Antiqua" w:cs="Book Antiqua"/>
          <w:i/>
          <w:caps/>
          <w:color w:val="000000" w:themeColor="text1"/>
        </w:rPr>
        <w:t>p</w:t>
      </w:r>
      <w:r w:rsidRPr="002E2DEC">
        <w:rPr>
          <w:rFonts w:ascii="Book Antiqua" w:eastAsia="Book Antiqua" w:hAnsi="Book Antiqua" w:cs="Book Antiqua"/>
          <w:color w:val="000000" w:themeColor="text1"/>
        </w:rPr>
        <w:t xml:space="preserve"> values were adjusted for multiple comparisons with the FDR algorithm, and </w:t>
      </w:r>
      <w:r w:rsidR="00DC0C63" w:rsidRPr="002E2DEC">
        <w:rPr>
          <w:rFonts w:ascii="Book Antiqua" w:eastAsia="Book Antiqua" w:hAnsi="Book Antiqua" w:cs="Book Antiqua"/>
          <w:i/>
          <w:color w:val="000000" w:themeColor="text1"/>
        </w:rPr>
        <w:t>P</w:t>
      </w:r>
      <w:r w:rsidRPr="002E2DEC">
        <w:rPr>
          <w:rFonts w:ascii="Book Antiqua" w:eastAsia="Book Antiqua" w:hAnsi="Book Antiqua" w:cs="Book Antiqua"/>
          <w:color w:val="000000" w:themeColor="text1"/>
        </w:rPr>
        <w:t xml:space="preserve"> values &lt; 0.05 after adjustment for multiple comparisons were considered significant. Microbiome statistical analysis and figure generation were performed in R 4.0 using the ggplot2 package</w:t>
      </w:r>
      <w:r w:rsidRPr="002E2DEC">
        <w:rPr>
          <w:rFonts w:ascii="Book Antiqua" w:eastAsia="Book Antiqua" w:hAnsi="Book Antiqua" w:cs="Book Antiqua"/>
          <w:color w:val="000000" w:themeColor="text1"/>
          <w:vertAlign w:val="superscript"/>
        </w:rPr>
        <w:t>[</w:t>
      </w:r>
      <w:hyperlink w:anchor="_ENREF_19" w:tooltip="Gómez-Rubio, 2017 #206" w:history="1">
        <w:r w:rsidRPr="002E2DEC">
          <w:rPr>
            <w:rFonts w:ascii="Book Antiqua" w:eastAsia="Book Antiqua" w:hAnsi="Book Antiqua" w:cs="Book Antiqua"/>
            <w:color w:val="000000" w:themeColor="text1"/>
            <w:vertAlign w:val="superscript"/>
          </w:rPr>
          <w:t>19</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We used the random</w:t>
      </w:r>
      <w:r w:rsidR="00DC0C63" w:rsidRPr="002E2DEC">
        <w:rPr>
          <w:rFonts w:ascii="Book Antiqua" w:hAnsi="Book Antiqua" w:cs="Book Antiqua"/>
          <w:color w:val="000000" w:themeColor="text1"/>
          <w:lang w:eastAsia="zh-CN"/>
        </w:rPr>
        <w:t xml:space="preserve"> </w:t>
      </w:r>
      <w:r w:rsidRPr="002E2DEC">
        <w:rPr>
          <w:rFonts w:ascii="Book Antiqua" w:eastAsia="Book Antiqua" w:hAnsi="Book Antiqua" w:cs="Book Antiqua"/>
          <w:color w:val="000000" w:themeColor="text1"/>
        </w:rPr>
        <w:t>Forest package in R for classification</w:t>
      </w:r>
      <w:r w:rsidRPr="002E2DEC">
        <w:rPr>
          <w:rFonts w:ascii="Book Antiqua" w:eastAsia="Book Antiqua" w:hAnsi="Book Antiqua" w:cs="Book Antiqua"/>
          <w:color w:val="000000" w:themeColor="text1"/>
          <w:vertAlign w:val="superscript"/>
        </w:rPr>
        <w:t>[</w:t>
      </w:r>
      <w:hyperlink w:anchor="_ENREF_20" w:tooltip="Liaw, 2002 #207" w:history="1">
        <w:r w:rsidRPr="002E2DEC">
          <w:rPr>
            <w:rFonts w:ascii="Book Antiqua" w:eastAsia="Book Antiqua" w:hAnsi="Book Antiqua" w:cs="Book Antiqua"/>
            <w:color w:val="000000" w:themeColor="text1"/>
            <w:u w:val="single" w:color="0000FF"/>
            <w:vertAlign w:val="superscript"/>
          </w:rPr>
          <w:t>20</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All the differentially expressed metabolites were queried and mapped to pathways based on the online </w:t>
      </w:r>
      <w:bookmarkStart w:id="8" w:name="OLE_LINK1"/>
      <w:bookmarkStart w:id="9" w:name="OLE_LINK2"/>
      <w:bookmarkStart w:id="10" w:name="OLE_LINK97"/>
      <w:bookmarkStart w:id="11" w:name="OLE_LINK98"/>
      <w:r w:rsidRPr="002E2DEC">
        <w:rPr>
          <w:rFonts w:ascii="Book Antiqua" w:eastAsia="Book Antiqua" w:hAnsi="Book Antiqua" w:cs="Book Antiqua"/>
          <w:color w:val="000000" w:themeColor="text1"/>
        </w:rPr>
        <w:t>Kyoto Encyclopedia of Genes and Genomes</w:t>
      </w:r>
      <w:bookmarkEnd w:id="8"/>
      <w:bookmarkEnd w:id="9"/>
      <w:r w:rsidRPr="002E2DEC">
        <w:rPr>
          <w:rFonts w:ascii="Book Antiqua" w:eastAsia="Book Antiqua" w:hAnsi="Book Antiqua" w:cs="Book Antiqua"/>
          <w:color w:val="000000" w:themeColor="text1"/>
        </w:rPr>
        <w:t xml:space="preserve"> </w:t>
      </w:r>
      <w:bookmarkEnd w:id="10"/>
      <w:bookmarkEnd w:id="11"/>
      <w:r w:rsidRPr="002E2DEC">
        <w:rPr>
          <w:rFonts w:ascii="Book Antiqua" w:eastAsia="Book Antiqua" w:hAnsi="Book Antiqua" w:cs="Book Antiqua"/>
          <w:color w:val="000000" w:themeColor="text1"/>
        </w:rPr>
        <w:t xml:space="preserve">(KEGG, </w:t>
      </w:r>
      <w:hyperlink r:id="rId9" w:history="1">
        <w:r w:rsidRPr="002E2DEC">
          <w:rPr>
            <w:rFonts w:ascii="Book Antiqua" w:eastAsia="Book Antiqua" w:hAnsi="Book Antiqua" w:cs="Book Antiqua"/>
            <w:color w:val="000000" w:themeColor="text1"/>
            <w:u w:val="single" w:color="0000FF"/>
          </w:rPr>
          <w:t>http://www.kegg.jp/</w:t>
        </w:r>
      </w:hyperlink>
      <w:r w:rsidRPr="002E2DEC">
        <w:rPr>
          <w:rFonts w:ascii="Book Antiqua" w:eastAsia="Book Antiqua" w:hAnsi="Book Antiqua" w:cs="Book Antiqua"/>
          <w:color w:val="000000" w:themeColor="text1"/>
        </w:rPr>
        <w:t xml:space="preserve">), and enrichment analysis was performed. A Spearman rank correlation test was performed to </w:t>
      </w:r>
      <w:r w:rsidR="00070D55" w:rsidRPr="002E2DEC">
        <w:rPr>
          <w:rFonts w:ascii="Book Antiqua" w:eastAsia="Book Antiqua" w:hAnsi="Book Antiqua" w:cs="Book Antiqua"/>
          <w:color w:val="000000" w:themeColor="text1"/>
        </w:rPr>
        <w:t>analyze</w:t>
      </w:r>
      <w:r w:rsidRPr="002E2DEC">
        <w:rPr>
          <w:rFonts w:ascii="Book Antiqua" w:eastAsia="Book Antiqua" w:hAnsi="Book Antiqua" w:cs="Book Antiqua"/>
          <w:color w:val="000000" w:themeColor="text1"/>
        </w:rPr>
        <w:t xml:space="preserve"> the correlation between the significant metabolites and different bacterial genera in the serum and stool samples. The Mann-Whitney U test was used to compare continuous data between two groups, and continuous data were expressed as the median. All the statistical analyses were performed using R 4.0.</w:t>
      </w:r>
    </w:p>
    <w:p w14:paraId="1D1A12F0" w14:textId="77777777" w:rsidR="00A77B3E" w:rsidRPr="002E2DEC" w:rsidRDefault="00A77B3E" w:rsidP="002E2DEC">
      <w:pPr>
        <w:snapToGrid w:val="0"/>
        <w:spacing w:line="360" w:lineRule="auto"/>
        <w:ind w:firstLine="240"/>
        <w:jc w:val="both"/>
        <w:rPr>
          <w:rFonts w:ascii="Book Antiqua" w:hAnsi="Book Antiqua"/>
          <w:color w:val="000000" w:themeColor="text1"/>
        </w:rPr>
      </w:pPr>
    </w:p>
    <w:p w14:paraId="0C554CDE"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aps/>
          <w:color w:val="000000" w:themeColor="text1"/>
          <w:u w:val="single"/>
        </w:rPr>
        <w:t>RESULTS</w:t>
      </w:r>
    </w:p>
    <w:p w14:paraId="3F72A5A8"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i/>
          <w:iCs/>
          <w:color w:val="000000" w:themeColor="text1"/>
        </w:rPr>
        <w:t xml:space="preserve">Basic </w:t>
      </w:r>
      <w:r w:rsidR="00630177" w:rsidRPr="002E2DEC">
        <w:rPr>
          <w:rFonts w:ascii="Book Antiqua" w:eastAsia="Book Antiqua" w:hAnsi="Book Antiqua" w:cs="Book Antiqua"/>
          <w:b/>
          <w:bCs/>
          <w:i/>
          <w:iCs/>
          <w:color w:val="000000" w:themeColor="text1"/>
        </w:rPr>
        <w:t>characteristics of parti</w:t>
      </w:r>
      <w:r w:rsidRPr="002E2DEC">
        <w:rPr>
          <w:rFonts w:ascii="Book Antiqua" w:eastAsia="Book Antiqua" w:hAnsi="Book Antiqua" w:cs="Book Antiqua"/>
          <w:b/>
          <w:bCs/>
          <w:i/>
          <w:iCs/>
          <w:color w:val="000000" w:themeColor="text1"/>
        </w:rPr>
        <w:t>cipants</w:t>
      </w:r>
    </w:p>
    <w:p w14:paraId="2E63446A" w14:textId="60E47F23" w:rsidR="009847F1" w:rsidRPr="002E2DEC" w:rsidRDefault="00CA16AD" w:rsidP="002E2DEC">
      <w:pPr>
        <w:snapToGrid w:val="0"/>
        <w:spacing w:line="360" w:lineRule="auto"/>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Thirty</w:t>
      </w:r>
      <w:r w:rsidR="00D97952" w:rsidRPr="002E2DEC">
        <w:rPr>
          <w:rFonts w:ascii="Book Antiqua" w:eastAsia="Book Antiqua" w:hAnsi="Book Antiqua" w:cs="Book Antiqua"/>
          <w:color w:val="000000" w:themeColor="text1"/>
        </w:rPr>
        <w:t xml:space="preserve"> subjects</w:t>
      </w:r>
      <w:r w:rsidRPr="002E2DEC">
        <w:rPr>
          <w:rFonts w:ascii="Book Antiqua" w:eastAsia="Book Antiqua" w:hAnsi="Book Antiqua" w:cs="Book Antiqua"/>
          <w:color w:val="000000" w:themeColor="text1"/>
        </w:rPr>
        <w:t xml:space="preserve"> </w:t>
      </w:r>
      <w:r w:rsidR="00D97952" w:rsidRPr="002E2DEC">
        <w:rPr>
          <w:rFonts w:ascii="Book Antiqua" w:eastAsia="Book Antiqua" w:hAnsi="Book Antiqua" w:cs="Book Antiqua"/>
          <w:color w:val="000000" w:themeColor="text1"/>
        </w:rPr>
        <w:t>were enrolled</w:t>
      </w:r>
      <w:r w:rsidRPr="002E2DEC">
        <w:rPr>
          <w:rFonts w:ascii="Book Antiqua" w:eastAsia="Book Antiqua" w:hAnsi="Book Antiqua" w:cs="Book Antiqua"/>
          <w:color w:val="000000" w:themeColor="text1"/>
        </w:rPr>
        <w:t xml:space="preserve"> </w:t>
      </w:r>
      <w:r w:rsidR="00D97952" w:rsidRPr="002E2DEC">
        <w:rPr>
          <w:rFonts w:ascii="Book Antiqua" w:eastAsia="Book Antiqua" w:hAnsi="Book Antiqua" w:cs="Book Antiqua"/>
          <w:color w:val="000000" w:themeColor="text1"/>
        </w:rPr>
        <w:t>in the</w:t>
      </w:r>
      <w:r w:rsidRPr="002E2DEC">
        <w:rPr>
          <w:rFonts w:ascii="Book Antiqua" w:eastAsia="Book Antiqua" w:hAnsi="Book Antiqua" w:cs="Book Antiqua"/>
          <w:color w:val="000000" w:themeColor="text1"/>
        </w:rPr>
        <w:t xml:space="preserve"> </w:t>
      </w:r>
      <w:r w:rsidR="00D97952" w:rsidRPr="002E2DEC">
        <w:rPr>
          <w:rFonts w:ascii="Book Antiqua" w:eastAsia="Book Antiqua" w:hAnsi="Book Antiqua" w:cs="Book Antiqua"/>
          <w:color w:val="000000" w:themeColor="text1"/>
        </w:rPr>
        <w:t xml:space="preserve">study, including 15 </w:t>
      </w:r>
      <w:r w:rsidR="00EA5937" w:rsidRPr="002E2DEC">
        <w:rPr>
          <w:rFonts w:ascii="Book Antiqua" w:eastAsia="Book Antiqua" w:hAnsi="Book Antiqua" w:cs="Book Antiqua"/>
          <w:color w:val="000000" w:themeColor="text1"/>
        </w:rPr>
        <w:t>patients with</w:t>
      </w:r>
      <w:r w:rsidR="006A06C3" w:rsidRPr="002E2DEC">
        <w:rPr>
          <w:rFonts w:ascii="Book Antiqua" w:hAnsi="Book Antiqua" w:cs="Book Antiqua"/>
          <w:color w:val="000000" w:themeColor="text1"/>
          <w:lang w:eastAsia="zh-CN"/>
        </w:rPr>
        <w:t xml:space="preserve"> </w:t>
      </w:r>
      <w:r w:rsidR="00EA5937" w:rsidRPr="002E2DEC">
        <w:rPr>
          <w:rFonts w:ascii="Book Antiqua" w:eastAsia="Book Antiqua" w:hAnsi="Book Antiqua" w:cs="Book Antiqua"/>
          <w:color w:val="000000" w:themeColor="text1"/>
        </w:rPr>
        <w:t>ICP</w:t>
      </w:r>
      <w:r w:rsidR="00D97952" w:rsidRPr="002E2DEC">
        <w:rPr>
          <w:rFonts w:ascii="Book Antiqua" w:eastAsia="Book Antiqua" w:hAnsi="Book Antiqua" w:cs="Book Antiqua"/>
          <w:color w:val="000000" w:themeColor="text1"/>
        </w:rPr>
        <w:t xml:space="preserve"> and 15 control subjects.</w:t>
      </w:r>
      <w:r w:rsidR="003022FF" w:rsidRPr="002E2DEC">
        <w:rPr>
          <w:rFonts w:ascii="Book Antiqua" w:eastAsia="Book Antiqua" w:hAnsi="Book Antiqua" w:cs="Book Antiqua"/>
          <w:color w:val="000000" w:themeColor="text1"/>
        </w:rPr>
        <w:t xml:space="preserve"> The basic clinical </w:t>
      </w:r>
      <w:r w:rsidR="00EA5937" w:rsidRPr="002E2DEC">
        <w:rPr>
          <w:rFonts w:ascii="Book Antiqua" w:eastAsia="Book Antiqua" w:hAnsi="Book Antiqua" w:cs="Book Antiqua"/>
          <w:color w:val="000000" w:themeColor="text1"/>
        </w:rPr>
        <w:t xml:space="preserve">data </w:t>
      </w:r>
      <w:r w:rsidR="003022FF" w:rsidRPr="002E2DEC">
        <w:rPr>
          <w:rFonts w:ascii="Book Antiqua" w:eastAsia="Book Antiqua" w:hAnsi="Book Antiqua" w:cs="Book Antiqua"/>
          <w:color w:val="000000" w:themeColor="text1"/>
        </w:rPr>
        <w:t xml:space="preserve">of the subjects </w:t>
      </w:r>
      <w:r w:rsidRPr="002E2DEC">
        <w:rPr>
          <w:rFonts w:ascii="Book Antiqua" w:eastAsia="Book Antiqua" w:hAnsi="Book Antiqua" w:cs="Book Antiqua"/>
          <w:color w:val="000000" w:themeColor="text1"/>
        </w:rPr>
        <w:t xml:space="preserve">is in </w:t>
      </w:r>
      <w:r w:rsidR="003022FF" w:rsidRPr="002E2DEC">
        <w:rPr>
          <w:rFonts w:ascii="Book Antiqua" w:eastAsia="Book Antiqua" w:hAnsi="Book Antiqua" w:cs="Book Antiqua"/>
          <w:color w:val="000000" w:themeColor="text1"/>
        </w:rPr>
        <w:t xml:space="preserve">Table 1. There was no significant difference in the ages of the ICP patients and the healthy controls. Samples were collected from the ICP patients and healthy controls at approximately 38 wk and approximately 33.4 wk gestation, respectively. </w:t>
      </w:r>
      <w:r w:rsidR="00F930A4" w:rsidRPr="002E2DEC">
        <w:rPr>
          <w:rFonts w:ascii="Book Antiqua" w:eastAsia="Book Antiqua" w:hAnsi="Book Antiqua" w:cs="Book Antiqua"/>
          <w:color w:val="000000" w:themeColor="text1"/>
        </w:rPr>
        <w:t xml:space="preserve">In the ICP patients, the median values of </w:t>
      </w:r>
      <w:r w:rsidR="00961D3E" w:rsidRPr="002E2DEC">
        <w:rPr>
          <w:rFonts w:ascii="Book Antiqua" w:eastAsia="Book Antiqua" w:hAnsi="Book Antiqua" w:cs="Book Antiqua"/>
          <w:color w:val="000000" w:themeColor="text1"/>
        </w:rPr>
        <w:t>alanine aminotransferase</w:t>
      </w:r>
      <w:r w:rsidR="00F930A4" w:rsidRPr="002E2DEC">
        <w:rPr>
          <w:rFonts w:ascii="Book Antiqua" w:eastAsia="Book Antiqua" w:hAnsi="Book Antiqua" w:cs="Book Antiqua"/>
          <w:color w:val="000000" w:themeColor="text1"/>
        </w:rPr>
        <w:t xml:space="preserve">, </w:t>
      </w:r>
      <w:r w:rsidR="00961D3E" w:rsidRPr="002E2DEC">
        <w:rPr>
          <w:rFonts w:ascii="Book Antiqua" w:eastAsia="Book Antiqua" w:hAnsi="Book Antiqua" w:cs="Book Antiqua"/>
          <w:color w:val="000000" w:themeColor="text1"/>
        </w:rPr>
        <w:t>aspartate aminotransferase</w:t>
      </w:r>
      <w:r w:rsidR="00F930A4" w:rsidRPr="002E2DEC">
        <w:rPr>
          <w:rFonts w:ascii="Book Antiqua" w:eastAsia="Book Antiqua" w:hAnsi="Book Antiqua" w:cs="Book Antiqua"/>
          <w:color w:val="000000" w:themeColor="text1"/>
        </w:rPr>
        <w:t xml:space="preserve">, TBA and creatinine were </w:t>
      </w:r>
      <w:r w:rsidRPr="002E2DEC">
        <w:rPr>
          <w:rFonts w:ascii="Book Antiqua" w:eastAsia="Book Antiqua" w:hAnsi="Book Antiqua" w:cs="Book Antiqua"/>
          <w:color w:val="000000" w:themeColor="text1"/>
        </w:rPr>
        <w:t>markedly</w:t>
      </w:r>
      <w:r w:rsidR="00F930A4" w:rsidRPr="002E2DEC">
        <w:rPr>
          <w:rFonts w:ascii="Book Antiqua" w:eastAsia="Book Antiqua" w:hAnsi="Book Antiqua" w:cs="Book Antiqua"/>
          <w:color w:val="000000" w:themeColor="text1"/>
        </w:rPr>
        <w:t xml:space="preserve"> higher than those</w:t>
      </w:r>
      <w:r w:rsidRPr="002E2DEC">
        <w:rPr>
          <w:rFonts w:ascii="Book Antiqua" w:eastAsia="Book Antiqua" w:hAnsi="Book Antiqua" w:cs="Book Antiqua"/>
          <w:color w:val="000000" w:themeColor="text1"/>
        </w:rPr>
        <w:t xml:space="preserve"> </w:t>
      </w:r>
      <w:r w:rsidR="00F930A4" w:rsidRPr="002E2DEC">
        <w:rPr>
          <w:rFonts w:ascii="Book Antiqua" w:eastAsia="Book Antiqua" w:hAnsi="Book Antiqua" w:cs="Book Antiqua"/>
          <w:color w:val="000000" w:themeColor="text1"/>
        </w:rPr>
        <w:t>in controls</w:t>
      </w:r>
      <w:r w:rsidR="00731B89" w:rsidRPr="002E2DEC">
        <w:rPr>
          <w:rFonts w:ascii="Book Antiqua" w:eastAsia="Book Antiqua" w:hAnsi="Book Antiqua" w:cs="Book Antiqua"/>
          <w:color w:val="000000" w:themeColor="text1"/>
        </w:rPr>
        <w:t xml:space="preserve"> </w:t>
      </w:r>
      <w:r w:rsidR="00F930A4" w:rsidRPr="002E2DEC">
        <w:rPr>
          <w:rFonts w:ascii="Book Antiqua" w:eastAsia="Book Antiqua" w:hAnsi="Book Antiqua" w:cs="Book Antiqua"/>
          <w:color w:val="000000" w:themeColor="text1"/>
        </w:rPr>
        <w:t>(Table 1).</w:t>
      </w:r>
    </w:p>
    <w:p w14:paraId="0E0448A5" w14:textId="77777777" w:rsidR="006D4A39" w:rsidRPr="002E2DEC" w:rsidRDefault="006D4A39" w:rsidP="002E2DEC">
      <w:pPr>
        <w:snapToGrid w:val="0"/>
        <w:spacing w:line="360" w:lineRule="auto"/>
        <w:jc w:val="both"/>
        <w:rPr>
          <w:rFonts w:ascii="Book Antiqua" w:eastAsia="Book Antiqua" w:hAnsi="Book Antiqua" w:cs="Book Antiqua"/>
          <w:color w:val="000000" w:themeColor="text1"/>
        </w:rPr>
      </w:pPr>
    </w:p>
    <w:p w14:paraId="31446FAC" w14:textId="07AE5279"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i/>
          <w:iCs/>
          <w:color w:val="000000" w:themeColor="text1"/>
        </w:rPr>
        <w:t xml:space="preserve">Serum metabolomes of ICP patients and healthy controls are </w:t>
      </w:r>
      <w:r w:rsidR="008B754C" w:rsidRPr="002E2DEC">
        <w:rPr>
          <w:rFonts w:ascii="Book Antiqua" w:eastAsia="Book Antiqua" w:hAnsi="Book Antiqua" w:cs="Book Antiqua"/>
          <w:b/>
          <w:bCs/>
          <w:i/>
          <w:iCs/>
          <w:color w:val="000000" w:themeColor="text1"/>
        </w:rPr>
        <w:t>diverse</w:t>
      </w:r>
    </w:p>
    <w:p w14:paraId="297CF92B" w14:textId="4797978C"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The serum samples were analy</w:t>
      </w:r>
      <w:r w:rsidR="00A21C3B" w:rsidRPr="002E2DEC">
        <w:rPr>
          <w:rFonts w:ascii="Book Antiqua" w:eastAsia="Book Antiqua" w:hAnsi="Book Antiqua" w:cs="Book Antiqua"/>
          <w:color w:val="000000" w:themeColor="text1"/>
        </w:rPr>
        <w:t>z</w:t>
      </w:r>
      <w:r w:rsidRPr="002E2DEC">
        <w:rPr>
          <w:rFonts w:ascii="Book Antiqua" w:eastAsia="Book Antiqua" w:hAnsi="Book Antiqua" w:cs="Book Antiqua"/>
          <w:color w:val="000000" w:themeColor="text1"/>
        </w:rPr>
        <w:t>ed by untargeted mass spectrometry, and the abundance profiles were obtained for 64 significantly diff</w:t>
      </w:r>
      <w:r w:rsidR="009847F1" w:rsidRPr="002E2DEC">
        <w:rPr>
          <w:rFonts w:ascii="Book Antiqua" w:eastAsia="Book Antiqua" w:hAnsi="Book Antiqua" w:cs="Book Antiqua"/>
          <w:color w:val="000000" w:themeColor="text1"/>
        </w:rPr>
        <w:t>erent serum metabolites (</w:t>
      </w:r>
      <w:bookmarkStart w:id="12" w:name="OLE_LINK5"/>
      <w:bookmarkStart w:id="13" w:name="OLE_LINK6"/>
      <w:r w:rsidR="009847F1" w:rsidRPr="002E2DEC">
        <w:rPr>
          <w:rFonts w:ascii="Book Antiqua" w:hAnsi="Book Antiqua" w:cs="Book Antiqua"/>
          <w:color w:val="000000" w:themeColor="text1"/>
          <w:lang w:eastAsia="zh-CN"/>
        </w:rPr>
        <w:t>Supplementary</w:t>
      </w:r>
      <w:bookmarkEnd w:id="12"/>
      <w:bookmarkEnd w:id="13"/>
      <w:r w:rsidR="009847F1" w:rsidRPr="002E2DEC">
        <w:rPr>
          <w:rFonts w:ascii="Book Antiqua" w:hAnsi="Book Antiqua" w:cs="Book Antiqua"/>
          <w:color w:val="000000" w:themeColor="text1"/>
          <w:lang w:eastAsia="zh-CN"/>
        </w:rPr>
        <w:t xml:space="preserve"> </w:t>
      </w:r>
      <w:r w:rsidR="009847F1" w:rsidRPr="002E2DEC">
        <w:rPr>
          <w:rFonts w:ascii="Book Antiqua" w:eastAsia="Book Antiqua" w:hAnsi="Book Antiqua" w:cs="Book Antiqua"/>
          <w:color w:val="000000" w:themeColor="text1"/>
        </w:rPr>
        <w:t xml:space="preserve">Table </w:t>
      </w:r>
      <w:r w:rsidRPr="002E2DEC">
        <w:rPr>
          <w:rFonts w:ascii="Book Antiqua" w:eastAsia="Book Antiqua" w:hAnsi="Book Antiqua" w:cs="Book Antiqua"/>
          <w:color w:val="000000" w:themeColor="text1"/>
        </w:rPr>
        <w:t>1). The serum metabolomes of the ICP patients and healthy controls were clearly separated (Figure 1A). The ICP serum metabolome was characterized mainly by the enrichment of bile acid-related metabolites (</w:t>
      </w:r>
      <w:r w:rsidRPr="002E2DEC">
        <w:rPr>
          <w:rFonts w:ascii="Book Antiqua" w:eastAsia="Book Antiqua" w:hAnsi="Book Antiqua" w:cs="Book Antiqua"/>
          <w:i/>
          <w:color w:val="000000" w:themeColor="text1"/>
        </w:rPr>
        <w:t>e.g</w:t>
      </w:r>
      <w:r w:rsidR="00D130E7" w:rsidRPr="002E2DEC">
        <w:rPr>
          <w:rFonts w:ascii="Book Antiqua" w:eastAsia="Book Antiqua" w:hAnsi="Book Antiqua" w:cs="Book Antiqua"/>
          <w:i/>
          <w:color w:val="000000" w:themeColor="text1"/>
        </w:rPr>
        <w:t>.</w:t>
      </w:r>
      <w:r w:rsidRPr="002E2DEC">
        <w:rPr>
          <w:rFonts w:ascii="Book Antiqua" w:eastAsia="Book Antiqua" w:hAnsi="Book Antiqua" w:cs="Book Antiqua"/>
          <w:color w:val="000000" w:themeColor="text1"/>
        </w:rPr>
        <w:t>, primary and secondary bile acids).</w:t>
      </w:r>
    </w:p>
    <w:p w14:paraId="3A6FBEBD" w14:textId="2B7A2E31" w:rsidR="00A77B3E" w:rsidRPr="002E2DEC" w:rsidRDefault="003022FF" w:rsidP="002E2DEC">
      <w:pPr>
        <w:snapToGrid w:val="0"/>
        <w:spacing w:line="360" w:lineRule="auto"/>
        <w:ind w:firstLine="240"/>
        <w:jc w:val="both"/>
        <w:rPr>
          <w:rFonts w:ascii="Book Antiqua" w:hAnsi="Book Antiqua"/>
          <w:color w:val="000000" w:themeColor="text1"/>
        </w:rPr>
      </w:pPr>
      <w:r w:rsidRPr="002E2DEC">
        <w:rPr>
          <w:rFonts w:ascii="Book Antiqua" w:eastAsia="Book Antiqua" w:hAnsi="Book Antiqua" w:cs="Book Antiqua"/>
          <w:color w:val="000000" w:themeColor="text1"/>
        </w:rPr>
        <w:t>To identify pathways affected by ICP, differential metabolites with known KEGG IDs were used for enrichment analysis</w:t>
      </w:r>
      <w:r w:rsidR="008B754C" w:rsidRPr="002E2DEC">
        <w:rPr>
          <w:rFonts w:ascii="Book Antiqua" w:eastAsia="Book Antiqua" w:hAnsi="Book Antiqua" w:cs="Book Antiqua"/>
          <w:color w:val="000000" w:themeColor="text1"/>
        </w:rPr>
        <w:t xml:space="preserve"> of </w:t>
      </w:r>
      <w:r w:rsidR="005F30C9" w:rsidRPr="002E2DEC">
        <w:rPr>
          <w:rFonts w:ascii="Book Antiqua" w:eastAsia="Book Antiqua" w:hAnsi="Book Antiqua" w:cs="Book Antiqua"/>
          <w:color w:val="000000" w:themeColor="text1"/>
        </w:rPr>
        <w:t xml:space="preserve">the </w:t>
      </w:r>
      <w:r w:rsidR="008B754C" w:rsidRPr="002E2DEC">
        <w:rPr>
          <w:rFonts w:ascii="Book Antiqua" w:eastAsia="Book Antiqua" w:hAnsi="Book Antiqua" w:cs="Book Antiqua"/>
          <w:color w:val="000000" w:themeColor="text1"/>
        </w:rPr>
        <w:t>KEGG pathway</w:t>
      </w:r>
      <w:r w:rsidRPr="002E2DEC">
        <w:rPr>
          <w:rFonts w:ascii="Book Antiqua" w:eastAsia="Book Antiqua" w:hAnsi="Book Antiqua" w:cs="Book Antiqua"/>
          <w:color w:val="000000" w:themeColor="text1"/>
        </w:rPr>
        <w:t>. Consistently, the bile secretion, primary bile acid biosynthesis and taurine and hypotaurine metabolism pathways were enriched in the ICP group (Figure 1B). In addition, some pathways related to protein metabolism, such as glycine, serine and threonine metabolism, D-glutamine and D-glutamate metabolism, alanine, aspartate and glutamate metabolism, valine, leucine and isoleucine biosynthesis and arginine and proline metabolism, were enriched in the ICP patients.</w:t>
      </w:r>
    </w:p>
    <w:p w14:paraId="6BF52383" w14:textId="77777777" w:rsidR="007B48DA" w:rsidRPr="002E2DEC" w:rsidRDefault="007B48DA" w:rsidP="002E2DEC">
      <w:pPr>
        <w:snapToGrid w:val="0"/>
        <w:spacing w:line="360" w:lineRule="auto"/>
        <w:jc w:val="both"/>
        <w:rPr>
          <w:rFonts w:ascii="Book Antiqua" w:hAnsi="Book Antiqua" w:cs="Book Antiqua"/>
          <w:b/>
          <w:bCs/>
          <w:i/>
          <w:iCs/>
          <w:color w:val="000000" w:themeColor="text1"/>
          <w:lang w:eastAsia="zh-CN"/>
        </w:rPr>
      </w:pPr>
    </w:p>
    <w:p w14:paraId="3660440A" w14:textId="35102228"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i/>
          <w:iCs/>
          <w:color w:val="000000" w:themeColor="text1"/>
        </w:rPr>
        <w:t>Responses of the gut microbiota to</w:t>
      </w:r>
      <w:r w:rsidR="007B48DA" w:rsidRPr="002E2DEC">
        <w:rPr>
          <w:rFonts w:ascii="Book Antiqua" w:eastAsia="Book Antiqua" w:hAnsi="Book Antiqua" w:cs="Book Antiqua"/>
          <w:b/>
          <w:bCs/>
          <w:i/>
          <w:iCs/>
          <w:color w:val="000000" w:themeColor="text1"/>
        </w:rPr>
        <w:t xml:space="preserve"> </w:t>
      </w:r>
      <w:r w:rsidR="008B754C" w:rsidRPr="002E2DEC">
        <w:rPr>
          <w:rFonts w:ascii="Book Antiqua" w:eastAsia="Book Antiqua" w:hAnsi="Book Antiqua" w:cs="Book Antiqua"/>
          <w:b/>
          <w:bCs/>
          <w:i/>
          <w:iCs/>
          <w:color w:val="000000" w:themeColor="text1"/>
        </w:rPr>
        <w:t>intestinal</w:t>
      </w:r>
      <w:r w:rsidR="007B48DA" w:rsidRPr="002E2DEC">
        <w:rPr>
          <w:rFonts w:ascii="Book Antiqua" w:eastAsia="Book Antiqua" w:hAnsi="Book Antiqua" w:cs="Book Antiqua"/>
          <w:b/>
          <w:bCs/>
          <w:i/>
          <w:iCs/>
          <w:color w:val="000000" w:themeColor="text1"/>
        </w:rPr>
        <w:t xml:space="preserve"> chan</w:t>
      </w:r>
      <w:r w:rsidRPr="002E2DEC">
        <w:rPr>
          <w:rFonts w:ascii="Book Antiqua" w:eastAsia="Book Antiqua" w:hAnsi="Book Antiqua" w:cs="Book Antiqua"/>
          <w:b/>
          <w:bCs/>
          <w:i/>
          <w:iCs/>
          <w:color w:val="000000" w:themeColor="text1"/>
        </w:rPr>
        <w:t>ges in ICP patients</w:t>
      </w:r>
    </w:p>
    <w:p w14:paraId="261EF965" w14:textId="678A8368" w:rsidR="00A77B3E" w:rsidRPr="002E2DEC" w:rsidRDefault="003022FF" w:rsidP="002E2DEC">
      <w:pPr>
        <w:snapToGrid w:val="0"/>
        <w:spacing w:line="360" w:lineRule="auto"/>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 xml:space="preserve">We next investigated whether ICP alters the composition of the gut microbial community. </w:t>
      </w:r>
      <w:r w:rsidR="00016925" w:rsidRPr="002E2DEC">
        <w:rPr>
          <w:rFonts w:ascii="Book Antiqua" w:eastAsia="Book Antiqua" w:hAnsi="Book Antiqua" w:cs="Book Antiqua"/>
          <w:color w:val="000000" w:themeColor="text1"/>
        </w:rPr>
        <w:t xml:space="preserve">Microbiome analysis of fecal samples </w:t>
      </w:r>
      <w:r w:rsidR="00F930A4" w:rsidRPr="002E2DEC">
        <w:rPr>
          <w:rFonts w:ascii="Book Antiqua" w:eastAsia="Book Antiqua" w:hAnsi="Book Antiqua" w:cs="Book Antiqua"/>
          <w:color w:val="000000" w:themeColor="text1"/>
        </w:rPr>
        <w:t>from 15</w:t>
      </w:r>
      <w:r w:rsidR="00016925" w:rsidRPr="002E2DEC">
        <w:rPr>
          <w:rFonts w:ascii="Book Antiqua" w:eastAsia="Book Antiqua" w:hAnsi="Book Antiqua" w:cs="Book Antiqua"/>
          <w:color w:val="000000" w:themeColor="text1"/>
        </w:rPr>
        <w:t xml:space="preserve"> patients with</w:t>
      </w:r>
      <w:r w:rsidR="006A06C3" w:rsidRPr="002E2DEC">
        <w:rPr>
          <w:rFonts w:ascii="Book Antiqua" w:hAnsi="Book Antiqua" w:cs="Book Antiqua"/>
          <w:color w:val="000000" w:themeColor="text1"/>
          <w:lang w:eastAsia="zh-CN"/>
        </w:rPr>
        <w:t xml:space="preserve"> </w:t>
      </w:r>
      <w:r w:rsidR="00016925" w:rsidRPr="002E2DEC">
        <w:rPr>
          <w:rFonts w:ascii="Book Antiqua" w:eastAsia="Book Antiqua" w:hAnsi="Book Antiqua" w:cs="Book Antiqua"/>
          <w:color w:val="000000" w:themeColor="text1"/>
        </w:rPr>
        <w:t xml:space="preserve">ICP and </w:t>
      </w:r>
      <w:r w:rsidR="00F930A4" w:rsidRPr="002E2DEC">
        <w:rPr>
          <w:rFonts w:ascii="Book Antiqua" w:eastAsia="Book Antiqua" w:hAnsi="Book Antiqua" w:cs="Book Antiqua"/>
          <w:color w:val="000000" w:themeColor="text1"/>
        </w:rPr>
        <w:t>15 healthy controls</w:t>
      </w:r>
      <w:r w:rsidR="006A06C3" w:rsidRPr="002E2DEC">
        <w:rPr>
          <w:rFonts w:ascii="Book Antiqua" w:hAnsi="Book Antiqua" w:cs="Book Antiqua"/>
          <w:color w:val="000000" w:themeColor="text1"/>
          <w:lang w:eastAsia="zh-CN"/>
        </w:rPr>
        <w:t xml:space="preserve"> </w:t>
      </w:r>
      <w:r w:rsidR="00016925" w:rsidRPr="002E2DEC">
        <w:rPr>
          <w:rFonts w:ascii="Book Antiqua" w:eastAsia="Book Antiqua" w:hAnsi="Book Antiqua" w:cs="Book Antiqua"/>
          <w:color w:val="000000" w:themeColor="text1"/>
        </w:rPr>
        <w:t>was carried out</w:t>
      </w:r>
      <w:r w:rsidR="00F930A4" w:rsidRPr="002E2DEC">
        <w:rPr>
          <w:rFonts w:ascii="Book Antiqua" w:eastAsia="Book Antiqua" w:hAnsi="Book Antiqua" w:cs="Book Antiqua"/>
          <w:color w:val="000000" w:themeColor="text1"/>
        </w:rPr>
        <w:t xml:space="preserve"> </w:t>
      </w:r>
      <w:r w:rsidR="00016925" w:rsidRPr="002E2DEC">
        <w:rPr>
          <w:rFonts w:ascii="Book Antiqua" w:eastAsia="Book Antiqua" w:hAnsi="Book Antiqua" w:cs="Book Antiqua"/>
          <w:color w:val="000000" w:themeColor="text1"/>
        </w:rPr>
        <w:t>using</w:t>
      </w:r>
      <w:r w:rsidR="006A06C3" w:rsidRPr="002E2DEC">
        <w:rPr>
          <w:rFonts w:ascii="Book Antiqua" w:hAnsi="Book Antiqua" w:cs="Book Antiqua"/>
          <w:color w:val="000000" w:themeColor="text1"/>
          <w:lang w:eastAsia="zh-CN"/>
        </w:rPr>
        <w:t xml:space="preserve"> </w:t>
      </w:r>
      <w:r w:rsidR="00F930A4" w:rsidRPr="002E2DEC">
        <w:rPr>
          <w:rFonts w:ascii="Book Antiqua" w:eastAsia="Book Antiqua" w:hAnsi="Book Antiqua" w:cs="Book Antiqua"/>
          <w:color w:val="000000" w:themeColor="text1"/>
        </w:rPr>
        <w:t>16S rRNA amplification.</w:t>
      </w:r>
      <w:r w:rsidR="00016925" w:rsidRPr="002E2DEC">
        <w:rPr>
          <w:rFonts w:ascii="Book Antiqua" w:hAnsi="Book Antiqua" w:cs="Book Antiqua"/>
          <w:color w:val="000000" w:themeColor="text1"/>
          <w:lang w:eastAsia="zh-CN"/>
        </w:rPr>
        <w:t xml:space="preserve"> </w:t>
      </w:r>
      <w:r w:rsidR="005F30C9" w:rsidRPr="002E2DEC">
        <w:rPr>
          <w:rFonts w:ascii="Book Antiqua" w:hAnsi="Book Antiqua" w:cs="Book Antiqua"/>
          <w:color w:val="000000" w:themeColor="text1"/>
          <w:lang w:eastAsia="zh-CN"/>
        </w:rPr>
        <w:t xml:space="preserve">The </w:t>
      </w:r>
      <w:r w:rsidR="005F30C9" w:rsidRPr="002E2DEC">
        <w:rPr>
          <w:rFonts w:ascii="Book Antiqua" w:eastAsia="Book Antiqua" w:hAnsi="Book Antiqua" w:cs="Book Antiqua"/>
          <w:color w:val="000000" w:themeColor="text1"/>
        </w:rPr>
        <w:t>t</w:t>
      </w:r>
      <w:r w:rsidR="009C76D0" w:rsidRPr="002E2DEC">
        <w:rPr>
          <w:rFonts w:ascii="Book Antiqua" w:eastAsia="Book Antiqua" w:hAnsi="Book Antiqua" w:cs="Book Antiqua"/>
          <w:color w:val="000000" w:themeColor="text1"/>
        </w:rPr>
        <w:t>wo groups did not</w:t>
      </w:r>
      <w:r w:rsidR="005F30C9" w:rsidRPr="002E2DEC">
        <w:rPr>
          <w:rFonts w:ascii="Book Antiqua" w:eastAsia="Book Antiqua" w:hAnsi="Book Antiqua" w:cs="Book Antiqua"/>
          <w:color w:val="000000" w:themeColor="text1"/>
        </w:rPr>
        <w:t xml:space="preserve"> </w:t>
      </w:r>
      <w:r w:rsidR="009C76D0" w:rsidRPr="002E2DEC">
        <w:rPr>
          <w:rFonts w:ascii="Book Antiqua" w:eastAsia="Book Antiqua" w:hAnsi="Book Antiqua" w:cs="Book Antiqua"/>
          <w:color w:val="000000" w:themeColor="text1"/>
        </w:rPr>
        <w:t>report</w:t>
      </w:r>
      <w:r w:rsidR="005F30C9" w:rsidRPr="002E2DEC">
        <w:rPr>
          <w:rFonts w:ascii="Book Antiqua" w:eastAsia="Book Antiqua" w:hAnsi="Book Antiqua" w:cs="Book Antiqua"/>
          <w:color w:val="000000" w:themeColor="text1"/>
        </w:rPr>
        <w:t xml:space="preserve"> </w:t>
      </w:r>
      <w:r w:rsidR="009C76D0" w:rsidRPr="002E2DEC">
        <w:rPr>
          <w:rFonts w:ascii="Book Antiqua" w:eastAsia="Book Antiqua" w:hAnsi="Book Antiqua" w:cs="Book Antiqua"/>
          <w:color w:val="000000" w:themeColor="text1"/>
        </w:rPr>
        <w:t>any</w:t>
      </w:r>
      <w:r w:rsidR="005F30C9" w:rsidRPr="002E2DEC">
        <w:rPr>
          <w:rFonts w:ascii="Book Antiqua" w:eastAsia="Book Antiqua" w:hAnsi="Book Antiqua" w:cs="Book Antiqua"/>
          <w:color w:val="000000" w:themeColor="text1"/>
        </w:rPr>
        <w:t xml:space="preserve"> </w:t>
      </w:r>
      <w:r w:rsidR="008E46E3" w:rsidRPr="002E2DEC">
        <w:rPr>
          <w:rFonts w:ascii="Book Antiqua" w:eastAsia="Book Antiqua" w:hAnsi="Book Antiqua" w:cs="Book Antiqua"/>
          <w:color w:val="000000" w:themeColor="text1"/>
        </w:rPr>
        <w:t>striking</w:t>
      </w:r>
      <w:r w:rsidR="005F30C9" w:rsidRPr="002E2DEC">
        <w:rPr>
          <w:rFonts w:ascii="Book Antiqua" w:eastAsia="Book Antiqua" w:hAnsi="Book Antiqua" w:cs="Book Antiqua"/>
          <w:color w:val="000000" w:themeColor="text1"/>
        </w:rPr>
        <w:t xml:space="preserve"> </w:t>
      </w:r>
      <w:r w:rsidR="009C76D0" w:rsidRPr="002E2DEC">
        <w:rPr>
          <w:rFonts w:ascii="Book Antiqua" w:eastAsia="Book Antiqua" w:hAnsi="Book Antiqua" w:cs="Book Antiqua"/>
          <w:color w:val="000000" w:themeColor="text1"/>
        </w:rPr>
        <w:t xml:space="preserve">differences </w:t>
      </w:r>
      <w:r w:rsidRPr="002E2DEC">
        <w:rPr>
          <w:rFonts w:ascii="Book Antiqua" w:eastAsia="Book Antiqua" w:hAnsi="Book Antiqua" w:cs="Book Antiqua"/>
          <w:color w:val="000000" w:themeColor="text1"/>
        </w:rPr>
        <w:t xml:space="preserve">in the identified </w:t>
      </w:r>
      <w:r w:rsidR="005F30C9" w:rsidRPr="002E2DEC">
        <w:rPr>
          <w:rFonts w:ascii="Book Antiqua" w:eastAsia="Book Antiqua" w:hAnsi="Book Antiqua" w:cs="Book Antiqua"/>
          <w:color w:val="000000" w:themeColor="text1"/>
        </w:rPr>
        <w:t>o</w:t>
      </w:r>
      <w:r w:rsidR="00C845F1" w:rsidRPr="002E2DEC">
        <w:rPr>
          <w:rFonts w:ascii="Book Antiqua" w:eastAsia="Book Antiqua" w:hAnsi="Book Antiqua" w:cs="Book Antiqua"/>
          <w:color w:val="000000" w:themeColor="text1"/>
        </w:rPr>
        <w:t>perational taxonomy units</w:t>
      </w:r>
      <w:r w:rsidR="00C845F1" w:rsidRPr="002E2DEC" w:rsidDel="00C845F1">
        <w:rPr>
          <w:rFonts w:ascii="Book Antiqua" w:eastAsia="Book Antiqua" w:hAnsi="Book Antiqua" w:cs="Book Antiqua"/>
          <w:color w:val="000000" w:themeColor="text1"/>
        </w:rPr>
        <w:t xml:space="preserve"> </w:t>
      </w:r>
      <w:r w:rsidR="005A14FB" w:rsidRPr="002E2DEC">
        <w:rPr>
          <w:rFonts w:ascii="Book Antiqua" w:eastAsia="Book Antiqua" w:hAnsi="Book Antiqua" w:cs="Book Antiqua"/>
          <w:color w:val="000000" w:themeColor="text1"/>
        </w:rPr>
        <w:t>(</w:t>
      </w:r>
      <w:r w:rsidR="005A14FB" w:rsidRPr="002E2DEC">
        <w:rPr>
          <w:rFonts w:ascii="Book Antiqua" w:hAnsi="Book Antiqua" w:cs="Book Antiqua"/>
          <w:color w:val="000000" w:themeColor="text1"/>
          <w:lang w:eastAsia="zh-CN"/>
        </w:rPr>
        <w:t>Supplementary</w:t>
      </w:r>
      <w:r w:rsidR="005A14FB" w:rsidRPr="002E2DEC">
        <w:rPr>
          <w:rFonts w:ascii="Book Antiqua" w:eastAsia="Book Antiqua" w:hAnsi="Book Antiqua" w:cs="Book Antiqua"/>
          <w:color w:val="000000" w:themeColor="text1"/>
        </w:rPr>
        <w:t xml:space="preserve"> Table </w:t>
      </w:r>
      <w:r w:rsidRPr="002E2DEC">
        <w:rPr>
          <w:rFonts w:ascii="Book Antiqua" w:eastAsia="Book Antiqua" w:hAnsi="Book Antiqua" w:cs="Book Antiqua"/>
          <w:color w:val="000000" w:themeColor="text1"/>
        </w:rPr>
        <w:t>2). The microbial community richness indicated by the ACE and Chao1 estimators and the community diversity estimated by the Shannon index also showed no significant difference between the ICP and control groups (</w:t>
      </w:r>
      <w:bookmarkStart w:id="14" w:name="OLE_LINK7"/>
      <w:bookmarkStart w:id="15" w:name="OLE_LINK8"/>
      <w:r w:rsidR="009509AD" w:rsidRPr="002E2DEC">
        <w:rPr>
          <w:rFonts w:ascii="Book Antiqua" w:hAnsi="Book Antiqua" w:cs="Book Antiqua"/>
          <w:color w:val="000000" w:themeColor="text1"/>
          <w:lang w:eastAsia="zh-CN"/>
        </w:rPr>
        <w:t>Supplementary</w:t>
      </w:r>
      <w:bookmarkEnd w:id="14"/>
      <w:bookmarkEnd w:id="15"/>
      <w:r w:rsidR="009509AD" w:rsidRPr="002E2DEC">
        <w:rPr>
          <w:rFonts w:ascii="Book Antiqua" w:eastAsia="Book Antiqua" w:hAnsi="Book Antiqua" w:cs="Book Antiqua"/>
          <w:color w:val="000000" w:themeColor="text1"/>
        </w:rPr>
        <w:t xml:space="preserve"> Table </w:t>
      </w:r>
      <w:r w:rsidRPr="002E2DEC">
        <w:rPr>
          <w:rFonts w:ascii="Book Antiqua" w:eastAsia="Book Antiqua" w:hAnsi="Book Antiqua" w:cs="Book Antiqua"/>
          <w:color w:val="000000" w:themeColor="text1"/>
        </w:rPr>
        <w:t>2).</w:t>
      </w:r>
    </w:p>
    <w:p w14:paraId="0D524F4B" w14:textId="399C5FF4" w:rsidR="00A77B3E" w:rsidRPr="002E2DEC" w:rsidRDefault="003022FF" w:rsidP="002E2DEC">
      <w:pPr>
        <w:spacing w:line="360" w:lineRule="auto"/>
        <w:ind w:firstLine="240"/>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 xml:space="preserve">We further performed principal coordination analysis (PCoA) between the groups to investigate potential differences. </w:t>
      </w:r>
      <w:r w:rsidRPr="002E2DEC">
        <w:rPr>
          <w:rFonts w:ascii="Book Antiqua" w:eastAsia="Book Antiqua" w:hAnsi="Book Antiqua" w:cs="Book Antiqua"/>
          <w:color w:val="000000"/>
        </w:rPr>
        <w:t>PCoA</w:t>
      </w:r>
      <w:r w:rsidRPr="002E2DEC">
        <w:rPr>
          <w:rFonts w:ascii="Book Antiqua" w:eastAsia="Book Antiqua" w:hAnsi="Book Antiqua" w:cs="Book Antiqua"/>
          <w:color w:val="000000" w:themeColor="text1"/>
        </w:rPr>
        <w:t xml:space="preserve"> (Figure 2) ordination showed that the ICP group was distinctly separated from the HC group (</w:t>
      </w:r>
      <w:r w:rsidR="00430D0E" w:rsidRPr="002E2DEC">
        <w:rPr>
          <w:rFonts w:ascii="Book Antiqua" w:eastAsia="Book Antiqua" w:hAnsi="Book Antiqua" w:cs="Book Antiqua"/>
          <w:color w:val="000000" w:themeColor="text1"/>
        </w:rPr>
        <w:t>anosim</w:t>
      </w:r>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P</w:t>
      </w:r>
      <w:r w:rsidRPr="002E2DEC">
        <w:rPr>
          <w:rFonts w:ascii="Book Antiqua" w:eastAsia="Book Antiqua" w:hAnsi="Book Antiqua" w:cs="Book Antiqua"/>
          <w:color w:val="000000" w:themeColor="text1"/>
        </w:rPr>
        <w:t xml:space="preserve"> = 0.004). At the phylum level, we observed </w:t>
      </w:r>
      <w:r w:rsidR="00EB3F5E" w:rsidRPr="002E2DEC">
        <w:rPr>
          <w:rFonts w:ascii="Book Antiqua" w:eastAsia="Book Antiqua" w:hAnsi="Book Antiqua" w:cs="Book Antiqua"/>
          <w:color w:val="000000" w:themeColor="text1"/>
        </w:rPr>
        <w:t xml:space="preserve">a higher relative abundance of </w:t>
      </w:r>
      <w:r w:rsidR="00EB3F5E" w:rsidRPr="002E2DEC">
        <w:rPr>
          <w:rFonts w:ascii="Book Antiqua" w:eastAsia="Book Antiqua" w:hAnsi="Book Antiqua" w:cs="Book Antiqua"/>
          <w:iCs/>
          <w:color w:val="000000" w:themeColor="text1"/>
        </w:rPr>
        <w:t>Firmicutes and a markedly lower relative abundance of Bacteroidetes in the healthy group</w:t>
      </w:r>
      <w:r w:rsidRPr="002E2DEC">
        <w:rPr>
          <w:rFonts w:ascii="Book Antiqua" w:eastAsia="Book Antiqua" w:hAnsi="Book Antiqua" w:cs="Book Antiqua"/>
          <w:iCs/>
          <w:color w:val="000000" w:themeColor="text1"/>
        </w:rPr>
        <w:t xml:space="preserve"> (</w:t>
      </w:r>
      <w:r w:rsidRPr="002E2DEC">
        <w:rPr>
          <w:rFonts w:ascii="Book Antiqua" w:eastAsia="Book Antiqua" w:hAnsi="Book Antiqua" w:cs="Book Antiqua"/>
          <w:color w:val="000000" w:themeColor="text1"/>
        </w:rPr>
        <w:t xml:space="preserve">Figure 3). For </w:t>
      </w:r>
      <w:r w:rsidRPr="002E2DEC">
        <w:rPr>
          <w:rFonts w:ascii="Book Antiqua" w:eastAsia="Book Antiqua" w:hAnsi="Book Antiqua" w:cs="Book Antiqua"/>
          <w:iCs/>
          <w:color w:val="000000" w:themeColor="text1"/>
        </w:rPr>
        <w:t>Proteobacteria and Actinobacteria</w:t>
      </w:r>
      <w:r w:rsidRPr="002E2DEC">
        <w:rPr>
          <w:rFonts w:ascii="Book Antiqua" w:eastAsia="Book Antiqua" w:hAnsi="Book Antiqua" w:cs="Book Antiqua"/>
          <w:color w:val="000000" w:themeColor="text1"/>
        </w:rPr>
        <w:t xml:space="preserve">, there were no significant differences between the two groups (Figure 3). Overall, </w:t>
      </w:r>
      <w:r w:rsidR="00EB3F5E" w:rsidRPr="002E2DEC">
        <w:rPr>
          <w:rFonts w:ascii="Book Antiqua" w:eastAsia="Book Antiqua" w:hAnsi="Book Antiqua" w:cs="Book Antiqua"/>
          <w:color w:val="000000" w:themeColor="text1"/>
        </w:rPr>
        <w:t xml:space="preserve">the intestinal flora of pregnant women was mainly composed of </w:t>
      </w:r>
      <w:r w:rsidR="00EB3F5E" w:rsidRPr="002E2DEC">
        <w:rPr>
          <w:rFonts w:ascii="Book Antiqua" w:eastAsia="Book Antiqua" w:hAnsi="Book Antiqua" w:cs="Book Antiqua"/>
          <w:iCs/>
          <w:color w:val="000000" w:themeColor="text1"/>
        </w:rPr>
        <w:t>Firmicutes, Bacteroidetes, Actinobacteria and Proteobacteria</w:t>
      </w:r>
      <w:r w:rsidR="00EB3F5E"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and these phyla are present in</w:t>
      </w:r>
      <w:r w:rsidR="002F6CCA" w:rsidRPr="002E2DEC">
        <w:rPr>
          <w:rFonts w:ascii="Book Antiqua" w:eastAsia="Book Antiqua" w:hAnsi="Book Antiqua" w:cs="Book Antiqua"/>
          <w:color w:val="000000" w:themeColor="text1"/>
        </w:rPr>
        <w:t xml:space="preserve"> at least</w:t>
      </w:r>
      <w:r w:rsidR="006A06C3" w:rsidRPr="002E2DEC">
        <w:rPr>
          <w:rFonts w:ascii="Book Antiqua" w:hAnsi="Book Antiqua" w:cs="Book Antiqua"/>
          <w:color w:val="000000" w:themeColor="text1"/>
          <w:lang w:eastAsia="zh-CN"/>
        </w:rPr>
        <w:t xml:space="preserve"> </w:t>
      </w:r>
      <w:r w:rsidRPr="002E2DEC">
        <w:rPr>
          <w:rFonts w:ascii="Book Antiqua" w:eastAsia="Book Antiqua" w:hAnsi="Book Antiqua" w:cs="Book Antiqua"/>
          <w:color w:val="000000" w:themeColor="text1"/>
        </w:rPr>
        <w:t xml:space="preserve">95% of these samples. Similarly, at the genus level, the core genera, including </w:t>
      </w:r>
      <w:r w:rsidRPr="002E2DEC">
        <w:rPr>
          <w:rFonts w:ascii="Book Antiqua" w:eastAsia="Book Antiqua" w:hAnsi="Book Antiqua" w:cs="Book Antiqua"/>
          <w:i/>
          <w:iCs/>
          <w:color w:val="000000" w:themeColor="text1"/>
        </w:rPr>
        <w:t>Bacteroides</w:t>
      </w:r>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Bifidobacterium</w:t>
      </w:r>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Blautia</w:t>
      </w:r>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Escherichia</w:t>
      </w:r>
      <w:r w:rsidR="003A5E3A" w:rsidRPr="002E2DEC">
        <w:rPr>
          <w:rFonts w:ascii="Book Antiqua" w:eastAsia="Book Antiqua" w:hAnsi="Book Antiqua" w:cs="Book Antiqua"/>
          <w:i/>
          <w:iCs/>
          <w:color w:val="000000" w:themeColor="text1"/>
        </w:rPr>
        <w:t>/</w:t>
      </w:r>
      <w:r w:rsidRPr="002E2DEC">
        <w:rPr>
          <w:rFonts w:ascii="Book Antiqua" w:eastAsia="Book Antiqua" w:hAnsi="Book Antiqua" w:cs="Book Antiqua"/>
          <w:i/>
          <w:iCs/>
          <w:color w:val="000000" w:themeColor="text1"/>
        </w:rPr>
        <w:t>Shigella</w:t>
      </w:r>
      <w:r w:rsidRPr="002E2DEC">
        <w:rPr>
          <w:rFonts w:ascii="Book Antiqua" w:eastAsia="Book Antiqua" w:hAnsi="Book Antiqua" w:cs="Book Antiqua"/>
          <w:color w:val="000000" w:themeColor="text1"/>
        </w:rPr>
        <w:t xml:space="preserve"> and </w:t>
      </w:r>
      <w:r w:rsidRPr="002E2DEC">
        <w:rPr>
          <w:rFonts w:ascii="Book Antiqua" w:eastAsia="Book Antiqua" w:hAnsi="Book Antiqua" w:cs="Book Antiqua"/>
          <w:i/>
          <w:iCs/>
          <w:color w:val="000000" w:themeColor="text1"/>
        </w:rPr>
        <w:t xml:space="preserve">Faecalibacterium, </w:t>
      </w:r>
      <w:r w:rsidRPr="002E2DEC">
        <w:rPr>
          <w:rFonts w:ascii="Book Antiqua" w:eastAsia="Book Antiqua" w:hAnsi="Book Antiqua" w:cs="Book Antiqua"/>
          <w:color w:val="000000" w:themeColor="text1"/>
        </w:rPr>
        <w:t xml:space="preserve">were present in </w:t>
      </w:r>
      <w:r w:rsidR="002F6CCA" w:rsidRPr="002E2DEC">
        <w:rPr>
          <w:rFonts w:ascii="Book Antiqua" w:eastAsia="Book Antiqua" w:hAnsi="Book Antiqua" w:cs="Book Antiqua"/>
          <w:color w:val="000000" w:themeColor="text1"/>
        </w:rPr>
        <w:t>over</w:t>
      </w:r>
      <w:r w:rsidRPr="002E2DEC">
        <w:rPr>
          <w:rFonts w:ascii="Book Antiqua" w:eastAsia="Book Antiqua" w:hAnsi="Book Antiqua" w:cs="Book Antiqua"/>
          <w:color w:val="000000" w:themeColor="text1"/>
        </w:rPr>
        <w:t xml:space="preserve"> 95% of the samples from </w:t>
      </w:r>
      <w:r w:rsidR="002F6CCA" w:rsidRPr="002E2DEC">
        <w:rPr>
          <w:rFonts w:ascii="Book Antiqua" w:eastAsia="Book Antiqua" w:hAnsi="Book Antiqua" w:cs="Book Antiqua"/>
          <w:color w:val="000000" w:themeColor="text1"/>
        </w:rPr>
        <w:t xml:space="preserve">gestational </w:t>
      </w:r>
      <w:r w:rsidRPr="002E2DEC">
        <w:rPr>
          <w:rFonts w:ascii="Book Antiqua" w:eastAsia="Book Antiqua" w:hAnsi="Book Antiqua" w:cs="Book Antiqua"/>
          <w:color w:val="000000" w:themeColor="text1"/>
        </w:rPr>
        <w:t>women (</w:t>
      </w:r>
      <w:r w:rsidR="006359F0" w:rsidRPr="002E2DEC">
        <w:rPr>
          <w:rFonts w:ascii="Book Antiqua" w:hAnsi="Book Antiqua" w:cs="Book Antiqua"/>
          <w:color w:val="000000" w:themeColor="text1"/>
          <w:lang w:eastAsia="zh-CN"/>
        </w:rPr>
        <w:t>Supplementary</w:t>
      </w:r>
      <w:r w:rsidR="006359F0"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T</w:t>
      </w:r>
      <w:r w:rsidR="006359F0" w:rsidRPr="002E2DEC">
        <w:rPr>
          <w:rFonts w:ascii="Book Antiqua" w:eastAsia="Book Antiqua" w:hAnsi="Book Antiqua" w:cs="Book Antiqua"/>
          <w:color w:val="000000" w:themeColor="text1"/>
        </w:rPr>
        <w:t xml:space="preserve">able </w:t>
      </w:r>
      <w:r w:rsidRPr="002E2DEC">
        <w:rPr>
          <w:rFonts w:ascii="Book Antiqua" w:eastAsia="Book Antiqua" w:hAnsi="Book Antiqua" w:cs="Book Antiqua"/>
          <w:color w:val="000000" w:themeColor="text1"/>
        </w:rPr>
        <w:t>3).</w:t>
      </w:r>
    </w:p>
    <w:p w14:paraId="29B89B2F" w14:textId="7C5E1BFF" w:rsidR="00A77B3E" w:rsidRPr="002E2DEC" w:rsidRDefault="003022FF" w:rsidP="002E2DEC">
      <w:pPr>
        <w:snapToGrid w:val="0"/>
        <w:spacing w:line="360" w:lineRule="auto"/>
        <w:ind w:firstLine="240"/>
        <w:jc w:val="both"/>
        <w:rPr>
          <w:rFonts w:ascii="Book Antiqua" w:hAnsi="Book Antiqua"/>
          <w:color w:val="000000" w:themeColor="text1"/>
        </w:rPr>
      </w:pPr>
      <w:r w:rsidRPr="002E2DEC">
        <w:rPr>
          <w:rFonts w:ascii="Book Antiqua" w:eastAsia="Book Antiqua" w:hAnsi="Book Antiqua" w:cs="Book Antiqua"/>
          <w:color w:val="000000" w:themeColor="text1"/>
        </w:rPr>
        <w:t xml:space="preserve">To identify the main differences in genera between the HC and ICP groups, we used random forests for classification analysis and built classification models. The top 20 genera that had a major role in classifying the groups were identified by the random forest model (Figure 4). At the genus level, the ICP group exhibited a decrease in the relative abundance of </w:t>
      </w:r>
      <w:r w:rsidRPr="002E2DEC">
        <w:rPr>
          <w:rFonts w:ascii="Book Antiqua" w:eastAsia="Book Antiqua" w:hAnsi="Book Antiqua" w:cs="Book Antiqua"/>
          <w:i/>
          <w:iCs/>
          <w:color w:val="000000" w:themeColor="text1"/>
        </w:rPr>
        <w:t>Faecalibactium</w:t>
      </w:r>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Bifidobacterium</w:t>
      </w:r>
      <w:r w:rsidRPr="002E2DEC">
        <w:rPr>
          <w:rFonts w:ascii="Book Antiqua" w:eastAsia="Book Antiqua" w:hAnsi="Book Antiqua" w:cs="Book Antiqua"/>
          <w:color w:val="000000" w:themeColor="text1"/>
        </w:rPr>
        <w:t xml:space="preserve"> and </w:t>
      </w:r>
      <w:r w:rsidRPr="002E2DEC">
        <w:rPr>
          <w:rFonts w:ascii="Book Antiqua" w:eastAsia="Book Antiqua" w:hAnsi="Book Antiqua" w:cs="Book Antiqua"/>
          <w:i/>
          <w:iCs/>
          <w:color w:val="000000" w:themeColor="text1"/>
        </w:rPr>
        <w:t>Blautia</w:t>
      </w:r>
      <w:r w:rsidRPr="002E2DEC">
        <w:rPr>
          <w:rFonts w:ascii="Book Antiqua" w:eastAsia="Book Antiqua" w:hAnsi="Book Antiqua" w:cs="Book Antiqua"/>
          <w:color w:val="000000" w:themeColor="text1"/>
        </w:rPr>
        <w:t xml:space="preserve"> and an increase in the relative abundance of </w:t>
      </w:r>
      <w:r w:rsidRPr="002E2DEC">
        <w:rPr>
          <w:rFonts w:ascii="Book Antiqua" w:eastAsia="Book Antiqua" w:hAnsi="Book Antiqua" w:cs="Book Antiqua"/>
          <w:i/>
          <w:iCs/>
          <w:color w:val="000000" w:themeColor="text1"/>
        </w:rPr>
        <w:t>Parabacteroides</w:t>
      </w:r>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Bilophila</w:t>
      </w:r>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Bacteroides</w:t>
      </w:r>
      <w:r w:rsidRPr="002E2DEC">
        <w:rPr>
          <w:rFonts w:ascii="Book Antiqua" w:eastAsia="Book Antiqua" w:hAnsi="Book Antiqua" w:cs="Book Antiqua"/>
          <w:color w:val="000000" w:themeColor="text1"/>
        </w:rPr>
        <w:t xml:space="preserve"> and </w:t>
      </w:r>
      <w:r w:rsidRPr="002E2DEC">
        <w:rPr>
          <w:rFonts w:ascii="Book Antiqua" w:eastAsia="Book Antiqua" w:hAnsi="Book Antiqua" w:cs="Book Antiqua"/>
          <w:i/>
          <w:iCs/>
          <w:color w:val="000000" w:themeColor="text1"/>
        </w:rPr>
        <w:t>Escherichia</w:t>
      </w:r>
      <w:r w:rsidR="003A5E3A" w:rsidRPr="002E2DEC">
        <w:rPr>
          <w:rFonts w:ascii="Book Antiqua" w:eastAsia="Book Antiqua" w:hAnsi="Book Antiqua" w:cs="Book Antiqua"/>
          <w:i/>
          <w:iCs/>
          <w:color w:val="000000" w:themeColor="text1"/>
        </w:rPr>
        <w:t>/</w:t>
      </w:r>
      <w:r w:rsidRPr="002E2DEC">
        <w:rPr>
          <w:rFonts w:ascii="Book Antiqua" w:eastAsia="Book Antiqua" w:hAnsi="Book Antiqua" w:cs="Book Antiqua"/>
          <w:i/>
          <w:iCs/>
          <w:color w:val="000000" w:themeColor="text1"/>
        </w:rPr>
        <w:t>Shigella</w:t>
      </w:r>
      <w:r w:rsidRPr="002E2DEC">
        <w:rPr>
          <w:rFonts w:ascii="Book Antiqua" w:eastAsia="Book Antiqua" w:hAnsi="Book Antiqua" w:cs="Book Antiqua"/>
          <w:color w:val="000000" w:themeColor="text1"/>
        </w:rPr>
        <w:t>.</w:t>
      </w:r>
    </w:p>
    <w:p w14:paraId="2A2610A0" w14:textId="77777777" w:rsidR="00685E18" w:rsidRPr="002E2DEC" w:rsidRDefault="00685E18" w:rsidP="002E2DEC">
      <w:pPr>
        <w:snapToGrid w:val="0"/>
        <w:spacing w:line="360" w:lineRule="auto"/>
        <w:jc w:val="both"/>
        <w:rPr>
          <w:rFonts w:ascii="Book Antiqua" w:hAnsi="Book Antiqua" w:cs="Book Antiqua"/>
          <w:b/>
          <w:bCs/>
          <w:i/>
          <w:iCs/>
          <w:color w:val="000000" w:themeColor="text1"/>
          <w:lang w:eastAsia="zh-CN"/>
        </w:rPr>
      </w:pPr>
    </w:p>
    <w:p w14:paraId="11588698"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i/>
          <w:iCs/>
          <w:color w:val="000000" w:themeColor="text1"/>
        </w:rPr>
        <w:t>Correlations between the serum metabolome and gut microbiome</w:t>
      </w:r>
    </w:p>
    <w:p w14:paraId="0C303F1A"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To further explore the links between the gut microbiota and serum metabolome, the Spearman correlation coefficient was computed for 64 differential metabolites and 50 bacterial taxa (</w:t>
      </w:r>
      <w:r w:rsidR="009B1227" w:rsidRPr="002E2DEC">
        <w:rPr>
          <w:rFonts w:ascii="Book Antiqua" w:hAnsi="Book Antiqua" w:cs="Book Antiqua"/>
          <w:color w:val="000000" w:themeColor="text1"/>
          <w:lang w:eastAsia="zh-CN"/>
        </w:rPr>
        <w:t>Supplementary</w:t>
      </w:r>
      <w:r w:rsidR="009B1227" w:rsidRPr="002E2DEC">
        <w:rPr>
          <w:rFonts w:ascii="Book Antiqua" w:eastAsia="Book Antiqua" w:hAnsi="Book Antiqua" w:cs="Book Antiqua"/>
          <w:color w:val="000000" w:themeColor="text1"/>
        </w:rPr>
        <w:t xml:space="preserve"> Figure </w:t>
      </w:r>
      <w:r w:rsidRPr="002E2DEC">
        <w:rPr>
          <w:rFonts w:ascii="Book Antiqua" w:eastAsia="Book Antiqua" w:hAnsi="Book Antiqua" w:cs="Book Antiqua"/>
          <w:color w:val="000000" w:themeColor="text1"/>
        </w:rPr>
        <w:t xml:space="preserve">1). We further reduced the potential targets to major genera and bile acid-related metabolites, and it was found that bacteria such as </w:t>
      </w:r>
      <w:r w:rsidRPr="002E2DEC">
        <w:rPr>
          <w:rFonts w:ascii="Book Antiqua" w:eastAsia="Book Antiqua" w:hAnsi="Book Antiqua" w:cs="Book Antiqua"/>
          <w:i/>
          <w:iCs/>
          <w:color w:val="000000" w:themeColor="text1"/>
        </w:rPr>
        <w:t>Bacteroides</w:t>
      </w:r>
      <w:r w:rsidRPr="002E2DEC">
        <w:rPr>
          <w:rFonts w:ascii="Book Antiqua" w:eastAsia="Book Antiqua" w:hAnsi="Book Antiqua" w:cs="Book Antiqua"/>
          <w:color w:val="000000" w:themeColor="text1"/>
        </w:rPr>
        <w:t xml:space="preserve">, which are enriched in ICP patients, were positively correlated with increased bile acids, while bacteria such as </w:t>
      </w:r>
      <w:bookmarkStart w:id="16" w:name="OLE_LINK13"/>
      <w:bookmarkStart w:id="17" w:name="OLE_LINK14"/>
      <w:r w:rsidRPr="002E2DEC">
        <w:rPr>
          <w:rFonts w:ascii="Book Antiqua" w:eastAsia="Book Antiqua" w:hAnsi="Book Antiqua" w:cs="Book Antiqua"/>
          <w:i/>
          <w:iCs/>
          <w:color w:val="000000" w:themeColor="text1"/>
        </w:rPr>
        <w:t>Faecalibacterium</w:t>
      </w:r>
      <w:bookmarkEnd w:id="16"/>
      <w:bookmarkEnd w:id="17"/>
      <w:r w:rsidRPr="002E2DEC">
        <w:rPr>
          <w:rFonts w:ascii="Book Antiqua" w:eastAsia="Book Antiqua" w:hAnsi="Book Antiqua" w:cs="Book Antiqua"/>
          <w:color w:val="000000" w:themeColor="text1"/>
        </w:rPr>
        <w:t xml:space="preserve">, which are enriched in </w:t>
      </w:r>
      <w:bookmarkStart w:id="18" w:name="OLE_LINK9"/>
      <w:bookmarkStart w:id="19" w:name="OLE_LINK10"/>
      <w:r w:rsidRPr="002E2DEC">
        <w:rPr>
          <w:rFonts w:ascii="Book Antiqua" w:eastAsia="Book Antiqua" w:hAnsi="Book Antiqua" w:cs="Book Antiqua"/>
          <w:color w:val="000000" w:themeColor="text1"/>
        </w:rPr>
        <w:t>HC</w:t>
      </w:r>
      <w:bookmarkEnd w:id="18"/>
      <w:bookmarkEnd w:id="19"/>
      <w:r w:rsidRPr="002E2DEC">
        <w:rPr>
          <w:rFonts w:ascii="Book Antiqua" w:eastAsia="Book Antiqua" w:hAnsi="Book Antiqua" w:cs="Book Antiqua"/>
          <w:color w:val="000000" w:themeColor="text1"/>
        </w:rPr>
        <w:t>, were negatively correlated with increased bile acids (Figure 5). This finding suggests that the observed alterations in the gut microbiota of ICP patients are associated with serum metabolites.</w:t>
      </w:r>
    </w:p>
    <w:p w14:paraId="31F17FAB" w14:textId="77777777" w:rsidR="00A77B3E" w:rsidRPr="002E2DEC" w:rsidRDefault="00A77B3E" w:rsidP="002E2DEC">
      <w:pPr>
        <w:snapToGrid w:val="0"/>
        <w:spacing w:line="360" w:lineRule="auto"/>
        <w:ind w:firstLine="240"/>
        <w:jc w:val="both"/>
        <w:rPr>
          <w:rFonts w:ascii="Book Antiqua" w:hAnsi="Book Antiqua"/>
          <w:color w:val="000000" w:themeColor="text1"/>
        </w:rPr>
      </w:pPr>
    </w:p>
    <w:p w14:paraId="18BB97F1"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aps/>
          <w:color w:val="000000" w:themeColor="text1"/>
          <w:u w:val="single"/>
        </w:rPr>
        <w:t>DISCUSSION</w:t>
      </w:r>
    </w:p>
    <w:p w14:paraId="6FC0C3B4" w14:textId="16A894EA" w:rsidR="00A77B3E" w:rsidRPr="002E2DEC" w:rsidRDefault="0080720D" w:rsidP="002E2DEC">
      <w:pPr>
        <w:snapToGrid w:val="0"/>
        <w:spacing w:line="360" w:lineRule="auto"/>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In this study, th</w:t>
      </w:r>
      <w:r w:rsidR="008750C3" w:rsidRPr="002E2DEC">
        <w:rPr>
          <w:rFonts w:ascii="Book Antiqua" w:eastAsia="Book Antiqua" w:hAnsi="Book Antiqua" w:cs="Book Antiqua"/>
          <w:color w:val="000000" w:themeColor="text1"/>
        </w:rPr>
        <w:t>e changes of serum metabolome and gut microbiota in ICP pregnant women and healthy pregnant women were analyzed.</w:t>
      </w:r>
      <w:r w:rsidRPr="002E2DEC">
        <w:rPr>
          <w:rFonts w:ascii="Book Antiqua" w:hAnsi="Book Antiqua" w:cs="Book Antiqua"/>
          <w:color w:val="000000" w:themeColor="text1"/>
          <w:lang w:eastAsia="zh-CN"/>
        </w:rPr>
        <w:t xml:space="preserve"> </w:t>
      </w:r>
      <w:r w:rsidR="003022FF" w:rsidRPr="002E2DEC">
        <w:rPr>
          <w:rFonts w:ascii="Book Antiqua" w:eastAsia="Book Antiqua" w:hAnsi="Book Antiqua" w:cs="Book Antiqua"/>
          <w:color w:val="000000" w:themeColor="text1"/>
        </w:rPr>
        <w:t xml:space="preserve">Clinically, serum TBA, </w:t>
      </w:r>
      <w:r w:rsidR="00961D3E" w:rsidRPr="002E2DEC">
        <w:rPr>
          <w:rFonts w:ascii="Book Antiqua" w:eastAsia="Book Antiqua" w:hAnsi="Book Antiqua" w:cs="Book Antiqua"/>
          <w:color w:val="000000" w:themeColor="text1"/>
        </w:rPr>
        <w:t>alanine aminotransferase</w:t>
      </w:r>
      <w:r w:rsidR="003022FF" w:rsidRPr="002E2DEC">
        <w:rPr>
          <w:rFonts w:ascii="Book Antiqua" w:eastAsia="Book Antiqua" w:hAnsi="Book Antiqua" w:cs="Book Antiqua"/>
          <w:color w:val="000000" w:themeColor="text1"/>
        </w:rPr>
        <w:t xml:space="preserve"> and </w:t>
      </w:r>
      <w:r w:rsidR="00961D3E" w:rsidRPr="002E2DEC">
        <w:rPr>
          <w:rFonts w:ascii="Book Antiqua" w:eastAsia="Book Antiqua" w:hAnsi="Book Antiqua" w:cs="Book Antiqua"/>
          <w:color w:val="000000" w:themeColor="text1"/>
        </w:rPr>
        <w:t>aspartate aminotransferase</w:t>
      </w:r>
      <w:r w:rsidR="003022FF" w:rsidRPr="002E2DEC">
        <w:rPr>
          <w:rFonts w:ascii="Book Antiqua" w:eastAsia="Book Antiqua" w:hAnsi="Book Antiqua" w:cs="Book Antiqua"/>
          <w:color w:val="000000" w:themeColor="text1"/>
        </w:rPr>
        <w:t xml:space="preserve"> were </w:t>
      </w:r>
      <w:r w:rsidR="00AA4E0B" w:rsidRPr="002E2DEC">
        <w:rPr>
          <w:rFonts w:ascii="Book Antiqua" w:eastAsia="Book Antiqua" w:hAnsi="Book Antiqua" w:cs="Book Antiqua"/>
          <w:color w:val="000000" w:themeColor="text1"/>
        </w:rPr>
        <w:t>observably</w:t>
      </w:r>
      <w:r w:rsidR="003022FF" w:rsidRPr="002E2DEC">
        <w:rPr>
          <w:rFonts w:ascii="Book Antiqua" w:eastAsia="Book Antiqua" w:hAnsi="Book Antiqua" w:cs="Book Antiqua"/>
          <w:color w:val="000000" w:themeColor="text1"/>
        </w:rPr>
        <w:t xml:space="preserve"> increased in the ICP patients (Table 1). The accumulation of bile acids in hepatocytes </w:t>
      </w:r>
      <w:r w:rsidR="0027578F" w:rsidRPr="002E2DEC">
        <w:rPr>
          <w:rFonts w:ascii="Book Antiqua" w:eastAsia="Book Antiqua" w:hAnsi="Book Antiqua" w:cs="Book Antiqua"/>
          <w:color w:val="000000" w:themeColor="text1"/>
        </w:rPr>
        <w:t>leads to</w:t>
      </w:r>
      <w:r w:rsidR="003022FF" w:rsidRPr="002E2DEC">
        <w:rPr>
          <w:rFonts w:ascii="Book Antiqua" w:eastAsia="Book Antiqua" w:hAnsi="Book Antiqua" w:cs="Book Antiqua"/>
          <w:color w:val="000000" w:themeColor="text1"/>
        </w:rPr>
        <w:t xml:space="preserve"> hepatotoxicity and the release of aminotransferases, bilirubin and alkaline phosphatase into the serum</w:t>
      </w:r>
      <w:r w:rsidR="003022FF" w:rsidRPr="002E2DEC">
        <w:rPr>
          <w:rFonts w:ascii="Book Antiqua" w:eastAsia="Book Antiqua" w:hAnsi="Book Antiqua" w:cs="Book Antiqua"/>
          <w:color w:val="000000" w:themeColor="text1"/>
          <w:vertAlign w:val="superscript"/>
        </w:rPr>
        <w:t>[</w:t>
      </w:r>
      <w:hyperlink w:anchor="_ENREF_21" w:tooltip="Smith, 2020 #256" w:history="1">
        <w:r w:rsidR="003022FF" w:rsidRPr="002E2DEC">
          <w:rPr>
            <w:rFonts w:ascii="Book Antiqua" w:eastAsia="Book Antiqua" w:hAnsi="Book Antiqua" w:cs="Book Antiqua"/>
            <w:color w:val="000000" w:themeColor="text1"/>
            <w:vertAlign w:val="superscript"/>
          </w:rPr>
          <w:t>21</w:t>
        </w:r>
      </w:hyperlink>
      <w:r w:rsidR="003022FF" w:rsidRPr="002E2DEC">
        <w:rPr>
          <w:rFonts w:ascii="Book Antiqua" w:eastAsia="Book Antiqua" w:hAnsi="Book Antiqua" w:cs="Book Antiqua"/>
          <w:color w:val="000000" w:themeColor="text1"/>
          <w:vertAlign w:val="superscript"/>
        </w:rPr>
        <w:t>]</w:t>
      </w:r>
      <w:r w:rsidR="003022FF" w:rsidRPr="002E2DEC">
        <w:rPr>
          <w:rFonts w:ascii="Book Antiqua" w:eastAsia="Book Antiqua" w:hAnsi="Book Antiqua" w:cs="Book Antiqua"/>
          <w:color w:val="000000" w:themeColor="text1"/>
        </w:rPr>
        <w:t xml:space="preserve">. Serum aminotransferase levels </w:t>
      </w:r>
      <w:r w:rsidR="00330921" w:rsidRPr="002E2DEC">
        <w:rPr>
          <w:rFonts w:ascii="Book Antiqua" w:eastAsia="Book Antiqua" w:hAnsi="Book Antiqua" w:cs="Book Antiqua"/>
          <w:color w:val="000000" w:themeColor="text1"/>
        </w:rPr>
        <w:t>we</w:t>
      </w:r>
      <w:r w:rsidR="003022FF" w:rsidRPr="002E2DEC">
        <w:rPr>
          <w:rFonts w:ascii="Book Antiqua" w:eastAsia="Book Antiqua" w:hAnsi="Book Antiqua" w:cs="Book Antiqua"/>
          <w:color w:val="000000" w:themeColor="text1"/>
        </w:rPr>
        <w:t xml:space="preserve">re elevated in 60%-85% of patients. By KEGG enrichment analysis of differential metabolites, we found that bile acid synthesis and secretion pathways were significantly upregulated in ICP patients; in addition, glucose metabolism and amino acid energy metabolism pathways also showed differences, indicating that patients experienced metabolic disorders. In terms of the gut microbiota, we observed that </w:t>
      </w:r>
      <w:r w:rsidR="003022FF" w:rsidRPr="002E2DEC">
        <w:rPr>
          <w:rFonts w:ascii="Book Antiqua" w:eastAsia="Book Antiqua" w:hAnsi="Book Antiqua" w:cs="Book Antiqua"/>
          <w:iCs/>
          <w:color w:val="000000" w:themeColor="text1"/>
        </w:rPr>
        <w:t>Firmicutes, Bacteroidetes, Actinobacteria, and Proteobacteria</w:t>
      </w:r>
      <w:r w:rsidR="003022FF" w:rsidRPr="002E2DEC">
        <w:rPr>
          <w:rFonts w:ascii="Book Antiqua" w:eastAsia="Book Antiqua" w:hAnsi="Book Antiqua" w:cs="Book Antiqua"/>
          <w:color w:val="000000" w:themeColor="text1"/>
        </w:rPr>
        <w:t xml:space="preserve"> were the dominant phyla, and </w:t>
      </w:r>
      <w:r w:rsidR="003022FF" w:rsidRPr="002E2DEC">
        <w:rPr>
          <w:rFonts w:ascii="Book Antiqua" w:eastAsia="Book Antiqua" w:hAnsi="Book Antiqua" w:cs="Book Antiqua"/>
          <w:i/>
          <w:iCs/>
          <w:color w:val="000000" w:themeColor="text1"/>
        </w:rPr>
        <w:t>Bacteroides</w:t>
      </w:r>
      <w:r w:rsidR="003022FF" w:rsidRPr="002E2DEC">
        <w:rPr>
          <w:rFonts w:ascii="Book Antiqua" w:eastAsia="Book Antiqua" w:hAnsi="Book Antiqua" w:cs="Book Antiqua"/>
          <w:color w:val="000000" w:themeColor="text1"/>
        </w:rPr>
        <w:t xml:space="preserve">, </w:t>
      </w:r>
      <w:r w:rsidR="003022FF" w:rsidRPr="002E2DEC">
        <w:rPr>
          <w:rFonts w:ascii="Book Antiqua" w:eastAsia="Book Antiqua" w:hAnsi="Book Antiqua" w:cs="Book Antiqua"/>
          <w:i/>
          <w:iCs/>
          <w:color w:val="000000" w:themeColor="text1"/>
        </w:rPr>
        <w:t>Bifidobacterium</w:t>
      </w:r>
      <w:r w:rsidR="003022FF" w:rsidRPr="002E2DEC">
        <w:rPr>
          <w:rFonts w:ascii="Book Antiqua" w:eastAsia="Book Antiqua" w:hAnsi="Book Antiqua" w:cs="Book Antiqua"/>
          <w:color w:val="000000" w:themeColor="text1"/>
        </w:rPr>
        <w:t xml:space="preserve">, </w:t>
      </w:r>
      <w:r w:rsidR="003022FF" w:rsidRPr="002E2DEC">
        <w:rPr>
          <w:rFonts w:ascii="Book Antiqua" w:eastAsia="Book Antiqua" w:hAnsi="Book Antiqua" w:cs="Book Antiqua"/>
          <w:i/>
          <w:iCs/>
          <w:color w:val="000000" w:themeColor="text1"/>
        </w:rPr>
        <w:t>Blautia</w:t>
      </w:r>
      <w:r w:rsidR="003022FF" w:rsidRPr="002E2DEC">
        <w:rPr>
          <w:rFonts w:ascii="Book Antiqua" w:eastAsia="Book Antiqua" w:hAnsi="Book Antiqua" w:cs="Book Antiqua"/>
          <w:color w:val="000000" w:themeColor="text1"/>
        </w:rPr>
        <w:t xml:space="preserve">, </w:t>
      </w:r>
      <w:r w:rsidR="003022FF" w:rsidRPr="002E2DEC">
        <w:rPr>
          <w:rFonts w:ascii="Book Antiqua" w:eastAsia="Book Antiqua" w:hAnsi="Book Antiqua" w:cs="Book Antiqua"/>
          <w:i/>
          <w:iCs/>
          <w:color w:val="000000" w:themeColor="text1"/>
        </w:rPr>
        <w:t>Escherichia</w:t>
      </w:r>
      <w:r w:rsidR="003A5E3A" w:rsidRPr="002E2DEC">
        <w:rPr>
          <w:rFonts w:ascii="Book Antiqua" w:eastAsia="Book Antiqua" w:hAnsi="Book Antiqua" w:cs="Book Antiqua"/>
          <w:i/>
          <w:iCs/>
          <w:color w:val="000000" w:themeColor="text1"/>
        </w:rPr>
        <w:t>/</w:t>
      </w:r>
      <w:r w:rsidR="003022FF" w:rsidRPr="002E2DEC">
        <w:rPr>
          <w:rFonts w:ascii="Book Antiqua" w:eastAsia="Book Antiqua" w:hAnsi="Book Antiqua" w:cs="Book Antiqua"/>
          <w:i/>
          <w:iCs/>
          <w:color w:val="000000" w:themeColor="text1"/>
        </w:rPr>
        <w:t>Shigella</w:t>
      </w:r>
      <w:r w:rsidR="003022FF" w:rsidRPr="002E2DEC">
        <w:rPr>
          <w:rFonts w:ascii="Book Antiqua" w:eastAsia="Book Antiqua" w:hAnsi="Book Antiqua" w:cs="Book Antiqua"/>
          <w:color w:val="000000" w:themeColor="text1"/>
        </w:rPr>
        <w:t xml:space="preserve">, and </w:t>
      </w:r>
      <w:r w:rsidR="003022FF" w:rsidRPr="002E2DEC">
        <w:rPr>
          <w:rFonts w:ascii="Book Antiqua" w:eastAsia="Book Antiqua" w:hAnsi="Book Antiqua" w:cs="Book Antiqua"/>
          <w:i/>
          <w:iCs/>
          <w:color w:val="000000" w:themeColor="text1"/>
        </w:rPr>
        <w:t>Faecalibacterium</w:t>
      </w:r>
      <w:r w:rsidR="003022FF" w:rsidRPr="002E2DEC">
        <w:rPr>
          <w:rFonts w:ascii="Book Antiqua" w:eastAsia="Book Antiqua" w:hAnsi="Book Antiqua" w:cs="Book Antiqua"/>
          <w:color w:val="000000" w:themeColor="text1"/>
        </w:rPr>
        <w:t xml:space="preserve"> were the </w:t>
      </w:r>
      <w:r w:rsidR="00330921" w:rsidRPr="002E2DEC">
        <w:rPr>
          <w:rFonts w:ascii="Book Antiqua" w:eastAsia="Book Antiqua" w:hAnsi="Book Antiqua" w:cs="Book Antiqua"/>
          <w:color w:val="000000" w:themeColor="text1"/>
        </w:rPr>
        <w:t>preponderant</w:t>
      </w:r>
      <w:r w:rsidR="003022FF" w:rsidRPr="002E2DEC">
        <w:rPr>
          <w:rFonts w:ascii="Book Antiqua" w:eastAsia="Book Antiqua" w:hAnsi="Book Antiqua" w:cs="Book Antiqua"/>
          <w:color w:val="000000" w:themeColor="text1"/>
        </w:rPr>
        <w:t xml:space="preserve"> genera in both groups. The composition of these taxa is</w:t>
      </w:r>
      <w:r w:rsidR="00330921" w:rsidRPr="002E2DEC">
        <w:rPr>
          <w:rFonts w:ascii="Book Antiqua" w:eastAsia="Book Antiqua" w:hAnsi="Book Antiqua" w:cs="Book Antiqua"/>
          <w:color w:val="000000" w:themeColor="text1"/>
        </w:rPr>
        <w:t xml:space="preserve"> in</w:t>
      </w:r>
      <w:r w:rsidR="003022FF" w:rsidRPr="002E2DEC">
        <w:rPr>
          <w:rFonts w:ascii="Book Antiqua" w:eastAsia="Book Antiqua" w:hAnsi="Book Antiqua" w:cs="Book Antiqua"/>
          <w:color w:val="000000" w:themeColor="text1"/>
        </w:rPr>
        <w:t xml:space="preserve"> </w:t>
      </w:r>
      <w:r w:rsidR="00BB0ECD" w:rsidRPr="002E2DEC">
        <w:rPr>
          <w:rFonts w:ascii="Book Antiqua" w:eastAsia="Book Antiqua" w:hAnsi="Book Antiqua" w:cs="Book Antiqua"/>
          <w:color w:val="000000" w:themeColor="text1"/>
        </w:rPr>
        <w:t>accord</w:t>
      </w:r>
      <w:r w:rsidR="00330921" w:rsidRPr="002E2DEC">
        <w:rPr>
          <w:rFonts w:ascii="Book Antiqua" w:eastAsia="Book Antiqua" w:hAnsi="Book Antiqua" w:cs="Book Antiqua"/>
          <w:color w:val="000000" w:themeColor="text1"/>
        </w:rPr>
        <w:t>ance</w:t>
      </w:r>
      <w:r w:rsidR="003022FF" w:rsidRPr="002E2DEC">
        <w:rPr>
          <w:rFonts w:ascii="Book Antiqua" w:eastAsia="Book Antiqua" w:hAnsi="Book Antiqua" w:cs="Book Antiqua"/>
          <w:color w:val="000000" w:themeColor="text1"/>
        </w:rPr>
        <w:t xml:space="preserve"> with previous </w:t>
      </w:r>
      <w:r w:rsidR="00BB0ECD" w:rsidRPr="002E2DEC">
        <w:rPr>
          <w:rFonts w:ascii="Book Antiqua" w:eastAsia="Book Antiqua" w:hAnsi="Book Antiqua" w:cs="Book Antiqua"/>
          <w:color w:val="000000" w:themeColor="text1"/>
        </w:rPr>
        <w:t>research</w:t>
      </w:r>
      <w:r w:rsidR="003022FF" w:rsidRPr="002E2DEC">
        <w:rPr>
          <w:rFonts w:ascii="Book Antiqua" w:eastAsia="Book Antiqua" w:hAnsi="Book Antiqua" w:cs="Book Antiqua"/>
          <w:color w:val="000000" w:themeColor="text1"/>
        </w:rPr>
        <w:t xml:space="preserve"> </w:t>
      </w:r>
      <w:r w:rsidR="00BB0ECD" w:rsidRPr="002E2DEC">
        <w:rPr>
          <w:rFonts w:ascii="Book Antiqua" w:eastAsia="Book Antiqua" w:hAnsi="Book Antiqua" w:cs="Book Antiqua"/>
          <w:color w:val="000000" w:themeColor="text1"/>
        </w:rPr>
        <w:t>f</w:t>
      </w:r>
      <w:r w:rsidR="00330921" w:rsidRPr="002E2DEC">
        <w:rPr>
          <w:rFonts w:ascii="Book Antiqua" w:eastAsia="Book Antiqua" w:hAnsi="Book Antiqua" w:cs="Book Antiqua"/>
          <w:color w:val="000000" w:themeColor="text1"/>
        </w:rPr>
        <w:t>rom</w:t>
      </w:r>
      <w:r w:rsidR="003022FF" w:rsidRPr="002E2DEC">
        <w:rPr>
          <w:rFonts w:ascii="Book Antiqua" w:eastAsia="Book Antiqua" w:hAnsi="Book Antiqua" w:cs="Book Antiqua"/>
          <w:color w:val="000000" w:themeColor="text1"/>
        </w:rPr>
        <w:t xml:space="preserve"> Koren </w:t>
      </w:r>
      <w:r w:rsidR="003022FF" w:rsidRPr="002E2DEC">
        <w:rPr>
          <w:rFonts w:ascii="Book Antiqua" w:eastAsia="Book Antiqua" w:hAnsi="Book Antiqua" w:cs="Book Antiqua"/>
          <w:i/>
          <w:iCs/>
          <w:color w:val="000000" w:themeColor="text1"/>
        </w:rPr>
        <w:t>et al</w:t>
      </w:r>
      <w:r w:rsidR="003022FF" w:rsidRPr="002E2DEC">
        <w:rPr>
          <w:rFonts w:ascii="Book Antiqua" w:eastAsia="Book Antiqua" w:hAnsi="Book Antiqua" w:cs="Book Antiqua"/>
          <w:color w:val="000000" w:themeColor="text1"/>
          <w:vertAlign w:val="superscript"/>
        </w:rPr>
        <w:t>[</w:t>
      </w:r>
      <w:hyperlink w:anchor="_ENREF_22" w:tooltip="Koren, 2012 #258" w:history="1">
        <w:r w:rsidR="003022FF" w:rsidRPr="002E2DEC">
          <w:rPr>
            <w:rFonts w:ascii="Book Antiqua" w:eastAsia="Book Antiqua" w:hAnsi="Book Antiqua" w:cs="Book Antiqua"/>
            <w:color w:val="000000" w:themeColor="text1"/>
            <w:vertAlign w:val="superscript"/>
          </w:rPr>
          <w:t>22</w:t>
        </w:r>
      </w:hyperlink>
      <w:r w:rsidR="003022FF" w:rsidRPr="002E2DEC">
        <w:rPr>
          <w:rFonts w:ascii="Book Antiqua" w:eastAsia="Book Antiqua" w:hAnsi="Book Antiqua" w:cs="Book Antiqua"/>
          <w:color w:val="000000" w:themeColor="text1"/>
          <w:vertAlign w:val="superscript"/>
        </w:rPr>
        <w:t>]</w:t>
      </w:r>
      <w:r w:rsidR="003022FF" w:rsidRPr="002E2DEC">
        <w:rPr>
          <w:rFonts w:ascii="Book Antiqua" w:eastAsia="Book Antiqua" w:hAnsi="Book Antiqua" w:cs="Book Antiqua"/>
          <w:color w:val="000000" w:themeColor="text1"/>
        </w:rPr>
        <w:t>.</w:t>
      </w:r>
    </w:p>
    <w:p w14:paraId="3B9948CD" w14:textId="3BB62AAC" w:rsidR="00D300CD" w:rsidRPr="002E2DEC" w:rsidRDefault="003022FF" w:rsidP="002E2DEC">
      <w:pPr>
        <w:snapToGrid w:val="0"/>
        <w:spacing w:line="360" w:lineRule="auto"/>
        <w:ind w:firstLine="240"/>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 xml:space="preserve">We observed that </w:t>
      </w:r>
      <w:r w:rsidRPr="002E2DEC">
        <w:rPr>
          <w:rFonts w:ascii="Book Antiqua" w:eastAsia="Book Antiqua" w:hAnsi="Book Antiqua" w:cs="Book Antiqua"/>
          <w:i/>
          <w:iCs/>
          <w:color w:val="000000" w:themeColor="text1"/>
        </w:rPr>
        <w:t>Faecalibacterium</w:t>
      </w:r>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Blautia</w:t>
      </w:r>
      <w:r w:rsidRPr="002E2DEC">
        <w:rPr>
          <w:rFonts w:ascii="Book Antiqua" w:eastAsia="Book Antiqua" w:hAnsi="Book Antiqua" w:cs="Book Antiqua"/>
          <w:color w:val="000000" w:themeColor="text1"/>
        </w:rPr>
        <w:t xml:space="preserve"> and </w:t>
      </w:r>
      <w:r w:rsidRPr="002E2DEC">
        <w:rPr>
          <w:rFonts w:ascii="Book Antiqua" w:eastAsia="Book Antiqua" w:hAnsi="Book Antiqua" w:cs="Book Antiqua"/>
          <w:i/>
          <w:iCs/>
          <w:color w:val="000000" w:themeColor="text1"/>
        </w:rPr>
        <w:t>Eubacterium hallii</w:t>
      </w:r>
      <w:r w:rsidRPr="002E2DEC">
        <w:rPr>
          <w:rFonts w:ascii="Book Antiqua" w:eastAsia="Book Antiqua" w:hAnsi="Book Antiqua" w:cs="Book Antiqua"/>
          <w:color w:val="000000" w:themeColor="text1"/>
        </w:rPr>
        <w:t xml:space="preserve">, which are genera known to contain butyrate-producing bacteria, were depleted in ICP patients. </w:t>
      </w:r>
      <w:r w:rsidRPr="002E2DEC">
        <w:rPr>
          <w:rFonts w:ascii="Book Antiqua" w:eastAsia="Book Antiqua" w:hAnsi="Book Antiqua" w:cs="Book Antiqua"/>
          <w:i/>
          <w:iCs/>
          <w:color w:val="000000" w:themeColor="text1"/>
        </w:rPr>
        <w:t xml:space="preserve">Faecalibacterium prausnitzii </w:t>
      </w:r>
      <w:r w:rsidRPr="002E2DEC">
        <w:rPr>
          <w:rFonts w:ascii="Book Antiqua" w:eastAsia="Book Antiqua" w:hAnsi="Book Antiqua" w:cs="Book Antiqua"/>
          <w:color w:val="000000" w:themeColor="text1"/>
        </w:rPr>
        <w:t>is one of the most abundant bacterial species in the colons of healthy adults, and this species accounts for more than 5% of the total bacterial population</w:t>
      </w:r>
      <w:r w:rsidRPr="002E2DEC">
        <w:rPr>
          <w:rFonts w:ascii="Book Antiqua" w:eastAsia="Book Antiqua" w:hAnsi="Book Antiqua" w:cs="Book Antiqua"/>
          <w:color w:val="000000" w:themeColor="text1"/>
          <w:vertAlign w:val="superscript"/>
        </w:rPr>
        <w:t>[</w:t>
      </w:r>
      <w:hyperlink w:anchor="_ENREF_23" w:tooltip="Miquel, 2014 #223" w:history="1">
        <w:r w:rsidRPr="002E2DEC">
          <w:rPr>
            <w:rFonts w:ascii="Book Antiqua" w:eastAsia="Book Antiqua" w:hAnsi="Book Antiqua" w:cs="Book Antiqua"/>
            <w:color w:val="000000" w:themeColor="text1"/>
            <w:vertAlign w:val="superscript"/>
          </w:rPr>
          <w:t>23</w:t>
        </w:r>
      </w:hyperlink>
      <w:r w:rsidRPr="002E2DEC">
        <w:rPr>
          <w:rFonts w:ascii="Book Antiqua" w:eastAsia="Book Antiqua" w:hAnsi="Book Antiqua" w:cs="Book Antiqua"/>
          <w:color w:val="000000" w:themeColor="text1"/>
          <w:vertAlign w:val="superscript"/>
        </w:rPr>
        <w:t>,</w:t>
      </w:r>
      <w:hyperlink w:anchor="_ENREF_24" w:tooltip="Miquel, 2013 #224" w:history="1">
        <w:r w:rsidRPr="002E2DEC">
          <w:rPr>
            <w:rFonts w:ascii="Book Antiqua" w:eastAsia="Book Antiqua" w:hAnsi="Book Antiqua" w:cs="Book Antiqua"/>
            <w:color w:val="000000" w:themeColor="text1"/>
            <w:vertAlign w:val="superscript"/>
          </w:rPr>
          <w:t>24</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F. prausnitzii</w:t>
      </w:r>
      <w:r w:rsidRPr="002E2DEC">
        <w:rPr>
          <w:rFonts w:ascii="Book Antiqua" w:eastAsia="Book Antiqua" w:hAnsi="Book Antiqua" w:cs="Book Antiqua"/>
          <w:color w:val="000000" w:themeColor="text1"/>
        </w:rPr>
        <w:t xml:space="preserve"> is known for its immunomodulatory properties and is effect</w:t>
      </w:r>
      <w:r w:rsidR="00330921" w:rsidRPr="002E2DEC">
        <w:rPr>
          <w:rFonts w:ascii="Book Antiqua" w:eastAsia="Book Antiqua" w:hAnsi="Book Antiqua" w:cs="Book Antiqua"/>
          <w:color w:val="000000" w:themeColor="text1"/>
        </w:rPr>
        <w:t>ive</w:t>
      </w:r>
      <w:r w:rsidRPr="002E2DEC">
        <w:rPr>
          <w:rFonts w:ascii="Book Antiqua" w:eastAsia="Book Antiqua" w:hAnsi="Book Antiqua" w:cs="Book Antiqua"/>
          <w:color w:val="000000" w:themeColor="text1"/>
        </w:rPr>
        <w:t xml:space="preserve"> in improving intestinal inflammation and intestinal barrier function</w:t>
      </w:r>
      <w:r w:rsidRPr="002E2DEC">
        <w:rPr>
          <w:rFonts w:ascii="Book Antiqua" w:eastAsia="Book Antiqua" w:hAnsi="Book Antiqua" w:cs="Book Antiqua"/>
          <w:color w:val="000000" w:themeColor="text1"/>
          <w:vertAlign w:val="superscript"/>
        </w:rPr>
        <w:t>[</w:t>
      </w:r>
      <w:hyperlink w:anchor="_ENREF_25" w:tooltip="Quévrain, 2015 #231" w:history="1">
        <w:r w:rsidRPr="002E2DEC">
          <w:rPr>
            <w:rFonts w:ascii="Book Antiqua" w:eastAsia="Book Antiqua" w:hAnsi="Book Antiqua" w:cs="Book Antiqua"/>
            <w:color w:val="000000" w:themeColor="text1"/>
            <w:vertAlign w:val="superscript"/>
          </w:rPr>
          <w:t>25-28</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In addition, this species produces large amounts of butyrate</w:t>
      </w:r>
      <w:r w:rsidRPr="002E2DEC">
        <w:rPr>
          <w:rFonts w:ascii="Book Antiqua" w:eastAsia="Book Antiqua" w:hAnsi="Book Antiqua" w:cs="Book Antiqua"/>
          <w:color w:val="000000" w:themeColor="text1"/>
          <w:vertAlign w:val="superscript"/>
        </w:rPr>
        <w:t>[</w:t>
      </w:r>
      <w:hyperlink w:anchor="_ENREF_23" w:tooltip="Miquel, 2014 #223" w:history="1">
        <w:r w:rsidRPr="002E2DEC">
          <w:rPr>
            <w:rFonts w:ascii="Book Antiqua" w:eastAsia="Book Antiqua" w:hAnsi="Book Antiqua" w:cs="Book Antiqua"/>
            <w:color w:val="000000" w:themeColor="text1"/>
            <w:vertAlign w:val="superscript"/>
          </w:rPr>
          <w:t>23</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a short-chain fatty acid (SCFA) that is </w:t>
      </w:r>
      <w:r w:rsidR="00357DE9" w:rsidRPr="002E2DEC">
        <w:rPr>
          <w:rFonts w:ascii="Book Antiqua" w:eastAsia="Book Antiqua" w:hAnsi="Book Antiqua" w:cs="Book Antiqua"/>
          <w:color w:val="000000" w:themeColor="text1"/>
        </w:rPr>
        <w:t>significant</w:t>
      </w:r>
      <w:r w:rsidRPr="002E2DEC">
        <w:rPr>
          <w:rFonts w:ascii="Book Antiqua" w:eastAsia="Book Antiqua" w:hAnsi="Book Antiqua" w:cs="Book Antiqua"/>
          <w:color w:val="000000" w:themeColor="text1"/>
        </w:rPr>
        <w:t xml:space="preserve"> in gut physiology</w:t>
      </w:r>
      <w:r w:rsidRPr="002E2DEC">
        <w:rPr>
          <w:rFonts w:ascii="Book Antiqua" w:eastAsia="Book Antiqua" w:hAnsi="Book Antiqua" w:cs="Book Antiqua"/>
          <w:color w:val="000000" w:themeColor="text1"/>
          <w:vertAlign w:val="superscript"/>
        </w:rPr>
        <w:t>[</w:t>
      </w:r>
      <w:hyperlink w:anchor="_ENREF_26" w:tooltip="Miquel, 2015 #229" w:history="1">
        <w:r w:rsidRPr="002E2DEC">
          <w:rPr>
            <w:rFonts w:ascii="Book Antiqua" w:eastAsia="Book Antiqua" w:hAnsi="Book Antiqua" w:cs="Book Antiqua"/>
            <w:color w:val="000000" w:themeColor="text1"/>
            <w:vertAlign w:val="superscript"/>
          </w:rPr>
          <w:t>26</w:t>
        </w:r>
      </w:hyperlink>
      <w:r w:rsidRPr="002E2DEC">
        <w:rPr>
          <w:rFonts w:ascii="Book Antiqua" w:eastAsia="Book Antiqua" w:hAnsi="Book Antiqua" w:cs="Book Antiqua"/>
          <w:color w:val="000000" w:themeColor="text1"/>
          <w:vertAlign w:val="superscript"/>
        </w:rPr>
        <w:t>,</w:t>
      </w:r>
      <w:hyperlink w:anchor="_ENREF_29" w:tooltip="Leonel, 2012 #228" w:history="1">
        <w:r w:rsidRPr="002E2DEC">
          <w:rPr>
            <w:rFonts w:ascii="Book Antiqua" w:eastAsia="Book Antiqua" w:hAnsi="Book Antiqua" w:cs="Book Antiqua"/>
            <w:color w:val="000000" w:themeColor="text1"/>
            <w:vertAlign w:val="superscript"/>
          </w:rPr>
          <w:t>29</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Butyrate </w:t>
      </w:r>
      <w:r w:rsidR="00357DE9" w:rsidRPr="002E2DEC">
        <w:rPr>
          <w:rFonts w:ascii="Book Antiqua" w:eastAsia="Book Antiqua" w:hAnsi="Book Antiqua" w:cs="Book Antiqua"/>
          <w:color w:val="000000" w:themeColor="text1"/>
        </w:rPr>
        <w:t>has</w:t>
      </w:r>
      <w:r w:rsidR="00330921" w:rsidRPr="002E2DEC">
        <w:rPr>
          <w:rFonts w:ascii="Book Antiqua" w:eastAsia="Book Antiqua" w:hAnsi="Book Antiqua" w:cs="Book Antiqua"/>
          <w:color w:val="000000" w:themeColor="text1"/>
        </w:rPr>
        <w:t xml:space="preserve"> </w:t>
      </w:r>
      <w:r w:rsidR="00357DE9" w:rsidRPr="002E2DEC">
        <w:rPr>
          <w:rFonts w:ascii="Book Antiqua" w:eastAsia="Book Antiqua" w:hAnsi="Book Antiqua" w:cs="Book Antiqua"/>
          <w:color w:val="000000" w:themeColor="text1"/>
        </w:rPr>
        <w:t>significant</w:t>
      </w:r>
      <w:r w:rsidR="00330921" w:rsidRPr="002E2DEC">
        <w:rPr>
          <w:rFonts w:ascii="Book Antiqua" w:eastAsia="Book Antiqua" w:hAnsi="Book Antiqua" w:cs="Book Antiqua"/>
          <w:color w:val="000000" w:themeColor="text1"/>
        </w:rPr>
        <w:t xml:space="preserve"> </w:t>
      </w:r>
      <w:r w:rsidR="00357DE9" w:rsidRPr="002E2DEC">
        <w:rPr>
          <w:rFonts w:ascii="Book Antiqua" w:eastAsia="Book Antiqua" w:hAnsi="Book Antiqua" w:cs="Book Antiqua"/>
          <w:color w:val="000000" w:themeColor="text1"/>
        </w:rPr>
        <w:t>health</w:t>
      </w:r>
      <w:r w:rsidR="00330921" w:rsidRPr="002E2DEC">
        <w:rPr>
          <w:rFonts w:ascii="Book Antiqua" w:eastAsia="Book Antiqua" w:hAnsi="Book Antiqua" w:cs="Book Antiqua"/>
          <w:color w:val="000000" w:themeColor="text1"/>
        </w:rPr>
        <w:t xml:space="preserve"> </w:t>
      </w:r>
      <w:r w:rsidR="00357DE9" w:rsidRPr="002E2DEC">
        <w:rPr>
          <w:rFonts w:ascii="Book Antiqua" w:eastAsia="Book Antiqua" w:hAnsi="Book Antiqua" w:cs="Book Antiqua"/>
          <w:color w:val="000000" w:themeColor="text1"/>
        </w:rPr>
        <w:t>benefits</w:t>
      </w:r>
      <w:r w:rsidRPr="002E2DEC">
        <w:rPr>
          <w:rFonts w:ascii="Book Antiqua" w:eastAsia="Book Antiqua" w:hAnsi="Book Antiqua" w:cs="Book Antiqua"/>
          <w:color w:val="000000" w:themeColor="text1"/>
        </w:rPr>
        <w:t xml:space="preserve"> because it is</w:t>
      </w:r>
      <w:r w:rsidR="006A06C3" w:rsidRPr="002E2DEC">
        <w:rPr>
          <w:rFonts w:ascii="Book Antiqua" w:hAnsi="Book Antiqua" w:cs="Book Antiqua"/>
          <w:color w:val="000000" w:themeColor="text1"/>
          <w:lang w:eastAsia="zh-CN"/>
        </w:rPr>
        <w:t xml:space="preserve"> </w:t>
      </w:r>
      <w:r w:rsidR="00357DE9" w:rsidRPr="002E2DEC">
        <w:rPr>
          <w:rFonts w:ascii="Book Antiqua" w:eastAsia="Book Antiqua" w:hAnsi="Book Antiqua" w:cs="Book Antiqua"/>
          <w:color w:val="000000" w:themeColor="text1"/>
        </w:rPr>
        <w:t>a source of energy</w:t>
      </w:r>
      <w:r w:rsidRPr="002E2DEC">
        <w:rPr>
          <w:rFonts w:ascii="Book Antiqua" w:eastAsia="Book Antiqua" w:hAnsi="Book Antiqua" w:cs="Book Antiqua"/>
          <w:color w:val="000000" w:themeColor="text1"/>
        </w:rPr>
        <w:t xml:space="preserve"> for colonocytes and promotes cell differentiation, </w:t>
      </w:r>
      <w:r w:rsidR="00357DE9" w:rsidRPr="002E2DEC">
        <w:rPr>
          <w:rFonts w:ascii="Book Antiqua" w:eastAsia="Book Antiqua" w:hAnsi="Book Antiqua" w:cs="Book Antiqua"/>
          <w:color w:val="000000" w:themeColor="text1"/>
        </w:rPr>
        <w:t>inhibits</w:t>
      </w:r>
      <w:r w:rsidRPr="002E2DEC">
        <w:rPr>
          <w:rFonts w:ascii="Book Antiqua" w:eastAsia="Book Antiqua" w:hAnsi="Book Antiqua" w:cs="Book Antiqua"/>
          <w:color w:val="000000" w:themeColor="text1"/>
        </w:rPr>
        <w:t xml:space="preserve"> colonic inflammatory responses, </w:t>
      </w:r>
      <w:r w:rsidR="00357DE9" w:rsidRPr="002E2DEC">
        <w:rPr>
          <w:rFonts w:ascii="Book Antiqua" w:eastAsia="Book Antiqua" w:hAnsi="Book Antiqua" w:cs="Book Antiqua"/>
          <w:color w:val="000000" w:themeColor="text1"/>
        </w:rPr>
        <w:t>lower</w:t>
      </w:r>
      <w:r w:rsidRPr="002E2DEC">
        <w:rPr>
          <w:rFonts w:ascii="Book Antiqua" w:eastAsia="Book Antiqua" w:hAnsi="Book Antiqua" w:cs="Book Antiqua"/>
          <w:color w:val="000000" w:themeColor="text1"/>
        </w:rPr>
        <w:t>s luminal pH and improves tight junction assembly</w:t>
      </w:r>
      <w:r w:rsidRPr="002E2DEC">
        <w:rPr>
          <w:rFonts w:ascii="Book Antiqua" w:eastAsia="Book Antiqua" w:hAnsi="Book Antiqua" w:cs="Book Antiqua"/>
          <w:color w:val="000000" w:themeColor="text1"/>
          <w:vertAlign w:val="superscript"/>
        </w:rPr>
        <w:t>[</w:t>
      </w:r>
      <w:hyperlink w:anchor="_ENREF_30" w:tooltip="Eeckhaut, 2012 #182" w:history="1">
        <w:r w:rsidRPr="002E2DEC">
          <w:rPr>
            <w:rFonts w:ascii="Book Antiqua" w:eastAsia="Book Antiqua" w:hAnsi="Book Antiqua" w:cs="Book Antiqua"/>
            <w:color w:val="000000" w:themeColor="text1"/>
            <w:vertAlign w:val="superscript"/>
          </w:rPr>
          <w:t>30-33</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w:t>
      </w:r>
      <w:r w:rsidR="002363A2" w:rsidRPr="002E2DEC">
        <w:rPr>
          <w:rFonts w:ascii="Book Antiqua" w:eastAsia="Book Antiqua" w:hAnsi="Book Antiqua" w:cs="Book Antiqua"/>
          <w:i/>
          <w:iCs/>
          <w:color w:val="000000" w:themeColor="text1"/>
        </w:rPr>
        <w:t xml:space="preserve"> F.</w:t>
      </w:r>
      <w:r w:rsidR="002363A2" w:rsidRPr="002E2DEC">
        <w:rPr>
          <w:rFonts w:ascii="Book Antiqua" w:hAnsi="Book Antiqua" w:cs="Book Antiqua"/>
          <w:i/>
          <w:iCs/>
          <w:color w:val="000000" w:themeColor="text1"/>
          <w:lang w:eastAsia="zh-CN"/>
        </w:rPr>
        <w:t xml:space="preserve"> </w:t>
      </w:r>
      <w:r w:rsidRPr="002E2DEC">
        <w:rPr>
          <w:rFonts w:ascii="Book Antiqua" w:eastAsia="Book Antiqua" w:hAnsi="Book Antiqua" w:cs="Book Antiqua"/>
          <w:i/>
          <w:iCs/>
          <w:color w:val="000000" w:themeColor="text1"/>
        </w:rPr>
        <w:t>prausnitzii</w:t>
      </w:r>
      <w:r w:rsidRPr="002E2DEC">
        <w:rPr>
          <w:rFonts w:ascii="Book Antiqua" w:eastAsia="Book Antiqua" w:hAnsi="Book Antiqua" w:cs="Book Antiqua"/>
          <w:color w:val="000000" w:themeColor="text1"/>
        </w:rPr>
        <w:t xml:space="preserve"> also produces several bioactive molecules that affect inflammation and intestinal barrier function, such as shikimic acid, salicylic acid and a microbial anti-inflammatory molecule</w:t>
      </w:r>
      <w:r w:rsidRPr="002E2DEC">
        <w:rPr>
          <w:rFonts w:ascii="Book Antiqua" w:eastAsia="Book Antiqua" w:hAnsi="Book Antiqua" w:cs="Book Antiqua"/>
          <w:color w:val="000000" w:themeColor="text1"/>
          <w:vertAlign w:val="superscript"/>
        </w:rPr>
        <w:t>[</w:t>
      </w:r>
      <w:hyperlink w:anchor="_ENREF_25" w:tooltip="Quévrain, 2015 #231" w:history="1">
        <w:r w:rsidRPr="002E2DEC">
          <w:rPr>
            <w:rFonts w:ascii="Book Antiqua" w:eastAsia="Book Antiqua" w:hAnsi="Book Antiqua" w:cs="Book Antiqua"/>
            <w:color w:val="000000" w:themeColor="text1"/>
            <w:vertAlign w:val="superscript"/>
          </w:rPr>
          <w:t>25</w:t>
        </w:r>
      </w:hyperlink>
      <w:r w:rsidRPr="002E2DEC">
        <w:rPr>
          <w:rFonts w:ascii="Book Antiqua" w:eastAsia="Book Antiqua" w:hAnsi="Book Antiqua" w:cs="Book Antiqua"/>
          <w:color w:val="000000" w:themeColor="text1"/>
          <w:vertAlign w:val="superscript"/>
        </w:rPr>
        <w:t>,</w:t>
      </w:r>
      <w:hyperlink w:anchor="_ENREF_27" w:tooltip="Martín, 2015 #227" w:history="1">
        <w:r w:rsidRPr="002E2DEC">
          <w:rPr>
            <w:rFonts w:ascii="Book Antiqua" w:eastAsia="Book Antiqua" w:hAnsi="Book Antiqua" w:cs="Book Antiqua"/>
            <w:color w:val="000000" w:themeColor="text1"/>
            <w:vertAlign w:val="superscript"/>
          </w:rPr>
          <w:t>27</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w:t>
      </w:r>
    </w:p>
    <w:p w14:paraId="6D5DCC67" w14:textId="2D7BD50D" w:rsidR="00D300CD" w:rsidRPr="002E2DEC" w:rsidRDefault="003022FF" w:rsidP="002E2DEC">
      <w:pPr>
        <w:snapToGrid w:val="0"/>
        <w:spacing w:line="360" w:lineRule="auto"/>
        <w:ind w:firstLine="240"/>
        <w:jc w:val="both"/>
        <w:rPr>
          <w:rFonts w:ascii="Book Antiqua" w:eastAsia="Book Antiqua" w:hAnsi="Book Antiqua" w:cs="Book Antiqua"/>
          <w:color w:val="000000" w:themeColor="text1"/>
        </w:rPr>
      </w:pPr>
      <w:r w:rsidRPr="002E2DEC">
        <w:rPr>
          <w:rFonts w:ascii="Book Antiqua" w:eastAsia="Book Antiqua" w:hAnsi="Book Antiqua" w:cs="Book Antiqua"/>
          <w:i/>
          <w:iCs/>
          <w:color w:val="000000" w:themeColor="text1"/>
        </w:rPr>
        <w:t>Blautia</w:t>
      </w:r>
      <w:r w:rsidRPr="002E2DEC">
        <w:rPr>
          <w:rFonts w:ascii="Book Antiqua" w:eastAsia="Book Antiqua" w:hAnsi="Book Antiqua" w:cs="Book Antiqua"/>
          <w:color w:val="000000" w:themeColor="text1"/>
        </w:rPr>
        <w:t xml:space="preserve"> species are also </w:t>
      </w:r>
      <w:r w:rsidR="00357DE9" w:rsidRPr="002E2DEC">
        <w:rPr>
          <w:rFonts w:ascii="Book Antiqua" w:eastAsia="Book Antiqua" w:hAnsi="Book Antiqua" w:cs="Book Antiqua"/>
          <w:color w:val="000000" w:themeColor="text1"/>
        </w:rPr>
        <w:t>well-known</w:t>
      </w:r>
      <w:r w:rsidRPr="002E2DEC">
        <w:rPr>
          <w:rFonts w:ascii="Book Antiqua" w:eastAsia="Book Antiqua" w:hAnsi="Book Antiqua" w:cs="Book Antiqua"/>
          <w:color w:val="000000" w:themeColor="text1"/>
        </w:rPr>
        <w:t xml:space="preserve"> as some of the butyrate-producing bacteria in the gut microbiota. </w:t>
      </w:r>
      <w:r w:rsidRPr="002E2DEC">
        <w:rPr>
          <w:rFonts w:ascii="Book Antiqua" w:eastAsia="Book Antiqua" w:hAnsi="Book Antiqua" w:cs="Book Antiqua"/>
          <w:i/>
          <w:iCs/>
          <w:color w:val="000000" w:themeColor="text1"/>
        </w:rPr>
        <w:t>Blautia</w:t>
      </w:r>
      <w:r w:rsidRPr="002E2DEC">
        <w:rPr>
          <w:rFonts w:ascii="Book Antiqua" w:eastAsia="Book Antiqua" w:hAnsi="Book Antiqua" w:cs="Book Antiqua"/>
          <w:color w:val="000000" w:themeColor="text1"/>
        </w:rPr>
        <w:t xml:space="preserve"> </w:t>
      </w:r>
      <w:r w:rsidR="00D300CD" w:rsidRPr="002E2DEC">
        <w:rPr>
          <w:rFonts w:ascii="Book Antiqua" w:eastAsia="Book Antiqua" w:hAnsi="Book Antiqua" w:cs="Book Antiqua"/>
          <w:color w:val="000000" w:themeColor="text1"/>
        </w:rPr>
        <w:t>has</w:t>
      </w:r>
      <w:r w:rsidRPr="002E2DEC">
        <w:rPr>
          <w:rFonts w:ascii="Book Antiqua" w:eastAsia="Book Antiqua" w:hAnsi="Book Antiqua" w:cs="Book Antiqua"/>
          <w:color w:val="000000" w:themeColor="text1"/>
        </w:rPr>
        <w:t xml:space="preserve"> beneficial roles in glucose metabolism and obesity-associated inflammation</w:t>
      </w:r>
      <w:r w:rsidRPr="002E2DEC">
        <w:rPr>
          <w:rFonts w:ascii="Book Antiqua" w:eastAsia="Book Antiqua" w:hAnsi="Book Antiqua" w:cs="Book Antiqua"/>
          <w:color w:val="000000" w:themeColor="text1"/>
          <w:vertAlign w:val="superscript"/>
        </w:rPr>
        <w:t>[</w:t>
      </w:r>
      <w:hyperlink w:anchor="_ENREF_34" w:tooltip="Zhang, 2017 #236" w:history="1">
        <w:r w:rsidRPr="002E2DEC">
          <w:rPr>
            <w:rFonts w:ascii="Book Antiqua" w:eastAsia="Book Antiqua" w:hAnsi="Book Antiqua" w:cs="Book Antiqua"/>
            <w:color w:val="000000" w:themeColor="text1"/>
            <w:vertAlign w:val="superscript"/>
          </w:rPr>
          <w:t>34</w:t>
        </w:r>
      </w:hyperlink>
      <w:r w:rsidRPr="002E2DEC">
        <w:rPr>
          <w:rFonts w:ascii="Book Antiqua" w:eastAsia="Book Antiqua" w:hAnsi="Book Antiqua" w:cs="Book Antiqua"/>
          <w:color w:val="000000" w:themeColor="text1"/>
          <w:vertAlign w:val="superscript"/>
        </w:rPr>
        <w:t>,</w:t>
      </w:r>
      <w:hyperlink w:anchor="_ENREF_35" w:tooltip="Udayappan, 2016 #235" w:history="1">
        <w:r w:rsidRPr="002E2DEC">
          <w:rPr>
            <w:rFonts w:ascii="Book Antiqua" w:eastAsia="Book Antiqua" w:hAnsi="Book Antiqua" w:cs="Book Antiqua"/>
            <w:color w:val="000000" w:themeColor="text1"/>
            <w:vertAlign w:val="superscript"/>
          </w:rPr>
          <w:t>35</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and are always observed at a lower relative abundance in </w:t>
      </w:r>
      <w:r w:rsidR="00D300CD" w:rsidRPr="002E2DEC">
        <w:rPr>
          <w:rFonts w:ascii="Book Antiqua" w:eastAsia="Book Antiqua" w:hAnsi="Book Antiqua" w:cs="Book Antiqua"/>
          <w:color w:val="000000" w:themeColor="text1"/>
        </w:rPr>
        <w:t xml:space="preserve">type </w:t>
      </w:r>
      <w:r w:rsidRPr="002E2DEC">
        <w:rPr>
          <w:rFonts w:ascii="Book Antiqua" w:eastAsia="Book Antiqua" w:hAnsi="Book Antiqua" w:cs="Book Antiqua"/>
          <w:color w:val="000000" w:themeColor="text1"/>
        </w:rPr>
        <w:t>2</w:t>
      </w:r>
      <w:r w:rsidR="00D300CD" w:rsidRPr="002E2DEC">
        <w:rPr>
          <w:rFonts w:ascii="Book Antiqua" w:eastAsia="Book Antiqua" w:hAnsi="Book Antiqua" w:cs="Book Antiqua"/>
          <w:color w:val="000000" w:themeColor="text1"/>
        </w:rPr>
        <w:t xml:space="preserve"> diabetes</w:t>
      </w:r>
      <w:r w:rsidRPr="002E2DEC">
        <w:rPr>
          <w:rFonts w:ascii="Book Antiqua" w:eastAsia="Book Antiqua" w:hAnsi="Book Antiqua" w:cs="Book Antiqua"/>
          <w:color w:val="000000" w:themeColor="text1"/>
        </w:rPr>
        <w:t xml:space="preserve"> patients than healthy controls</w:t>
      </w:r>
      <w:r w:rsidRPr="002E2DEC">
        <w:rPr>
          <w:rFonts w:ascii="Book Antiqua" w:eastAsia="Book Antiqua" w:hAnsi="Book Antiqua" w:cs="Book Antiqua"/>
          <w:color w:val="000000" w:themeColor="text1"/>
          <w:vertAlign w:val="superscript"/>
        </w:rPr>
        <w:t>[</w:t>
      </w:r>
      <w:hyperlink w:anchor="_ENREF_36" w:tooltip="Inoue, 2017 #240" w:history="1">
        <w:r w:rsidRPr="002E2DEC">
          <w:rPr>
            <w:rFonts w:ascii="Book Antiqua" w:eastAsia="Book Antiqua" w:hAnsi="Book Antiqua" w:cs="Book Antiqua"/>
            <w:color w:val="000000" w:themeColor="text1"/>
            <w:vertAlign w:val="superscript"/>
          </w:rPr>
          <w:t>36</w:t>
        </w:r>
      </w:hyperlink>
      <w:r w:rsidRPr="002E2DEC">
        <w:rPr>
          <w:rFonts w:ascii="Book Antiqua" w:eastAsia="Book Antiqua" w:hAnsi="Book Antiqua" w:cs="Book Antiqua"/>
          <w:color w:val="000000" w:themeColor="text1"/>
          <w:vertAlign w:val="superscript"/>
        </w:rPr>
        <w:t>,</w:t>
      </w:r>
      <w:hyperlink w:anchor="_ENREF_37" w:tooltip="Park, 2013 #239" w:history="1">
        <w:r w:rsidRPr="002E2DEC">
          <w:rPr>
            <w:rFonts w:ascii="Book Antiqua" w:eastAsia="Book Antiqua" w:hAnsi="Book Antiqua" w:cs="Book Antiqua"/>
            <w:color w:val="000000" w:themeColor="text1"/>
            <w:vertAlign w:val="superscript"/>
          </w:rPr>
          <w:t>37</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Furthermore, recent reports indicated a correlation of </w:t>
      </w:r>
      <w:r w:rsidRPr="002E2DEC">
        <w:rPr>
          <w:rFonts w:ascii="Book Antiqua" w:eastAsia="Book Antiqua" w:hAnsi="Book Antiqua" w:cs="Book Antiqua"/>
          <w:i/>
          <w:iCs/>
          <w:color w:val="000000" w:themeColor="text1"/>
        </w:rPr>
        <w:t>Blautia</w:t>
      </w:r>
      <w:r w:rsidRPr="002E2DEC">
        <w:rPr>
          <w:rFonts w:ascii="Book Antiqua" w:eastAsia="Book Antiqua" w:hAnsi="Book Antiqua" w:cs="Book Antiqua"/>
          <w:color w:val="000000" w:themeColor="text1"/>
        </w:rPr>
        <w:t xml:space="preserve"> abundance with altered glucose tolerance</w:t>
      </w:r>
      <w:r w:rsidRPr="002E2DEC">
        <w:rPr>
          <w:rFonts w:ascii="Book Antiqua" w:eastAsia="Book Antiqua" w:hAnsi="Book Antiqua" w:cs="Book Antiqua"/>
          <w:color w:val="000000" w:themeColor="text1"/>
          <w:vertAlign w:val="superscript"/>
        </w:rPr>
        <w:t>[</w:t>
      </w:r>
      <w:hyperlink w:anchor="_ENREF_38" w:tooltip="Zhou, 2019 #237" w:history="1">
        <w:r w:rsidRPr="002E2DEC">
          <w:rPr>
            <w:rFonts w:ascii="Book Antiqua" w:eastAsia="Book Antiqua" w:hAnsi="Book Antiqua" w:cs="Book Antiqua"/>
            <w:color w:val="000000" w:themeColor="text1"/>
            <w:vertAlign w:val="superscript"/>
          </w:rPr>
          <w:t>38</w:t>
        </w:r>
      </w:hyperlink>
      <w:r w:rsidRPr="002E2DEC">
        <w:rPr>
          <w:rFonts w:ascii="Book Antiqua" w:eastAsia="Book Antiqua" w:hAnsi="Book Antiqua" w:cs="Book Antiqua"/>
          <w:color w:val="000000" w:themeColor="text1"/>
          <w:vertAlign w:val="superscript"/>
        </w:rPr>
        <w:t>,</w:t>
      </w:r>
      <w:hyperlink w:anchor="_ENREF_39" w:tooltip="Egshatyan, 2016 #238" w:history="1">
        <w:r w:rsidRPr="002E2DEC">
          <w:rPr>
            <w:rFonts w:ascii="Book Antiqua" w:eastAsia="Book Antiqua" w:hAnsi="Book Antiqua" w:cs="Book Antiqua"/>
            <w:color w:val="000000" w:themeColor="text1"/>
            <w:vertAlign w:val="superscript"/>
          </w:rPr>
          <w:t>39</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Although few studies have focused on the composition of the intestinal microbiome in patients with ICP, a study examining primary sclerosing cholangitis found an elevated relative abundance of </w:t>
      </w:r>
      <w:r w:rsidRPr="002E2DEC">
        <w:rPr>
          <w:rFonts w:ascii="Book Antiqua" w:eastAsia="Book Antiqua" w:hAnsi="Book Antiqua" w:cs="Book Antiqua"/>
          <w:i/>
          <w:iCs/>
          <w:color w:val="000000" w:themeColor="text1"/>
        </w:rPr>
        <w:t>Blautia</w:t>
      </w:r>
      <w:r w:rsidRPr="002E2DEC">
        <w:rPr>
          <w:rFonts w:ascii="Book Antiqua" w:eastAsia="Book Antiqua" w:hAnsi="Book Antiqua" w:cs="Book Antiqua"/>
          <w:color w:val="000000" w:themeColor="text1"/>
        </w:rPr>
        <w:t xml:space="preserve"> when bile release into the small intestine was inhibited</w:t>
      </w:r>
      <w:r w:rsidRPr="002E2DEC">
        <w:rPr>
          <w:rFonts w:ascii="Book Antiqua" w:eastAsia="Book Antiqua" w:hAnsi="Book Antiqua" w:cs="Book Antiqua"/>
          <w:color w:val="000000" w:themeColor="text1"/>
          <w:vertAlign w:val="superscript"/>
        </w:rPr>
        <w:t>[</w:t>
      </w:r>
      <w:hyperlink w:anchor="_ENREF_40" w:tooltip="Torres, 2016 #259" w:history="1">
        <w:r w:rsidRPr="002E2DEC">
          <w:rPr>
            <w:rFonts w:ascii="Book Antiqua" w:eastAsia="Book Antiqua" w:hAnsi="Book Antiqua" w:cs="Book Antiqua"/>
            <w:color w:val="000000" w:themeColor="text1"/>
            <w:vertAlign w:val="superscript"/>
          </w:rPr>
          <w:t>40</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w:t>
      </w:r>
    </w:p>
    <w:p w14:paraId="5120B159" w14:textId="5561DA0E" w:rsidR="00A77B3E" w:rsidRPr="002E2DEC" w:rsidRDefault="003022FF" w:rsidP="002E2DEC">
      <w:pPr>
        <w:snapToGrid w:val="0"/>
        <w:spacing w:line="360" w:lineRule="auto"/>
        <w:ind w:firstLine="240"/>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 xml:space="preserve">Interestingly, unlike other enteric bacterial isolates, such as </w:t>
      </w:r>
      <w:r w:rsidRPr="002E2DEC">
        <w:rPr>
          <w:rFonts w:ascii="Book Antiqua" w:eastAsia="Book Antiqua" w:hAnsi="Book Antiqua" w:cs="Book Antiqua"/>
          <w:i/>
          <w:iCs/>
          <w:color w:val="000000" w:themeColor="text1"/>
        </w:rPr>
        <w:t>Roseburia</w:t>
      </w:r>
      <w:r w:rsidRPr="002E2DEC">
        <w:rPr>
          <w:rFonts w:ascii="Book Antiqua" w:eastAsia="Book Antiqua" w:hAnsi="Book Antiqua" w:cs="Book Antiqua"/>
          <w:color w:val="000000" w:themeColor="text1"/>
        </w:rPr>
        <w:t xml:space="preserve"> and </w:t>
      </w:r>
      <w:r w:rsidRPr="002E2DEC">
        <w:rPr>
          <w:rFonts w:ascii="Book Antiqua" w:eastAsia="Book Antiqua" w:hAnsi="Book Antiqua" w:cs="Book Antiqua"/>
          <w:i/>
          <w:iCs/>
          <w:color w:val="000000" w:themeColor="text1"/>
        </w:rPr>
        <w:t>Faecalibacterium</w:t>
      </w:r>
      <w:r w:rsidRPr="002E2DEC">
        <w:rPr>
          <w:rFonts w:ascii="Book Antiqua" w:eastAsia="Book Antiqua" w:hAnsi="Book Antiqua" w:cs="Book Antiqua"/>
          <w:color w:val="000000" w:themeColor="text1"/>
        </w:rPr>
        <w:t xml:space="preserve">, another butyrate-producing species, </w:t>
      </w:r>
      <w:r w:rsidRPr="002E2DEC">
        <w:rPr>
          <w:rFonts w:ascii="Book Antiqua" w:eastAsia="Book Antiqua" w:hAnsi="Book Antiqua" w:cs="Book Antiqua"/>
          <w:i/>
          <w:iCs/>
          <w:color w:val="000000" w:themeColor="text1"/>
        </w:rPr>
        <w:t>E. hallii</w:t>
      </w:r>
      <w:r w:rsidRPr="002E2DEC">
        <w:rPr>
          <w:rFonts w:ascii="Book Antiqua" w:eastAsia="Book Antiqua" w:hAnsi="Book Antiqua" w:cs="Book Antiqua"/>
          <w:color w:val="000000" w:themeColor="text1"/>
        </w:rPr>
        <w:t>, can produce butyrate from lactate and acetate at low pH levels</w:t>
      </w:r>
      <w:r w:rsidRPr="002E2DEC">
        <w:rPr>
          <w:rFonts w:ascii="Book Antiqua" w:eastAsia="Book Antiqua" w:hAnsi="Book Antiqua" w:cs="Book Antiqua"/>
          <w:color w:val="000000" w:themeColor="text1"/>
          <w:vertAlign w:val="superscript"/>
        </w:rPr>
        <w:t>[</w:t>
      </w:r>
      <w:hyperlink w:anchor="_ENREF_41" w:tooltip="Duncan, 2004 #241" w:history="1">
        <w:r w:rsidRPr="002E2DEC">
          <w:rPr>
            <w:rFonts w:ascii="Book Antiqua" w:eastAsia="Book Antiqua" w:hAnsi="Book Antiqua" w:cs="Book Antiqua"/>
            <w:color w:val="000000" w:themeColor="text1"/>
            <w:vertAlign w:val="superscript"/>
          </w:rPr>
          <w:t>41</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Treatment with active </w:t>
      </w:r>
      <w:r w:rsidRPr="002E2DEC">
        <w:rPr>
          <w:rFonts w:ascii="Book Antiqua" w:eastAsia="Book Antiqua" w:hAnsi="Book Antiqua" w:cs="Book Antiqua"/>
          <w:i/>
          <w:iCs/>
          <w:color w:val="000000" w:themeColor="text1"/>
        </w:rPr>
        <w:t>E. hallii</w:t>
      </w:r>
      <w:r w:rsidRPr="002E2DEC">
        <w:rPr>
          <w:rFonts w:ascii="Book Antiqua" w:eastAsia="Book Antiqua" w:hAnsi="Book Antiqua" w:cs="Book Antiqua"/>
          <w:color w:val="000000" w:themeColor="text1"/>
        </w:rPr>
        <w:t xml:space="preserve"> was </w:t>
      </w:r>
      <w:r w:rsidR="0024461A" w:rsidRPr="002E2DEC">
        <w:rPr>
          <w:rFonts w:ascii="Book Antiqua" w:eastAsia="Book Antiqua" w:hAnsi="Book Antiqua" w:cs="Book Antiqua"/>
          <w:color w:val="000000" w:themeColor="text1"/>
        </w:rPr>
        <w:t>discovered</w:t>
      </w:r>
      <w:r w:rsidRPr="002E2DEC">
        <w:rPr>
          <w:rFonts w:ascii="Book Antiqua" w:eastAsia="Book Antiqua" w:hAnsi="Book Antiqua" w:cs="Book Antiqua"/>
          <w:color w:val="000000" w:themeColor="text1"/>
        </w:rPr>
        <w:t xml:space="preserve"> to</w:t>
      </w:r>
      <w:r w:rsidR="006A06C3" w:rsidRPr="002E2DEC">
        <w:rPr>
          <w:rFonts w:ascii="Book Antiqua" w:hAnsi="Book Antiqua" w:cs="Book Antiqua"/>
          <w:color w:val="000000" w:themeColor="text1"/>
          <w:lang w:eastAsia="zh-CN"/>
        </w:rPr>
        <w:t xml:space="preserve"> </w:t>
      </w:r>
      <w:r w:rsidR="0024461A" w:rsidRPr="002E2DEC">
        <w:rPr>
          <w:rFonts w:ascii="Book Antiqua" w:eastAsia="Book Antiqua" w:hAnsi="Book Antiqua" w:cs="Book Antiqua"/>
          <w:color w:val="000000" w:themeColor="text1"/>
        </w:rPr>
        <w:t>improve</w:t>
      </w:r>
      <w:r w:rsidRPr="002E2DEC">
        <w:rPr>
          <w:rFonts w:ascii="Book Antiqua" w:eastAsia="Book Antiqua" w:hAnsi="Book Antiqua" w:cs="Book Antiqua"/>
          <w:color w:val="000000" w:themeColor="text1"/>
        </w:rPr>
        <w:t xml:space="preserve"> fecal butyrate concentrations and to </w:t>
      </w:r>
      <w:r w:rsidR="0024461A" w:rsidRPr="002E2DEC">
        <w:rPr>
          <w:rFonts w:ascii="Book Antiqua" w:eastAsia="Book Antiqua" w:hAnsi="Book Antiqua" w:cs="Book Antiqua"/>
          <w:color w:val="000000" w:themeColor="text1"/>
        </w:rPr>
        <w:t>alter</w:t>
      </w:r>
      <w:r w:rsidRPr="002E2DEC">
        <w:rPr>
          <w:rFonts w:ascii="Book Antiqua" w:eastAsia="Book Antiqua" w:hAnsi="Book Antiqua" w:cs="Book Antiqua"/>
          <w:color w:val="000000" w:themeColor="text1"/>
        </w:rPr>
        <w:t xml:space="preserve"> bile acid metabolism</w:t>
      </w:r>
      <w:r w:rsidRPr="002E2DEC">
        <w:rPr>
          <w:rFonts w:ascii="Book Antiqua" w:eastAsia="Book Antiqua" w:hAnsi="Book Antiqua" w:cs="Book Antiqua"/>
          <w:color w:val="000000" w:themeColor="text1"/>
          <w:vertAlign w:val="superscript"/>
        </w:rPr>
        <w:t>[</w:t>
      </w:r>
      <w:hyperlink w:anchor="_ENREF_35" w:tooltip="Udayappan, 2016 #235" w:history="1">
        <w:r w:rsidRPr="002E2DEC">
          <w:rPr>
            <w:rFonts w:ascii="Book Antiqua" w:eastAsia="Book Antiqua" w:hAnsi="Book Antiqua" w:cs="Book Antiqua"/>
            <w:color w:val="000000" w:themeColor="text1"/>
            <w:vertAlign w:val="superscript"/>
          </w:rPr>
          <w:t>35</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We also observed a decreased abundance of </w:t>
      </w:r>
      <w:r w:rsidRPr="002E2DEC">
        <w:rPr>
          <w:rFonts w:ascii="Book Antiqua" w:eastAsia="Book Antiqua" w:hAnsi="Book Antiqua" w:cs="Book Antiqua"/>
          <w:i/>
          <w:iCs/>
          <w:color w:val="000000" w:themeColor="text1"/>
        </w:rPr>
        <w:t>Bifidobacteria</w:t>
      </w:r>
      <w:r w:rsidRPr="002E2DEC">
        <w:rPr>
          <w:rFonts w:ascii="Book Antiqua" w:eastAsia="Book Antiqua" w:hAnsi="Book Antiqua" w:cs="Book Antiqua"/>
          <w:color w:val="000000" w:themeColor="text1"/>
        </w:rPr>
        <w:t xml:space="preserve"> in the guts of ICP patients. </w:t>
      </w:r>
      <w:r w:rsidRPr="002E2DEC">
        <w:rPr>
          <w:rFonts w:ascii="Book Antiqua" w:eastAsia="Book Antiqua" w:hAnsi="Book Antiqua" w:cs="Book Antiqua"/>
          <w:i/>
          <w:iCs/>
          <w:color w:val="000000" w:themeColor="text1"/>
        </w:rPr>
        <w:t>Bifidobacteria</w:t>
      </w:r>
      <w:r w:rsidRPr="002E2DEC">
        <w:rPr>
          <w:rFonts w:ascii="Book Antiqua" w:eastAsia="Book Antiqua" w:hAnsi="Book Antiqua" w:cs="Book Antiqua"/>
          <w:color w:val="000000" w:themeColor="text1"/>
        </w:rPr>
        <w:t xml:space="preserve"> is one of the major bacterial genera that make up the gastrointestinal tract microbiota in mammals and is also the most common bacteria in the infant gut microbiome</w:t>
      </w:r>
      <w:r w:rsidRPr="002E2DEC">
        <w:rPr>
          <w:rFonts w:ascii="Book Antiqua" w:eastAsia="Book Antiqua" w:hAnsi="Book Antiqua" w:cs="Book Antiqua"/>
          <w:color w:val="000000" w:themeColor="text1"/>
          <w:vertAlign w:val="superscript"/>
        </w:rPr>
        <w:t>[</w:t>
      </w:r>
      <w:hyperlink w:anchor="_ENREF_42" w:tooltip="Turroni, 2012 #255" w:history="1">
        <w:r w:rsidRPr="002E2DEC">
          <w:rPr>
            <w:rFonts w:ascii="Book Antiqua" w:eastAsia="Book Antiqua" w:hAnsi="Book Antiqua" w:cs="Book Antiqua"/>
            <w:color w:val="000000" w:themeColor="text1"/>
            <w:vertAlign w:val="superscript"/>
          </w:rPr>
          <w:t>42</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It was reported that functional BSH </w:t>
      </w:r>
      <w:r w:rsidR="00E052C5" w:rsidRPr="002E2DEC">
        <w:rPr>
          <w:rFonts w:ascii="Book Antiqua" w:eastAsia="Book Antiqua" w:hAnsi="Book Antiqua" w:cs="Book Antiqua"/>
          <w:color w:val="000000" w:themeColor="text1"/>
        </w:rPr>
        <w:t>exists</w:t>
      </w:r>
      <w:r w:rsidRPr="002E2DEC">
        <w:rPr>
          <w:rFonts w:ascii="Book Antiqua" w:eastAsia="Book Antiqua" w:hAnsi="Book Antiqua" w:cs="Book Antiqua"/>
          <w:color w:val="000000" w:themeColor="text1"/>
        </w:rPr>
        <w:t xml:space="preserve"> in </w:t>
      </w:r>
      <w:r w:rsidRPr="002E2DEC">
        <w:rPr>
          <w:rFonts w:ascii="Book Antiqua" w:eastAsia="Book Antiqua" w:hAnsi="Book Antiqua" w:cs="Book Antiqua"/>
          <w:i/>
          <w:iCs/>
          <w:color w:val="000000" w:themeColor="text1"/>
        </w:rPr>
        <w:t>Bifidobacteria</w:t>
      </w:r>
      <w:r w:rsidRPr="002E2DEC">
        <w:rPr>
          <w:rFonts w:ascii="Book Antiqua" w:eastAsia="Book Antiqua" w:hAnsi="Book Antiqua" w:cs="Book Antiqua"/>
          <w:color w:val="000000" w:themeColor="text1"/>
        </w:rPr>
        <w:t xml:space="preserve"> species</w:t>
      </w:r>
      <w:r w:rsidRPr="002E2DEC">
        <w:rPr>
          <w:rFonts w:ascii="Book Antiqua" w:eastAsia="Book Antiqua" w:hAnsi="Book Antiqua" w:cs="Book Antiqua"/>
          <w:color w:val="000000" w:themeColor="text1"/>
          <w:vertAlign w:val="superscript"/>
        </w:rPr>
        <w:t>[</w:t>
      </w:r>
      <w:hyperlink w:anchor="_ENREF_8" w:tooltip="Jones, 2008 #250" w:history="1">
        <w:r w:rsidRPr="002E2DEC">
          <w:rPr>
            <w:rFonts w:ascii="Book Antiqua" w:eastAsia="Book Antiqua" w:hAnsi="Book Antiqua" w:cs="Book Antiqua"/>
            <w:color w:val="000000" w:themeColor="text1"/>
            <w:vertAlign w:val="superscript"/>
          </w:rPr>
          <w:t>8</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Bile acid deconjugation </w:t>
      </w:r>
      <w:r w:rsidR="00E052C5" w:rsidRPr="002E2DEC">
        <w:rPr>
          <w:rFonts w:ascii="Book Antiqua" w:eastAsia="Book Antiqua" w:hAnsi="Book Antiqua" w:cs="Book Antiqua"/>
          <w:color w:val="000000" w:themeColor="text1"/>
        </w:rPr>
        <w:t>implemented</w:t>
      </w:r>
      <w:r w:rsidRPr="002E2DEC">
        <w:rPr>
          <w:rFonts w:ascii="Book Antiqua" w:eastAsia="Book Antiqua" w:hAnsi="Book Antiqua" w:cs="Book Antiqua"/>
          <w:color w:val="000000" w:themeColor="text1"/>
        </w:rPr>
        <w:t xml:space="preserve"> by bacteria with BSH activity can prevent the reuptake of bile acids from the small intestine. In fact, </w:t>
      </w:r>
      <w:r w:rsidR="00E052C5" w:rsidRPr="002E2DEC">
        <w:rPr>
          <w:rFonts w:ascii="Book Antiqua" w:eastAsia="Book Antiqua" w:hAnsi="Book Antiqua" w:cs="Book Antiqua"/>
          <w:color w:val="000000" w:themeColor="text1"/>
        </w:rPr>
        <w:t>there is a</w:t>
      </w:r>
      <w:r w:rsidR="00BD1AB7" w:rsidRPr="002E2DEC">
        <w:rPr>
          <w:rFonts w:ascii="Book Antiqua" w:eastAsia="Book Antiqua" w:hAnsi="Book Antiqua" w:cs="Book Antiqua"/>
          <w:color w:val="000000" w:themeColor="text1"/>
        </w:rPr>
        <w:t xml:space="preserve"> </w:t>
      </w:r>
      <w:r w:rsidR="00E052C5" w:rsidRPr="002E2DEC">
        <w:rPr>
          <w:rFonts w:ascii="Book Antiqua" w:eastAsia="Book Antiqua" w:hAnsi="Book Antiqua" w:cs="Book Antiqua"/>
          <w:color w:val="000000" w:themeColor="text1"/>
        </w:rPr>
        <w:t>close</w:t>
      </w:r>
      <w:r w:rsidR="00BD1AB7" w:rsidRPr="002E2DEC">
        <w:rPr>
          <w:rFonts w:ascii="Book Antiqua" w:eastAsia="Book Antiqua" w:hAnsi="Book Antiqua" w:cs="Book Antiqua"/>
          <w:color w:val="000000" w:themeColor="text1"/>
        </w:rPr>
        <w:t xml:space="preserve"> </w:t>
      </w:r>
      <w:r w:rsidR="00E052C5" w:rsidRPr="002E2DEC">
        <w:rPr>
          <w:rFonts w:ascii="Book Antiqua" w:eastAsia="Book Antiqua" w:hAnsi="Book Antiqua" w:cs="Book Antiqua"/>
          <w:color w:val="000000" w:themeColor="text1"/>
        </w:rPr>
        <w:t>correlation</w:t>
      </w:r>
      <w:r w:rsidR="00BD1AB7" w:rsidRPr="002E2DEC">
        <w:rPr>
          <w:rFonts w:ascii="Book Antiqua" w:eastAsia="Book Antiqua" w:hAnsi="Book Antiqua" w:cs="Book Antiqua"/>
          <w:color w:val="000000" w:themeColor="text1"/>
        </w:rPr>
        <w:t xml:space="preserve"> </w:t>
      </w:r>
      <w:r w:rsidR="00E052C5" w:rsidRPr="002E2DEC">
        <w:rPr>
          <w:rFonts w:ascii="Book Antiqua" w:eastAsia="Book Antiqua" w:hAnsi="Book Antiqua" w:cs="Book Antiqua"/>
          <w:color w:val="000000" w:themeColor="text1"/>
        </w:rPr>
        <w:t>between BSH</w:t>
      </w:r>
      <w:r w:rsidR="00BD1AB7" w:rsidRPr="002E2DEC">
        <w:rPr>
          <w:rFonts w:ascii="Book Antiqua" w:eastAsia="Book Antiqua" w:hAnsi="Book Antiqua" w:cs="Book Antiqua"/>
          <w:color w:val="000000" w:themeColor="text1"/>
        </w:rPr>
        <w:t xml:space="preserve"> </w:t>
      </w:r>
      <w:r w:rsidR="00E052C5" w:rsidRPr="002E2DEC">
        <w:rPr>
          <w:rFonts w:ascii="Book Antiqua" w:eastAsia="Book Antiqua" w:hAnsi="Book Antiqua" w:cs="Book Antiqua"/>
          <w:color w:val="000000" w:themeColor="text1"/>
        </w:rPr>
        <w:t>and</w:t>
      </w:r>
      <w:r w:rsidR="00BD1AB7" w:rsidRPr="002E2DEC">
        <w:rPr>
          <w:rFonts w:ascii="Book Antiqua" w:eastAsia="Book Antiqua" w:hAnsi="Book Antiqua" w:cs="Book Antiqua"/>
          <w:color w:val="000000" w:themeColor="text1"/>
        </w:rPr>
        <w:t xml:space="preserve"> </w:t>
      </w:r>
      <w:r w:rsidR="00E052C5" w:rsidRPr="002E2DEC">
        <w:rPr>
          <w:rFonts w:ascii="Book Antiqua" w:eastAsia="Book Antiqua" w:hAnsi="Book Antiqua" w:cs="Book Antiqua"/>
          <w:color w:val="000000" w:themeColor="text1"/>
        </w:rPr>
        <w:t>increased resistance to bile toxicity</w:t>
      </w:r>
      <w:r w:rsidRPr="002E2DEC">
        <w:rPr>
          <w:rFonts w:ascii="Book Antiqua" w:eastAsia="Book Antiqua" w:hAnsi="Book Antiqua" w:cs="Book Antiqua"/>
          <w:color w:val="000000" w:themeColor="text1"/>
          <w:vertAlign w:val="superscript"/>
        </w:rPr>
        <w:t>[</w:t>
      </w:r>
      <w:hyperlink w:anchor="_ENREF_8" w:tooltip="Jones, 2008 #250" w:history="1">
        <w:r w:rsidRPr="002E2DEC">
          <w:rPr>
            <w:rFonts w:ascii="Book Antiqua" w:eastAsia="Book Antiqua" w:hAnsi="Book Antiqua" w:cs="Book Antiqua"/>
            <w:color w:val="000000" w:themeColor="text1"/>
            <w:vertAlign w:val="superscript"/>
          </w:rPr>
          <w:t>8</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Our results suggested that alterations in the bile acid levels in ICP patients have an impact on the </w:t>
      </w:r>
      <w:r w:rsidR="00BB0ECD" w:rsidRPr="002E2DEC">
        <w:rPr>
          <w:rFonts w:ascii="Book Antiqua" w:eastAsia="Book Antiqua" w:hAnsi="Book Antiqua" w:cs="Book Antiqua"/>
          <w:color w:val="000000" w:themeColor="text1"/>
        </w:rPr>
        <w:t>constituent</w:t>
      </w:r>
      <w:r w:rsidRPr="002E2DEC">
        <w:rPr>
          <w:rFonts w:ascii="Book Antiqua" w:eastAsia="Book Antiqua" w:hAnsi="Book Antiqua" w:cs="Book Antiqua"/>
          <w:color w:val="000000" w:themeColor="text1"/>
        </w:rPr>
        <w:t xml:space="preserve"> of the gut microbiota. Our results suggest that aberrant bile acid levels have an effect on the intestinal microbiome, which may cause deterioration of the condition in ICP patients.</w:t>
      </w:r>
    </w:p>
    <w:p w14:paraId="04079A2B" w14:textId="11E2DD91" w:rsidR="00551851" w:rsidRPr="002E2DEC" w:rsidRDefault="003022FF" w:rsidP="002E2DEC">
      <w:pPr>
        <w:snapToGrid w:val="0"/>
        <w:spacing w:line="360" w:lineRule="auto"/>
        <w:ind w:firstLine="240"/>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 xml:space="preserve">Our study found that </w:t>
      </w:r>
      <w:r w:rsidRPr="002E2DEC">
        <w:rPr>
          <w:rFonts w:ascii="Book Antiqua" w:eastAsia="Book Antiqua" w:hAnsi="Book Antiqua" w:cs="Book Antiqua"/>
          <w:i/>
          <w:iCs/>
          <w:color w:val="000000" w:themeColor="text1"/>
        </w:rPr>
        <w:t>Bilophila</w:t>
      </w:r>
      <w:r w:rsidRPr="002E2DEC">
        <w:rPr>
          <w:rFonts w:ascii="Book Antiqua" w:eastAsia="Book Antiqua" w:hAnsi="Book Antiqua" w:cs="Book Antiqua"/>
          <w:color w:val="000000" w:themeColor="text1"/>
        </w:rPr>
        <w:t xml:space="preserve"> was enriched in the guts of ICP patients (Figure 4). In general, the abundance of </w:t>
      </w:r>
      <w:r w:rsidRPr="002E2DEC">
        <w:rPr>
          <w:rFonts w:ascii="Book Antiqua" w:eastAsia="Book Antiqua" w:hAnsi="Book Antiqua" w:cs="Book Antiqua"/>
          <w:i/>
          <w:iCs/>
          <w:color w:val="000000" w:themeColor="text1"/>
        </w:rPr>
        <w:t xml:space="preserve">B. wadsworthia </w:t>
      </w:r>
      <w:r w:rsidRPr="002E2DEC">
        <w:rPr>
          <w:rFonts w:ascii="Book Antiqua" w:eastAsia="Book Antiqua" w:hAnsi="Book Antiqua" w:cs="Book Antiqua"/>
          <w:color w:val="000000" w:themeColor="text1"/>
        </w:rPr>
        <w:t xml:space="preserve">is very low in healthy individuals but significantly elevated under pathological conditions. </w:t>
      </w:r>
      <w:r w:rsidRPr="002E2DEC">
        <w:rPr>
          <w:rFonts w:ascii="Book Antiqua" w:eastAsia="Book Antiqua" w:hAnsi="Book Antiqua" w:cs="Book Antiqua"/>
          <w:i/>
          <w:iCs/>
          <w:color w:val="000000" w:themeColor="text1"/>
        </w:rPr>
        <w:t>B. wadsworthia</w:t>
      </w:r>
      <w:r w:rsidRPr="002E2DEC">
        <w:rPr>
          <w:rFonts w:ascii="Book Antiqua" w:eastAsia="Book Antiqua" w:hAnsi="Book Antiqua" w:cs="Book Antiqua"/>
          <w:color w:val="000000" w:themeColor="text1"/>
        </w:rPr>
        <w:t xml:space="preserve"> is a δ-Proteobacterium closely related to </w:t>
      </w:r>
      <w:r w:rsidRPr="002E2DEC">
        <w:rPr>
          <w:rFonts w:ascii="Book Antiqua" w:eastAsia="Book Antiqua" w:hAnsi="Book Antiqua" w:cs="Book Antiqua"/>
          <w:i/>
          <w:iCs/>
          <w:color w:val="000000" w:themeColor="text1"/>
        </w:rPr>
        <w:t>Desulfovibrio spp</w:t>
      </w:r>
      <w:r w:rsidRPr="002E2DEC">
        <w:rPr>
          <w:rFonts w:ascii="Book Antiqua" w:eastAsia="Book Antiqua" w:hAnsi="Book Antiqua" w:cs="Book Antiqua"/>
          <w:color w:val="000000" w:themeColor="text1"/>
        </w:rPr>
        <w:t xml:space="preserve">. Unlike sulfate-reducing bacteria </w:t>
      </w:r>
      <w:r w:rsidR="00DA3DCD" w:rsidRPr="002E2DEC">
        <w:rPr>
          <w:rFonts w:ascii="Book Antiqua" w:eastAsia="Book Antiqua" w:hAnsi="Book Antiqua" w:cs="Book Antiqua"/>
          <w:color w:val="000000" w:themeColor="text1"/>
        </w:rPr>
        <w:t>using</w:t>
      </w:r>
      <w:r w:rsidRPr="002E2DEC">
        <w:rPr>
          <w:rFonts w:ascii="Book Antiqua" w:eastAsia="Book Antiqua" w:hAnsi="Book Antiqua" w:cs="Book Antiqua"/>
          <w:color w:val="000000" w:themeColor="text1"/>
        </w:rPr>
        <w:t xml:space="preserve"> inorganic sulfate,</w:t>
      </w:r>
      <w:r w:rsidRPr="002E2DEC">
        <w:rPr>
          <w:rFonts w:ascii="Book Antiqua" w:eastAsia="Book Antiqua" w:hAnsi="Book Antiqua" w:cs="Book Antiqua"/>
          <w:i/>
          <w:iCs/>
          <w:color w:val="000000" w:themeColor="text1"/>
        </w:rPr>
        <w:t xml:space="preserve"> B. wadsworthia</w:t>
      </w:r>
      <w:r w:rsidRPr="002E2DEC">
        <w:rPr>
          <w:rFonts w:ascii="Book Antiqua" w:eastAsia="Book Antiqua" w:hAnsi="Book Antiqua" w:cs="Book Antiqua"/>
          <w:color w:val="000000" w:themeColor="text1"/>
        </w:rPr>
        <w:t xml:space="preserve"> </w:t>
      </w:r>
      <w:r w:rsidR="008750C3" w:rsidRPr="002E2DEC">
        <w:rPr>
          <w:rFonts w:ascii="Book Antiqua" w:eastAsia="Book Antiqua" w:hAnsi="Book Antiqua" w:cs="Book Antiqua"/>
          <w:color w:val="000000" w:themeColor="text1"/>
        </w:rPr>
        <w:t xml:space="preserve">can </w:t>
      </w:r>
      <w:r w:rsidRPr="002E2DEC">
        <w:rPr>
          <w:rFonts w:ascii="Book Antiqua" w:eastAsia="Book Antiqua" w:hAnsi="Book Antiqua" w:cs="Book Antiqua"/>
          <w:color w:val="000000" w:themeColor="text1"/>
        </w:rPr>
        <w:t>respire organic sulfonates, such as taurine</w:t>
      </w:r>
      <w:r w:rsidRPr="002E2DEC">
        <w:rPr>
          <w:rFonts w:ascii="Book Antiqua" w:eastAsia="Book Antiqua" w:hAnsi="Book Antiqua" w:cs="Book Antiqua"/>
          <w:color w:val="000000" w:themeColor="text1"/>
          <w:vertAlign w:val="superscript"/>
        </w:rPr>
        <w:t>[</w:t>
      </w:r>
      <w:hyperlink w:anchor="_ENREF_43" w:tooltip="Peck, 2019 #220" w:history="1">
        <w:r w:rsidRPr="002E2DEC">
          <w:rPr>
            <w:rFonts w:ascii="Book Antiqua" w:eastAsia="Book Antiqua" w:hAnsi="Book Antiqua" w:cs="Book Antiqua"/>
            <w:color w:val="000000" w:themeColor="text1"/>
            <w:vertAlign w:val="superscript"/>
          </w:rPr>
          <w:t>43</w:t>
        </w:r>
      </w:hyperlink>
      <w:r w:rsidRPr="002E2DEC">
        <w:rPr>
          <w:rFonts w:ascii="Book Antiqua" w:eastAsia="Book Antiqua" w:hAnsi="Book Antiqua" w:cs="Book Antiqua"/>
          <w:color w:val="000000" w:themeColor="text1"/>
          <w:vertAlign w:val="superscript"/>
        </w:rPr>
        <w:t>,</w:t>
      </w:r>
      <w:hyperlink w:anchor="_ENREF_44" w:tooltip="Laue, 1997 #218" w:history="1">
        <w:r w:rsidRPr="002E2DEC">
          <w:rPr>
            <w:rFonts w:ascii="Book Antiqua" w:eastAsia="Book Antiqua" w:hAnsi="Book Antiqua" w:cs="Book Antiqua"/>
            <w:color w:val="000000" w:themeColor="text1"/>
            <w:vertAlign w:val="superscript"/>
          </w:rPr>
          <w:t>44</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B. wadsworthia</w:t>
      </w:r>
      <w:r w:rsidRPr="002E2DEC">
        <w:rPr>
          <w:rFonts w:ascii="Book Antiqua" w:eastAsia="Book Antiqua" w:hAnsi="Book Antiqua" w:cs="Book Antiqua"/>
          <w:color w:val="000000" w:themeColor="text1"/>
        </w:rPr>
        <w:t xml:space="preserve"> has been isolated from clinical samples of patients with a variety of infectious diseases, including hidradenitis suppurativa, osteomyelitis, cholecystitis, vestibular mastitis and soft tissue abscess</w:t>
      </w:r>
      <w:r w:rsidRPr="002E2DEC">
        <w:rPr>
          <w:rFonts w:ascii="Book Antiqua" w:eastAsia="Book Antiqua" w:hAnsi="Book Antiqua" w:cs="Book Antiqua"/>
          <w:color w:val="000000" w:themeColor="text1"/>
          <w:vertAlign w:val="superscript"/>
        </w:rPr>
        <w:t>[</w:t>
      </w:r>
      <w:hyperlink w:anchor="_ENREF_45" w:tooltip="Feng, 2017 #222" w:history="1">
        <w:r w:rsidRPr="002E2DEC">
          <w:rPr>
            <w:rFonts w:ascii="Book Antiqua" w:eastAsia="Book Antiqua" w:hAnsi="Book Antiqua" w:cs="Book Antiqua"/>
            <w:color w:val="000000" w:themeColor="text1"/>
            <w:vertAlign w:val="superscript"/>
          </w:rPr>
          <w:t>45</w:t>
        </w:r>
      </w:hyperlink>
      <w:r w:rsidRPr="002E2DEC">
        <w:rPr>
          <w:rFonts w:ascii="Book Antiqua" w:eastAsia="Book Antiqua" w:hAnsi="Book Antiqua" w:cs="Book Antiqua"/>
          <w:color w:val="000000" w:themeColor="text1"/>
          <w:vertAlign w:val="superscript"/>
        </w:rPr>
        <w:t>,</w:t>
      </w:r>
      <w:hyperlink w:anchor="_ENREF_46" w:tooltip="Baron, 1997 #221" w:history="1">
        <w:r w:rsidRPr="002E2DEC">
          <w:rPr>
            <w:rFonts w:ascii="Book Antiqua" w:eastAsia="Book Antiqua" w:hAnsi="Book Antiqua" w:cs="Book Antiqua"/>
            <w:color w:val="000000" w:themeColor="text1"/>
            <w:vertAlign w:val="superscript"/>
          </w:rPr>
          <w:t>46</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Devkota </w:t>
      </w:r>
      <w:r w:rsidRPr="002E2DEC">
        <w:rPr>
          <w:rFonts w:ascii="Book Antiqua" w:eastAsia="Book Antiqua" w:hAnsi="Book Antiqua" w:cs="Book Antiqua"/>
          <w:i/>
          <w:iCs/>
          <w:color w:val="000000" w:themeColor="text1"/>
        </w:rPr>
        <w:t>et al</w:t>
      </w:r>
      <w:r w:rsidR="00E73C87" w:rsidRPr="002E2DEC">
        <w:rPr>
          <w:rFonts w:ascii="Book Antiqua" w:eastAsia="Book Antiqua" w:hAnsi="Book Antiqua" w:cs="Book Antiqua"/>
          <w:color w:val="000000" w:themeColor="text1"/>
          <w:vertAlign w:val="superscript"/>
        </w:rPr>
        <w:t>[</w:t>
      </w:r>
      <w:hyperlink w:anchor="_ENREF_47" w:tooltip="Devkota, 2012 #219" w:history="1">
        <w:r w:rsidR="00E73C87" w:rsidRPr="002E2DEC">
          <w:rPr>
            <w:rFonts w:ascii="Book Antiqua" w:eastAsia="Book Antiqua" w:hAnsi="Book Antiqua" w:cs="Book Antiqua"/>
            <w:color w:val="000000" w:themeColor="text1"/>
            <w:vertAlign w:val="superscript"/>
          </w:rPr>
          <w:t>47</w:t>
        </w:r>
      </w:hyperlink>
      <w:r w:rsidR="00E73C87"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found that the </w:t>
      </w:r>
      <w:r w:rsidR="008750C3" w:rsidRPr="002E2DEC">
        <w:rPr>
          <w:rFonts w:ascii="Book Antiqua" w:eastAsia="Book Antiqua" w:hAnsi="Book Antiqua" w:cs="Book Antiqua"/>
          <w:color w:val="000000" w:themeColor="text1"/>
        </w:rPr>
        <w:t>constituent</w:t>
      </w:r>
      <w:r w:rsidRPr="002E2DEC">
        <w:rPr>
          <w:rFonts w:ascii="Book Antiqua" w:eastAsia="Book Antiqua" w:hAnsi="Book Antiqua" w:cs="Book Antiqua"/>
          <w:color w:val="000000" w:themeColor="text1"/>
        </w:rPr>
        <w:t xml:space="preserve"> of the gut microbiota significantly changed in response to a diet rich in saturated fat (milk extract), and an originally low abundance of </w:t>
      </w:r>
      <w:r w:rsidRPr="002E2DEC">
        <w:rPr>
          <w:rFonts w:ascii="Book Antiqua" w:eastAsia="Book Antiqua" w:hAnsi="Book Antiqua" w:cs="Book Antiqua"/>
          <w:i/>
          <w:iCs/>
          <w:color w:val="000000" w:themeColor="text1"/>
        </w:rPr>
        <w:t>B. wadsworthia</w:t>
      </w:r>
      <w:r w:rsidRPr="002E2DEC">
        <w:rPr>
          <w:rFonts w:ascii="Book Antiqua" w:eastAsia="Book Antiqua" w:hAnsi="Book Antiqua" w:cs="Book Antiqua"/>
          <w:color w:val="000000" w:themeColor="text1"/>
        </w:rPr>
        <w:t xml:space="preserve"> was enriched. Diet promotes the secretion of tauro-conjugated bile acids thereby increasing the sulfur levels available to </w:t>
      </w:r>
      <w:r w:rsidRPr="002E2DEC">
        <w:rPr>
          <w:rFonts w:ascii="Book Antiqua" w:eastAsia="Book Antiqua" w:hAnsi="Book Antiqua" w:cs="Book Antiqua"/>
          <w:i/>
          <w:iCs/>
          <w:color w:val="000000" w:themeColor="text1"/>
        </w:rPr>
        <w:t>B. wadsworthia</w:t>
      </w:r>
      <w:r w:rsidRPr="002E2DEC">
        <w:rPr>
          <w:rFonts w:ascii="Book Antiqua" w:eastAsia="Book Antiqua" w:hAnsi="Book Antiqua" w:cs="Book Antiqua"/>
          <w:color w:val="000000" w:themeColor="text1"/>
          <w:vertAlign w:val="superscript"/>
        </w:rPr>
        <w:t>[</w:t>
      </w:r>
      <w:hyperlink w:anchor="_ENREF_47" w:tooltip="Devkota, 2012 #219" w:history="1">
        <w:r w:rsidRPr="002E2DEC">
          <w:rPr>
            <w:rFonts w:ascii="Book Antiqua" w:eastAsia="Book Antiqua" w:hAnsi="Book Antiqua" w:cs="Book Antiqua"/>
            <w:color w:val="000000" w:themeColor="text1"/>
            <w:vertAlign w:val="superscript"/>
          </w:rPr>
          <w:t>47</w:t>
        </w:r>
      </w:hyperlink>
      <w:r w:rsidRPr="002E2DEC">
        <w:rPr>
          <w:rFonts w:ascii="Book Antiqua" w:eastAsia="Book Antiqua" w:hAnsi="Book Antiqua" w:cs="Book Antiqua"/>
          <w:color w:val="000000" w:themeColor="text1"/>
          <w:vertAlign w:val="superscript"/>
        </w:rPr>
        <w:t>,</w:t>
      </w:r>
      <w:hyperlink w:anchor="_ENREF_48" w:tooltip="Turnbaugh, 2012 #216" w:history="1">
        <w:r w:rsidRPr="002E2DEC">
          <w:rPr>
            <w:rFonts w:ascii="Book Antiqua" w:eastAsia="Book Antiqua" w:hAnsi="Book Antiqua" w:cs="Book Antiqua"/>
            <w:color w:val="000000" w:themeColor="text1"/>
            <w:vertAlign w:val="superscript"/>
          </w:rPr>
          <w:t>48</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Alternatively, we also found that the relative abundance of </w:t>
      </w:r>
      <w:r w:rsidRPr="002E2DEC">
        <w:rPr>
          <w:rFonts w:ascii="Book Antiqua" w:eastAsia="Book Antiqua" w:hAnsi="Book Antiqua" w:cs="Book Antiqua"/>
          <w:i/>
          <w:iCs/>
          <w:color w:val="000000" w:themeColor="text1"/>
        </w:rPr>
        <w:t>Escherichia</w:t>
      </w:r>
      <w:r w:rsidR="00551851" w:rsidRPr="002E2DEC">
        <w:rPr>
          <w:rFonts w:ascii="Book Antiqua" w:eastAsia="Book Antiqua" w:hAnsi="Book Antiqua" w:cs="Book Antiqua"/>
          <w:i/>
          <w:iCs/>
          <w:color w:val="000000" w:themeColor="text1"/>
        </w:rPr>
        <w:t>/</w:t>
      </w:r>
      <w:r w:rsidRPr="002E2DEC">
        <w:rPr>
          <w:rFonts w:ascii="Book Antiqua" w:eastAsia="Book Antiqua" w:hAnsi="Book Antiqua" w:cs="Book Antiqua"/>
          <w:i/>
          <w:iCs/>
          <w:color w:val="000000" w:themeColor="text1"/>
        </w:rPr>
        <w:t>Shigella</w:t>
      </w:r>
      <w:r w:rsidRPr="002E2DEC">
        <w:rPr>
          <w:rFonts w:ascii="Book Antiqua" w:eastAsia="Book Antiqua" w:hAnsi="Book Antiqua" w:cs="Book Antiqua"/>
          <w:color w:val="000000" w:themeColor="text1"/>
        </w:rPr>
        <w:t xml:space="preserve"> is elevated in ICP patients, which may promote the colonization and growth of </w:t>
      </w:r>
      <w:r w:rsidRPr="002E2DEC">
        <w:rPr>
          <w:rFonts w:ascii="Book Antiqua" w:eastAsia="Book Antiqua" w:hAnsi="Book Antiqua" w:cs="Book Antiqua"/>
          <w:i/>
          <w:iCs/>
          <w:color w:val="000000" w:themeColor="text1"/>
        </w:rPr>
        <w:t>B. wadsworthia</w:t>
      </w:r>
      <w:r w:rsidRPr="002E2DEC">
        <w:rPr>
          <w:rFonts w:ascii="Book Antiqua" w:eastAsia="Book Antiqua" w:hAnsi="Book Antiqua" w:cs="Book Antiqua"/>
          <w:color w:val="000000" w:themeColor="text1"/>
        </w:rPr>
        <w:t xml:space="preserve">. </w:t>
      </w:r>
    </w:p>
    <w:p w14:paraId="6E407EF8" w14:textId="00590C03" w:rsidR="00A77B3E" w:rsidRPr="002E2DEC" w:rsidRDefault="003022FF" w:rsidP="002E2DEC">
      <w:pPr>
        <w:snapToGrid w:val="0"/>
        <w:spacing w:line="360" w:lineRule="auto"/>
        <w:ind w:firstLine="240"/>
        <w:jc w:val="both"/>
        <w:rPr>
          <w:rFonts w:ascii="Book Antiqua" w:hAnsi="Book Antiqua"/>
          <w:color w:val="000000" w:themeColor="text1"/>
        </w:rPr>
      </w:pPr>
      <w:r w:rsidRPr="002E2DEC">
        <w:rPr>
          <w:rFonts w:ascii="Book Antiqua" w:eastAsia="Book Antiqua" w:hAnsi="Book Antiqua" w:cs="Book Antiqua"/>
          <w:color w:val="000000" w:themeColor="text1"/>
        </w:rPr>
        <w:t xml:space="preserve">The enrichment of </w:t>
      </w:r>
      <w:r w:rsidRPr="002E2DEC">
        <w:rPr>
          <w:rFonts w:ascii="Book Antiqua" w:eastAsia="Book Antiqua" w:hAnsi="Book Antiqua" w:cs="Book Antiqua"/>
          <w:i/>
          <w:iCs/>
          <w:color w:val="000000" w:themeColor="text1"/>
        </w:rPr>
        <w:t>Parabacteroides</w:t>
      </w:r>
      <w:r w:rsidRPr="002E2DEC">
        <w:rPr>
          <w:rFonts w:ascii="Book Antiqua" w:eastAsia="Book Antiqua" w:hAnsi="Book Antiqua" w:cs="Book Antiqua"/>
          <w:color w:val="000000" w:themeColor="text1"/>
        </w:rPr>
        <w:t xml:space="preserve"> is also consistent with previously reported results. Narushima </w:t>
      </w:r>
      <w:r w:rsidRPr="002E2DEC">
        <w:rPr>
          <w:rFonts w:ascii="Book Antiqua" w:eastAsia="Book Antiqua" w:hAnsi="Book Antiqua" w:cs="Book Antiqua"/>
          <w:i/>
          <w:iCs/>
          <w:color w:val="000000" w:themeColor="text1"/>
        </w:rPr>
        <w:t>et al</w:t>
      </w:r>
      <w:r w:rsidR="00365ACB" w:rsidRPr="002E2DEC">
        <w:rPr>
          <w:rFonts w:ascii="Book Antiqua" w:eastAsia="Book Antiqua" w:hAnsi="Book Antiqua" w:cs="Book Antiqua"/>
          <w:iCs/>
          <w:color w:val="000000" w:themeColor="text1"/>
          <w:vertAlign w:val="superscript"/>
        </w:rPr>
        <w:t>[</w:t>
      </w:r>
      <w:hyperlink w:anchor="_ENREF_49" w:tooltip="Narushima, 2006 #217" w:history="1">
        <w:r w:rsidR="00365ACB" w:rsidRPr="002E2DEC">
          <w:rPr>
            <w:rFonts w:ascii="Book Antiqua" w:eastAsia="Book Antiqua" w:hAnsi="Book Antiqua" w:cs="Book Antiqua"/>
            <w:iCs/>
            <w:color w:val="000000" w:themeColor="text1"/>
            <w:vertAlign w:val="superscript"/>
          </w:rPr>
          <w:t>49</w:t>
        </w:r>
      </w:hyperlink>
      <w:r w:rsidR="00365ACB" w:rsidRPr="002E2DEC">
        <w:rPr>
          <w:rFonts w:ascii="Book Antiqua" w:eastAsia="Book Antiqua" w:hAnsi="Book Antiqua" w:cs="Book Antiqua"/>
          <w:iCs/>
          <w:color w:val="000000" w:themeColor="text1"/>
          <w:vertAlign w:val="superscript"/>
        </w:rPr>
        <w:t>]</w:t>
      </w:r>
      <w:r w:rsidRPr="002E2DEC">
        <w:rPr>
          <w:rFonts w:ascii="Book Antiqua" w:eastAsia="Book Antiqua" w:hAnsi="Book Antiqua" w:cs="Book Antiqua"/>
          <w:color w:val="000000" w:themeColor="text1"/>
        </w:rPr>
        <w:t xml:space="preserve"> reported deoxycholic acid formation in gnotobiotic mice colonized with human fecal isolates, including </w:t>
      </w:r>
      <w:r w:rsidRPr="002E2DEC">
        <w:rPr>
          <w:rFonts w:ascii="Book Antiqua" w:eastAsia="Book Antiqua" w:hAnsi="Book Antiqua" w:cs="Book Antiqua"/>
          <w:i/>
          <w:iCs/>
          <w:color w:val="000000" w:themeColor="text1"/>
        </w:rPr>
        <w:t>Bacteroides uniformis</w:t>
      </w:r>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Bacteroides vulgatus</w:t>
      </w:r>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Parabacteroides distasonis</w:t>
      </w:r>
      <w:r w:rsidRPr="002E2DEC">
        <w:rPr>
          <w:rFonts w:ascii="Book Antiqua" w:eastAsia="Book Antiqua" w:hAnsi="Book Antiqua" w:cs="Book Antiqua"/>
          <w:color w:val="000000" w:themeColor="text1"/>
        </w:rPr>
        <w:t xml:space="preserve">, taurine-respiring </w:t>
      </w:r>
      <w:r w:rsidRPr="002E2DEC">
        <w:rPr>
          <w:rFonts w:ascii="Book Antiqua" w:eastAsia="Book Antiqua" w:hAnsi="Book Antiqua" w:cs="Book Antiqua"/>
          <w:i/>
          <w:iCs/>
          <w:color w:val="000000" w:themeColor="text1"/>
        </w:rPr>
        <w:t>B. wadsworthia</w:t>
      </w:r>
      <w:r w:rsidRPr="002E2DEC">
        <w:rPr>
          <w:rFonts w:ascii="Book Antiqua" w:eastAsia="Book Antiqua" w:hAnsi="Book Antiqua" w:cs="Book Antiqua"/>
          <w:color w:val="000000" w:themeColor="text1"/>
        </w:rPr>
        <w:t xml:space="preserve"> and bile acid 7α-dehydroxylating </w:t>
      </w:r>
      <w:r w:rsidRPr="002E2DEC">
        <w:rPr>
          <w:rFonts w:ascii="Book Antiqua" w:eastAsia="Book Antiqua" w:hAnsi="Book Antiqua" w:cs="Book Antiqua"/>
          <w:i/>
          <w:iCs/>
          <w:color w:val="000000" w:themeColor="text1"/>
        </w:rPr>
        <w:t>Clostridium hylemonae</w:t>
      </w:r>
      <w:r w:rsidRPr="002E2DEC">
        <w:rPr>
          <w:rFonts w:ascii="Book Antiqua" w:eastAsia="Book Antiqua" w:hAnsi="Book Antiqua" w:cs="Book Antiqua"/>
          <w:color w:val="000000" w:themeColor="text1"/>
        </w:rPr>
        <w:t xml:space="preserve"> and</w:t>
      </w:r>
      <w:r w:rsidRPr="002E2DEC">
        <w:rPr>
          <w:rFonts w:ascii="Book Antiqua" w:eastAsia="Book Antiqua" w:hAnsi="Book Antiqua" w:cs="Book Antiqua"/>
          <w:i/>
          <w:iCs/>
          <w:color w:val="000000" w:themeColor="text1"/>
        </w:rPr>
        <w:t xml:space="preserve"> Clostridium hiranonis</w:t>
      </w:r>
      <w:r w:rsidRPr="002E2DEC">
        <w:rPr>
          <w:rFonts w:ascii="Book Antiqua" w:eastAsia="Book Antiqua" w:hAnsi="Book Antiqua" w:cs="Book Antiqua"/>
          <w:color w:val="000000" w:themeColor="text1"/>
        </w:rPr>
        <w:t xml:space="preserve">. Concomitantly, the KEGG analysis results revealed that the taurine and hypotaurine metabolism pathways were enriched in ICP patients (Figure 1). Furthermore, correlation analysis revealed a positive correlation between </w:t>
      </w:r>
      <w:r w:rsidRPr="002E2DEC">
        <w:rPr>
          <w:rFonts w:ascii="Book Antiqua" w:eastAsia="Book Antiqua" w:hAnsi="Book Antiqua" w:cs="Book Antiqua"/>
          <w:i/>
          <w:iCs/>
          <w:color w:val="000000" w:themeColor="text1"/>
        </w:rPr>
        <w:t>Parabacteroides</w:t>
      </w:r>
      <w:r w:rsidRPr="002E2DEC">
        <w:rPr>
          <w:rFonts w:ascii="Book Antiqua" w:eastAsia="Book Antiqua" w:hAnsi="Book Antiqua" w:cs="Book Antiqua"/>
          <w:color w:val="000000" w:themeColor="text1"/>
        </w:rPr>
        <w:t xml:space="preserve"> and a variety of secondary bile acids (Figure 5). </w:t>
      </w:r>
      <w:r w:rsidRPr="002E2DEC">
        <w:rPr>
          <w:rFonts w:ascii="Book Antiqua" w:eastAsia="Book Antiqua" w:hAnsi="Book Antiqua" w:cs="Book Antiqua"/>
          <w:i/>
          <w:iCs/>
          <w:color w:val="000000" w:themeColor="text1"/>
        </w:rPr>
        <w:t>Parabacteroides</w:t>
      </w:r>
      <w:r w:rsidRPr="002E2DEC">
        <w:rPr>
          <w:rFonts w:ascii="Book Antiqua" w:eastAsia="Book Antiqua" w:hAnsi="Book Antiqua" w:cs="Book Antiqua"/>
          <w:color w:val="000000" w:themeColor="text1"/>
        </w:rPr>
        <w:t xml:space="preserve"> has been reported to attenuate obesity and metabolic dysfunction by producing succinate and secondary bile acids</w:t>
      </w:r>
      <w:r w:rsidRPr="002E2DEC">
        <w:rPr>
          <w:rFonts w:ascii="Book Antiqua" w:eastAsia="Book Antiqua" w:hAnsi="Book Antiqua" w:cs="Book Antiqua"/>
          <w:color w:val="000000" w:themeColor="text1"/>
          <w:vertAlign w:val="superscript"/>
        </w:rPr>
        <w:t>[</w:t>
      </w:r>
      <w:hyperlink w:anchor="_ENREF_50" w:tooltip="Wang, 2019 #260" w:history="1">
        <w:r w:rsidRPr="002E2DEC">
          <w:rPr>
            <w:rFonts w:ascii="Book Antiqua" w:eastAsia="Book Antiqua" w:hAnsi="Book Antiqua" w:cs="Book Antiqua"/>
            <w:color w:val="000000" w:themeColor="text1"/>
            <w:vertAlign w:val="superscript"/>
          </w:rPr>
          <w:t>50</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This effect may be due to the increased bile acid content in the guts of ICP patients, which results in an elevated relative abundance of </w:t>
      </w:r>
      <w:r w:rsidRPr="002E2DEC">
        <w:rPr>
          <w:rFonts w:ascii="Book Antiqua" w:eastAsia="Book Antiqua" w:hAnsi="Book Antiqua" w:cs="Book Antiqua"/>
          <w:i/>
          <w:iCs/>
          <w:color w:val="000000" w:themeColor="text1"/>
        </w:rPr>
        <w:t>Parabacteroides</w:t>
      </w:r>
      <w:r w:rsidRPr="002E2DEC">
        <w:rPr>
          <w:rFonts w:ascii="Book Antiqua" w:eastAsia="Book Antiqua" w:hAnsi="Book Antiqua" w:cs="Book Antiqua"/>
          <w:color w:val="000000" w:themeColor="text1"/>
        </w:rPr>
        <w:t>. Collectively, these results suggest that dysregulated secretion of bile acids can affect the composition of the intestinal microbiome, which may further disrupt immune balance and trigger disease.</w:t>
      </w:r>
    </w:p>
    <w:p w14:paraId="3B53CF8E" w14:textId="4A69D483" w:rsidR="00A77B3E" w:rsidRPr="002E2DEC" w:rsidRDefault="003022FF" w:rsidP="002E2DEC">
      <w:pPr>
        <w:snapToGrid w:val="0"/>
        <w:spacing w:line="360" w:lineRule="auto"/>
        <w:ind w:firstLine="240"/>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This study investigate</w:t>
      </w:r>
      <w:r w:rsidR="00551851" w:rsidRPr="002E2DEC">
        <w:rPr>
          <w:rFonts w:ascii="Book Antiqua" w:eastAsia="Book Antiqua" w:hAnsi="Book Antiqua" w:cs="Book Antiqua"/>
          <w:color w:val="000000" w:themeColor="text1"/>
        </w:rPr>
        <w:t>d</w:t>
      </w:r>
      <w:r w:rsidRPr="002E2DEC">
        <w:rPr>
          <w:rFonts w:ascii="Book Antiqua" w:eastAsia="Book Antiqua" w:hAnsi="Book Antiqua" w:cs="Book Antiqua"/>
          <w:color w:val="000000" w:themeColor="text1"/>
        </w:rPr>
        <w:t xml:space="preserve"> the consequences of ICP with respect to the serum metabolome and gut microbiota for the first time. Our data suggest that ICP can cause significant changes in the serum metabolome and gut microbiota. ICP-induced changes in the relative abundance of bile acid-related compounds in</w:t>
      </w:r>
      <w:r w:rsidR="00134A21" w:rsidRPr="002E2DEC">
        <w:rPr>
          <w:rFonts w:ascii="Book Antiqua" w:eastAsia="Book Antiqua" w:hAnsi="Book Antiqua" w:cs="Book Antiqua"/>
          <w:color w:val="000000" w:themeColor="text1"/>
        </w:rPr>
        <w:t xml:space="preserve"> the</w:t>
      </w:r>
      <w:r w:rsidRPr="002E2DEC">
        <w:rPr>
          <w:rFonts w:ascii="Book Antiqua" w:eastAsia="Book Antiqua" w:hAnsi="Book Antiqua" w:cs="Book Antiqua"/>
          <w:color w:val="000000" w:themeColor="text1"/>
        </w:rPr>
        <w:t xml:space="preserve"> serum may have an effect on the gut microbiota, which in turn may have a detrimental effect on health. These findings suggest a mechanism of ICP that is associated with the microbiota </w:t>
      </w:r>
      <w:r w:rsidRPr="002E2DEC">
        <w:rPr>
          <w:rFonts w:ascii="Book Antiqua" w:eastAsia="Book Antiqua" w:hAnsi="Book Antiqua" w:cs="Book Antiqua"/>
          <w:i/>
          <w:iCs/>
          <w:color w:val="000000" w:themeColor="text1"/>
        </w:rPr>
        <w:t>via</w:t>
      </w:r>
      <w:r w:rsidRPr="002E2DEC">
        <w:rPr>
          <w:rFonts w:ascii="Book Antiqua" w:eastAsia="Book Antiqua" w:hAnsi="Book Antiqua" w:cs="Book Antiqua"/>
          <w:color w:val="000000" w:themeColor="text1"/>
        </w:rPr>
        <w:t xml:space="preserve"> changes in serum metabolites. A</w:t>
      </w:r>
      <w:r w:rsidR="00361461" w:rsidRPr="002E2DEC">
        <w:rPr>
          <w:rFonts w:ascii="Book Antiqua" w:eastAsia="Book Antiqua" w:hAnsi="Book Antiqua" w:cs="Book Antiqua"/>
          <w:color w:val="000000" w:themeColor="text1"/>
        </w:rPr>
        <w:t>n obvious</w:t>
      </w:r>
      <w:r w:rsidRPr="002E2DEC">
        <w:rPr>
          <w:rFonts w:ascii="Book Antiqua" w:eastAsia="Book Antiqua" w:hAnsi="Book Antiqua" w:cs="Book Antiqua"/>
          <w:color w:val="000000" w:themeColor="text1"/>
        </w:rPr>
        <w:t xml:space="preserve"> limitation of this study is </w:t>
      </w:r>
      <w:r w:rsidR="00361461" w:rsidRPr="002E2DEC">
        <w:rPr>
          <w:rFonts w:ascii="Book Antiqua" w:eastAsia="Book Antiqua" w:hAnsi="Book Antiqua" w:cs="Book Antiqua"/>
          <w:color w:val="000000" w:themeColor="text1"/>
        </w:rPr>
        <w:t>that its sample</w:t>
      </w:r>
      <w:r w:rsidR="00134A21" w:rsidRPr="002E2DEC">
        <w:rPr>
          <w:rFonts w:ascii="Book Antiqua" w:eastAsia="Book Antiqua" w:hAnsi="Book Antiqua" w:cs="Book Antiqua"/>
          <w:color w:val="000000" w:themeColor="text1"/>
        </w:rPr>
        <w:t xml:space="preserve"> </w:t>
      </w:r>
      <w:r w:rsidR="00361461" w:rsidRPr="002E2DEC">
        <w:rPr>
          <w:rFonts w:ascii="Book Antiqua" w:eastAsia="Book Antiqua" w:hAnsi="Book Antiqua" w:cs="Book Antiqua"/>
          <w:color w:val="000000" w:themeColor="text1"/>
        </w:rPr>
        <w:t>size was</w:t>
      </w:r>
      <w:r w:rsidR="00134A21" w:rsidRPr="002E2DEC">
        <w:rPr>
          <w:rFonts w:ascii="Book Antiqua" w:eastAsia="Book Antiqua" w:hAnsi="Book Antiqua" w:cs="Book Antiqua"/>
          <w:color w:val="000000" w:themeColor="text1"/>
        </w:rPr>
        <w:t xml:space="preserve"> </w:t>
      </w:r>
      <w:r w:rsidR="00361461" w:rsidRPr="002E2DEC">
        <w:rPr>
          <w:rFonts w:ascii="Book Antiqua" w:eastAsia="Book Antiqua" w:hAnsi="Book Antiqua" w:cs="Book Antiqua"/>
          <w:color w:val="000000" w:themeColor="text1"/>
        </w:rPr>
        <w:t xml:space="preserve">small, </w:t>
      </w:r>
      <w:r w:rsidRPr="002E2DEC">
        <w:rPr>
          <w:rFonts w:ascii="Book Antiqua" w:eastAsia="Book Antiqua" w:hAnsi="Book Antiqua" w:cs="Book Antiqua"/>
          <w:color w:val="000000" w:themeColor="text1"/>
        </w:rPr>
        <w:t>which causes the analysis of the differences in the gut microbiota to lack statistical significance. Our future studies will collect more samples to examine the changes in the gut microbiota of ICP patients.</w:t>
      </w:r>
      <w:r w:rsidRPr="002E2DEC">
        <w:rPr>
          <w:rFonts w:ascii="Book Antiqua" w:hAnsi="Book Antiqua"/>
          <w:color w:val="000000" w:themeColor="text1"/>
        </w:rPr>
        <w:t xml:space="preserve"> </w:t>
      </w:r>
      <w:r w:rsidRPr="002E2DEC">
        <w:rPr>
          <w:rFonts w:ascii="Book Antiqua" w:eastAsia="Book Antiqua" w:hAnsi="Book Antiqua" w:cs="Book Antiqua"/>
          <w:color w:val="000000" w:themeColor="text1"/>
        </w:rPr>
        <w:t>We will also conduct intervention studies using pr</w:t>
      </w:r>
      <w:r w:rsidR="00134A21" w:rsidRPr="002E2DEC">
        <w:rPr>
          <w:rFonts w:ascii="Book Antiqua" w:eastAsia="Book Antiqua" w:hAnsi="Book Antiqua" w:cs="Book Antiqua"/>
          <w:color w:val="000000" w:themeColor="text1"/>
        </w:rPr>
        <w:t>e</w:t>
      </w:r>
      <w:r w:rsidRPr="002E2DEC">
        <w:rPr>
          <w:rFonts w:ascii="Book Antiqua" w:eastAsia="Book Antiqua" w:hAnsi="Book Antiqua" w:cs="Book Antiqua"/>
          <w:color w:val="000000" w:themeColor="text1"/>
        </w:rPr>
        <w:t xml:space="preserve">biotics, probiotics and synbiotics to promote the establishment of beneficial microbiota and investigate whether it can have a positive impact on the health of ICP patients. In addition, based on the analysis of 16S rRNA sequences, the reduction in microbial diversity simply </w:t>
      </w:r>
      <w:r w:rsidR="00DA3DCD" w:rsidRPr="002E2DEC">
        <w:rPr>
          <w:rFonts w:ascii="Book Antiqua" w:eastAsia="Book Antiqua" w:hAnsi="Book Antiqua" w:cs="Book Antiqua"/>
          <w:color w:val="000000" w:themeColor="text1"/>
        </w:rPr>
        <w:t>demonst</w:t>
      </w:r>
      <w:r w:rsidR="00134A21" w:rsidRPr="002E2DEC">
        <w:rPr>
          <w:rFonts w:ascii="Book Antiqua" w:eastAsia="Book Antiqua" w:hAnsi="Book Antiqua" w:cs="Book Antiqua"/>
          <w:color w:val="000000" w:themeColor="text1"/>
        </w:rPr>
        <w:t>r</w:t>
      </w:r>
      <w:r w:rsidR="00DA3DCD" w:rsidRPr="002E2DEC">
        <w:rPr>
          <w:rFonts w:ascii="Book Antiqua" w:eastAsia="Book Antiqua" w:hAnsi="Book Antiqua" w:cs="Book Antiqua"/>
          <w:color w:val="000000" w:themeColor="text1"/>
        </w:rPr>
        <w:t>ate</w:t>
      </w:r>
      <w:r w:rsidRPr="002E2DEC">
        <w:rPr>
          <w:rFonts w:ascii="Book Antiqua" w:eastAsia="Book Antiqua" w:hAnsi="Book Antiqua" w:cs="Book Antiqua"/>
          <w:color w:val="000000" w:themeColor="text1"/>
        </w:rPr>
        <w:t xml:space="preserve">s an </w:t>
      </w:r>
      <w:r w:rsidR="00DA3DCD" w:rsidRPr="002E2DEC">
        <w:rPr>
          <w:rFonts w:ascii="Book Antiqua" w:eastAsia="Book Antiqua" w:hAnsi="Book Antiqua" w:cs="Book Antiqua"/>
          <w:color w:val="000000" w:themeColor="text1"/>
        </w:rPr>
        <w:t>unbalanced intestinal ecosystem</w:t>
      </w:r>
      <w:r w:rsidRPr="002E2DEC">
        <w:rPr>
          <w:rFonts w:ascii="Book Antiqua" w:eastAsia="Book Antiqua" w:hAnsi="Book Antiqua" w:cs="Book Antiqua"/>
          <w:color w:val="000000" w:themeColor="text1"/>
        </w:rPr>
        <w:t xml:space="preserve"> but does not provide us with more detailed information </w:t>
      </w:r>
      <w:r w:rsidR="00DA3DCD" w:rsidRPr="002E2DEC">
        <w:rPr>
          <w:rFonts w:ascii="Book Antiqua" w:eastAsia="Book Antiqua" w:hAnsi="Book Antiqua" w:cs="Book Antiqua"/>
          <w:color w:val="000000" w:themeColor="text1"/>
        </w:rPr>
        <w:t>on</w:t>
      </w:r>
      <w:r w:rsidRPr="002E2DEC">
        <w:rPr>
          <w:rFonts w:ascii="Book Antiqua" w:eastAsia="Book Antiqua" w:hAnsi="Book Antiqua" w:cs="Book Antiqua"/>
          <w:color w:val="000000" w:themeColor="text1"/>
        </w:rPr>
        <w:t xml:space="preserve"> </w:t>
      </w:r>
      <w:r w:rsidR="00DA3DCD" w:rsidRPr="002E2DEC">
        <w:rPr>
          <w:rFonts w:ascii="Book Antiqua" w:eastAsia="Book Antiqua" w:hAnsi="Book Antiqua" w:cs="Book Antiqua"/>
          <w:color w:val="000000" w:themeColor="text1"/>
        </w:rPr>
        <w:t>the species and functions of certain microorganisms</w:t>
      </w:r>
      <w:r w:rsidRPr="002E2DEC">
        <w:rPr>
          <w:rFonts w:ascii="Book Antiqua" w:eastAsia="Book Antiqua" w:hAnsi="Book Antiqua" w:cs="Book Antiqua"/>
          <w:color w:val="000000" w:themeColor="text1"/>
        </w:rPr>
        <w:t>. Therefore, large-scale metagenomics and functional studies are needed to investigate the role of gut microbes in the molecular pathogenesis of ICP.</w:t>
      </w:r>
      <w:r w:rsidRPr="002E2DEC">
        <w:rPr>
          <w:rFonts w:ascii="Book Antiqua" w:hAnsi="Book Antiqua"/>
          <w:color w:val="000000" w:themeColor="text1"/>
        </w:rPr>
        <w:t xml:space="preserve"> </w:t>
      </w:r>
    </w:p>
    <w:p w14:paraId="194E3DF3" w14:textId="77777777" w:rsidR="00A77B3E" w:rsidRPr="002E2DEC" w:rsidRDefault="00A77B3E" w:rsidP="002E2DEC">
      <w:pPr>
        <w:snapToGrid w:val="0"/>
        <w:spacing w:line="360" w:lineRule="auto"/>
        <w:ind w:firstLine="240"/>
        <w:jc w:val="both"/>
        <w:rPr>
          <w:rFonts w:ascii="Book Antiqua" w:hAnsi="Book Antiqua"/>
          <w:color w:val="000000" w:themeColor="text1"/>
        </w:rPr>
      </w:pPr>
    </w:p>
    <w:p w14:paraId="69AB5211"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aps/>
          <w:color w:val="000000" w:themeColor="text1"/>
          <w:u w:val="single"/>
        </w:rPr>
        <w:t>CONCLUSION</w:t>
      </w:r>
    </w:p>
    <w:p w14:paraId="6C783841" w14:textId="590A8FC3" w:rsidR="00A77B3E" w:rsidRPr="002E2DEC" w:rsidRDefault="003022FF" w:rsidP="002E2DEC">
      <w:pPr>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 xml:space="preserve">In summary, our study suggested that ICP patients had an altered serum metabolome and gut microbiota as evidenced by a decrease in </w:t>
      </w:r>
      <w:r w:rsidRPr="002E2DEC">
        <w:rPr>
          <w:rFonts w:ascii="Book Antiqua" w:eastAsia="Book Antiqua" w:hAnsi="Book Antiqua" w:cs="Book Antiqua"/>
          <w:color w:val="000000"/>
        </w:rPr>
        <w:t>SCFA-</w:t>
      </w:r>
      <w:r w:rsidRPr="002E2DEC">
        <w:rPr>
          <w:rFonts w:ascii="Book Antiqua" w:eastAsia="Book Antiqua" w:hAnsi="Book Antiqua" w:cs="Book Antiqua"/>
          <w:color w:val="000000" w:themeColor="text1"/>
        </w:rPr>
        <w:t>producing bacteria and an increase in bile acid metabolism-related bacteria. The serum metabolome was significantly correlated with the gut microbiota, indicating that the gut microbiota plays an important role in the occurrence and development of ICP. Although the mechanism by which ICP affects the serum metabolome and gut microbiota of patients remains unclear, our findings suggest that the intestinal microbiome can be used as a therapeutic target to provide new strategies for the diagnosis and treatment of ICP.</w:t>
      </w:r>
    </w:p>
    <w:p w14:paraId="5B130CE6" w14:textId="77777777" w:rsidR="00A77B3E" w:rsidRPr="002E2DEC" w:rsidRDefault="00A77B3E" w:rsidP="002E2DEC">
      <w:pPr>
        <w:snapToGrid w:val="0"/>
        <w:spacing w:line="360" w:lineRule="auto"/>
        <w:jc w:val="both"/>
        <w:rPr>
          <w:rFonts w:ascii="Book Antiqua" w:hAnsi="Book Antiqua"/>
          <w:color w:val="000000" w:themeColor="text1"/>
        </w:rPr>
      </w:pPr>
    </w:p>
    <w:p w14:paraId="04E2B3FE"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aps/>
          <w:color w:val="000000" w:themeColor="text1"/>
          <w:u w:val="single"/>
        </w:rPr>
        <w:t>ARTICLE HIGHLIGHTS</w:t>
      </w:r>
    </w:p>
    <w:p w14:paraId="081FC1FC"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i/>
          <w:color w:val="000000" w:themeColor="text1"/>
        </w:rPr>
        <w:t>Research background</w:t>
      </w:r>
    </w:p>
    <w:p w14:paraId="4561A88E"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Intrahepatic cholestasis in pregnancy (ICP) is the most common liver disease during pregnancy, and its cause and course of progression are still poorly understood.</w:t>
      </w:r>
    </w:p>
    <w:p w14:paraId="4E8C186A" w14:textId="77777777" w:rsidR="00A77B3E" w:rsidRPr="002E2DEC" w:rsidRDefault="00A77B3E" w:rsidP="002E2DEC">
      <w:pPr>
        <w:snapToGrid w:val="0"/>
        <w:spacing w:line="360" w:lineRule="auto"/>
        <w:jc w:val="both"/>
        <w:rPr>
          <w:rFonts w:ascii="Book Antiqua" w:hAnsi="Book Antiqua"/>
          <w:color w:val="000000" w:themeColor="text1"/>
        </w:rPr>
      </w:pPr>
    </w:p>
    <w:p w14:paraId="6F9189A0"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i/>
          <w:color w:val="000000" w:themeColor="text1"/>
        </w:rPr>
        <w:t>Research motivation</w:t>
      </w:r>
    </w:p>
    <w:p w14:paraId="3D59A747" w14:textId="202EFC68"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Women with ICP have a significantly increased risk of preterm birth, stillbirth and admission to the neonatal unit for treatment. At present, there is no specific drug for the treatment of ICP in clinical practice.</w:t>
      </w:r>
    </w:p>
    <w:p w14:paraId="337314DA" w14:textId="77777777" w:rsidR="00A77B3E" w:rsidRPr="002E2DEC" w:rsidRDefault="00A77B3E" w:rsidP="002E2DEC">
      <w:pPr>
        <w:snapToGrid w:val="0"/>
        <w:spacing w:line="360" w:lineRule="auto"/>
        <w:jc w:val="both"/>
        <w:rPr>
          <w:rFonts w:ascii="Book Antiqua" w:hAnsi="Book Antiqua"/>
          <w:color w:val="000000" w:themeColor="text1"/>
        </w:rPr>
      </w:pPr>
    </w:p>
    <w:p w14:paraId="60F3C2AA"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i/>
          <w:color w:val="000000" w:themeColor="text1"/>
        </w:rPr>
        <w:t>Research objectives</w:t>
      </w:r>
    </w:p>
    <w:p w14:paraId="027FDAF0" w14:textId="4595F4F4"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 xml:space="preserve">We speculate that changes in serum metabolism caused by ICP may </w:t>
      </w:r>
      <w:r w:rsidR="00DA3DCD" w:rsidRPr="002E2DEC">
        <w:rPr>
          <w:rFonts w:ascii="Book Antiqua" w:eastAsia="Book Antiqua" w:hAnsi="Book Antiqua" w:cs="Book Antiqua"/>
          <w:color w:val="000000" w:themeColor="text1"/>
        </w:rPr>
        <w:t>influence the intestinal tract circumstance</w:t>
      </w:r>
      <w:r w:rsidRPr="002E2DEC">
        <w:rPr>
          <w:rFonts w:ascii="Book Antiqua" w:eastAsia="Book Antiqua" w:hAnsi="Book Antiqua" w:cs="Book Antiqua"/>
          <w:color w:val="000000" w:themeColor="text1"/>
        </w:rPr>
        <w:t xml:space="preserve"> and thus the intestinal microbiome. The gut microbiota may represent a mechanism by which ICP affects the health of pregnant women and fetuses. Our goal is to find the novel therapeutic strategies of ICP in the field of the gut microbiota.</w:t>
      </w:r>
    </w:p>
    <w:p w14:paraId="7DFEE13B" w14:textId="77777777" w:rsidR="00A77B3E" w:rsidRPr="002E2DEC" w:rsidRDefault="00A77B3E" w:rsidP="002E2DEC">
      <w:pPr>
        <w:snapToGrid w:val="0"/>
        <w:spacing w:line="360" w:lineRule="auto"/>
        <w:jc w:val="both"/>
        <w:rPr>
          <w:rFonts w:ascii="Book Antiqua" w:hAnsi="Book Antiqua"/>
          <w:color w:val="000000" w:themeColor="text1"/>
        </w:rPr>
      </w:pPr>
    </w:p>
    <w:p w14:paraId="36138F8B"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i/>
          <w:color w:val="000000" w:themeColor="text1"/>
        </w:rPr>
        <w:t>Research methods</w:t>
      </w:r>
    </w:p>
    <w:p w14:paraId="2776A2B0" w14:textId="3381AF72"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 xml:space="preserve">The serum nontarget metabolomes from </w:t>
      </w:r>
      <w:r w:rsidR="003A5E3A" w:rsidRPr="002E2DEC">
        <w:rPr>
          <w:rFonts w:ascii="Book Antiqua" w:eastAsia="Book Antiqua" w:hAnsi="Book Antiqua" w:cs="Book Antiqua"/>
          <w:color w:val="000000" w:themeColor="text1"/>
        </w:rPr>
        <w:t xml:space="preserve">each </w:t>
      </w:r>
      <w:r w:rsidRPr="002E2DEC">
        <w:rPr>
          <w:rFonts w:ascii="Book Antiqua" w:eastAsia="Book Antiqua" w:hAnsi="Book Antiqua" w:cs="Book Antiqua"/>
          <w:color w:val="000000" w:themeColor="text1"/>
        </w:rPr>
        <w:t>group were determined. Amplification of the 16S rRNA V3-V4 region was performed using fecal samples from the disease and healthy groups. By comparing the differences in the microbiota and metabolite compositions between the two groups, the relationship between the gut microbiota and serum metabolites was also investigated.</w:t>
      </w:r>
    </w:p>
    <w:p w14:paraId="0D4BEF97" w14:textId="77777777" w:rsidR="00A77B3E" w:rsidRPr="002E2DEC" w:rsidRDefault="00A77B3E" w:rsidP="002E2DEC">
      <w:pPr>
        <w:snapToGrid w:val="0"/>
        <w:spacing w:line="360" w:lineRule="auto"/>
        <w:jc w:val="both"/>
        <w:rPr>
          <w:rFonts w:ascii="Book Antiqua" w:hAnsi="Book Antiqua"/>
          <w:color w:val="000000" w:themeColor="text1"/>
        </w:rPr>
      </w:pPr>
    </w:p>
    <w:p w14:paraId="3533296E"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i/>
          <w:color w:val="000000" w:themeColor="text1"/>
        </w:rPr>
        <w:t>Research results</w:t>
      </w:r>
    </w:p>
    <w:p w14:paraId="06C935EF" w14:textId="11347BAA" w:rsidR="00A77B3E" w:rsidRPr="002E2DEC" w:rsidRDefault="00972B62" w:rsidP="002E2DEC">
      <w:pPr>
        <w:snapToGrid w:val="0"/>
        <w:spacing w:line="360" w:lineRule="auto"/>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ICP patients</w:t>
      </w:r>
      <w:r w:rsidR="006A06C3" w:rsidRPr="002E2DEC">
        <w:rPr>
          <w:rFonts w:ascii="Book Antiqua" w:hAnsi="Book Antiqua" w:cs="Book Antiqua"/>
          <w:color w:val="000000" w:themeColor="text1"/>
          <w:lang w:eastAsia="zh-CN"/>
        </w:rPr>
        <w:t xml:space="preserve"> </w:t>
      </w:r>
      <w:r w:rsidRPr="002E2DEC">
        <w:rPr>
          <w:rFonts w:ascii="Book Antiqua" w:eastAsia="Book Antiqua" w:hAnsi="Book Antiqua" w:cs="Book Antiqua"/>
          <w:color w:val="000000" w:themeColor="text1"/>
        </w:rPr>
        <w:t>have</w:t>
      </w:r>
      <w:r w:rsidR="006A06C3" w:rsidRPr="002E2DEC">
        <w:rPr>
          <w:rFonts w:ascii="Book Antiqua" w:hAnsi="Book Antiqua" w:cs="Book Antiqua"/>
          <w:color w:val="000000" w:themeColor="text1"/>
          <w:lang w:eastAsia="zh-CN"/>
        </w:rPr>
        <w:t xml:space="preserve"> </w:t>
      </w:r>
      <w:r w:rsidRPr="002E2DEC">
        <w:rPr>
          <w:rFonts w:ascii="Book Antiqua" w:eastAsia="Book Antiqua" w:hAnsi="Book Antiqua" w:cs="Book Antiqua"/>
          <w:color w:val="000000" w:themeColor="text1"/>
        </w:rPr>
        <w:t>critical differences in the intestinal microflora composition (beta diversity)</w:t>
      </w:r>
      <w:r w:rsidR="006A06C3" w:rsidRPr="002E2DEC">
        <w:rPr>
          <w:rFonts w:ascii="Book Antiqua" w:hAnsi="Book Antiqua" w:cs="Book Antiqua"/>
          <w:color w:val="000000" w:themeColor="text1"/>
          <w:lang w:eastAsia="zh-CN"/>
        </w:rPr>
        <w:t xml:space="preserve"> </w:t>
      </w:r>
      <w:r w:rsidRPr="002E2DEC">
        <w:rPr>
          <w:rFonts w:ascii="Book Antiqua" w:eastAsia="Book Antiqua" w:hAnsi="Book Antiqua" w:cs="Book Antiqua"/>
          <w:color w:val="000000" w:themeColor="text1"/>
        </w:rPr>
        <w:t>from that in healthy controls.</w:t>
      </w:r>
      <w:r w:rsidRPr="002E2DEC">
        <w:rPr>
          <w:rFonts w:ascii="Book Antiqua" w:hAnsi="Book Antiqua" w:cs="Book Antiqua"/>
          <w:color w:val="000000" w:themeColor="text1"/>
          <w:lang w:eastAsia="zh-CN"/>
        </w:rPr>
        <w:t xml:space="preserve"> </w:t>
      </w:r>
      <w:r w:rsidR="003022FF" w:rsidRPr="002E2DEC">
        <w:rPr>
          <w:rFonts w:ascii="Book Antiqua" w:eastAsia="Book Antiqua" w:hAnsi="Book Antiqua" w:cs="Book Antiqua"/>
          <w:color w:val="000000" w:themeColor="text1"/>
        </w:rPr>
        <w:t>At the genus level, most of the bacteria depleted in ICP are able to produce short-chain fatty acids (</w:t>
      </w:r>
      <w:r w:rsidR="003022FF" w:rsidRPr="002E2DEC">
        <w:rPr>
          <w:rFonts w:ascii="Book Antiqua" w:eastAsia="Book Antiqua" w:hAnsi="Book Antiqua" w:cs="Book Antiqua"/>
          <w:i/>
          <w:color w:val="000000" w:themeColor="text1"/>
        </w:rPr>
        <w:t>e.g</w:t>
      </w:r>
      <w:r w:rsidR="00731B89" w:rsidRPr="002E2DEC">
        <w:rPr>
          <w:rFonts w:ascii="Book Antiqua" w:eastAsia="Book Antiqua" w:hAnsi="Book Antiqua" w:cs="Book Antiqua"/>
          <w:i/>
          <w:color w:val="000000" w:themeColor="text1"/>
        </w:rPr>
        <w:t>.</w:t>
      </w:r>
      <w:r w:rsidR="003022FF" w:rsidRPr="002E2DEC">
        <w:rPr>
          <w:rFonts w:ascii="Book Antiqua" w:eastAsia="Book Antiqua" w:hAnsi="Book Antiqua" w:cs="Book Antiqua"/>
          <w:color w:val="000000" w:themeColor="text1"/>
        </w:rPr>
        <w:t xml:space="preserve">, </w:t>
      </w:r>
      <w:r w:rsidR="003022FF" w:rsidRPr="002E2DEC">
        <w:rPr>
          <w:rFonts w:ascii="Book Antiqua" w:eastAsia="Book Antiqua" w:hAnsi="Book Antiqua" w:cs="Book Antiqua"/>
          <w:i/>
          <w:iCs/>
          <w:color w:val="000000" w:themeColor="text1"/>
        </w:rPr>
        <w:t xml:space="preserve">Faecalibacterium, Blautia </w:t>
      </w:r>
      <w:r w:rsidR="003022FF" w:rsidRPr="002E2DEC">
        <w:rPr>
          <w:rFonts w:ascii="Book Antiqua" w:eastAsia="Book Antiqua" w:hAnsi="Book Antiqua" w:cs="Book Antiqua"/>
          <w:color w:val="000000" w:themeColor="text1"/>
        </w:rPr>
        <w:t xml:space="preserve">and </w:t>
      </w:r>
      <w:r w:rsidR="003022FF" w:rsidRPr="002E2DEC">
        <w:rPr>
          <w:rFonts w:ascii="Book Antiqua" w:eastAsia="Book Antiqua" w:hAnsi="Book Antiqua" w:cs="Book Antiqua"/>
          <w:i/>
          <w:iCs/>
          <w:color w:val="000000" w:themeColor="text1"/>
        </w:rPr>
        <w:t>Eubacterium hallii</w:t>
      </w:r>
      <w:r w:rsidR="003022FF" w:rsidRPr="002E2DEC">
        <w:rPr>
          <w:rFonts w:ascii="Book Antiqua" w:eastAsia="Book Antiqua" w:hAnsi="Book Antiqua" w:cs="Book Antiqua"/>
          <w:color w:val="000000" w:themeColor="text1"/>
        </w:rPr>
        <w:t>), while the bacteria enriched in ICP are associated with bile acid metabolism (</w:t>
      </w:r>
      <w:r w:rsidR="003022FF" w:rsidRPr="002E2DEC">
        <w:rPr>
          <w:rFonts w:ascii="Book Antiqua" w:eastAsia="Book Antiqua" w:hAnsi="Book Antiqua" w:cs="Book Antiqua"/>
          <w:i/>
          <w:color w:val="000000" w:themeColor="text1"/>
        </w:rPr>
        <w:t>e.g</w:t>
      </w:r>
      <w:r w:rsidR="00731B89" w:rsidRPr="002E2DEC">
        <w:rPr>
          <w:rFonts w:ascii="Book Antiqua" w:eastAsia="Book Antiqua" w:hAnsi="Book Antiqua" w:cs="Book Antiqua"/>
          <w:i/>
          <w:color w:val="000000" w:themeColor="text1"/>
        </w:rPr>
        <w:t>.</w:t>
      </w:r>
      <w:r w:rsidR="003022FF" w:rsidRPr="002E2DEC">
        <w:rPr>
          <w:rFonts w:ascii="Book Antiqua" w:eastAsia="Book Antiqua" w:hAnsi="Book Antiqua" w:cs="Book Antiqua"/>
          <w:color w:val="000000" w:themeColor="text1"/>
        </w:rPr>
        <w:t xml:space="preserve">, </w:t>
      </w:r>
      <w:r w:rsidR="003022FF" w:rsidRPr="002E2DEC">
        <w:rPr>
          <w:rFonts w:ascii="Book Antiqua" w:eastAsia="Book Antiqua" w:hAnsi="Book Antiqua" w:cs="Book Antiqua"/>
          <w:i/>
          <w:iCs/>
          <w:color w:val="000000" w:themeColor="text1"/>
        </w:rPr>
        <w:t xml:space="preserve">Parabacteroides </w:t>
      </w:r>
      <w:r w:rsidR="003022FF" w:rsidRPr="002E2DEC">
        <w:rPr>
          <w:rFonts w:ascii="Book Antiqua" w:eastAsia="Book Antiqua" w:hAnsi="Book Antiqua" w:cs="Book Antiqua"/>
          <w:color w:val="000000" w:themeColor="text1"/>
        </w:rPr>
        <w:t>and</w:t>
      </w:r>
      <w:r w:rsidR="003022FF" w:rsidRPr="002E2DEC">
        <w:rPr>
          <w:rFonts w:ascii="Book Antiqua" w:eastAsia="Book Antiqua" w:hAnsi="Book Antiqua" w:cs="Book Antiqua"/>
          <w:i/>
          <w:iCs/>
          <w:color w:val="000000" w:themeColor="text1"/>
        </w:rPr>
        <w:t xml:space="preserve"> Bilophila</w:t>
      </w:r>
      <w:r w:rsidR="003022FF" w:rsidRPr="002E2DEC">
        <w:rPr>
          <w:rFonts w:ascii="Book Antiqua" w:eastAsia="Book Antiqua" w:hAnsi="Book Antiqua" w:cs="Book Antiqua"/>
          <w:color w:val="000000" w:themeColor="text1"/>
        </w:rPr>
        <w:t>). Our results also showed that specific genera were associated with the serum metabolome.</w:t>
      </w:r>
    </w:p>
    <w:p w14:paraId="7026C48C" w14:textId="77777777" w:rsidR="00A77B3E" w:rsidRPr="002E2DEC" w:rsidRDefault="00A77B3E" w:rsidP="002E2DEC">
      <w:pPr>
        <w:snapToGrid w:val="0"/>
        <w:spacing w:line="360" w:lineRule="auto"/>
        <w:jc w:val="both"/>
        <w:rPr>
          <w:rFonts w:ascii="Book Antiqua" w:hAnsi="Book Antiqua"/>
          <w:color w:val="000000" w:themeColor="text1"/>
        </w:rPr>
      </w:pPr>
    </w:p>
    <w:p w14:paraId="1A4F2DF1"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i/>
          <w:color w:val="000000" w:themeColor="text1"/>
        </w:rPr>
        <w:t>Research conclusions</w:t>
      </w:r>
    </w:p>
    <w:p w14:paraId="6AA22C6C"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The serum metabolome was significantly correlated with the gut microbiota, indicating that the gut microbiota plays an important role in the occurrence and development of ICP. Our findings suggest that the intestinal microbiome can be used as a therapeutic target to provide new strategies for the diagnosis and treatment of ICP.</w:t>
      </w:r>
    </w:p>
    <w:p w14:paraId="6A8F1C13" w14:textId="77777777" w:rsidR="00A77B3E" w:rsidRPr="002E2DEC" w:rsidRDefault="00A77B3E" w:rsidP="002E2DEC">
      <w:pPr>
        <w:snapToGrid w:val="0"/>
        <w:spacing w:line="360" w:lineRule="auto"/>
        <w:jc w:val="both"/>
        <w:rPr>
          <w:rFonts w:ascii="Book Antiqua" w:hAnsi="Book Antiqua"/>
          <w:color w:val="000000" w:themeColor="text1"/>
        </w:rPr>
      </w:pPr>
    </w:p>
    <w:p w14:paraId="0F34F3E0"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i/>
          <w:color w:val="000000" w:themeColor="text1"/>
        </w:rPr>
        <w:t>Research perspectives</w:t>
      </w:r>
    </w:p>
    <w:p w14:paraId="7D7C8C39" w14:textId="2578D4AB"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Our group will study gut microbiota and metabolome changes before and after drug treatment to provide a new regimen for ICP treatment. In the future we will also conduct intervention studies using pr</w:t>
      </w:r>
      <w:r w:rsidR="003A5E3A" w:rsidRPr="002E2DEC">
        <w:rPr>
          <w:rFonts w:ascii="Book Antiqua" w:eastAsia="Book Antiqua" w:hAnsi="Book Antiqua" w:cs="Book Antiqua"/>
          <w:color w:val="000000" w:themeColor="text1"/>
        </w:rPr>
        <w:t>e</w:t>
      </w:r>
      <w:r w:rsidRPr="002E2DEC">
        <w:rPr>
          <w:rFonts w:ascii="Book Antiqua" w:eastAsia="Book Antiqua" w:hAnsi="Book Antiqua" w:cs="Book Antiqua"/>
          <w:color w:val="000000" w:themeColor="text1"/>
        </w:rPr>
        <w:t>biotics, probiotics and synbiotics to promote the establishment of beneficial microbiota and investigate whether it can have a positive impact on the health of ICP patients.</w:t>
      </w:r>
    </w:p>
    <w:p w14:paraId="2E1C5B39" w14:textId="77777777" w:rsidR="00A77B3E" w:rsidRPr="002E2DEC" w:rsidRDefault="00A77B3E" w:rsidP="002E2DEC">
      <w:pPr>
        <w:snapToGrid w:val="0"/>
        <w:spacing w:line="360" w:lineRule="auto"/>
        <w:jc w:val="both"/>
        <w:rPr>
          <w:rFonts w:ascii="Book Antiqua" w:hAnsi="Book Antiqua"/>
          <w:color w:val="000000" w:themeColor="text1"/>
        </w:rPr>
      </w:pPr>
    </w:p>
    <w:p w14:paraId="10E45E92"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aps/>
          <w:color w:val="000000" w:themeColor="text1"/>
          <w:u w:val="single"/>
        </w:rPr>
        <w:t>ACKNOWLEDGEMENTS</w:t>
      </w:r>
    </w:p>
    <w:p w14:paraId="240CB7BF" w14:textId="774DFD06"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We</w:t>
      </w:r>
      <w:r w:rsidR="00723BCA" w:rsidRPr="002E2DEC">
        <w:rPr>
          <w:rFonts w:ascii="Book Antiqua" w:hAnsi="Book Antiqua" w:cs="Book Antiqua"/>
          <w:color w:val="000000" w:themeColor="text1"/>
          <w:lang w:eastAsia="zh-CN"/>
        </w:rPr>
        <w:t xml:space="preserve"> </w:t>
      </w:r>
      <w:r w:rsidRPr="002E2DEC">
        <w:rPr>
          <w:rFonts w:ascii="Book Antiqua" w:eastAsia="Book Antiqua" w:hAnsi="Book Antiqua" w:cs="Book Antiqua"/>
          <w:color w:val="000000" w:themeColor="text1"/>
        </w:rPr>
        <w:t xml:space="preserve">would like to express our appreciation to </w:t>
      </w:r>
      <w:r w:rsidR="003A5E3A" w:rsidRPr="002E2DEC">
        <w:rPr>
          <w:rFonts w:ascii="Book Antiqua" w:eastAsia="Book Antiqua" w:hAnsi="Book Antiqua" w:cs="Book Antiqua"/>
          <w:color w:val="000000" w:themeColor="text1"/>
        </w:rPr>
        <w:t xml:space="preserve">the </w:t>
      </w:r>
      <w:r w:rsidRPr="002E2DEC">
        <w:rPr>
          <w:rFonts w:ascii="Book Antiqua" w:eastAsia="Book Antiqua" w:hAnsi="Book Antiqua" w:cs="Book Antiqua"/>
          <w:color w:val="000000" w:themeColor="text1"/>
        </w:rPr>
        <w:t>Department of</w:t>
      </w:r>
      <w:r w:rsidR="00723BCA" w:rsidRPr="002E2DEC">
        <w:rPr>
          <w:rFonts w:ascii="Book Antiqua" w:hAnsi="Book Antiqua" w:cs="Book Antiqua"/>
          <w:color w:val="000000" w:themeColor="text1"/>
          <w:lang w:eastAsia="zh-CN"/>
        </w:rPr>
        <w:t xml:space="preserve"> </w:t>
      </w:r>
      <w:r w:rsidRPr="002E2DEC">
        <w:rPr>
          <w:rFonts w:ascii="Book Antiqua" w:eastAsia="Book Antiqua" w:hAnsi="Book Antiqua" w:cs="Book Antiqua"/>
          <w:color w:val="000000" w:themeColor="text1"/>
        </w:rPr>
        <w:t>Obstetrics, Shanghai First Maternity and Infant Hospital, Tongji University School of Medicine for help with patient recruitment and sample collection.</w:t>
      </w:r>
    </w:p>
    <w:p w14:paraId="16F1D06A" w14:textId="77777777" w:rsidR="00A77B3E" w:rsidRPr="002E2DEC" w:rsidRDefault="00A77B3E" w:rsidP="00D22219">
      <w:pPr>
        <w:adjustRightInd w:val="0"/>
        <w:snapToGrid w:val="0"/>
        <w:spacing w:line="360" w:lineRule="auto"/>
        <w:jc w:val="both"/>
        <w:rPr>
          <w:rFonts w:ascii="Book Antiqua" w:hAnsi="Book Antiqua"/>
          <w:color w:val="000000" w:themeColor="text1"/>
        </w:rPr>
      </w:pPr>
    </w:p>
    <w:p w14:paraId="55D5248F" w14:textId="77777777" w:rsidR="00A77B3E" w:rsidRPr="002E2DEC" w:rsidRDefault="003022FF">
      <w:pPr>
        <w:adjustRightInd w:val="0"/>
        <w:snapToGrid w:val="0"/>
        <w:spacing w:line="360" w:lineRule="auto"/>
        <w:jc w:val="both"/>
        <w:rPr>
          <w:rFonts w:ascii="Book Antiqua" w:hAnsi="Book Antiqua"/>
          <w:color w:val="000000" w:themeColor="text1"/>
          <w:lang w:eastAsia="zh-CN"/>
        </w:rPr>
      </w:pPr>
      <w:r w:rsidRPr="002E2DEC">
        <w:rPr>
          <w:rFonts w:ascii="Book Antiqua" w:eastAsia="Book Antiqua" w:hAnsi="Book Antiqua" w:cs="Book Antiqua"/>
          <w:b/>
          <w:color w:val="000000" w:themeColor="text1"/>
        </w:rPr>
        <w:t>REFERENCES</w:t>
      </w:r>
    </w:p>
    <w:p w14:paraId="6CE868AC"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1 </w:t>
      </w:r>
      <w:r w:rsidRPr="002E2DEC">
        <w:rPr>
          <w:rFonts w:ascii="Book Antiqua" w:hAnsi="Book Antiqua"/>
          <w:b/>
          <w:bCs/>
          <w:color w:val="000000" w:themeColor="text1"/>
        </w:rPr>
        <w:t>Wood AM</w:t>
      </w:r>
      <w:r w:rsidRPr="002E2DEC">
        <w:rPr>
          <w:rFonts w:ascii="Book Antiqua" w:hAnsi="Book Antiqua"/>
          <w:color w:val="000000" w:themeColor="text1"/>
        </w:rPr>
        <w:t>, Livingston EG, Hughes BL, Kuller JA. Intrahepatic Cholestasis of Pregnancy: A Review of Diagnosis and Management. </w:t>
      </w:r>
      <w:r w:rsidRPr="002E2DEC">
        <w:rPr>
          <w:rFonts w:ascii="Book Antiqua" w:hAnsi="Book Antiqua"/>
          <w:i/>
          <w:iCs/>
          <w:color w:val="000000" w:themeColor="text1"/>
        </w:rPr>
        <w:t>Obstet Gynecol Surv</w:t>
      </w:r>
      <w:r w:rsidRPr="002E2DEC">
        <w:rPr>
          <w:rFonts w:ascii="Book Antiqua" w:hAnsi="Book Antiqua"/>
          <w:color w:val="000000" w:themeColor="text1"/>
        </w:rPr>
        <w:t> 2018; </w:t>
      </w:r>
      <w:r w:rsidRPr="002E2DEC">
        <w:rPr>
          <w:rFonts w:ascii="Book Antiqua" w:hAnsi="Book Antiqua"/>
          <w:b/>
          <w:bCs/>
          <w:color w:val="000000" w:themeColor="text1"/>
        </w:rPr>
        <w:t>73</w:t>
      </w:r>
      <w:r w:rsidRPr="002E2DEC">
        <w:rPr>
          <w:rFonts w:ascii="Book Antiqua" w:hAnsi="Book Antiqua"/>
          <w:color w:val="000000" w:themeColor="text1"/>
        </w:rPr>
        <w:t>: 103-109 [PMID: 29480924 DOI: 10.1097/OGX.0000000000000524]</w:t>
      </w:r>
    </w:p>
    <w:p w14:paraId="2B048FD0"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2 </w:t>
      </w:r>
      <w:r w:rsidRPr="002E2DEC">
        <w:rPr>
          <w:rFonts w:ascii="Book Antiqua" w:hAnsi="Book Antiqua"/>
          <w:b/>
          <w:bCs/>
          <w:color w:val="000000" w:themeColor="text1"/>
        </w:rPr>
        <w:t>Lee NM</w:t>
      </w:r>
      <w:r w:rsidRPr="002E2DEC">
        <w:rPr>
          <w:rFonts w:ascii="Book Antiqua" w:hAnsi="Book Antiqua"/>
          <w:color w:val="000000" w:themeColor="text1"/>
        </w:rPr>
        <w:t>, Brady CW. Liver disease in pregnancy. </w:t>
      </w:r>
      <w:r w:rsidRPr="002E2DEC">
        <w:rPr>
          <w:rFonts w:ascii="Book Antiqua" w:hAnsi="Book Antiqua"/>
          <w:i/>
          <w:iCs/>
          <w:color w:val="000000" w:themeColor="text1"/>
        </w:rPr>
        <w:t>World J Gastroenterol</w:t>
      </w:r>
      <w:r w:rsidRPr="002E2DEC">
        <w:rPr>
          <w:rFonts w:ascii="Book Antiqua" w:hAnsi="Book Antiqua"/>
          <w:color w:val="000000" w:themeColor="text1"/>
        </w:rPr>
        <w:t> 2009; </w:t>
      </w:r>
      <w:r w:rsidRPr="002E2DEC">
        <w:rPr>
          <w:rFonts w:ascii="Book Antiqua" w:hAnsi="Book Antiqua"/>
          <w:b/>
          <w:bCs/>
          <w:color w:val="000000" w:themeColor="text1"/>
        </w:rPr>
        <w:t>15</w:t>
      </w:r>
      <w:r w:rsidRPr="002E2DEC">
        <w:rPr>
          <w:rFonts w:ascii="Book Antiqua" w:hAnsi="Book Antiqua"/>
          <w:color w:val="000000" w:themeColor="text1"/>
        </w:rPr>
        <w:t>: 897-906 [PMID: 19248187 DOI: 10.3748/wjg.15.897]</w:t>
      </w:r>
    </w:p>
    <w:p w14:paraId="690DE5D1"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3 </w:t>
      </w:r>
      <w:r w:rsidRPr="002E2DEC">
        <w:rPr>
          <w:rFonts w:ascii="Book Antiqua" w:hAnsi="Book Antiqua"/>
          <w:b/>
          <w:bCs/>
          <w:color w:val="000000" w:themeColor="text1"/>
        </w:rPr>
        <w:t>Geenes V</w:t>
      </w:r>
      <w:r w:rsidRPr="002E2DEC">
        <w:rPr>
          <w:rFonts w:ascii="Book Antiqua" w:hAnsi="Book Antiqua"/>
          <w:color w:val="000000" w:themeColor="text1"/>
        </w:rPr>
        <w:t>, Chappell LC, Seed PT, Steer PJ, Knight M, Williamson C. Association of severe intrahepatic cholestasis of pregnancy with adverse pregnancy outcomes: a prospective population-based case-control study. </w:t>
      </w:r>
      <w:r w:rsidRPr="002E2DEC">
        <w:rPr>
          <w:rFonts w:ascii="Book Antiqua" w:hAnsi="Book Antiqua"/>
          <w:i/>
          <w:iCs/>
          <w:color w:val="000000" w:themeColor="text1"/>
        </w:rPr>
        <w:t>Hepatology</w:t>
      </w:r>
      <w:r w:rsidRPr="002E2DEC">
        <w:rPr>
          <w:rFonts w:ascii="Book Antiqua" w:hAnsi="Book Antiqua"/>
          <w:color w:val="000000" w:themeColor="text1"/>
        </w:rPr>
        <w:t> 2014; </w:t>
      </w:r>
      <w:r w:rsidRPr="002E2DEC">
        <w:rPr>
          <w:rFonts w:ascii="Book Antiqua" w:hAnsi="Book Antiqua"/>
          <w:b/>
          <w:bCs/>
          <w:color w:val="000000" w:themeColor="text1"/>
        </w:rPr>
        <w:t>59</w:t>
      </w:r>
      <w:r w:rsidRPr="002E2DEC">
        <w:rPr>
          <w:rFonts w:ascii="Book Antiqua" w:hAnsi="Book Antiqua"/>
          <w:color w:val="000000" w:themeColor="text1"/>
        </w:rPr>
        <w:t>: 1482-1491 [PMID: 23857305 DOI: 10.1002/hep.26617]</w:t>
      </w:r>
    </w:p>
    <w:p w14:paraId="55367929"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4 </w:t>
      </w:r>
      <w:r w:rsidRPr="002E2DEC">
        <w:rPr>
          <w:rFonts w:ascii="Book Antiqua" w:hAnsi="Book Antiqua"/>
          <w:b/>
          <w:bCs/>
          <w:color w:val="000000" w:themeColor="text1"/>
        </w:rPr>
        <w:t>Brouwers L</w:t>
      </w:r>
      <w:r w:rsidRPr="002E2DEC">
        <w:rPr>
          <w:rFonts w:ascii="Book Antiqua" w:hAnsi="Book Antiqua"/>
          <w:color w:val="000000" w:themeColor="text1"/>
        </w:rPr>
        <w:t>, Koster MP, Page-Christiaens GC, Kemperman H, Boon J, Evers IM, Bogte A, Oudijk MA. Intrahepatic cholestasis of pregnancy: maternal and fetal outcomes associated with elevated bile acid levels. </w:t>
      </w:r>
      <w:r w:rsidRPr="002E2DEC">
        <w:rPr>
          <w:rFonts w:ascii="Book Antiqua" w:hAnsi="Book Antiqua"/>
          <w:i/>
          <w:iCs/>
          <w:color w:val="000000" w:themeColor="text1"/>
        </w:rPr>
        <w:t>Am J Obstet Gynecol</w:t>
      </w:r>
      <w:r w:rsidRPr="002E2DEC">
        <w:rPr>
          <w:rFonts w:ascii="Book Antiqua" w:hAnsi="Book Antiqua"/>
          <w:color w:val="000000" w:themeColor="text1"/>
        </w:rPr>
        <w:t> 2015; </w:t>
      </w:r>
      <w:r w:rsidRPr="002E2DEC">
        <w:rPr>
          <w:rFonts w:ascii="Book Antiqua" w:hAnsi="Book Antiqua"/>
          <w:b/>
          <w:bCs/>
          <w:color w:val="000000" w:themeColor="text1"/>
        </w:rPr>
        <w:t>212</w:t>
      </w:r>
      <w:r w:rsidRPr="002E2DEC">
        <w:rPr>
          <w:rFonts w:ascii="Book Antiqua" w:hAnsi="Book Antiqua"/>
          <w:color w:val="000000" w:themeColor="text1"/>
        </w:rPr>
        <w:t>: 100.e1-100.e7 [PMID: 25046809 DOI: 10.1016/j.ajog.2014.07.026]</w:t>
      </w:r>
    </w:p>
    <w:p w14:paraId="25D30BDD" w14:textId="1461144D"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5 </w:t>
      </w:r>
      <w:r w:rsidRPr="002E2DEC">
        <w:rPr>
          <w:rFonts w:ascii="Book Antiqua" w:hAnsi="Book Antiqua"/>
          <w:b/>
          <w:bCs/>
          <w:color w:val="000000" w:themeColor="text1"/>
        </w:rPr>
        <w:t>Zecca E</w:t>
      </w:r>
      <w:r w:rsidRPr="002E2DEC">
        <w:rPr>
          <w:rFonts w:ascii="Book Antiqua" w:hAnsi="Book Antiqua"/>
          <w:color w:val="000000" w:themeColor="text1"/>
        </w:rPr>
        <w:t>, De Luca D, Marras M, Caruso A, Bernardini T, Romagnoli C. Intrahepatic cholestasis of pregnancy and neonatal respiratory distress syndrome.</w:t>
      </w:r>
      <w:r w:rsidR="00731B89" w:rsidRPr="002E2DEC">
        <w:rPr>
          <w:rFonts w:ascii="Book Antiqua" w:hAnsi="Book Antiqua"/>
          <w:color w:val="000000" w:themeColor="text1"/>
        </w:rPr>
        <w:t xml:space="preserve"> </w:t>
      </w:r>
      <w:r w:rsidRPr="002E2DEC">
        <w:rPr>
          <w:rFonts w:ascii="Book Antiqua" w:hAnsi="Book Antiqua"/>
          <w:i/>
          <w:iCs/>
          <w:color w:val="000000" w:themeColor="text1"/>
        </w:rPr>
        <w:t>Pediatrics</w:t>
      </w:r>
      <w:r w:rsidR="00731B89" w:rsidRPr="002E2DEC">
        <w:rPr>
          <w:rFonts w:ascii="Book Antiqua" w:hAnsi="Book Antiqua"/>
          <w:color w:val="000000" w:themeColor="text1"/>
        </w:rPr>
        <w:t xml:space="preserve"> </w:t>
      </w:r>
      <w:r w:rsidRPr="002E2DEC">
        <w:rPr>
          <w:rFonts w:ascii="Book Antiqua" w:hAnsi="Book Antiqua"/>
          <w:color w:val="000000" w:themeColor="text1"/>
        </w:rPr>
        <w:t>2006;</w:t>
      </w:r>
      <w:r w:rsidR="00575B9D" w:rsidRPr="002E2DEC">
        <w:rPr>
          <w:rFonts w:ascii="Book Antiqua" w:hAnsi="Book Antiqua"/>
          <w:color w:val="000000" w:themeColor="text1"/>
        </w:rPr>
        <w:t xml:space="preserve"> </w:t>
      </w:r>
      <w:r w:rsidRPr="002E2DEC">
        <w:rPr>
          <w:rFonts w:ascii="Book Antiqua" w:hAnsi="Book Antiqua"/>
          <w:b/>
          <w:bCs/>
          <w:color w:val="000000" w:themeColor="text1"/>
        </w:rPr>
        <w:t>117</w:t>
      </w:r>
      <w:r w:rsidRPr="002E2DEC">
        <w:rPr>
          <w:rFonts w:ascii="Book Antiqua" w:hAnsi="Book Antiqua"/>
          <w:color w:val="000000" w:themeColor="text1"/>
        </w:rPr>
        <w:t>: 1669-1672 [PMID: 16651322 DOI: 10.1542/peds.2005-1801]</w:t>
      </w:r>
    </w:p>
    <w:p w14:paraId="2C7ADB54"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6 </w:t>
      </w:r>
      <w:r w:rsidRPr="002E2DEC">
        <w:rPr>
          <w:rFonts w:ascii="Book Antiqua" w:hAnsi="Book Antiqua"/>
          <w:b/>
          <w:bCs/>
          <w:color w:val="000000" w:themeColor="text1"/>
        </w:rPr>
        <w:t>Wahlström A</w:t>
      </w:r>
      <w:r w:rsidRPr="002E2DEC">
        <w:rPr>
          <w:rFonts w:ascii="Book Antiqua" w:hAnsi="Book Antiqua"/>
          <w:color w:val="000000" w:themeColor="text1"/>
        </w:rPr>
        <w:t>, Sayin SI, Marschall HU, Bäckhed F. Intestinal Crosstalk between Bile Acids and Microbiota and Its Impact on Host Metabolism. </w:t>
      </w:r>
      <w:r w:rsidRPr="002E2DEC">
        <w:rPr>
          <w:rFonts w:ascii="Book Antiqua" w:hAnsi="Book Antiqua"/>
          <w:i/>
          <w:iCs/>
          <w:color w:val="000000" w:themeColor="text1"/>
        </w:rPr>
        <w:t>Cell Metab</w:t>
      </w:r>
      <w:r w:rsidRPr="002E2DEC">
        <w:rPr>
          <w:rFonts w:ascii="Book Antiqua" w:hAnsi="Book Antiqua"/>
          <w:color w:val="000000" w:themeColor="text1"/>
        </w:rPr>
        <w:t> 2016; </w:t>
      </w:r>
      <w:r w:rsidRPr="002E2DEC">
        <w:rPr>
          <w:rFonts w:ascii="Book Antiqua" w:hAnsi="Book Antiqua"/>
          <w:b/>
          <w:bCs/>
          <w:color w:val="000000" w:themeColor="text1"/>
        </w:rPr>
        <w:t>24</w:t>
      </w:r>
      <w:r w:rsidRPr="002E2DEC">
        <w:rPr>
          <w:rFonts w:ascii="Book Antiqua" w:hAnsi="Book Antiqua"/>
          <w:color w:val="000000" w:themeColor="text1"/>
        </w:rPr>
        <w:t>: 41-50 [PMID: 27320064 DOI: 10.1016/j.cmet.2016.05.005]</w:t>
      </w:r>
    </w:p>
    <w:p w14:paraId="003CE848"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7 </w:t>
      </w:r>
      <w:r w:rsidRPr="002E2DEC">
        <w:rPr>
          <w:rFonts w:ascii="Book Antiqua" w:hAnsi="Book Antiqua"/>
          <w:b/>
          <w:bCs/>
          <w:color w:val="000000" w:themeColor="text1"/>
        </w:rPr>
        <w:t>de Aguiar Vallim TQ</w:t>
      </w:r>
      <w:r w:rsidRPr="002E2DEC">
        <w:rPr>
          <w:rFonts w:ascii="Book Antiqua" w:hAnsi="Book Antiqua"/>
          <w:color w:val="000000" w:themeColor="text1"/>
        </w:rPr>
        <w:t>, Tarling EJ, Edwards PA. Pleiotropic roles of bile acids in metabolism. </w:t>
      </w:r>
      <w:r w:rsidRPr="002E2DEC">
        <w:rPr>
          <w:rFonts w:ascii="Book Antiqua" w:hAnsi="Book Antiqua"/>
          <w:i/>
          <w:iCs/>
          <w:color w:val="000000" w:themeColor="text1"/>
        </w:rPr>
        <w:t>Cell Metab</w:t>
      </w:r>
      <w:r w:rsidRPr="002E2DEC">
        <w:rPr>
          <w:rFonts w:ascii="Book Antiqua" w:hAnsi="Book Antiqua"/>
          <w:color w:val="000000" w:themeColor="text1"/>
        </w:rPr>
        <w:t> 2013; </w:t>
      </w:r>
      <w:r w:rsidRPr="002E2DEC">
        <w:rPr>
          <w:rFonts w:ascii="Book Antiqua" w:hAnsi="Book Antiqua"/>
          <w:b/>
          <w:bCs/>
          <w:color w:val="000000" w:themeColor="text1"/>
        </w:rPr>
        <w:t>17</w:t>
      </w:r>
      <w:r w:rsidRPr="002E2DEC">
        <w:rPr>
          <w:rFonts w:ascii="Book Antiqua" w:hAnsi="Book Antiqua"/>
          <w:color w:val="000000" w:themeColor="text1"/>
        </w:rPr>
        <w:t>: 657-669 [PMID: 23602448 DOI: 10.1016/j.cmet.2013.03.013]</w:t>
      </w:r>
    </w:p>
    <w:p w14:paraId="3BA7BF90" w14:textId="76DB824B"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8 </w:t>
      </w:r>
      <w:r w:rsidRPr="002E2DEC">
        <w:rPr>
          <w:rFonts w:ascii="Book Antiqua" w:hAnsi="Book Antiqua"/>
          <w:b/>
          <w:bCs/>
          <w:color w:val="000000" w:themeColor="text1"/>
        </w:rPr>
        <w:t>Jones BV</w:t>
      </w:r>
      <w:r w:rsidRPr="002E2DEC">
        <w:rPr>
          <w:rFonts w:ascii="Book Antiqua" w:hAnsi="Book Antiqua"/>
          <w:color w:val="000000" w:themeColor="text1"/>
        </w:rPr>
        <w:t>, Begley M, Hill C, Gahan CG, Marchesi JR. Functional and comparative metagenomic analysis of bile salt hydrolase activity in the human gut microbiome. </w:t>
      </w:r>
      <w:r w:rsidR="001041AB" w:rsidRPr="002E2DEC">
        <w:rPr>
          <w:rFonts w:ascii="Book Antiqua" w:hAnsi="Book Antiqua"/>
          <w:i/>
          <w:iCs/>
          <w:color w:val="000000" w:themeColor="text1"/>
        </w:rPr>
        <w:t>Proc Natl Acad Sci US</w:t>
      </w:r>
      <w:r w:rsidRPr="002E2DEC">
        <w:rPr>
          <w:rFonts w:ascii="Book Antiqua" w:hAnsi="Book Antiqua"/>
          <w:i/>
          <w:iCs/>
          <w:color w:val="000000" w:themeColor="text1"/>
        </w:rPr>
        <w:t>A</w:t>
      </w:r>
      <w:r w:rsidRPr="002E2DEC">
        <w:rPr>
          <w:rFonts w:ascii="Book Antiqua" w:hAnsi="Book Antiqua"/>
          <w:color w:val="000000" w:themeColor="text1"/>
        </w:rPr>
        <w:t> 2008; </w:t>
      </w:r>
      <w:r w:rsidRPr="002E2DEC">
        <w:rPr>
          <w:rFonts w:ascii="Book Antiqua" w:hAnsi="Book Antiqua"/>
          <w:b/>
          <w:bCs/>
          <w:color w:val="000000" w:themeColor="text1"/>
        </w:rPr>
        <w:t>105</w:t>
      </w:r>
      <w:r w:rsidRPr="002E2DEC">
        <w:rPr>
          <w:rFonts w:ascii="Book Antiqua" w:hAnsi="Book Antiqua"/>
          <w:color w:val="000000" w:themeColor="text1"/>
        </w:rPr>
        <w:t>: 13580-13585 [PMID: 18757757 DOI: 10.1073/pnas.0804437105]</w:t>
      </w:r>
    </w:p>
    <w:p w14:paraId="2D6CD400"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9 </w:t>
      </w:r>
      <w:r w:rsidRPr="002E2DEC">
        <w:rPr>
          <w:rFonts w:ascii="Book Antiqua" w:hAnsi="Book Antiqua"/>
          <w:b/>
          <w:bCs/>
          <w:color w:val="000000" w:themeColor="text1"/>
        </w:rPr>
        <w:t>Jia W</w:t>
      </w:r>
      <w:r w:rsidRPr="002E2DEC">
        <w:rPr>
          <w:rFonts w:ascii="Book Antiqua" w:hAnsi="Book Antiqua"/>
          <w:color w:val="000000" w:themeColor="text1"/>
        </w:rPr>
        <w:t>, Xie G, Jia W. Bile acid-microbiota crosstalk in gastrointestinal inflammation and carcinogenesis. </w:t>
      </w:r>
      <w:r w:rsidRPr="002E2DEC">
        <w:rPr>
          <w:rFonts w:ascii="Book Antiqua" w:hAnsi="Book Antiqua"/>
          <w:i/>
          <w:iCs/>
          <w:color w:val="000000" w:themeColor="text1"/>
        </w:rPr>
        <w:t>Nat Rev Gastroenterol Hepatol</w:t>
      </w:r>
      <w:r w:rsidRPr="002E2DEC">
        <w:rPr>
          <w:rFonts w:ascii="Book Antiqua" w:hAnsi="Book Antiqua"/>
          <w:color w:val="000000" w:themeColor="text1"/>
        </w:rPr>
        <w:t> 2018; </w:t>
      </w:r>
      <w:r w:rsidRPr="002E2DEC">
        <w:rPr>
          <w:rFonts w:ascii="Book Antiqua" w:hAnsi="Book Antiqua"/>
          <w:b/>
          <w:bCs/>
          <w:color w:val="000000" w:themeColor="text1"/>
        </w:rPr>
        <w:t>15</w:t>
      </w:r>
      <w:r w:rsidRPr="002E2DEC">
        <w:rPr>
          <w:rFonts w:ascii="Book Antiqua" w:hAnsi="Book Antiqua"/>
          <w:color w:val="000000" w:themeColor="text1"/>
        </w:rPr>
        <w:t>: 111-128 [PMID: 29018272 DOI: 10.1038/nrgastro.2017.119]</w:t>
      </w:r>
    </w:p>
    <w:p w14:paraId="430DE050"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10 </w:t>
      </w:r>
      <w:r w:rsidRPr="002E2DEC">
        <w:rPr>
          <w:rFonts w:ascii="Book Antiqua" w:hAnsi="Book Antiqua"/>
          <w:b/>
          <w:bCs/>
          <w:color w:val="000000" w:themeColor="text1"/>
        </w:rPr>
        <w:t>Sayin SI</w:t>
      </w:r>
      <w:r w:rsidRPr="002E2DEC">
        <w:rPr>
          <w:rFonts w:ascii="Book Antiqua" w:hAnsi="Book Antiqua"/>
          <w:color w:val="000000" w:themeColor="text1"/>
        </w:rPr>
        <w:t>, Wahlström A, Felin J, Jäntti S, Marschall HU, Bamberg K, Angelin B, Hyötyläinen T, Orešič M, Bäckhed F. Gut microbiota regulates bile acid metabolism by reducing the levels of tauro-beta-muricholic acid, a naturally occurring FXR antagonist. </w:t>
      </w:r>
      <w:r w:rsidRPr="002E2DEC">
        <w:rPr>
          <w:rFonts w:ascii="Book Antiqua" w:hAnsi="Book Antiqua"/>
          <w:i/>
          <w:iCs/>
          <w:color w:val="000000" w:themeColor="text1"/>
        </w:rPr>
        <w:t>Cell Metab</w:t>
      </w:r>
      <w:r w:rsidRPr="002E2DEC">
        <w:rPr>
          <w:rFonts w:ascii="Book Antiqua" w:hAnsi="Book Antiqua"/>
          <w:color w:val="000000" w:themeColor="text1"/>
        </w:rPr>
        <w:t> 2013; </w:t>
      </w:r>
      <w:r w:rsidRPr="002E2DEC">
        <w:rPr>
          <w:rFonts w:ascii="Book Antiqua" w:hAnsi="Book Antiqua"/>
          <w:b/>
          <w:bCs/>
          <w:color w:val="000000" w:themeColor="text1"/>
        </w:rPr>
        <w:t>17</w:t>
      </w:r>
      <w:r w:rsidRPr="002E2DEC">
        <w:rPr>
          <w:rFonts w:ascii="Book Antiqua" w:hAnsi="Book Antiqua"/>
          <w:color w:val="000000" w:themeColor="text1"/>
        </w:rPr>
        <w:t>: 225-235 [PMID: 23395169 DOI: 10.1016/j.cmet.2013.01.003]</w:t>
      </w:r>
    </w:p>
    <w:p w14:paraId="06632E83"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11 </w:t>
      </w:r>
      <w:r w:rsidRPr="002E2DEC">
        <w:rPr>
          <w:rFonts w:ascii="Book Antiqua" w:hAnsi="Book Antiqua"/>
          <w:b/>
          <w:bCs/>
          <w:color w:val="000000" w:themeColor="text1"/>
        </w:rPr>
        <w:t>Zheng X</w:t>
      </w:r>
      <w:r w:rsidRPr="002E2DEC">
        <w:rPr>
          <w:rFonts w:ascii="Book Antiqua" w:hAnsi="Book Antiqua"/>
          <w:color w:val="000000" w:themeColor="text1"/>
        </w:rPr>
        <w:t>, Huang F, Zhao A, Lei S, Zhang Y, Xie G, Chen T, Qu C, Rajani C, Dong B, Li D, Jia W. Bile acid is a significant host factor shaping the gut microbiome of diet-induced obese mice. </w:t>
      </w:r>
      <w:r w:rsidRPr="002E2DEC">
        <w:rPr>
          <w:rFonts w:ascii="Book Antiqua" w:hAnsi="Book Antiqua"/>
          <w:i/>
          <w:iCs/>
          <w:color w:val="000000" w:themeColor="text1"/>
        </w:rPr>
        <w:t>BMC Biol</w:t>
      </w:r>
      <w:r w:rsidRPr="002E2DEC">
        <w:rPr>
          <w:rFonts w:ascii="Book Antiqua" w:hAnsi="Book Antiqua"/>
          <w:color w:val="000000" w:themeColor="text1"/>
        </w:rPr>
        <w:t> 2017; </w:t>
      </w:r>
      <w:r w:rsidRPr="002E2DEC">
        <w:rPr>
          <w:rFonts w:ascii="Book Antiqua" w:hAnsi="Book Antiqua"/>
          <w:b/>
          <w:bCs/>
          <w:color w:val="000000" w:themeColor="text1"/>
        </w:rPr>
        <w:t>15</w:t>
      </w:r>
      <w:r w:rsidRPr="002E2DEC">
        <w:rPr>
          <w:rFonts w:ascii="Book Antiqua" w:hAnsi="Book Antiqua"/>
          <w:color w:val="000000" w:themeColor="text1"/>
        </w:rPr>
        <w:t>: 120 [PMID: 29241453 DOI: 10.1186/s12915-017-0462-7]</w:t>
      </w:r>
    </w:p>
    <w:p w14:paraId="25FC1C14"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12 </w:t>
      </w:r>
      <w:r w:rsidRPr="002E2DEC">
        <w:rPr>
          <w:rFonts w:ascii="Book Antiqua" w:hAnsi="Book Antiqua"/>
          <w:b/>
          <w:bCs/>
          <w:color w:val="000000" w:themeColor="text1"/>
        </w:rPr>
        <w:t>Li Y</w:t>
      </w:r>
      <w:r w:rsidRPr="002E2DEC">
        <w:rPr>
          <w:rFonts w:ascii="Book Antiqua" w:hAnsi="Book Antiqua"/>
          <w:color w:val="000000" w:themeColor="text1"/>
        </w:rPr>
        <w:t>, Tang R, Leung PSC, Gershwin ME, Ma X. Bile acids and intestinal microbiota in autoimmune cholestatic liver diseases. </w:t>
      </w:r>
      <w:r w:rsidRPr="002E2DEC">
        <w:rPr>
          <w:rFonts w:ascii="Book Antiqua" w:hAnsi="Book Antiqua"/>
          <w:i/>
          <w:iCs/>
          <w:color w:val="000000" w:themeColor="text1"/>
        </w:rPr>
        <w:t>Autoimmun Rev</w:t>
      </w:r>
      <w:r w:rsidRPr="002E2DEC">
        <w:rPr>
          <w:rFonts w:ascii="Book Antiqua" w:hAnsi="Book Antiqua"/>
          <w:color w:val="000000" w:themeColor="text1"/>
        </w:rPr>
        <w:t> 2017; </w:t>
      </w:r>
      <w:r w:rsidRPr="002E2DEC">
        <w:rPr>
          <w:rFonts w:ascii="Book Antiqua" w:hAnsi="Book Antiqua"/>
          <w:b/>
          <w:bCs/>
          <w:color w:val="000000" w:themeColor="text1"/>
        </w:rPr>
        <w:t>16</w:t>
      </w:r>
      <w:r w:rsidRPr="002E2DEC">
        <w:rPr>
          <w:rFonts w:ascii="Book Antiqua" w:hAnsi="Book Antiqua"/>
          <w:color w:val="000000" w:themeColor="text1"/>
        </w:rPr>
        <w:t>: 885-896 [PMID: 28698093 DOI: 10.1016/j.autrev.2017.07.002]</w:t>
      </w:r>
    </w:p>
    <w:p w14:paraId="53CDDF7D"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13 </w:t>
      </w:r>
      <w:r w:rsidRPr="002E2DEC">
        <w:rPr>
          <w:rFonts w:ascii="Book Antiqua" w:hAnsi="Book Antiqua"/>
          <w:b/>
          <w:bCs/>
          <w:color w:val="000000" w:themeColor="text1"/>
        </w:rPr>
        <w:t>Pei LY</w:t>
      </w:r>
      <w:r w:rsidRPr="002E2DEC">
        <w:rPr>
          <w:rFonts w:ascii="Book Antiqua" w:hAnsi="Book Antiqua"/>
          <w:color w:val="000000" w:themeColor="text1"/>
        </w:rPr>
        <w:t>, Ke YS, Zhao HH, Wang L, Jia C, Liu WZ, Fu QH, Shi MN, Cui J, Li SC. Role of colonic microbiota in the pathogenesis of ulcerative colitis. </w:t>
      </w:r>
      <w:r w:rsidRPr="002E2DEC">
        <w:rPr>
          <w:rFonts w:ascii="Book Antiqua" w:hAnsi="Book Antiqua"/>
          <w:i/>
          <w:iCs/>
          <w:color w:val="000000" w:themeColor="text1"/>
        </w:rPr>
        <w:t>BMC Gastroenterol</w:t>
      </w:r>
      <w:r w:rsidRPr="002E2DEC">
        <w:rPr>
          <w:rFonts w:ascii="Book Antiqua" w:hAnsi="Book Antiqua"/>
          <w:color w:val="000000" w:themeColor="text1"/>
        </w:rPr>
        <w:t> 2019; </w:t>
      </w:r>
      <w:r w:rsidRPr="002E2DEC">
        <w:rPr>
          <w:rFonts w:ascii="Book Antiqua" w:hAnsi="Book Antiqua"/>
          <w:b/>
          <w:bCs/>
          <w:color w:val="000000" w:themeColor="text1"/>
        </w:rPr>
        <w:t>19</w:t>
      </w:r>
      <w:r w:rsidRPr="002E2DEC">
        <w:rPr>
          <w:rFonts w:ascii="Book Antiqua" w:hAnsi="Book Antiqua"/>
          <w:color w:val="000000" w:themeColor="text1"/>
        </w:rPr>
        <w:t>: 10 [PMID: 30642266 DOI: 10.1186/s12876-019-0930-3]</w:t>
      </w:r>
    </w:p>
    <w:p w14:paraId="1C03AF68"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14 </w:t>
      </w:r>
      <w:r w:rsidRPr="002E2DEC">
        <w:rPr>
          <w:rFonts w:ascii="Book Antiqua" w:hAnsi="Book Antiqua"/>
          <w:b/>
          <w:bCs/>
          <w:color w:val="000000" w:themeColor="text1"/>
        </w:rPr>
        <w:t>Magro DO</w:t>
      </w:r>
      <w:r w:rsidRPr="002E2DEC">
        <w:rPr>
          <w:rFonts w:ascii="Book Antiqua" w:hAnsi="Book Antiqua"/>
          <w:color w:val="000000" w:themeColor="text1"/>
        </w:rPr>
        <w:t>, Santos A, Guadagnini D, de Godoy FM, Silva SHM, Lemos WJF, Vitulo N, Torriani S, Pinheiro LV, Martinez CAR, Saad MJA, Coy CSR. Remission in Crohn's disease is accompanied by alterations in the gut microbiota and mucins production. </w:t>
      </w:r>
      <w:r w:rsidRPr="002E2DEC">
        <w:rPr>
          <w:rFonts w:ascii="Book Antiqua" w:hAnsi="Book Antiqua"/>
          <w:i/>
          <w:iCs/>
          <w:color w:val="000000" w:themeColor="text1"/>
        </w:rPr>
        <w:t>Sci Rep</w:t>
      </w:r>
      <w:r w:rsidRPr="002E2DEC">
        <w:rPr>
          <w:rFonts w:ascii="Book Antiqua" w:hAnsi="Book Antiqua"/>
          <w:color w:val="000000" w:themeColor="text1"/>
        </w:rPr>
        <w:t> 2019; </w:t>
      </w:r>
      <w:r w:rsidRPr="002E2DEC">
        <w:rPr>
          <w:rFonts w:ascii="Book Antiqua" w:hAnsi="Book Antiqua"/>
          <w:b/>
          <w:bCs/>
          <w:color w:val="000000" w:themeColor="text1"/>
        </w:rPr>
        <w:t>9</w:t>
      </w:r>
      <w:r w:rsidRPr="002E2DEC">
        <w:rPr>
          <w:rFonts w:ascii="Book Antiqua" w:hAnsi="Book Antiqua"/>
          <w:color w:val="000000" w:themeColor="text1"/>
        </w:rPr>
        <w:t>: 13263 [PMID: 31520001 DOI: 10.1038/s41598-019-49893-5]</w:t>
      </w:r>
    </w:p>
    <w:p w14:paraId="546CD8F6"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15 </w:t>
      </w:r>
      <w:r w:rsidRPr="002E2DEC">
        <w:rPr>
          <w:rFonts w:ascii="Book Antiqua" w:hAnsi="Book Antiqua"/>
          <w:b/>
          <w:bCs/>
          <w:color w:val="000000" w:themeColor="text1"/>
        </w:rPr>
        <w:t>Xue AJ</w:t>
      </w:r>
      <w:r w:rsidRPr="002E2DEC">
        <w:rPr>
          <w:rFonts w:ascii="Book Antiqua" w:hAnsi="Book Antiqua"/>
          <w:color w:val="000000" w:themeColor="text1"/>
        </w:rPr>
        <w:t>, Miao SJ, Sun H, Qiu XX, Wang SN, Wang L, Ye ZQ, Zheng CF, Huang ZH, Wang YH, Huang Y. Intestinal dysbiosis in pediatric Crohn's disease patients with </w:t>
      </w:r>
      <w:r w:rsidRPr="002E2DEC">
        <w:rPr>
          <w:rFonts w:ascii="Book Antiqua" w:hAnsi="Book Antiqua"/>
          <w:i/>
          <w:iCs/>
          <w:color w:val="000000" w:themeColor="text1"/>
        </w:rPr>
        <w:t>IL10RA</w:t>
      </w:r>
      <w:r w:rsidRPr="002E2DEC">
        <w:rPr>
          <w:rFonts w:ascii="Book Antiqua" w:hAnsi="Book Antiqua"/>
          <w:color w:val="000000" w:themeColor="text1"/>
        </w:rPr>
        <w:t> mutations. </w:t>
      </w:r>
      <w:r w:rsidRPr="002E2DEC">
        <w:rPr>
          <w:rFonts w:ascii="Book Antiqua" w:hAnsi="Book Antiqua"/>
          <w:i/>
          <w:iCs/>
          <w:color w:val="000000" w:themeColor="text1"/>
        </w:rPr>
        <w:t>World J Gastroenterol</w:t>
      </w:r>
      <w:r w:rsidRPr="002E2DEC">
        <w:rPr>
          <w:rFonts w:ascii="Book Antiqua" w:hAnsi="Book Antiqua"/>
          <w:color w:val="000000" w:themeColor="text1"/>
        </w:rPr>
        <w:t> 2020; </w:t>
      </w:r>
      <w:r w:rsidRPr="002E2DEC">
        <w:rPr>
          <w:rFonts w:ascii="Book Antiqua" w:hAnsi="Book Antiqua"/>
          <w:b/>
          <w:bCs/>
          <w:color w:val="000000" w:themeColor="text1"/>
        </w:rPr>
        <w:t>26</w:t>
      </w:r>
      <w:r w:rsidRPr="002E2DEC">
        <w:rPr>
          <w:rFonts w:ascii="Book Antiqua" w:hAnsi="Book Antiqua"/>
          <w:color w:val="000000" w:themeColor="text1"/>
        </w:rPr>
        <w:t>: 3098-3109 [PMID: 32587451 DOI: 10.3748/wjg.v26.i22.3098]</w:t>
      </w:r>
    </w:p>
    <w:p w14:paraId="6ECC2756"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16 </w:t>
      </w:r>
      <w:r w:rsidRPr="002E2DEC">
        <w:rPr>
          <w:rFonts w:ascii="Book Antiqua" w:hAnsi="Book Antiqua"/>
          <w:b/>
          <w:bCs/>
          <w:color w:val="000000" w:themeColor="text1"/>
        </w:rPr>
        <w:t>Di Biase AR</w:t>
      </w:r>
      <w:r w:rsidRPr="002E2DEC">
        <w:rPr>
          <w:rFonts w:ascii="Book Antiqua" w:hAnsi="Book Antiqua"/>
          <w:color w:val="000000" w:themeColor="text1"/>
        </w:rPr>
        <w:t>, Marasco G, Ravaioli F, Dajti E, Colecchia L, Righi B, D'Amico V, Festi D, Iughetti L, Colecchia A. Gut microbiota signatures and clinical manifestations in celiac disease children at onset: a pilot study. </w:t>
      </w:r>
      <w:r w:rsidRPr="002E2DEC">
        <w:rPr>
          <w:rFonts w:ascii="Book Antiqua" w:hAnsi="Book Antiqua"/>
          <w:i/>
          <w:iCs/>
          <w:color w:val="000000" w:themeColor="text1"/>
        </w:rPr>
        <w:t>J Gastroenterol Hepatol</w:t>
      </w:r>
      <w:r w:rsidRPr="002E2DEC">
        <w:rPr>
          <w:rFonts w:ascii="Book Antiqua" w:hAnsi="Book Antiqua"/>
          <w:color w:val="000000" w:themeColor="text1"/>
        </w:rPr>
        <w:t> 2020; : [PMID: 32666516 DOI: 10.1111/jgh.15183]</w:t>
      </w:r>
    </w:p>
    <w:p w14:paraId="290E0382"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17 </w:t>
      </w:r>
      <w:r w:rsidRPr="002E2DEC">
        <w:rPr>
          <w:rFonts w:ascii="Book Antiqua" w:hAnsi="Book Antiqua"/>
          <w:b/>
          <w:bCs/>
          <w:color w:val="000000" w:themeColor="text1"/>
        </w:rPr>
        <w:t>Caporaso JG</w:t>
      </w:r>
      <w:r w:rsidRPr="002E2DEC">
        <w:rPr>
          <w:rFonts w:ascii="Book Antiqua" w:hAnsi="Book Antiqua"/>
          <w:color w:val="000000" w:themeColor="text1"/>
        </w:rPr>
        <w:t>, Kuczynski J, Stombaugh J, Bittinger K, Bushman FD, Costello EK, Fierer N, Peña AG, Goodrich JK, Gordon JI, Huttley GA, Kelley ST, Knights D, Koenig JE, Ley RE, Lozupone CA, McDonald D, Muegge BD, Pirrung M, Reeder J, Sevinsky JR, Turnbaugh PJ, Walters WA, Widmann J, Yatsunenko T, Zaneveld J, Knight R. QIIME allows analysis of high-throughput community sequencing data. </w:t>
      </w:r>
      <w:r w:rsidRPr="002E2DEC">
        <w:rPr>
          <w:rFonts w:ascii="Book Antiqua" w:hAnsi="Book Antiqua"/>
          <w:i/>
          <w:iCs/>
          <w:color w:val="000000" w:themeColor="text1"/>
        </w:rPr>
        <w:t>Nat Methods</w:t>
      </w:r>
      <w:r w:rsidRPr="002E2DEC">
        <w:rPr>
          <w:rFonts w:ascii="Book Antiqua" w:hAnsi="Book Antiqua"/>
          <w:color w:val="000000" w:themeColor="text1"/>
        </w:rPr>
        <w:t> 2010; </w:t>
      </w:r>
      <w:r w:rsidRPr="002E2DEC">
        <w:rPr>
          <w:rFonts w:ascii="Book Antiqua" w:hAnsi="Book Antiqua"/>
          <w:b/>
          <w:bCs/>
          <w:color w:val="000000" w:themeColor="text1"/>
        </w:rPr>
        <w:t>7</w:t>
      </w:r>
      <w:r w:rsidRPr="002E2DEC">
        <w:rPr>
          <w:rFonts w:ascii="Book Antiqua" w:hAnsi="Book Antiqua"/>
          <w:color w:val="000000" w:themeColor="text1"/>
        </w:rPr>
        <w:t>: 335-336 [PMID: 20383131 DOI: 10.1038/nmeth.f.303]</w:t>
      </w:r>
    </w:p>
    <w:p w14:paraId="19A9500C"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18 </w:t>
      </w:r>
      <w:bookmarkStart w:id="20" w:name="OLE_LINK87"/>
      <w:bookmarkStart w:id="21" w:name="OLE_LINK88"/>
      <w:r w:rsidRPr="002E2DEC">
        <w:rPr>
          <w:rFonts w:ascii="Book Antiqua" w:hAnsi="Book Antiqua"/>
          <w:b/>
          <w:bCs/>
          <w:color w:val="000000" w:themeColor="text1"/>
        </w:rPr>
        <w:t>Oksanen J,</w:t>
      </w:r>
      <w:r w:rsidRPr="002E2DEC">
        <w:rPr>
          <w:rFonts w:ascii="Book Antiqua" w:hAnsi="Book Antiqua"/>
          <w:color w:val="000000" w:themeColor="text1"/>
        </w:rPr>
        <w:t> Blanchet F, Friendly M, Kindt R, Legendre P, McGlinn D, Minchin P, O</w:t>
      </w:r>
      <w:r w:rsidR="0026465A" w:rsidRPr="002E2DEC">
        <w:rPr>
          <w:rFonts w:ascii="Book Antiqua" w:hAnsi="Book Antiqua"/>
          <w:color w:val="000000" w:themeColor="text1"/>
        </w:rPr>
        <w:t>’Hara R, Simpson G, Solymos P. V</w:t>
      </w:r>
      <w:r w:rsidRPr="002E2DEC">
        <w:rPr>
          <w:rFonts w:ascii="Book Antiqua" w:hAnsi="Book Antiqua"/>
          <w:color w:val="000000" w:themeColor="text1"/>
        </w:rPr>
        <w:t xml:space="preserve">egan: Community Ecology Package. </w:t>
      </w:r>
      <w:r w:rsidRPr="002E2DEC">
        <w:rPr>
          <w:rFonts w:ascii="Book Antiqua" w:hAnsi="Book Antiqua"/>
          <w:i/>
          <w:color w:val="000000" w:themeColor="text1"/>
        </w:rPr>
        <w:t>R package</w:t>
      </w:r>
      <w:r w:rsidR="00723BCA" w:rsidRPr="002E2DEC">
        <w:rPr>
          <w:rFonts w:ascii="Book Antiqua" w:hAnsi="Book Antiqua"/>
          <w:color w:val="000000" w:themeColor="text1"/>
        </w:rPr>
        <w:t xml:space="preserve"> </w:t>
      </w:r>
      <w:r w:rsidR="008F5E00" w:rsidRPr="002E2DEC">
        <w:rPr>
          <w:rFonts w:ascii="Book Antiqua" w:hAnsi="Book Antiqua"/>
          <w:color w:val="000000" w:themeColor="text1"/>
        </w:rPr>
        <w:t>2019</w:t>
      </w:r>
      <w:r w:rsidR="007353D6" w:rsidRPr="002E2DEC">
        <w:rPr>
          <w:rFonts w:ascii="Book Antiqua" w:hAnsi="Book Antiqua"/>
          <w:color w:val="000000" w:themeColor="text1"/>
        </w:rPr>
        <w:t>;</w:t>
      </w:r>
      <w:r w:rsidR="008F5E00" w:rsidRPr="002E2DEC">
        <w:rPr>
          <w:rFonts w:ascii="Book Antiqua" w:hAnsi="Book Antiqua"/>
          <w:color w:val="000000" w:themeColor="text1"/>
        </w:rPr>
        <w:t xml:space="preserve"> </w:t>
      </w:r>
      <w:r w:rsidRPr="002E2DEC">
        <w:rPr>
          <w:rFonts w:ascii="Book Antiqua" w:hAnsi="Book Antiqua"/>
          <w:color w:val="000000" w:themeColor="text1"/>
        </w:rPr>
        <w:t>version 2.5-6</w:t>
      </w:r>
      <w:bookmarkEnd w:id="20"/>
      <w:bookmarkEnd w:id="21"/>
    </w:p>
    <w:p w14:paraId="0F708A38" w14:textId="42595D24"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 xml:space="preserve">19 </w:t>
      </w:r>
      <w:r w:rsidRPr="002E2DEC">
        <w:rPr>
          <w:rFonts w:ascii="Book Antiqua" w:hAnsi="Book Antiqua"/>
          <w:b/>
          <w:color w:val="000000" w:themeColor="text1"/>
        </w:rPr>
        <w:t>Gómez-Rubio V</w:t>
      </w:r>
      <w:r w:rsidRPr="002E2DEC">
        <w:rPr>
          <w:rFonts w:ascii="Book Antiqua" w:hAnsi="Book Antiqua"/>
          <w:color w:val="000000" w:themeColor="text1"/>
        </w:rPr>
        <w:t>. ggplot2 - Elegant Graphics for Data Analysis (2nd Edition)</w:t>
      </w:r>
      <w:r w:rsidRPr="002E2DEC">
        <w:rPr>
          <w:rFonts w:ascii="Book Antiqua" w:hAnsi="Book Antiqua"/>
          <w:i/>
          <w:color w:val="000000" w:themeColor="text1"/>
        </w:rPr>
        <w:t>. J</w:t>
      </w:r>
      <w:r w:rsidR="001041AB" w:rsidRPr="002E2DEC">
        <w:rPr>
          <w:rFonts w:ascii="Book Antiqua" w:hAnsi="Book Antiqua"/>
          <w:i/>
          <w:color w:val="000000" w:themeColor="text1"/>
        </w:rPr>
        <w:t xml:space="preserve"> </w:t>
      </w:r>
      <w:r w:rsidRPr="002E2DEC">
        <w:rPr>
          <w:rFonts w:ascii="Book Antiqua" w:hAnsi="Book Antiqua"/>
          <w:i/>
          <w:color w:val="000000" w:themeColor="text1"/>
        </w:rPr>
        <w:t>Statist</w:t>
      </w:r>
      <w:r w:rsidR="001041AB" w:rsidRPr="002E2DEC">
        <w:rPr>
          <w:rFonts w:ascii="Book Antiqua" w:hAnsi="Book Antiqua"/>
          <w:i/>
          <w:color w:val="000000" w:themeColor="text1"/>
        </w:rPr>
        <w:t xml:space="preserve"> </w:t>
      </w:r>
      <w:r w:rsidRPr="002E2DEC">
        <w:rPr>
          <w:rFonts w:ascii="Book Antiqua" w:hAnsi="Book Antiqua"/>
          <w:i/>
          <w:color w:val="000000" w:themeColor="text1"/>
        </w:rPr>
        <w:t>Software</w:t>
      </w:r>
      <w:r w:rsidRPr="002E2DEC">
        <w:rPr>
          <w:rFonts w:ascii="Book Antiqua" w:hAnsi="Book Antiqua"/>
          <w:color w:val="000000" w:themeColor="text1"/>
        </w:rPr>
        <w:t xml:space="preserve"> 2017; </w:t>
      </w:r>
      <w:r w:rsidRPr="002E2DEC">
        <w:rPr>
          <w:rFonts w:ascii="Book Antiqua" w:hAnsi="Book Antiqua"/>
          <w:b/>
          <w:color w:val="000000" w:themeColor="text1"/>
        </w:rPr>
        <w:t>77</w:t>
      </w:r>
      <w:r w:rsidRPr="002E2DEC">
        <w:rPr>
          <w:rFonts w:ascii="Book Antiqua" w:hAnsi="Book Antiqua"/>
          <w:color w:val="000000" w:themeColor="text1"/>
        </w:rPr>
        <w:t xml:space="preserve"> [</w:t>
      </w:r>
      <w:bookmarkStart w:id="22" w:name="OLE_LINK89"/>
      <w:bookmarkStart w:id="23" w:name="OLE_LINK90"/>
      <w:r w:rsidRPr="002E2DEC">
        <w:rPr>
          <w:rFonts w:ascii="Book Antiqua" w:hAnsi="Book Antiqua"/>
          <w:color w:val="000000" w:themeColor="text1"/>
        </w:rPr>
        <w:t>DOI: 10.18637/jss.v077.b02</w:t>
      </w:r>
      <w:bookmarkEnd w:id="22"/>
      <w:bookmarkEnd w:id="23"/>
      <w:r w:rsidRPr="002E2DEC">
        <w:rPr>
          <w:rFonts w:ascii="Book Antiqua" w:hAnsi="Book Antiqua"/>
          <w:color w:val="000000" w:themeColor="text1"/>
        </w:rPr>
        <w:t>]</w:t>
      </w:r>
    </w:p>
    <w:p w14:paraId="6B73401C"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20 </w:t>
      </w:r>
      <w:bookmarkStart w:id="24" w:name="OLE_LINK91"/>
      <w:bookmarkStart w:id="25" w:name="OLE_LINK92"/>
      <w:r w:rsidRPr="002E2DEC">
        <w:rPr>
          <w:rFonts w:ascii="Book Antiqua" w:hAnsi="Book Antiqua"/>
          <w:b/>
          <w:bCs/>
          <w:color w:val="000000" w:themeColor="text1"/>
        </w:rPr>
        <w:t>Liaw A,</w:t>
      </w:r>
      <w:r w:rsidRPr="002E2DEC">
        <w:rPr>
          <w:rFonts w:ascii="Book Antiqua" w:hAnsi="Book Antiqua"/>
          <w:color w:val="000000" w:themeColor="text1"/>
        </w:rPr>
        <w:t xml:space="preserve"> Wiener M. Classification and regression by randomForest. </w:t>
      </w:r>
      <w:r w:rsidRPr="002E2DEC">
        <w:rPr>
          <w:rFonts w:ascii="Book Antiqua" w:hAnsi="Book Antiqua"/>
          <w:i/>
          <w:color w:val="000000" w:themeColor="text1"/>
        </w:rPr>
        <w:t xml:space="preserve">R news </w:t>
      </w:r>
      <w:r w:rsidRPr="002E2DEC">
        <w:rPr>
          <w:rFonts w:ascii="Book Antiqua" w:hAnsi="Book Antiqua"/>
          <w:color w:val="000000" w:themeColor="text1"/>
        </w:rPr>
        <w:t xml:space="preserve">2002; </w:t>
      </w:r>
      <w:r w:rsidRPr="002E2DEC">
        <w:rPr>
          <w:rFonts w:ascii="Book Antiqua" w:hAnsi="Book Antiqua"/>
          <w:b/>
          <w:color w:val="000000" w:themeColor="text1"/>
        </w:rPr>
        <w:t>2</w:t>
      </w:r>
      <w:r w:rsidRPr="002E2DEC">
        <w:rPr>
          <w:rFonts w:ascii="Book Antiqua" w:hAnsi="Book Antiqua"/>
          <w:color w:val="000000" w:themeColor="text1"/>
        </w:rPr>
        <w:t>: 18-22</w:t>
      </w:r>
      <w:bookmarkEnd w:id="24"/>
      <w:bookmarkEnd w:id="25"/>
    </w:p>
    <w:p w14:paraId="3F6F7419" w14:textId="2D7E8B2E"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21 </w:t>
      </w:r>
      <w:r w:rsidR="008B55DC" w:rsidRPr="002E2DEC">
        <w:rPr>
          <w:rFonts w:ascii="Book Antiqua" w:hAnsi="Book Antiqua"/>
          <w:b/>
          <w:bCs/>
          <w:color w:val="000000" w:themeColor="text1"/>
        </w:rPr>
        <w:t>Smith DD</w:t>
      </w:r>
      <w:r w:rsidR="008B55DC" w:rsidRPr="002E2DEC">
        <w:rPr>
          <w:rFonts w:ascii="Book Antiqua" w:hAnsi="Book Antiqua"/>
          <w:bCs/>
          <w:color w:val="000000" w:themeColor="text1"/>
        </w:rPr>
        <w:t xml:space="preserve">, Rood KM. Intrahepatic Cholestasis of Pregnancy. </w:t>
      </w:r>
      <w:r w:rsidR="008B55DC" w:rsidRPr="002E2DEC">
        <w:rPr>
          <w:rFonts w:ascii="Book Antiqua" w:hAnsi="Book Antiqua"/>
          <w:bCs/>
          <w:i/>
          <w:color w:val="000000" w:themeColor="text1"/>
        </w:rPr>
        <w:t>Clin Obstet Gynecol</w:t>
      </w:r>
      <w:r w:rsidR="00861451" w:rsidRPr="002E2DEC">
        <w:rPr>
          <w:rFonts w:ascii="Book Antiqua" w:hAnsi="Book Antiqua"/>
          <w:bCs/>
          <w:i/>
          <w:color w:val="000000" w:themeColor="text1"/>
        </w:rPr>
        <w:t xml:space="preserve"> </w:t>
      </w:r>
      <w:r w:rsidR="008B55DC" w:rsidRPr="002E2DEC">
        <w:rPr>
          <w:rFonts w:ascii="Book Antiqua" w:hAnsi="Book Antiqua"/>
          <w:bCs/>
          <w:color w:val="000000" w:themeColor="text1"/>
        </w:rPr>
        <w:t xml:space="preserve">2020; </w:t>
      </w:r>
      <w:r w:rsidR="008B55DC" w:rsidRPr="002E2DEC">
        <w:rPr>
          <w:rFonts w:ascii="Book Antiqua" w:hAnsi="Book Antiqua"/>
          <w:b/>
          <w:bCs/>
          <w:color w:val="000000" w:themeColor="text1"/>
        </w:rPr>
        <w:t>63</w:t>
      </w:r>
      <w:r w:rsidR="008B55DC" w:rsidRPr="002E2DEC">
        <w:rPr>
          <w:rFonts w:ascii="Book Antiqua" w:hAnsi="Book Antiqua"/>
          <w:bCs/>
          <w:color w:val="000000" w:themeColor="text1"/>
        </w:rPr>
        <w:t>: 134-151 [PMID: 31764000 DOI: 10.1097/GRF.0000000000000495]</w:t>
      </w:r>
    </w:p>
    <w:p w14:paraId="31C5BBB9" w14:textId="10111DEC"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22 </w:t>
      </w:r>
      <w:r w:rsidRPr="002E2DEC">
        <w:rPr>
          <w:rFonts w:ascii="Book Antiqua" w:hAnsi="Book Antiqua"/>
          <w:b/>
          <w:bCs/>
          <w:color w:val="000000" w:themeColor="text1"/>
        </w:rPr>
        <w:t>Koren O</w:t>
      </w:r>
      <w:r w:rsidRPr="002E2DEC">
        <w:rPr>
          <w:rFonts w:ascii="Book Antiqua" w:hAnsi="Book Antiqua"/>
          <w:color w:val="000000" w:themeColor="text1"/>
        </w:rPr>
        <w:t>, Goodrich JK, Cullender TC, Spor A, Laitinen K, Bäckhed HK, Gonzalez A, Werner JJ, Angenent LT, Knight R, Bäckhed F, Isolauri E, Salminen S, Ley RE. Host remodeling of the gut microbiome and metabolic changes during pregnancy.</w:t>
      </w:r>
      <w:r w:rsidR="008349E5" w:rsidRPr="002E2DEC">
        <w:rPr>
          <w:rFonts w:ascii="Book Antiqua" w:hAnsi="Book Antiqua"/>
          <w:color w:val="000000" w:themeColor="text1"/>
        </w:rPr>
        <w:t xml:space="preserve"> </w:t>
      </w:r>
      <w:r w:rsidRPr="002E2DEC">
        <w:rPr>
          <w:rFonts w:ascii="Book Antiqua" w:hAnsi="Book Antiqua"/>
          <w:i/>
          <w:iCs/>
          <w:color w:val="000000" w:themeColor="text1"/>
        </w:rPr>
        <w:t>Cell</w:t>
      </w:r>
      <w:r w:rsidR="008349E5" w:rsidRPr="002E2DEC">
        <w:rPr>
          <w:rFonts w:ascii="Book Antiqua" w:hAnsi="Book Antiqua"/>
          <w:color w:val="000000" w:themeColor="text1"/>
        </w:rPr>
        <w:t xml:space="preserve"> </w:t>
      </w:r>
      <w:r w:rsidRPr="002E2DEC">
        <w:rPr>
          <w:rFonts w:ascii="Book Antiqua" w:hAnsi="Book Antiqua"/>
          <w:color w:val="000000" w:themeColor="text1"/>
        </w:rPr>
        <w:t>2012; </w:t>
      </w:r>
      <w:r w:rsidRPr="002E2DEC">
        <w:rPr>
          <w:rFonts w:ascii="Book Antiqua" w:hAnsi="Book Antiqua"/>
          <w:b/>
          <w:bCs/>
          <w:color w:val="000000" w:themeColor="text1"/>
        </w:rPr>
        <w:t>150</w:t>
      </w:r>
      <w:r w:rsidRPr="002E2DEC">
        <w:rPr>
          <w:rFonts w:ascii="Book Antiqua" w:hAnsi="Book Antiqua"/>
          <w:color w:val="000000" w:themeColor="text1"/>
        </w:rPr>
        <w:t>: 470-480 [PMID: 22863002 DOI: 10.1016/j.cell.2012.07.008]</w:t>
      </w:r>
    </w:p>
    <w:p w14:paraId="09BF7D7B"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23 </w:t>
      </w:r>
      <w:r w:rsidRPr="002E2DEC">
        <w:rPr>
          <w:rFonts w:ascii="Book Antiqua" w:hAnsi="Book Antiqua"/>
          <w:b/>
          <w:bCs/>
          <w:color w:val="000000" w:themeColor="text1"/>
        </w:rPr>
        <w:t>Miquel S</w:t>
      </w:r>
      <w:r w:rsidRPr="002E2DEC">
        <w:rPr>
          <w:rFonts w:ascii="Book Antiqua" w:hAnsi="Book Antiqua"/>
          <w:color w:val="000000" w:themeColor="text1"/>
        </w:rPr>
        <w:t>, Martín R, Bridonneau C, Robert V, Sokol H, Bermúdez-Humarán LG, Thomas M, Langella P. Ecology and metabolism of the beneficial intestinal commensal bacterium Faecalibacterium prausnitzii. </w:t>
      </w:r>
      <w:r w:rsidRPr="002E2DEC">
        <w:rPr>
          <w:rFonts w:ascii="Book Antiqua" w:hAnsi="Book Antiqua"/>
          <w:i/>
          <w:iCs/>
          <w:color w:val="000000" w:themeColor="text1"/>
        </w:rPr>
        <w:t>Gut Microbes</w:t>
      </w:r>
      <w:r w:rsidRPr="002E2DEC">
        <w:rPr>
          <w:rFonts w:ascii="Book Antiqua" w:hAnsi="Book Antiqua"/>
          <w:color w:val="000000" w:themeColor="text1"/>
        </w:rPr>
        <w:t> 2014; </w:t>
      </w:r>
      <w:r w:rsidRPr="002E2DEC">
        <w:rPr>
          <w:rFonts w:ascii="Book Antiqua" w:hAnsi="Book Antiqua"/>
          <w:b/>
          <w:bCs/>
          <w:color w:val="000000" w:themeColor="text1"/>
        </w:rPr>
        <w:t>5</w:t>
      </w:r>
      <w:r w:rsidRPr="002E2DEC">
        <w:rPr>
          <w:rFonts w:ascii="Book Antiqua" w:hAnsi="Book Antiqua"/>
          <w:color w:val="000000" w:themeColor="text1"/>
        </w:rPr>
        <w:t>: 146-151 [PMID: 24637606 DOI: 10.4161/gmic.27651]</w:t>
      </w:r>
    </w:p>
    <w:p w14:paraId="123D7FEC"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24 </w:t>
      </w:r>
      <w:r w:rsidRPr="002E2DEC">
        <w:rPr>
          <w:rFonts w:ascii="Book Antiqua" w:hAnsi="Book Antiqua"/>
          <w:b/>
          <w:bCs/>
          <w:color w:val="000000" w:themeColor="text1"/>
        </w:rPr>
        <w:t>Miquel S</w:t>
      </w:r>
      <w:r w:rsidRPr="002E2DEC">
        <w:rPr>
          <w:rFonts w:ascii="Book Antiqua" w:hAnsi="Book Antiqua"/>
          <w:color w:val="000000" w:themeColor="text1"/>
        </w:rPr>
        <w:t>, Martín R, Rossi O, Bermúdez-Humarán LG, Chatel JM, Sokol H, Thomas M, Wells JM, Langella P. Faecalibacterium prausnitzii and human intestinal health. </w:t>
      </w:r>
      <w:r w:rsidRPr="002E2DEC">
        <w:rPr>
          <w:rFonts w:ascii="Book Antiqua" w:hAnsi="Book Antiqua"/>
          <w:i/>
          <w:iCs/>
          <w:color w:val="000000" w:themeColor="text1"/>
        </w:rPr>
        <w:t>Curr Opin Microbiol</w:t>
      </w:r>
      <w:r w:rsidRPr="002E2DEC">
        <w:rPr>
          <w:rFonts w:ascii="Book Antiqua" w:hAnsi="Book Antiqua"/>
          <w:color w:val="000000" w:themeColor="text1"/>
        </w:rPr>
        <w:t> 2013; </w:t>
      </w:r>
      <w:r w:rsidRPr="002E2DEC">
        <w:rPr>
          <w:rFonts w:ascii="Book Antiqua" w:hAnsi="Book Antiqua"/>
          <w:b/>
          <w:bCs/>
          <w:color w:val="000000" w:themeColor="text1"/>
        </w:rPr>
        <w:t>16</w:t>
      </w:r>
      <w:r w:rsidRPr="002E2DEC">
        <w:rPr>
          <w:rFonts w:ascii="Book Antiqua" w:hAnsi="Book Antiqua"/>
          <w:color w:val="000000" w:themeColor="text1"/>
        </w:rPr>
        <w:t>: 255-261 [PMID: 23831042 DOI: 10.1016/j.mib.2013.06.003]</w:t>
      </w:r>
    </w:p>
    <w:p w14:paraId="5C6148F7"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25 </w:t>
      </w:r>
      <w:r w:rsidRPr="002E2DEC">
        <w:rPr>
          <w:rFonts w:ascii="Book Antiqua" w:hAnsi="Book Antiqua"/>
          <w:b/>
          <w:bCs/>
          <w:color w:val="000000" w:themeColor="text1"/>
        </w:rPr>
        <w:t>Quévrain E</w:t>
      </w:r>
      <w:r w:rsidRPr="002E2DEC">
        <w:rPr>
          <w:rFonts w:ascii="Book Antiqua" w:hAnsi="Book Antiqua"/>
          <w:color w:val="000000" w:themeColor="text1"/>
        </w:rPr>
        <w:t>, Maubert MA, Michon C, Chain F, Marquant R, Tailhades J, Miquel S, Carlier L, Bermúdez-Humarán LG, Pigneur B, Lequin O, Kharrat P, Thomas G, Rainteau D, Aubry C, Breyner N, Afonso C, Lavielle S, Grill JP, Chassaing G, Chatel JM, Trugnan G, Xavier R, Langella P, Sokol H, Seksik P. Identification of an anti-inflammatory protein from Faecalibacterium prausnitzii, a commensal bacterium deficient in Crohn's disease. </w:t>
      </w:r>
      <w:r w:rsidRPr="002E2DEC">
        <w:rPr>
          <w:rFonts w:ascii="Book Antiqua" w:hAnsi="Book Antiqua"/>
          <w:i/>
          <w:iCs/>
          <w:color w:val="000000" w:themeColor="text1"/>
        </w:rPr>
        <w:t>Gut</w:t>
      </w:r>
      <w:r w:rsidRPr="002E2DEC">
        <w:rPr>
          <w:rFonts w:ascii="Book Antiqua" w:hAnsi="Book Antiqua"/>
          <w:color w:val="000000" w:themeColor="text1"/>
        </w:rPr>
        <w:t> 2016; </w:t>
      </w:r>
      <w:r w:rsidRPr="002E2DEC">
        <w:rPr>
          <w:rFonts w:ascii="Book Antiqua" w:hAnsi="Book Antiqua"/>
          <w:b/>
          <w:bCs/>
          <w:color w:val="000000" w:themeColor="text1"/>
        </w:rPr>
        <w:t>65</w:t>
      </w:r>
      <w:r w:rsidRPr="002E2DEC">
        <w:rPr>
          <w:rFonts w:ascii="Book Antiqua" w:hAnsi="Book Antiqua"/>
          <w:color w:val="000000" w:themeColor="text1"/>
        </w:rPr>
        <w:t>: 415-425 [PMID: 26045134 DOI: 10.1136/gutjnl-2014-307649]</w:t>
      </w:r>
    </w:p>
    <w:p w14:paraId="1B390978" w14:textId="02A267FB"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26 </w:t>
      </w:r>
      <w:r w:rsidRPr="002E2DEC">
        <w:rPr>
          <w:rFonts w:ascii="Book Antiqua" w:hAnsi="Book Antiqua"/>
          <w:b/>
          <w:bCs/>
          <w:color w:val="000000" w:themeColor="text1"/>
        </w:rPr>
        <w:t>Miquel S</w:t>
      </w:r>
      <w:r w:rsidRPr="002E2DEC">
        <w:rPr>
          <w:rFonts w:ascii="Book Antiqua" w:hAnsi="Book Antiqua"/>
          <w:color w:val="000000" w:themeColor="text1"/>
        </w:rPr>
        <w:t>, Leclerc M, Martin R, Chain F, Lenoir M, Raguideau S, Hudault S, Bridonneau C, Northen T, Bowen B, Bermúdez-Humarán LG, Sokol H, Thomas M, Langella P. Identification of metabolic signatures linked to anti-inflammatory effects of Faecalibacterium prausnitzii.</w:t>
      </w:r>
      <w:r w:rsidR="00D5016F" w:rsidRPr="002E2DEC">
        <w:rPr>
          <w:rFonts w:ascii="Book Antiqua" w:hAnsi="Book Antiqua"/>
          <w:color w:val="000000" w:themeColor="text1"/>
        </w:rPr>
        <w:t xml:space="preserve"> </w:t>
      </w:r>
      <w:r w:rsidRPr="002E2DEC">
        <w:rPr>
          <w:rFonts w:ascii="Book Antiqua" w:hAnsi="Book Antiqua"/>
          <w:i/>
          <w:iCs/>
          <w:color w:val="000000" w:themeColor="text1"/>
        </w:rPr>
        <w:t>mBio</w:t>
      </w:r>
      <w:r w:rsidRPr="002E2DEC">
        <w:rPr>
          <w:rFonts w:ascii="Book Antiqua" w:hAnsi="Book Antiqua"/>
          <w:color w:val="000000" w:themeColor="text1"/>
        </w:rPr>
        <w:t> 2015; </w:t>
      </w:r>
      <w:r w:rsidRPr="002E2DEC">
        <w:rPr>
          <w:rFonts w:ascii="Book Antiqua" w:hAnsi="Book Antiqua"/>
          <w:b/>
          <w:bCs/>
          <w:color w:val="000000" w:themeColor="text1"/>
        </w:rPr>
        <w:t>6</w:t>
      </w:r>
      <w:r w:rsidRPr="002E2DEC">
        <w:rPr>
          <w:rFonts w:ascii="Book Antiqua" w:hAnsi="Book Antiqua"/>
          <w:color w:val="000000" w:themeColor="text1"/>
        </w:rPr>
        <w:t>:</w:t>
      </w:r>
      <w:r w:rsidR="00D5016F" w:rsidRPr="002E2DEC">
        <w:rPr>
          <w:rFonts w:ascii="Book Antiqua" w:hAnsi="Book Antiqua"/>
          <w:color w:val="000000" w:themeColor="text1"/>
        </w:rPr>
        <w:t xml:space="preserve"> e00300-15 </w:t>
      </w:r>
      <w:r w:rsidRPr="002E2DEC">
        <w:rPr>
          <w:rFonts w:ascii="Book Antiqua" w:hAnsi="Book Antiqua"/>
          <w:color w:val="000000" w:themeColor="text1"/>
        </w:rPr>
        <w:t>[PMID: 25900655 DOI: 10.1128/mBio.00300-15]</w:t>
      </w:r>
    </w:p>
    <w:p w14:paraId="762CFCFC"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27 </w:t>
      </w:r>
      <w:r w:rsidRPr="002E2DEC">
        <w:rPr>
          <w:rFonts w:ascii="Book Antiqua" w:hAnsi="Book Antiqua"/>
          <w:b/>
          <w:bCs/>
          <w:color w:val="000000" w:themeColor="text1"/>
        </w:rPr>
        <w:t>Martín R</w:t>
      </w:r>
      <w:r w:rsidRPr="002E2DEC">
        <w:rPr>
          <w:rFonts w:ascii="Book Antiqua" w:hAnsi="Book Antiqua"/>
          <w:color w:val="000000" w:themeColor="text1"/>
        </w:rPr>
        <w:t>, Miquel S, Chain F, Natividad JM, Jury J, Lu J, Sokol H, Theodorou V, Bercik P, Verdu EF, Langella P, Bermúdez-Humarán LG. Faecalibacterium prausnitzii prevents physiological damages in a chronic low-grade inflammation murine model. </w:t>
      </w:r>
      <w:r w:rsidRPr="002E2DEC">
        <w:rPr>
          <w:rFonts w:ascii="Book Antiqua" w:hAnsi="Book Antiqua"/>
          <w:i/>
          <w:iCs/>
          <w:color w:val="000000" w:themeColor="text1"/>
        </w:rPr>
        <w:t>BMC Microbiol</w:t>
      </w:r>
      <w:r w:rsidRPr="002E2DEC">
        <w:rPr>
          <w:rFonts w:ascii="Book Antiqua" w:hAnsi="Book Antiqua"/>
          <w:color w:val="000000" w:themeColor="text1"/>
        </w:rPr>
        <w:t> 2015; </w:t>
      </w:r>
      <w:r w:rsidRPr="002E2DEC">
        <w:rPr>
          <w:rFonts w:ascii="Book Antiqua" w:hAnsi="Book Antiqua"/>
          <w:b/>
          <w:bCs/>
          <w:color w:val="000000" w:themeColor="text1"/>
        </w:rPr>
        <w:t>15</w:t>
      </w:r>
      <w:r w:rsidRPr="002E2DEC">
        <w:rPr>
          <w:rFonts w:ascii="Book Antiqua" w:hAnsi="Book Antiqua"/>
          <w:color w:val="000000" w:themeColor="text1"/>
        </w:rPr>
        <w:t>: 67 [PMID: 25888448 DOI: 10.1186/s12866-015-0400-1]</w:t>
      </w:r>
    </w:p>
    <w:p w14:paraId="36F238D2" w14:textId="021EF4C5"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28 </w:t>
      </w:r>
      <w:r w:rsidRPr="002E2DEC">
        <w:rPr>
          <w:rFonts w:ascii="Book Antiqua" w:hAnsi="Book Antiqua"/>
          <w:b/>
          <w:bCs/>
          <w:color w:val="000000" w:themeColor="text1"/>
        </w:rPr>
        <w:t>Sokol H</w:t>
      </w:r>
      <w:r w:rsidRPr="002E2DEC">
        <w:rPr>
          <w:rFonts w:ascii="Book Antiqua" w:hAnsi="Book Antiqua"/>
          <w:color w:val="000000" w:themeColor="text1"/>
        </w:rPr>
        <w:t>, Pigneur B, Watterlot L, Lakhdari O, Bermúdez-Humarán LG, Gratadoux JJ, Blugeon S, Bridonneau C, Furet JP, Corthier G, Grangette C, Vasquez N, Pochart P, Trugnan G, Thomas G, Blottière HM, Doré J, Marteau P, Seksik P, Langella P. Faecalibacterium prausnitzii is an anti-inflammatory commensal bacterium identified by gut microbiota analysis of Crohn disease patients. </w:t>
      </w:r>
      <w:r w:rsidR="00D5016F" w:rsidRPr="002E2DEC">
        <w:rPr>
          <w:rFonts w:ascii="Book Antiqua" w:hAnsi="Book Antiqua"/>
          <w:i/>
          <w:iCs/>
          <w:color w:val="000000" w:themeColor="text1"/>
        </w:rPr>
        <w:t>Proc Natl Acad Sci US</w:t>
      </w:r>
      <w:r w:rsidRPr="002E2DEC">
        <w:rPr>
          <w:rFonts w:ascii="Book Antiqua" w:hAnsi="Book Antiqua"/>
          <w:i/>
          <w:iCs/>
          <w:color w:val="000000" w:themeColor="text1"/>
        </w:rPr>
        <w:t>A</w:t>
      </w:r>
      <w:r w:rsidRPr="002E2DEC">
        <w:rPr>
          <w:rFonts w:ascii="Book Antiqua" w:hAnsi="Book Antiqua"/>
          <w:color w:val="000000" w:themeColor="text1"/>
        </w:rPr>
        <w:t> 2008; </w:t>
      </w:r>
      <w:r w:rsidRPr="002E2DEC">
        <w:rPr>
          <w:rFonts w:ascii="Book Antiqua" w:hAnsi="Book Antiqua"/>
          <w:b/>
          <w:bCs/>
          <w:color w:val="000000" w:themeColor="text1"/>
        </w:rPr>
        <w:t>105</w:t>
      </w:r>
      <w:r w:rsidRPr="002E2DEC">
        <w:rPr>
          <w:rFonts w:ascii="Book Antiqua" w:hAnsi="Book Antiqua"/>
          <w:color w:val="000000" w:themeColor="text1"/>
        </w:rPr>
        <w:t>: 16731-16736 [PMID: 18936492 DOI: 10.1073/pnas.0804812105]</w:t>
      </w:r>
    </w:p>
    <w:p w14:paraId="057AB213"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29 </w:t>
      </w:r>
      <w:r w:rsidRPr="002E2DEC">
        <w:rPr>
          <w:rFonts w:ascii="Book Antiqua" w:hAnsi="Book Antiqua"/>
          <w:b/>
          <w:bCs/>
          <w:color w:val="000000" w:themeColor="text1"/>
        </w:rPr>
        <w:t>Leonel AJ</w:t>
      </w:r>
      <w:r w:rsidRPr="002E2DEC">
        <w:rPr>
          <w:rFonts w:ascii="Book Antiqua" w:hAnsi="Book Antiqua"/>
          <w:color w:val="000000" w:themeColor="text1"/>
        </w:rPr>
        <w:t>, Alvarez-Leite JI. Butyrate: implications for intestinal function. </w:t>
      </w:r>
      <w:r w:rsidRPr="002E2DEC">
        <w:rPr>
          <w:rFonts w:ascii="Book Antiqua" w:hAnsi="Book Antiqua"/>
          <w:i/>
          <w:iCs/>
          <w:color w:val="000000" w:themeColor="text1"/>
        </w:rPr>
        <w:t>Curr Opin Clin Nutr Metab Care</w:t>
      </w:r>
      <w:r w:rsidRPr="002E2DEC">
        <w:rPr>
          <w:rFonts w:ascii="Book Antiqua" w:hAnsi="Book Antiqua"/>
          <w:color w:val="000000" w:themeColor="text1"/>
        </w:rPr>
        <w:t> 2012; </w:t>
      </w:r>
      <w:r w:rsidRPr="002E2DEC">
        <w:rPr>
          <w:rFonts w:ascii="Book Antiqua" w:hAnsi="Book Antiqua"/>
          <w:b/>
          <w:bCs/>
          <w:color w:val="000000" w:themeColor="text1"/>
        </w:rPr>
        <w:t>15</w:t>
      </w:r>
      <w:r w:rsidRPr="002E2DEC">
        <w:rPr>
          <w:rFonts w:ascii="Book Antiqua" w:hAnsi="Book Antiqua"/>
          <w:color w:val="000000" w:themeColor="text1"/>
        </w:rPr>
        <w:t xml:space="preserve">: 474-479 [PMID: 22797568 </w:t>
      </w:r>
      <w:r w:rsidR="00257762" w:rsidRPr="002E2DEC">
        <w:rPr>
          <w:rFonts w:ascii="Book Antiqua" w:hAnsi="Book Antiqua"/>
          <w:color w:val="000000" w:themeColor="text1"/>
        </w:rPr>
        <w:t>DOI: 10.1097/MCO.0b013e32835665fa</w:t>
      </w:r>
      <w:r w:rsidRPr="002E2DEC">
        <w:rPr>
          <w:rFonts w:ascii="Book Antiqua" w:hAnsi="Book Antiqua"/>
          <w:color w:val="000000" w:themeColor="text1"/>
        </w:rPr>
        <w:t>]</w:t>
      </w:r>
    </w:p>
    <w:p w14:paraId="4F0E37F3"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30 </w:t>
      </w:r>
      <w:r w:rsidRPr="002E2DEC">
        <w:rPr>
          <w:rFonts w:ascii="Book Antiqua" w:hAnsi="Book Antiqua"/>
          <w:b/>
          <w:bCs/>
          <w:color w:val="000000" w:themeColor="text1"/>
        </w:rPr>
        <w:t>Eeckhaut V</w:t>
      </w:r>
      <w:r w:rsidRPr="002E2DEC">
        <w:rPr>
          <w:rFonts w:ascii="Book Antiqua" w:hAnsi="Book Antiqua"/>
          <w:color w:val="000000" w:themeColor="text1"/>
        </w:rPr>
        <w:t>, Machiels K, Perrier C, Romero C, Maes S, Flahou B, Steppe M, Haesebrouck F, Sas B, Ducatelle R, Vermeire S, Van Immerseel F. Butyricicoccus pullicaecorum in inflammatory bowel disease. </w:t>
      </w:r>
      <w:r w:rsidRPr="002E2DEC">
        <w:rPr>
          <w:rFonts w:ascii="Book Antiqua" w:hAnsi="Book Antiqua"/>
          <w:i/>
          <w:iCs/>
          <w:color w:val="000000" w:themeColor="text1"/>
        </w:rPr>
        <w:t>Gut</w:t>
      </w:r>
      <w:r w:rsidRPr="002E2DEC">
        <w:rPr>
          <w:rFonts w:ascii="Book Antiqua" w:hAnsi="Book Antiqua"/>
          <w:color w:val="000000" w:themeColor="text1"/>
        </w:rPr>
        <w:t> 2013; </w:t>
      </w:r>
      <w:r w:rsidRPr="002E2DEC">
        <w:rPr>
          <w:rFonts w:ascii="Book Antiqua" w:hAnsi="Book Antiqua"/>
          <w:b/>
          <w:bCs/>
          <w:color w:val="000000" w:themeColor="text1"/>
        </w:rPr>
        <w:t>62</w:t>
      </w:r>
      <w:r w:rsidRPr="002E2DEC">
        <w:rPr>
          <w:rFonts w:ascii="Book Antiqua" w:hAnsi="Book Antiqua"/>
          <w:color w:val="000000" w:themeColor="text1"/>
        </w:rPr>
        <w:t>: 1745-1752 [PMID: 23263527 DOI: 10.1136/gutjnl-2012-303611]</w:t>
      </w:r>
    </w:p>
    <w:p w14:paraId="6F855631"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31 </w:t>
      </w:r>
      <w:r w:rsidRPr="002E2DEC">
        <w:rPr>
          <w:rFonts w:ascii="Book Antiqua" w:hAnsi="Book Antiqua"/>
          <w:b/>
          <w:bCs/>
          <w:color w:val="000000" w:themeColor="text1"/>
        </w:rPr>
        <w:t>Morrison DJ</w:t>
      </w:r>
      <w:r w:rsidRPr="002E2DEC">
        <w:rPr>
          <w:rFonts w:ascii="Book Antiqua" w:hAnsi="Book Antiqua"/>
          <w:color w:val="000000" w:themeColor="text1"/>
        </w:rPr>
        <w:t>, Preston T. Formation of short chain fatty acids by the gut microbiota and their impact on human metabolism. </w:t>
      </w:r>
      <w:r w:rsidRPr="002E2DEC">
        <w:rPr>
          <w:rFonts w:ascii="Book Antiqua" w:hAnsi="Book Antiqua"/>
          <w:i/>
          <w:iCs/>
          <w:color w:val="000000" w:themeColor="text1"/>
        </w:rPr>
        <w:t>Gut Microbes</w:t>
      </w:r>
      <w:r w:rsidRPr="002E2DEC">
        <w:rPr>
          <w:rFonts w:ascii="Book Antiqua" w:hAnsi="Book Antiqua"/>
          <w:color w:val="000000" w:themeColor="text1"/>
        </w:rPr>
        <w:t> 2016; </w:t>
      </w:r>
      <w:r w:rsidRPr="002E2DEC">
        <w:rPr>
          <w:rFonts w:ascii="Book Antiqua" w:hAnsi="Book Antiqua"/>
          <w:b/>
          <w:bCs/>
          <w:color w:val="000000" w:themeColor="text1"/>
        </w:rPr>
        <w:t>7</w:t>
      </w:r>
      <w:r w:rsidRPr="002E2DEC">
        <w:rPr>
          <w:rFonts w:ascii="Book Antiqua" w:hAnsi="Book Antiqua"/>
          <w:color w:val="000000" w:themeColor="text1"/>
        </w:rPr>
        <w:t>: 189-200 [PMID: 26963409 DOI: 10.1080/19490976.2015.1134082]</w:t>
      </w:r>
    </w:p>
    <w:p w14:paraId="69488BBC"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32 </w:t>
      </w:r>
      <w:r w:rsidRPr="002E2DEC">
        <w:rPr>
          <w:rFonts w:ascii="Book Antiqua" w:hAnsi="Book Antiqua"/>
          <w:b/>
          <w:bCs/>
          <w:color w:val="000000" w:themeColor="text1"/>
        </w:rPr>
        <w:t>Russell WR</w:t>
      </w:r>
      <w:r w:rsidRPr="002E2DEC">
        <w:rPr>
          <w:rFonts w:ascii="Book Antiqua" w:hAnsi="Book Antiqua"/>
          <w:color w:val="000000" w:themeColor="text1"/>
        </w:rPr>
        <w:t>, Hoyles L, Flint HJ, Dumas ME. Colonic bacterial metabolites and human health. </w:t>
      </w:r>
      <w:r w:rsidRPr="002E2DEC">
        <w:rPr>
          <w:rFonts w:ascii="Book Antiqua" w:hAnsi="Book Antiqua"/>
          <w:i/>
          <w:iCs/>
          <w:color w:val="000000" w:themeColor="text1"/>
        </w:rPr>
        <w:t>Curr Opin Microbiol</w:t>
      </w:r>
      <w:r w:rsidRPr="002E2DEC">
        <w:rPr>
          <w:rFonts w:ascii="Book Antiqua" w:hAnsi="Book Antiqua"/>
          <w:color w:val="000000" w:themeColor="text1"/>
        </w:rPr>
        <w:t> 2013; </w:t>
      </w:r>
      <w:r w:rsidRPr="002E2DEC">
        <w:rPr>
          <w:rFonts w:ascii="Book Antiqua" w:hAnsi="Book Antiqua"/>
          <w:b/>
          <w:bCs/>
          <w:color w:val="000000" w:themeColor="text1"/>
        </w:rPr>
        <w:t>16</w:t>
      </w:r>
      <w:r w:rsidRPr="002E2DEC">
        <w:rPr>
          <w:rFonts w:ascii="Book Antiqua" w:hAnsi="Book Antiqua"/>
          <w:color w:val="000000" w:themeColor="text1"/>
        </w:rPr>
        <w:t>: 246-254 [PMID: 23880135 DOI: 10.1016/j.mib.2013.07.002]</w:t>
      </w:r>
    </w:p>
    <w:p w14:paraId="1F25A7E8"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33 </w:t>
      </w:r>
      <w:r w:rsidRPr="002E2DEC">
        <w:rPr>
          <w:rFonts w:ascii="Book Antiqua" w:hAnsi="Book Antiqua"/>
          <w:b/>
          <w:bCs/>
          <w:color w:val="000000" w:themeColor="text1"/>
        </w:rPr>
        <w:t>Terpstra ML</w:t>
      </w:r>
      <w:r w:rsidRPr="002E2DEC">
        <w:rPr>
          <w:rFonts w:ascii="Book Antiqua" w:hAnsi="Book Antiqua"/>
          <w:color w:val="000000" w:themeColor="text1"/>
        </w:rPr>
        <w:t>, Sinnige MJ, Hugenholtz F, Peters-Sengers H, Remmerswaal EB, Geerlings SE, Bemelman FJ. Butyrate production in patients with end-stage renal disease. </w:t>
      </w:r>
      <w:r w:rsidRPr="002E2DEC">
        <w:rPr>
          <w:rFonts w:ascii="Book Antiqua" w:hAnsi="Book Antiqua"/>
          <w:i/>
          <w:iCs/>
          <w:color w:val="000000" w:themeColor="text1"/>
        </w:rPr>
        <w:t>Int J Nephrol Renovasc Dis</w:t>
      </w:r>
      <w:r w:rsidRPr="002E2DEC">
        <w:rPr>
          <w:rFonts w:ascii="Book Antiqua" w:hAnsi="Book Antiqua"/>
          <w:color w:val="000000" w:themeColor="text1"/>
        </w:rPr>
        <w:t> 2019; </w:t>
      </w:r>
      <w:r w:rsidRPr="002E2DEC">
        <w:rPr>
          <w:rFonts w:ascii="Book Antiqua" w:hAnsi="Book Antiqua"/>
          <w:b/>
          <w:bCs/>
          <w:color w:val="000000" w:themeColor="text1"/>
        </w:rPr>
        <w:t>12</w:t>
      </w:r>
      <w:r w:rsidRPr="002E2DEC">
        <w:rPr>
          <w:rFonts w:ascii="Book Antiqua" w:hAnsi="Book Antiqua"/>
          <w:color w:val="000000" w:themeColor="text1"/>
        </w:rPr>
        <w:t xml:space="preserve">: 87-101 [PMID: 31123416 </w:t>
      </w:r>
      <w:r w:rsidR="00257762" w:rsidRPr="002E2DEC">
        <w:rPr>
          <w:rFonts w:ascii="Book Antiqua" w:hAnsi="Book Antiqua"/>
          <w:color w:val="000000" w:themeColor="text1"/>
        </w:rPr>
        <w:t>DOI: 10.2147/IJNRD.S200297</w:t>
      </w:r>
      <w:r w:rsidRPr="002E2DEC">
        <w:rPr>
          <w:rFonts w:ascii="Book Antiqua" w:hAnsi="Book Antiqua"/>
          <w:color w:val="000000" w:themeColor="text1"/>
        </w:rPr>
        <w:t>]</w:t>
      </w:r>
    </w:p>
    <w:p w14:paraId="02A72562"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34 </w:t>
      </w:r>
      <w:r w:rsidRPr="002E2DEC">
        <w:rPr>
          <w:rFonts w:ascii="Book Antiqua" w:hAnsi="Book Antiqua"/>
          <w:b/>
          <w:bCs/>
          <w:color w:val="000000" w:themeColor="text1"/>
        </w:rPr>
        <w:t>Zhang Q</w:t>
      </w:r>
      <w:r w:rsidRPr="002E2DEC">
        <w:rPr>
          <w:rFonts w:ascii="Book Antiqua" w:hAnsi="Book Antiqua"/>
          <w:color w:val="000000" w:themeColor="text1"/>
        </w:rPr>
        <w:t>, Xiao X, Li M, Yu M, Ping F, Zheng J, Wang T, Wang X. Vildagliptin increases butyrate-producing bacteria in the gut of diabetic rats. </w:t>
      </w:r>
      <w:r w:rsidRPr="002E2DEC">
        <w:rPr>
          <w:rFonts w:ascii="Book Antiqua" w:hAnsi="Book Antiqua"/>
          <w:i/>
          <w:iCs/>
          <w:color w:val="000000" w:themeColor="text1"/>
        </w:rPr>
        <w:t>PLoS One</w:t>
      </w:r>
      <w:r w:rsidRPr="002E2DEC">
        <w:rPr>
          <w:rFonts w:ascii="Book Antiqua" w:hAnsi="Book Antiqua"/>
          <w:color w:val="000000" w:themeColor="text1"/>
        </w:rPr>
        <w:t> 2017; </w:t>
      </w:r>
      <w:r w:rsidRPr="002E2DEC">
        <w:rPr>
          <w:rFonts w:ascii="Book Antiqua" w:hAnsi="Book Antiqua"/>
          <w:b/>
          <w:bCs/>
          <w:color w:val="000000" w:themeColor="text1"/>
        </w:rPr>
        <w:t>12</w:t>
      </w:r>
      <w:r w:rsidRPr="002E2DEC">
        <w:rPr>
          <w:rFonts w:ascii="Book Antiqua" w:hAnsi="Book Antiqua"/>
          <w:color w:val="000000" w:themeColor="text1"/>
        </w:rPr>
        <w:t>: e0184735 [PMID: 29036231 DOI: 10.1371/journal.pone.0184735]</w:t>
      </w:r>
    </w:p>
    <w:p w14:paraId="6151D99F"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35 </w:t>
      </w:r>
      <w:r w:rsidRPr="002E2DEC">
        <w:rPr>
          <w:rFonts w:ascii="Book Antiqua" w:hAnsi="Book Antiqua"/>
          <w:b/>
          <w:bCs/>
          <w:color w:val="000000" w:themeColor="text1"/>
        </w:rPr>
        <w:t>Udayappan S</w:t>
      </w:r>
      <w:r w:rsidRPr="002E2DEC">
        <w:rPr>
          <w:rFonts w:ascii="Book Antiqua" w:hAnsi="Book Antiqua"/>
          <w:color w:val="000000" w:themeColor="text1"/>
        </w:rPr>
        <w:t>, Manneras-Holm L, Chaplin-Scott A, Belzer C, Herrema H, Dallinga-Thie GM, Duncan SH, Stroes ESG, Groen AK, Flint HJ, Backhed F, de Vos WM, Nieuwdorp M. Oral treatment with </w:t>
      </w:r>
      <w:r w:rsidRPr="002E2DEC">
        <w:rPr>
          <w:rFonts w:ascii="Book Antiqua" w:hAnsi="Book Antiqua"/>
          <w:i/>
          <w:iCs/>
          <w:color w:val="000000" w:themeColor="text1"/>
        </w:rPr>
        <w:t>Eubacterium hallii</w:t>
      </w:r>
      <w:r w:rsidRPr="002E2DEC">
        <w:rPr>
          <w:rFonts w:ascii="Book Antiqua" w:hAnsi="Book Antiqua"/>
          <w:color w:val="000000" w:themeColor="text1"/>
        </w:rPr>
        <w:t> improves insulin sensitivity in </w:t>
      </w:r>
      <w:r w:rsidRPr="002E2DEC">
        <w:rPr>
          <w:rFonts w:ascii="Book Antiqua" w:hAnsi="Book Antiqua"/>
          <w:i/>
          <w:iCs/>
          <w:color w:val="000000" w:themeColor="text1"/>
        </w:rPr>
        <w:t>db/db</w:t>
      </w:r>
      <w:r w:rsidRPr="002E2DEC">
        <w:rPr>
          <w:rFonts w:ascii="Book Antiqua" w:hAnsi="Book Antiqua"/>
          <w:color w:val="000000" w:themeColor="text1"/>
        </w:rPr>
        <w:t> mice. </w:t>
      </w:r>
      <w:r w:rsidRPr="002E2DEC">
        <w:rPr>
          <w:rFonts w:ascii="Book Antiqua" w:hAnsi="Book Antiqua"/>
          <w:i/>
          <w:iCs/>
          <w:color w:val="000000" w:themeColor="text1"/>
        </w:rPr>
        <w:t>NPJ Biofilms Microbiomes</w:t>
      </w:r>
      <w:r w:rsidRPr="002E2DEC">
        <w:rPr>
          <w:rFonts w:ascii="Book Antiqua" w:hAnsi="Book Antiqua"/>
          <w:color w:val="000000" w:themeColor="text1"/>
        </w:rPr>
        <w:t> 2016; </w:t>
      </w:r>
      <w:r w:rsidRPr="002E2DEC">
        <w:rPr>
          <w:rFonts w:ascii="Book Antiqua" w:hAnsi="Book Antiqua"/>
          <w:b/>
          <w:bCs/>
          <w:color w:val="000000" w:themeColor="text1"/>
        </w:rPr>
        <w:t>2</w:t>
      </w:r>
      <w:r w:rsidRPr="002E2DEC">
        <w:rPr>
          <w:rFonts w:ascii="Book Antiqua" w:hAnsi="Book Antiqua"/>
          <w:color w:val="000000" w:themeColor="text1"/>
        </w:rPr>
        <w:t>: 16009 [PMID: 28721246 DOI: 10.1038/npjbiofilms.2016.9]</w:t>
      </w:r>
    </w:p>
    <w:p w14:paraId="1C168B5F"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36 </w:t>
      </w:r>
      <w:r w:rsidRPr="002E2DEC">
        <w:rPr>
          <w:rFonts w:ascii="Book Antiqua" w:hAnsi="Book Antiqua"/>
          <w:b/>
          <w:bCs/>
          <w:color w:val="000000" w:themeColor="text1"/>
        </w:rPr>
        <w:t>Inoue R</w:t>
      </w:r>
      <w:r w:rsidRPr="002E2DEC">
        <w:rPr>
          <w:rFonts w:ascii="Book Antiqua" w:hAnsi="Book Antiqua"/>
          <w:color w:val="000000" w:themeColor="text1"/>
        </w:rPr>
        <w:t>, Ohue-Kitano R, Tsukahara T, Tanaka M, Masuda S, Inoue T, Yamakage H, Kusakabe T, Hasegawa K, Shimatsu A, Satoh-Asahara N. Prediction of functional profiles of gut microbiota from 16S rRNA metagenomic data provides a more robust evaluation of gut dysbiosis occurring in Japanese type 2 diabetic patients. </w:t>
      </w:r>
      <w:r w:rsidRPr="002E2DEC">
        <w:rPr>
          <w:rFonts w:ascii="Book Antiqua" w:hAnsi="Book Antiqua"/>
          <w:i/>
          <w:iCs/>
          <w:color w:val="000000" w:themeColor="text1"/>
        </w:rPr>
        <w:t>J Clin Biochem Nutr</w:t>
      </w:r>
      <w:r w:rsidRPr="002E2DEC">
        <w:rPr>
          <w:rFonts w:ascii="Book Antiqua" w:hAnsi="Book Antiqua"/>
          <w:color w:val="000000" w:themeColor="text1"/>
        </w:rPr>
        <w:t> 2017; </w:t>
      </w:r>
      <w:r w:rsidRPr="002E2DEC">
        <w:rPr>
          <w:rFonts w:ascii="Book Antiqua" w:hAnsi="Book Antiqua"/>
          <w:b/>
          <w:bCs/>
          <w:color w:val="000000" w:themeColor="text1"/>
        </w:rPr>
        <w:t>61</w:t>
      </w:r>
      <w:r w:rsidRPr="002E2DEC">
        <w:rPr>
          <w:rFonts w:ascii="Book Antiqua" w:hAnsi="Book Antiqua"/>
          <w:color w:val="000000" w:themeColor="text1"/>
        </w:rPr>
        <w:t>: 217-221 [PMID: 29203964 DOI: 10.3164/jcbn.17-44]</w:t>
      </w:r>
    </w:p>
    <w:p w14:paraId="27ED877E"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37 </w:t>
      </w:r>
      <w:r w:rsidRPr="002E2DEC">
        <w:rPr>
          <w:rFonts w:ascii="Book Antiqua" w:hAnsi="Book Antiqua"/>
          <w:b/>
          <w:bCs/>
          <w:color w:val="000000" w:themeColor="text1"/>
        </w:rPr>
        <w:t>Park SK</w:t>
      </w:r>
      <w:r w:rsidRPr="002E2DEC">
        <w:rPr>
          <w:rFonts w:ascii="Book Antiqua" w:hAnsi="Book Antiqua"/>
          <w:color w:val="000000" w:themeColor="text1"/>
        </w:rPr>
        <w:t>, Kim MS, Bae JW. Blautia faecis sp. nov., isolated from human faeces. </w:t>
      </w:r>
      <w:r w:rsidRPr="002E2DEC">
        <w:rPr>
          <w:rFonts w:ascii="Book Antiqua" w:hAnsi="Book Antiqua"/>
          <w:i/>
          <w:iCs/>
          <w:color w:val="000000" w:themeColor="text1"/>
        </w:rPr>
        <w:t>Int J Syst Evol Microbiol</w:t>
      </w:r>
      <w:r w:rsidRPr="002E2DEC">
        <w:rPr>
          <w:rFonts w:ascii="Book Antiqua" w:hAnsi="Book Antiqua"/>
          <w:color w:val="000000" w:themeColor="text1"/>
        </w:rPr>
        <w:t> 2013; </w:t>
      </w:r>
      <w:r w:rsidRPr="002E2DEC">
        <w:rPr>
          <w:rFonts w:ascii="Book Antiqua" w:hAnsi="Book Antiqua"/>
          <w:b/>
          <w:bCs/>
          <w:color w:val="000000" w:themeColor="text1"/>
        </w:rPr>
        <w:t>63</w:t>
      </w:r>
      <w:r w:rsidRPr="002E2DEC">
        <w:rPr>
          <w:rFonts w:ascii="Book Antiqua" w:hAnsi="Book Antiqua"/>
          <w:color w:val="000000" w:themeColor="text1"/>
        </w:rPr>
        <w:t>: 599-603 [PMID: 22544782 DOI: 10.1099/ijs.0.036541-0]</w:t>
      </w:r>
    </w:p>
    <w:p w14:paraId="5E73A74A"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38 </w:t>
      </w:r>
      <w:r w:rsidRPr="002E2DEC">
        <w:rPr>
          <w:rFonts w:ascii="Book Antiqua" w:hAnsi="Book Antiqua"/>
          <w:b/>
          <w:bCs/>
          <w:color w:val="000000" w:themeColor="text1"/>
        </w:rPr>
        <w:t>Zhou W</w:t>
      </w:r>
      <w:r w:rsidRPr="002E2DEC">
        <w:rPr>
          <w:rFonts w:ascii="Book Antiqua" w:hAnsi="Book Antiqua"/>
          <w:color w:val="000000" w:themeColor="text1"/>
        </w:rPr>
        <w:t>, Sailani MR, Contrepois K, Zhou Y, Ahadi S, Leopold SR, Zhang MJ, Rao V, Avina M, Mishra T, Johnson J, Lee-McMullen B, Chen S, Metwally AA, Tran TDB, Nguyen H, Zhou X, Albright B, Hong BY, Petersen L, Bautista E, Hanson B, Chen L, Spakowicz D, Bahmani A, Salins D, Leopold B, Ashland M, Dagan-Rosenfeld O, Rego S, Limcaoco P, Colbert E, Allister C, Perelman D, Craig C, Wei E, Chaib H, Hornburg D, Dunn J, Liang L, Rose SMS, Kukurba K, Piening B, Rost H, Tse D, McLaughlin T, Sodergren E, Weinstock GM, Snyder M. Longitudinal multi-omics of host-microbe dynamics in prediabetes. </w:t>
      </w:r>
      <w:r w:rsidRPr="002E2DEC">
        <w:rPr>
          <w:rFonts w:ascii="Book Antiqua" w:hAnsi="Book Antiqua"/>
          <w:i/>
          <w:iCs/>
          <w:color w:val="000000" w:themeColor="text1"/>
        </w:rPr>
        <w:t>Nature</w:t>
      </w:r>
      <w:r w:rsidRPr="002E2DEC">
        <w:rPr>
          <w:rFonts w:ascii="Book Antiqua" w:hAnsi="Book Antiqua"/>
          <w:color w:val="000000" w:themeColor="text1"/>
        </w:rPr>
        <w:t> 2019; </w:t>
      </w:r>
      <w:r w:rsidRPr="002E2DEC">
        <w:rPr>
          <w:rFonts w:ascii="Book Antiqua" w:hAnsi="Book Antiqua"/>
          <w:b/>
          <w:bCs/>
          <w:color w:val="000000" w:themeColor="text1"/>
        </w:rPr>
        <w:t>569</w:t>
      </w:r>
      <w:r w:rsidRPr="002E2DEC">
        <w:rPr>
          <w:rFonts w:ascii="Book Antiqua" w:hAnsi="Book Antiqua"/>
          <w:color w:val="000000" w:themeColor="text1"/>
        </w:rPr>
        <w:t>: 663-671 [PMID: 31142858 DOI: 10.1038/s41586-019-1236-x]</w:t>
      </w:r>
    </w:p>
    <w:p w14:paraId="15E5BCC5"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39 </w:t>
      </w:r>
      <w:r w:rsidRPr="002E2DEC">
        <w:rPr>
          <w:rFonts w:ascii="Book Antiqua" w:hAnsi="Book Antiqua"/>
          <w:b/>
          <w:bCs/>
          <w:color w:val="000000" w:themeColor="text1"/>
        </w:rPr>
        <w:t>Egshatyan L</w:t>
      </w:r>
      <w:r w:rsidRPr="002E2DEC">
        <w:rPr>
          <w:rFonts w:ascii="Book Antiqua" w:hAnsi="Book Antiqua"/>
          <w:color w:val="000000" w:themeColor="text1"/>
        </w:rPr>
        <w:t>, Kashtanova D, Popenko A, Tkacheva O, Tyakht A, Alexeev D, Karamnova N, Kostryukova E, Babenko V, Vakhitova M, Boytsov S. Gut microbiota and diet in patients with different glucose tolerance. </w:t>
      </w:r>
      <w:r w:rsidRPr="002E2DEC">
        <w:rPr>
          <w:rFonts w:ascii="Book Antiqua" w:hAnsi="Book Antiqua"/>
          <w:i/>
          <w:iCs/>
          <w:color w:val="000000" w:themeColor="text1"/>
        </w:rPr>
        <w:t>Endocr Connect</w:t>
      </w:r>
      <w:r w:rsidRPr="002E2DEC">
        <w:rPr>
          <w:rFonts w:ascii="Book Antiqua" w:hAnsi="Book Antiqua"/>
          <w:color w:val="000000" w:themeColor="text1"/>
        </w:rPr>
        <w:t> 2016; </w:t>
      </w:r>
      <w:r w:rsidRPr="002E2DEC">
        <w:rPr>
          <w:rFonts w:ascii="Book Antiqua" w:hAnsi="Book Antiqua"/>
          <w:b/>
          <w:bCs/>
          <w:color w:val="000000" w:themeColor="text1"/>
        </w:rPr>
        <w:t>5</w:t>
      </w:r>
      <w:r w:rsidRPr="002E2DEC">
        <w:rPr>
          <w:rFonts w:ascii="Book Antiqua" w:hAnsi="Book Antiqua"/>
          <w:color w:val="000000" w:themeColor="text1"/>
        </w:rPr>
        <w:t>: 1-9 [</w:t>
      </w:r>
      <w:bookmarkStart w:id="26" w:name="OLE_LINK84"/>
      <w:bookmarkStart w:id="27" w:name="OLE_LINK85"/>
      <w:r w:rsidRPr="002E2DEC">
        <w:rPr>
          <w:rFonts w:ascii="Book Antiqua" w:hAnsi="Book Antiqua"/>
          <w:color w:val="000000" w:themeColor="text1"/>
        </w:rPr>
        <w:t>PMID: 26555712</w:t>
      </w:r>
      <w:bookmarkEnd w:id="26"/>
      <w:bookmarkEnd w:id="27"/>
      <w:r w:rsidRPr="002E2DEC">
        <w:rPr>
          <w:rFonts w:ascii="Book Antiqua" w:hAnsi="Book Antiqua"/>
          <w:color w:val="000000" w:themeColor="text1"/>
        </w:rPr>
        <w:t xml:space="preserve"> </w:t>
      </w:r>
      <w:r w:rsidR="00257762" w:rsidRPr="002E2DEC">
        <w:rPr>
          <w:rFonts w:ascii="Book Antiqua" w:hAnsi="Book Antiqua"/>
          <w:color w:val="000000" w:themeColor="text1"/>
        </w:rPr>
        <w:t>DOI: 10.1530/EC-15-0094</w:t>
      </w:r>
      <w:r w:rsidRPr="002E2DEC">
        <w:rPr>
          <w:rFonts w:ascii="Book Antiqua" w:hAnsi="Book Antiqua"/>
          <w:color w:val="000000" w:themeColor="text1"/>
        </w:rPr>
        <w:t>]</w:t>
      </w:r>
    </w:p>
    <w:p w14:paraId="298780D9"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40 </w:t>
      </w:r>
      <w:r w:rsidRPr="002E2DEC">
        <w:rPr>
          <w:rFonts w:ascii="Book Antiqua" w:hAnsi="Book Antiqua"/>
          <w:b/>
          <w:bCs/>
          <w:color w:val="000000" w:themeColor="text1"/>
        </w:rPr>
        <w:t>Torres J</w:t>
      </w:r>
      <w:r w:rsidRPr="002E2DEC">
        <w:rPr>
          <w:rFonts w:ascii="Book Antiqua" w:hAnsi="Book Antiqua"/>
          <w:color w:val="000000" w:themeColor="text1"/>
        </w:rPr>
        <w:t>, Bao X, Goel A, Colombel JF, Pekow J, Jabri B, Williams KM, Castillo A, Odin JA, Meckel K, Fasihuddin F, Peter I, Itzkowitz S, Hu J. The features of mucosa-associated microbiota in primary sclerosing cholangitis. </w:t>
      </w:r>
      <w:r w:rsidRPr="002E2DEC">
        <w:rPr>
          <w:rFonts w:ascii="Book Antiqua" w:hAnsi="Book Antiqua"/>
          <w:i/>
          <w:iCs/>
          <w:color w:val="000000" w:themeColor="text1"/>
        </w:rPr>
        <w:t>Aliment Pharmacol Ther</w:t>
      </w:r>
      <w:r w:rsidRPr="002E2DEC">
        <w:rPr>
          <w:rFonts w:ascii="Book Antiqua" w:hAnsi="Book Antiqua"/>
          <w:color w:val="000000" w:themeColor="text1"/>
        </w:rPr>
        <w:t> 2016; </w:t>
      </w:r>
      <w:r w:rsidRPr="002E2DEC">
        <w:rPr>
          <w:rFonts w:ascii="Book Antiqua" w:hAnsi="Book Antiqua"/>
          <w:b/>
          <w:bCs/>
          <w:color w:val="000000" w:themeColor="text1"/>
        </w:rPr>
        <w:t>43</w:t>
      </w:r>
      <w:r w:rsidRPr="002E2DEC">
        <w:rPr>
          <w:rFonts w:ascii="Book Antiqua" w:hAnsi="Book Antiqua"/>
          <w:color w:val="000000" w:themeColor="text1"/>
        </w:rPr>
        <w:t>: 790-801 [PMID: 26857969 DOI: 10.1111/apt.13552]</w:t>
      </w:r>
    </w:p>
    <w:p w14:paraId="4E66CFE9"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41 </w:t>
      </w:r>
      <w:r w:rsidRPr="002E2DEC">
        <w:rPr>
          <w:rFonts w:ascii="Book Antiqua" w:hAnsi="Book Antiqua"/>
          <w:b/>
          <w:bCs/>
          <w:color w:val="000000" w:themeColor="text1"/>
        </w:rPr>
        <w:t>Duncan SH</w:t>
      </w:r>
      <w:r w:rsidRPr="002E2DEC">
        <w:rPr>
          <w:rFonts w:ascii="Book Antiqua" w:hAnsi="Book Antiqua"/>
          <w:color w:val="000000" w:themeColor="text1"/>
        </w:rPr>
        <w:t>, Louis P, Flint HJ. Lactate-utilizing bacteria, isolated from human feces, that produce butyrate as a major fermentation product. </w:t>
      </w:r>
      <w:r w:rsidRPr="002E2DEC">
        <w:rPr>
          <w:rFonts w:ascii="Book Antiqua" w:hAnsi="Book Antiqua"/>
          <w:i/>
          <w:iCs/>
          <w:color w:val="000000" w:themeColor="text1"/>
        </w:rPr>
        <w:t>Appl Environ Microbiol</w:t>
      </w:r>
      <w:r w:rsidRPr="002E2DEC">
        <w:rPr>
          <w:rFonts w:ascii="Book Antiqua" w:hAnsi="Book Antiqua"/>
          <w:color w:val="000000" w:themeColor="text1"/>
        </w:rPr>
        <w:t> 2004; </w:t>
      </w:r>
      <w:r w:rsidRPr="002E2DEC">
        <w:rPr>
          <w:rFonts w:ascii="Book Antiqua" w:hAnsi="Book Antiqua"/>
          <w:b/>
          <w:bCs/>
          <w:color w:val="000000" w:themeColor="text1"/>
        </w:rPr>
        <w:t>70</w:t>
      </w:r>
      <w:r w:rsidRPr="002E2DEC">
        <w:rPr>
          <w:rFonts w:ascii="Book Antiqua" w:hAnsi="Book Antiqua"/>
          <w:color w:val="000000" w:themeColor="text1"/>
        </w:rPr>
        <w:t>: 5810-5817 [</w:t>
      </w:r>
      <w:bookmarkStart w:id="28" w:name="OLE_LINK86"/>
      <w:r w:rsidRPr="002E2DEC">
        <w:rPr>
          <w:rFonts w:ascii="Book Antiqua" w:hAnsi="Book Antiqua"/>
          <w:color w:val="000000" w:themeColor="text1"/>
        </w:rPr>
        <w:t>PMID: 15466518</w:t>
      </w:r>
      <w:bookmarkEnd w:id="28"/>
      <w:r w:rsidR="008D3784" w:rsidRPr="002E2DEC">
        <w:rPr>
          <w:rFonts w:ascii="Book Antiqua" w:hAnsi="Book Antiqua"/>
          <w:color w:val="000000" w:themeColor="text1"/>
        </w:rPr>
        <w:t xml:space="preserve"> DOI: 10.1128/AEM.70.10.5810-5817.2004</w:t>
      </w:r>
      <w:r w:rsidRPr="002E2DEC">
        <w:rPr>
          <w:rFonts w:ascii="Book Antiqua" w:hAnsi="Book Antiqua"/>
          <w:color w:val="000000" w:themeColor="text1"/>
        </w:rPr>
        <w:t>]</w:t>
      </w:r>
    </w:p>
    <w:p w14:paraId="5942F7A2"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42 </w:t>
      </w:r>
      <w:r w:rsidRPr="002E2DEC">
        <w:rPr>
          <w:rFonts w:ascii="Book Antiqua" w:hAnsi="Book Antiqua"/>
          <w:b/>
          <w:bCs/>
          <w:color w:val="000000" w:themeColor="text1"/>
        </w:rPr>
        <w:t>Turroni F</w:t>
      </w:r>
      <w:r w:rsidRPr="002E2DEC">
        <w:rPr>
          <w:rFonts w:ascii="Book Antiqua" w:hAnsi="Book Antiqua"/>
          <w:color w:val="000000" w:themeColor="text1"/>
        </w:rPr>
        <w:t>, Peano C, Pass DA, Foroni E, Severgnini M, Claesson MJ, Kerr C, Hourihane J, Murray D, Fuligni F, Gueimonde M, Margolles A, De Bellis G, O'Toole PW, van Sinderen D, Marchesi JR, Ventura M. Diversity of bifidobacteria within the infant gut microbiota. </w:t>
      </w:r>
      <w:r w:rsidRPr="002E2DEC">
        <w:rPr>
          <w:rFonts w:ascii="Book Antiqua" w:hAnsi="Book Antiqua"/>
          <w:i/>
          <w:iCs/>
          <w:color w:val="000000" w:themeColor="text1"/>
        </w:rPr>
        <w:t>PLoS One</w:t>
      </w:r>
      <w:r w:rsidRPr="002E2DEC">
        <w:rPr>
          <w:rFonts w:ascii="Book Antiqua" w:hAnsi="Book Antiqua"/>
          <w:color w:val="000000" w:themeColor="text1"/>
        </w:rPr>
        <w:t> 2012; </w:t>
      </w:r>
      <w:r w:rsidRPr="002E2DEC">
        <w:rPr>
          <w:rFonts w:ascii="Book Antiqua" w:hAnsi="Book Antiqua"/>
          <w:b/>
          <w:bCs/>
          <w:color w:val="000000" w:themeColor="text1"/>
        </w:rPr>
        <w:t>7</w:t>
      </w:r>
      <w:r w:rsidRPr="002E2DEC">
        <w:rPr>
          <w:rFonts w:ascii="Book Antiqua" w:hAnsi="Book Antiqua"/>
          <w:color w:val="000000" w:themeColor="text1"/>
        </w:rPr>
        <w:t>: e36957 [PMID: 22606315 DOI: 10.1371/journal.pone.0036957]</w:t>
      </w:r>
    </w:p>
    <w:p w14:paraId="7922E175" w14:textId="4B5A94A8"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43 </w:t>
      </w:r>
      <w:r w:rsidRPr="002E2DEC">
        <w:rPr>
          <w:rFonts w:ascii="Book Antiqua" w:hAnsi="Book Antiqua"/>
          <w:b/>
          <w:bCs/>
          <w:color w:val="000000" w:themeColor="text1"/>
        </w:rPr>
        <w:t>Peck SC</w:t>
      </w:r>
      <w:r w:rsidRPr="002E2DEC">
        <w:rPr>
          <w:rFonts w:ascii="Book Antiqua" w:hAnsi="Book Antiqua"/>
          <w:color w:val="000000" w:themeColor="text1"/>
        </w:rPr>
        <w:t>, Denger K, Burrichter A, Irwin SM, Balskus EP, Schleheck D. A glycyl radical enzyme enables hydrogen sulfide production by the human intestinal bacterium </w:t>
      </w:r>
      <w:r w:rsidRPr="002E2DEC">
        <w:rPr>
          <w:rFonts w:ascii="Book Antiqua" w:hAnsi="Book Antiqua"/>
          <w:i/>
          <w:iCs/>
          <w:color w:val="000000" w:themeColor="text1"/>
        </w:rPr>
        <w:t>Bilophila wadsworthia</w:t>
      </w:r>
      <w:r w:rsidRPr="002E2DEC">
        <w:rPr>
          <w:rFonts w:ascii="Book Antiqua" w:hAnsi="Book Antiqua"/>
          <w:color w:val="000000" w:themeColor="text1"/>
        </w:rPr>
        <w:t>. </w:t>
      </w:r>
      <w:r w:rsidR="008D53A9" w:rsidRPr="002E2DEC">
        <w:rPr>
          <w:rFonts w:ascii="Book Antiqua" w:hAnsi="Book Antiqua"/>
          <w:i/>
          <w:iCs/>
          <w:color w:val="000000" w:themeColor="text1"/>
        </w:rPr>
        <w:t>Proc Natl Acad Sci US</w:t>
      </w:r>
      <w:r w:rsidRPr="002E2DEC">
        <w:rPr>
          <w:rFonts w:ascii="Book Antiqua" w:hAnsi="Book Antiqua"/>
          <w:i/>
          <w:iCs/>
          <w:color w:val="000000" w:themeColor="text1"/>
        </w:rPr>
        <w:t>A</w:t>
      </w:r>
      <w:r w:rsidRPr="002E2DEC">
        <w:rPr>
          <w:rFonts w:ascii="Book Antiqua" w:hAnsi="Book Antiqua"/>
          <w:color w:val="000000" w:themeColor="text1"/>
        </w:rPr>
        <w:t> 2019; </w:t>
      </w:r>
      <w:r w:rsidRPr="002E2DEC">
        <w:rPr>
          <w:rFonts w:ascii="Book Antiqua" w:hAnsi="Book Antiqua"/>
          <w:b/>
          <w:bCs/>
          <w:color w:val="000000" w:themeColor="text1"/>
        </w:rPr>
        <w:t>116</w:t>
      </w:r>
      <w:r w:rsidRPr="002E2DEC">
        <w:rPr>
          <w:rFonts w:ascii="Book Antiqua" w:hAnsi="Book Antiqua"/>
          <w:color w:val="000000" w:themeColor="text1"/>
        </w:rPr>
        <w:t>: 3171-3176 [PMID: 30718429 DOI: 10.1073/pnas.1815661116]</w:t>
      </w:r>
    </w:p>
    <w:p w14:paraId="4A303D04"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44 </w:t>
      </w:r>
      <w:r w:rsidRPr="002E2DEC">
        <w:rPr>
          <w:rFonts w:ascii="Book Antiqua" w:hAnsi="Book Antiqua"/>
          <w:b/>
          <w:bCs/>
          <w:color w:val="000000" w:themeColor="text1"/>
        </w:rPr>
        <w:t>Laue H</w:t>
      </w:r>
      <w:r w:rsidRPr="002E2DEC">
        <w:rPr>
          <w:rFonts w:ascii="Book Antiqua" w:hAnsi="Book Antiqua"/>
          <w:color w:val="000000" w:themeColor="text1"/>
        </w:rPr>
        <w:t>, Denger K, Cook AM. Taurine reduction in anaerobic respiration of Bilophila wadsworthia RZATAU. </w:t>
      </w:r>
      <w:r w:rsidRPr="002E2DEC">
        <w:rPr>
          <w:rFonts w:ascii="Book Antiqua" w:hAnsi="Book Antiqua"/>
          <w:i/>
          <w:iCs/>
          <w:color w:val="000000" w:themeColor="text1"/>
        </w:rPr>
        <w:t>Appl Environ Microbiol</w:t>
      </w:r>
      <w:r w:rsidRPr="002E2DEC">
        <w:rPr>
          <w:rFonts w:ascii="Book Antiqua" w:hAnsi="Book Antiqua"/>
          <w:color w:val="000000" w:themeColor="text1"/>
        </w:rPr>
        <w:t> 1997; </w:t>
      </w:r>
      <w:r w:rsidRPr="002E2DEC">
        <w:rPr>
          <w:rFonts w:ascii="Book Antiqua" w:hAnsi="Book Antiqua"/>
          <w:b/>
          <w:bCs/>
          <w:color w:val="000000" w:themeColor="text1"/>
        </w:rPr>
        <w:t>63</w:t>
      </w:r>
      <w:r w:rsidRPr="002E2DEC">
        <w:rPr>
          <w:rFonts w:ascii="Book Antiqua" w:hAnsi="Book Antiqua"/>
          <w:color w:val="000000" w:themeColor="text1"/>
        </w:rPr>
        <w:t>: 2016-2021 [PMID: 9143131 DOI: 10.1128/AEM.63.5.2016-2021.1997]</w:t>
      </w:r>
    </w:p>
    <w:p w14:paraId="37A19181"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45 </w:t>
      </w:r>
      <w:r w:rsidRPr="002E2DEC">
        <w:rPr>
          <w:rFonts w:ascii="Book Antiqua" w:hAnsi="Book Antiqua"/>
          <w:b/>
          <w:bCs/>
          <w:color w:val="000000" w:themeColor="text1"/>
        </w:rPr>
        <w:t>Feng Z</w:t>
      </w:r>
      <w:r w:rsidRPr="002E2DEC">
        <w:rPr>
          <w:rFonts w:ascii="Book Antiqua" w:hAnsi="Book Antiqua"/>
          <w:color w:val="000000" w:themeColor="text1"/>
        </w:rPr>
        <w:t>, Long W, Hao B, Ding D, Ma X, Zhao L, Pang X. A human stool-derived </w:t>
      </w:r>
      <w:r w:rsidRPr="002E2DEC">
        <w:rPr>
          <w:rFonts w:ascii="Book Antiqua" w:hAnsi="Book Antiqua"/>
          <w:i/>
          <w:iCs/>
          <w:color w:val="000000" w:themeColor="text1"/>
        </w:rPr>
        <w:t>Bilophila wadsworthia</w:t>
      </w:r>
      <w:r w:rsidRPr="002E2DEC">
        <w:rPr>
          <w:rFonts w:ascii="Book Antiqua" w:hAnsi="Book Antiqua"/>
          <w:color w:val="000000" w:themeColor="text1"/>
        </w:rPr>
        <w:t> strain caused systemic inflammation in specific-pathogen-free mice. </w:t>
      </w:r>
      <w:r w:rsidRPr="002E2DEC">
        <w:rPr>
          <w:rFonts w:ascii="Book Antiqua" w:hAnsi="Book Antiqua"/>
          <w:i/>
          <w:iCs/>
          <w:color w:val="000000" w:themeColor="text1"/>
        </w:rPr>
        <w:t>Gut Pathog</w:t>
      </w:r>
      <w:r w:rsidRPr="002E2DEC">
        <w:rPr>
          <w:rFonts w:ascii="Book Antiqua" w:hAnsi="Book Antiqua"/>
          <w:color w:val="000000" w:themeColor="text1"/>
        </w:rPr>
        <w:t> 2017; </w:t>
      </w:r>
      <w:r w:rsidRPr="002E2DEC">
        <w:rPr>
          <w:rFonts w:ascii="Book Antiqua" w:hAnsi="Book Antiqua"/>
          <w:b/>
          <w:bCs/>
          <w:color w:val="000000" w:themeColor="text1"/>
        </w:rPr>
        <w:t>9</w:t>
      </w:r>
      <w:r w:rsidRPr="002E2DEC">
        <w:rPr>
          <w:rFonts w:ascii="Book Antiqua" w:hAnsi="Book Antiqua"/>
          <w:color w:val="000000" w:themeColor="text1"/>
        </w:rPr>
        <w:t>: 59 [PMID: 29090023 DOI: 10.1186/s13099-017-0208-7]</w:t>
      </w:r>
    </w:p>
    <w:p w14:paraId="4C57CD8A" w14:textId="429B035B"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46 </w:t>
      </w:r>
      <w:r w:rsidRPr="002E2DEC">
        <w:rPr>
          <w:rFonts w:ascii="Book Antiqua" w:hAnsi="Book Antiqua"/>
          <w:b/>
          <w:bCs/>
          <w:color w:val="000000" w:themeColor="text1"/>
        </w:rPr>
        <w:t>Baron EJ</w:t>
      </w:r>
      <w:r w:rsidRPr="002E2DEC">
        <w:rPr>
          <w:rFonts w:ascii="Book Antiqua" w:hAnsi="Book Antiqua"/>
          <w:color w:val="000000" w:themeColor="text1"/>
        </w:rPr>
        <w:t>. Bilophila wadsworthia: a unique Gram-negative anaerobic rod.</w:t>
      </w:r>
      <w:r w:rsidR="008D53A9" w:rsidRPr="002E2DEC">
        <w:rPr>
          <w:rFonts w:ascii="Book Antiqua" w:hAnsi="Book Antiqua"/>
          <w:color w:val="000000" w:themeColor="text1"/>
        </w:rPr>
        <w:t xml:space="preserve"> </w:t>
      </w:r>
      <w:r w:rsidRPr="002E2DEC">
        <w:rPr>
          <w:rFonts w:ascii="Book Antiqua" w:hAnsi="Book Antiqua"/>
          <w:i/>
          <w:iCs/>
          <w:color w:val="000000" w:themeColor="text1"/>
        </w:rPr>
        <w:t>Anaerobe</w:t>
      </w:r>
      <w:r w:rsidR="008D53A9" w:rsidRPr="002E2DEC">
        <w:rPr>
          <w:rFonts w:ascii="Book Antiqua" w:hAnsi="Book Antiqua"/>
          <w:color w:val="000000" w:themeColor="text1"/>
        </w:rPr>
        <w:t xml:space="preserve"> </w:t>
      </w:r>
      <w:r w:rsidRPr="002E2DEC">
        <w:rPr>
          <w:rFonts w:ascii="Book Antiqua" w:hAnsi="Book Antiqua"/>
          <w:color w:val="000000" w:themeColor="text1"/>
        </w:rPr>
        <w:t>1997; </w:t>
      </w:r>
      <w:r w:rsidRPr="002E2DEC">
        <w:rPr>
          <w:rFonts w:ascii="Book Antiqua" w:hAnsi="Book Antiqua"/>
          <w:b/>
          <w:bCs/>
          <w:color w:val="000000" w:themeColor="text1"/>
        </w:rPr>
        <w:t>3</w:t>
      </w:r>
      <w:r w:rsidRPr="002E2DEC">
        <w:rPr>
          <w:rFonts w:ascii="Book Antiqua" w:hAnsi="Book Antiqua"/>
          <w:color w:val="000000" w:themeColor="text1"/>
        </w:rPr>
        <w:t>: 83-86 [PMID: 16887567 DOI: 10.1006/anae.1997.0075]</w:t>
      </w:r>
    </w:p>
    <w:p w14:paraId="5F751281"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47 </w:t>
      </w:r>
      <w:r w:rsidRPr="002E2DEC">
        <w:rPr>
          <w:rFonts w:ascii="Book Antiqua" w:hAnsi="Book Antiqua"/>
          <w:b/>
          <w:bCs/>
          <w:color w:val="000000" w:themeColor="text1"/>
        </w:rPr>
        <w:t>Devkota S</w:t>
      </w:r>
      <w:r w:rsidRPr="002E2DEC">
        <w:rPr>
          <w:rFonts w:ascii="Book Antiqua" w:hAnsi="Book Antiqua"/>
          <w:color w:val="000000" w:themeColor="text1"/>
        </w:rPr>
        <w:t>, Wang Y, Musch MW, Leone V, Fehlner-Peach H, Nadimpalli A, Antonopoulos DA, Jabri B, Chang EB. Dietary-fat-induced taurocholic acid promotes pathobiont expansion and colitis in Il10-/- mice. </w:t>
      </w:r>
      <w:r w:rsidRPr="002E2DEC">
        <w:rPr>
          <w:rFonts w:ascii="Book Antiqua" w:hAnsi="Book Antiqua"/>
          <w:i/>
          <w:iCs/>
          <w:color w:val="000000" w:themeColor="text1"/>
        </w:rPr>
        <w:t>Nature</w:t>
      </w:r>
      <w:r w:rsidRPr="002E2DEC">
        <w:rPr>
          <w:rFonts w:ascii="Book Antiqua" w:hAnsi="Book Antiqua"/>
          <w:color w:val="000000" w:themeColor="text1"/>
        </w:rPr>
        <w:t> 2012; </w:t>
      </w:r>
      <w:r w:rsidRPr="002E2DEC">
        <w:rPr>
          <w:rFonts w:ascii="Book Antiqua" w:hAnsi="Book Antiqua"/>
          <w:b/>
          <w:bCs/>
          <w:color w:val="000000" w:themeColor="text1"/>
        </w:rPr>
        <w:t>487</w:t>
      </w:r>
      <w:r w:rsidRPr="002E2DEC">
        <w:rPr>
          <w:rFonts w:ascii="Book Antiqua" w:hAnsi="Book Antiqua"/>
          <w:color w:val="000000" w:themeColor="text1"/>
        </w:rPr>
        <w:t>: 104-108 [PMID: 22722865 DOI: 10.1038/nature11225]</w:t>
      </w:r>
    </w:p>
    <w:p w14:paraId="2953C3DE"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48 </w:t>
      </w:r>
      <w:r w:rsidRPr="002E2DEC">
        <w:rPr>
          <w:rFonts w:ascii="Book Antiqua" w:hAnsi="Book Antiqua"/>
          <w:b/>
          <w:bCs/>
          <w:color w:val="000000" w:themeColor="text1"/>
        </w:rPr>
        <w:t>Turnbaugh PJ</w:t>
      </w:r>
      <w:r w:rsidRPr="002E2DEC">
        <w:rPr>
          <w:rFonts w:ascii="Book Antiqua" w:hAnsi="Book Antiqua"/>
          <w:color w:val="000000" w:themeColor="text1"/>
        </w:rPr>
        <w:t>. Microbiology: fat, bile and gut microbes. </w:t>
      </w:r>
      <w:r w:rsidRPr="002E2DEC">
        <w:rPr>
          <w:rFonts w:ascii="Book Antiqua" w:hAnsi="Book Antiqua"/>
          <w:i/>
          <w:iCs/>
          <w:color w:val="000000" w:themeColor="text1"/>
        </w:rPr>
        <w:t>Nature</w:t>
      </w:r>
      <w:r w:rsidRPr="002E2DEC">
        <w:rPr>
          <w:rFonts w:ascii="Book Antiqua" w:hAnsi="Book Antiqua"/>
          <w:color w:val="000000" w:themeColor="text1"/>
        </w:rPr>
        <w:t> 2012; </w:t>
      </w:r>
      <w:r w:rsidRPr="002E2DEC">
        <w:rPr>
          <w:rFonts w:ascii="Book Antiqua" w:hAnsi="Book Antiqua"/>
          <w:b/>
          <w:bCs/>
          <w:color w:val="000000" w:themeColor="text1"/>
        </w:rPr>
        <w:t>487</w:t>
      </w:r>
      <w:r w:rsidRPr="002E2DEC">
        <w:rPr>
          <w:rFonts w:ascii="Book Antiqua" w:hAnsi="Book Antiqua"/>
          <w:color w:val="000000" w:themeColor="text1"/>
        </w:rPr>
        <w:t>: 47-48 [PMID: 22763552 DOI: 10.1038/487047a]</w:t>
      </w:r>
    </w:p>
    <w:p w14:paraId="0D8DEFCC"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49 </w:t>
      </w:r>
      <w:r w:rsidRPr="002E2DEC">
        <w:rPr>
          <w:rFonts w:ascii="Book Antiqua" w:hAnsi="Book Antiqua"/>
          <w:b/>
          <w:bCs/>
          <w:color w:val="000000" w:themeColor="text1"/>
        </w:rPr>
        <w:t>Narushima S</w:t>
      </w:r>
      <w:r w:rsidRPr="002E2DEC">
        <w:rPr>
          <w:rFonts w:ascii="Book Antiqua" w:hAnsi="Book Antiqua"/>
          <w:color w:val="000000" w:themeColor="text1"/>
        </w:rPr>
        <w:t>, Itoha K, Miyamoto Y, Park SH, Nagata K, Kuruma K, Uchida K. Deoxycholic acid formation in gnotobiotic mice associated with human intestinal bacteria. </w:t>
      </w:r>
      <w:r w:rsidRPr="002E2DEC">
        <w:rPr>
          <w:rFonts w:ascii="Book Antiqua" w:hAnsi="Book Antiqua"/>
          <w:i/>
          <w:iCs/>
          <w:color w:val="000000" w:themeColor="text1"/>
        </w:rPr>
        <w:t>Lipids</w:t>
      </w:r>
      <w:r w:rsidRPr="002E2DEC">
        <w:rPr>
          <w:rFonts w:ascii="Book Antiqua" w:hAnsi="Book Antiqua"/>
          <w:color w:val="000000" w:themeColor="text1"/>
        </w:rPr>
        <w:t> 2006; </w:t>
      </w:r>
      <w:r w:rsidRPr="002E2DEC">
        <w:rPr>
          <w:rFonts w:ascii="Book Antiqua" w:hAnsi="Book Antiqua"/>
          <w:b/>
          <w:bCs/>
          <w:color w:val="000000" w:themeColor="text1"/>
        </w:rPr>
        <w:t>41</w:t>
      </w:r>
      <w:r w:rsidRPr="002E2DEC">
        <w:rPr>
          <w:rFonts w:ascii="Book Antiqua" w:hAnsi="Book Antiqua"/>
          <w:color w:val="000000" w:themeColor="text1"/>
        </w:rPr>
        <w:t>: 835-843 [PMID: 17152920 DOI: 10.1007/s11745-006-5038-1]</w:t>
      </w:r>
    </w:p>
    <w:p w14:paraId="193517EA"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50 </w:t>
      </w:r>
      <w:r w:rsidRPr="002E2DEC">
        <w:rPr>
          <w:rFonts w:ascii="Book Antiqua" w:hAnsi="Book Antiqua"/>
          <w:b/>
          <w:bCs/>
          <w:color w:val="000000" w:themeColor="text1"/>
        </w:rPr>
        <w:t>Wang K</w:t>
      </w:r>
      <w:r w:rsidRPr="002E2DEC">
        <w:rPr>
          <w:rFonts w:ascii="Book Antiqua" w:hAnsi="Book Antiqua"/>
          <w:color w:val="000000" w:themeColor="text1"/>
        </w:rPr>
        <w:t>, Liao M, Zhou N, Bao L, Ma K, Zheng Z, Wang Y, Liu C, Wang W, Wang J, Liu SJ, Liu H. Parabacteroides distasonis Alleviates Obesity and Metabolic Dysfunctions via Production of Succinate and Secondary Bile Acids. </w:t>
      </w:r>
      <w:r w:rsidRPr="002E2DEC">
        <w:rPr>
          <w:rFonts w:ascii="Book Antiqua" w:hAnsi="Book Antiqua"/>
          <w:i/>
          <w:iCs/>
          <w:color w:val="000000" w:themeColor="text1"/>
        </w:rPr>
        <w:t>Cell Rep</w:t>
      </w:r>
      <w:r w:rsidRPr="002E2DEC">
        <w:rPr>
          <w:rFonts w:ascii="Book Antiqua" w:hAnsi="Book Antiqua"/>
          <w:color w:val="000000" w:themeColor="text1"/>
        </w:rPr>
        <w:t> 2019; </w:t>
      </w:r>
      <w:r w:rsidRPr="002E2DEC">
        <w:rPr>
          <w:rFonts w:ascii="Book Antiqua" w:hAnsi="Book Antiqua"/>
          <w:b/>
          <w:bCs/>
          <w:color w:val="000000" w:themeColor="text1"/>
        </w:rPr>
        <w:t>26</w:t>
      </w:r>
      <w:r w:rsidRPr="002E2DEC">
        <w:rPr>
          <w:rFonts w:ascii="Book Antiqua" w:hAnsi="Book Antiqua"/>
          <w:color w:val="000000" w:themeColor="text1"/>
        </w:rPr>
        <w:t>: 222-235.e5 [PMID: 30605678 DOI: 10.1016/j.celrep.2018.12.028]</w:t>
      </w:r>
    </w:p>
    <w:p w14:paraId="24E32554" w14:textId="77777777" w:rsidR="001F53E3" w:rsidRPr="002E2DEC" w:rsidRDefault="001F53E3" w:rsidP="002E2DEC">
      <w:pPr>
        <w:snapToGrid w:val="0"/>
        <w:spacing w:line="360" w:lineRule="auto"/>
        <w:jc w:val="both"/>
        <w:rPr>
          <w:rFonts w:ascii="Book Antiqua" w:hAnsi="Book Antiqua"/>
          <w:color w:val="000000" w:themeColor="text1"/>
          <w:lang w:eastAsia="zh-CN"/>
        </w:rPr>
      </w:pPr>
    </w:p>
    <w:p w14:paraId="391BDFA2" w14:textId="77777777" w:rsidR="00260A5B" w:rsidRPr="002E2DEC" w:rsidRDefault="00260A5B" w:rsidP="002E2DEC">
      <w:pPr>
        <w:snapToGrid w:val="0"/>
        <w:spacing w:line="360" w:lineRule="auto"/>
        <w:jc w:val="both"/>
        <w:rPr>
          <w:rFonts w:ascii="Book Antiqua" w:hAnsi="Book Antiqua"/>
          <w:color w:val="000000" w:themeColor="text1"/>
          <w:lang w:eastAsia="zh-CN"/>
        </w:rPr>
        <w:sectPr w:rsidR="00260A5B" w:rsidRPr="002E2DEC" w:rsidSect="00F7713A">
          <w:pgSz w:w="12240" w:h="15840"/>
          <w:pgMar w:top="1440" w:right="1440" w:bottom="1440" w:left="1440" w:header="720" w:footer="720" w:gutter="0"/>
          <w:cols w:space="720"/>
          <w:docGrid w:linePitch="360"/>
        </w:sectPr>
      </w:pPr>
    </w:p>
    <w:p w14:paraId="7D5F14B4"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t>Footnotes</w:t>
      </w:r>
    </w:p>
    <w:p w14:paraId="43AA28D7"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Institutional review board statement: </w:t>
      </w:r>
      <w:r w:rsidRPr="002E2DEC">
        <w:rPr>
          <w:rFonts w:ascii="Book Antiqua" w:eastAsia="Book Antiqua" w:hAnsi="Book Antiqua" w:cs="Book Antiqua"/>
          <w:color w:val="000000" w:themeColor="text1"/>
        </w:rPr>
        <w:t>This study was approved by the Ethics Committee of Shanghai First Maternity and Infant Health Hospital (KS2035).</w:t>
      </w:r>
    </w:p>
    <w:p w14:paraId="71ED85DC" w14:textId="77777777" w:rsidR="00A77B3E" w:rsidRPr="002E2DEC" w:rsidRDefault="00A77B3E" w:rsidP="002E2DEC">
      <w:pPr>
        <w:snapToGrid w:val="0"/>
        <w:spacing w:line="360" w:lineRule="auto"/>
        <w:jc w:val="both"/>
        <w:rPr>
          <w:rFonts w:ascii="Book Antiqua" w:hAnsi="Book Antiqua"/>
          <w:color w:val="000000" w:themeColor="text1"/>
          <w:lang w:eastAsia="zh-CN"/>
        </w:rPr>
      </w:pPr>
    </w:p>
    <w:p w14:paraId="40354D3F" w14:textId="77777777" w:rsidR="00ED092F" w:rsidRPr="002E2DEC" w:rsidRDefault="00ED092F" w:rsidP="002E2DEC">
      <w:pPr>
        <w:suppressAutoHyphens/>
        <w:snapToGrid w:val="0"/>
        <w:spacing w:line="360" w:lineRule="auto"/>
        <w:jc w:val="both"/>
        <w:rPr>
          <w:rFonts w:ascii="Book Antiqua" w:eastAsia="Times New Roman" w:hAnsi="Book Antiqua"/>
          <w:b/>
          <w:color w:val="000000" w:themeColor="text1"/>
          <w:lang w:eastAsia="ar-SA"/>
        </w:rPr>
      </w:pPr>
      <w:r w:rsidRPr="002E2DEC">
        <w:rPr>
          <w:rFonts w:ascii="Book Antiqua" w:eastAsia="Times New Roman" w:hAnsi="Book Antiqua"/>
          <w:b/>
          <w:color w:val="000000" w:themeColor="text1"/>
          <w:lang w:eastAsia="ar-SA"/>
        </w:rPr>
        <w:t>Informed consent statement</w:t>
      </w:r>
      <w:r w:rsidRPr="002E2DEC">
        <w:rPr>
          <w:rFonts w:ascii="Book Antiqua" w:eastAsia="Times New Roman" w:hAnsi="Book Antiqua"/>
          <w:b/>
          <w:bCs/>
          <w:iCs/>
          <w:color w:val="000000" w:themeColor="text1"/>
          <w:lang w:eastAsia="zh-CN"/>
        </w:rPr>
        <w:t>:</w:t>
      </w:r>
      <w:r w:rsidRPr="002E2DEC">
        <w:rPr>
          <w:rFonts w:ascii="Book Antiqua" w:eastAsia="Times New Roman" w:hAnsi="Book Antiqua"/>
          <w:b/>
          <w:bCs/>
          <w:iCs/>
          <w:color w:val="000000" w:themeColor="text1"/>
          <w:lang w:eastAsia="ar-SA"/>
        </w:rPr>
        <w:t xml:space="preserve"> </w:t>
      </w:r>
      <w:r w:rsidRPr="002E2DEC">
        <w:rPr>
          <w:rFonts w:ascii="Book Antiqua" w:eastAsia="Times New Roman" w:hAnsi="Book Antiqua"/>
          <w:color w:val="000000" w:themeColor="text1"/>
          <w:lang w:eastAsia="ar-SA"/>
        </w:rPr>
        <w:t>All study participants or their legal guardian provided informed written consent about personal and medical data collection prior to study enrolment.</w:t>
      </w:r>
    </w:p>
    <w:p w14:paraId="57E13B55" w14:textId="77777777" w:rsidR="00ED092F" w:rsidRPr="002E2DEC" w:rsidRDefault="00ED092F" w:rsidP="002E2DEC">
      <w:pPr>
        <w:snapToGrid w:val="0"/>
        <w:spacing w:line="360" w:lineRule="auto"/>
        <w:jc w:val="both"/>
        <w:rPr>
          <w:rFonts w:ascii="Book Antiqua" w:hAnsi="Book Antiqua"/>
          <w:color w:val="000000" w:themeColor="text1"/>
          <w:lang w:eastAsia="zh-CN"/>
        </w:rPr>
      </w:pPr>
    </w:p>
    <w:p w14:paraId="76AE16B9"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Conflict-of-interest statement: </w:t>
      </w:r>
      <w:r w:rsidRPr="002E2DEC">
        <w:rPr>
          <w:rFonts w:ascii="Book Antiqua" w:eastAsia="Book Antiqua" w:hAnsi="Book Antiqua" w:cs="Book Antiqua"/>
          <w:color w:val="000000" w:themeColor="text1"/>
        </w:rPr>
        <w:t>The authors have no conflicts of interest to declare.</w:t>
      </w:r>
    </w:p>
    <w:p w14:paraId="0FAAB829" w14:textId="77777777" w:rsidR="00A77B3E" w:rsidRPr="002E2DEC" w:rsidRDefault="00A77B3E" w:rsidP="002E2DEC">
      <w:pPr>
        <w:snapToGrid w:val="0"/>
        <w:spacing w:line="360" w:lineRule="auto"/>
        <w:jc w:val="both"/>
        <w:rPr>
          <w:rFonts w:ascii="Book Antiqua" w:hAnsi="Book Antiqua"/>
          <w:color w:val="000000" w:themeColor="text1"/>
        </w:rPr>
      </w:pPr>
    </w:p>
    <w:p w14:paraId="2367C79A"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Data sharing statement: </w:t>
      </w:r>
      <w:r w:rsidRPr="002E2DEC">
        <w:rPr>
          <w:rFonts w:ascii="Book Antiqua" w:eastAsia="Book Antiqua" w:hAnsi="Book Antiqua" w:cs="Book Antiqua"/>
          <w:color w:val="000000" w:themeColor="text1"/>
        </w:rPr>
        <w:t>The raw sequencing data have been submitted to the NCBI Sequence Read Archive under accession number PRJNA657645.</w:t>
      </w:r>
    </w:p>
    <w:p w14:paraId="5F611617" w14:textId="77777777" w:rsidR="00A77B3E" w:rsidRPr="002E2DEC" w:rsidRDefault="00A77B3E" w:rsidP="002E2DEC">
      <w:pPr>
        <w:snapToGrid w:val="0"/>
        <w:spacing w:line="360" w:lineRule="auto"/>
        <w:jc w:val="both"/>
        <w:rPr>
          <w:rFonts w:ascii="Book Antiqua" w:hAnsi="Book Antiqua"/>
          <w:color w:val="000000" w:themeColor="text1"/>
          <w:lang w:eastAsia="zh-CN"/>
        </w:rPr>
      </w:pPr>
    </w:p>
    <w:p w14:paraId="2A996492" w14:textId="77777777" w:rsidR="00017FFB" w:rsidRPr="002E2DEC" w:rsidRDefault="00017FFB" w:rsidP="00D22219">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STROBE statement: </w:t>
      </w:r>
      <w:r w:rsidRPr="002E2DEC">
        <w:rPr>
          <w:rFonts w:ascii="Book Antiqua" w:eastAsia="Book Antiqua" w:hAnsi="Book Antiqua" w:cs="Book Antiqua"/>
          <w:color w:val="000000" w:themeColor="text1"/>
        </w:rPr>
        <w:t>The manuscript has been prepared and revised according to the STROBE statement.</w:t>
      </w:r>
    </w:p>
    <w:p w14:paraId="59B40450" w14:textId="77777777" w:rsidR="00017FFB" w:rsidRPr="002E2DEC" w:rsidRDefault="00017FFB" w:rsidP="002E2DEC">
      <w:pPr>
        <w:snapToGrid w:val="0"/>
        <w:spacing w:line="360" w:lineRule="auto"/>
        <w:jc w:val="both"/>
        <w:rPr>
          <w:rFonts w:ascii="Book Antiqua" w:hAnsi="Book Antiqua"/>
          <w:color w:val="000000" w:themeColor="text1"/>
          <w:lang w:eastAsia="zh-CN"/>
        </w:rPr>
      </w:pPr>
    </w:p>
    <w:p w14:paraId="6A1651A5"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Open-Access: </w:t>
      </w:r>
      <w:r w:rsidRPr="002E2DEC">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54705F3" w14:textId="77777777" w:rsidR="00A77B3E" w:rsidRPr="002E2DEC" w:rsidRDefault="00A77B3E" w:rsidP="002E2DEC">
      <w:pPr>
        <w:snapToGrid w:val="0"/>
        <w:spacing w:line="360" w:lineRule="auto"/>
        <w:jc w:val="both"/>
        <w:rPr>
          <w:rFonts w:ascii="Book Antiqua" w:hAnsi="Book Antiqua"/>
          <w:color w:val="000000" w:themeColor="text1"/>
        </w:rPr>
      </w:pPr>
    </w:p>
    <w:p w14:paraId="40BC2168" w14:textId="3C5CE88E"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t xml:space="preserve">Manuscript source: </w:t>
      </w:r>
      <w:r w:rsidRPr="002E2DEC">
        <w:rPr>
          <w:rFonts w:ascii="Book Antiqua" w:eastAsia="Book Antiqua" w:hAnsi="Book Antiqua" w:cs="Book Antiqua"/>
          <w:color w:val="000000" w:themeColor="text1"/>
        </w:rPr>
        <w:t xml:space="preserve">Unsolicited </w:t>
      </w:r>
      <w:r w:rsidR="007D67B1" w:rsidRPr="002E2DEC">
        <w:rPr>
          <w:rFonts w:ascii="Book Antiqua" w:eastAsia="Book Antiqua" w:hAnsi="Book Antiqua" w:cs="Book Antiqua"/>
          <w:color w:val="000000" w:themeColor="text1"/>
        </w:rPr>
        <w:t>m</w:t>
      </w:r>
      <w:r w:rsidRPr="002E2DEC">
        <w:rPr>
          <w:rFonts w:ascii="Book Antiqua" w:eastAsia="Book Antiqua" w:hAnsi="Book Antiqua" w:cs="Book Antiqua"/>
          <w:color w:val="000000" w:themeColor="text1"/>
        </w:rPr>
        <w:t>anuscript</w:t>
      </w:r>
    </w:p>
    <w:p w14:paraId="0C5A5C70" w14:textId="77777777" w:rsidR="00A77B3E" w:rsidRPr="002E2DEC" w:rsidRDefault="00A77B3E" w:rsidP="002E2DEC">
      <w:pPr>
        <w:snapToGrid w:val="0"/>
        <w:spacing w:line="360" w:lineRule="auto"/>
        <w:jc w:val="both"/>
        <w:rPr>
          <w:rFonts w:ascii="Book Antiqua" w:hAnsi="Book Antiqua"/>
          <w:color w:val="000000" w:themeColor="text1"/>
        </w:rPr>
      </w:pPr>
    </w:p>
    <w:p w14:paraId="0198FD5F"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t xml:space="preserve">Peer-review started: </w:t>
      </w:r>
      <w:r w:rsidRPr="002E2DEC">
        <w:rPr>
          <w:rFonts w:ascii="Book Antiqua" w:eastAsia="Book Antiqua" w:hAnsi="Book Antiqua" w:cs="Book Antiqua"/>
          <w:color w:val="000000" w:themeColor="text1"/>
        </w:rPr>
        <w:t>September 9, 2020</w:t>
      </w:r>
    </w:p>
    <w:p w14:paraId="653CE054"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t xml:space="preserve">First decision: </w:t>
      </w:r>
      <w:r w:rsidRPr="002E2DEC">
        <w:rPr>
          <w:rFonts w:ascii="Book Antiqua" w:eastAsia="Book Antiqua" w:hAnsi="Book Antiqua" w:cs="Book Antiqua"/>
          <w:color w:val="000000" w:themeColor="text1"/>
        </w:rPr>
        <w:t>September 29, 2020</w:t>
      </w:r>
    </w:p>
    <w:p w14:paraId="6B76E6E8" w14:textId="09F97C76"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t xml:space="preserve">Article in press: </w:t>
      </w:r>
      <w:r w:rsidR="005B0210" w:rsidRPr="002E2DEC">
        <w:rPr>
          <w:rFonts w:ascii="Book Antiqua" w:eastAsia="Book Antiqua" w:hAnsi="Book Antiqua" w:cs="Book Antiqua"/>
          <w:color w:val="000000" w:themeColor="text1"/>
        </w:rPr>
        <w:t>November 4, 2020</w:t>
      </w:r>
    </w:p>
    <w:p w14:paraId="4B854944" w14:textId="77777777" w:rsidR="00A77B3E" w:rsidRPr="002E2DEC" w:rsidRDefault="00A77B3E" w:rsidP="002E2DEC">
      <w:pPr>
        <w:snapToGrid w:val="0"/>
        <w:spacing w:line="360" w:lineRule="auto"/>
        <w:jc w:val="both"/>
        <w:rPr>
          <w:rFonts w:ascii="Book Antiqua" w:hAnsi="Book Antiqua"/>
          <w:color w:val="000000" w:themeColor="text1"/>
        </w:rPr>
      </w:pPr>
    </w:p>
    <w:p w14:paraId="5358A0A0"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t xml:space="preserve">Specialty type: </w:t>
      </w:r>
      <w:r w:rsidRPr="002E2DEC">
        <w:rPr>
          <w:rFonts w:ascii="Book Antiqua" w:eastAsia="Book Antiqua" w:hAnsi="Book Antiqua" w:cs="Book Antiqua"/>
          <w:color w:val="000000" w:themeColor="text1"/>
        </w:rPr>
        <w:t xml:space="preserve">Obstetrics and </w:t>
      </w:r>
      <w:r w:rsidR="002A6740" w:rsidRPr="002E2DEC">
        <w:rPr>
          <w:rFonts w:ascii="Book Antiqua" w:eastAsia="Book Antiqua" w:hAnsi="Book Antiqua" w:cs="Book Antiqua"/>
          <w:color w:val="000000" w:themeColor="text1"/>
        </w:rPr>
        <w:t>gynecolog</w:t>
      </w:r>
      <w:r w:rsidRPr="002E2DEC">
        <w:rPr>
          <w:rFonts w:ascii="Book Antiqua" w:eastAsia="Book Antiqua" w:hAnsi="Book Antiqua" w:cs="Book Antiqua"/>
          <w:color w:val="000000" w:themeColor="text1"/>
        </w:rPr>
        <w:t>y</w:t>
      </w:r>
    </w:p>
    <w:p w14:paraId="0A16FBAF"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t xml:space="preserve">Country/Territory of origin: </w:t>
      </w:r>
      <w:r w:rsidRPr="002E2DEC">
        <w:rPr>
          <w:rFonts w:ascii="Book Antiqua" w:eastAsia="Book Antiqua" w:hAnsi="Book Antiqua" w:cs="Book Antiqua"/>
          <w:color w:val="000000" w:themeColor="text1"/>
        </w:rPr>
        <w:t>China</w:t>
      </w:r>
    </w:p>
    <w:p w14:paraId="2EC22F15"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t>Peer-review report’s scientific quality classification</w:t>
      </w:r>
    </w:p>
    <w:p w14:paraId="6A950F8B"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Grade A (Excellent): 0</w:t>
      </w:r>
    </w:p>
    <w:p w14:paraId="73823C4E"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Grade B (Very good): 0</w:t>
      </w:r>
    </w:p>
    <w:p w14:paraId="6650835B"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Grade C (Good): C</w:t>
      </w:r>
    </w:p>
    <w:p w14:paraId="39CC2030"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Grade D (Fair): 0</w:t>
      </w:r>
    </w:p>
    <w:p w14:paraId="66FB9B04"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Grade E (Poor): 0</w:t>
      </w:r>
    </w:p>
    <w:p w14:paraId="5D76D087" w14:textId="77777777" w:rsidR="00A77B3E" w:rsidRPr="002E2DEC" w:rsidRDefault="00A77B3E" w:rsidP="002E2DEC">
      <w:pPr>
        <w:snapToGrid w:val="0"/>
        <w:spacing w:line="360" w:lineRule="auto"/>
        <w:jc w:val="both"/>
        <w:rPr>
          <w:rFonts w:ascii="Book Antiqua" w:hAnsi="Book Antiqua"/>
          <w:color w:val="000000" w:themeColor="text1"/>
        </w:rPr>
      </w:pPr>
    </w:p>
    <w:p w14:paraId="322AB059" w14:textId="4D86A5A5" w:rsidR="009662F7" w:rsidRPr="00D74CEB" w:rsidRDefault="003022FF" w:rsidP="002E2DEC">
      <w:pPr>
        <w:snapToGrid w:val="0"/>
        <w:spacing w:line="360" w:lineRule="auto"/>
        <w:jc w:val="both"/>
        <w:rPr>
          <w:rFonts w:ascii="Book Antiqua" w:hAnsi="Book Antiqua" w:cs="Book Antiqua"/>
          <w:b/>
          <w:color w:val="000000" w:themeColor="text1"/>
          <w:lang w:eastAsia="zh-CN"/>
        </w:rPr>
      </w:pPr>
      <w:r w:rsidRPr="002E2DEC">
        <w:rPr>
          <w:rFonts w:ascii="Book Antiqua" w:eastAsia="Book Antiqua" w:hAnsi="Book Antiqua" w:cs="Book Antiqua"/>
          <w:b/>
          <w:color w:val="000000" w:themeColor="text1"/>
        </w:rPr>
        <w:t xml:space="preserve">P-Reviewer: </w:t>
      </w:r>
      <w:r w:rsidRPr="002E2DEC">
        <w:rPr>
          <w:rFonts w:ascii="Book Antiqua" w:eastAsia="Book Antiqua" w:hAnsi="Book Antiqua" w:cs="Book Antiqua"/>
          <w:color w:val="000000" w:themeColor="text1"/>
        </w:rPr>
        <w:t>Marasco G</w:t>
      </w:r>
      <w:r w:rsidRPr="002E2DEC">
        <w:rPr>
          <w:rFonts w:ascii="Book Antiqua" w:eastAsia="Book Antiqua" w:hAnsi="Book Antiqua" w:cs="Book Antiqua"/>
          <w:b/>
          <w:color w:val="000000" w:themeColor="text1"/>
        </w:rPr>
        <w:t xml:space="preserve"> S-Editor: </w:t>
      </w:r>
      <w:r w:rsidR="00017339" w:rsidRPr="002E2DEC">
        <w:rPr>
          <w:rFonts w:ascii="Book Antiqua" w:hAnsi="Book Antiqua" w:cs="Book Antiqua"/>
          <w:color w:val="000000" w:themeColor="text1"/>
          <w:lang w:eastAsia="zh-CN"/>
        </w:rPr>
        <w:t>Zhang H</w:t>
      </w:r>
      <w:r w:rsidRPr="002E2DEC">
        <w:rPr>
          <w:rFonts w:ascii="Book Antiqua" w:eastAsia="Book Antiqua" w:hAnsi="Book Antiqua" w:cs="Book Antiqua"/>
          <w:b/>
          <w:color w:val="000000" w:themeColor="text1"/>
        </w:rPr>
        <w:t xml:space="preserve"> L-Editor:</w:t>
      </w:r>
      <w:r w:rsidR="00723BCA" w:rsidRPr="002E2DEC">
        <w:rPr>
          <w:rFonts w:ascii="Book Antiqua" w:hAnsi="Book Antiqua" w:cs="Book Antiqua"/>
          <w:b/>
          <w:color w:val="000000" w:themeColor="text1"/>
          <w:lang w:eastAsia="zh-CN"/>
        </w:rPr>
        <w:t xml:space="preserve"> </w:t>
      </w:r>
      <w:r w:rsidR="00DE7733" w:rsidRPr="002E2DEC">
        <w:rPr>
          <w:rFonts w:ascii="Book Antiqua" w:hAnsi="Book Antiqua" w:cs="Book Antiqua"/>
          <w:bCs/>
          <w:color w:val="000000" w:themeColor="text1"/>
          <w:lang w:eastAsia="zh-CN"/>
        </w:rPr>
        <w:t xml:space="preserve">Filipodia </w:t>
      </w:r>
      <w:r w:rsidRPr="002E2DEC">
        <w:rPr>
          <w:rFonts w:ascii="Book Antiqua" w:eastAsia="Book Antiqua" w:hAnsi="Book Antiqua" w:cs="Book Antiqua"/>
          <w:b/>
          <w:color w:val="000000" w:themeColor="text1"/>
        </w:rPr>
        <w:t xml:space="preserve">P-Editor: </w:t>
      </w:r>
      <w:r w:rsidR="00D74CEB" w:rsidRPr="00D74CEB">
        <w:rPr>
          <w:rFonts w:ascii="Book Antiqua" w:hAnsi="Book Antiqua" w:cs="Book Antiqua" w:hint="eastAsia"/>
          <w:color w:val="000000" w:themeColor="text1"/>
          <w:lang w:eastAsia="zh-CN"/>
        </w:rPr>
        <w:t>Liu JH</w:t>
      </w:r>
    </w:p>
    <w:p w14:paraId="2ABC0FFD" w14:textId="77777777" w:rsidR="00A77B3E" w:rsidRPr="002E2DEC" w:rsidRDefault="009662F7" w:rsidP="002E2DEC">
      <w:pPr>
        <w:snapToGrid w:val="0"/>
        <w:spacing w:line="360" w:lineRule="auto"/>
        <w:jc w:val="both"/>
        <w:rPr>
          <w:rFonts w:ascii="Book Antiqua" w:hAnsi="Book Antiqua" w:cs="Book Antiqua"/>
          <w:b/>
          <w:color w:val="000000" w:themeColor="text1"/>
          <w:lang w:eastAsia="zh-CN"/>
        </w:rPr>
      </w:pPr>
      <w:r w:rsidRPr="002E2DEC">
        <w:rPr>
          <w:rFonts w:ascii="Book Antiqua" w:eastAsia="Book Antiqua" w:hAnsi="Book Antiqua" w:cs="Book Antiqua"/>
          <w:b/>
          <w:color w:val="000000" w:themeColor="text1"/>
        </w:rPr>
        <w:br w:type="page"/>
      </w:r>
      <w:r w:rsidR="00DA315B" w:rsidRPr="002E2DEC">
        <w:rPr>
          <w:rFonts w:ascii="Book Antiqua" w:hAnsi="Book Antiqua" w:cs="Book Antiqua"/>
          <w:b/>
          <w:color w:val="000000" w:themeColor="text1"/>
          <w:lang w:eastAsia="zh-CN"/>
        </w:rPr>
        <w:t xml:space="preserve">Figure </w:t>
      </w:r>
      <w:r w:rsidR="00DA315B" w:rsidRPr="002E2DEC">
        <w:rPr>
          <w:rFonts w:ascii="Book Antiqua" w:hAnsi="Book Antiqua" w:cs="Book Antiqua"/>
          <w:b/>
          <w:caps/>
          <w:color w:val="000000" w:themeColor="text1"/>
          <w:lang w:eastAsia="zh-CN"/>
        </w:rPr>
        <w:t>l</w:t>
      </w:r>
      <w:r w:rsidR="00DA315B" w:rsidRPr="002E2DEC">
        <w:rPr>
          <w:rFonts w:ascii="Book Antiqua" w:hAnsi="Book Antiqua" w:cs="Book Antiqua"/>
          <w:b/>
          <w:color w:val="000000" w:themeColor="text1"/>
          <w:lang w:eastAsia="zh-CN"/>
        </w:rPr>
        <w:t>egends</w:t>
      </w:r>
    </w:p>
    <w:p w14:paraId="0BBE2598" w14:textId="77777777" w:rsidR="00DA315B" w:rsidRPr="002E2DEC" w:rsidRDefault="00DA315B" w:rsidP="002E2DEC">
      <w:pPr>
        <w:snapToGrid w:val="0"/>
        <w:spacing w:line="360" w:lineRule="auto"/>
        <w:jc w:val="both"/>
        <w:rPr>
          <w:rFonts w:ascii="Book Antiqua" w:hAnsi="Book Antiqua"/>
          <w:color w:val="000000" w:themeColor="text1"/>
          <w:lang w:eastAsia="zh-CN"/>
        </w:rPr>
      </w:pPr>
      <w:r w:rsidRPr="002E2DEC">
        <w:rPr>
          <w:rFonts w:ascii="Book Antiqua" w:hAnsi="Book Antiqua"/>
          <w:noProof/>
          <w:color w:val="000000" w:themeColor="text1"/>
          <w:lang w:eastAsia="zh-CN"/>
        </w:rPr>
        <w:drawing>
          <wp:inline distT="0" distB="0" distL="0" distR="0" wp14:anchorId="05438140" wp14:editId="09C239C9">
            <wp:extent cx="4352925" cy="71939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2925" cy="7193915"/>
                    </a:xfrm>
                    <a:prstGeom prst="rect">
                      <a:avLst/>
                    </a:prstGeom>
                    <a:noFill/>
                  </pic:spPr>
                </pic:pic>
              </a:graphicData>
            </a:graphic>
          </wp:inline>
        </w:drawing>
      </w:r>
    </w:p>
    <w:p w14:paraId="18B4F30A" w14:textId="27650A94" w:rsidR="009258B4" w:rsidRPr="002E2DEC" w:rsidRDefault="00DA315B" w:rsidP="00D22219">
      <w:pPr>
        <w:adjustRightInd w:val="0"/>
        <w:snapToGrid w:val="0"/>
        <w:spacing w:line="360" w:lineRule="auto"/>
        <w:jc w:val="both"/>
        <w:rPr>
          <w:rFonts w:ascii="Book Antiqua" w:hAnsi="Book Antiqua"/>
          <w:color w:val="000000" w:themeColor="text1"/>
          <w:lang w:eastAsia="zh-CN"/>
        </w:rPr>
      </w:pPr>
      <w:r w:rsidRPr="002E2DEC">
        <w:rPr>
          <w:rFonts w:ascii="Book Antiqua" w:hAnsi="Book Antiqua"/>
          <w:b/>
          <w:color w:val="000000" w:themeColor="text1"/>
          <w:lang w:eastAsia="zh-CN"/>
        </w:rPr>
        <w:t xml:space="preserve">Figure 1 Distinct serum microbiome feature associated with </w:t>
      </w:r>
      <w:bookmarkStart w:id="29" w:name="OLE_LINK93"/>
      <w:bookmarkStart w:id="30" w:name="OLE_LINK94"/>
      <w:bookmarkStart w:id="31" w:name="OLE_LINK95"/>
      <w:r w:rsidRPr="002E2DEC">
        <w:rPr>
          <w:rFonts w:ascii="Book Antiqua" w:hAnsi="Book Antiqua"/>
          <w:b/>
          <w:color w:val="000000" w:themeColor="text1"/>
          <w:lang w:eastAsia="zh-CN"/>
        </w:rPr>
        <w:t>intrahepatic cholestasis in pregnancy</w:t>
      </w:r>
      <w:bookmarkEnd w:id="29"/>
      <w:bookmarkEnd w:id="30"/>
      <w:bookmarkEnd w:id="31"/>
      <w:r w:rsidRPr="002E2DEC">
        <w:rPr>
          <w:rFonts w:ascii="Book Antiqua" w:hAnsi="Book Antiqua"/>
          <w:b/>
          <w:color w:val="000000" w:themeColor="text1"/>
          <w:lang w:eastAsia="zh-CN"/>
        </w:rPr>
        <w:t xml:space="preserve"> patients.</w:t>
      </w:r>
      <w:r w:rsidR="006D480E" w:rsidRPr="002E2DEC">
        <w:rPr>
          <w:rFonts w:ascii="Book Antiqua" w:hAnsi="Book Antiqua"/>
          <w:color w:val="000000" w:themeColor="text1"/>
          <w:lang w:eastAsia="zh-CN"/>
        </w:rPr>
        <w:t xml:space="preserve"> A:</w:t>
      </w:r>
      <w:r w:rsidRPr="002E2DEC">
        <w:rPr>
          <w:rFonts w:ascii="Book Antiqua" w:hAnsi="Book Antiqua"/>
          <w:color w:val="000000" w:themeColor="text1"/>
          <w:lang w:eastAsia="zh-CN"/>
        </w:rPr>
        <w:t xml:space="preserve"> Bray-Curtis principal analysis of metabolites shows significant differences between intrahepatic cholestasis in pregnancy and </w:t>
      </w:r>
      <w:bookmarkStart w:id="32" w:name="OLE_LINK96"/>
      <w:r w:rsidRPr="002E2DEC">
        <w:rPr>
          <w:rFonts w:ascii="Book Antiqua" w:hAnsi="Book Antiqua"/>
          <w:color w:val="000000" w:themeColor="text1"/>
          <w:lang w:eastAsia="zh-CN"/>
        </w:rPr>
        <w:t>healthy controls</w:t>
      </w:r>
      <w:bookmarkEnd w:id="32"/>
      <w:r w:rsidR="006D480E" w:rsidRPr="002E2DEC">
        <w:rPr>
          <w:rFonts w:ascii="Book Antiqua" w:hAnsi="Book Antiqua"/>
          <w:color w:val="000000" w:themeColor="text1"/>
          <w:lang w:eastAsia="zh-CN"/>
        </w:rPr>
        <w:t>; B:</w:t>
      </w:r>
      <w:r w:rsidRPr="002E2DEC">
        <w:rPr>
          <w:rFonts w:ascii="Book Antiqua" w:hAnsi="Book Antiqua"/>
          <w:color w:val="000000" w:themeColor="text1"/>
          <w:lang w:eastAsia="zh-CN"/>
        </w:rPr>
        <w:t xml:space="preserve"> Kyoto Encyclopedia of Genes and Genomes pathway enrichment analysis of metabolites identified in this study. The metabolites identified were subjected to a pathway enrichment analysis using the </w:t>
      </w:r>
      <w:r w:rsidR="005F30C9" w:rsidRPr="002E2DEC">
        <w:rPr>
          <w:rFonts w:ascii="Book Antiqua" w:hAnsi="Book Antiqua"/>
          <w:color w:val="000000" w:themeColor="text1"/>
          <w:lang w:eastAsia="zh-CN"/>
        </w:rPr>
        <w:t>Kyoto Encyclopedia of Genes and Genomes</w:t>
      </w:r>
      <w:r w:rsidRPr="002E2DEC">
        <w:rPr>
          <w:rFonts w:ascii="Book Antiqua" w:hAnsi="Book Antiqua"/>
          <w:color w:val="000000" w:themeColor="text1"/>
          <w:lang w:eastAsia="zh-CN"/>
        </w:rPr>
        <w:t xml:space="preserve"> database. Only significantly enriched </w:t>
      </w:r>
      <w:r w:rsidR="005F30C9" w:rsidRPr="002E2DEC">
        <w:rPr>
          <w:rFonts w:ascii="Book Antiqua" w:hAnsi="Book Antiqua"/>
          <w:color w:val="000000" w:themeColor="text1"/>
          <w:lang w:eastAsia="zh-CN"/>
        </w:rPr>
        <w:t>Kyoto Encyclopedia of Genes and Genomes</w:t>
      </w:r>
      <w:r w:rsidRPr="002E2DEC">
        <w:rPr>
          <w:rFonts w:ascii="Book Antiqua" w:hAnsi="Book Antiqua"/>
          <w:color w:val="000000" w:themeColor="text1"/>
          <w:lang w:eastAsia="zh-CN"/>
        </w:rPr>
        <w:t xml:space="preserve"> functional categories (</w:t>
      </w:r>
      <w:r w:rsidRPr="002E2DEC">
        <w:rPr>
          <w:rFonts w:ascii="Book Antiqua" w:hAnsi="Book Antiqua"/>
          <w:i/>
          <w:color w:val="000000" w:themeColor="text1"/>
          <w:lang w:eastAsia="zh-CN"/>
        </w:rPr>
        <w:t>P</w:t>
      </w:r>
      <w:r w:rsidRPr="002E2DEC">
        <w:rPr>
          <w:rFonts w:ascii="Book Antiqua" w:hAnsi="Book Antiqua"/>
          <w:color w:val="000000" w:themeColor="text1"/>
          <w:lang w:eastAsia="zh-CN"/>
        </w:rPr>
        <w:t xml:space="preserve"> &lt; 0.05) are depicted according to their </w:t>
      </w:r>
      <w:r w:rsidRPr="002E2DEC">
        <w:rPr>
          <w:rFonts w:ascii="Book Antiqua" w:hAnsi="Book Antiqua"/>
          <w:i/>
          <w:color w:val="000000" w:themeColor="text1"/>
          <w:lang w:eastAsia="zh-CN"/>
        </w:rPr>
        <w:t>P</w:t>
      </w:r>
      <w:r w:rsidRPr="002E2DEC">
        <w:rPr>
          <w:rFonts w:ascii="Book Antiqua" w:hAnsi="Book Antiqua"/>
          <w:color w:val="000000" w:themeColor="text1"/>
          <w:lang w:eastAsia="zh-CN"/>
        </w:rPr>
        <w:t xml:space="preserve">-values. </w:t>
      </w:r>
      <w:bookmarkStart w:id="33" w:name="OLE_LINK101"/>
      <w:bookmarkStart w:id="34" w:name="OLE_LINK102"/>
      <w:r w:rsidR="00D22219" w:rsidRPr="00D83434">
        <w:rPr>
          <w:rFonts w:ascii="Book Antiqua" w:hAnsi="Book Antiqua"/>
          <w:color w:val="000000" w:themeColor="text1"/>
          <w:lang w:eastAsia="zh-CN"/>
        </w:rPr>
        <w:t xml:space="preserve">CTL: Control; </w:t>
      </w:r>
      <w:r w:rsidRPr="002E2DEC">
        <w:rPr>
          <w:rFonts w:ascii="Book Antiqua" w:hAnsi="Book Antiqua"/>
          <w:color w:val="000000" w:themeColor="text1"/>
          <w:lang w:eastAsia="zh-CN"/>
        </w:rPr>
        <w:t>ICP:</w:t>
      </w:r>
      <w:r w:rsidRPr="002E2DEC">
        <w:rPr>
          <w:rFonts w:ascii="Book Antiqua" w:hAnsi="Book Antiqua"/>
          <w:color w:val="000000" w:themeColor="text1"/>
        </w:rPr>
        <w:t xml:space="preserve"> </w:t>
      </w:r>
      <w:r w:rsidRPr="002E2DEC">
        <w:rPr>
          <w:rFonts w:ascii="Book Antiqua" w:hAnsi="Book Antiqua"/>
          <w:color w:val="000000" w:themeColor="text1"/>
          <w:lang w:eastAsia="zh-CN"/>
        </w:rPr>
        <w:t xml:space="preserve">Intrahepatic cholestasis in pregnancy; </w:t>
      </w:r>
      <w:bookmarkEnd w:id="33"/>
      <w:bookmarkEnd w:id="34"/>
      <w:r w:rsidR="005E6E9A" w:rsidRPr="002E2DEC">
        <w:rPr>
          <w:rFonts w:ascii="Book Antiqua" w:hAnsi="Book Antiqua"/>
          <w:color w:val="000000" w:themeColor="text1"/>
          <w:lang w:eastAsia="zh-CN"/>
        </w:rPr>
        <w:t>KEGG: Kyoto Encyclopedia of Genes and Genomes.</w:t>
      </w:r>
    </w:p>
    <w:p w14:paraId="70DC90A9" w14:textId="77777777" w:rsidR="00DA315B" w:rsidRPr="002E2DEC" w:rsidRDefault="009258B4">
      <w:pPr>
        <w:adjustRightInd w:val="0"/>
        <w:snapToGrid w:val="0"/>
        <w:spacing w:line="360" w:lineRule="auto"/>
        <w:jc w:val="both"/>
        <w:rPr>
          <w:rFonts w:ascii="Book Antiqua" w:hAnsi="Book Antiqua"/>
          <w:color w:val="000000" w:themeColor="text1"/>
          <w:lang w:eastAsia="zh-CN"/>
        </w:rPr>
      </w:pPr>
      <w:r w:rsidRPr="002E2DEC">
        <w:rPr>
          <w:rFonts w:ascii="Book Antiqua" w:hAnsi="Book Antiqua"/>
          <w:color w:val="000000" w:themeColor="text1"/>
          <w:lang w:eastAsia="zh-CN"/>
        </w:rPr>
        <w:br w:type="page"/>
      </w:r>
      <w:r w:rsidRPr="002E2DEC">
        <w:rPr>
          <w:rFonts w:ascii="Book Antiqua" w:hAnsi="Book Antiqua"/>
          <w:noProof/>
          <w:color w:val="000000" w:themeColor="text1"/>
          <w:lang w:eastAsia="zh-CN"/>
        </w:rPr>
        <w:drawing>
          <wp:inline distT="0" distB="0" distL="0" distR="0" wp14:anchorId="7B2F9D12" wp14:editId="6CA9BF8F">
            <wp:extent cx="5194300" cy="49809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4300" cy="4980940"/>
                    </a:xfrm>
                    <a:prstGeom prst="rect">
                      <a:avLst/>
                    </a:prstGeom>
                    <a:noFill/>
                  </pic:spPr>
                </pic:pic>
              </a:graphicData>
            </a:graphic>
          </wp:inline>
        </w:drawing>
      </w:r>
    </w:p>
    <w:p w14:paraId="58A68EEA" w14:textId="2900FC56" w:rsidR="00D05EDA" w:rsidRPr="002E2DEC" w:rsidRDefault="009258B4">
      <w:pPr>
        <w:adjustRightInd w:val="0"/>
        <w:snapToGrid w:val="0"/>
        <w:spacing w:line="360" w:lineRule="auto"/>
        <w:jc w:val="both"/>
        <w:rPr>
          <w:rFonts w:ascii="Book Antiqua" w:hAnsi="Book Antiqua"/>
          <w:color w:val="000000" w:themeColor="text1"/>
          <w:lang w:eastAsia="zh-CN"/>
        </w:rPr>
      </w:pPr>
      <w:r w:rsidRPr="002E2DEC">
        <w:rPr>
          <w:rFonts w:ascii="Book Antiqua" w:hAnsi="Book Antiqua"/>
          <w:b/>
          <w:color w:val="000000" w:themeColor="text1"/>
          <w:lang w:eastAsia="zh-CN"/>
        </w:rPr>
        <w:t xml:space="preserve">Figure 2 Distinct gut microbiota feature associated with intrahepatic cholestasis in pregnancy patients. </w:t>
      </w:r>
      <w:r w:rsidRPr="002E2DEC">
        <w:rPr>
          <w:rFonts w:ascii="Book Antiqua" w:hAnsi="Book Antiqua"/>
          <w:color w:val="000000" w:themeColor="text1"/>
          <w:lang w:eastAsia="zh-CN"/>
        </w:rPr>
        <w:t xml:space="preserve">Principal coordinate analysis score plot based on Bray-Curtis distance at </w:t>
      </w:r>
      <w:r w:rsidR="00D20B2B" w:rsidRPr="002E2DEC">
        <w:rPr>
          <w:rFonts w:ascii="Book Antiqua" w:hAnsi="Book Antiqua"/>
          <w:color w:val="000000" w:themeColor="text1"/>
          <w:lang w:eastAsia="zh-CN"/>
        </w:rPr>
        <w:t xml:space="preserve">the </w:t>
      </w:r>
      <w:r w:rsidRPr="002E2DEC">
        <w:rPr>
          <w:rFonts w:ascii="Book Antiqua" w:hAnsi="Book Antiqua"/>
          <w:color w:val="000000" w:themeColor="text1"/>
          <w:lang w:eastAsia="zh-CN"/>
        </w:rPr>
        <w:t xml:space="preserve">phylum level. </w:t>
      </w:r>
      <w:bookmarkStart w:id="35" w:name="OLE_LINK106"/>
      <w:bookmarkStart w:id="36" w:name="OLE_LINK107"/>
      <w:r w:rsidR="00D22219" w:rsidRPr="00884A69">
        <w:rPr>
          <w:rFonts w:ascii="Book Antiqua" w:hAnsi="Book Antiqua"/>
          <w:color w:val="000000" w:themeColor="text1"/>
          <w:lang w:eastAsia="zh-CN"/>
        </w:rPr>
        <w:t>CTL: Control</w:t>
      </w:r>
      <w:r w:rsidR="00D22219">
        <w:rPr>
          <w:rFonts w:ascii="Book Antiqua" w:hAnsi="Book Antiqua"/>
          <w:color w:val="000000" w:themeColor="text1"/>
          <w:lang w:eastAsia="zh-CN"/>
        </w:rPr>
        <w:t>;</w:t>
      </w:r>
      <w:r w:rsidR="00D22219" w:rsidRPr="00D22219">
        <w:rPr>
          <w:rFonts w:ascii="Book Antiqua" w:hAnsi="Book Antiqua"/>
          <w:color w:val="000000" w:themeColor="text1"/>
          <w:lang w:eastAsia="zh-CN"/>
        </w:rPr>
        <w:t xml:space="preserve"> </w:t>
      </w:r>
      <w:r w:rsidRPr="002E2DEC">
        <w:rPr>
          <w:rFonts w:ascii="Book Antiqua" w:hAnsi="Book Antiqua"/>
          <w:color w:val="000000" w:themeColor="text1"/>
          <w:lang w:eastAsia="zh-CN"/>
        </w:rPr>
        <w:t>ICP:</w:t>
      </w:r>
      <w:r w:rsidRPr="002E2DEC">
        <w:rPr>
          <w:rFonts w:ascii="Book Antiqua" w:hAnsi="Book Antiqua"/>
          <w:color w:val="000000" w:themeColor="text1"/>
        </w:rPr>
        <w:t xml:space="preserve"> </w:t>
      </w:r>
      <w:r w:rsidRPr="002E2DEC">
        <w:rPr>
          <w:rFonts w:ascii="Book Antiqua" w:hAnsi="Book Antiqua"/>
          <w:color w:val="000000" w:themeColor="text1"/>
          <w:lang w:eastAsia="zh-CN"/>
        </w:rPr>
        <w:t>Intrahepatic cholestasis in pregnancy.</w:t>
      </w:r>
      <w:bookmarkEnd w:id="35"/>
      <w:bookmarkEnd w:id="36"/>
    </w:p>
    <w:p w14:paraId="08C59A07" w14:textId="77777777" w:rsidR="009258B4" w:rsidRPr="002E2DEC" w:rsidRDefault="00D05EDA">
      <w:pPr>
        <w:adjustRightInd w:val="0"/>
        <w:snapToGrid w:val="0"/>
        <w:spacing w:line="360" w:lineRule="auto"/>
        <w:jc w:val="both"/>
        <w:rPr>
          <w:rFonts w:ascii="Book Antiqua" w:hAnsi="Book Antiqua"/>
          <w:color w:val="000000" w:themeColor="text1"/>
          <w:lang w:eastAsia="zh-CN"/>
        </w:rPr>
      </w:pPr>
      <w:r w:rsidRPr="002E2DEC">
        <w:rPr>
          <w:rFonts w:ascii="Book Antiqua" w:hAnsi="Book Antiqua"/>
          <w:color w:val="000000" w:themeColor="text1"/>
          <w:lang w:eastAsia="zh-CN"/>
        </w:rPr>
        <w:br w:type="page"/>
      </w:r>
      <w:r w:rsidR="00956FA7" w:rsidRPr="002E2DEC">
        <w:rPr>
          <w:rFonts w:ascii="Book Antiqua" w:hAnsi="Book Antiqua"/>
          <w:noProof/>
          <w:color w:val="000000" w:themeColor="text1"/>
          <w:lang w:eastAsia="zh-CN"/>
        </w:rPr>
        <w:drawing>
          <wp:inline distT="0" distB="0" distL="0" distR="0" wp14:anchorId="4726D340" wp14:editId="3783134B">
            <wp:extent cx="5566410" cy="53225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6410" cy="5322570"/>
                    </a:xfrm>
                    <a:prstGeom prst="rect">
                      <a:avLst/>
                    </a:prstGeom>
                    <a:noFill/>
                  </pic:spPr>
                </pic:pic>
              </a:graphicData>
            </a:graphic>
          </wp:inline>
        </w:drawing>
      </w:r>
    </w:p>
    <w:p w14:paraId="1FB2AB0D" w14:textId="70832E56" w:rsidR="00E10D9F" w:rsidRPr="002E2DEC" w:rsidRDefault="00D05EDA">
      <w:pPr>
        <w:adjustRightInd w:val="0"/>
        <w:snapToGrid w:val="0"/>
        <w:spacing w:line="360" w:lineRule="auto"/>
        <w:jc w:val="both"/>
        <w:rPr>
          <w:rFonts w:ascii="Book Antiqua" w:hAnsi="Book Antiqua"/>
          <w:color w:val="000000" w:themeColor="text1"/>
          <w:lang w:eastAsia="zh-CN"/>
        </w:rPr>
      </w:pPr>
      <w:r w:rsidRPr="002E2DEC">
        <w:rPr>
          <w:rFonts w:ascii="Book Antiqua" w:hAnsi="Book Antiqua"/>
          <w:b/>
          <w:color w:val="000000" w:themeColor="text1"/>
          <w:lang w:eastAsia="zh-CN"/>
        </w:rPr>
        <w:t xml:space="preserve">Figure 3 Changes of gut microbiota at </w:t>
      </w:r>
      <w:r w:rsidR="00D20B2B" w:rsidRPr="002E2DEC">
        <w:rPr>
          <w:rFonts w:ascii="Book Antiqua" w:hAnsi="Book Antiqua"/>
          <w:b/>
          <w:color w:val="000000" w:themeColor="text1"/>
          <w:lang w:eastAsia="zh-CN"/>
        </w:rPr>
        <w:t xml:space="preserve">the </w:t>
      </w:r>
      <w:r w:rsidRPr="002E2DEC">
        <w:rPr>
          <w:rFonts w:ascii="Book Antiqua" w:hAnsi="Book Antiqua"/>
          <w:b/>
          <w:color w:val="000000" w:themeColor="text1"/>
          <w:lang w:eastAsia="zh-CN"/>
        </w:rPr>
        <w:t xml:space="preserve">phylum level between intrahepatic cholestasis in pregnancy and healthy groups. </w:t>
      </w:r>
      <w:r w:rsidRPr="002E2DEC">
        <w:rPr>
          <w:rFonts w:ascii="Book Antiqua" w:hAnsi="Book Antiqua"/>
          <w:color w:val="000000" w:themeColor="text1"/>
          <w:lang w:eastAsia="zh-CN"/>
        </w:rPr>
        <w:t xml:space="preserve">Box plots show the relative abundance of the main phylum in microbiota. The center line denotes the median. Points outside the whiskers represent outlier samples. </w:t>
      </w:r>
      <w:r w:rsidR="00D22219" w:rsidRPr="00F80839">
        <w:rPr>
          <w:rFonts w:ascii="Book Antiqua" w:hAnsi="Book Antiqua"/>
          <w:color w:val="000000" w:themeColor="text1"/>
          <w:lang w:eastAsia="zh-CN"/>
        </w:rPr>
        <w:t>CTL: Control</w:t>
      </w:r>
      <w:r w:rsidR="00D22219">
        <w:rPr>
          <w:rFonts w:ascii="Book Antiqua" w:hAnsi="Book Antiqua"/>
          <w:color w:val="000000" w:themeColor="text1"/>
          <w:lang w:eastAsia="zh-CN"/>
        </w:rPr>
        <w:t>;</w:t>
      </w:r>
      <w:r w:rsidR="00D22219" w:rsidRPr="00D22219">
        <w:rPr>
          <w:rFonts w:ascii="Book Antiqua" w:hAnsi="Book Antiqua"/>
          <w:color w:val="000000" w:themeColor="text1"/>
          <w:lang w:eastAsia="zh-CN"/>
        </w:rPr>
        <w:t xml:space="preserve"> </w:t>
      </w:r>
      <w:r w:rsidRPr="002E2DEC">
        <w:rPr>
          <w:rFonts w:ascii="Book Antiqua" w:hAnsi="Book Antiqua"/>
          <w:color w:val="000000" w:themeColor="text1"/>
          <w:lang w:eastAsia="zh-CN"/>
        </w:rPr>
        <w:t>ICP:</w:t>
      </w:r>
      <w:r w:rsidRPr="002E2DEC">
        <w:rPr>
          <w:rFonts w:ascii="Book Antiqua" w:hAnsi="Book Antiqua"/>
          <w:color w:val="000000" w:themeColor="text1"/>
        </w:rPr>
        <w:t xml:space="preserve"> </w:t>
      </w:r>
      <w:r w:rsidRPr="002E2DEC">
        <w:rPr>
          <w:rFonts w:ascii="Book Antiqua" w:hAnsi="Book Antiqua"/>
          <w:color w:val="000000" w:themeColor="text1"/>
          <w:lang w:eastAsia="zh-CN"/>
        </w:rPr>
        <w:t>Intrahepatic cholestasis in pregnancy.</w:t>
      </w:r>
    </w:p>
    <w:p w14:paraId="2458E784" w14:textId="77777777" w:rsidR="00D05EDA" w:rsidRPr="002E2DEC" w:rsidRDefault="00E10D9F">
      <w:pPr>
        <w:adjustRightInd w:val="0"/>
        <w:snapToGrid w:val="0"/>
        <w:spacing w:line="360" w:lineRule="auto"/>
        <w:jc w:val="both"/>
        <w:rPr>
          <w:rFonts w:ascii="Book Antiqua" w:hAnsi="Book Antiqua"/>
          <w:color w:val="000000" w:themeColor="text1"/>
          <w:lang w:eastAsia="zh-CN"/>
        </w:rPr>
      </w:pPr>
      <w:r w:rsidRPr="002E2DEC">
        <w:rPr>
          <w:rFonts w:ascii="Book Antiqua" w:hAnsi="Book Antiqua"/>
          <w:color w:val="000000" w:themeColor="text1"/>
          <w:lang w:eastAsia="zh-CN"/>
        </w:rPr>
        <w:br w:type="page"/>
      </w:r>
      <w:r w:rsidRPr="002E2DEC">
        <w:rPr>
          <w:rFonts w:ascii="Book Antiqua" w:hAnsi="Book Antiqua"/>
          <w:noProof/>
          <w:color w:val="000000" w:themeColor="text1"/>
          <w:lang w:eastAsia="zh-CN"/>
        </w:rPr>
        <w:drawing>
          <wp:inline distT="0" distB="0" distL="0" distR="0" wp14:anchorId="3A88044E" wp14:editId="0F19F8EF">
            <wp:extent cx="4694555" cy="73094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4555" cy="7309485"/>
                    </a:xfrm>
                    <a:prstGeom prst="rect">
                      <a:avLst/>
                    </a:prstGeom>
                    <a:noFill/>
                  </pic:spPr>
                </pic:pic>
              </a:graphicData>
            </a:graphic>
          </wp:inline>
        </w:drawing>
      </w:r>
    </w:p>
    <w:p w14:paraId="01B68BF9" w14:textId="463ED308" w:rsidR="00F85506" w:rsidRPr="002E2DEC" w:rsidRDefault="00E10D9F">
      <w:pPr>
        <w:adjustRightInd w:val="0"/>
        <w:snapToGrid w:val="0"/>
        <w:spacing w:line="360" w:lineRule="auto"/>
        <w:jc w:val="both"/>
        <w:rPr>
          <w:rFonts w:ascii="Book Antiqua" w:hAnsi="Book Antiqua"/>
          <w:color w:val="000000" w:themeColor="text1"/>
          <w:lang w:eastAsia="zh-CN"/>
        </w:rPr>
      </w:pPr>
      <w:r w:rsidRPr="002E2DEC">
        <w:rPr>
          <w:rFonts w:ascii="Book Antiqua" w:hAnsi="Book Antiqua"/>
          <w:b/>
          <w:color w:val="000000" w:themeColor="text1"/>
          <w:lang w:eastAsia="zh-CN"/>
        </w:rPr>
        <w:t>Figure 4 Genera important for differentiating</w:t>
      </w:r>
      <w:bookmarkStart w:id="37" w:name="OLE_LINK108"/>
      <w:bookmarkStart w:id="38" w:name="OLE_LINK109"/>
      <w:r w:rsidRPr="002E2DEC">
        <w:rPr>
          <w:rFonts w:ascii="Book Antiqua" w:hAnsi="Book Antiqua"/>
          <w:b/>
          <w:color w:val="000000" w:themeColor="text1"/>
          <w:lang w:eastAsia="zh-CN"/>
        </w:rPr>
        <w:t xml:space="preserve"> intrahepatic cholestasis in pregnancy</w:t>
      </w:r>
      <w:bookmarkEnd w:id="37"/>
      <w:bookmarkEnd w:id="38"/>
      <w:r w:rsidRPr="002E2DEC">
        <w:rPr>
          <w:rFonts w:ascii="Book Antiqua" w:hAnsi="Book Antiqua"/>
          <w:b/>
          <w:color w:val="000000" w:themeColor="text1"/>
          <w:lang w:eastAsia="zh-CN"/>
        </w:rPr>
        <w:t xml:space="preserve"> and healthy </w:t>
      </w:r>
      <w:bookmarkStart w:id="39" w:name="OLE_LINK110"/>
      <w:bookmarkStart w:id="40" w:name="OLE_LINK111"/>
      <w:r w:rsidRPr="002E2DEC">
        <w:rPr>
          <w:rFonts w:ascii="Book Antiqua" w:hAnsi="Book Antiqua"/>
          <w:b/>
          <w:color w:val="000000" w:themeColor="text1"/>
          <w:lang w:eastAsia="zh-CN"/>
        </w:rPr>
        <w:t xml:space="preserve">control </w:t>
      </w:r>
      <w:bookmarkEnd w:id="39"/>
      <w:bookmarkEnd w:id="40"/>
      <w:r w:rsidRPr="002E2DEC">
        <w:rPr>
          <w:rFonts w:ascii="Book Antiqua" w:hAnsi="Book Antiqua"/>
          <w:b/>
          <w:color w:val="000000" w:themeColor="text1"/>
          <w:lang w:eastAsia="zh-CN"/>
        </w:rPr>
        <w:t xml:space="preserve">were identified using random Forest package. </w:t>
      </w:r>
      <w:r w:rsidRPr="002E2DEC">
        <w:rPr>
          <w:rFonts w:ascii="Book Antiqua" w:hAnsi="Book Antiqua"/>
          <w:color w:val="000000" w:themeColor="text1"/>
          <w:lang w:eastAsia="zh-CN"/>
        </w:rPr>
        <w:t xml:space="preserve">A: The ranking of genera according to mean decrease </w:t>
      </w:r>
      <w:r w:rsidR="009A0511" w:rsidRPr="002E2DEC">
        <w:rPr>
          <w:rFonts w:ascii="Book Antiqua" w:hAnsi="Book Antiqua"/>
          <w:color w:val="000000" w:themeColor="text1"/>
          <w:lang w:eastAsia="zh-CN"/>
        </w:rPr>
        <w:t>g</w:t>
      </w:r>
      <w:r w:rsidRPr="002E2DEC">
        <w:rPr>
          <w:rFonts w:ascii="Book Antiqua" w:hAnsi="Book Antiqua"/>
          <w:color w:val="000000" w:themeColor="text1"/>
          <w:lang w:eastAsia="zh-CN"/>
        </w:rPr>
        <w:t>ini were obtained from the random forest algorithm using default parameters. Genera with differences in abundance between the two cohorts are shown in red (intrahepatic cholestasis in pregnancy enriched) and green (control enriched); B: Comparison of the relative abundances of the main different genera of the gut microbiota in the two groups. Box plots show the abundance of the main difference genera in microbiota. The center lines the median. Points outside the whiskers represent outlier samples.</w:t>
      </w:r>
    </w:p>
    <w:p w14:paraId="53247AD7" w14:textId="67EE0B1A" w:rsidR="00E10D9F" w:rsidRPr="002E2DEC" w:rsidRDefault="00F85506">
      <w:pPr>
        <w:adjustRightInd w:val="0"/>
        <w:snapToGrid w:val="0"/>
        <w:spacing w:line="360" w:lineRule="auto"/>
        <w:jc w:val="both"/>
        <w:rPr>
          <w:rFonts w:ascii="Book Antiqua" w:hAnsi="Book Antiqua"/>
          <w:color w:val="000000" w:themeColor="text1"/>
          <w:lang w:eastAsia="zh-CN"/>
        </w:rPr>
      </w:pPr>
      <w:r w:rsidRPr="002E2DEC">
        <w:rPr>
          <w:rFonts w:ascii="Book Antiqua" w:hAnsi="Book Antiqua"/>
          <w:color w:val="000000" w:themeColor="text1"/>
          <w:lang w:eastAsia="zh-CN"/>
        </w:rPr>
        <w:br w:type="page"/>
      </w:r>
      <w:r w:rsidR="00D15A7C" w:rsidRPr="002E2DEC">
        <w:rPr>
          <w:rFonts w:ascii="Book Antiqua" w:hAnsi="Book Antiqua"/>
          <w:noProof/>
          <w:color w:val="000000" w:themeColor="text1"/>
          <w:lang w:eastAsia="zh-CN"/>
        </w:rPr>
        <w:drawing>
          <wp:inline distT="0" distB="0" distL="0" distR="0" wp14:anchorId="322CC0E8" wp14:editId="7B4FF21F">
            <wp:extent cx="5943600" cy="49923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4">
                      <a:extLst>
                        <a:ext uri="{28A0092B-C50C-407E-A947-70E740481C1C}">
                          <a14:useLocalDpi xmlns:a14="http://schemas.microsoft.com/office/drawing/2010/main" val="0"/>
                        </a:ext>
                      </a:extLst>
                    </a:blip>
                    <a:stretch>
                      <a:fillRect/>
                    </a:stretch>
                  </pic:blipFill>
                  <pic:spPr>
                    <a:xfrm>
                      <a:off x="0" y="0"/>
                      <a:ext cx="5943600" cy="4992370"/>
                    </a:xfrm>
                    <a:prstGeom prst="rect">
                      <a:avLst/>
                    </a:prstGeom>
                  </pic:spPr>
                </pic:pic>
              </a:graphicData>
            </a:graphic>
          </wp:inline>
        </w:drawing>
      </w:r>
    </w:p>
    <w:p w14:paraId="39896A77" w14:textId="56F92C88" w:rsidR="00F36B04" w:rsidRPr="002E2DEC" w:rsidRDefault="00F85506">
      <w:pPr>
        <w:adjustRightInd w:val="0"/>
        <w:snapToGrid w:val="0"/>
        <w:spacing w:line="360" w:lineRule="auto"/>
        <w:jc w:val="both"/>
        <w:rPr>
          <w:rFonts w:ascii="Book Antiqua" w:hAnsi="Book Antiqua"/>
          <w:color w:val="000000" w:themeColor="text1"/>
          <w:lang w:eastAsia="zh-CN"/>
        </w:rPr>
      </w:pPr>
      <w:r w:rsidRPr="002E2DEC">
        <w:rPr>
          <w:rFonts w:ascii="Book Antiqua" w:hAnsi="Book Antiqua"/>
          <w:b/>
          <w:color w:val="000000" w:themeColor="text1"/>
          <w:lang w:eastAsia="zh-CN"/>
        </w:rPr>
        <w:t>Figure 5 Association of key genera associated with disease with bile acid-related metabolites.</w:t>
      </w:r>
      <w:r w:rsidRPr="002E2DEC">
        <w:rPr>
          <w:rFonts w:ascii="Book Antiqua" w:hAnsi="Book Antiqua"/>
          <w:color w:val="000000" w:themeColor="text1"/>
          <w:lang w:eastAsia="zh-CN"/>
        </w:rPr>
        <w:t xml:space="preserve"> Genera important for differentiating healthy controls/intrahepatic cholestasis in pregnancy status were identified using random Forest package. The significance level in the correlation test is denoted as:</w:t>
      </w:r>
      <w:bookmarkStart w:id="41" w:name="OLE_LINK120"/>
      <w:bookmarkStart w:id="42" w:name="OLE_LINK121"/>
      <w:r w:rsidRPr="002E2DEC">
        <w:rPr>
          <w:rFonts w:ascii="Book Antiqua" w:hAnsi="Book Antiqua"/>
          <w:color w:val="000000" w:themeColor="text1"/>
          <w:lang w:eastAsia="zh-CN"/>
        </w:rPr>
        <w:t xml:space="preserve"> </w:t>
      </w:r>
      <w:bookmarkStart w:id="43" w:name="OLE_LINK115"/>
      <w:bookmarkStart w:id="44" w:name="OLE_LINK116"/>
      <w:r w:rsidR="00F5357D" w:rsidRPr="002E2DEC">
        <w:rPr>
          <w:rFonts w:ascii="Book Antiqua" w:hAnsi="Book Antiqua"/>
          <w:color w:val="000000" w:themeColor="text1"/>
          <w:vertAlign w:val="superscript"/>
          <w:lang w:eastAsia="zh-CN"/>
        </w:rPr>
        <w:t>a</w:t>
      </w:r>
      <w:r w:rsidR="00A46A71" w:rsidRPr="002E2DEC">
        <w:rPr>
          <w:rFonts w:ascii="Book Antiqua" w:hAnsi="Book Antiqua"/>
          <w:i/>
          <w:color w:val="000000" w:themeColor="text1"/>
          <w:lang w:eastAsia="zh-CN"/>
        </w:rPr>
        <w:t xml:space="preserve">P </w:t>
      </w:r>
      <w:bookmarkEnd w:id="43"/>
      <w:bookmarkEnd w:id="44"/>
      <w:r w:rsidRPr="002E2DEC">
        <w:rPr>
          <w:rFonts w:ascii="Book Antiqua" w:hAnsi="Book Antiqua"/>
          <w:color w:val="000000" w:themeColor="text1"/>
          <w:lang w:eastAsia="zh-CN"/>
        </w:rPr>
        <w:t>&lt;</w:t>
      </w:r>
      <w:r w:rsidR="00A46A71" w:rsidRPr="002E2DEC">
        <w:rPr>
          <w:rFonts w:ascii="Book Antiqua" w:hAnsi="Book Antiqua"/>
          <w:color w:val="000000" w:themeColor="text1"/>
          <w:lang w:eastAsia="zh-CN"/>
        </w:rPr>
        <w:t xml:space="preserve"> </w:t>
      </w:r>
      <w:r w:rsidRPr="002E2DEC">
        <w:rPr>
          <w:rFonts w:ascii="Book Antiqua" w:hAnsi="Book Antiqua"/>
          <w:color w:val="000000" w:themeColor="text1"/>
          <w:lang w:eastAsia="zh-CN"/>
        </w:rPr>
        <w:t xml:space="preserve">0.05; </w:t>
      </w:r>
      <w:r w:rsidR="00F5357D" w:rsidRPr="002E2DEC">
        <w:rPr>
          <w:rFonts w:ascii="Book Antiqua" w:hAnsi="Book Antiqua"/>
          <w:color w:val="000000" w:themeColor="text1"/>
          <w:vertAlign w:val="superscript"/>
          <w:lang w:eastAsia="zh-CN"/>
        </w:rPr>
        <w:t>b</w:t>
      </w:r>
      <w:r w:rsidR="00A46A71" w:rsidRPr="002E2DEC">
        <w:rPr>
          <w:rFonts w:ascii="Book Antiqua" w:hAnsi="Book Antiqua"/>
          <w:i/>
          <w:color w:val="000000" w:themeColor="text1"/>
          <w:lang w:eastAsia="zh-CN"/>
        </w:rPr>
        <w:t xml:space="preserve">P </w:t>
      </w:r>
      <w:r w:rsidRPr="002E2DEC">
        <w:rPr>
          <w:rFonts w:ascii="Book Antiqua" w:hAnsi="Book Antiqua"/>
          <w:color w:val="000000" w:themeColor="text1"/>
          <w:lang w:eastAsia="zh-CN"/>
        </w:rPr>
        <w:t>&lt;</w:t>
      </w:r>
      <w:r w:rsidR="00A46A71" w:rsidRPr="002E2DEC">
        <w:rPr>
          <w:rFonts w:ascii="Book Antiqua" w:hAnsi="Book Antiqua"/>
          <w:color w:val="000000" w:themeColor="text1"/>
          <w:lang w:eastAsia="zh-CN"/>
        </w:rPr>
        <w:t xml:space="preserve"> </w:t>
      </w:r>
      <w:r w:rsidRPr="002E2DEC">
        <w:rPr>
          <w:rFonts w:ascii="Book Antiqua" w:hAnsi="Book Antiqua"/>
          <w:color w:val="000000" w:themeColor="text1"/>
          <w:lang w:eastAsia="zh-CN"/>
        </w:rPr>
        <w:t>0.01.</w:t>
      </w:r>
    </w:p>
    <w:p w14:paraId="712FEF38" w14:textId="7F6020BB" w:rsidR="00B66B5B" w:rsidRPr="002E2DEC" w:rsidRDefault="00B66B5B">
      <w:pPr>
        <w:adjustRightInd w:val="0"/>
        <w:snapToGrid w:val="0"/>
        <w:spacing w:line="360" w:lineRule="auto"/>
        <w:jc w:val="both"/>
        <w:rPr>
          <w:rFonts w:ascii="Book Antiqua" w:eastAsia="宋体" w:hAnsi="Book Antiqua" w:cs="宋体"/>
          <w:color w:val="000000" w:themeColor="text1"/>
          <w:lang w:eastAsia="zh-CN"/>
        </w:rPr>
      </w:pPr>
    </w:p>
    <w:p w14:paraId="61C77D66" w14:textId="28D4B884" w:rsidR="00E95C45" w:rsidRPr="00D22219" w:rsidRDefault="00B66B5B">
      <w:pPr>
        <w:adjustRightInd w:val="0"/>
        <w:snapToGrid w:val="0"/>
        <w:spacing w:line="360" w:lineRule="auto"/>
        <w:jc w:val="both"/>
        <w:rPr>
          <w:rFonts w:ascii="Book Antiqua" w:eastAsia="等线" w:hAnsi="Book Antiqua"/>
          <w:b/>
          <w:bCs/>
          <w:color w:val="000000" w:themeColor="text1"/>
        </w:rPr>
      </w:pPr>
      <w:r w:rsidRPr="002E2DEC">
        <w:rPr>
          <w:rFonts w:ascii="Book Antiqua" w:hAnsi="Book Antiqua"/>
          <w:color w:val="000000" w:themeColor="text1"/>
          <w:lang w:eastAsia="zh-CN"/>
        </w:rPr>
        <w:br w:type="page"/>
      </w:r>
      <w:bookmarkEnd w:id="41"/>
      <w:bookmarkEnd w:id="42"/>
      <w:r w:rsidR="00E95C45" w:rsidRPr="00D22219">
        <w:rPr>
          <w:rFonts w:ascii="Book Antiqua" w:eastAsia="等线" w:hAnsi="Book Antiqua"/>
          <w:b/>
          <w:bCs/>
          <w:color w:val="000000" w:themeColor="text1"/>
        </w:rPr>
        <w:t>Table 1 Demographic characteristics</w:t>
      </w:r>
    </w:p>
    <w:tbl>
      <w:tblPr>
        <w:tblW w:w="4942" w:type="pct"/>
        <w:tblBorders>
          <w:top w:val="single" w:sz="4" w:space="0" w:color="auto"/>
          <w:bottom w:val="single" w:sz="4" w:space="0" w:color="auto"/>
        </w:tblBorders>
        <w:tblLayout w:type="fixed"/>
        <w:tblLook w:val="04A0" w:firstRow="1" w:lastRow="0" w:firstColumn="1" w:lastColumn="0" w:noHBand="0" w:noVBand="1"/>
      </w:tblPr>
      <w:tblGrid>
        <w:gridCol w:w="3895"/>
        <w:gridCol w:w="2161"/>
        <w:gridCol w:w="2160"/>
        <w:gridCol w:w="1249"/>
      </w:tblGrid>
      <w:tr w:rsidR="008E30F4" w:rsidRPr="008E30F4" w14:paraId="624A274B" w14:textId="77777777" w:rsidTr="00D94D9D">
        <w:trPr>
          <w:trHeight w:val="309"/>
        </w:trPr>
        <w:tc>
          <w:tcPr>
            <w:tcW w:w="2057" w:type="pct"/>
            <w:tcBorders>
              <w:bottom w:val="single" w:sz="4" w:space="0" w:color="auto"/>
            </w:tcBorders>
            <w:shd w:val="clear" w:color="auto" w:fill="auto"/>
            <w:noWrap/>
            <w:vAlign w:val="center"/>
            <w:hideMark/>
          </w:tcPr>
          <w:p w14:paraId="3D22A49F" w14:textId="77777777" w:rsidR="00E95C45" w:rsidRPr="00D22219" w:rsidRDefault="00E95C45" w:rsidP="002E2DEC">
            <w:pPr>
              <w:adjustRightInd w:val="0"/>
              <w:snapToGrid w:val="0"/>
              <w:spacing w:line="360" w:lineRule="auto"/>
              <w:jc w:val="both"/>
              <w:rPr>
                <w:rFonts w:ascii="Book Antiqua" w:eastAsia="等线" w:hAnsi="Book Antiqua"/>
                <w:b/>
                <w:color w:val="000000" w:themeColor="text1"/>
              </w:rPr>
            </w:pPr>
          </w:p>
        </w:tc>
        <w:tc>
          <w:tcPr>
            <w:tcW w:w="1141" w:type="pct"/>
            <w:tcBorders>
              <w:bottom w:val="single" w:sz="4" w:space="0" w:color="auto"/>
            </w:tcBorders>
            <w:shd w:val="clear" w:color="auto" w:fill="auto"/>
            <w:noWrap/>
            <w:vAlign w:val="center"/>
            <w:hideMark/>
          </w:tcPr>
          <w:p w14:paraId="7512372F" w14:textId="2D52E63E" w:rsidR="00E95C45" w:rsidRPr="008E30F4" w:rsidRDefault="00E95C45" w:rsidP="002E2DEC">
            <w:pPr>
              <w:adjustRightInd w:val="0"/>
              <w:snapToGrid w:val="0"/>
              <w:spacing w:line="360" w:lineRule="auto"/>
              <w:jc w:val="both"/>
              <w:rPr>
                <w:rFonts w:ascii="Book Antiqua" w:eastAsia="等线" w:hAnsi="Book Antiqua"/>
                <w:b/>
                <w:color w:val="000000" w:themeColor="text1"/>
              </w:rPr>
            </w:pPr>
            <w:r w:rsidRPr="008E30F4">
              <w:rPr>
                <w:rFonts w:ascii="Book Antiqua" w:eastAsia="等线" w:hAnsi="Book Antiqua"/>
                <w:b/>
                <w:color w:val="000000" w:themeColor="text1"/>
              </w:rPr>
              <w:t>Control</w:t>
            </w:r>
            <w:r w:rsidR="00DF5AC3" w:rsidRPr="008E30F4">
              <w:rPr>
                <w:rFonts w:ascii="Book Antiqua" w:eastAsia="等线" w:hAnsi="Book Antiqua"/>
                <w:b/>
                <w:color w:val="000000" w:themeColor="text1"/>
              </w:rPr>
              <w:t>,</w:t>
            </w:r>
            <w:r w:rsidRPr="008E30F4">
              <w:rPr>
                <w:rFonts w:ascii="Book Antiqua" w:eastAsia="等线" w:hAnsi="Book Antiqua"/>
                <w:b/>
                <w:color w:val="000000" w:themeColor="text1"/>
              </w:rPr>
              <w:t xml:space="preserve"> </w:t>
            </w:r>
            <w:bookmarkStart w:id="45" w:name="OLE_LINK129"/>
            <w:bookmarkStart w:id="46" w:name="OLE_LINK130"/>
            <w:r w:rsidRPr="008E30F4">
              <w:rPr>
                <w:rFonts w:ascii="Book Antiqua" w:eastAsia="等线" w:hAnsi="Book Antiqua"/>
                <w:b/>
                <w:i/>
                <w:color w:val="000000" w:themeColor="text1"/>
              </w:rPr>
              <w:t>n</w:t>
            </w:r>
            <w:r w:rsidRPr="008E30F4">
              <w:rPr>
                <w:rFonts w:ascii="Book Antiqua" w:eastAsia="等线" w:hAnsi="Book Antiqua"/>
                <w:b/>
                <w:color w:val="000000" w:themeColor="text1"/>
                <w:lang w:eastAsia="zh-CN"/>
              </w:rPr>
              <w:t xml:space="preserve"> </w:t>
            </w:r>
            <w:r w:rsidRPr="008E30F4">
              <w:rPr>
                <w:rFonts w:ascii="Book Antiqua" w:eastAsia="等线" w:hAnsi="Book Antiqua"/>
                <w:b/>
                <w:color w:val="000000" w:themeColor="text1"/>
              </w:rPr>
              <w:t>=</w:t>
            </w:r>
            <w:r w:rsidRPr="008E30F4">
              <w:rPr>
                <w:rFonts w:ascii="Book Antiqua" w:eastAsia="等线" w:hAnsi="Book Antiqua"/>
                <w:b/>
                <w:color w:val="000000" w:themeColor="text1"/>
                <w:lang w:eastAsia="zh-CN"/>
              </w:rPr>
              <w:t xml:space="preserve"> </w:t>
            </w:r>
            <w:bookmarkEnd w:id="45"/>
            <w:bookmarkEnd w:id="46"/>
            <w:r w:rsidRPr="008E30F4">
              <w:rPr>
                <w:rFonts w:ascii="Book Antiqua" w:eastAsia="等线" w:hAnsi="Book Antiqua"/>
                <w:b/>
                <w:color w:val="000000" w:themeColor="text1"/>
              </w:rPr>
              <w:t>15</w:t>
            </w:r>
          </w:p>
        </w:tc>
        <w:tc>
          <w:tcPr>
            <w:tcW w:w="1141" w:type="pct"/>
            <w:tcBorders>
              <w:bottom w:val="single" w:sz="4" w:space="0" w:color="auto"/>
            </w:tcBorders>
            <w:shd w:val="clear" w:color="auto" w:fill="auto"/>
            <w:noWrap/>
            <w:vAlign w:val="center"/>
            <w:hideMark/>
          </w:tcPr>
          <w:p w14:paraId="56DBF498" w14:textId="60579D28" w:rsidR="00E95C45" w:rsidRPr="008E30F4" w:rsidRDefault="00E95C45" w:rsidP="002E2DEC">
            <w:pPr>
              <w:adjustRightInd w:val="0"/>
              <w:snapToGrid w:val="0"/>
              <w:spacing w:line="360" w:lineRule="auto"/>
              <w:jc w:val="both"/>
              <w:rPr>
                <w:rFonts w:ascii="Book Antiqua" w:eastAsia="等线" w:hAnsi="Book Antiqua"/>
                <w:b/>
                <w:color w:val="000000" w:themeColor="text1"/>
              </w:rPr>
            </w:pPr>
            <w:r w:rsidRPr="008E30F4">
              <w:rPr>
                <w:rFonts w:ascii="Book Antiqua" w:eastAsia="等线" w:hAnsi="Book Antiqua"/>
                <w:b/>
                <w:color w:val="000000" w:themeColor="text1"/>
              </w:rPr>
              <w:t>ICP</w:t>
            </w:r>
            <w:r w:rsidR="00DF5AC3" w:rsidRPr="008E30F4">
              <w:rPr>
                <w:rFonts w:ascii="Book Antiqua" w:eastAsia="等线" w:hAnsi="Book Antiqua"/>
                <w:b/>
                <w:color w:val="000000" w:themeColor="text1"/>
              </w:rPr>
              <w:t>,</w:t>
            </w:r>
            <w:r w:rsidRPr="008E30F4">
              <w:rPr>
                <w:rFonts w:ascii="Book Antiqua" w:eastAsia="等线" w:hAnsi="Book Antiqua"/>
                <w:b/>
                <w:color w:val="000000" w:themeColor="text1"/>
              </w:rPr>
              <w:t xml:space="preserve"> </w:t>
            </w:r>
            <w:r w:rsidRPr="008E30F4">
              <w:rPr>
                <w:rFonts w:ascii="Book Antiqua" w:eastAsia="等线" w:hAnsi="Book Antiqua"/>
                <w:b/>
                <w:i/>
                <w:color w:val="000000" w:themeColor="text1"/>
              </w:rPr>
              <w:t>n</w:t>
            </w:r>
            <w:r w:rsidRPr="008E30F4">
              <w:rPr>
                <w:rFonts w:ascii="Book Antiqua" w:eastAsia="等线" w:hAnsi="Book Antiqua"/>
                <w:b/>
                <w:color w:val="000000" w:themeColor="text1"/>
                <w:lang w:eastAsia="zh-CN"/>
              </w:rPr>
              <w:t xml:space="preserve"> </w:t>
            </w:r>
            <w:r w:rsidRPr="008E30F4">
              <w:rPr>
                <w:rFonts w:ascii="Book Antiqua" w:eastAsia="等线" w:hAnsi="Book Antiqua"/>
                <w:b/>
                <w:color w:val="000000" w:themeColor="text1"/>
              </w:rPr>
              <w:t>=</w:t>
            </w:r>
            <w:r w:rsidRPr="008E30F4">
              <w:rPr>
                <w:rFonts w:ascii="Book Antiqua" w:eastAsia="等线" w:hAnsi="Book Antiqua"/>
                <w:b/>
                <w:color w:val="000000" w:themeColor="text1"/>
                <w:lang w:eastAsia="zh-CN"/>
              </w:rPr>
              <w:t xml:space="preserve"> </w:t>
            </w:r>
            <w:r w:rsidRPr="008E30F4">
              <w:rPr>
                <w:rFonts w:ascii="Book Antiqua" w:eastAsia="等线" w:hAnsi="Book Antiqua"/>
                <w:b/>
                <w:color w:val="000000" w:themeColor="text1"/>
              </w:rPr>
              <w:t>15</w:t>
            </w:r>
          </w:p>
        </w:tc>
        <w:tc>
          <w:tcPr>
            <w:tcW w:w="660" w:type="pct"/>
            <w:tcBorders>
              <w:bottom w:val="single" w:sz="4" w:space="0" w:color="auto"/>
            </w:tcBorders>
            <w:shd w:val="clear" w:color="auto" w:fill="auto"/>
            <w:noWrap/>
            <w:vAlign w:val="center"/>
            <w:hideMark/>
          </w:tcPr>
          <w:p w14:paraId="4F43420F" w14:textId="77777777" w:rsidR="00E95C45" w:rsidRPr="008E30F4" w:rsidRDefault="000A1D2B" w:rsidP="002E2DEC">
            <w:pPr>
              <w:adjustRightInd w:val="0"/>
              <w:snapToGrid w:val="0"/>
              <w:spacing w:line="360" w:lineRule="auto"/>
              <w:jc w:val="both"/>
              <w:rPr>
                <w:rFonts w:ascii="Book Antiqua" w:eastAsia="等线" w:hAnsi="Book Antiqua"/>
                <w:b/>
                <w:color w:val="000000" w:themeColor="text1"/>
                <w:lang w:eastAsia="zh-CN"/>
              </w:rPr>
            </w:pPr>
            <w:r w:rsidRPr="008E30F4">
              <w:rPr>
                <w:rFonts w:ascii="Book Antiqua" w:eastAsia="等线" w:hAnsi="Book Antiqua"/>
                <w:b/>
                <w:color w:val="000000" w:themeColor="text1"/>
                <w:lang w:eastAsia="zh-CN"/>
              </w:rPr>
              <w:t>A</w:t>
            </w:r>
            <w:r w:rsidRPr="008E30F4">
              <w:rPr>
                <w:rFonts w:ascii="Book Antiqua" w:eastAsia="等线" w:hAnsi="Book Antiqua"/>
                <w:b/>
                <w:color w:val="000000" w:themeColor="text1"/>
              </w:rPr>
              <w:t>djusted</w:t>
            </w:r>
            <w:r w:rsidRPr="008E30F4">
              <w:rPr>
                <w:rFonts w:ascii="Book Antiqua" w:eastAsia="等线" w:hAnsi="Book Antiqua"/>
                <w:b/>
                <w:i/>
                <w:color w:val="000000" w:themeColor="text1"/>
                <w:lang w:eastAsia="zh-CN"/>
              </w:rPr>
              <w:t xml:space="preserve"> </w:t>
            </w:r>
            <w:r w:rsidR="00CB349F" w:rsidRPr="008E30F4">
              <w:rPr>
                <w:rFonts w:ascii="Book Antiqua" w:eastAsia="等线" w:hAnsi="Book Antiqua"/>
                <w:b/>
                <w:i/>
                <w:color w:val="000000" w:themeColor="text1"/>
                <w:lang w:eastAsia="zh-CN"/>
              </w:rPr>
              <w:t xml:space="preserve">P </w:t>
            </w:r>
            <w:r w:rsidR="00CB349F" w:rsidRPr="008E30F4">
              <w:rPr>
                <w:rFonts w:ascii="Book Antiqua" w:eastAsia="等线" w:hAnsi="Book Antiqua"/>
                <w:b/>
                <w:color w:val="000000" w:themeColor="text1"/>
                <w:lang w:eastAsia="zh-CN"/>
              </w:rPr>
              <w:t>value</w:t>
            </w:r>
          </w:p>
        </w:tc>
      </w:tr>
      <w:tr w:rsidR="008E30F4" w:rsidRPr="008E30F4" w14:paraId="2B0DF0AF" w14:textId="77777777" w:rsidTr="00D94D9D">
        <w:trPr>
          <w:trHeight w:val="309"/>
        </w:trPr>
        <w:tc>
          <w:tcPr>
            <w:tcW w:w="2057" w:type="pct"/>
            <w:tcBorders>
              <w:top w:val="single" w:sz="4" w:space="0" w:color="auto"/>
            </w:tcBorders>
            <w:shd w:val="clear" w:color="auto" w:fill="auto"/>
            <w:noWrap/>
            <w:vAlign w:val="center"/>
            <w:hideMark/>
          </w:tcPr>
          <w:p w14:paraId="51D24D06" w14:textId="68BA2276" w:rsidR="00E95C45" w:rsidRPr="008E30F4" w:rsidRDefault="00490C0D"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Age </w:t>
            </w:r>
            <w:r w:rsidR="00D22219">
              <w:rPr>
                <w:rFonts w:ascii="Book Antiqua" w:eastAsia="等线" w:hAnsi="Book Antiqua"/>
                <w:color w:val="000000" w:themeColor="text1"/>
              </w:rPr>
              <w:t xml:space="preserve">in </w:t>
            </w:r>
            <w:r w:rsidRPr="008E30F4">
              <w:rPr>
                <w:rFonts w:ascii="Book Antiqua" w:eastAsia="等线" w:hAnsi="Book Antiqua"/>
                <w:color w:val="000000" w:themeColor="text1"/>
                <w:lang w:eastAsia="zh-CN"/>
              </w:rPr>
              <w:t>y</w:t>
            </w:r>
            <w:r w:rsidR="00E95C45" w:rsidRPr="008E30F4">
              <w:rPr>
                <w:rFonts w:ascii="Book Antiqua" w:eastAsia="等线" w:hAnsi="Book Antiqua"/>
                <w:color w:val="000000" w:themeColor="text1"/>
              </w:rPr>
              <w:t>r</w:t>
            </w:r>
          </w:p>
        </w:tc>
        <w:tc>
          <w:tcPr>
            <w:tcW w:w="1141" w:type="pct"/>
            <w:tcBorders>
              <w:top w:val="single" w:sz="4" w:space="0" w:color="auto"/>
            </w:tcBorders>
            <w:shd w:val="clear" w:color="auto" w:fill="auto"/>
            <w:noWrap/>
            <w:vAlign w:val="center"/>
            <w:hideMark/>
          </w:tcPr>
          <w:p w14:paraId="0BE1C4C9"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30.0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28.5-32.0</w:t>
            </w:r>
            <w:r w:rsidRPr="008E30F4">
              <w:rPr>
                <w:rFonts w:ascii="Book Antiqua" w:eastAsia="等线" w:hAnsi="Book Antiqua"/>
                <w:color w:val="000000" w:themeColor="text1"/>
                <w:lang w:eastAsia="zh-CN"/>
              </w:rPr>
              <w:t>)</w:t>
            </w:r>
          </w:p>
        </w:tc>
        <w:tc>
          <w:tcPr>
            <w:tcW w:w="1141" w:type="pct"/>
            <w:tcBorders>
              <w:top w:val="single" w:sz="4" w:space="0" w:color="auto"/>
            </w:tcBorders>
            <w:shd w:val="clear" w:color="auto" w:fill="auto"/>
            <w:noWrap/>
            <w:vAlign w:val="center"/>
            <w:hideMark/>
          </w:tcPr>
          <w:p w14:paraId="6F47122E" w14:textId="027982A0"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31.0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30.5-32.5</w:t>
            </w:r>
            <w:r w:rsidRPr="008E30F4">
              <w:rPr>
                <w:rFonts w:ascii="Book Antiqua" w:eastAsia="等线" w:hAnsi="Book Antiqua"/>
                <w:color w:val="000000" w:themeColor="text1"/>
                <w:lang w:eastAsia="zh-CN"/>
              </w:rPr>
              <w:t>)</w:t>
            </w:r>
          </w:p>
        </w:tc>
        <w:tc>
          <w:tcPr>
            <w:tcW w:w="660" w:type="pct"/>
            <w:tcBorders>
              <w:top w:val="single" w:sz="4" w:space="0" w:color="auto"/>
            </w:tcBorders>
            <w:shd w:val="clear" w:color="auto" w:fill="auto"/>
            <w:noWrap/>
            <w:vAlign w:val="bottom"/>
            <w:hideMark/>
          </w:tcPr>
          <w:p w14:paraId="149173A3" w14:textId="77777777"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0.3322 </w:t>
            </w:r>
          </w:p>
        </w:tc>
      </w:tr>
      <w:tr w:rsidR="008E30F4" w:rsidRPr="008E30F4" w14:paraId="4A9ECCA4" w14:textId="77777777" w:rsidTr="00D94D9D">
        <w:trPr>
          <w:trHeight w:val="309"/>
        </w:trPr>
        <w:tc>
          <w:tcPr>
            <w:tcW w:w="2057" w:type="pct"/>
            <w:shd w:val="clear" w:color="auto" w:fill="auto"/>
            <w:noWrap/>
            <w:vAlign w:val="center"/>
            <w:hideMark/>
          </w:tcPr>
          <w:p w14:paraId="50D73374" w14:textId="01BC3F46" w:rsidR="00E95C45" w:rsidRPr="008E30F4" w:rsidRDefault="00490C0D"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Pregnancy </w:t>
            </w:r>
            <w:r w:rsidR="00D22219">
              <w:rPr>
                <w:rFonts w:ascii="Book Antiqua" w:eastAsia="等线" w:hAnsi="Book Antiqua"/>
                <w:color w:val="000000" w:themeColor="text1"/>
              </w:rPr>
              <w:t xml:space="preserve">in </w:t>
            </w:r>
            <w:r w:rsidRPr="008E30F4">
              <w:rPr>
                <w:rFonts w:ascii="Book Antiqua" w:eastAsia="等线" w:hAnsi="Book Antiqua"/>
                <w:color w:val="000000" w:themeColor="text1"/>
                <w:lang w:eastAsia="zh-CN"/>
              </w:rPr>
              <w:t>d</w:t>
            </w:r>
          </w:p>
        </w:tc>
        <w:tc>
          <w:tcPr>
            <w:tcW w:w="1141" w:type="pct"/>
            <w:shd w:val="clear" w:color="auto" w:fill="auto"/>
            <w:noWrap/>
            <w:vAlign w:val="center"/>
            <w:hideMark/>
          </w:tcPr>
          <w:p w14:paraId="6ADDC6B9"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266.0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248.0-274.5</w:t>
            </w:r>
            <w:r w:rsidRPr="008E30F4">
              <w:rPr>
                <w:rFonts w:ascii="Book Antiqua" w:eastAsia="等线" w:hAnsi="Book Antiqua"/>
                <w:color w:val="000000" w:themeColor="text1"/>
                <w:lang w:eastAsia="zh-CN"/>
              </w:rPr>
              <w:t>)</w:t>
            </w:r>
          </w:p>
        </w:tc>
        <w:tc>
          <w:tcPr>
            <w:tcW w:w="1141" w:type="pct"/>
            <w:shd w:val="clear" w:color="auto" w:fill="auto"/>
            <w:noWrap/>
            <w:vAlign w:val="center"/>
            <w:hideMark/>
          </w:tcPr>
          <w:p w14:paraId="591DA263"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234.0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227.5-252.0</w:t>
            </w:r>
            <w:r w:rsidRPr="008E30F4">
              <w:rPr>
                <w:rFonts w:ascii="Book Antiqua" w:eastAsia="等线" w:hAnsi="Book Antiqua"/>
                <w:color w:val="000000" w:themeColor="text1"/>
                <w:lang w:eastAsia="zh-CN"/>
              </w:rPr>
              <w:t>)</w:t>
            </w:r>
          </w:p>
        </w:tc>
        <w:tc>
          <w:tcPr>
            <w:tcW w:w="660" w:type="pct"/>
            <w:shd w:val="clear" w:color="auto" w:fill="auto"/>
            <w:noWrap/>
            <w:vAlign w:val="center"/>
            <w:hideMark/>
          </w:tcPr>
          <w:p w14:paraId="60EBA17B" w14:textId="77777777"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0.0273 </w:t>
            </w:r>
          </w:p>
        </w:tc>
      </w:tr>
      <w:tr w:rsidR="008E30F4" w:rsidRPr="008E30F4" w14:paraId="306E0E2C" w14:textId="77777777" w:rsidTr="00D94D9D">
        <w:trPr>
          <w:trHeight w:val="309"/>
        </w:trPr>
        <w:tc>
          <w:tcPr>
            <w:tcW w:w="2057" w:type="pct"/>
            <w:shd w:val="clear" w:color="auto" w:fill="auto"/>
            <w:noWrap/>
            <w:vAlign w:val="center"/>
            <w:hideMark/>
          </w:tcPr>
          <w:p w14:paraId="491D8B11" w14:textId="3B6B8433"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Alanine aminotransferase </w:t>
            </w:r>
            <w:r w:rsidR="00D22219">
              <w:rPr>
                <w:rFonts w:ascii="Book Antiqua" w:eastAsia="等线" w:hAnsi="Book Antiqua"/>
                <w:color w:val="000000" w:themeColor="text1"/>
              </w:rPr>
              <w:t xml:space="preserve">in </w:t>
            </w:r>
            <w:r w:rsidRPr="008E30F4">
              <w:rPr>
                <w:rFonts w:ascii="Book Antiqua" w:eastAsia="等线" w:hAnsi="Book Antiqua"/>
                <w:color w:val="000000" w:themeColor="text1"/>
              </w:rPr>
              <w:t>U/L</w:t>
            </w:r>
          </w:p>
        </w:tc>
        <w:tc>
          <w:tcPr>
            <w:tcW w:w="1141" w:type="pct"/>
            <w:shd w:val="clear" w:color="auto" w:fill="auto"/>
            <w:noWrap/>
            <w:vAlign w:val="center"/>
            <w:hideMark/>
          </w:tcPr>
          <w:p w14:paraId="0D6CDCB4"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12.0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8.5-17.0</w:t>
            </w:r>
            <w:r w:rsidRPr="008E30F4">
              <w:rPr>
                <w:rFonts w:ascii="Book Antiqua" w:eastAsia="等线" w:hAnsi="Book Antiqua"/>
                <w:color w:val="000000" w:themeColor="text1"/>
                <w:lang w:eastAsia="zh-CN"/>
              </w:rPr>
              <w:t>)</w:t>
            </w:r>
          </w:p>
        </w:tc>
        <w:tc>
          <w:tcPr>
            <w:tcW w:w="1141" w:type="pct"/>
            <w:shd w:val="clear" w:color="auto" w:fill="auto"/>
            <w:noWrap/>
            <w:vAlign w:val="center"/>
            <w:hideMark/>
          </w:tcPr>
          <w:p w14:paraId="245B8A7B"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22.0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12.0-50.0</w:t>
            </w:r>
            <w:r w:rsidRPr="008E30F4">
              <w:rPr>
                <w:rFonts w:ascii="Book Antiqua" w:eastAsia="等线" w:hAnsi="Book Antiqua"/>
                <w:color w:val="000000" w:themeColor="text1"/>
                <w:lang w:eastAsia="zh-CN"/>
              </w:rPr>
              <w:t>)</w:t>
            </w:r>
          </w:p>
        </w:tc>
        <w:tc>
          <w:tcPr>
            <w:tcW w:w="660" w:type="pct"/>
            <w:shd w:val="clear" w:color="auto" w:fill="auto"/>
            <w:noWrap/>
            <w:vAlign w:val="bottom"/>
            <w:hideMark/>
          </w:tcPr>
          <w:p w14:paraId="66DC6726" w14:textId="77777777"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0.0369 </w:t>
            </w:r>
          </w:p>
        </w:tc>
      </w:tr>
      <w:tr w:rsidR="008E30F4" w:rsidRPr="008E30F4" w14:paraId="4ADE8861" w14:textId="77777777" w:rsidTr="00D94D9D">
        <w:trPr>
          <w:trHeight w:val="309"/>
        </w:trPr>
        <w:tc>
          <w:tcPr>
            <w:tcW w:w="2057" w:type="pct"/>
            <w:shd w:val="clear" w:color="auto" w:fill="auto"/>
            <w:noWrap/>
            <w:vAlign w:val="center"/>
            <w:hideMark/>
          </w:tcPr>
          <w:p w14:paraId="09228102" w14:textId="7DD7CC12"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Aspartate aminotransferase </w:t>
            </w:r>
            <w:r w:rsidR="00D22219">
              <w:rPr>
                <w:rFonts w:ascii="Book Antiqua" w:eastAsia="等线" w:hAnsi="Book Antiqua"/>
                <w:color w:val="000000" w:themeColor="text1"/>
              </w:rPr>
              <w:t xml:space="preserve">in </w:t>
            </w:r>
            <w:r w:rsidRPr="008E30F4">
              <w:rPr>
                <w:rFonts w:ascii="Book Antiqua" w:eastAsia="等线" w:hAnsi="Book Antiqua"/>
                <w:color w:val="000000" w:themeColor="text1"/>
              </w:rPr>
              <w:t>U/L</w:t>
            </w:r>
          </w:p>
        </w:tc>
        <w:tc>
          <w:tcPr>
            <w:tcW w:w="1141" w:type="pct"/>
            <w:shd w:val="clear" w:color="auto" w:fill="auto"/>
            <w:noWrap/>
            <w:vAlign w:val="center"/>
            <w:hideMark/>
          </w:tcPr>
          <w:p w14:paraId="0BBBE719"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16.0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14.0-18.5</w:t>
            </w:r>
            <w:r w:rsidRPr="008E30F4">
              <w:rPr>
                <w:rFonts w:ascii="Book Antiqua" w:eastAsia="等线" w:hAnsi="Book Antiqua"/>
                <w:color w:val="000000" w:themeColor="text1"/>
                <w:lang w:eastAsia="zh-CN"/>
              </w:rPr>
              <w:t>)</w:t>
            </w:r>
          </w:p>
        </w:tc>
        <w:tc>
          <w:tcPr>
            <w:tcW w:w="1141" w:type="pct"/>
            <w:shd w:val="clear" w:color="auto" w:fill="auto"/>
            <w:noWrap/>
            <w:vAlign w:val="center"/>
            <w:hideMark/>
          </w:tcPr>
          <w:p w14:paraId="429D547E"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29.0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19.5-41.5</w:t>
            </w:r>
            <w:r w:rsidRPr="008E30F4">
              <w:rPr>
                <w:rFonts w:ascii="Book Antiqua" w:eastAsia="等线" w:hAnsi="Book Antiqua"/>
                <w:color w:val="000000" w:themeColor="text1"/>
                <w:lang w:eastAsia="zh-CN"/>
              </w:rPr>
              <w:t>)</w:t>
            </w:r>
          </w:p>
        </w:tc>
        <w:tc>
          <w:tcPr>
            <w:tcW w:w="660" w:type="pct"/>
            <w:shd w:val="clear" w:color="auto" w:fill="auto"/>
            <w:noWrap/>
            <w:vAlign w:val="bottom"/>
            <w:hideMark/>
          </w:tcPr>
          <w:p w14:paraId="28BF3845" w14:textId="77777777"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0.0273 </w:t>
            </w:r>
          </w:p>
        </w:tc>
      </w:tr>
      <w:tr w:rsidR="008E30F4" w:rsidRPr="008E30F4" w14:paraId="14CF3F72" w14:textId="77777777" w:rsidTr="00D94D9D">
        <w:trPr>
          <w:trHeight w:val="309"/>
        </w:trPr>
        <w:tc>
          <w:tcPr>
            <w:tcW w:w="2057" w:type="pct"/>
            <w:shd w:val="clear" w:color="auto" w:fill="auto"/>
            <w:noWrap/>
            <w:vAlign w:val="center"/>
            <w:hideMark/>
          </w:tcPr>
          <w:p w14:paraId="5622DEDB" w14:textId="17264E6D"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Lactate dehydrogenase </w:t>
            </w:r>
            <w:r w:rsidR="00D22219">
              <w:rPr>
                <w:rFonts w:ascii="Book Antiqua" w:eastAsia="等线" w:hAnsi="Book Antiqua"/>
                <w:color w:val="000000" w:themeColor="text1"/>
              </w:rPr>
              <w:t xml:space="preserve">in </w:t>
            </w:r>
            <w:r w:rsidRPr="008E30F4">
              <w:rPr>
                <w:rFonts w:ascii="Book Antiqua" w:eastAsia="等线" w:hAnsi="Book Antiqua"/>
                <w:color w:val="000000" w:themeColor="text1"/>
              </w:rPr>
              <w:t>U/L</w:t>
            </w:r>
          </w:p>
        </w:tc>
        <w:tc>
          <w:tcPr>
            <w:tcW w:w="1141" w:type="pct"/>
            <w:shd w:val="clear" w:color="auto" w:fill="auto"/>
            <w:noWrap/>
            <w:vAlign w:val="center"/>
            <w:hideMark/>
          </w:tcPr>
          <w:p w14:paraId="12CC6DCC"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177.0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155.0-217.5</w:t>
            </w:r>
            <w:r w:rsidRPr="008E30F4">
              <w:rPr>
                <w:rFonts w:ascii="Book Antiqua" w:eastAsia="等线" w:hAnsi="Book Antiqua"/>
                <w:color w:val="000000" w:themeColor="text1"/>
                <w:lang w:eastAsia="zh-CN"/>
              </w:rPr>
              <w:t>)</w:t>
            </w:r>
          </w:p>
        </w:tc>
        <w:tc>
          <w:tcPr>
            <w:tcW w:w="1141" w:type="pct"/>
            <w:shd w:val="clear" w:color="auto" w:fill="auto"/>
            <w:noWrap/>
            <w:vAlign w:val="center"/>
            <w:hideMark/>
          </w:tcPr>
          <w:p w14:paraId="479CF6B6"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208.0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191.0-217.5</w:t>
            </w:r>
            <w:r w:rsidRPr="008E30F4">
              <w:rPr>
                <w:rFonts w:ascii="Book Antiqua" w:eastAsia="等线" w:hAnsi="Book Antiqua"/>
                <w:color w:val="000000" w:themeColor="text1"/>
                <w:lang w:eastAsia="zh-CN"/>
              </w:rPr>
              <w:t>)</w:t>
            </w:r>
          </w:p>
        </w:tc>
        <w:tc>
          <w:tcPr>
            <w:tcW w:w="660" w:type="pct"/>
            <w:shd w:val="clear" w:color="auto" w:fill="auto"/>
            <w:noWrap/>
            <w:vAlign w:val="bottom"/>
            <w:hideMark/>
          </w:tcPr>
          <w:p w14:paraId="6BB18885" w14:textId="77777777"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0.2196 </w:t>
            </w:r>
          </w:p>
        </w:tc>
      </w:tr>
      <w:tr w:rsidR="008E30F4" w:rsidRPr="008E30F4" w14:paraId="4063E61A" w14:textId="77777777" w:rsidTr="00D94D9D">
        <w:trPr>
          <w:trHeight w:val="309"/>
        </w:trPr>
        <w:tc>
          <w:tcPr>
            <w:tcW w:w="2057" w:type="pct"/>
            <w:shd w:val="clear" w:color="auto" w:fill="auto"/>
            <w:noWrap/>
            <w:vAlign w:val="center"/>
            <w:hideMark/>
          </w:tcPr>
          <w:p w14:paraId="6DC1A5E5" w14:textId="6E3BA3CD" w:rsidR="00E95C45" w:rsidRPr="008E30F4" w:rsidRDefault="00490C0D"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Total bilirubin </w:t>
            </w:r>
            <w:r w:rsidR="00D22219">
              <w:rPr>
                <w:rFonts w:ascii="Book Antiqua" w:eastAsia="等线" w:hAnsi="Book Antiqua"/>
                <w:color w:val="000000" w:themeColor="text1"/>
              </w:rPr>
              <w:t xml:space="preserve">in </w:t>
            </w:r>
            <w:r w:rsidRPr="008E30F4">
              <w:rPr>
                <w:rFonts w:ascii="Book Antiqua" w:eastAsia="等线" w:hAnsi="Book Antiqua"/>
                <w:color w:val="000000" w:themeColor="text1"/>
              </w:rPr>
              <w:t>μ</w:t>
            </w:r>
            <w:r w:rsidR="00E95C45" w:rsidRPr="008E30F4">
              <w:rPr>
                <w:rFonts w:ascii="Book Antiqua" w:eastAsia="等线" w:hAnsi="Book Antiqua"/>
                <w:color w:val="000000" w:themeColor="text1"/>
              </w:rPr>
              <w:t>mol/L</w:t>
            </w:r>
          </w:p>
        </w:tc>
        <w:tc>
          <w:tcPr>
            <w:tcW w:w="1141" w:type="pct"/>
            <w:shd w:val="clear" w:color="auto" w:fill="auto"/>
            <w:noWrap/>
            <w:vAlign w:val="center"/>
            <w:hideMark/>
          </w:tcPr>
          <w:p w14:paraId="390625D9"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7.1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6.1-7.9</w:t>
            </w:r>
            <w:r w:rsidRPr="008E30F4">
              <w:rPr>
                <w:rFonts w:ascii="Book Antiqua" w:eastAsia="等线" w:hAnsi="Book Antiqua"/>
                <w:color w:val="000000" w:themeColor="text1"/>
                <w:lang w:eastAsia="zh-CN"/>
              </w:rPr>
              <w:t>)</w:t>
            </w:r>
          </w:p>
        </w:tc>
        <w:tc>
          <w:tcPr>
            <w:tcW w:w="1141" w:type="pct"/>
            <w:shd w:val="clear" w:color="auto" w:fill="auto"/>
            <w:noWrap/>
            <w:vAlign w:val="center"/>
            <w:hideMark/>
          </w:tcPr>
          <w:p w14:paraId="3BE6BFC9"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6.4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5.9-9.6</w:t>
            </w:r>
            <w:r w:rsidRPr="008E30F4">
              <w:rPr>
                <w:rFonts w:ascii="Book Antiqua" w:eastAsia="等线" w:hAnsi="Book Antiqua"/>
                <w:color w:val="000000" w:themeColor="text1"/>
                <w:lang w:eastAsia="zh-CN"/>
              </w:rPr>
              <w:t>)</w:t>
            </w:r>
          </w:p>
        </w:tc>
        <w:tc>
          <w:tcPr>
            <w:tcW w:w="660" w:type="pct"/>
            <w:shd w:val="clear" w:color="auto" w:fill="auto"/>
            <w:noWrap/>
            <w:vAlign w:val="bottom"/>
            <w:hideMark/>
          </w:tcPr>
          <w:p w14:paraId="1E586693" w14:textId="77777777"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0.8356 </w:t>
            </w:r>
          </w:p>
        </w:tc>
      </w:tr>
      <w:tr w:rsidR="008E30F4" w:rsidRPr="008E30F4" w14:paraId="36FA16D1" w14:textId="77777777" w:rsidTr="00D94D9D">
        <w:trPr>
          <w:trHeight w:val="309"/>
        </w:trPr>
        <w:tc>
          <w:tcPr>
            <w:tcW w:w="2057" w:type="pct"/>
            <w:shd w:val="clear" w:color="auto" w:fill="auto"/>
            <w:noWrap/>
            <w:vAlign w:val="center"/>
            <w:hideMark/>
          </w:tcPr>
          <w:p w14:paraId="537F3EF9" w14:textId="246F2077" w:rsidR="00E95C45" w:rsidRPr="008E30F4" w:rsidRDefault="00490C0D"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Direct bilirubin </w:t>
            </w:r>
            <w:r w:rsidR="00D22219">
              <w:rPr>
                <w:rFonts w:ascii="Book Antiqua" w:eastAsia="等线" w:hAnsi="Book Antiqua"/>
                <w:color w:val="000000" w:themeColor="text1"/>
              </w:rPr>
              <w:t xml:space="preserve">in </w:t>
            </w:r>
            <w:r w:rsidRPr="008E30F4">
              <w:rPr>
                <w:rFonts w:ascii="Book Antiqua" w:eastAsia="等线" w:hAnsi="Book Antiqua"/>
                <w:color w:val="000000" w:themeColor="text1"/>
              </w:rPr>
              <w:t>μ</w:t>
            </w:r>
            <w:r w:rsidR="00E95C45" w:rsidRPr="008E30F4">
              <w:rPr>
                <w:rFonts w:ascii="Book Antiqua" w:eastAsia="等线" w:hAnsi="Book Antiqua"/>
                <w:color w:val="000000" w:themeColor="text1"/>
              </w:rPr>
              <w:t>mol/L</w:t>
            </w:r>
          </w:p>
        </w:tc>
        <w:tc>
          <w:tcPr>
            <w:tcW w:w="1141" w:type="pct"/>
            <w:shd w:val="clear" w:color="auto" w:fill="auto"/>
            <w:noWrap/>
            <w:vAlign w:val="center"/>
            <w:hideMark/>
          </w:tcPr>
          <w:p w14:paraId="539FB3E4" w14:textId="77777777" w:rsidR="00E95C45" w:rsidRPr="008E30F4" w:rsidRDefault="00E95C45"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1.7 </w:t>
            </w:r>
            <w:r w:rsidR="00490C0D" w:rsidRPr="008E30F4">
              <w:rPr>
                <w:rFonts w:ascii="Book Antiqua" w:eastAsia="等线" w:hAnsi="Book Antiqua"/>
                <w:color w:val="000000" w:themeColor="text1"/>
                <w:lang w:eastAsia="zh-CN"/>
              </w:rPr>
              <w:t>(</w:t>
            </w:r>
            <w:r w:rsidRPr="008E30F4">
              <w:rPr>
                <w:rFonts w:ascii="Book Antiqua" w:eastAsia="等线" w:hAnsi="Book Antiqua"/>
                <w:color w:val="000000" w:themeColor="text1"/>
              </w:rPr>
              <w:t>1.2-1.8</w:t>
            </w:r>
            <w:r w:rsidR="00490C0D" w:rsidRPr="008E30F4">
              <w:rPr>
                <w:rFonts w:ascii="Book Antiqua" w:eastAsia="等线" w:hAnsi="Book Antiqua"/>
                <w:color w:val="000000" w:themeColor="text1"/>
                <w:lang w:eastAsia="zh-CN"/>
              </w:rPr>
              <w:t>)</w:t>
            </w:r>
          </w:p>
        </w:tc>
        <w:tc>
          <w:tcPr>
            <w:tcW w:w="1141" w:type="pct"/>
            <w:shd w:val="clear" w:color="auto" w:fill="auto"/>
            <w:noWrap/>
            <w:vAlign w:val="center"/>
            <w:hideMark/>
          </w:tcPr>
          <w:p w14:paraId="30C51F13"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2.5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1.6-3.0</w:t>
            </w:r>
            <w:r w:rsidRPr="008E30F4">
              <w:rPr>
                <w:rFonts w:ascii="Book Antiqua" w:eastAsia="等线" w:hAnsi="Book Antiqua"/>
                <w:color w:val="000000" w:themeColor="text1"/>
              </w:rPr>
              <w:t>)</w:t>
            </w:r>
          </w:p>
        </w:tc>
        <w:tc>
          <w:tcPr>
            <w:tcW w:w="660" w:type="pct"/>
            <w:shd w:val="clear" w:color="auto" w:fill="auto"/>
            <w:noWrap/>
            <w:vAlign w:val="bottom"/>
            <w:hideMark/>
          </w:tcPr>
          <w:p w14:paraId="1545EF4D" w14:textId="77777777"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0.2669 </w:t>
            </w:r>
          </w:p>
        </w:tc>
      </w:tr>
      <w:tr w:rsidR="008E30F4" w:rsidRPr="008E30F4" w14:paraId="520FDA84" w14:textId="77777777" w:rsidTr="00D94D9D">
        <w:trPr>
          <w:trHeight w:val="309"/>
        </w:trPr>
        <w:tc>
          <w:tcPr>
            <w:tcW w:w="2057" w:type="pct"/>
            <w:shd w:val="clear" w:color="auto" w:fill="auto"/>
            <w:noWrap/>
            <w:vAlign w:val="center"/>
            <w:hideMark/>
          </w:tcPr>
          <w:p w14:paraId="334A3275" w14:textId="08F563E1" w:rsidR="00E95C45" w:rsidRPr="008E30F4" w:rsidRDefault="00490C0D"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Total bile acids </w:t>
            </w:r>
            <w:r w:rsidR="00D22219">
              <w:rPr>
                <w:rFonts w:ascii="Book Antiqua" w:eastAsia="等线" w:hAnsi="Book Antiqua"/>
                <w:color w:val="000000" w:themeColor="text1"/>
              </w:rPr>
              <w:t xml:space="preserve">in </w:t>
            </w:r>
            <w:r w:rsidRPr="008E30F4">
              <w:rPr>
                <w:rFonts w:ascii="Book Antiqua" w:eastAsia="等线" w:hAnsi="Book Antiqua"/>
                <w:color w:val="000000" w:themeColor="text1"/>
              </w:rPr>
              <w:t>μ</w:t>
            </w:r>
            <w:r w:rsidR="00E95C45" w:rsidRPr="008E30F4">
              <w:rPr>
                <w:rFonts w:ascii="Book Antiqua" w:eastAsia="等线" w:hAnsi="Book Antiqua"/>
                <w:color w:val="000000" w:themeColor="text1"/>
              </w:rPr>
              <w:t>mol/L</w:t>
            </w:r>
          </w:p>
        </w:tc>
        <w:tc>
          <w:tcPr>
            <w:tcW w:w="1141" w:type="pct"/>
            <w:shd w:val="clear" w:color="auto" w:fill="auto"/>
            <w:noWrap/>
            <w:vAlign w:val="center"/>
            <w:hideMark/>
          </w:tcPr>
          <w:p w14:paraId="407E86E0"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4.0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3.5-5.5</w:t>
            </w:r>
            <w:r w:rsidRPr="008E30F4">
              <w:rPr>
                <w:rFonts w:ascii="Book Antiqua" w:eastAsia="等线" w:hAnsi="Book Antiqua"/>
                <w:color w:val="000000" w:themeColor="text1"/>
                <w:lang w:eastAsia="zh-CN"/>
              </w:rPr>
              <w:t>)</w:t>
            </w:r>
          </w:p>
        </w:tc>
        <w:tc>
          <w:tcPr>
            <w:tcW w:w="1141" w:type="pct"/>
            <w:shd w:val="clear" w:color="auto" w:fill="auto"/>
            <w:noWrap/>
            <w:vAlign w:val="center"/>
            <w:hideMark/>
          </w:tcPr>
          <w:p w14:paraId="51090715"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26.0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18.5-38.0</w:t>
            </w:r>
            <w:r w:rsidRPr="008E30F4">
              <w:rPr>
                <w:rFonts w:ascii="Book Antiqua" w:eastAsia="等线" w:hAnsi="Book Antiqua"/>
                <w:color w:val="000000" w:themeColor="text1"/>
                <w:lang w:eastAsia="zh-CN"/>
              </w:rPr>
              <w:t>)</w:t>
            </w:r>
          </w:p>
        </w:tc>
        <w:tc>
          <w:tcPr>
            <w:tcW w:w="660" w:type="pct"/>
            <w:shd w:val="clear" w:color="auto" w:fill="auto"/>
            <w:noWrap/>
            <w:vAlign w:val="bottom"/>
            <w:hideMark/>
          </w:tcPr>
          <w:p w14:paraId="626183F3" w14:textId="77777777"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0.0000 </w:t>
            </w:r>
          </w:p>
        </w:tc>
      </w:tr>
      <w:tr w:rsidR="008E30F4" w:rsidRPr="008E30F4" w14:paraId="4425C087" w14:textId="77777777" w:rsidTr="00D94D9D">
        <w:trPr>
          <w:trHeight w:val="309"/>
        </w:trPr>
        <w:tc>
          <w:tcPr>
            <w:tcW w:w="2057" w:type="pct"/>
            <w:shd w:val="clear" w:color="auto" w:fill="auto"/>
            <w:noWrap/>
            <w:vAlign w:val="center"/>
            <w:hideMark/>
          </w:tcPr>
          <w:p w14:paraId="453EE09B" w14:textId="7086F347"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Urea </w:t>
            </w:r>
            <w:r w:rsidR="00D22219">
              <w:rPr>
                <w:rFonts w:ascii="Book Antiqua" w:eastAsia="等线" w:hAnsi="Book Antiqua"/>
                <w:color w:val="000000" w:themeColor="text1"/>
              </w:rPr>
              <w:t xml:space="preserve">in </w:t>
            </w:r>
            <w:r w:rsidRPr="008E30F4">
              <w:rPr>
                <w:rFonts w:ascii="Book Antiqua" w:eastAsia="等线" w:hAnsi="Book Antiqua"/>
                <w:color w:val="000000" w:themeColor="text1"/>
              </w:rPr>
              <w:t>mmol/L</w:t>
            </w:r>
          </w:p>
        </w:tc>
        <w:tc>
          <w:tcPr>
            <w:tcW w:w="1141" w:type="pct"/>
            <w:shd w:val="clear" w:color="auto" w:fill="auto"/>
            <w:noWrap/>
            <w:vAlign w:val="center"/>
            <w:hideMark/>
          </w:tcPr>
          <w:p w14:paraId="183B6E4E"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3.8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3.5-4.0</w:t>
            </w:r>
            <w:r w:rsidRPr="008E30F4">
              <w:rPr>
                <w:rFonts w:ascii="Book Antiqua" w:eastAsia="等线" w:hAnsi="Book Antiqua"/>
                <w:color w:val="000000" w:themeColor="text1"/>
                <w:lang w:eastAsia="zh-CN"/>
              </w:rPr>
              <w:t>)</w:t>
            </w:r>
          </w:p>
        </w:tc>
        <w:tc>
          <w:tcPr>
            <w:tcW w:w="1141" w:type="pct"/>
            <w:shd w:val="clear" w:color="auto" w:fill="auto"/>
            <w:noWrap/>
            <w:vAlign w:val="center"/>
            <w:hideMark/>
          </w:tcPr>
          <w:p w14:paraId="3B037191"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3.9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3.1-5.0</w:t>
            </w:r>
            <w:r w:rsidRPr="008E30F4">
              <w:rPr>
                <w:rFonts w:ascii="Book Antiqua" w:eastAsia="等线" w:hAnsi="Book Antiqua"/>
                <w:color w:val="000000" w:themeColor="text1"/>
                <w:lang w:eastAsia="zh-CN"/>
              </w:rPr>
              <w:t>)</w:t>
            </w:r>
          </w:p>
        </w:tc>
        <w:tc>
          <w:tcPr>
            <w:tcW w:w="660" w:type="pct"/>
            <w:shd w:val="clear" w:color="auto" w:fill="auto"/>
            <w:noWrap/>
            <w:vAlign w:val="bottom"/>
            <w:hideMark/>
          </w:tcPr>
          <w:p w14:paraId="0E28893E" w14:textId="77777777"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0.6321 </w:t>
            </w:r>
          </w:p>
        </w:tc>
      </w:tr>
      <w:tr w:rsidR="008E30F4" w:rsidRPr="008E30F4" w14:paraId="6459BC09" w14:textId="77777777" w:rsidTr="00D94D9D">
        <w:trPr>
          <w:trHeight w:val="309"/>
        </w:trPr>
        <w:tc>
          <w:tcPr>
            <w:tcW w:w="2057" w:type="pct"/>
            <w:shd w:val="clear" w:color="auto" w:fill="auto"/>
            <w:noWrap/>
            <w:vAlign w:val="center"/>
            <w:hideMark/>
          </w:tcPr>
          <w:p w14:paraId="7757CCF0" w14:textId="6D54E92D"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Creatinine </w:t>
            </w:r>
            <w:r w:rsidR="00D22219">
              <w:rPr>
                <w:rFonts w:ascii="Book Antiqua" w:eastAsia="等线" w:hAnsi="Book Antiqua"/>
                <w:color w:val="000000" w:themeColor="text1"/>
              </w:rPr>
              <w:t xml:space="preserve">in </w:t>
            </w:r>
            <w:r w:rsidR="003A5E3A" w:rsidRPr="008E30F4">
              <w:rPr>
                <w:rFonts w:ascii="Book Antiqua" w:eastAsia="等线" w:hAnsi="Book Antiqua"/>
                <w:color w:val="000000" w:themeColor="text1"/>
              </w:rPr>
              <w:t>μ</w:t>
            </w:r>
            <w:r w:rsidRPr="008E30F4">
              <w:rPr>
                <w:rFonts w:ascii="Book Antiqua" w:eastAsia="等线" w:hAnsi="Book Antiqua"/>
                <w:color w:val="000000" w:themeColor="text1"/>
              </w:rPr>
              <w:t>mol/L</w:t>
            </w:r>
          </w:p>
        </w:tc>
        <w:tc>
          <w:tcPr>
            <w:tcW w:w="1141" w:type="pct"/>
            <w:shd w:val="clear" w:color="auto" w:fill="auto"/>
            <w:noWrap/>
            <w:vAlign w:val="center"/>
            <w:hideMark/>
          </w:tcPr>
          <w:p w14:paraId="7E5E017A"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42.0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39.0-44.5</w:t>
            </w:r>
            <w:r w:rsidRPr="008E30F4">
              <w:rPr>
                <w:rFonts w:ascii="Book Antiqua" w:eastAsia="等线" w:hAnsi="Book Antiqua"/>
                <w:color w:val="000000" w:themeColor="text1"/>
                <w:lang w:eastAsia="zh-CN"/>
              </w:rPr>
              <w:t>)</w:t>
            </w:r>
          </w:p>
        </w:tc>
        <w:tc>
          <w:tcPr>
            <w:tcW w:w="1141" w:type="pct"/>
            <w:shd w:val="clear" w:color="auto" w:fill="auto"/>
            <w:noWrap/>
            <w:vAlign w:val="center"/>
            <w:hideMark/>
          </w:tcPr>
          <w:p w14:paraId="776BB3E8"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48.0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44.0-54.0</w:t>
            </w:r>
            <w:r w:rsidRPr="008E30F4">
              <w:rPr>
                <w:rFonts w:ascii="Book Antiqua" w:eastAsia="等线" w:hAnsi="Book Antiqua"/>
                <w:color w:val="000000" w:themeColor="text1"/>
                <w:lang w:eastAsia="zh-CN"/>
              </w:rPr>
              <w:t>)</w:t>
            </w:r>
          </w:p>
        </w:tc>
        <w:tc>
          <w:tcPr>
            <w:tcW w:w="660" w:type="pct"/>
            <w:shd w:val="clear" w:color="auto" w:fill="auto"/>
            <w:noWrap/>
            <w:vAlign w:val="bottom"/>
            <w:hideMark/>
          </w:tcPr>
          <w:p w14:paraId="79E1BE98" w14:textId="77777777"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0.0463 </w:t>
            </w:r>
          </w:p>
        </w:tc>
      </w:tr>
      <w:tr w:rsidR="008E30F4" w:rsidRPr="008E30F4" w14:paraId="2CB6A711" w14:textId="77777777" w:rsidTr="00D94D9D">
        <w:trPr>
          <w:trHeight w:val="309"/>
        </w:trPr>
        <w:tc>
          <w:tcPr>
            <w:tcW w:w="2057" w:type="pct"/>
            <w:shd w:val="clear" w:color="auto" w:fill="auto"/>
            <w:noWrap/>
            <w:vAlign w:val="center"/>
            <w:hideMark/>
          </w:tcPr>
          <w:p w14:paraId="618F97FC" w14:textId="320C9F4D"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Uric acid </w:t>
            </w:r>
            <w:r w:rsidR="00D22219">
              <w:rPr>
                <w:rFonts w:ascii="Book Antiqua" w:eastAsia="等线" w:hAnsi="Book Antiqua"/>
                <w:color w:val="000000" w:themeColor="text1"/>
              </w:rPr>
              <w:t xml:space="preserve">in </w:t>
            </w:r>
            <w:r w:rsidR="003A5E3A" w:rsidRPr="008E30F4">
              <w:rPr>
                <w:rFonts w:ascii="Book Antiqua" w:eastAsia="等线" w:hAnsi="Book Antiqua"/>
                <w:color w:val="000000" w:themeColor="text1"/>
              </w:rPr>
              <w:t>μ</w:t>
            </w:r>
            <w:r w:rsidRPr="008E30F4">
              <w:rPr>
                <w:rFonts w:ascii="Book Antiqua" w:eastAsia="等线" w:hAnsi="Book Antiqua"/>
                <w:color w:val="000000" w:themeColor="text1"/>
              </w:rPr>
              <w:t>mol/L</w:t>
            </w:r>
          </w:p>
        </w:tc>
        <w:tc>
          <w:tcPr>
            <w:tcW w:w="1141" w:type="pct"/>
            <w:shd w:val="clear" w:color="auto" w:fill="auto"/>
            <w:noWrap/>
            <w:vAlign w:val="center"/>
            <w:hideMark/>
          </w:tcPr>
          <w:p w14:paraId="5CC67BE8"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294.0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253.0-342.0</w:t>
            </w:r>
            <w:r w:rsidRPr="008E30F4">
              <w:rPr>
                <w:rFonts w:ascii="Book Antiqua" w:eastAsia="等线" w:hAnsi="Book Antiqua"/>
                <w:color w:val="000000" w:themeColor="text1"/>
                <w:lang w:eastAsia="zh-CN"/>
              </w:rPr>
              <w:t>)</w:t>
            </w:r>
          </w:p>
        </w:tc>
        <w:tc>
          <w:tcPr>
            <w:tcW w:w="1141" w:type="pct"/>
            <w:shd w:val="clear" w:color="auto" w:fill="auto"/>
            <w:noWrap/>
            <w:vAlign w:val="center"/>
            <w:hideMark/>
          </w:tcPr>
          <w:p w14:paraId="458C598F"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261.0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236.5-333.0</w:t>
            </w:r>
            <w:r w:rsidRPr="008E30F4">
              <w:rPr>
                <w:rFonts w:ascii="Book Antiqua" w:eastAsia="等线" w:hAnsi="Book Antiqua"/>
                <w:color w:val="000000" w:themeColor="text1"/>
                <w:lang w:eastAsia="zh-CN"/>
              </w:rPr>
              <w:t>)</w:t>
            </w:r>
          </w:p>
        </w:tc>
        <w:tc>
          <w:tcPr>
            <w:tcW w:w="660" w:type="pct"/>
            <w:shd w:val="clear" w:color="auto" w:fill="auto"/>
            <w:noWrap/>
            <w:vAlign w:val="bottom"/>
            <w:hideMark/>
          </w:tcPr>
          <w:p w14:paraId="34549A77" w14:textId="77777777"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0.4552 </w:t>
            </w:r>
          </w:p>
        </w:tc>
      </w:tr>
    </w:tbl>
    <w:p w14:paraId="6C74BBA6" w14:textId="1A07C488" w:rsidR="003D662A" w:rsidRPr="008E30F4" w:rsidRDefault="00E95C45" w:rsidP="00D22219">
      <w:pPr>
        <w:pStyle w:val="P68B1DB1-a1"/>
        <w:widowControl/>
        <w:adjustRightInd w:val="0"/>
        <w:snapToGrid w:val="0"/>
        <w:spacing w:line="360" w:lineRule="auto"/>
        <w:jc w:val="both"/>
        <w:rPr>
          <w:rFonts w:ascii="Book Antiqua" w:eastAsia="等线" w:hAnsi="Book Antiqua"/>
          <w:color w:val="000000" w:themeColor="text1"/>
          <w:szCs w:val="24"/>
        </w:rPr>
      </w:pPr>
      <w:r w:rsidRPr="008E30F4">
        <w:rPr>
          <w:rFonts w:ascii="Book Antiqua" w:eastAsia="等线" w:hAnsi="Book Antiqua"/>
          <w:color w:val="000000" w:themeColor="text1"/>
          <w:szCs w:val="24"/>
        </w:rPr>
        <w:t xml:space="preserve">Continuous data are presented as median and interquartile range in squared parentheses and were tested using the Mann-Whitney U test. </w:t>
      </w:r>
      <w:r w:rsidR="00490C0D" w:rsidRPr="008E30F4">
        <w:rPr>
          <w:rFonts w:ascii="Book Antiqua" w:eastAsia="等线" w:hAnsi="Book Antiqua"/>
          <w:i/>
          <w:color w:val="000000" w:themeColor="text1"/>
          <w:szCs w:val="24"/>
        </w:rPr>
        <w:t>P</w:t>
      </w:r>
      <w:r w:rsidR="00490C0D" w:rsidRPr="008E30F4">
        <w:rPr>
          <w:rFonts w:ascii="Book Antiqua" w:eastAsia="等线" w:hAnsi="Book Antiqua"/>
          <w:color w:val="000000" w:themeColor="text1"/>
          <w:szCs w:val="24"/>
        </w:rPr>
        <w:t xml:space="preserve"> </w:t>
      </w:r>
      <w:r w:rsidRPr="008E30F4">
        <w:rPr>
          <w:rFonts w:ascii="Book Antiqua" w:eastAsia="等线" w:hAnsi="Book Antiqua"/>
          <w:color w:val="000000" w:themeColor="text1"/>
          <w:szCs w:val="24"/>
        </w:rPr>
        <w:t>&lt;</w:t>
      </w:r>
      <w:r w:rsidR="00AF2A5F" w:rsidRPr="008E30F4">
        <w:rPr>
          <w:rFonts w:ascii="Book Antiqua" w:eastAsia="等线" w:hAnsi="Book Antiqua"/>
          <w:color w:val="000000" w:themeColor="text1"/>
          <w:szCs w:val="24"/>
        </w:rPr>
        <w:t xml:space="preserve"> </w:t>
      </w:r>
      <w:r w:rsidRPr="008E30F4">
        <w:rPr>
          <w:rFonts w:ascii="Book Antiqua" w:eastAsia="等线" w:hAnsi="Book Antiqua"/>
          <w:color w:val="000000" w:themeColor="text1"/>
          <w:szCs w:val="24"/>
        </w:rPr>
        <w:t xml:space="preserve">0.05 </w:t>
      </w:r>
      <w:r w:rsidR="00F71B78" w:rsidRPr="008E30F4">
        <w:rPr>
          <w:rFonts w:ascii="Book Antiqua" w:eastAsia="等线" w:hAnsi="Book Antiqua"/>
          <w:color w:val="000000" w:themeColor="text1"/>
          <w:szCs w:val="24"/>
        </w:rPr>
        <w:t xml:space="preserve">was </w:t>
      </w:r>
      <w:r w:rsidRPr="008E30F4">
        <w:rPr>
          <w:rFonts w:ascii="Book Antiqua" w:eastAsia="等线" w:hAnsi="Book Antiqua"/>
          <w:color w:val="000000" w:themeColor="text1"/>
          <w:szCs w:val="24"/>
        </w:rPr>
        <w:t xml:space="preserve">considered statically significant. The </w:t>
      </w:r>
      <w:bookmarkStart w:id="47" w:name="OLE_LINK131"/>
      <w:bookmarkStart w:id="48" w:name="OLE_LINK132"/>
      <w:bookmarkStart w:id="49" w:name="OLE_LINK133"/>
      <w:r w:rsidRPr="008E30F4">
        <w:rPr>
          <w:rFonts w:ascii="Book Antiqua" w:eastAsia="等线" w:hAnsi="Book Antiqua"/>
          <w:color w:val="000000" w:themeColor="text1"/>
          <w:szCs w:val="24"/>
        </w:rPr>
        <w:t>adjusted</w:t>
      </w:r>
      <w:bookmarkEnd w:id="47"/>
      <w:bookmarkEnd w:id="48"/>
      <w:bookmarkEnd w:id="49"/>
      <w:r w:rsidRPr="008E30F4">
        <w:rPr>
          <w:rFonts w:ascii="Book Antiqua" w:eastAsia="等线" w:hAnsi="Book Antiqua"/>
          <w:color w:val="000000" w:themeColor="text1"/>
          <w:szCs w:val="24"/>
        </w:rPr>
        <w:t xml:space="preserve"> </w:t>
      </w:r>
      <w:r w:rsidR="000A1D2B" w:rsidRPr="008E30F4">
        <w:rPr>
          <w:rFonts w:ascii="Book Antiqua" w:eastAsia="等线" w:hAnsi="Book Antiqua"/>
          <w:i/>
          <w:color w:val="000000" w:themeColor="text1"/>
          <w:szCs w:val="24"/>
        </w:rPr>
        <w:t>P</w:t>
      </w:r>
      <w:r w:rsidR="000A1D2B" w:rsidRPr="008E30F4">
        <w:rPr>
          <w:rFonts w:ascii="Book Antiqua" w:eastAsia="等线" w:hAnsi="Book Antiqua"/>
          <w:color w:val="000000" w:themeColor="text1"/>
          <w:szCs w:val="24"/>
        </w:rPr>
        <w:t xml:space="preserve"> </w:t>
      </w:r>
      <w:r w:rsidRPr="008E30F4">
        <w:rPr>
          <w:rFonts w:ascii="Book Antiqua" w:eastAsia="等线" w:hAnsi="Book Antiqua"/>
          <w:color w:val="000000" w:themeColor="text1"/>
          <w:szCs w:val="24"/>
        </w:rPr>
        <w:t xml:space="preserve">value was calculated by the </w:t>
      </w:r>
      <w:r w:rsidR="00F71B78" w:rsidRPr="008E30F4">
        <w:rPr>
          <w:rFonts w:ascii="Book Antiqua" w:eastAsia="等线" w:hAnsi="Book Antiqua"/>
          <w:color w:val="000000" w:themeColor="text1"/>
          <w:szCs w:val="24"/>
        </w:rPr>
        <w:t>“</w:t>
      </w:r>
      <w:r w:rsidRPr="008E30F4">
        <w:rPr>
          <w:rFonts w:ascii="Book Antiqua" w:eastAsia="等线" w:hAnsi="Book Antiqua"/>
          <w:color w:val="000000" w:themeColor="text1"/>
          <w:szCs w:val="24"/>
        </w:rPr>
        <w:t>p.adjust ()</w:t>
      </w:r>
      <w:r w:rsidR="00F71B78" w:rsidRPr="008E30F4">
        <w:rPr>
          <w:rFonts w:ascii="Book Antiqua" w:eastAsia="等线" w:hAnsi="Book Antiqua"/>
          <w:color w:val="000000" w:themeColor="text1"/>
          <w:szCs w:val="24"/>
        </w:rPr>
        <w:t>”</w:t>
      </w:r>
      <w:r w:rsidRPr="008E30F4">
        <w:rPr>
          <w:rFonts w:ascii="Book Antiqua" w:eastAsia="等线" w:hAnsi="Book Antiqua"/>
          <w:color w:val="000000" w:themeColor="text1"/>
          <w:szCs w:val="24"/>
        </w:rPr>
        <w:t xml:space="preserve"> command in R using the </w:t>
      </w:r>
      <w:r w:rsidR="00F71B78" w:rsidRPr="008E30F4">
        <w:rPr>
          <w:rFonts w:ascii="Book Antiqua" w:eastAsia="等线" w:hAnsi="Book Antiqua"/>
          <w:color w:val="000000" w:themeColor="text1"/>
          <w:szCs w:val="24"/>
        </w:rPr>
        <w:t>“</w:t>
      </w:r>
      <w:r w:rsidRPr="008E30F4">
        <w:rPr>
          <w:rFonts w:ascii="Book Antiqua" w:eastAsia="等线" w:hAnsi="Book Antiqua"/>
          <w:color w:val="000000" w:themeColor="text1"/>
          <w:szCs w:val="24"/>
        </w:rPr>
        <w:t>BH</w:t>
      </w:r>
      <w:r w:rsidR="00F71B78" w:rsidRPr="008E30F4">
        <w:rPr>
          <w:rFonts w:ascii="Book Antiqua" w:eastAsia="等线" w:hAnsi="Book Antiqua"/>
          <w:color w:val="000000" w:themeColor="text1"/>
          <w:szCs w:val="24"/>
        </w:rPr>
        <w:t>”</w:t>
      </w:r>
      <w:r w:rsidRPr="008E30F4">
        <w:rPr>
          <w:rFonts w:ascii="Book Antiqua" w:eastAsia="等线" w:hAnsi="Book Antiqua"/>
          <w:color w:val="000000" w:themeColor="text1"/>
          <w:szCs w:val="24"/>
        </w:rPr>
        <w:t xml:space="preserve"> method to control for the false discovery rate. ICP: </w:t>
      </w:r>
      <w:r w:rsidR="00A72DDE" w:rsidRPr="008E30F4">
        <w:rPr>
          <w:rFonts w:ascii="Book Antiqua" w:eastAsia="等线" w:hAnsi="Book Antiqua"/>
          <w:color w:val="000000" w:themeColor="text1"/>
          <w:szCs w:val="24"/>
        </w:rPr>
        <w:t>I</w:t>
      </w:r>
      <w:r w:rsidRPr="008E30F4">
        <w:rPr>
          <w:rFonts w:ascii="Book Antiqua" w:eastAsia="等线" w:hAnsi="Book Antiqua"/>
          <w:color w:val="000000" w:themeColor="text1"/>
          <w:szCs w:val="24"/>
        </w:rPr>
        <w:t>ntrahepatic cholestasis in pregnancy.</w:t>
      </w:r>
    </w:p>
    <w:sectPr w:rsidR="003D662A" w:rsidRPr="008E30F4" w:rsidSect="00F771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22B8A3" w14:textId="77777777" w:rsidR="00C07BE4" w:rsidRDefault="00C07BE4" w:rsidP="00CB3344">
      <w:r>
        <w:separator/>
      </w:r>
    </w:p>
  </w:endnote>
  <w:endnote w:type="continuationSeparator" w:id="0">
    <w:p w14:paraId="67EB5409" w14:textId="77777777" w:rsidR="00C07BE4" w:rsidRDefault="00C07BE4" w:rsidP="00CB3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002427937"/>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46E52A7C" w14:textId="4D542ED4" w:rsidR="005E3880" w:rsidRPr="002E2DEC" w:rsidRDefault="005E3880">
            <w:pPr>
              <w:pStyle w:val="aa"/>
              <w:jc w:val="right"/>
              <w:rPr>
                <w:rFonts w:ascii="Book Antiqua" w:hAnsi="Book Antiqua"/>
                <w:sz w:val="24"/>
                <w:szCs w:val="24"/>
              </w:rPr>
            </w:pPr>
            <w:r w:rsidRPr="002E2DEC">
              <w:rPr>
                <w:rFonts w:ascii="Book Antiqua" w:hAnsi="Book Antiqua"/>
                <w:sz w:val="24"/>
                <w:szCs w:val="24"/>
                <w:lang w:val="zh-CN" w:eastAsia="zh-CN"/>
              </w:rPr>
              <w:t xml:space="preserve"> </w:t>
            </w:r>
            <w:r w:rsidRPr="002E2DEC">
              <w:rPr>
                <w:rFonts w:ascii="Book Antiqua" w:hAnsi="Book Antiqua"/>
                <w:sz w:val="24"/>
                <w:szCs w:val="24"/>
              </w:rPr>
              <w:fldChar w:fldCharType="begin"/>
            </w:r>
            <w:r w:rsidRPr="002E2DEC">
              <w:rPr>
                <w:rFonts w:ascii="Book Antiqua" w:hAnsi="Book Antiqua"/>
                <w:sz w:val="24"/>
                <w:szCs w:val="24"/>
              </w:rPr>
              <w:instrText>PAGE</w:instrText>
            </w:r>
            <w:r w:rsidRPr="002E2DEC">
              <w:rPr>
                <w:rFonts w:ascii="Book Antiqua" w:hAnsi="Book Antiqua"/>
                <w:sz w:val="24"/>
                <w:szCs w:val="24"/>
              </w:rPr>
              <w:fldChar w:fldCharType="separate"/>
            </w:r>
            <w:r w:rsidR="00C07BE4">
              <w:rPr>
                <w:rFonts w:ascii="Book Antiqua" w:hAnsi="Book Antiqua"/>
                <w:noProof/>
                <w:sz w:val="24"/>
                <w:szCs w:val="24"/>
              </w:rPr>
              <w:t>1</w:t>
            </w:r>
            <w:r w:rsidRPr="002E2DEC">
              <w:rPr>
                <w:rFonts w:ascii="Book Antiqua" w:hAnsi="Book Antiqua"/>
                <w:sz w:val="24"/>
                <w:szCs w:val="24"/>
              </w:rPr>
              <w:fldChar w:fldCharType="end"/>
            </w:r>
            <w:r w:rsidRPr="002E2DEC">
              <w:rPr>
                <w:rFonts w:ascii="Book Antiqua" w:hAnsi="Book Antiqua"/>
                <w:sz w:val="24"/>
                <w:szCs w:val="24"/>
                <w:lang w:val="zh-CN" w:eastAsia="zh-CN"/>
              </w:rPr>
              <w:t xml:space="preserve"> / </w:t>
            </w:r>
            <w:r w:rsidRPr="002E2DEC">
              <w:rPr>
                <w:rFonts w:ascii="Book Antiqua" w:hAnsi="Book Antiqua"/>
                <w:sz w:val="24"/>
                <w:szCs w:val="24"/>
              </w:rPr>
              <w:fldChar w:fldCharType="begin"/>
            </w:r>
            <w:r w:rsidRPr="002E2DEC">
              <w:rPr>
                <w:rFonts w:ascii="Book Antiqua" w:hAnsi="Book Antiqua"/>
                <w:sz w:val="24"/>
                <w:szCs w:val="24"/>
              </w:rPr>
              <w:instrText>NUMPAGES</w:instrText>
            </w:r>
            <w:r w:rsidRPr="002E2DEC">
              <w:rPr>
                <w:rFonts w:ascii="Book Antiqua" w:hAnsi="Book Antiqua"/>
                <w:sz w:val="24"/>
                <w:szCs w:val="24"/>
              </w:rPr>
              <w:fldChar w:fldCharType="separate"/>
            </w:r>
            <w:r w:rsidR="00C07BE4">
              <w:rPr>
                <w:rFonts w:ascii="Book Antiqua" w:hAnsi="Book Antiqua"/>
                <w:noProof/>
                <w:sz w:val="24"/>
                <w:szCs w:val="24"/>
              </w:rPr>
              <w:t>1</w:t>
            </w:r>
            <w:r w:rsidRPr="002E2DEC">
              <w:rPr>
                <w:rFonts w:ascii="Book Antiqua" w:hAnsi="Book Antiqua"/>
                <w:sz w:val="24"/>
                <w:szCs w:val="24"/>
              </w:rPr>
              <w:fldChar w:fldCharType="end"/>
            </w:r>
          </w:p>
        </w:sdtContent>
      </w:sdt>
    </w:sdtContent>
  </w:sdt>
  <w:p w14:paraId="3895D688" w14:textId="77777777" w:rsidR="005E3880" w:rsidRDefault="005E388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B05C4B" w14:textId="77777777" w:rsidR="00C07BE4" w:rsidRDefault="00C07BE4" w:rsidP="00CB3344">
      <w:r>
        <w:separator/>
      </w:r>
    </w:p>
  </w:footnote>
  <w:footnote w:type="continuationSeparator" w:id="0">
    <w:p w14:paraId="71B60AA6" w14:textId="77777777" w:rsidR="00C07BE4" w:rsidRDefault="00C07BE4" w:rsidP="00CB33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C7FF4"/>
    <w:multiLevelType w:val="multilevel"/>
    <w:tmpl w:val="21B6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925"/>
    <w:rsid w:val="00017339"/>
    <w:rsid w:val="00017A8F"/>
    <w:rsid w:val="00017FFB"/>
    <w:rsid w:val="00026879"/>
    <w:rsid w:val="00052BA6"/>
    <w:rsid w:val="00062508"/>
    <w:rsid w:val="00070D55"/>
    <w:rsid w:val="000A1D2B"/>
    <w:rsid w:val="000B2FEB"/>
    <w:rsid w:val="001041AB"/>
    <w:rsid w:val="001275F6"/>
    <w:rsid w:val="00134A21"/>
    <w:rsid w:val="00151CF0"/>
    <w:rsid w:val="001714A1"/>
    <w:rsid w:val="00197133"/>
    <w:rsid w:val="001A4A8C"/>
    <w:rsid w:val="001F53E3"/>
    <w:rsid w:val="0020450C"/>
    <w:rsid w:val="002064B2"/>
    <w:rsid w:val="00230F6A"/>
    <w:rsid w:val="002363A2"/>
    <w:rsid w:val="00243937"/>
    <w:rsid w:val="0024461A"/>
    <w:rsid w:val="00257762"/>
    <w:rsid w:val="00260A5B"/>
    <w:rsid w:val="0026465A"/>
    <w:rsid w:val="0027578F"/>
    <w:rsid w:val="00284F7F"/>
    <w:rsid w:val="002A2FD5"/>
    <w:rsid w:val="002A6740"/>
    <w:rsid w:val="002B48F5"/>
    <w:rsid w:val="002D4D27"/>
    <w:rsid w:val="002E2DEC"/>
    <w:rsid w:val="002F6CCA"/>
    <w:rsid w:val="003022FF"/>
    <w:rsid w:val="00302D5A"/>
    <w:rsid w:val="00311501"/>
    <w:rsid w:val="00327857"/>
    <w:rsid w:val="00330921"/>
    <w:rsid w:val="00347953"/>
    <w:rsid w:val="003557A3"/>
    <w:rsid w:val="00357DE9"/>
    <w:rsid w:val="00361461"/>
    <w:rsid w:val="00365ACB"/>
    <w:rsid w:val="00374163"/>
    <w:rsid w:val="00393705"/>
    <w:rsid w:val="003A5E3A"/>
    <w:rsid w:val="003B154F"/>
    <w:rsid w:val="003C38CC"/>
    <w:rsid w:val="003D253E"/>
    <w:rsid w:val="003D5223"/>
    <w:rsid w:val="003D662A"/>
    <w:rsid w:val="003E2F36"/>
    <w:rsid w:val="00407C92"/>
    <w:rsid w:val="00430D0E"/>
    <w:rsid w:val="00436C57"/>
    <w:rsid w:val="00442F09"/>
    <w:rsid w:val="00447B4A"/>
    <w:rsid w:val="00450946"/>
    <w:rsid w:val="00451BA3"/>
    <w:rsid w:val="004531B8"/>
    <w:rsid w:val="00473D2A"/>
    <w:rsid w:val="00485127"/>
    <w:rsid w:val="00490C0D"/>
    <w:rsid w:val="0049686B"/>
    <w:rsid w:val="004A18CE"/>
    <w:rsid w:val="004A209E"/>
    <w:rsid w:val="004A3F40"/>
    <w:rsid w:val="004C3288"/>
    <w:rsid w:val="004C462F"/>
    <w:rsid w:val="004F0515"/>
    <w:rsid w:val="004F1152"/>
    <w:rsid w:val="00515461"/>
    <w:rsid w:val="0052136A"/>
    <w:rsid w:val="0052138C"/>
    <w:rsid w:val="00534846"/>
    <w:rsid w:val="00551851"/>
    <w:rsid w:val="005520FF"/>
    <w:rsid w:val="00553DB4"/>
    <w:rsid w:val="00555B5D"/>
    <w:rsid w:val="00565034"/>
    <w:rsid w:val="00575B9D"/>
    <w:rsid w:val="00586FE6"/>
    <w:rsid w:val="0059054D"/>
    <w:rsid w:val="00591536"/>
    <w:rsid w:val="005A14FB"/>
    <w:rsid w:val="005B0210"/>
    <w:rsid w:val="005B087E"/>
    <w:rsid w:val="005B0DCC"/>
    <w:rsid w:val="005C684E"/>
    <w:rsid w:val="005C7457"/>
    <w:rsid w:val="005D6D6E"/>
    <w:rsid w:val="005E34C2"/>
    <w:rsid w:val="005E3880"/>
    <w:rsid w:val="005E6E9A"/>
    <w:rsid w:val="005F30C9"/>
    <w:rsid w:val="00600599"/>
    <w:rsid w:val="0062017C"/>
    <w:rsid w:val="0062082A"/>
    <w:rsid w:val="00627D6C"/>
    <w:rsid w:val="00630177"/>
    <w:rsid w:val="006345BC"/>
    <w:rsid w:val="006359F0"/>
    <w:rsid w:val="00641191"/>
    <w:rsid w:val="00655A16"/>
    <w:rsid w:val="0068265C"/>
    <w:rsid w:val="00683C04"/>
    <w:rsid w:val="00685E18"/>
    <w:rsid w:val="006955B8"/>
    <w:rsid w:val="00695985"/>
    <w:rsid w:val="006A06C3"/>
    <w:rsid w:val="006A5AC5"/>
    <w:rsid w:val="006B3F49"/>
    <w:rsid w:val="006D480E"/>
    <w:rsid w:val="006D4A39"/>
    <w:rsid w:val="006E0101"/>
    <w:rsid w:val="006E1D21"/>
    <w:rsid w:val="006F3D83"/>
    <w:rsid w:val="007100E5"/>
    <w:rsid w:val="00723BCA"/>
    <w:rsid w:val="0072514E"/>
    <w:rsid w:val="00726232"/>
    <w:rsid w:val="00731B89"/>
    <w:rsid w:val="007353D6"/>
    <w:rsid w:val="00761874"/>
    <w:rsid w:val="00775EFB"/>
    <w:rsid w:val="00780900"/>
    <w:rsid w:val="007875EE"/>
    <w:rsid w:val="007A40CD"/>
    <w:rsid w:val="007B48DA"/>
    <w:rsid w:val="007C1440"/>
    <w:rsid w:val="007D43FE"/>
    <w:rsid w:val="007D67B1"/>
    <w:rsid w:val="00805208"/>
    <w:rsid w:val="0080720D"/>
    <w:rsid w:val="00813229"/>
    <w:rsid w:val="00817B9B"/>
    <w:rsid w:val="0082029C"/>
    <w:rsid w:val="008221C4"/>
    <w:rsid w:val="008349E5"/>
    <w:rsid w:val="00840327"/>
    <w:rsid w:val="00861451"/>
    <w:rsid w:val="008750C3"/>
    <w:rsid w:val="008873F7"/>
    <w:rsid w:val="008B55DC"/>
    <w:rsid w:val="008B6D82"/>
    <w:rsid w:val="008B754C"/>
    <w:rsid w:val="008C0683"/>
    <w:rsid w:val="008D35F1"/>
    <w:rsid w:val="008D3784"/>
    <w:rsid w:val="008D53A9"/>
    <w:rsid w:val="008E053E"/>
    <w:rsid w:val="008E2514"/>
    <w:rsid w:val="008E30F4"/>
    <w:rsid w:val="008E46E3"/>
    <w:rsid w:val="008E47F4"/>
    <w:rsid w:val="008F046B"/>
    <w:rsid w:val="008F11AD"/>
    <w:rsid w:val="008F1497"/>
    <w:rsid w:val="008F18CF"/>
    <w:rsid w:val="008F5E00"/>
    <w:rsid w:val="00913017"/>
    <w:rsid w:val="00913542"/>
    <w:rsid w:val="009258B4"/>
    <w:rsid w:val="009305B1"/>
    <w:rsid w:val="00933460"/>
    <w:rsid w:val="009509AD"/>
    <w:rsid w:val="00956FA7"/>
    <w:rsid w:val="00961D3E"/>
    <w:rsid w:val="009662F7"/>
    <w:rsid w:val="009709C0"/>
    <w:rsid w:val="00971FEC"/>
    <w:rsid w:val="00972B62"/>
    <w:rsid w:val="009847F1"/>
    <w:rsid w:val="009851AA"/>
    <w:rsid w:val="00985EAA"/>
    <w:rsid w:val="00986B5E"/>
    <w:rsid w:val="009A0511"/>
    <w:rsid w:val="009A331D"/>
    <w:rsid w:val="009A42D9"/>
    <w:rsid w:val="009A7E4F"/>
    <w:rsid w:val="009B0885"/>
    <w:rsid w:val="009B1227"/>
    <w:rsid w:val="009C76D0"/>
    <w:rsid w:val="009D79A9"/>
    <w:rsid w:val="009E2B23"/>
    <w:rsid w:val="00A21C3B"/>
    <w:rsid w:val="00A26BCD"/>
    <w:rsid w:val="00A31B2D"/>
    <w:rsid w:val="00A34C68"/>
    <w:rsid w:val="00A419BC"/>
    <w:rsid w:val="00A43EA3"/>
    <w:rsid w:val="00A46A71"/>
    <w:rsid w:val="00A54F2A"/>
    <w:rsid w:val="00A606C5"/>
    <w:rsid w:val="00A612DB"/>
    <w:rsid w:val="00A61C34"/>
    <w:rsid w:val="00A72DDE"/>
    <w:rsid w:val="00A77B3E"/>
    <w:rsid w:val="00A77FDC"/>
    <w:rsid w:val="00AA4E0B"/>
    <w:rsid w:val="00AD24C5"/>
    <w:rsid w:val="00AE1D76"/>
    <w:rsid w:val="00AF2A5F"/>
    <w:rsid w:val="00B0771E"/>
    <w:rsid w:val="00B140CB"/>
    <w:rsid w:val="00B3082A"/>
    <w:rsid w:val="00B33DE0"/>
    <w:rsid w:val="00B44026"/>
    <w:rsid w:val="00B57D98"/>
    <w:rsid w:val="00B6536A"/>
    <w:rsid w:val="00B66B5B"/>
    <w:rsid w:val="00B7787E"/>
    <w:rsid w:val="00BA13E0"/>
    <w:rsid w:val="00BB0ECD"/>
    <w:rsid w:val="00BD1AB7"/>
    <w:rsid w:val="00BD7F52"/>
    <w:rsid w:val="00C07BE4"/>
    <w:rsid w:val="00C21209"/>
    <w:rsid w:val="00C53267"/>
    <w:rsid w:val="00C679F8"/>
    <w:rsid w:val="00C845F1"/>
    <w:rsid w:val="00C91FE6"/>
    <w:rsid w:val="00C94843"/>
    <w:rsid w:val="00CA16AD"/>
    <w:rsid w:val="00CA2A55"/>
    <w:rsid w:val="00CB3344"/>
    <w:rsid w:val="00CB349F"/>
    <w:rsid w:val="00CC1183"/>
    <w:rsid w:val="00CC3EF9"/>
    <w:rsid w:val="00CE28A6"/>
    <w:rsid w:val="00CF280F"/>
    <w:rsid w:val="00D05EDA"/>
    <w:rsid w:val="00D130E7"/>
    <w:rsid w:val="00D15A7C"/>
    <w:rsid w:val="00D20B2B"/>
    <w:rsid w:val="00D22219"/>
    <w:rsid w:val="00D26FC1"/>
    <w:rsid w:val="00D300CD"/>
    <w:rsid w:val="00D30883"/>
    <w:rsid w:val="00D31BD3"/>
    <w:rsid w:val="00D5016F"/>
    <w:rsid w:val="00D71B41"/>
    <w:rsid w:val="00D72BE3"/>
    <w:rsid w:val="00D74CEB"/>
    <w:rsid w:val="00D93800"/>
    <w:rsid w:val="00D94D9D"/>
    <w:rsid w:val="00D97952"/>
    <w:rsid w:val="00DA315B"/>
    <w:rsid w:val="00DA3DCD"/>
    <w:rsid w:val="00DC09C5"/>
    <w:rsid w:val="00DC0C63"/>
    <w:rsid w:val="00DD25FC"/>
    <w:rsid w:val="00DD3F40"/>
    <w:rsid w:val="00DE7733"/>
    <w:rsid w:val="00DE7C9F"/>
    <w:rsid w:val="00DF5AC3"/>
    <w:rsid w:val="00E052C5"/>
    <w:rsid w:val="00E105F3"/>
    <w:rsid w:val="00E10D9F"/>
    <w:rsid w:val="00E135C0"/>
    <w:rsid w:val="00E32DBA"/>
    <w:rsid w:val="00E373B4"/>
    <w:rsid w:val="00E42B3B"/>
    <w:rsid w:val="00E63B18"/>
    <w:rsid w:val="00E7185B"/>
    <w:rsid w:val="00E73C87"/>
    <w:rsid w:val="00E74050"/>
    <w:rsid w:val="00E95C45"/>
    <w:rsid w:val="00EA5937"/>
    <w:rsid w:val="00EB3F5E"/>
    <w:rsid w:val="00EB6B7A"/>
    <w:rsid w:val="00EC7AAD"/>
    <w:rsid w:val="00ED092F"/>
    <w:rsid w:val="00EF4653"/>
    <w:rsid w:val="00EF631F"/>
    <w:rsid w:val="00F07C1A"/>
    <w:rsid w:val="00F16BD1"/>
    <w:rsid w:val="00F30C14"/>
    <w:rsid w:val="00F31206"/>
    <w:rsid w:val="00F36B04"/>
    <w:rsid w:val="00F5357D"/>
    <w:rsid w:val="00F71B78"/>
    <w:rsid w:val="00F7713A"/>
    <w:rsid w:val="00F85506"/>
    <w:rsid w:val="00F930A4"/>
    <w:rsid w:val="00FA34D1"/>
    <w:rsid w:val="00FC36BF"/>
    <w:rsid w:val="00FD0B14"/>
    <w:rsid w:val="00FD1E61"/>
    <w:rsid w:val="00FF32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DD1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inner-text-paragraph-org">
    <w:name w:val="inner-text-paragraph-org"/>
    <w:basedOn w:val="a0"/>
  </w:style>
  <w:style w:type="paragraph" w:styleId="a3">
    <w:name w:val="Normal (Web)"/>
    <w:basedOn w:val="a"/>
    <w:uiPriority w:val="99"/>
    <w:unhideWhenUsed/>
    <w:rsid w:val="001F53E3"/>
    <w:pPr>
      <w:spacing w:before="100" w:beforeAutospacing="1" w:after="100" w:afterAutospacing="1"/>
    </w:pPr>
    <w:rPr>
      <w:rFonts w:ascii="宋体" w:eastAsia="宋体" w:hAnsi="宋体" w:cs="宋体"/>
      <w:lang w:eastAsia="zh-CN"/>
    </w:rPr>
  </w:style>
  <w:style w:type="paragraph" w:styleId="a4">
    <w:name w:val="Balloon Text"/>
    <w:basedOn w:val="a"/>
    <w:link w:val="Char"/>
    <w:rsid w:val="00DA315B"/>
    <w:rPr>
      <w:sz w:val="18"/>
      <w:szCs w:val="18"/>
    </w:rPr>
  </w:style>
  <w:style w:type="character" w:customStyle="1" w:styleId="Char">
    <w:name w:val="批注框文本 Char"/>
    <w:basedOn w:val="a0"/>
    <w:link w:val="a4"/>
    <w:rsid w:val="00DA315B"/>
    <w:rPr>
      <w:sz w:val="18"/>
      <w:szCs w:val="18"/>
    </w:rPr>
  </w:style>
  <w:style w:type="character" w:styleId="a5">
    <w:name w:val="annotation reference"/>
    <w:basedOn w:val="a0"/>
    <w:rsid w:val="00F5357D"/>
    <w:rPr>
      <w:sz w:val="21"/>
      <w:szCs w:val="21"/>
    </w:rPr>
  </w:style>
  <w:style w:type="paragraph" w:styleId="a6">
    <w:name w:val="annotation text"/>
    <w:basedOn w:val="a"/>
    <w:link w:val="Char0"/>
    <w:rsid w:val="00F5357D"/>
  </w:style>
  <w:style w:type="character" w:customStyle="1" w:styleId="Char0">
    <w:name w:val="批注文字 Char"/>
    <w:basedOn w:val="a0"/>
    <w:link w:val="a6"/>
    <w:rsid w:val="00F5357D"/>
    <w:rPr>
      <w:sz w:val="24"/>
      <w:szCs w:val="24"/>
    </w:rPr>
  </w:style>
  <w:style w:type="paragraph" w:styleId="a7">
    <w:name w:val="annotation subject"/>
    <w:basedOn w:val="a6"/>
    <w:next w:val="a6"/>
    <w:link w:val="Char1"/>
    <w:rsid w:val="00F5357D"/>
    <w:rPr>
      <w:b/>
      <w:bCs/>
    </w:rPr>
  </w:style>
  <w:style w:type="character" w:customStyle="1" w:styleId="Char1">
    <w:name w:val="批注主题 Char"/>
    <w:basedOn w:val="Char0"/>
    <w:link w:val="a7"/>
    <w:rsid w:val="00F5357D"/>
    <w:rPr>
      <w:b/>
      <w:bCs/>
      <w:sz w:val="24"/>
      <w:szCs w:val="24"/>
    </w:rPr>
  </w:style>
  <w:style w:type="paragraph" w:customStyle="1" w:styleId="P68B1DB1-a1">
    <w:name w:val="P68B1DB1-a1"/>
    <w:basedOn w:val="a"/>
    <w:link w:val="P68B1DB1-a10"/>
    <w:rsid w:val="00E95C45"/>
    <w:pPr>
      <w:widowControl w:val="0"/>
    </w:pPr>
    <w:rPr>
      <w:szCs w:val="20"/>
      <w:lang w:eastAsia="zh-CN"/>
    </w:rPr>
  </w:style>
  <w:style w:type="character" w:customStyle="1" w:styleId="P68B1DB1-a10">
    <w:name w:val="P68B1DB1-a1 字符"/>
    <w:basedOn w:val="a0"/>
    <w:link w:val="P68B1DB1-a1"/>
    <w:rsid w:val="00E95C45"/>
    <w:rPr>
      <w:sz w:val="24"/>
      <w:lang w:eastAsia="zh-CN"/>
    </w:rPr>
  </w:style>
  <w:style w:type="character" w:customStyle="1" w:styleId="sentencetranslation">
    <w:name w:val="sentence_translation"/>
    <w:basedOn w:val="a0"/>
    <w:rsid w:val="00D15A7C"/>
  </w:style>
  <w:style w:type="character" w:customStyle="1" w:styleId="tran">
    <w:name w:val="tran"/>
    <w:basedOn w:val="a0"/>
    <w:rsid w:val="00D15A7C"/>
  </w:style>
  <w:style w:type="character" w:customStyle="1" w:styleId="src">
    <w:name w:val="src"/>
    <w:basedOn w:val="a0"/>
    <w:rsid w:val="0068265C"/>
  </w:style>
  <w:style w:type="character" w:customStyle="1" w:styleId="skip">
    <w:name w:val="skip"/>
    <w:basedOn w:val="a0"/>
    <w:rsid w:val="006E0101"/>
  </w:style>
  <w:style w:type="character" w:styleId="a8">
    <w:name w:val="Hyperlink"/>
    <w:basedOn w:val="a0"/>
    <w:uiPriority w:val="99"/>
    <w:semiHidden/>
    <w:unhideWhenUsed/>
    <w:rsid w:val="006E0101"/>
    <w:rPr>
      <w:color w:val="0000FF"/>
      <w:u w:val="single"/>
    </w:rPr>
  </w:style>
  <w:style w:type="paragraph" w:styleId="a9">
    <w:name w:val="header"/>
    <w:basedOn w:val="a"/>
    <w:link w:val="Char2"/>
    <w:unhideWhenUsed/>
    <w:rsid w:val="00CB334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CB3344"/>
    <w:rPr>
      <w:sz w:val="18"/>
      <w:szCs w:val="18"/>
    </w:rPr>
  </w:style>
  <w:style w:type="paragraph" w:styleId="aa">
    <w:name w:val="footer"/>
    <w:basedOn w:val="a"/>
    <w:link w:val="Char3"/>
    <w:uiPriority w:val="99"/>
    <w:unhideWhenUsed/>
    <w:rsid w:val="00CB3344"/>
    <w:pPr>
      <w:tabs>
        <w:tab w:val="center" w:pos="4153"/>
        <w:tab w:val="right" w:pos="8306"/>
      </w:tabs>
      <w:snapToGrid w:val="0"/>
    </w:pPr>
    <w:rPr>
      <w:sz w:val="18"/>
      <w:szCs w:val="18"/>
    </w:rPr>
  </w:style>
  <w:style w:type="character" w:customStyle="1" w:styleId="Char3">
    <w:name w:val="页脚 Char"/>
    <w:basedOn w:val="a0"/>
    <w:link w:val="aa"/>
    <w:uiPriority w:val="99"/>
    <w:rsid w:val="00CB3344"/>
    <w:rPr>
      <w:sz w:val="18"/>
      <w:szCs w:val="18"/>
    </w:rPr>
  </w:style>
  <w:style w:type="paragraph" w:styleId="ab">
    <w:name w:val="Revision"/>
    <w:hidden/>
    <w:uiPriority w:val="99"/>
    <w:semiHidden/>
    <w:rsid w:val="0039370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inner-text-paragraph-org">
    <w:name w:val="inner-text-paragraph-org"/>
    <w:basedOn w:val="a0"/>
  </w:style>
  <w:style w:type="paragraph" w:styleId="a3">
    <w:name w:val="Normal (Web)"/>
    <w:basedOn w:val="a"/>
    <w:uiPriority w:val="99"/>
    <w:unhideWhenUsed/>
    <w:rsid w:val="001F53E3"/>
    <w:pPr>
      <w:spacing w:before="100" w:beforeAutospacing="1" w:after="100" w:afterAutospacing="1"/>
    </w:pPr>
    <w:rPr>
      <w:rFonts w:ascii="宋体" w:eastAsia="宋体" w:hAnsi="宋体" w:cs="宋体"/>
      <w:lang w:eastAsia="zh-CN"/>
    </w:rPr>
  </w:style>
  <w:style w:type="paragraph" w:styleId="a4">
    <w:name w:val="Balloon Text"/>
    <w:basedOn w:val="a"/>
    <w:link w:val="Char"/>
    <w:rsid w:val="00DA315B"/>
    <w:rPr>
      <w:sz w:val="18"/>
      <w:szCs w:val="18"/>
    </w:rPr>
  </w:style>
  <w:style w:type="character" w:customStyle="1" w:styleId="Char">
    <w:name w:val="批注框文本 Char"/>
    <w:basedOn w:val="a0"/>
    <w:link w:val="a4"/>
    <w:rsid w:val="00DA315B"/>
    <w:rPr>
      <w:sz w:val="18"/>
      <w:szCs w:val="18"/>
    </w:rPr>
  </w:style>
  <w:style w:type="character" w:styleId="a5">
    <w:name w:val="annotation reference"/>
    <w:basedOn w:val="a0"/>
    <w:rsid w:val="00F5357D"/>
    <w:rPr>
      <w:sz w:val="21"/>
      <w:szCs w:val="21"/>
    </w:rPr>
  </w:style>
  <w:style w:type="paragraph" w:styleId="a6">
    <w:name w:val="annotation text"/>
    <w:basedOn w:val="a"/>
    <w:link w:val="Char0"/>
    <w:rsid w:val="00F5357D"/>
  </w:style>
  <w:style w:type="character" w:customStyle="1" w:styleId="Char0">
    <w:name w:val="批注文字 Char"/>
    <w:basedOn w:val="a0"/>
    <w:link w:val="a6"/>
    <w:rsid w:val="00F5357D"/>
    <w:rPr>
      <w:sz w:val="24"/>
      <w:szCs w:val="24"/>
    </w:rPr>
  </w:style>
  <w:style w:type="paragraph" w:styleId="a7">
    <w:name w:val="annotation subject"/>
    <w:basedOn w:val="a6"/>
    <w:next w:val="a6"/>
    <w:link w:val="Char1"/>
    <w:rsid w:val="00F5357D"/>
    <w:rPr>
      <w:b/>
      <w:bCs/>
    </w:rPr>
  </w:style>
  <w:style w:type="character" w:customStyle="1" w:styleId="Char1">
    <w:name w:val="批注主题 Char"/>
    <w:basedOn w:val="Char0"/>
    <w:link w:val="a7"/>
    <w:rsid w:val="00F5357D"/>
    <w:rPr>
      <w:b/>
      <w:bCs/>
      <w:sz w:val="24"/>
      <w:szCs w:val="24"/>
    </w:rPr>
  </w:style>
  <w:style w:type="paragraph" w:customStyle="1" w:styleId="P68B1DB1-a1">
    <w:name w:val="P68B1DB1-a1"/>
    <w:basedOn w:val="a"/>
    <w:link w:val="P68B1DB1-a10"/>
    <w:rsid w:val="00E95C45"/>
    <w:pPr>
      <w:widowControl w:val="0"/>
    </w:pPr>
    <w:rPr>
      <w:szCs w:val="20"/>
      <w:lang w:eastAsia="zh-CN"/>
    </w:rPr>
  </w:style>
  <w:style w:type="character" w:customStyle="1" w:styleId="P68B1DB1-a10">
    <w:name w:val="P68B1DB1-a1 字符"/>
    <w:basedOn w:val="a0"/>
    <w:link w:val="P68B1DB1-a1"/>
    <w:rsid w:val="00E95C45"/>
    <w:rPr>
      <w:sz w:val="24"/>
      <w:lang w:eastAsia="zh-CN"/>
    </w:rPr>
  </w:style>
  <w:style w:type="character" w:customStyle="1" w:styleId="sentencetranslation">
    <w:name w:val="sentence_translation"/>
    <w:basedOn w:val="a0"/>
    <w:rsid w:val="00D15A7C"/>
  </w:style>
  <w:style w:type="character" w:customStyle="1" w:styleId="tran">
    <w:name w:val="tran"/>
    <w:basedOn w:val="a0"/>
    <w:rsid w:val="00D15A7C"/>
  </w:style>
  <w:style w:type="character" w:customStyle="1" w:styleId="src">
    <w:name w:val="src"/>
    <w:basedOn w:val="a0"/>
    <w:rsid w:val="0068265C"/>
  </w:style>
  <w:style w:type="character" w:customStyle="1" w:styleId="skip">
    <w:name w:val="skip"/>
    <w:basedOn w:val="a0"/>
    <w:rsid w:val="006E0101"/>
  </w:style>
  <w:style w:type="character" w:styleId="a8">
    <w:name w:val="Hyperlink"/>
    <w:basedOn w:val="a0"/>
    <w:uiPriority w:val="99"/>
    <w:semiHidden/>
    <w:unhideWhenUsed/>
    <w:rsid w:val="006E0101"/>
    <w:rPr>
      <w:color w:val="0000FF"/>
      <w:u w:val="single"/>
    </w:rPr>
  </w:style>
  <w:style w:type="paragraph" w:styleId="a9">
    <w:name w:val="header"/>
    <w:basedOn w:val="a"/>
    <w:link w:val="Char2"/>
    <w:unhideWhenUsed/>
    <w:rsid w:val="00CB334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CB3344"/>
    <w:rPr>
      <w:sz w:val="18"/>
      <w:szCs w:val="18"/>
    </w:rPr>
  </w:style>
  <w:style w:type="paragraph" w:styleId="aa">
    <w:name w:val="footer"/>
    <w:basedOn w:val="a"/>
    <w:link w:val="Char3"/>
    <w:uiPriority w:val="99"/>
    <w:unhideWhenUsed/>
    <w:rsid w:val="00CB3344"/>
    <w:pPr>
      <w:tabs>
        <w:tab w:val="center" w:pos="4153"/>
        <w:tab w:val="right" w:pos="8306"/>
      </w:tabs>
      <w:snapToGrid w:val="0"/>
    </w:pPr>
    <w:rPr>
      <w:sz w:val="18"/>
      <w:szCs w:val="18"/>
    </w:rPr>
  </w:style>
  <w:style w:type="character" w:customStyle="1" w:styleId="Char3">
    <w:name w:val="页脚 Char"/>
    <w:basedOn w:val="a0"/>
    <w:link w:val="aa"/>
    <w:uiPriority w:val="99"/>
    <w:rsid w:val="00CB3344"/>
    <w:rPr>
      <w:sz w:val="18"/>
      <w:szCs w:val="18"/>
    </w:rPr>
  </w:style>
  <w:style w:type="paragraph" w:styleId="ab">
    <w:name w:val="Revision"/>
    <w:hidden/>
    <w:uiPriority w:val="99"/>
    <w:semiHidden/>
    <w:rsid w:val="0039370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53660">
      <w:bodyDiv w:val="1"/>
      <w:marLeft w:val="0"/>
      <w:marRight w:val="0"/>
      <w:marTop w:val="0"/>
      <w:marBottom w:val="0"/>
      <w:divBdr>
        <w:top w:val="none" w:sz="0" w:space="0" w:color="auto"/>
        <w:left w:val="none" w:sz="0" w:space="0" w:color="auto"/>
        <w:bottom w:val="none" w:sz="0" w:space="0" w:color="auto"/>
        <w:right w:val="none" w:sz="0" w:space="0" w:color="auto"/>
      </w:divBdr>
    </w:div>
    <w:div w:id="276177011">
      <w:bodyDiv w:val="1"/>
      <w:marLeft w:val="0"/>
      <w:marRight w:val="0"/>
      <w:marTop w:val="0"/>
      <w:marBottom w:val="0"/>
      <w:divBdr>
        <w:top w:val="none" w:sz="0" w:space="0" w:color="auto"/>
        <w:left w:val="none" w:sz="0" w:space="0" w:color="auto"/>
        <w:bottom w:val="none" w:sz="0" w:space="0" w:color="auto"/>
        <w:right w:val="none" w:sz="0" w:space="0" w:color="auto"/>
      </w:divBdr>
    </w:div>
    <w:div w:id="518927590">
      <w:bodyDiv w:val="1"/>
      <w:marLeft w:val="0"/>
      <w:marRight w:val="0"/>
      <w:marTop w:val="0"/>
      <w:marBottom w:val="0"/>
      <w:divBdr>
        <w:top w:val="none" w:sz="0" w:space="0" w:color="auto"/>
        <w:left w:val="none" w:sz="0" w:space="0" w:color="auto"/>
        <w:bottom w:val="none" w:sz="0" w:space="0" w:color="auto"/>
        <w:right w:val="none" w:sz="0" w:space="0" w:color="auto"/>
      </w:divBdr>
    </w:div>
    <w:div w:id="793017990">
      <w:bodyDiv w:val="1"/>
      <w:marLeft w:val="0"/>
      <w:marRight w:val="0"/>
      <w:marTop w:val="0"/>
      <w:marBottom w:val="0"/>
      <w:divBdr>
        <w:top w:val="none" w:sz="0" w:space="0" w:color="auto"/>
        <w:left w:val="none" w:sz="0" w:space="0" w:color="auto"/>
        <w:bottom w:val="none" w:sz="0" w:space="0" w:color="auto"/>
        <w:right w:val="none" w:sz="0" w:space="0" w:color="auto"/>
      </w:divBdr>
    </w:div>
    <w:div w:id="904485690">
      <w:bodyDiv w:val="1"/>
      <w:marLeft w:val="0"/>
      <w:marRight w:val="0"/>
      <w:marTop w:val="0"/>
      <w:marBottom w:val="0"/>
      <w:divBdr>
        <w:top w:val="none" w:sz="0" w:space="0" w:color="auto"/>
        <w:left w:val="none" w:sz="0" w:space="0" w:color="auto"/>
        <w:bottom w:val="none" w:sz="0" w:space="0" w:color="auto"/>
        <w:right w:val="none" w:sz="0" w:space="0" w:color="auto"/>
      </w:divBdr>
    </w:div>
    <w:div w:id="951548784">
      <w:bodyDiv w:val="1"/>
      <w:marLeft w:val="0"/>
      <w:marRight w:val="0"/>
      <w:marTop w:val="0"/>
      <w:marBottom w:val="0"/>
      <w:divBdr>
        <w:top w:val="none" w:sz="0" w:space="0" w:color="auto"/>
        <w:left w:val="none" w:sz="0" w:space="0" w:color="auto"/>
        <w:bottom w:val="none" w:sz="0" w:space="0" w:color="auto"/>
        <w:right w:val="none" w:sz="0" w:space="0" w:color="auto"/>
      </w:divBdr>
    </w:div>
    <w:div w:id="1255552607">
      <w:bodyDiv w:val="1"/>
      <w:marLeft w:val="0"/>
      <w:marRight w:val="0"/>
      <w:marTop w:val="0"/>
      <w:marBottom w:val="0"/>
      <w:divBdr>
        <w:top w:val="none" w:sz="0" w:space="0" w:color="auto"/>
        <w:left w:val="none" w:sz="0" w:space="0" w:color="auto"/>
        <w:bottom w:val="none" w:sz="0" w:space="0" w:color="auto"/>
        <w:right w:val="none" w:sz="0" w:space="0" w:color="auto"/>
      </w:divBdr>
    </w:div>
    <w:div w:id="1358044350">
      <w:bodyDiv w:val="1"/>
      <w:marLeft w:val="0"/>
      <w:marRight w:val="0"/>
      <w:marTop w:val="0"/>
      <w:marBottom w:val="0"/>
      <w:divBdr>
        <w:top w:val="none" w:sz="0" w:space="0" w:color="auto"/>
        <w:left w:val="none" w:sz="0" w:space="0" w:color="auto"/>
        <w:bottom w:val="none" w:sz="0" w:space="0" w:color="auto"/>
        <w:right w:val="none" w:sz="0" w:space="0" w:color="auto"/>
      </w:divBdr>
    </w:div>
    <w:div w:id="1443185685">
      <w:bodyDiv w:val="1"/>
      <w:marLeft w:val="0"/>
      <w:marRight w:val="0"/>
      <w:marTop w:val="0"/>
      <w:marBottom w:val="0"/>
      <w:divBdr>
        <w:top w:val="none" w:sz="0" w:space="0" w:color="auto"/>
        <w:left w:val="none" w:sz="0" w:space="0" w:color="auto"/>
        <w:bottom w:val="none" w:sz="0" w:space="0" w:color="auto"/>
        <w:right w:val="none" w:sz="0" w:space="0" w:color="auto"/>
      </w:divBdr>
    </w:div>
    <w:div w:id="1824156485">
      <w:bodyDiv w:val="1"/>
      <w:marLeft w:val="0"/>
      <w:marRight w:val="0"/>
      <w:marTop w:val="0"/>
      <w:marBottom w:val="0"/>
      <w:divBdr>
        <w:top w:val="none" w:sz="0" w:space="0" w:color="auto"/>
        <w:left w:val="none" w:sz="0" w:space="0" w:color="auto"/>
        <w:bottom w:val="none" w:sz="0" w:space="0" w:color="auto"/>
        <w:right w:val="none" w:sz="0" w:space="0" w:color="auto"/>
      </w:divBdr>
    </w:div>
    <w:div w:id="1883010529">
      <w:bodyDiv w:val="1"/>
      <w:marLeft w:val="0"/>
      <w:marRight w:val="0"/>
      <w:marTop w:val="0"/>
      <w:marBottom w:val="0"/>
      <w:divBdr>
        <w:top w:val="none" w:sz="0" w:space="0" w:color="auto"/>
        <w:left w:val="none" w:sz="0" w:space="0" w:color="auto"/>
        <w:bottom w:val="none" w:sz="0" w:space="0" w:color="auto"/>
        <w:right w:val="none" w:sz="0" w:space="0" w:color="auto"/>
      </w:divBdr>
    </w:div>
    <w:div w:id="1934974686">
      <w:bodyDiv w:val="1"/>
      <w:marLeft w:val="0"/>
      <w:marRight w:val="0"/>
      <w:marTop w:val="0"/>
      <w:marBottom w:val="0"/>
      <w:divBdr>
        <w:top w:val="none" w:sz="0" w:space="0" w:color="auto"/>
        <w:left w:val="none" w:sz="0" w:space="0" w:color="auto"/>
        <w:bottom w:val="none" w:sz="0" w:space="0" w:color="auto"/>
        <w:right w:val="none" w:sz="0" w:space="0" w:color="auto"/>
      </w:divBdr>
    </w:div>
    <w:div w:id="1965841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kegg.jp/" TargetMode="External"/><Relationship Id="rId14"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7857</Words>
  <Characters>44791</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2020-11-04T03:59:00Z</dcterms:created>
  <dcterms:modified xsi:type="dcterms:W3CDTF">2020-12-10T07:57:00Z</dcterms:modified>
</cp:coreProperties>
</file>