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A0EB7" w14:textId="77777777" w:rsidR="00A77B3E" w:rsidRDefault="00AE53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AF36CF5" w14:textId="77777777" w:rsidR="00A77B3E" w:rsidRDefault="00AE53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59345</w:t>
      </w:r>
    </w:p>
    <w:p w14:paraId="57A7AAC0" w14:textId="77777777" w:rsidR="00A77B3E" w:rsidRDefault="00AE53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64E66FC" w14:textId="77777777" w:rsidR="00A77B3E" w:rsidRDefault="00A77B3E">
      <w:pPr>
        <w:spacing w:line="360" w:lineRule="auto"/>
        <w:jc w:val="both"/>
      </w:pPr>
    </w:p>
    <w:p w14:paraId="18D1A638" w14:textId="77777777" w:rsidR="00A77B3E" w:rsidRDefault="00AE5348">
      <w:pPr>
        <w:spacing w:line="360" w:lineRule="auto"/>
        <w:jc w:val="both"/>
      </w:pPr>
      <w:r>
        <w:rPr>
          <w:rFonts w:ascii="Book Antiqua" w:eastAsia="Book Antiqua" w:hAnsi="Book Antiqua" w:cs="Book Antiqua"/>
          <w:b/>
          <w:bCs/>
          <w:color w:val="000000"/>
        </w:rPr>
        <w:t xml:space="preserve">Progressive familial intrahepatic cholestasis—farnesoid X receptor deficiency due to </w:t>
      </w:r>
      <w:r>
        <w:rPr>
          <w:rFonts w:ascii="Book Antiqua" w:eastAsia="Book Antiqua" w:hAnsi="Book Antiqua" w:cs="Book Antiqua"/>
          <w:b/>
          <w:bCs/>
          <w:i/>
          <w:iCs/>
          <w:color w:val="000000"/>
        </w:rPr>
        <w:t>NR1H4</w:t>
      </w:r>
      <w:r>
        <w:rPr>
          <w:rFonts w:ascii="Book Antiqua" w:eastAsia="Book Antiqua" w:hAnsi="Book Antiqua" w:cs="Book Antiqua"/>
          <w:b/>
          <w:bCs/>
          <w:color w:val="000000"/>
        </w:rPr>
        <w:t xml:space="preserve"> mutation: A case report</w:t>
      </w:r>
    </w:p>
    <w:p w14:paraId="3DE26F90" w14:textId="77777777" w:rsidR="00A77B3E" w:rsidRDefault="00A77B3E">
      <w:pPr>
        <w:spacing w:line="360" w:lineRule="auto"/>
        <w:jc w:val="both"/>
      </w:pPr>
    </w:p>
    <w:p w14:paraId="32DEAA26" w14:textId="46B1C3B8" w:rsidR="00A77B3E" w:rsidRDefault="0095298E">
      <w:pPr>
        <w:spacing w:line="360" w:lineRule="auto"/>
        <w:jc w:val="both"/>
      </w:pPr>
      <w:r>
        <w:rPr>
          <w:rFonts w:ascii="Book Antiqua" w:eastAsia="Book Antiqua" w:hAnsi="Book Antiqua" w:cs="Book Antiqua"/>
          <w:color w:val="000000"/>
        </w:rPr>
        <w:t xml:space="preserve">Czubkowski P </w:t>
      </w:r>
      <w:r w:rsidRPr="0095298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E5348">
        <w:rPr>
          <w:rFonts w:ascii="Book Antiqua" w:eastAsia="Book Antiqua" w:hAnsi="Book Antiqua" w:cs="Book Antiqua"/>
          <w:color w:val="000000"/>
        </w:rPr>
        <w:t>Cholestasis due to FXR deficiency</w:t>
      </w:r>
    </w:p>
    <w:p w14:paraId="23324E8C" w14:textId="77777777" w:rsidR="00A77B3E" w:rsidRDefault="00A77B3E">
      <w:pPr>
        <w:spacing w:line="360" w:lineRule="auto"/>
        <w:jc w:val="both"/>
      </w:pPr>
    </w:p>
    <w:p w14:paraId="5BFC030F" w14:textId="77777777" w:rsidR="00A77B3E" w:rsidRDefault="00AE5348">
      <w:pPr>
        <w:spacing w:line="360" w:lineRule="auto"/>
        <w:jc w:val="both"/>
      </w:pPr>
      <w:r>
        <w:rPr>
          <w:rFonts w:ascii="Book Antiqua" w:eastAsia="Book Antiqua" w:hAnsi="Book Antiqua" w:cs="Book Antiqua"/>
          <w:color w:val="000000"/>
        </w:rPr>
        <w:t>Piotr Czubkowski, Richard J Thompson, Irena Jankowska, A S Knisely, Milton Finegold, Pamela Parsons, Joanna Cielecka-Kuszyk, Sandra Strautnieks, Joanna Pawlowska, Laura N Bull</w:t>
      </w:r>
    </w:p>
    <w:p w14:paraId="6E0E4B1C" w14:textId="77777777" w:rsidR="00A77B3E" w:rsidRDefault="00A77B3E">
      <w:pPr>
        <w:spacing w:line="360" w:lineRule="auto"/>
        <w:jc w:val="both"/>
      </w:pPr>
    </w:p>
    <w:p w14:paraId="35646A42" w14:textId="4C43C86C" w:rsidR="00A77B3E" w:rsidRDefault="00AE5348">
      <w:pPr>
        <w:spacing w:line="360" w:lineRule="auto"/>
        <w:jc w:val="both"/>
      </w:pPr>
      <w:r>
        <w:rPr>
          <w:rFonts w:ascii="Book Antiqua" w:eastAsia="Book Antiqua" w:hAnsi="Book Antiqua" w:cs="Book Antiqua"/>
          <w:b/>
          <w:bCs/>
          <w:color w:val="000000"/>
        </w:rPr>
        <w:t xml:space="preserve">Piotr Czubkowski, Irena Jankowska, Joanna Pawlowska, </w:t>
      </w:r>
      <w:r>
        <w:rPr>
          <w:rFonts w:ascii="Book Antiqua" w:eastAsia="Book Antiqua" w:hAnsi="Book Antiqua" w:cs="Book Antiqua"/>
          <w:color w:val="000000"/>
        </w:rPr>
        <w:t>Department</w:t>
      </w:r>
      <w:r w:rsidR="00675D11">
        <w:rPr>
          <w:rFonts w:ascii="Book Antiqua" w:eastAsia="Book Antiqua" w:hAnsi="Book Antiqua" w:cs="Book Antiqua"/>
          <w:color w:val="000000"/>
        </w:rPr>
        <w:t xml:space="preserve"> </w:t>
      </w:r>
      <w:r w:rsidR="00633402">
        <w:rPr>
          <w:rFonts w:ascii="Book Antiqua" w:eastAsia="Book Antiqua" w:hAnsi="Book Antiqua" w:cs="Book Antiqua"/>
          <w:color w:val="000000"/>
        </w:rPr>
        <w:t xml:space="preserve">of </w:t>
      </w:r>
      <w:r>
        <w:rPr>
          <w:rFonts w:ascii="Book Antiqua" w:eastAsia="Book Antiqua" w:hAnsi="Book Antiqua" w:cs="Book Antiqua"/>
          <w:color w:val="000000"/>
        </w:rPr>
        <w:t>Gastroenterology, Hepatology, Nutritional Disorders and Pediatrics, The Children’s Memorial Health Institute, Warsaw 04-730, Poland</w:t>
      </w:r>
    </w:p>
    <w:p w14:paraId="684D2DD5" w14:textId="77777777" w:rsidR="00A77B3E" w:rsidRDefault="00A77B3E">
      <w:pPr>
        <w:spacing w:line="360" w:lineRule="auto"/>
        <w:jc w:val="both"/>
      </w:pPr>
    </w:p>
    <w:p w14:paraId="73E425A2" w14:textId="77777777" w:rsidR="00A77B3E" w:rsidRDefault="00AE5348">
      <w:pPr>
        <w:spacing w:line="360" w:lineRule="auto"/>
        <w:jc w:val="both"/>
      </w:pPr>
      <w:r>
        <w:rPr>
          <w:rFonts w:ascii="Book Antiqua" w:eastAsia="Book Antiqua" w:hAnsi="Book Antiqua" w:cs="Book Antiqua"/>
          <w:b/>
          <w:bCs/>
          <w:color w:val="000000"/>
        </w:rPr>
        <w:t xml:space="preserve">Richard J Thompson, Sandra Strautnieks, </w:t>
      </w:r>
      <w:r>
        <w:rPr>
          <w:rFonts w:ascii="Book Antiqua" w:eastAsia="Book Antiqua" w:hAnsi="Book Antiqua" w:cs="Book Antiqua"/>
          <w:color w:val="000000"/>
        </w:rPr>
        <w:t>Institute of Liver Studies, King's College London Hospital, London SE5 9RS, United Kingdom</w:t>
      </w:r>
    </w:p>
    <w:p w14:paraId="1284AF37" w14:textId="77777777" w:rsidR="00A77B3E" w:rsidRDefault="00A77B3E">
      <w:pPr>
        <w:spacing w:line="360" w:lineRule="auto"/>
        <w:jc w:val="both"/>
      </w:pPr>
    </w:p>
    <w:p w14:paraId="07429219" w14:textId="77777777" w:rsidR="00A77B3E" w:rsidRDefault="00AE5348">
      <w:pPr>
        <w:spacing w:line="360" w:lineRule="auto"/>
        <w:jc w:val="both"/>
      </w:pPr>
      <w:r>
        <w:rPr>
          <w:rFonts w:ascii="Book Antiqua" w:eastAsia="Book Antiqua" w:hAnsi="Book Antiqua" w:cs="Book Antiqua"/>
          <w:b/>
          <w:bCs/>
          <w:color w:val="000000"/>
        </w:rPr>
        <w:t xml:space="preserve">A S Knisely, </w:t>
      </w:r>
      <w:r>
        <w:rPr>
          <w:rFonts w:ascii="Book Antiqua" w:eastAsia="Book Antiqua" w:hAnsi="Book Antiqua" w:cs="Book Antiqua"/>
          <w:color w:val="000000"/>
        </w:rPr>
        <w:t>Institut für Pathologie, Medizinische Universität Graz, Graz 8010, Austria</w:t>
      </w:r>
    </w:p>
    <w:p w14:paraId="1FEB76A4" w14:textId="77777777" w:rsidR="00A77B3E" w:rsidRDefault="00A77B3E">
      <w:pPr>
        <w:spacing w:line="360" w:lineRule="auto"/>
        <w:jc w:val="both"/>
      </w:pPr>
    </w:p>
    <w:p w14:paraId="273335D7" w14:textId="77777777" w:rsidR="00A77B3E" w:rsidRDefault="00AE5348">
      <w:pPr>
        <w:spacing w:line="360" w:lineRule="auto"/>
        <w:jc w:val="both"/>
      </w:pPr>
      <w:r>
        <w:rPr>
          <w:rFonts w:ascii="Book Antiqua" w:eastAsia="Book Antiqua" w:hAnsi="Book Antiqua" w:cs="Book Antiqua"/>
          <w:b/>
          <w:bCs/>
          <w:color w:val="000000"/>
        </w:rPr>
        <w:t xml:space="preserve">Milton Finegold, Pamela Parsons, </w:t>
      </w:r>
      <w:r>
        <w:rPr>
          <w:rFonts w:ascii="Book Antiqua" w:eastAsia="Book Antiqua" w:hAnsi="Book Antiqua" w:cs="Book Antiqua"/>
          <w:color w:val="000000"/>
        </w:rPr>
        <w:t>Department of Pathology and Immunology, Baylor College of Medicine, Houston, TX 77030, United States</w:t>
      </w:r>
    </w:p>
    <w:p w14:paraId="72A53EC9" w14:textId="77777777" w:rsidR="00A77B3E" w:rsidRDefault="00A77B3E">
      <w:pPr>
        <w:spacing w:line="360" w:lineRule="auto"/>
        <w:jc w:val="both"/>
      </w:pPr>
    </w:p>
    <w:p w14:paraId="4866A260" w14:textId="326A9923" w:rsidR="00A77B3E" w:rsidRDefault="00AE5348">
      <w:pPr>
        <w:spacing w:line="360" w:lineRule="auto"/>
        <w:jc w:val="both"/>
      </w:pPr>
      <w:r>
        <w:rPr>
          <w:rFonts w:ascii="Book Antiqua" w:eastAsia="Book Antiqua" w:hAnsi="Book Antiqua" w:cs="Book Antiqua"/>
          <w:b/>
          <w:bCs/>
          <w:color w:val="000000"/>
        </w:rPr>
        <w:t>Pamela Parsons,</w:t>
      </w:r>
      <w:r w:rsidR="0095298E">
        <w:rPr>
          <w:rFonts w:ascii="Book Antiqua" w:eastAsia="Book Antiqua" w:hAnsi="Book Antiqua" w:cs="Book Antiqua"/>
          <w:color w:val="000000"/>
        </w:rPr>
        <w:t xml:space="preserve"> </w:t>
      </w:r>
      <w:r>
        <w:rPr>
          <w:rFonts w:ascii="Book Antiqua" w:eastAsia="Book Antiqua" w:hAnsi="Book Antiqua" w:cs="Book Antiqua"/>
          <w:color w:val="000000"/>
        </w:rPr>
        <w:t>Texas Children’s Hospital, Houston, TX 77030, United States</w:t>
      </w:r>
    </w:p>
    <w:p w14:paraId="2470125F" w14:textId="77777777" w:rsidR="00A77B3E" w:rsidRDefault="00A77B3E">
      <w:pPr>
        <w:spacing w:line="360" w:lineRule="auto"/>
        <w:jc w:val="both"/>
      </w:pPr>
    </w:p>
    <w:p w14:paraId="7A7D83A6" w14:textId="77777777" w:rsidR="00A77B3E" w:rsidRDefault="00AE5348">
      <w:pPr>
        <w:spacing w:line="360" w:lineRule="auto"/>
        <w:jc w:val="both"/>
      </w:pPr>
      <w:r>
        <w:rPr>
          <w:rFonts w:ascii="Book Antiqua" w:eastAsia="Book Antiqua" w:hAnsi="Book Antiqua" w:cs="Book Antiqua"/>
          <w:b/>
          <w:bCs/>
          <w:color w:val="000000"/>
        </w:rPr>
        <w:t xml:space="preserve">Joanna Cielecka-Kuszyk, </w:t>
      </w:r>
      <w:r>
        <w:rPr>
          <w:rFonts w:ascii="Book Antiqua" w:eastAsia="Book Antiqua" w:hAnsi="Book Antiqua" w:cs="Book Antiqua"/>
          <w:color w:val="000000"/>
        </w:rPr>
        <w:t>Department of Pathology, The Children’s Memorial Health Institute, Warsaw 04-730, Poland</w:t>
      </w:r>
    </w:p>
    <w:p w14:paraId="3C307FE6" w14:textId="77777777" w:rsidR="00A77B3E" w:rsidRDefault="00A77B3E">
      <w:pPr>
        <w:spacing w:line="360" w:lineRule="auto"/>
        <w:jc w:val="both"/>
      </w:pPr>
    </w:p>
    <w:p w14:paraId="2BA7797E" w14:textId="77777777" w:rsidR="00A77B3E" w:rsidRDefault="00AE5348">
      <w:pPr>
        <w:spacing w:line="360" w:lineRule="auto"/>
        <w:jc w:val="both"/>
      </w:pPr>
      <w:r>
        <w:rPr>
          <w:rFonts w:ascii="Book Antiqua" w:eastAsia="Book Antiqua" w:hAnsi="Book Antiqua" w:cs="Book Antiqua"/>
          <w:b/>
          <w:bCs/>
          <w:color w:val="000000"/>
        </w:rPr>
        <w:lastRenderedPageBreak/>
        <w:t xml:space="preserve">Laura N Bull, </w:t>
      </w:r>
      <w:r>
        <w:rPr>
          <w:rFonts w:ascii="Book Antiqua" w:eastAsia="Book Antiqua" w:hAnsi="Book Antiqua" w:cs="Book Antiqua"/>
          <w:color w:val="000000"/>
        </w:rPr>
        <w:t>Department of Medicine and Institute for Human Genetics, UCSF Liver Center Laboratory, University of California San Francisco, San Francisco, CA 94143, United States</w:t>
      </w:r>
    </w:p>
    <w:p w14:paraId="52EC8F91" w14:textId="77777777" w:rsidR="00A77B3E" w:rsidRDefault="00A77B3E">
      <w:pPr>
        <w:spacing w:line="360" w:lineRule="auto"/>
        <w:jc w:val="both"/>
      </w:pPr>
    </w:p>
    <w:p w14:paraId="584CA1BD" w14:textId="622C4143" w:rsidR="00A77B3E" w:rsidRDefault="00AE534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significantly to the preparation of the manuscript</w:t>
      </w:r>
      <w:r w:rsidR="0095298E">
        <w:rPr>
          <w:rFonts w:ascii="Book Antiqua" w:eastAsia="Book Antiqua" w:hAnsi="Book Antiqua" w:cs="Book Antiqua"/>
          <w:color w:val="000000"/>
        </w:rPr>
        <w:t xml:space="preserve">; </w:t>
      </w:r>
      <w:r>
        <w:rPr>
          <w:rFonts w:ascii="Book Antiqua" w:eastAsia="Book Antiqua" w:hAnsi="Book Antiqua" w:cs="Book Antiqua"/>
          <w:color w:val="000000"/>
        </w:rPr>
        <w:t>Czubkowski</w:t>
      </w:r>
      <w:r w:rsidR="0095298E">
        <w:rPr>
          <w:rFonts w:ascii="Book Antiqua" w:eastAsia="Book Antiqua" w:hAnsi="Book Antiqua" w:cs="Book Antiqua"/>
          <w:color w:val="000000"/>
        </w:rPr>
        <w:t xml:space="preserve"> P</w:t>
      </w:r>
      <w:r>
        <w:rPr>
          <w:rFonts w:ascii="Book Antiqua" w:eastAsia="Book Antiqua" w:hAnsi="Book Antiqua" w:cs="Book Antiqua"/>
          <w:color w:val="000000"/>
        </w:rPr>
        <w:t>, Bull</w:t>
      </w:r>
      <w:r w:rsidR="0095298E">
        <w:rPr>
          <w:rFonts w:ascii="Book Antiqua" w:eastAsia="Book Antiqua" w:hAnsi="Book Antiqua" w:cs="Book Antiqua"/>
          <w:color w:val="000000"/>
        </w:rPr>
        <w:t xml:space="preserve"> LN</w:t>
      </w:r>
      <w:r>
        <w:rPr>
          <w:rFonts w:ascii="Book Antiqua" w:eastAsia="Book Antiqua" w:hAnsi="Book Antiqua" w:cs="Book Antiqua"/>
          <w:color w:val="000000"/>
        </w:rPr>
        <w:t>, Thompson</w:t>
      </w:r>
      <w:r w:rsidR="0095298E">
        <w:rPr>
          <w:rFonts w:ascii="Book Antiqua" w:eastAsia="Book Antiqua" w:hAnsi="Book Antiqua" w:cs="Book Antiqua"/>
          <w:color w:val="000000"/>
        </w:rPr>
        <w:t xml:space="preserve"> RJ</w:t>
      </w:r>
      <w:r>
        <w:rPr>
          <w:rFonts w:ascii="Book Antiqua" w:eastAsia="Book Antiqua" w:hAnsi="Book Antiqua" w:cs="Book Antiqua"/>
          <w:color w:val="000000"/>
        </w:rPr>
        <w:t>, Knisely</w:t>
      </w:r>
      <w:r w:rsidR="0095298E">
        <w:rPr>
          <w:rFonts w:ascii="Book Antiqua" w:eastAsia="Book Antiqua" w:hAnsi="Book Antiqua" w:cs="Book Antiqua"/>
          <w:color w:val="000000"/>
        </w:rPr>
        <w:t xml:space="preserve"> AS</w:t>
      </w:r>
      <w:r>
        <w:rPr>
          <w:rFonts w:ascii="Book Antiqua" w:eastAsia="Book Antiqua" w:hAnsi="Book Antiqua" w:cs="Book Antiqua"/>
          <w:color w:val="000000"/>
        </w:rPr>
        <w:t>, Jankowska</w:t>
      </w:r>
      <w:r w:rsidR="0095298E">
        <w:rPr>
          <w:rFonts w:ascii="Book Antiqua" w:eastAsia="Book Antiqua" w:hAnsi="Book Antiqua" w:cs="Book Antiqua"/>
          <w:color w:val="000000"/>
        </w:rPr>
        <w:t xml:space="preserve"> I and</w:t>
      </w:r>
      <w:r>
        <w:rPr>
          <w:rFonts w:ascii="Book Antiqua" w:eastAsia="Book Antiqua" w:hAnsi="Book Antiqua" w:cs="Book Antiqua"/>
          <w:color w:val="000000"/>
        </w:rPr>
        <w:t xml:space="preserve"> </w:t>
      </w:r>
      <w:r w:rsidR="0095298E">
        <w:rPr>
          <w:rFonts w:ascii="Book Antiqua" w:eastAsia="Book Antiqua" w:hAnsi="Book Antiqua" w:cs="Book Antiqua"/>
          <w:color w:val="000000"/>
        </w:rPr>
        <w:t xml:space="preserve">Pawlowska J </w:t>
      </w:r>
      <w:r>
        <w:rPr>
          <w:rFonts w:ascii="Book Antiqua" w:eastAsia="Book Antiqua" w:hAnsi="Book Antiqua" w:cs="Book Antiqua"/>
          <w:color w:val="000000"/>
        </w:rPr>
        <w:t xml:space="preserve">contributed to conception and design of the case presentation, acquisition of data and case </w:t>
      </w:r>
      <w:r w:rsidR="00E82C87">
        <w:rPr>
          <w:rFonts w:ascii="Book Antiqua" w:eastAsia="Book Antiqua" w:hAnsi="Book Antiqua" w:cs="Book Antiqua"/>
          <w:color w:val="000000"/>
        </w:rPr>
        <w:t>description</w:t>
      </w:r>
      <w:r>
        <w:rPr>
          <w:rFonts w:ascii="Book Antiqua" w:eastAsia="Book Antiqua" w:hAnsi="Book Antiqua" w:cs="Book Antiqua"/>
          <w:color w:val="000000"/>
        </w:rPr>
        <w:t>; Bull</w:t>
      </w:r>
      <w:r w:rsidR="0095298E">
        <w:rPr>
          <w:rFonts w:ascii="Book Antiqua" w:eastAsia="Book Antiqua" w:hAnsi="Book Antiqua" w:cs="Book Antiqua"/>
          <w:color w:val="000000"/>
        </w:rPr>
        <w:t xml:space="preserve"> LN</w:t>
      </w:r>
      <w:r>
        <w:rPr>
          <w:rFonts w:ascii="Book Antiqua" w:eastAsia="Book Antiqua" w:hAnsi="Book Antiqua" w:cs="Book Antiqua"/>
          <w:color w:val="000000"/>
        </w:rPr>
        <w:t>, Strautnieks</w:t>
      </w:r>
      <w:r w:rsidR="0095298E">
        <w:rPr>
          <w:rFonts w:ascii="Book Antiqua" w:eastAsia="Book Antiqua" w:hAnsi="Book Antiqua" w:cs="Book Antiqua"/>
          <w:color w:val="000000"/>
        </w:rPr>
        <w:t xml:space="preserve"> S and</w:t>
      </w:r>
      <w:r>
        <w:rPr>
          <w:rFonts w:ascii="Book Antiqua" w:eastAsia="Book Antiqua" w:hAnsi="Book Antiqua" w:cs="Book Antiqua"/>
          <w:color w:val="000000"/>
        </w:rPr>
        <w:t xml:space="preserve"> Thompson </w:t>
      </w:r>
      <w:r w:rsidR="0095298E">
        <w:rPr>
          <w:rFonts w:ascii="Book Antiqua" w:eastAsia="Book Antiqua" w:hAnsi="Book Antiqua" w:cs="Book Antiqua"/>
          <w:color w:val="000000"/>
        </w:rPr>
        <w:t xml:space="preserve">RJ contributed </w:t>
      </w:r>
      <w:r>
        <w:rPr>
          <w:rFonts w:ascii="Book Antiqua" w:eastAsia="Book Antiqua" w:hAnsi="Book Antiqua" w:cs="Book Antiqua"/>
          <w:color w:val="000000"/>
        </w:rPr>
        <w:t>to genetic studies; Knisely</w:t>
      </w:r>
      <w:r w:rsidR="0095298E">
        <w:rPr>
          <w:rFonts w:ascii="Book Antiqua" w:eastAsia="Book Antiqua" w:hAnsi="Book Antiqua" w:cs="Book Antiqua"/>
          <w:color w:val="000000"/>
        </w:rPr>
        <w:t xml:space="preserve"> AS</w:t>
      </w:r>
      <w:r>
        <w:rPr>
          <w:rFonts w:ascii="Book Antiqua" w:eastAsia="Book Antiqua" w:hAnsi="Book Antiqua" w:cs="Book Antiqua"/>
          <w:color w:val="000000"/>
        </w:rPr>
        <w:t>, Finegold</w:t>
      </w:r>
      <w:r w:rsidR="0095298E">
        <w:rPr>
          <w:rFonts w:ascii="Book Antiqua" w:eastAsia="Book Antiqua" w:hAnsi="Book Antiqua" w:cs="Book Antiqua"/>
          <w:color w:val="000000"/>
        </w:rPr>
        <w:t xml:space="preserve"> M</w:t>
      </w:r>
      <w:r>
        <w:rPr>
          <w:rFonts w:ascii="Book Antiqua" w:eastAsia="Book Antiqua" w:hAnsi="Book Antiqua" w:cs="Book Antiqua"/>
          <w:color w:val="000000"/>
        </w:rPr>
        <w:t>, Parsons</w:t>
      </w:r>
      <w:r w:rsidR="0095298E">
        <w:rPr>
          <w:rFonts w:ascii="Book Antiqua" w:eastAsia="Book Antiqua" w:hAnsi="Book Antiqua" w:cs="Book Antiqua"/>
          <w:color w:val="000000"/>
        </w:rPr>
        <w:t xml:space="preserve"> P and</w:t>
      </w:r>
      <w:r>
        <w:rPr>
          <w:rFonts w:ascii="Book Antiqua" w:eastAsia="Book Antiqua" w:hAnsi="Book Antiqua" w:cs="Book Antiqua"/>
          <w:color w:val="000000"/>
        </w:rPr>
        <w:t xml:space="preserve"> </w:t>
      </w:r>
      <w:r w:rsidR="0095298E">
        <w:rPr>
          <w:rFonts w:ascii="Book Antiqua" w:eastAsia="Book Antiqua" w:hAnsi="Book Antiqua" w:cs="Book Antiqua"/>
          <w:color w:val="000000"/>
        </w:rPr>
        <w:t>Cielecka-Kuszyk J</w:t>
      </w:r>
      <w:r>
        <w:rPr>
          <w:rFonts w:ascii="Book Antiqua" w:eastAsia="Book Antiqua" w:hAnsi="Book Antiqua" w:cs="Book Antiqua"/>
          <w:color w:val="000000"/>
        </w:rPr>
        <w:t xml:space="preserve"> </w:t>
      </w:r>
      <w:r w:rsidR="0095298E">
        <w:rPr>
          <w:rFonts w:ascii="Book Antiqua" w:eastAsia="Book Antiqua" w:hAnsi="Book Antiqua" w:cs="Book Antiqua"/>
          <w:color w:val="000000"/>
        </w:rPr>
        <w:t xml:space="preserve">contributed </w:t>
      </w:r>
      <w:r>
        <w:rPr>
          <w:rFonts w:ascii="Book Antiqua" w:eastAsia="Book Antiqua" w:hAnsi="Book Antiqua" w:cs="Book Antiqua"/>
          <w:color w:val="000000"/>
        </w:rPr>
        <w:t>to</w:t>
      </w:r>
      <w:r w:rsidR="0095298E">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95298E">
        <w:rPr>
          <w:rFonts w:ascii="Book Antiqua" w:eastAsia="Book Antiqua" w:hAnsi="Book Antiqua" w:cs="Book Antiqua"/>
          <w:color w:val="000000"/>
        </w:rPr>
        <w:t xml:space="preserve"> </w:t>
      </w:r>
      <w:r w:rsidR="00E82C87">
        <w:rPr>
          <w:rFonts w:ascii="Book Antiqua" w:eastAsia="Book Antiqua" w:hAnsi="Book Antiqua" w:cs="Book Antiqua"/>
          <w:color w:val="000000"/>
        </w:rPr>
        <w:t>assessment</w:t>
      </w:r>
      <w:r>
        <w:rPr>
          <w:rFonts w:ascii="Book Antiqua" w:eastAsia="Book Antiqua" w:hAnsi="Book Antiqua" w:cs="Book Antiqua"/>
          <w:color w:val="000000"/>
        </w:rPr>
        <w:t>; Czubkowski</w:t>
      </w:r>
      <w:r w:rsidR="0095298E">
        <w:rPr>
          <w:rFonts w:ascii="Book Antiqua" w:eastAsia="Book Antiqua" w:hAnsi="Book Antiqua" w:cs="Book Antiqua"/>
          <w:color w:val="000000"/>
        </w:rPr>
        <w:t xml:space="preserve"> P</w:t>
      </w:r>
      <w:r>
        <w:rPr>
          <w:rFonts w:ascii="Book Antiqua" w:eastAsia="Book Antiqua" w:hAnsi="Book Antiqua" w:cs="Book Antiqua"/>
          <w:color w:val="000000"/>
        </w:rPr>
        <w:t>, Bull</w:t>
      </w:r>
      <w:r w:rsidR="0095298E">
        <w:rPr>
          <w:rFonts w:ascii="Book Antiqua" w:eastAsia="Book Antiqua" w:hAnsi="Book Antiqua" w:cs="Book Antiqua"/>
          <w:color w:val="000000"/>
        </w:rPr>
        <w:t xml:space="preserve"> LN</w:t>
      </w:r>
      <w:r>
        <w:rPr>
          <w:rFonts w:ascii="Book Antiqua" w:eastAsia="Book Antiqua" w:hAnsi="Book Antiqua" w:cs="Book Antiqua"/>
          <w:color w:val="000000"/>
        </w:rPr>
        <w:t xml:space="preserve">, </w:t>
      </w:r>
      <w:r w:rsidR="0095298E">
        <w:rPr>
          <w:rFonts w:ascii="Book Antiqua" w:eastAsia="Book Antiqua" w:hAnsi="Book Antiqua" w:cs="Book Antiqua"/>
          <w:color w:val="000000"/>
        </w:rPr>
        <w:t>Thompson RJ and</w:t>
      </w:r>
      <w:r>
        <w:rPr>
          <w:rFonts w:ascii="Book Antiqua" w:eastAsia="Book Antiqua" w:hAnsi="Book Antiqua" w:cs="Book Antiqua"/>
          <w:color w:val="000000"/>
        </w:rPr>
        <w:t xml:space="preserve"> </w:t>
      </w:r>
      <w:r w:rsidR="0095298E">
        <w:rPr>
          <w:rFonts w:ascii="Book Antiqua" w:eastAsia="Book Antiqua" w:hAnsi="Book Antiqua" w:cs="Book Antiqua"/>
          <w:color w:val="000000"/>
        </w:rPr>
        <w:t xml:space="preserve">Knisely AS contributed </w:t>
      </w:r>
      <w:r>
        <w:rPr>
          <w:rFonts w:ascii="Book Antiqua" w:eastAsia="Book Antiqua" w:hAnsi="Book Antiqua" w:cs="Book Antiqua"/>
          <w:color w:val="000000"/>
        </w:rPr>
        <w:t xml:space="preserve">to drafting the article and making critical revisions related to the content of the manuscript; </w:t>
      </w:r>
      <w:r w:rsidR="00141D6E">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 the final manuscript.</w:t>
      </w:r>
    </w:p>
    <w:p w14:paraId="0EE5B75D" w14:textId="178AF8D0" w:rsidR="00A77B3E" w:rsidRDefault="00A77B3E">
      <w:pPr>
        <w:spacing w:line="360" w:lineRule="auto"/>
        <w:jc w:val="both"/>
      </w:pPr>
    </w:p>
    <w:p w14:paraId="4978002E" w14:textId="2BBA0AE3" w:rsidR="000A7FB9" w:rsidRDefault="000A7FB9">
      <w:pPr>
        <w:spacing w:line="360" w:lineRule="auto"/>
        <w:jc w:val="both"/>
        <w:rPr>
          <w:rFonts w:ascii="Book Antiqua" w:eastAsia="Book Antiqua" w:hAnsi="Book Antiqua" w:cs="Book Antiqua"/>
          <w:b/>
          <w:bCs/>
          <w:color w:val="000000"/>
        </w:rPr>
      </w:pPr>
      <w:r w:rsidRPr="000A7FB9">
        <w:rPr>
          <w:rFonts w:ascii="Book Antiqua" w:eastAsia="Book Antiqua" w:hAnsi="Book Antiqua" w:cs="Book Antiqua"/>
          <w:b/>
          <w:bCs/>
          <w:color w:val="000000"/>
        </w:rPr>
        <w:t>Supported by</w:t>
      </w:r>
      <w:r w:rsidRPr="000A7FB9">
        <w:rPr>
          <w:rFonts w:ascii="Book Antiqua" w:eastAsia="Book Antiqua" w:hAnsi="Book Antiqua" w:cs="Book Antiqua"/>
          <w:color w:val="000000"/>
        </w:rPr>
        <w:t xml:space="preserve"> National Institutes of Health, No. R01DK094828; and National Human Genome Research Institute, No. UM1 HG006493 and No. U24 HG008956.</w:t>
      </w:r>
    </w:p>
    <w:p w14:paraId="0F1FC848" w14:textId="77777777" w:rsidR="000A7FB9" w:rsidRPr="000A7FB9" w:rsidRDefault="000A7FB9">
      <w:pPr>
        <w:spacing w:line="360" w:lineRule="auto"/>
        <w:jc w:val="both"/>
        <w:rPr>
          <w:rFonts w:ascii="Book Antiqua" w:eastAsia="Book Antiqua" w:hAnsi="Book Antiqua" w:cs="Book Antiqua"/>
          <w:b/>
          <w:bCs/>
          <w:color w:val="000000"/>
        </w:rPr>
      </w:pPr>
    </w:p>
    <w:p w14:paraId="1DB82D40" w14:textId="18173432" w:rsidR="00A77B3E" w:rsidRPr="00131905" w:rsidRDefault="00AE5348">
      <w:pPr>
        <w:spacing w:line="360" w:lineRule="auto"/>
        <w:jc w:val="both"/>
        <w:rPr>
          <w:lang w:val="pl-PL"/>
        </w:rPr>
      </w:pPr>
      <w:r>
        <w:rPr>
          <w:rFonts w:ascii="Book Antiqua" w:eastAsia="Book Antiqua" w:hAnsi="Book Antiqua" w:cs="Book Antiqua"/>
          <w:b/>
          <w:bCs/>
          <w:color w:val="000000"/>
        </w:rPr>
        <w:t xml:space="preserve">Corresponding author: Piotr Czubkowski, MD, PhD, Associate Professor, </w:t>
      </w:r>
      <w:r>
        <w:rPr>
          <w:rFonts w:ascii="Book Antiqua" w:eastAsia="Book Antiqua" w:hAnsi="Book Antiqua" w:cs="Book Antiqua"/>
          <w:color w:val="000000"/>
        </w:rPr>
        <w:t xml:space="preserve">Department </w:t>
      </w:r>
      <w:r w:rsidR="00020810">
        <w:rPr>
          <w:rFonts w:ascii="Book Antiqua" w:eastAsia="Book Antiqua" w:hAnsi="Book Antiqua" w:cs="Book Antiqua"/>
          <w:color w:val="000000"/>
        </w:rPr>
        <w:t xml:space="preserve">of </w:t>
      </w:r>
      <w:r>
        <w:rPr>
          <w:rFonts w:ascii="Book Antiqua" w:eastAsia="Book Antiqua" w:hAnsi="Book Antiqua" w:cs="Book Antiqua"/>
          <w:color w:val="000000"/>
        </w:rPr>
        <w:t xml:space="preserve">Gastroenterology, Hepatology, Nutritional Disorders and Pediatrics, The Children’s Memorial Health Institute, Al. </w:t>
      </w:r>
      <w:r w:rsidRPr="00131905">
        <w:rPr>
          <w:rFonts w:ascii="Book Antiqua" w:eastAsia="Book Antiqua" w:hAnsi="Book Antiqua" w:cs="Book Antiqua"/>
          <w:color w:val="000000"/>
          <w:lang w:val="pl-PL"/>
        </w:rPr>
        <w:t>Dzieci Polskich 20, Warsaw 04-730, Poland. p.czubkowski@ipczd.pl</w:t>
      </w:r>
    </w:p>
    <w:p w14:paraId="3DACA826" w14:textId="77777777" w:rsidR="00A77B3E" w:rsidRPr="00131905" w:rsidRDefault="00A77B3E">
      <w:pPr>
        <w:spacing w:line="360" w:lineRule="auto"/>
        <w:jc w:val="both"/>
        <w:rPr>
          <w:lang w:val="pl-PL"/>
        </w:rPr>
      </w:pPr>
    </w:p>
    <w:p w14:paraId="23BB809D" w14:textId="77777777" w:rsidR="00A77B3E" w:rsidRPr="00131905" w:rsidRDefault="00AE5348">
      <w:pPr>
        <w:spacing w:line="360" w:lineRule="auto"/>
        <w:jc w:val="both"/>
        <w:rPr>
          <w:lang w:val="pl-PL"/>
        </w:rPr>
      </w:pPr>
      <w:r w:rsidRPr="00131905">
        <w:rPr>
          <w:rFonts w:ascii="Book Antiqua" w:eastAsia="Book Antiqua" w:hAnsi="Book Antiqua" w:cs="Book Antiqua"/>
          <w:b/>
          <w:bCs/>
          <w:color w:val="000000"/>
          <w:lang w:val="pl-PL"/>
        </w:rPr>
        <w:t xml:space="preserve">Received: </w:t>
      </w:r>
      <w:r w:rsidRPr="00131905">
        <w:rPr>
          <w:rFonts w:ascii="Book Antiqua" w:eastAsia="Book Antiqua" w:hAnsi="Book Antiqua" w:cs="Book Antiqua"/>
          <w:color w:val="000000"/>
          <w:lang w:val="pl-PL"/>
        </w:rPr>
        <w:t>October 17, 2020</w:t>
      </w:r>
    </w:p>
    <w:p w14:paraId="6B41D376" w14:textId="77777777" w:rsidR="00A77B3E" w:rsidRDefault="00AE53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16, 2020</w:t>
      </w:r>
    </w:p>
    <w:p w14:paraId="575A3A32" w14:textId="264FBBBD" w:rsidR="00A77B3E" w:rsidRDefault="00AE5348">
      <w:pPr>
        <w:spacing w:line="360" w:lineRule="auto"/>
        <w:jc w:val="both"/>
      </w:pPr>
      <w:r>
        <w:rPr>
          <w:rFonts w:ascii="Book Antiqua" w:eastAsia="Book Antiqua" w:hAnsi="Book Antiqua" w:cs="Book Antiqua"/>
          <w:b/>
          <w:bCs/>
          <w:color w:val="000000"/>
        </w:rPr>
        <w:t xml:space="preserve">Accepted: </w:t>
      </w:r>
      <w:r w:rsidR="00E82C87" w:rsidRPr="00E82C87">
        <w:rPr>
          <w:rFonts w:ascii="Book Antiqua" w:eastAsia="Book Antiqua" w:hAnsi="Book Antiqua" w:cs="Book Antiqua"/>
          <w:color w:val="000000"/>
        </w:rPr>
        <w:t>February 24, 2021</w:t>
      </w:r>
    </w:p>
    <w:p w14:paraId="3B777265" w14:textId="77777777" w:rsidR="00A77B3E" w:rsidRDefault="00AE5348">
      <w:pPr>
        <w:spacing w:line="360" w:lineRule="auto"/>
        <w:jc w:val="both"/>
      </w:pPr>
      <w:r>
        <w:rPr>
          <w:rFonts w:ascii="Book Antiqua" w:eastAsia="Book Antiqua" w:hAnsi="Book Antiqua" w:cs="Book Antiqua"/>
          <w:b/>
          <w:bCs/>
          <w:color w:val="000000"/>
        </w:rPr>
        <w:t xml:space="preserve">Published online: </w:t>
      </w:r>
    </w:p>
    <w:p w14:paraId="706C6B8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A66D86B" w14:textId="77777777" w:rsidR="00A77B3E" w:rsidRDefault="00AE5348">
      <w:pPr>
        <w:spacing w:line="360" w:lineRule="auto"/>
        <w:jc w:val="both"/>
      </w:pPr>
      <w:r>
        <w:rPr>
          <w:rFonts w:ascii="Book Antiqua" w:eastAsia="Book Antiqua" w:hAnsi="Book Antiqua" w:cs="Book Antiqua"/>
          <w:b/>
          <w:color w:val="000000"/>
        </w:rPr>
        <w:lastRenderedPageBreak/>
        <w:t>Abstract</w:t>
      </w:r>
    </w:p>
    <w:p w14:paraId="26892C68" w14:textId="77777777" w:rsidR="00A77B3E" w:rsidRDefault="00AE5348">
      <w:pPr>
        <w:spacing w:line="360" w:lineRule="auto"/>
        <w:jc w:val="both"/>
      </w:pPr>
      <w:r>
        <w:rPr>
          <w:rFonts w:ascii="Book Antiqua" w:eastAsia="Book Antiqua" w:hAnsi="Book Antiqua" w:cs="Book Antiqua"/>
          <w:color w:val="000000"/>
        </w:rPr>
        <w:t>BACKGROUND</w:t>
      </w:r>
    </w:p>
    <w:p w14:paraId="777959B6" w14:textId="77777777" w:rsidR="00A77B3E" w:rsidRDefault="00AE5348">
      <w:pPr>
        <w:spacing w:line="360" w:lineRule="auto"/>
        <w:jc w:val="both"/>
      </w:pPr>
      <w:r>
        <w:rPr>
          <w:rFonts w:ascii="Book Antiqua" w:eastAsia="Book Antiqua" w:hAnsi="Book Antiqua" w:cs="Book Antiqua"/>
          <w:color w:val="000000"/>
        </w:rPr>
        <w:t xml:space="preserve">Functioning farnesoid X receptor (FXR; encoded by </w:t>
      </w:r>
      <w:r>
        <w:rPr>
          <w:rFonts w:ascii="Book Antiqua" w:eastAsia="Book Antiqua" w:hAnsi="Book Antiqua" w:cs="Book Antiqua"/>
          <w:i/>
          <w:iCs/>
          <w:color w:val="000000"/>
        </w:rPr>
        <w:t>NR1H4</w:t>
      </w:r>
      <w:r>
        <w:rPr>
          <w:rFonts w:ascii="Book Antiqua" w:eastAsia="Book Antiqua" w:hAnsi="Book Antiqua" w:cs="Book Antiqua"/>
          <w:color w:val="000000"/>
        </w:rPr>
        <w:t xml:space="preserve">) is key to normal bile acid homeostasis. Biallelic mutations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are reported in a few children with intrahepatic cholestasis. We describe a boy with progressive familial intrahepatic cholestasis and homozygous mutation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w:t>
      </w:r>
    </w:p>
    <w:p w14:paraId="05738359" w14:textId="77777777" w:rsidR="00A77B3E" w:rsidRDefault="00A77B3E">
      <w:pPr>
        <w:spacing w:line="360" w:lineRule="auto"/>
        <w:jc w:val="both"/>
      </w:pPr>
    </w:p>
    <w:p w14:paraId="3B8293EC" w14:textId="77777777" w:rsidR="00A77B3E" w:rsidRDefault="00AE5348">
      <w:pPr>
        <w:spacing w:line="360" w:lineRule="auto"/>
        <w:jc w:val="both"/>
      </w:pPr>
      <w:r>
        <w:rPr>
          <w:rFonts w:ascii="Book Antiqua" w:eastAsia="Book Antiqua" w:hAnsi="Book Antiqua" w:cs="Book Antiqua"/>
          <w:color w:val="000000"/>
        </w:rPr>
        <w:t>CASE SUMMARY</w:t>
      </w:r>
    </w:p>
    <w:p w14:paraId="6E3F7D34" w14:textId="537CFB97" w:rsidR="00A77B3E" w:rsidRDefault="00AE5348">
      <w:pPr>
        <w:spacing w:line="360" w:lineRule="auto"/>
        <w:jc w:val="both"/>
      </w:pPr>
      <w:r>
        <w:rPr>
          <w:rFonts w:ascii="Book Antiqua" w:eastAsia="Book Antiqua" w:hAnsi="Book Antiqua" w:cs="Book Antiqua"/>
          <w:color w:val="000000"/>
        </w:rPr>
        <w:t xml:space="preserve">A boy had severe neonatal cholestasis with moderate hypercholanemia and persistently elevated alpha-fetoprotein. Despite medical treatment, he experienced uncontrollable coagulopathy, prompting liver transplantation </w:t>
      </w:r>
      <w:r w:rsidR="00D26CAE">
        <w:rPr>
          <w:rFonts w:ascii="Book Antiqua" w:eastAsia="Book Antiqua" w:hAnsi="Book Antiqua" w:cs="Book Antiqua"/>
          <w:color w:val="000000"/>
        </w:rPr>
        <w:t xml:space="preserve">at </w:t>
      </w:r>
      <w:r>
        <w:rPr>
          <w:rFonts w:ascii="Book Antiqua" w:eastAsia="Book Antiqua" w:hAnsi="Book Antiqua" w:cs="Book Antiqua"/>
          <w:color w:val="000000"/>
        </w:rPr>
        <w:t xml:space="preserve">age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incidental splenectomy. The patient experienced catch-up growth with good liver function and did not develop allograft steatosis. However, </w:t>
      </w:r>
      <w:r w:rsidR="00574C5F">
        <w:rPr>
          <w:rFonts w:ascii="Book Antiqua" w:eastAsia="Book Antiqua" w:hAnsi="Book Antiqua" w:cs="Book Antiqua"/>
          <w:color w:val="000000"/>
        </w:rPr>
        <w:t>1</w:t>
      </w:r>
      <w:r>
        <w:rPr>
          <w:rFonts w:ascii="Book Antiqua" w:eastAsia="Book Antiqua" w:hAnsi="Book Antiqua" w:cs="Book Antiqua"/>
          <w:color w:val="000000"/>
        </w:rPr>
        <w:t xml:space="preserve"> year after transplant, he died from an acute infection, considered secondary to immunosuppression and asplenia.</w:t>
      </w:r>
      <w:r w:rsidR="00574C5F">
        <w:rPr>
          <w:rFonts w:hint="eastAsia"/>
          <w:lang w:eastAsia="zh-CN"/>
        </w:rPr>
        <w:t xml:space="preserve"> </w:t>
      </w:r>
      <w:r>
        <w:rPr>
          <w:rFonts w:ascii="Book Antiqua" w:eastAsia="Book Antiqua" w:hAnsi="Book Antiqua" w:cs="Book Antiqua"/>
          <w:color w:val="000000"/>
        </w:rPr>
        <w:t>A homozygous protein-truncating mutation, c.547C</w:t>
      </w:r>
      <w:r w:rsidR="00D26CAE">
        <w:rPr>
          <w:rFonts w:ascii="Book Antiqua" w:eastAsia="Book Antiqua" w:hAnsi="Book Antiqua" w:cs="Book Antiqua"/>
          <w:color w:val="000000"/>
        </w:rPr>
        <w:t xml:space="preserve"> </w:t>
      </w:r>
      <w:r>
        <w:rPr>
          <w:rFonts w:ascii="Book Antiqua" w:eastAsia="Book Antiqua" w:hAnsi="Book Antiqua" w:cs="Book Antiqua"/>
          <w:color w:val="000000"/>
        </w:rPr>
        <w:t>&gt;</w:t>
      </w:r>
      <w:r w:rsidR="00D26CAE">
        <w:rPr>
          <w:rFonts w:ascii="Book Antiqua" w:eastAsia="Book Antiqua" w:hAnsi="Book Antiqua" w:cs="Book Antiqua"/>
          <w:color w:val="000000"/>
        </w:rPr>
        <w:t xml:space="preserve"> </w:t>
      </w:r>
      <w:r>
        <w:rPr>
          <w:rFonts w:ascii="Book Antiqua" w:eastAsia="Book Antiqua" w:hAnsi="Book Antiqua" w:cs="Book Antiqua"/>
          <w:color w:val="000000"/>
        </w:rPr>
        <w:t xml:space="preserve">T, p.(Arg183Ter), was subsequently identified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and both parents were shown to be heterozygous carriers. Absence of FXR and </w:t>
      </w:r>
      <w:r w:rsidR="00574C5F">
        <w:rPr>
          <w:rFonts w:ascii="Book Antiqua" w:eastAsia="Book Antiqua" w:hAnsi="Book Antiqua" w:cs="Book Antiqua"/>
          <w:color w:val="000000"/>
        </w:rPr>
        <w:t>bile salt export pump</w:t>
      </w:r>
      <w:r>
        <w:rPr>
          <w:rFonts w:ascii="Book Antiqua" w:eastAsia="Book Antiqua" w:hAnsi="Book Antiqua" w:cs="Book Antiqua"/>
          <w:color w:val="000000"/>
        </w:rPr>
        <w:t xml:space="preserve"> expression was confirmed by immunostaining of explanted liver.</w:t>
      </w:r>
    </w:p>
    <w:p w14:paraId="14B334C5" w14:textId="77777777" w:rsidR="00A77B3E" w:rsidRDefault="00A77B3E">
      <w:pPr>
        <w:spacing w:line="360" w:lineRule="auto"/>
        <w:jc w:val="both"/>
      </w:pPr>
    </w:p>
    <w:p w14:paraId="39FC2D3A" w14:textId="77777777" w:rsidR="00A77B3E" w:rsidRDefault="00AE5348">
      <w:pPr>
        <w:spacing w:line="360" w:lineRule="auto"/>
        <w:jc w:val="both"/>
      </w:pPr>
      <w:r>
        <w:rPr>
          <w:rFonts w:ascii="Book Antiqua" w:eastAsia="Book Antiqua" w:hAnsi="Book Antiqua" w:cs="Book Antiqua"/>
          <w:color w:val="000000"/>
        </w:rPr>
        <w:t>CONCLUSION</w:t>
      </w:r>
    </w:p>
    <w:p w14:paraId="1A5FE4BC" w14:textId="7CCCAFE9" w:rsidR="00A77B3E" w:rsidRDefault="00AE5348">
      <w:pPr>
        <w:spacing w:line="360" w:lineRule="auto"/>
        <w:jc w:val="both"/>
      </w:pPr>
      <w:r>
        <w:rPr>
          <w:rFonts w:ascii="Book Antiqua" w:eastAsia="Book Antiqua" w:hAnsi="Book Antiqua" w:cs="Book Antiqua"/>
          <w:color w:val="000000"/>
        </w:rPr>
        <w:t xml:space="preserve">Severe cholestasis with persistently high </w:t>
      </w:r>
      <w:r w:rsidR="00D26CAE">
        <w:rPr>
          <w:rFonts w:ascii="Book Antiqua" w:eastAsia="Book Antiqua" w:hAnsi="Book Antiqua" w:cs="Book Antiqua"/>
          <w:color w:val="000000"/>
        </w:rPr>
        <w:t xml:space="preserve">alpha-fetoprotein </w:t>
      </w:r>
      <w:r>
        <w:rPr>
          <w:rFonts w:ascii="Book Antiqua" w:eastAsia="Book Antiqua" w:hAnsi="Book Antiqua" w:cs="Book Antiqua"/>
          <w:color w:val="000000"/>
        </w:rPr>
        <w:t>and modest elevation of serum bile acid levels may suggest FXR deficiency. Some patients with FXR deficiency may not develop allograft steatosis and may respond well to liver transplantation.</w:t>
      </w:r>
    </w:p>
    <w:p w14:paraId="6BD6D1E4" w14:textId="77777777" w:rsidR="00A77B3E" w:rsidRDefault="00A77B3E">
      <w:pPr>
        <w:spacing w:line="360" w:lineRule="auto"/>
        <w:jc w:val="both"/>
      </w:pPr>
    </w:p>
    <w:p w14:paraId="2B3F109D" w14:textId="7932E31C" w:rsidR="00A77B3E" w:rsidRDefault="00AE5348">
      <w:pPr>
        <w:spacing w:line="360" w:lineRule="auto"/>
        <w:jc w:val="both"/>
      </w:pPr>
      <w:r>
        <w:rPr>
          <w:rFonts w:ascii="Book Antiqua" w:eastAsia="Book Antiqua" w:hAnsi="Book Antiqua" w:cs="Book Antiqua"/>
          <w:b/>
          <w:bCs/>
          <w:color w:val="000000"/>
        </w:rPr>
        <w:t xml:space="preserve">Key Words: </w:t>
      </w:r>
      <w:r w:rsidR="00574C5F">
        <w:rPr>
          <w:rFonts w:ascii="Book Antiqua" w:eastAsia="Book Antiqua" w:hAnsi="Book Antiqua" w:cs="Book Antiqua"/>
          <w:color w:val="000000"/>
        </w:rPr>
        <w:t>N</w:t>
      </w:r>
      <w:r>
        <w:rPr>
          <w:rFonts w:ascii="Book Antiqua" w:eastAsia="Book Antiqua" w:hAnsi="Book Antiqua" w:cs="Book Antiqua"/>
          <w:color w:val="000000"/>
        </w:rPr>
        <w:t>eonatal cholest</w:t>
      </w:r>
      <w:r w:rsidR="00060E03">
        <w:rPr>
          <w:rFonts w:ascii="Book Antiqua" w:eastAsia="Book Antiqua" w:hAnsi="Book Antiqua" w:cs="Book Antiqua"/>
          <w:color w:val="000000"/>
        </w:rPr>
        <w:t>a</w:t>
      </w:r>
      <w:r>
        <w:rPr>
          <w:rFonts w:ascii="Book Antiqua" w:eastAsia="Book Antiqua" w:hAnsi="Book Antiqua" w:cs="Book Antiqua"/>
          <w:color w:val="000000"/>
        </w:rPr>
        <w:t xml:space="preserve">sis; </w:t>
      </w:r>
      <w:r w:rsidR="00574C5F" w:rsidRPr="00574C5F">
        <w:rPr>
          <w:rFonts w:ascii="Book Antiqua" w:eastAsia="Book Antiqua" w:hAnsi="Book Antiqua" w:cs="Book Antiqua"/>
          <w:color w:val="000000"/>
        </w:rPr>
        <w:t>Progressive familial intrahepatic cholestasis</w:t>
      </w:r>
      <w:r>
        <w:rPr>
          <w:rFonts w:ascii="Book Antiqua" w:eastAsia="Book Antiqua" w:hAnsi="Book Antiqua" w:cs="Book Antiqua"/>
          <w:color w:val="000000"/>
        </w:rPr>
        <w:t xml:space="preserve">; </w:t>
      </w:r>
      <w:r w:rsidR="00574C5F">
        <w:rPr>
          <w:rFonts w:ascii="Book Antiqua" w:eastAsia="Book Antiqua" w:hAnsi="Book Antiqua" w:cs="Book Antiqua"/>
          <w:color w:val="000000"/>
        </w:rPr>
        <w:t>Bile salt export pump</w:t>
      </w:r>
      <w:r>
        <w:rPr>
          <w:rFonts w:ascii="Book Antiqua" w:eastAsia="Book Antiqua" w:hAnsi="Book Antiqua" w:cs="Book Antiqua"/>
          <w:color w:val="000000"/>
        </w:rPr>
        <w:t xml:space="preserve">; </w:t>
      </w:r>
      <w:r w:rsidR="00574C5F">
        <w:rPr>
          <w:rFonts w:ascii="Book Antiqua" w:eastAsia="Book Antiqua" w:hAnsi="Book Antiqua" w:cs="Book Antiqua"/>
          <w:color w:val="000000"/>
        </w:rPr>
        <w:t>L</w:t>
      </w:r>
      <w:r>
        <w:rPr>
          <w:rFonts w:ascii="Book Antiqua" w:eastAsia="Book Antiqua" w:hAnsi="Book Antiqua" w:cs="Book Antiqua"/>
          <w:color w:val="000000"/>
        </w:rPr>
        <w:t>iver transplantation; A</w:t>
      </w:r>
      <w:r w:rsidR="00574C5F">
        <w:rPr>
          <w:rFonts w:ascii="Book Antiqua" w:eastAsia="Book Antiqua" w:hAnsi="Book Antiqua" w:cs="Book Antiqua"/>
          <w:color w:val="000000"/>
        </w:rPr>
        <w:t>lpha-fetoprotein</w:t>
      </w:r>
      <w:r>
        <w:rPr>
          <w:rFonts w:ascii="Book Antiqua" w:eastAsia="Book Antiqua" w:hAnsi="Book Antiqua" w:cs="Book Antiqua"/>
          <w:color w:val="000000"/>
        </w:rPr>
        <w:t xml:space="preserve">; </w:t>
      </w:r>
      <w:r w:rsidR="00574C5F">
        <w:rPr>
          <w:rFonts w:ascii="Book Antiqua" w:eastAsia="Book Antiqua" w:hAnsi="Book Antiqua" w:cs="Book Antiqua"/>
          <w:color w:val="000000"/>
        </w:rPr>
        <w:t>C</w:t>
      </w:r>
      <w:r>
        <w:rPr>
          <w:rFonts w:ascii="Book Antiqua" w:eastAsia="Book Antiqua" w:hAnsi="Book Antiqua" w:cs="Book Antiqua"/>
          <w:color w:val="000000"/>
        </w:rPr>
        <w:t>ase report</w:t>
      </w:r>
    </w:p>
    <w:p w14:paraId="2D6D2962" w14:textId="77777777" w:rsidR="00A77B3E" w:rsidRDefault="00A77B3E">
      <w:pPr>
        <w:spacing w:line="360" w:lineRule="auto"/>
        <w:jc w:val="both"/>
      </w:pPr>
    </w:p>
    <w:p w14:paraId="4FD95FFB" w14:textId="77777777" w:rsidR="00A77B3E" w:rsidRDefault="00AE5348">
      <w:pPr>
        <w:spacing w:line="360" w:lineRule="auto"/>
        <w:jc w:val="both"/>
      </w:pPr>
      <w:r>
        <w:rPr>
          <w:rFonts w:ascii="Book Antiqua" w:eastAsia="Book Antiqua" w:hAnsi="Book Antiqua" w:cs="Book Antiqua"/>
          <w:color w:val="000000"/>
        </w:rPr>
        <w:t xml:space="preserve">Czubkowski P, Thompson RJ, Jankowska I, Knisely AS, Finegold M, Parsons P, Cielecka-Kuszyk J, Strautnieks S, Pawlowska J, Bull LN. Progressive familial intrahepatic cholestasis—farnesoid X receptor deficiency due to NR1H4 mutation: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143EFAE" w14:textId="77777777" w:rsidR="00A77B3E" w:rsidRDefault="00A77B3E">
      <w:pPr>
        <w:spacing w:line="360" w:lineRule="auto"/>
        <w:jc w:val="both"/>
      </w:pPr>
    </w:p>
    <w:p w14:paraId="064EDBB4" w14:textId="643ABFFA" w:rsidR="00A77B3E" w:rsidRDefault="00AE53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Despite the central role </w:t>
      </w:r>
      <w:r w:rsidR="00574C5F">
        <w:rPr>
          <w:rFonts w:ascii="Book Antiqua" w:eastAsia="Book Antiqua" w:hAnsi="Book Antiqua" w:cs="Book Antiqua"/>
          <w:color w:val="000000"/>
        </w:rPr>
        <w:t>farnesoid X receptor (</w:t>
      </w:r>
      <w:r>
        <w:rPr>
          <w:rFonts w:ascii="Book Antiqua" w:eastAsia="Book Antiqua" w:hAnsi="Book Antiqua" w:cs="Book Antiqua"/>
          <w:color w:val="000000"/>
        </w:rPr>
        <w:t>FXR</w:t>
      </w:r>
      <w:r w:rsidR="00574C5F">
        <w:rPr>
          <w:rFonts w:ascii="Book Antiqua" w:eastAsia="Book Antiqua" w:hAnsi="Book Antiqua" w:cs="Book Antiqua"/>
          <w:color w:val="000000"/>
        </w:rPr>
        <w:t>)</w:t>
      </w:r>
      <w:r>
        <w:rPr>
          <w:rFonts w:ascii="Book Antiqua" w:eastAsia="Book Antiqua" w:hAnsi="Book Antiqua" w:cs="Book Antiqua"/>
          <w:color w:val="000000"/>
        </w:rPr>
        <w:t xml:space="preserve"> plays in bile acid metabolism, only a few children with cholestasis and biallelic FXR deficiency have been reported, and that only recently. Using banked </w:t>
      </w:r>
      <w:r w:rsidR="007E5E72">
        <w:rPr>
          <w:rFonts w:ascii="Book Antiqua" w:eastAsia="Book Antiqua" w:hAnsi="Book Antiqua" w:cs="Book Antiqua"/>
          <w:color w:val="000000"/>
        </w:rPr>
        <w:t>DNA</w:t>
      </w:r>
      <w:r>
        <w:rPr>
          <w:rFonts w:ascii="Book Antiqua" w:eastAsia="Book Antiqua" w:hAnsi="Book Antiqua" w:cs="Book Antiqua"/>
          <w:color w:val="000000"/>
        </w:rPr>
        <w:t xml:space="preserve"> from patients without previous successful genetic diagnosis, we have identified a child with a homozygous mutation predicted to truncate FXR prematurely. We describe his disease course before and after liver transplantation, accompanied by immunohistochemical studies. This report adds meaningfully to the available information regarding disease course and outcomes in patients with severe FXR deficiency. It highlights biochemical findings that may be characteristic of FXR deficiency.</w:t>
      </w:r>
    </w:p>
    <w:p w14:paraId="6BA491BC" w14:textId="25EE10F3" w:rsidR="00A77B3E" w:rsidRDefault="00574C5F">
      <w:pPr>
        <w:spacing w:line="360" w:lineRule="auto"/>
        <w:jc w:val="both"/>
      </w:pPr>
      <w:r>
        <w:br w:type="page"/>
      </w:r>
      <w:r w:rsidR="00AE5348">
        <w:rPr>
          <w:rFonts w:ascii="Book Antiqua" w:eastAsia="Book Antiqua" w:hAnsi="Book Antiqua" w:cs="Book Antiqua"/>
          <w:b/>
          <w:caps/>
          <w:color w:val="000000"/>
          <w:u w:val="single"/>
        </w:rPr>
        <w:lastRenderedPageBreak/>
        <w:t>INTRODUCTION</w:t>
      </w:r>
    </w:p>
    <w:p w14:paraId="2377BEAD" w14:textId="427088A2" w:rsidR="00A77B3E" w:rsidRDefault="00AE5348">
      <w:pPr>
        <w:spacing w:line="360" w:lineRule="auto"/>
        <w:jc w:val="both"/>
      </w:pPr>
      <w:r>
        <w:rPr>
          <w:rFonts w:ascii="Book Antiqua" w:eastAsia="Book Antiqua" w:hAnsi="Book Antiqua" w:cs="Book Antiqua"/>
          <w:color w:val="000000"/>
        </w:rPr>
        <w:t xml:space="preserve">A key function of the farnesoid X receptor (FXR) is maintenance of physiologic bile acid (BA) pool size. FXR activation by BA within terminal-ileum enterocytes triggers production of fibroblast growth factor 19, which in turn suppresses hepatocellular synthesis of BA. In addition, FXR protects against intrahepatocytic BA accumulation by increasing bile salt export pump (BSEP) expression and by suppressing both uptake of BA from plasma </w:t>
      </w:r>
      <w:r>
        <w:rPr>
          <w:rFonts w:ascii="Book Antiqua" w:eastAsia="Book Antiqua" w:hAnsi="Book Antiqua" w:cs="Book Antiqua"/>
          <w:i/>
          <w:iCs/>
          <w:color w:val="000000"/>
        </w:rPr>
        <w:t>via</w:t>
      </w:r>
      <w:r>
        <w:rPr>
          <w:rFonts w:ascii="Book Antiqua" w:eastAsia="Book Antiqua" w:hAnsi="Book Antiqua" w:cs="Book Antiqua"/>
          <w:color w:val="000000"/>
        </w:rPr>
        <w:t xml:space="preserve">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-taurocholate </w:t>
      </w:r>
      <w:proofErr w:type="spellStart"/>
      <w:r>
        <w:rPr>
          <w:rFonts w:ascii="Book Antiqua" w:eastAsia="Book Antiqua" w:hAnsi="Book Antiqua" w:cs="Book Antiqua"/>
          <w:color w:val="000000"/>
        </w:rPr>
        <w:t>cotransporting</w:t>
      </w:r>
      <w:proofErr w:type="spellEnd"/>
      <w:r>
        <w:rPr>
          <w:rFonts w:ascii="Book Antiqua" w:eastAsia="Book Antiqua" w:hAnsi="Book Antiqua" w:cs="Book Antiqua"/>
          <w:color w:val="000000"/>
        </w:rPr>
        <w:t xml:space="preserve"> polypeptide and synthesis of BA </w:t>
      </w:r>
      <w:r>
        <w:rPr>
          <w:rFonts w:ascii="Book Antiqua" w:eastAsia="Book Antiqua" w:hAnsi="Book Antiqua" w:cs="Book Antiqua"/>
          <w:i/>
          <w:iCs/>
          <w:color w:val="000000"/>
        </w:rPr>
        <w:t>via</w:t>
      </w:r>
      <w:r>
        <w:rPr>
          <w:rFonts w:ascii="Book Antiqua" w:eastAsia="Book Antiqua" w:hAnsi="Book Antiqua" w:cs="Book Antiqua"/>
          <w:color w:val="000000"/>
        </w:rPr>
        <w:t xml:space="preserve"> sterol-27 hydroxylase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
    <w:p w14:paraId="3A8C9D63" w14:textId="72367CC6" w:rsidR="00A77B3E" w:rsidRDefault="00AE5348" w:rsidP="00DF3A7D">
      <w:pPr>
        <w:spacing w:line="360" w:lineRule="auto"/>
        <w:ind w:firstLineChars="100" w:firstLine="240"/>
        <w:jc w:val="both"/>
      </w:pPr>
      <w:r>
        <w:rPr>
          <w:rFonts w:ascii="Book Antiqua" w:eastAsia="Book Antiqua" w:hAnsi="Book Antiqua" w:cs="Book Antiqua"/>
          <w:i/>
          <w:iCs/>
          <w:color w:val="000000"/>
        </w:rPr>
        <w:t>NR1H4</w:t>
      </w:r>
      <w:r>
        <w:rPr>
          <w:rFonts w:ascii="Book Antiqua" w:eastAsia="Book Antiqua" w:hAnsi="Book Antiqua" w:cs="Book Antiqua"/>
          <w:color w:val="000000"/>
        </w:rPr>
        <w:t xml:space="preserve"> encodes FXR. Biallelic mutation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is a rare cause of intrahepatic cholestasis. Eight such children have been reported, </w:t>
      </w:r>
      <w:r w:rsidR="00D26CAE">
        <w:rPr>
          <w:rFonts w:ascii="Book Antiqua" w:eastAsia="Book Antiqua" w:hAnsi="Book Antiqua" w:cs="Book Antiqua"/>
          <w:color w:val="000000"/>
        </w:rPr>
        <w:t>three</w:t>
      </w:r>
      <w:r>
        <w:rPr>
          <w:rFonts w:ascii="Book Antiqua" w:eastAsia="Book Antiqua" w:hAnsi="Book Antiqua" w:cs="Book Antiqua"/>
          <w:color w:val="000000"/>
        </w:rPr>
        <w:t xml:space="preserve"> of whom underwent liver transplantation (LT)</w:t>
      </w:r>
      <w:r>
        <w:rPr>
          <w:rFonts w:ascii="Book Antiqua" w:eastAsia="Book Antiqua" w:hAnsi="Book Antiqua" w:cs="Book Antiqua"/>
          <w:color w:val="000000"/>
          <w:vertAlign w:val="superscript"/>
        </w:rPr>
        <w:t>[2</w:t>
      </w:r>
      <w:r w:rsidR="00DF3A7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We describe a patient with FXR deficiency, due to biallelic mutation in </w:t>
      </w:r>
      <w:r>
        <w:rPr>
          <w:rFonts w:ascii="Book Antiqua" w:eastAsia="Book Antiqua" w:hAnsi="Book Antiqua" w:cs="Book Antiqua"/>
          <w:i/>
          <w:iCs/>
          <w:color w:val="000000"/>
        </w:rPr>
        <w:t>NR1H4</w:t>
      </w:r>
      <w:r>
        <w:rPr>
          <w:rFonts w:ascii="Book Antiqua" w:eastAsia="Book Antiqua" w:hAnsi="Book Antiqua" w:cs="Book Antiqua"/>
          <w:color w:val="000000"/>
        </w:rPr>
        <w:t>, who presented with neonatal cholestasis that progressed to end-stage liver disease successfully treated by LT.</w:t>
      </w:r>
    </w:p>
    <w:p w14:paraId="3F7EBC67" w14:textId="77777777" w:rsidR="00A77B3E" w:rsidRDefault="00A77B3E">
      <w:pPr>
        <w:spacing w:line="360" w:lineRule="auto"/>
        <w:jc w:val="both"/>
      </w:pPr>
    </w:p>
    <w:p w14:paraId="7C0E824C" w14:textId="77777777" w:rsidR="00A77B3E" w:rsidRDefault="00AE5348">
      <w:pPr>
        <w:spacing w:line="360" w:lineRule="auto"/>
        <w:jc w:val="both"/>
      </w:pPr>
      <w:r>
        <w:rPr>
          <w:rFonts w:ascii="Book Antiqua" w:eastAsia="Book Antiqua" w:hAnsi="Book Antiqua" w:cs="Book Antiqua"/>
          <w:b/>
          <w:caps/>
          <w:color w:val="000000"/>
          <w:u w:val="single"/>
        </w:rPr>
        <w:t>CASE PRESENTATION</w:t>
      </w:r>
    </w:p>
    <w:p w14:paraId="53A9975E" w14:textId="77777777" w:rsidR="00A77B3E" w:rsidRDefault="00AE5348">
      <w:pPr>
        <w:spacing w:line="360" w:lineRule="auto"/>
        <w:jc w:val="both"/>
      </w:pPr>
      <w:r>
        <w:rPr>
          <w:rFonts w:ascii="Book Antiqua" w:eastAsia="Book Antiqua" w:hAnsi="Book Antiqua" w:cs="Book Antiqua"/>
          <w:b/>
          <w:i/>
          <w:color w:val="000000"/>
        </w:rPr>
        <w:t>Chief complaints</w:t>
      </w:r>
    </w:p>
    <w:p w14:paraId="2C20D16F" w14:textId="26EEE9CA" w:rsidR="00A77B3E" w:rsidRDefault="00AE5348">
      <w:pPr>
        <w:spacing w:line="360" w:lineRule="auto"/>
        <w:jc w:val="both"/>
      </w:pPr>
      <w:r>
        <w:rPr>
          <w:rFonts w:ascii="Book Antiqua" w:eastAsia="Book Antiqua" w:hAnsi="Book Antiqua" w:cs="Book Antiqua"/>
          <w:color w:val="000000"/>
        </w:rPr>
        <w:t>Neonate presented with rapidly progressing cholestatic jaundice.</w:t>
      </w:r>
    </w:p>
    <w:p w14:paraId="020F5277" w14:textId="77777777" w:rsidR="00A77B3E" w:rsidRDefault="00A77B3E">
      <w:pPr>
        <w:spacing w:line="360" w:lineRule="auto"/>
        <w:jc w:val="both"/>
      </w:pPr>
    </w:p>
    <w:p w14:paraId="20DB491E" w14:textId="77777777" w:rsidR="00A77B3E" w:rsidRDefault="00AE5348">
      <w:pPr>
        <w:spacing w:line="360" w:lineRule="auto"/>
        <w:jc w:val="both"/>
      </w:pPr>
      <w:r>
        <w:rPr>
          <w:rFonts w:ascii="Book Antiqua" w:eastAsia="Book Antiqua" w:hAnsi="Book Antiqua" w:cs="Book Antiqua"/>
          <w:b/>
          <w:i/>
          <w:color w:val="000000"/>
        </w:rPr>
        <w:t>History of present illness</w:t>
      </w:r>
    </w:p>
    <w:p w14:paraId="1790CBFC" w14:textId="2F5DB489" w:rsidR="00A77B3E" w:rsidRDefault="00AE5348">
      <w:pPr>
        <w:spacing w:line="360" w:lineRule="auto"/>
        <w:jc w:val="both"/>
      </w:pPr>
      <w:r>
        <w:rPr>
          <w:rFonts w:ascii="Book Antiqua" w:eastAsia="Book Antiqua" w:hAnsi="Book Antiqua" w:cs="Book Antiqua"/>
          <w:color w:val="000000"/>
        </w:rPr>
        <w:t>Jaundice was observed from the second postnatal day. Phototherapy was given. At age 5</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w:t>
      </w:r>
      <w:r w:rsidR="00D26CAE">
        <w:rPr>
          <w:rFonts w:ascii="Book Antiqua" w:eastAsia="Book Antiqua" w:hAnsi="Book Antiqua" w:cs="Book Antiqua"/>
          <w:color w:val="000000"/>
        </w:rPr>
        <w:t>,</w:t>
      </w:r>
      <w:r>
        <w:rPr>
          <w:rFonts w:ascii="Book Antiqua" w:eastAsia="Book Antiqua" w:hAnsi="Book Antiqua" w:cs="Book Antiqua"/>
          <w:color w:val="000000"/>
        </w:rPr>
        <w:t xml:space="preserve"> deepening jaundice and pale stools were noted. He was hospitalized at age 6</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 and transferred to Children’s Memorial Health Institute at age 7</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wk. </w:t>
      </w:r>
    </w:p>
    <w:p w14:paraId="28EE42FD" w14:textId="77777777" w:rsidR="00A77B3E" w:rsidRDefault="00A77B3E">
      <w:pPr>
        <w:spacing w:line="360" w:lineRule="auto"/>
        <w:jc w:val="both"/>
      </w:pPr>
    </w:p>
    <w:p w14:paraId="578C9F7A" w14:textId="77777777" w:rsidR="00A77B3E" w:rsidRDefault="00AE5348">
      <w:pPr>
        <w:spacing w:line="360" w:lineRule="auto"/>
        <w:jc w:val="both"/>
      </w:pPr>
      <w:r>
        <w:rPr>
          <w:rFonts w:ascii="Book Antiqua" w:eastAsia="Book Antiqua" w:hAnsi="Book Antiqua" w:cs="Book Antiqua"/>
          <w:b/>
          <w:i/>
          <w:color w:val="000000"/>
        </w:rPr>
        <w:t>History of past illness</w:t>
      </w:r>
    </w:p>
    <w:p w14:paraId="48CEF4AB" w14:textId="77777777" w:rsidR="00A77B3E" w:rsidRDefault="00AE5348">
      <w:pPr>
        <w:spacing w:line="360" w:lineRule="auto"/>
        <w:jc w:val="both"/>
      </w:pPr>
      <w:r>
        <w:rPr>
          <w:rFonts w:ascii="Book Antiqua" w:eastAsia="Book Antiqua" w:hAnsi="Book Antiqua" w:cs="Book Antiqua"/>
          <w:color w:val="000000"/>
        </w:rPr>
        <w:t>The patient had an otherwise unremarkable medical history.</w:t>
      </w:r>
    </w:p>
    <w:p w14:paraId="468D2CCC" w14:textId="77777777" w:rsidR="00A77B3E" w:rsidRDefault="00A77B3E">
      <w:pPr>
        <w:spacing w:line="360" w:lineRule="auto"/>
        <w:jc w:val="both"/>
      </w:pPr>
    </w:p>
    <w:p w14:paraId="30FC5E6F" w14:textId="77777777" w:rsidR="00A77B3E" w:rsidRDefault="00AE5348">
      <w:pPr>
        <w:spacing w:line="360" w:lineRule="auto"/>
        <w:jc w:val="both"/>
      </w:pPr>
      <w:r>
        <w:rPr>
          <w:rFonts w:ascii="Book Antiqua" w:eastAsia="Book Antiqua" w:hAnsi="Book Antiqua" w:cs="Book Antiqua"/>
          <w:b/>
          <w:i/>
          <w:color w:val="000000"/>
        </w:rPr>
        <w:t>Personal and family history</w:t>
      </w:r>
    </w:p>
    <w:p w14:paraId="5CBF975F" w14:textId="7D97AF6C" w:rsidR="00A77B3E" w:rsidRDefault="00AE5348">
      <w:pPr>
        <w:spacing w:line="360" w:lineRule="auto"/>
        <w:jc w:val="both"/>
      </w:pPr>
      <w:r>
        <w:rPr>
          <w:rFonts w:ascii="Book Antiqua" w:eastAsia="Book Antiqua" w:hAnsi="Book Antiqua" w:cs="Book Antiqua"/>
          <w:color w:val="000000"/>
        </w:rPr>
        <w:t>A boy was born at term, weighing 4.1</w:t>
      </w:r>
      <w:r w:rsidR="00DF3A7D">
        <w:rPr>
          <w:rFonts w:ascii="Book Antiqua" w:eastAsia="Book Antiqua" w:hAnsi="Book Antiqua" w:cs="Book Antiqua"/>
          <w:color w:val="000000"/>
        </w:rPr>
        <w:t xml:space="preserve"> </w:t>
      </w:r>
      <w:r>
        <w:rPr>
          <w:rFonts w:ascii="Book Antiqua" w:eastAsia="Book Antiqua" w:hAnsi="Book Antiqua" w:cs="Book Antiqua"/>
          <w:color w:val="000000"/>
        </w:rPr>
        <w:t>kg (93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percentile), to parents without known consanguinity. Pregnancy and spontaneous vaginal delivery were uncomplicated. A </w:t>
      </w:r>
      <w:r>
        <w:rPr>
          <w:rFonts w:ascii="Book Antiqua" w:eastAsia="Book Antiqua" w:hAnsi="Book Antiqua" w:cs="Book Antiqua"/>
          <w:color w:val="000000"/>
        </w:rPr>
        <w:lastRenderedPageBreak/>
        <w:t>brother aged 5</w:t>
      </w:r>
      <w:r w:rsidR="00DF3A7D">
        <w:rPr>
          <w:rFonts w:ascii="Book Antiqua" w:eastAsia="Book Antiqua" w:hAnsi="Book Antiqua" w:cs="Book Antiqua"/>
          <w:color w:val="000000"/>
        </w:rPr>
        <w:t xml:space="preserve"> </w:t>
      </w:r>
      <w:r>
        <w:rPr>
          <w:rFonts w:ascii="Book Antiqua" w:eastAsia="Book Antiqua" w:hAnsi="Book Antiqua" w:cs="Book Antiqua"/>
          <w:color w:val="000000"/>
        </w:rPr>
        <w:t>y</w:t>
      </w:r>
      <w:r w:rsidR="00DF3A7D">
        <w:rPr>
          <w:rFonts w:ascii="Book Antiqua" w:eastAsia="Book Antiqua" w:hAnsi="Book Antiqua" w:cs="Book Antiqua"/>
          <w:color w:val="000000"/>
        </w:rPr>
        <w:t>ears</w:t>
      </w:r>
      <w:r>
        <w:rPr>
          <w:rFonts w:ascii="Book Antiqua" w:eastAsia="Book Antiqua" w:hAnsi="Book Antiqua" w:cs="Book Antiqua"/>
          <w:color w:val="000000"/>
        </w:rPr>
        <w:t xml:space="preserve"> was healthy; however, two maternal uncles had died as neonates for unknown reasons.</w:t>
      </w:r>
    </w:p>
    <w:p w14:paraId="3D1F098E" w14:textId="77777777" w:rsidR="00A77B3E" w:rsidRDefault="00A77B3E">
      <w:pPr>
        <w:spacing w:line="360" w:lineRule="auto"/>
        <w:jc w:val="both"/>
      </w:pPr>
    </w:p>
    <w:p w14:paraId="6ABE5198" w14:textId="77777777" w:rsidR="00A77B3E" w:rsidRDefault="00AE5348">
      <w:pPr>
        <w:spacing w:line="360" w:lineRule="auto"/>
        <w:jc w:val="both"/>
      </w:pPr>
      <w:r>
        <w:rPr>
          <w:rFonts w:ascii="Book Antiqua" w:eastAsia="Book Antiqua" w:hAnsi="Book Antiqua" w:cs="Book Antiqua"/>
          <w:b/>
          <w:i/>
          <w:color w:val="000000"/>
        </w:rPr>
        <w:t>Physical examination</w:t>
      </w:r>
    </w:p>
    <w:p w14:paraId="224D1939" w14:textId="15883EB1" w:rsidR="00A77B3E" w:rsidRDefault="00AE5348">
      <w:pPr>
        <w:spacing w:line="360" w:lineRule="auto"/>
        <w:jc w:val="both"/>
      </w:pPr>
      <w:r>
        <w:rPr>
          <w:rFonts w:ascii="Book Antiqua" w:eastAsia="Book Antiqua" w:hAnsi="Book Antiqua" w:cs="Book Antiqua"/>
          <w:color w:val="000000"/>
        </w:rPr>
        <w:t xml:space="preserve">At transfer, he was jaundiced but otherwise well </w:t>
      </w:r>
      <w:r w:rsidR="00DF3A7D">
        <w:rPr>
          <w:rFonts w:ascii="Book Antiqua" w:eastAsia="Book Antiqua" w:hAnsi="Book Antiqua" w:cs="Book Antiqua"/>
          <w:color w:val="000000"/>
        </w:rPr>
        <w:t>[</w:t>
      </w:r>
      <w:r>
        <w:rPr>
          <w:rFonts w:ascii="Book Antiqua" w:eastAsia="Book Antiqua" w:hAnsi="Book Antiqua" w:cs="Book Antiqua"/>
          <w:color w:val="000000"/>
        </w:rPr>
        <w:t>5.8</w:t>
      </w:r>
      <w:r w:rsidR="00D26CAE">
        <w:rPr>
          <w:rFonts w:ascii="Book Antiqua" w:eastAsia="Book Antiqua" w:hAnsi="Book Antiqua" w:cs="Book Antiqua"/>
          <w:color w:val="000000"/>
        </w:rPr>
        <w:t xml:space="preserve"> </w:t>
      </w:r>
      <w:r>
        <w:rPr>
          <w:rFonts w:ascii="Book Antiqua" w:eastAsia="Book Antiqua" w:hAnsi="Book Antiqua" w:cs="Book Antiqua"/>
          <w:color w:val="000000"/>
        </w:rPr>
        <w:t xml:space="preserve">kg </w:t>
      </w:r>
      <w:r w:rsidR="00DF3A7D">
        <w:rPr>
          <w:rFonts w:ascii="Book Antiqua" w:eastAsia="Book Antiqua" w:hAnsi="Book Antiqua" w:cs="Book Antiqua"/>
          <w:color w:val="000000"/>
        </w:rPr>
        <w:t>(</w:t>
      </w:r>
      <w:r>
        <w:rPr>
          <w:rFonts w:ascii="Book Antiqua" w:eastAsia="Book Antiqua" w:hAnsi="Book Antiqua" w:cs="Book Antiqua"/>
          <w:color w:val="000000"/>
        </w:rPr>
        <w:t>77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percentile</w:t>
      </w:r>
      <w:r w:rsidR="00DF3A7D">
        <w:rPr>
          <w:rFonts w:ascii="Book Antiqua" w:eastAsia="Book Antiqua" w:hAnsi="Book Antiqua" w:cs="Book Antiqua"/>
          <w:color w:val="000000"/>
        </w:rPr>
        <w:t>)</w:t>
      </w:r>
      <w:r>
        <w:rPr>
          <w:rFonts w:ascii="Book Antiqua" w:eastAsia="Book Antiqua" w:hAnsi="Book Antiqua" w:cs="Book Antiqua"/>
          <w:color w:val="000000"/>
        </w:rPr>
        <w:t>]. Motor development was normal. Stools varied from pale to bright yellow. The liver and spleen were palpable</w:t>
      </w:r>
      <w:r w:rsidR="00D26CAE">
        <w:rPr>
          <w:rFonts w:ascii="Book Antiqua" w:eastAsia="Book Antiqua" w:hAnsi="Book Antiqua" w:cs="Book Antiqua"/>
          <w:color w:val="000000"/>
        </w:rPr>
        <w:t>,</w:t>
      </w:r>
      <w:r>
        <w:rPr>
          <w:rFonts w:ascii="Book Antiqua" w:eastAsia="Book Antiqua" w:hAnsi="Book Antiqua" w:cs="Book Antiqua"/>
          <w:color w:val="000000"/>
        </w:rPr>
        <w:t xml:space="preserve"> </w:t>
      </w:r>
      <w:r w:rsidR="00060E03">
        <w:rPr>
          <w:rFonts w:ascii="Book Antiqua" w:eastAsia="Book Antiqua" w:hAnsi="Book Antiqua" w:cs="Book Antiqua"/>
          <w:color w:val="000000"/>
        </w:rPr>
        <w:t>respectively</w:t>
      </w:r>
      <w:r>
        <w:rPr>
          <w:rFonts w:ascii="Book Antiqua" w:eastAsia="Book Antiqua" w:hAnsi="Book Antiqua" w:cs="Book Antiqua"/>
          <w:color w:val="000000"/>
        </w:rPr>
        <w:t xml:space="preserve"> 3</w:t>
      </w:r>
      <w:r w:rsidR="00DF3A7D">
        <w:rPr>
          <w:rFonts w:ascii="Book Antiqua" w:eastAsia="Book Antiqua" w:hAnsi="Book Antiqua" w:cs="Book Antiqua"/>
          <w:color w:val="000000"/>
        </w:rPr>
        <w:t xml:space="preserve"> </w:t>
      </w:r>
      <w:r>
        <w:rPr>
          <w:rFonts w:ascii="Book Antiqua" w:eastAsia="Book Antiqua" w:hAnsi="Book Antiqua" w:cs="Book Antiqua"/>
          <w:color w:val="000000"/>
        </w:rPr>
        <w:t>cm and 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cm below the costal margin. A left iridial coloboma and a right inguinal hernia were found. </w:t>
      </w:r>
    </w:p>
    <w:p w14:paraId="02CD73DB" w14:textId="77777777" w:rsidR="00A77B3E" w:rsidRDefault="00A77B3E">
      <w:pPr>
        <w:spacing w:line="360" w:lineRule="auto"/>
        <w:jc w:val="both"/>
      </w:pPr>
    </w:p>
    <w:p w14:paraId="1EE24B5D" w14:textId="77777777" w:rsidR="00A77B3E" w:rsidRDefault="00AE5348">
      <w:pPr>
        <w:spacing w:line="360" w:lineRule="auto"/>
        <w:jc w:val="both"/>
      </w:pPr>
      <w:r>
        <w:rPr>
          <w:rFonts w:ascii="Book Antiqua" w:eastAsia="Book Antiqua" w:hAnsi="Book Antiqua" w:cs="Book Antiqua"/>
          <w:b/>
          <w:i/>
          <w:color w:val="000000"/>
        </w:rPr>
        <w:t>Laboratory examinations</w:t>
      </w:r>
    </w:p>
    <w:p w14:paraId="6A71E81B" w14:textId="26D9C46D" w:rsidR="00A77B3E" w:rsidRDefault="00AE5348">
      <w:pPr>
        <w:spacing w:line="360" w:lineRule="auto"/>
        <w:jc w:val="both"/>
      </w:pPr>
      <w:r>
        <w:rPr>
          <w:rFonts w:ascii="Book Antiqua" w:eastAsia="Book Antiqua" w:hAnsi="Book Antiqua" w:cs="Book Antiqua"/>
          <w:color w:val="000000"/>
        </w:rPr>
        <w:t>Conjugated hyperbilirubinemia accompanied elevated serum transaminase activity (Table 1). Serum BA and alpha-fetoprotein (AFP) levels were elevated. Serum gamma-glutamyl transpeptidase activity was normal. Hypocoagulability did not respond to vitamin K. Persistent hypoglycemia required intravenous glucose. Investigation for metabolic disorders yielded no diagnosis.</w:t>
      </w:r>
    </w:p>
    <w:p w14:paraId="2EE242EE" w14:textId="77777777" w:rsidR="00A77B3E" w:rsidRDefault="00A77B3E">
      <w:pPr>
        <w:spacing w:line="360" w:lineRule="auto"/>
        <w:jc w:val="both"/>
      </w:pPr>
    </w:p>
    <w:p w14:paraId="392E6640" w14:textId="77777777" w:rsidR="00A77B3E" w:rsidRDefault="00AE5348">
      <w:pPr>
        <w:spacing w:line="360" w:lineRule="auto"/>
        <w:jc w:val="both"/>
      </w:pPr>
      <w:r>
        <w:rPr>
          <w:rFonts w:ascii="Book Antiqua" w:eastAsia="Book Antiqua" w:hAnsi="Book Antiqua" w:cs="Book Antiqua"/>
          <w:b/>
          <w:i/>
          <w:color w:val="000000"/>
        </w:rPr>
        <w:t>Imaging examinations</w:t>
      </w:r>
    </w:p>
    <w:p w14:paraId="44156B28" w14:textId="7D456D5E" w:rsidR="00A77B3E" w:rsidRDefault="00AE5348">
      <w:pPr>
        <w:spacing w:line="360" w:lineRule="auto"/>
        <w:jc w:val="both"/>
      </w:pPr>
      <w:r>
        <w:rPr>
          <w:rFonts w:ascii="Book Antiqua" w:eastAsia="Book Antiqua" w:hAnsi="Book Antiqua" w:cs="Book Antiqua"/>
          <w:color w:val="000000"/>
        </w:rPr>
        <w:t>A normal gallbladder and non-dilated bile ducts were visible on sonography; the left lobe of the liver was enlarged. Splenomegaly was confirmed. After 3</w:t>
      </w:r>
      <w:r w:rsidR="00DF3A7D">
        <w:rPr>
          <w:rFonts w:ascii="Book Antiqua" w:eastAsia="Book Antiqua" w:hAnsi="Book Antiqua" w:cs="Book Antiqua"/>
          <w:color w:val="000000"/>
        </w:rPr>
        <w:t xml:space="preserve"> </w:t>
      </w:r>
      <w:r>
        <w:rPr>
          <w:rFonts w:ascii="Book Antiqua" w:eastAsia="Book Antiqua" w:hAnsi="Book Antiqua" w:cs="Book Antiqua"/>
          <w:color w:val="000000"/>
        </w:rPr>
        <w:t>d of phenobarbital, hepatobiliary scintigraphy found decreased and patchy isotope uptake by the liver and substantially decreased, but detectable, excretion into the bowel. A type 2 atrial septal defect (assessed as clinically unimportant) and a butterfly vertebra were noted.</w:t>
      </w:r>
    </w:p>
    <w:p w14:paraId="04BCC96F" w14:textId="77777777" w:rsidR="00A77B3E" w:rsidRDefault="00A77B3E">
      <w:pPr>
        <w:spacing w:line="360" w:lineRule="auto"/>
        <w:jc w:val="both"/>
      </w:pPr>
    </w:p>
    <w:p w14:paraId="59884A04" w14:textId="77777777" w:rsidR="00A77B3E" w:rsidRDefault="00AE5348">
      <w:pPr>
        <w:spacing w:line="360" w:lineRule="auto"/>
        <w:jc w:val="both"/>
      </w:pPr>
      <w:r>
        <w:rPr>
          <w:rFonts w:ascii="Book Antiqua" w:eastAsia="Book Antiqua" w:hAnsi="Book Antiqua" w:cs="Book Antiqua"/>
          <w:b/>
          <w:bCs/>
          <w:i/>
          <w:iCs/>
          <w:color w:val="000000"/>
        </w:rPr>
        <w:t>Further diagnostic work-up</w:t>
      </w:r>
    </w:p>
    <w:p w14:paraId="5C8C591D" w14:textId="46E8B057" w:rsidR="00A77B3E" w:rsidRDefault="00AE5348">
      <w:pPr>
        <w:spacing w:line="360" w:lineRule="auto"/>
        <w:jc w:val="both"/>
      </w:pPr>
      <w:r>
        <w:rPr>
          <w:rFonts w:ascii="Book Antiqua" w:eastAsia="Book Antiqua" w:hAnsi="Book Antiqua" w:cs="Book Antiqua"/>
          <w:color w:val="000000"/>
        </w:rPr>
        <w:t>Percutaneous liver-biopsy (age 9</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 found moderate fibrosis, mild inflammation and ductular proliferation; immunostaining for BSEP was unavailable. At age 12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wk</w:t>
      </w:r>
      <w:r w:rsidR="00D26CAE">
        <w:rPr>
          <w:rFonts w:ascii="Book Antiqua" w:eastAsia="Book Antiqua" w:hAnsi="Book Antiqua" w:cs="Book Antiqua"/>
          <w:color w:val="000000"/>
        </w:rPr>
        <w:t>,</w:t>
      </w:r>
      <w:r>
        <w:rPr>
          <w:rFonts w:ascii="Book Antiqua" w:eastAsia="Book Antiqua" w:hAnsi="Book Antiqua" w:cs="Book Antiqua"/>
          <w:color w:val="000000"/>
        </w:rPr>
        <w:t xml:space="preserve"> open cholangiography was performed and found a normal biliary tree; wedge liver biopsy revealed changes like those seen </w:t>
      </w:r>
      <w:r w:rsidR="00D26CAE">
        <w:rPr>
          <w:rFonts w:ascii="Book Antiqua" w:eastAsia="Book Antiqua" w:hAnsi="Book Antiqua" w:cs="Book Antiqua"/>
          <w:color w:val="000000"/>
        </w:rPr>
        <w:t>previously</w:t>
      </w:r>
      <w:r>
        <w:rPr>
          <w:rFonts w:ascii="Book Antiqua" w:eastAsia="Book Antiqua" w:hAnsi="Book Antiqua" w:cs="Book Antiqua"/>
          <w:color w:val="000000"/>
        </w:rPr>
        <w:t>.</w:t>
      </w:r>
    </w:p>
    <w:p w14:paraId="0F438953" w14:textId="77777777" w:rsidR="00A77B3E" w:rsidRDefault="00A77B3E">
      <w:pPr>
        <w:spacing w:line="360" w:lineRule="auto"/>
        <w:jc w:val="both"/>
      </w:pPr>
    </w:p>
    <w:p w14:paraId="2CF7FC30" w14:textId="77777777" w:rsidR="00A77B3E" w:rsidRDefault="00AE5348">
      <w:pPr>
        <w:spacing w:line="360" w:lineRule="auto"/>
        <w:jc w:val="both"/>
      </w:pPr>
      <w:r>
        <w:rPr>
          <w:rFonts w:ascii="Book Antiqua" w:eastAsia="Book Antiqua" w:hAnsi="Book Antiqua" w:cs="Book Antiqua"/>
          <w:b/>
          <w:caps/>
          <w:color w:val="000000"/>
          <w:u w:val="single"/>
        </w:rPr>
        <w:t>FINAL DIAGNOSIS</w:t>
      </w:r>
    </w:p>
    <w:p w14:paraId="40927868" w14:textId="3C3B7F6C" w:rsidR="00A77B3E" w:rsidRDefault="00AE5348">
      <w:pPr>
        <w:spacing w:line="360" w:lineRule="auto"/>
        <w:jc w:val="both"/>
      </w:pPr>
      <w:r>
        <w:rPr>
          <w:rFonts w:ascii="Book Antiqua" w:eastAsia="Book Antiqua" w:hAnsi="Book Antiqua" w:cs="Book Antiqua"/>
          <w:color w:val="000000"/>
        </w:rPr>
        <w:lastRenderedPageBreak/>
        <w:t xml:space="preserve">Archived patient </w:t>
      </w:r>
      <w:r w:rsidR="007E5E72">
        <w:rPr>
          <w:rFonts w:ascii="Book Antiqua" w:eastAsia="Book Antiqua" w:hAnsi="Book Antiqua" w:cs="Book Antiqua"/>
          <w:color w:val="000000"/>
        </w:rPr>
        <w:t>DNA</w:t>
      </w:r>
      <w:r>
        <w:rPr>
          <w:rFonts w:ascii="Book Antiqua" w:eastAsia="Book Antiqua" w:hAnsi="Book Antiqua" w:cs="Book Antiqua"/>
          <w:color w:val="000000"/>
        </w:rPr>
        <w:t xml:space="preserve"> underwent sequencing of a panel of cholestasis-associated genes (</w:t>
      </w:r>
      <w:r>
        <w:rPr>
          <w:rFonts w:ascii="Book Antiqua" w:eastAsia="Book Antiqua" w:hAnsi="Book Antiqua" w:cs="Book Antiqua"/>
          <w:i/>
          <w:iCs/>
          <w:color w:val="000000"/>
        </w:rPr>
        <w:t>ATP8B1</w:t>
      </w:r>
      <w:r>
        <w:rPr>
          <w:rFonts w:ascii="Book Antiqua" w:eastAsia="Book Antiqua" w:hAnsi="Book Antiqua" w:cs="Book Antiqua"/>
          <w:color w:val="000000"/>
        </w:rPr>
        <w:t xml:space="preserve">, </w:t>
      </w:r>
      <w:r>
        <w:rPr>
          <w:rFonts w:ascii="Book Antiqua" w:eastAsia="Book Antiqua" w:hAnsi="Book Antiqua" w:cs="Book Antiqua"/>
          <w:i/>
          <w:iCs/>
          <w:color w:val="000000"/>
        </w:rPr>
        <w:t>ABCB11</w:t>
      </w:r>
      <w:r>
        <w:rPr>
          <w:rFonts w:ascii="Book Antiqua" w:eastAsia="Book Antiqua" w:hAnsi="Book Antiqua" w:cs="Book Antiqua"/>
          <w:color w:val="000000"/>
        </w:rPr>
        <w:t xml:space="preserve">, </w:t>
      </w:r>
      <w:r>
        <w:rPr>
          <w:rFonts w:ascii="Book Antiqua" w:eastAsia="Book Antiqua" w:hAnsi="Book Antiqua" w:cs="Book Antiqua"/>
          <w:i/>
          <w:iCs/>
          <w:color w:val="000000"/>
        </w:rPr>
        <w:t>ABCB4</w:t>
      </w:r>
      <w:r>
        <w:rPr>
          <w:rFonts w:ascii="Book Antiqua" w:eastAsia="Book Antiqua" w:hAnsi="Book Antiqua" w:cs="Book Antiqua"/>
          <w:color w:val="000000"/>
        </w:rPr>
        <w:t>,</w:t>
      </w:r>
      <w:r w:rsidR="00DF3A7D">
        <w:rPr>
          <w:rFonts w:ascii="Book Antiqua" w:eastAsia="Book Antiqua" w:hAnsi="Book Antiqua" w:cs="Book Antiqua"/>
          <w:color w:val="000000"/>
        </w:rPr>
        <w:t xml:space="preserve"> </w:t>
      </w:r>
      <w:r>
        <w:rPr>
          <w:rFonts w:ascii="Book Antiqua" w:eastAsia="Book Antiqua" w:hAnsi="Book Antiqua" w:cs="Book Antiqua"/>
          <w:i/>
          <w:iCs/>
          <w:color w:val="000000"/>
        </w:rPr>
        <w:t>TJP2, JAG1</w:t>
      </w:r>
      <w:r>
        <w:rPr>
          <w:rFonts w:ascii="Book Antiqua" w:eastAsia="Book Antiqua" w:hAnsi="Book Antiqua" w:cs="Book Antiqua"/>
          <w:color w:val="000000"/>
        </w:rPr>
        <w:t>,</w:t>
      </w:r>
      <w:r w:rsidR="00DF3A7D">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NOTCH2, BAAT) </w:t>
      </w:r>
      <w:r>
        <w:rPr>
          <w:rFonts w:ascii="Book Antiqua" w:eastAsia="Book Antiqua" w:hAnsi="Book Antiqua" w:cs="Book Antiqua"/>
          <w:color w:val="000000"/>
        </w:rPr>
        <w:t xml:space="preserve">with no diagnostic variants found. These results were confirmed when patient </w:t>
      </w:r>
      <w:r w:rsidR="007E5E72">
        <w:rPr>
          <w:rFonts w:ascii="Book Antiqua" w:eastAsia="Book Antiqua" w:hAnsi="Book Antiqua" w:cs="Book Antiqua"/>
          <w:color w:val="000000"/>
        </w:rPr>
        <w:t>DNA</w:t>
      </w:r>
      <w:r>
        <w:rPr>
          <w:rFonts w:ascii="Book Antiqua" w:eastAsia="Book Antiqua" w:hAnsi="Book Antiqua" w:cs="Book Antiqua"/>
          <w:color w:val="000000"/>
        </w:rPr>
        <w:t xml:space="preserve"> then underwent whole-exome sequencing. However, homozygosity was found for c.547C</w:t>
      </w:r>
      <w:r w:rsidR="00D26CAE">
        <w:rPr>
          <w:rFonts w:ascii="Book Antiqua" w:eastAsia="Book Antiqua" w:hAnsi="Book Antiqua" w:cs="Book Antiqua"/>
          <w:color w:val="000000"/>
        </w:rPr>
        <w:t xml:space="preserve"> </w:t>
      </w:r>
      <w:r>
        <w:rPr>
          <w:rFonts w:ascii="Book Antiqua" w:eastAsia="Book Antiqua" w:hAnsi="Book Antiqua" w:cs="Book Antiqua"/>
          <w:color w:val="000000"/>
        </w:rPr>
        <w:t>&gt;</w:t>
      </w:r>
      <w:r w:rsidR="00D26CAE">
        <w:rPr>
          <w:rFonts w:ascii="Book Antiqua" w:eastAsia="Book Antiqua" w:hAnsi="Book Antiqua" w:cs="Book Antiqua"/>
          <w:color w:val="000000"/>
        </w:rPr>
        <w:t xml:space="preserve"> </w:t>
      </w:r>
      <w:r>
        <w:rPr>
          <w:rFonts w:ascii="Book Antiqua" w:eastAsia="Book Antiqua" w:hAnsi="Book Antiqua" w:cs="Book Antiqua"/>
          <w:color w:val="000000"/>
        </w:rPr>
        <w:t xml:space="preserve">T, p.(Arg183Ter), a nonsense mutation in </w:t>
      </w:r>
      <w:r>
        <w:rPr>
          <w:rFonts w:ascii="Book Antiqua" w:eastAsia="Book Antiqua" w:hAnsi="Book Antiqua" w:cs="Book Antiqua"/>
          <w:i/>
          <w:iCs/>
          <w:color w:val="000000"/>
        </w:rPr>
        <w:t>NR1H4</w:t>
      </w:r>
      <w:r>
        <w:rPr>
          <w:rFonts w:ascii="Book Antiqua" w:eastAsia="Book Antiqua" w:hAnsi="Book Antiqua" w:cs="Book Antiqua"/>
          <w:color w:val="000000"/>
        </w:rPr>
        <w:t xml:space="preserve">. Sanger sequencing confirmed homozygosity for this variant in the patient and heterozygosity in each parent. Immunostaining revealed absence of BSEP (Figure 1B) and of nuclear marking for FXR (Figure 1C). </w:t>
      </w:r>
      <w:r w:rsidR="00D26CAE">
        <w:rPr>
          <w:rFonts w:ascii="Book Antiqua" w:eastAsia="Book Antiqua" w:hAnsi="Book Antiqua" w:cs="Book Antiqua"/>
          <w:color w:val="000000"/>
        </w:rPr>
        <w:t xml:space="preserve">Gamma-glutamyl transpeptidase </w:t>
      </w:r>
      <w:r>
        <w:rPr>
          <w:rFonts w:ascii="Book Antiqua" w:eastAsia="Book Antiqua" w:hAnsi="Book Antiqua" w:cs="Book Antiqua"/>
          <w:color w:val="000000"/>
        </w:rPr>
        <w:t>expression was present but very abnormal (Figure 1D).</w:t>
      </w:r>
    </w:p>
    <w:p w14:paraId="4E2205BF" w14:textId="77777777" w:rsidR="00A77B3E" w:rsidRDefault="00A77B3E">
      <w:pPr>
        <w:spacing w:line="360" w:lineRule="auto"/>
        <w:jc w:val="both"/>
      </w:pPr>
    </w:p>
    <w:p w14:paraId="0A4353AC" w14:textId="77777777" w:rsidR="00A77B3E" w:rsidRDefault="00AE5348">
      <w:pPr>
        <w:spacing w:line="360" w:lineRule="auto"/>
        <w:jc w:val="both"/>
      </w:pPr>
      <w:r>
        <w:rPr>
          <w:rFonts w:ascii="Book Antiqua" w:eastAsia="Book Antiqua" w:hAnsi="Book Antiqua" w:cs="Book Antiqua"/>
          <w:b/>
          <w:caps/>
          <w:color w:val="000000"/>
          <w:u w:val="single"/>
        </w:rPr>
        <w:t>TREATMENT</w:t>
      </w:r>
    </w:p>
    <w:p w14:paraId="53ED9472" w14:textId="0157A653" w:rsidR="00A77B3E" w:rsidRDefault="00AE5348">
      <w:pPr>
        <w:spacing w:line="360" w:lineRule="auto"/>
        <w:jc w:val="both"/>
      </w:pPr>
      <w:r>
        <w:rPr>
          <w:rFonts w:ascii="Book Antiqua" w:eastAsia="Book Antiqua" w:hAnsi="Book Antiqua" w:cs="Book Antiqua"/>
          <w:color w:val="000000"/>
        </w:rPr>
        <w:t>Vitamin supplementation and ursodeoxycholic acid (20</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mg/kg</w:t>
      </w:r>
      <w:r w:rsidR="00DF3A7D">
        <w:rPr>
          <w:rFonts w:ascii="Book Antiqua" w:eastAsia="Book Antiqua" w:hAnsi="Book Antiqua" w:cs="Book Antiqua"/>
          <w:color w:val="000000"/>
        </w:rPr>
        <w:t xml:space="preserve"> per </w:t>
      </w:r>
      <w:r>
        <w:rPr>
          <w:rFonts w:ascii="Book Antiqua" w:eastAsia="Book Antiqua" w:hAnsi="Book Antiqua" w:cs="Book Antiqua"/>
          <w:color w:val="000000"/>
        </w:rPr>
        <w:t>d) were initiated. Icterus and hypercholanemia worsened and the patient required repeated intravenous vitamin K. At age 8</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mo </w:t>
      </w:r>
      <w:r w:rsidR="00DF3A7D">
        <w:rPr>
          <w:rFonts w:ascii="Book Antiqua" w:eastAsia="Book Antiqua" w:hAnsi="Book Antiqua" w:cs="Book Antiqua"/>
          <w:color w:val="000000"/>
        </w:rPr>
        <w:t>[</w:t>
      </w:r>
      <w:r>
        <w:rPr>
          <w:rFonts w:ascii="Book Antiqua" w:eastAsia="Book Antiqua" w:hAnsi="Book Antiqua" w:cs="Book Antiqua"/>
          <w:color w:val="000000"/>
        </w:rPr>
        <w:t>8.4</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kg </w:t>
      </w:r>
      <w:r w:rsidR="00DF3A7D">
        <w:rPr>
          <w:rFonts w:ascii="Book Antiqua" w:eastAsia="Book Antiqua" w:hAnsi="Book Antiqua" w:cs="Book Antiqua"/>
          <w:color w:val="000000"/>
        </w:rPr>
        <w:t>(</w:t>
      </w:r>
      <w:r>
        <w:rPr>
          <w:rFonts w:ascii="Book Antiqua" w:eastAsia="Book Antiqua" w:hAnsi="Book Antiqua" w:cs="Book Antiqua"/>
          <w:color w:val="000000"/>
        </w:rPr>
        <w:t>40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percentile</w:t>
      </w:r>
      <w:r w:rsidR="00DF3A7D">
        <w:rPr>
          <w:rFonts w:ascii="Book Antiqua" w:eastAsia="Book Antiqua" w:hAnsi="Book Antiqua" w:cs="Book Antiqua"/>
          <w:color w:val="000000"/>
        </w:rPr>
        <w:t>)</w:t>
      </w:r>
      <w:r>
        <w:rPr>
          <w:rFonts w:ascii="Book Antiqua" w:eastAsia="Book Antiqua" w:hAnsi="Book Antiqua" w:cs="Book Antiqua"/>
          <w:color w:val="000000"/>
        </w:rPr>
        <w:t>], uncontrollable coagulopathy prompted maternal-donor LT, with splenectomy due to substantial splenomegaly. Histopathologic evaluation revealed marked hepatocellular and canalicular cholestasis with steatosis and micronodular cirrhosis (Figure 1A). Dysplasia and malignancy were not found.</w:t>
      </w:r>
    </w:p>
    <w:p w14:paraId="5C64C4A3" w14:textId="77777777" w:rsidR="00A77B3E" w:rsidRDefault="00A77B3E">
      <w:pPr>
        <w:spacing w:line="360" w:lineRule="auto"/>
        <w:jc w:val="both"/>
      </w:pPr>
    </w:p>
    <w:p w14:paraId="20D87849" w14:textId="77777777" w:rsidR="00A77B3E" w:rsidRDefault="00AE5348">
      <w:pPr>
        <w:spacing w:line="360" w:lineRule="auto"/>
        <w:jc w:val="both"/>
      </w:pPr>
      <w:r>
        <w:rPr>
          <w:rFonts w:ascii="Book Antiqua" w:eastAsia="Book Antiqua" w:hAnsi="Book Antiqua" w:cs="Book Antiqua"/>
          <w:b/>
          <w:caps/>
          <w:color w:val="000000"/>
          <w:u w:val="single"/>
        </w:rPr>
        <w:t>OUTCOME AND FOLLOW-UP</w:t>
      </w:r>
    </w:p>
    <w:p w14:paraId="2B8B3E8B" w14:textId="2103BC70" w:rsidR="00A77B3E" w:rsidRDefault="00AE5348">
      <w:pPr>
        <w:spacing w:line="360" w:lineRule="auto"/>
        <w:jc w:val="both"/>
      </w:pPr>
      <w:r>
        <w:rPr>
          <w:rFonts w:ascii="Book Antiqua" w:eastAsia="Book Antiqua" w:hAnsi="Book Antiqua" w:cs="Book Antiqua"/>
          <w:color w:val="000000"/>
        </w:rPr>
        <w:t>There were no surgical issues after LT. Immunosuppression included tacrolimus and corticosteroids, with trimethoprim/sulfamethoxazole prophylaxis. Vaccination against meningococcus infection was unavailable. His course after LT was unremarkable for 12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 xml:space="preserve">mo, apart from transaminitis (cytomegalovirus infection, resolved with ganciclovir). His weight recovered </w:t>
      </w:r>
      <w:r w:rsidR="00DF3A7D">
        <w:rPr>
          <w:rFonts w:ascii="Book Antiqua" w:eastAsia="Book Antiqua" w:hAnsi="Book Antiqua" w:cs="Book Antiqua"/>
          <w:color w:val="000000"/>
        </w:rPr>
        <w:t>[</w:t>
      </w:r>
      <w:r>
        <w:rPr>
          <w:rFonts w:ascii="Book Antiqua" w:eastAsia="Book Antiqua" w:hAnsi="Book Antiqua" w:cs="Book Antiqua"/>
          <w:color w:val="000000"/>
        </w:rPr>
        <w:t>75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percentile </w:t>
      </w:r>
      <w:r w:rsidR="00DF3A7D">
        <w:rPr>
          <w:rFonts w:ascii="Book Antiqua" w:eastAsia="Book Antiqua" w:hAnsi="Book Antiqua" w:cs="Book Antiqua"/>
          <w:color w:val="000000"/>
        </w:rPr>
        <w:t>(</w:t>
      </w:r>
      <w:r>
        <w:rPr>
          <w:rFonts w:ascii="Book Antiqua" w:eastAsia="Book Antiqua" w:hAnsi="Book Antiqua" w:cs="Book Antiqua"/>
          <w:color w:val="000000"/>
        </w:rPr>
        <w:t>age 19</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mo</w:t>
      </w:r>
      <w:r w:rsidR="00DF3A7D">
        <w:rPr>
          <w:rFonts w:ascii="Book Antiqua" w:eastAsia="Book Antiqua" w:hAnsi="Book Antiqua" w:cs="Book Antiqua"/>
          <w:color w:val="000000"/>
        </w:rPr>
        <w:t>)</w:t>
      </w:r>
      <w:r>
        <w:rPr>
          <w:rFonts w:ascii="Book Antiqua" w:eastAsia="Book Antiqua" w:hAnsi="Book Antiqua" w:cs="Book Antiqua"/>
          <w:color w:val="000000"/>
        </w:rPr>
        <w:t xml:space="preserve"> 11</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mo after LT</w:t>
      </w:r>
      <w:r w:rsidR="00DF3A7D">
        <w:rPr>
          <w:rFonts w:ascii="Book Antiqua" w:eastAsia="Book Antiqua" w:hAnsi="Book Antiqua" w:cs="Book Antiqua"/>
          <w:color w:val="000000"/>
        </w:rPr>
        <w:t>]</w:t>
      </w:r>
      <w:r>
        <w:rPr>
          <w:rFonts w:ascii="Book Antiqua" w:eastAsia="Book Antiqua" w:hAnsi="Book Antiqua" w:cs="Book Antiqua"/>
          <w:color w:val="000000"/>
        </w:rPr>
        <w:t>. At age 20</w:t>
      </w:r>
      <w:r w:rsidR="00DF3A7D">
        <w:rPr>
          <w:rFonts w:ascii="Book Antiqua" w:eastAsia="Book Antiqua" w:hAnsi="Book Antiqua" w:cs="Book Antiqua"/>
          <w:color w:val="000000"/>
        </w:rPr>
        <w:t xml:space="preserve"> </w:t>
      </w:r>
      <w:r>
        <w:rPr>
          <w:rFonts w:ascii="Book Antiqua" w:eastAsia="Book Antiqua" w:hAnsi="Book Antiqua" w:cs="Book Antiqua"/>
          <w:color w:val="000000"/>
        </w:rPr>
        <w:t>mo, vomiting and fever required hospital admission elsewhere. He was assessed as in good condition, but within 12</w:t>
      </w:r>
      <w:r w:rsidR="00DF3A7D">
        <w:rPr>
          <w:rFonts w:ascii="Book Antiqua" w:eastAsia="Book Antiqua" w:hAnsi="Book Antiqua" w:cs="Book Antiqua"/>
          <w:color w:val="000000"/>
        </w:rPr>
        <w:t xml:space="preserve"> </w:t>
      </w:r>
      <w:r>
        <w:rPr>
          <w:rFonts w:ascii="Book Antiqua" w:eastAsia="Book Antiqua" w:hAnsi="Book Antiqua" w:cs="Book Antiqua"/>
          <w:color w:val="000000"/>
        </w:rPr>
        <w:t>h he died with disseminated intravascular coagulation and multiorgan failure. No micro-organisms were cultured. Necropsy found hemorrhagic adrenal necrosis. The liver was unremarkable. The heart contained a few foci of remote intramyocardial arterial thrombosis, with dystrophic mineralization.</w:t>
      </w:r>
    </w:p>
    <w:p w14:paraId="17EB32EA" w14:textId="77777777" w:rsidR="00A77B3E" w:rsidRDefault="00A77B3E">
      <w:pPr>
        <w:spacing w:line="360" w:lineRule="auto"/>
        <w:jc w:val="both"/>
      </w:pPr>
    </w:p>
    <w:p w14:paraId="350CFB5F" w14:textId="77777777" w:rsidR="00A77B3E" w:rsidRDefault="00AE5348">
      <w:pPr>
        <w:spacing w:line="360" w:lineRule="auto"/>
        <w:jc w:val="both"/>
      </w:pPr>
      <w:r>
        <w:rPr>
          <w:rFonts w:ascii="Book Antiqua" w:eastAsia="Book Antiqua" w:hAnsi="Book Antiqua" w:cs="Book Antiqua"/>
          <w:b/>
          <w:caps/>
          <w:color w:val="000000"/>
          <w:u w:val="single"/>
        </w:rPr>
        <w:t>DISCUSSION</w:t>
      </w:r>
    </w:p>
    <w:p w14:paraId="4E144679" w14:textId="2E585ABC" w:rsidR="00A77B3E" w:rsidRDefault="00AE5348">
      <w:pPr>
        <w:spacing w:line="360" w:lineRule="auto"/>
        <w:jc w:val="both"/>
      </w:pPr>
      <w:r>
        <w:rPr>
          <w:rFonts w:ascii="Book Antiqua" w:eastAsia="Book Antiqua" w:hAnsi="Book Antiqua" w:cs="Book Antiqua"/>
          <w:color w:val="000000"/>
        </w:rPr>
        <w:lastRenderedPageBreak/>
        <w:t xml:space="preserve">The fundamental role of FXR in BA homeostasis is consistent with the severity of liver disease associated with its absence. Our patient had substantially impaired liver function from presentation at </w:t>
      </w:r>
      <w:r w:rsidR="00D26CAE">
        <w:rPr>
          <w:rFonts w:ascii="Book Antiqua" w:eastAsia="Book Antiqua" w:hAnsi="Book Antiqua" w:cs="Book Antiqua"/>
          <w:color w:val="000000"/>
        </w:rPr>
        <w:t xml:space="preserve">Children’s Memorial Health Institute </w:t>
      </w:r>
      <w:r>
        <w:rPr>
          <w:rFonts w:ascii="Book Antiqua" w:eastAsia="Book Antiqua" w:hAnsi="Book Antiqua" w:cs="Book Antiqua"/>
          <w:color w:val="000000"/>
        </w:rPr>
        <w:t>onward (hypoglycemia; coagulopathy unresponsive to parenteral vitamin K). These disease manifestations overlap with those in the children in whom FXR deficiency was first reported</w:t>
      </w:r>
      <w:r>
        <w:rPr>
          <w:rFonts w:ascii="Book Antiqua" w:eastAsia="Book Antiqua" w:hAnsi="Book Antiqua" w:cs="Book Antiqua"/>
          <w:color w:val="000000"/>
          <w:vertAlign w:val="superscript"/>
        </w:rPr>
        <w:t>[2]</w:t>
      </w:r>
      <w:r>
        <w:rPr>
          <w:rFonts w:ascii="Book Antiqua" w:eastAsia="Book Antiqua" w:hAnsi="Book Antiqua" w:cs="Book Antiqua"/>
          <w:color w:val="000000"/>
        </w:rPr>
        <w:t>. Coagulopathy is common in cholestasis. Initially, however, it usually responds to vitamin K. In FXR deficiency</w:t>
      </w:r>
      <w:r w:rsidR="003B6B80">
        <w:rPr>
          <w:rFonts w:ascii="Book Antiqua" w:eastAsia="Book Antiqua" w:hAnsi="Book Antiqua" w:cs="Book Antiqua"/>
          <w:color w:val="000000"/>
        </w:rPr>
        <w:t>,</w:t>
      </w:r>
      <w:r>
        <w:rPr>
          <w:rFonts w:ascii="Book Antiqua" w:eastAsia="Book Antiqua" w:hAnsi="Book Antiqua" w:cs="Book Antiqua"/>
          <w:color w:val="000000"/>
        </w:rPr>
        <w:t xml:space="preserve"> vitamin K does not correct the clotting, which seems disproportionate to the severity of liver disease. This may reflect direct involvement of FXR in regulating-clotting factor production</w:t>
      </w:r>
      <w:r>
        <w:rPr>
          <w:rFonts w:ascii="Book Antiqua" w:eastAsia="Book Antiqua" w:hAnsi="Book Antiqua" w:cs="Book Antiqua"/>
          <w:color w:val="000000"/>
          <w:vertAlign w:val="superscript"/>
        </w:rPr>
        <w:t>[5]</w:t>
      </w:r>
      <w:r>
        <w:rPr>
          <w:rFonts w:ascii="Book Antiqua" w:eastAsia="Book Antiqua" w:hAnsi="Book Antiqua" w:cs="Book Antiqua"/>
          <w:color w:val="000000"/>
        </w:rPr>
        <w:t>. Serum BA elevations in our patient and in one previously described FXR-deficient patient for whom serum BA were reported</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were modest compared with those in patients with similarly severe cholestasis and BSEP deficiency. This difference may reflect failure of FXR-mediated down-regulation of </w:t>
      </w:r>
      <w:r w:rsidR="00D26CAE">
        <w:rPr>
          <w:rFonts w:ascii="Book Antiqua" w:eastAsia="Book Antiqua" w:hAnsi="Book Antiqua" w:cs="Book Antiqua"/>
          <w:color w:val="000000"/>
        </w:rPr>
        <w:t>Na</w:t>
      </w:r>
      <w:r w:rsidR="00D26CAE">
        <w:rPr>
          <w:rFonts w:ascii="Book Antiqua" w:eastAsia="Book Antiqua" w:hAnsi="Book Antiqua" w:cs="Book Antiqua"/>
          <w:color w:val="000000"/>
          <w:szCs w:val="30"/>
          <w:vertAlign w:val="superscript"/>
        </w:rPr>
        <w:t>+</w:t>
      </w:r>
      <w:r w:rsidR="00D26CAE">
        <w:rPr>
          <w:rFonts w:ascii="Book Antiqua" w:eastAsia="Book Antiqua" w:hAnsi="Book Antiqua" w:cs="Book Antiqua"/>
          <w:color w:val="000000"/>
        </w:rPr>
        <w:t xml:space="preserve">-taurocholate </w:t>
      </w:r>
      <w:proofErr w:type="spellStart"/>
      <w:r w:rsidR="00D26CAE">
        <w:rPr>
          <w:rFonts w:ascii="Book Antiqua" w:eastAsia="Book Antiqua" w:hAnsi="Book Antiqua" w:cs="Book Antiqua"/>
          <w:color w:val="000000"/>
        </w:rPr>
        <w:t>cotransporting</w:t>
      </w:r>
      <w:proofErr w:type="spellEnd"/>
      <w:r w:rsidR="00D26CAE">
        <w:rPr>
          <w:rFonts w:ascii="Book Antiqua" w:eastAsia="Book Antiqua" w:hAnsi="Book Antiqua" w:cs="Book Antiqua"/>
          <w:color w:val="000000"/>
        </w:rPr>
        <w:t xml:space="preserve"> polypeptide </w:t>
      </w:r>
      <w:r>
        <w:rPr>
          <w:rFonts w:ascii="Book Antiqua" w:eastAsia="Book Antiqua" w:hAnsi="Book Antiqua" w:cs="Book Antiqua"/>
          <w:color w:val="000000"/>
        </w:rPr>
        <w:t>in FXR deficiency, with consequent unabated hepatocellular uptake of BA</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138A6E7" w14:textId="50890C99" w:rsidR="00A77B3E" w:rsidRDefault="00AE5348" w:rsidP="00DF3A7D">
      <w:pPr>
        <w:spacing w:line="360" w:lineRule="auto"/>
        <w:ind w:firstLineChars="100" w:firstLine="240"/>
        <w:jc w:val="both"/>
      </w:pPr>
      <w:r>
        <w:rPr>
          <w:rFonts w:ascii="Book Antiqua" w:eastAsia="Book Antiqua" w:hAnsi="Book Antiqua" w:cs="Book Antiqua"/>
          <w:color w:val="000000"/>
        </w:rPr>
        <w:t xml:space="preserve">High AFP levels are found in hepatocellular carcinoma and, during early infancy, in severe early-onset cholestasis. As seen in our patient and others, persistently elevated AFP values in the absence of </w:t>
      </w:r>
      <w:r w:rsidR="003B6B80">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may be a feature of </w:t>
      </w:r>
      <w:r>
        <w:rPr>
          <w:rFonts w:ascii="Book Antiqua" w:eastAsia="Book Antiqua" w:hAnsi="Book Antiqua" w:cs="Book Antiqua"/>
          <w:i/>
          <w:iCs/>
          <w:color w:val="000000"/>
        </w:rPr>
        <w:t>NR1H4</w:t>
      </w:r>
      <w:r>
        <w:rPr>
          <w:rFonts w:ascii="Book Antiqua" w:eastAsia="Book Antiqua" w:hAnsi="Book Antiqua" w:cs="Book Antiqua"/>
          <w:color w:val="000000"/>
        </w:rPr>
        <w:t xml:space="preserve"> disease</w:t>
      </w:r>
      <w:r>
        <w:rPr>
          <w:rFonts w:ascii="Book Antiqua" w:eastAsia="Book Antiqua" w:hAnsi="Book Antiqua" w:cs="Book Antiqua"/>
          <w:color w:val="000000"/>
          <w:vertAlign w:val="superscript"/>
        </w:rPr>
        <w:t>[2</w:t>
      </w:r>
      <w:r w:rsidR="00DF3A7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may complicate monitoring for </w:t>
      </w:r>
      <w:r w:rsidR="003B6B80">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development.</w:t>
      </w:r>
    </w:p>
    <w:p w14:paraId="3274C1B6" w14:textId="77777777" w:rsidR="00A77B3E" w:rsidRDefault="00AE5348" w:rsidP="00DF3A7D">
      <w:pPr>
        <w:spacing w:line="360" w:lineRule="auto"/>
        <w:ind w:firstLineChars="100" w:firstLine="240"/>
        <w:jc w:val="both"/>
      </w:pPr>
      <w:r>
        <w:rPr>
          <w:rFonts w:ascii="Book Antiqua" w:eastAsia="Book Antiqua" w:hAnsi="Book Antiqua" w:cs="Book Antiqua"/>
          <w:color w:val="000000"/>
        </w:rPr>
        <w:t>Two siblings who underwent LT for FXR deficiency developed mild allograft steatosis, ascribed provisionally to disrupted ileal control of enterohepatic BA homeostasis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third transplanted patient had stable graft function, and no steatosis in post-transplant liver biopsies in the first 2 years. Our patient had no allograft steatosis, good graft function and no evidence of gastrointestinal disease. These observations suggest heterogeneity in compensation for extrahepatic FXR deficiency. We consider our patient’s death (sepsis, adrenal haemorrhage; predisposed by immunosuppression and lack of spleen) to be independent of </w:t>
      </w:r>
      <w:r>
        <w:rPr>
          <w:rFonts w:ascii="Book Antiqua" w:eastAsia="Book Antiqua" w:hAnsi="Book Antiqua" w:cs="Book Antiqua"/>
          <w:i/>
          <w:iCs/>
          <w:color w:val="000000"/>
        </w:rPr>
        <w:t>NR1H4</w:t>
      </w:r>
      <w:r>
        <w:rPr>
          <w:rFonts w:ascii="Book Antiqua" w:eastAsia="Book Antiqua" w:hAnsi="Book Antiqua" w:cs="Book Antiqua"/>
          <w:color w:val="000000"/>
        </w:rPr>
        <w:t xml:space="preserve"> mutation.</w:t>
      </w:r>
    </w:p>
    <w:p w14:paraId="44382CEC" w14:textId="77777777" w:rsidR="00A77B3E" w:rsidRDefault="00A77B3E">
      <w:pPr>
        <w:spacing w:line="360" w:lineRule="auto"/>
        <w:jc w:val="both"/>
      </w:pPr>
    </w:p>
    <w:p w14:paraId="3A20305A" w14:textId="77777777" w:rsidR="00A77B3E" w:rsidRDefault="00AE5348">
      <w:pPr>
        <w:spacing w:line="360" w:lineRule="auto"/>
        <w:jc w:val="both"/>
      </w:pPr>
      <w:r>
        <w:rPr>
          <w:rFonts w:ascii="Book Antiqua" w:eastAsia="Book Antiqua" w:hAnsi="Book Antiqua" w:cs="Book Antiqua"/>
          <w:b/>
          <w:caps/>
          <w:color w:val="000000"/>
          <w:u w:val="single"/>
        </w:rPr>
        <w:t>CONCLUSION</w:t>
      </w:r>
    </w:p>
    <w:p w14:paraId="7FEBC5A2" w14:textId="77777777" w:rsidR="00A77B3E" w:rsidRDefault="00AE5348">
      <w:pPr>
        <w:spacing w:line="360" w:lineRule="auto"/>
        <w:jc w:val="both"/>
      </w:pPr>
      <w:r>
        <w:rPr>
          <w:rFonts w:ascii="Book Antiqua" w:eastAsia="Book Antiqua" w:hAnsi="Book Antiqua" w:cs="Book Antiqua"/>
          <w:color w:val="000000"/>
        </w:rPr>
        <w:lastRenderedPageBreak/>
        <w:t xml:space="preserve">FXR deficiency due to </w:t>
      </w:r>
      <w:r>
        <w:rPr>
          <w:rFonts w:ascii="Book Antiqua" w:eastAsia="Book Antiqua" w:hAnsi="Book Antiqua" w:cs="Book Antiqua"/>
          <w:i/>
          <w:iCs/>
          <w:color w:val="000000"/>
        </w:rPr>
        <w:t>NR1H4</w:t>
      </w:r>
      <w:r>
        <w:rPr>
          <w:rFonts w:ascii="Book Antiqua" w:eastAsia="Book Antiqua" w:hAnsi="Book Antiqua" w:cs="Book Antiqua"/>
          <w:color w:val="000000"/>
        </w:rPr>
        <w:t xml:space="preserve"> mutation is a rare cause of neonatal cholestasis. Severe cholestasis with persistently high AFP, and modestly elevated serum BA levels, may suggest FXR deficiency.</w:t>
      </w:r>
    </w:p>
    <w:p w14:paraId="1309C8FF" w14:textId="77777777" w:rsidR="00A77B3E" w:rsidRDefault="00A77B3E">
      <w:pPr>
        <w:spacing w:line="360" w:lineRule="auto"/>
        <w:jc w:val="both"/>
      </w:pPr>
    </w:p>
    <w:p w14:paraId="79709CE6" w14:textId="77777777" w:rsidR="00A77B3E" w:rsidRDefault="00AE5348">
      <w:pPr>
        <w:spacing w:line="360" w:lineRule="auto"/>
        <w:jc w:val="both"/>
      </w:pPr>
      <w:r>
        <w:rPr>
          <w:rFonts w:ascii="Book Antiqua" w:eastAsia="Book Antiqua" w:hAnsi="Book Antiqua" w:cs="Book Antiqua"/>
          <w:b/>
          <w:color w:val="000000"/>
        </w:rPr>
        <w:t>REFERENCES</w:t>
      </w:r>
    </w:p>
    <w:p w14:paraId="70402195" w14:textId="77777777" w:rsidR="00A77B3E" w:rsidRDefault="00AE534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Claudel T</w:t>
      </w:r>
      <w:r>
        <w:rPr>
          <w:rFonts w:ascii="Book Antiqua" w:eastAsia="Book Antiqua" w:hAnsi="Book Antiqua" w:cs="Book Antiqua"/>
          <w:color w:val="000000"/>
        </w:rPr>
        <w:t xml:space="preserve">, Sturm E, </w:t>
      </w:r>
      <w:proofErr w:type="spellStart"/>
      <w:r>
        <w:rPr>
          <w:rFonts w:ascii="Book Antiqua" w:eastAsia="Book Antiqua" w:hAnsi="Book Antiqua" w:cs="Book Antiqua"/>
          <w:color w:val="000000"/>
        </w:rPr>
        <w:t>Kuipers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Staels</w:t>
      </w:r>
      <w:proofErr w:type="spellEnd"/>
      <w:r>
        <w:rPr>
          <w:rFonts w:ascii="Book Antiqua" w:eastAsia="Book Antiqua" w:hAnsi="Book Antiqua" w:cs="Book Antiqua"/>
          <w:color w:val="000000"/>
        </w:rPr>
        <w:t xml:space="preserve"> B. The farnesoid X receptor: a novel drug target?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Drugs</w:t>
      </w:r>
      <w:r>
        <w:rPr>
          <w:rFonts w:ascii="Book Antiqua" w:eastAsia="Book Antiqua" w:hAnsi="Book Antiqua" w:cs="Book Antiqua"/>
          <w:color w:val="000000"/>
        </w:rPr>
        <w:t xml:space="preserve"> 2004; </w:t>
      </w:r>
      <w:r>
        <w:rPr>
          <w:rFonts w:ascii="Book Antiqua" w:eastAsia="Book Antiqua" w:hAnsi="Book Antiqua" w:cs="Book Antiqua"/>
          <w:b/>
          <w:bCs/>
          <w:color w:val="000000"/>
        </w:rPr>
        <w:t>13</w:t>
      </w:r>
      <w:r>
        <w:rPr>
          <w:rFonts w:ascii="Book Antiqua" w:eastAsia="Book Antiqua" w:hAnsi="Book Antiqua" w:cs="Book Antiqua"/>
          <w:color w:val="000000"/>
        </w:rPr>
        <w:t>: 1135-1148 [PMID: 15330745 DOI: 10.1517/13543784.13.9.1135]</w:t>
      </w:r>
    </w:p>
    <w:p w14:paraId="67553F0C" w14:textId="77777777" w:rsidR="00A77B3E" w:rsidRDefault="00AE53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Gomez-Ospina N</w:t>
      </w:r>
      <w:r>
        <w:rPr>
          <w:rFonts w:ascii="Book Antiqua" w:eastAsia="Book Antiqua" w:hAnsi="Book Antiqua" w:cs="Book Antiqua"/>
          <w:color w:val="000000"/>
        </w:rPr>
        <w:t xml:space="preserve">, Potter CJ, Xiao R, Manickam K, Kim MS, Kim KH, </w:t>
      </w:r>
      <w:proofErr w:type="spellStart"/>
      <w:r>
        <w:rPr>
          <w:rFonts w:ascii="Book Antiqua" w:eastAsia="Book Antiqua" w:hAnsi="Book Antiqua" w:cs="Book Antiqua"/>
          <w:color w:val="000000"/>
        </w:rPr>
        <w:t>Shneider</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Picarsic</w:t>
      </w:r>
      <w:proofErr w:type="spellEnd"/>
      <w:r>
        <w:rPr>
          <w:rFonts w:ascii="Book Antiqua" w:eastAsia="Book Antiqua" w:hAnsi="Book Antiqua" w:cs="Book Antiqua"/>
          <w:color w:val="000000"/>
        </w:rPr>
        <w:t xml:space="preserve"> JL, Jacobson TA, Zhang J, He W, Liu P, </w:t>
      </w:r>
      <w:proofErr w:type="spellStart"/>
      <w:r>
        <w:rPr>
          <w:rFonts w:ascii="Book Antiqua" w:eastAsia="Book Antiqua" w:hAnsi="Book Antiqua" w:cs="Book Antiqua"/>
          <w:color w:val="000000"/>
        </w:rPr>
        <w:t>Knisely</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Muzny</w:t>
      </w:r>
      <w:proofErr w:type="spellEnd"/>
      <w:r>
        <w:rPr>
          <w:rFonts w:ascii="Book Antiqua" w:eastAsia="Book Antiqua" w:hAnsi="Book Antiqua" w:cs="Book Antiqua"/>
          <w:color w:val="000000"/>
        </w:rPr>
        <w:t xml:space="preserve"> DM, Boerwinkle E, </w:t>
      </w:r>
      <w:proofErr w:type="spellStart"/>
      <w:r>
        <w:rPr>
          <w:rFonts w:ascii="Book Antiqua" w:eastAsia="Book Antiqua" w:hAnsi="Book Antiqua" w:cs="Book Antiqua"/>
          <w:color w:val="000000"/>
        </w:rPr>
        <w:t>Lupski</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Plon</w:t>
      </w:r>
      <w:proofErr w:type="spellEnd"/>
      <w:r>
        <w:rPr>
          <w:rFonts w:ascii="Book Antiqua" w:eastAsia="Book Antiqua" w:hAnsi="Book Antiqua" w:cs="Book Antiqua"/>
          <w:color w:val="000000"/>
        </w:rPr>
        <w:t xml:space="preserve"> SE, Gibbs RA,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CM, Yang Y, Washington GC, </w:t>
      </w:r>
      <w:proofErr w:type="spellStart"/>
      <w:r>
        <w:rPr>
          <w:rFonts w:ascii="Book Antiqua" w:eastAsia="Book Antiqua" w:hAnsi="Book Antiqua" w:cs="Book Antiqua"/>
          <w:color w:val="000000"/>
        </w:rPr>
        <w:t>Porteus</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Berquist</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Kambham</w:t>
      </w:r>
      <w:proofErr w:type="spellEnd"/>
      <w:r>
        <w:rPr>
          <w:rFonts w:ascii="Book Antiqua" w:eastAsia="Book Antiqua" w:hAnsi="Book Antiqua" w:cs="Book Antiqua"/>
          <w:color w:val="000000"/>
        </w:rPr>
        <w:t xml:space="preserve"> N, Singh RJ, Xia F, Enns GM, Moore DD. Mutations in the nuclear bile acid receptor FXR cause progressive familial intrahepatic cholestasis.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10713 [PMID: 26888176 DOI: 10.1038/ncomms10713]</w:t>
      </w:r>
    </w:p>
    <w:p w14:paraId="4C609B2E" w14:textId="77777777" w:rsidR="00A77B3E" w:rsidRDefault="00AE53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HL</w:t>
      </w:r>
      <w:r>
        <w:rPr>
          <w:rFonts w:ascii="Book Antiqua" w:eastAsia="Book Antiqua" w:hAnsi="Book Antiqua" w:cs="Book Antiqua"/>
          <w:color w:val="000000"/>
        </w:rPr>
        <w:t xml:space="preserve">, Li HY, Wu JF, Wu SH, Chen HL, Yang YH, Hsu YH,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BY, Chang MH, Ni YH. Panel-Based Next-Generation Sequencing for the Diagnosis of Cholestatic Genetic Liver Diseases: Clinical Utility and Challenges.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205</w:t>
      </w:r>
      <w:r>
        <w:rPr>
          <w:rFonts w:ascii="Book Antiqua" w:eastAsia="Book Antiqua" w:hAnsi="Book Antiqua" w:cs="Book Antiqua"/>
          <w:color w:val="000000"/>
        </w:rPr>
        <w:t>: 153-159.e6 [PMID: 30366773 DOI: 10.1016/j.jpeds.2018.09.028]</w:t>
      </w:r>
    </w:p>
    <w:p w14:paraId="312E1C2A" w14:textId="77777777" w:rsidR="00A77B3E" w:rsidRDefault="00AE53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Himes RW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Mojarrad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Eslahi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Maroofian</w:t>
      </w:r>
      <w:proofErr w:type="spellEnd"/>
      <w:r>
        <w:rPr>
          <w:rFonts w:ascii="Book Antiqua" w:eastAsia="Book Antiqua" w:hAnsi="Book Antiqua" w:cs="Book Antiqua"/>
          <w:color w:val="000000"/>
        </w:rPr>
        <w:t xml:space="preserve"> R, Moore DD. NR1H4-related Progressive Familial Intrahepatic Cholestasis 5: Further Evidence for Rapidly Progressive Liver Failure.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e111-e113 [PMID: 32443034 DOI: 10.1097/MPG.0000000000002670]</w:t>
      </w:r>
    </w:p>
    <w:p w14:paraId="50FB32AD" w14:textId="77777777" w:rsidR="00A77B3E" w:rsidRDefault="00AE53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Zhao A</w:t>
      </w:r>
      <w:r>
        <w:rPr>
          <w:rFonts w:ascii="Book Antiqua" w:eastAsia="Book Antiqua" w:hAnsi="Book Antiqua" w:cs="Book Antiqua"/>
          <w:color w:val="000000"/>
        </w:rPr>
        <w:t xml:space="preserve">, Lew JL, Huang L, Yu J, Zhang T, </w:t>
      </w:r>
      <w:proofErr w:type="spellStart"/>
      <w:r>
        <w:rPr>
          <w:rFonts w:ascii="Book Antiqua" w:eastAsia="Book Antiqua" w:hAnsi="Book Antiqua" w:cs="Book Antiqua"/>
          <w:color w:val="000000"/>
        </w:rPr>
        <w:t>Hrywna</w:t>
      </w:r>
      <w:proofErr w:type="spellEnd"/>
      <w:r>
        <w:rPr>
          <w:rFonts w:ascii="Book Antiqua" w:eastAsia="Book Antiqua" w:hAnsi="Book Antiqua" w:cs="Book Antiqua"/>
          <w:color w:val="000000"/>
        </w:rPr>
        <w:t xml:space="preserve"> Y, Thompson JR, de Pedro N, Blevins RA, </w:t>
      </w:r>
      <w:proofErr w:type="spellStart"/>
      <w:r>
        <w:rPr>
          <w:rFonts w:ascii="Book Antiqua" w:eastAsia="Book Antiqua" w:hAnsi="Book Antiqua" w:cs="Book Antiqua"/>
          <w:color w:val="000000"/>
        </w:rPr>
        <w:t>Peláez</w:t>
      </w:r>
      <w:proofErr w:type="spellEnd"/>
      <w:r>
        <w:rPr>
          <w:rFonts w:ascii="Book Antiqua" w:eastAsia="Book Antiqua" w:hAnsi="Book Antiqua" w:cs="Book Antiqua"/>
          <w:color w:val="000000"/>
        </w:rPr>
        <w:t xml:space="preserve"> F, Wright SD, Cui J. Human kininogen gene is transactivated by the farnesoid X receptor.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2003; </w:t>
      </w:r>
      <w:r>
        <w:rPr>
          <w:rFonts w:ascii="Book Antiqua" w:eastAsia="Book Antiqua" w:hAnsi="Book Antiqua" w:cs="Book Antiqua"/>
          <w:b/>
          <w:bCs/>
          <w:color w:val="000000"/>
        </w:rPr>
        <w:t>278</w:t>
      </w:r>
      <w:r>
        <w:rPr>
          <w:rFonts w:ascii="Book Antiqua" w:eastAsia="Book Antiqua" w:hAnsi="Book Antiqua" w:cs="Book Antiqua"/>
          <w:color w:val="000000"/>
        </w:rPr>
        <w:t>: 28765-28770 [PMID: 12761213 DOI: 10.1074/jbc.M304568200]</w:t>
      </w:r>
    </w:p>
    <w:p w14:paraId="4FD3F242" w14:textId="77777777" w:rsidR="00A77B3E" w:rsidRDefault="00AE53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Denson LA</w:t>
      </w:r>
      <w:r>
        <w:rPr>
          <w:rFonts w:ascii="Book Antiqua" w:eastAsia="Book Antiqua" w:hAnsi="Book Antiqua" w:cs="Book Antiqua"/>
          <w:color w:val="000000"/>
        </w:rPr>
        <w:t xml:space="preserve">, Sturm E, Echevarria W, Zimmerman TL, </w:t>
      </w:r>
      <w:proofErr w:type="spellStart"/>
      <w:r>
        <w:rPr>
          <w:rFonts w:ascii="Book Antiqua" w:eastAsia="Book Antiqua" w:hAnsi="Book Antiqua" w:cs="Book Antiqua"/>
          <w:color w:val="000000"/>
        </w:rPr>
        <w:t>Makishima</w:t>
      </w:r>
      <w:proofErr w:type="spellEnd"/>
      <w:r>
        <w:rPr>
          <w:rFonts w:ascii="Book Antiqua" w:eastAsia="Book Antiqua" w:hAnsi="Book Antiqua" w:cs="Book Antiqua"/>
          <w:color w:val="000000"/>
        </w:rPr>
        <w:t xml:space="preserve"> M, Mangelsdorf DJ, </w:t>
      </w:r>
      <w:proofErr w:type="spellStart"/>
      <w:r>
        <w:rPr>
          <w:rFonts w:ascii="Book Antiqua" w:eastAsia="Book Antiqua" w:hAnsi="Book Antiqua" w:cs="Book Antiqua"/>
          <w:color w:val="000000"/>
        </w:rPr>
        <w:t>Karpen</w:t>
      </w:r>
      <w:proofErr w:type="spellEnd"/>
      <w:r>
        <w:rPr>
          <w:rFonts w:ascii="Book Antiqua" w:eastAsia="Book Antiqua" w:hAnsi="Book Antiqua" w:cs="Book Antiqua"/>
          <w:color w:val="000000"/>
        </w:rPr>
        <w:t xml:space="preserve"> SJ. The orphan nuclear receptor, </w:t>
      </w:r>
      <w:proofErr w:type="spellStart"/>
      <w:r>
        <w:rPr>
          <w:rFonts w:ascii="Book Antiqua" w:eastAsia="Book Antiqua" w:hAnsi="Book Antiqua" w:cs="Book Antiqua"/>
          <w:color w:val="000000"/>
        </w:rPr>
        <w:t>shp</w:t>
      </w:r>
      <w:proofErr w:type="spellEnd"/>
      <w:r>
        <w:rPr>
          <w:rFonts w:ascii="Book Antiqua" w:eastAsia="Book Antiqua" w:hAnsi="Book Antiqua" w:cs="Book Antiqua"/>
          <w:color w:val="000000"/>
        </w:rPr>
        <w:t xml:space="preserve">, mediates bile acid-induced inhibition of the rat bile acid transporter, </w:t>
      </w:r>
      <w:proofErr w:type="spellStart"/>
      <w:r>
        <w:rPr>
          <w:rFonts w:ascii="Book Antiqua" w:eastAsia="Book Antiqua" w:hAnsi="Book Antiqua" w:cs="Book Antiqua"/>
          <w:color w:val="000000"/>
        </w:rPr>
        <w:t>ntcp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121</w:t>
      </w:r>
      <w:r>
        <w:rPr>
          <w:rFonts w:ascii="Book Antiqua" w:eastAsia="Book Antiqua" w:hAnsi="Book Antiqua" w:cs="Book Antiqua"/>
          <w:color w:val="000000"/>
        </w:rPr>
        <w:t>: 140-147 [PMID: 11438503 DOI: 10.1053/gast.2001.25503]</w:t>
      </w:r>
    </w:p>
    <w:p w14:paraId="1101BEE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0526C5" w14:textId="77777777" w:rsidR="00A77B3E" w:rsidRDefault="00AE5348">
      <w:pPr>
        <w:spacing w:line="360" w:lineRule="auto"/>
        <w:jc w:val="both"/>
      </w:pPr>
      <w:r>
        <w:rPr>
          <w:rFonts w:ascii="Book Antiqua" w:eastAsia="Book Antiqua" w:hAnsi="Book Antiqua" w:cs="Book Antiqua"/>
          <w:b/>
          <w:color w:val="000000"/>
        </w:rPr>
        <w:lastRenderedPageBreak/>
        <w:t>Footnotes</w:t>
      </w:r>
    </w:p>
    <w:p w14:paraId="5FAD034B" w14:textId="77777777" w:rsidR="00A77B3E" w:rsidRDefault="00AE534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Parental consent was obtained for hospitalizations and all the procedures described in the manuscript.</w:t>
      </w:r>
    </w:p>
    <w:p w14:paraId="0B644923" w14:textId="77777777" w:rsidR="00A77B3E" w:rsidRDefault="00A77B3E">
      <w:pPr>
        <w:spacing w:line="360" w:lineRule="auto"/>
        <w:jc w:val="both"/>
      </w:pPr>
    </w:p>
    <w:p w14:paraId="215684FB" w14:textId="77777777" w:rsidR="00A77B3E" w:rsidRDefault="00AE534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Dr. Thompson consults for Albireo, Mirum, GenerationBio, Alnylam, Qing Bile, Horizon, Sana, and Retrophin and has share options in Qing Bile and GenerationBio. Other authors report no conflicts of interest.</w:t>
      </w:r>
    </w:p>
    <w:p w14:paraId="0F384CAE" w14:textId="77777777" w:rsidR="00A77B3E" w:rsidRDefault="00A77B3E">
      <w:pPr>
        <w:spacing w:line="360" w:lineRule="auto"/>
        <w:jc w:val="both"/>
      </w:pPr>
    </w:p>
    <w:p w14:paraId="7DE26B3A" w14:textId="787FFB8E" w:rsidR="00A77B3E" w:rsidRDefault="00AE534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B2021E">
        <w:rPr>
          <w:rFonts w:ascii="Book Antiqua" w:eastAsia="Book Antiqua" w:hAnsi="Book Antiqua" w:cs="Book Antiqua"/>
          <w:color w:val="000000"/>
        </w:rPr>
        <w:t>.</w:t>
      </w:r>
    </w:p>
    <w:p w14:paraId="72387CDD" w14:textId="77777777" w:rsidR="00A77B3E" w:rsidRDefault="00A77B3E">
      <w:pPr>
        <w:spacing w:line="360" w:lineRule="auto"/>
        <w:jc w:val="both"/>
      </w:pPr>
    </w:p>
    <w:p w14:paraId="7C1B2098" w14:textId="77777777" w:rsidR="00A77B3E" w:rsidRDefault="00AE53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BE603B" w14:textId="77777777" w:rsidR="00A77B3E" w:rsidRDefault="00A77B3E">
      <w:pPr>
        <w:spacing w:line="360" w:lineRule="auto"/>
        <w:jc w:val="both"/>
      </w:pPr>
    </w:p>
    <w:p w14:paraId="1D7E7866" w14:textId="4E03F162" w:rsidR="00A77B3E" w:rsidRDefault="00AE534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F3A5C">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699975C" w14:textId="77777777" w:rsidR="005438A9" w:rsidRDefault="005438A9">
      <w:pPr>
        <w:spacing w:line="360" w:lineRule="auto"/>
        <w:jc w:val="both"/>
      </w:pPr>
    </w:p>
    <w:p w14:paraId="17DDA70A" w14:textId="01E750D5" w:rsidR="00A77B3E" w:rsidRDefault="00AE5348">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Polish Society of Gastroenterology.</w:t>
      </w:r>
    </w:p>
    <w:p w14:paraId="2D5DF723" w14:textId="77777777" w:rsidR="00A77B3E" w:rsidRDefault="00A77B3E">
      <w:pPr>
        <w:spacing w:line="360" w:lineRule="auto"/>
        <w:jc w:val="both"/>
      </w:pPr>
    </w:p>
    <w:p w14:paraId="08DEBEA7" w14:textId="77777777" w:rsidR="00A77B3E" w:rsidRDefault="00AE53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17, 2020</w:t>
      </w:r>
    </w:p>
    <w:p w14:paraId="6444C456" w14:textId="77777777" w:rsidR="00A77B3E" w:rsidRDefault="00AE53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3D2D15DF" w14:textId="77777777" w:rsidR="00A77B3E" w:rsidRDefault="00AE5348">
      <w:pPr>
        <w:spacing w:line="360" w:lineRule="auto"/>
        <w:jc w:val="both"/>
      </w:pPr>
      <w:r>
        <w:rPr>
          <w:rFonts w:ascii="Book Antiqua" w:eastAsia="Book Antiqua" w:hAnsi="Book Antiqua" w:cs="Book Antiqua"/>
          <w:b/>
          <w:color w:val="000000"/>
        </w:rPr>
        <w:t xml:space="preserve">Article in press: </w:t>
      </w:r>
    </w:p>
    <w:p w14:paraId="05ACE4CE" w14:textId="77777777" w:rsidR="00A77B3E" w:rsidRDefault="00A77B3E">
      <w:pPr>
        <w:spacing w:line="360" w:lineRule="auto"/>
        <w:jc w:val="both"/>
      </w:pPr>
    </w:p>
    <w:p w14:paraId="54D26FAD" w14:textId="62D4EE71" w:rsidR="00A77B3E" w:rsidRDefault="00AE5348">
      <w:pPr>
        <w:spacing w:line="360" w:lineRule="auto"/>
        <w:jc w:val="both"/>
      </w:pPr>
      <w:r>
        <w:rPr>
          <w:rFonts w:ascii="Book Antiqua" w:eastAsia="Book Antiqua" w:hAnsi="Book Antiqua" w:cs="Book Antiqua"/>
          <w:b/>
          <w:color w:val="000000"/>
        </w:rPr>
        <w:t xml:space="preserve">Specialty type: </w:t>
      </w:r>
      <w:r w:rsidR="0095298E" w:rsidRPr="00E700C2">
        <w:rPr>
          <w:rFonts w:ascii="Book Antiqua" w:eastAsia="Microsoft YaHei" w:hAnsi="Book Antiqua" w:cs="SimSun"/>
        </w:rPr>
        <w:t>Medicine, research and experimental</w:t>
      </w:r>
    </w:p>
    <w:p w14:paraId="28132C92" w14:textId="77777777" w:rsidR="00A77B3E" w:rsidRDefault="00AE53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02A1A606" w14:textId="77777777" w:rsidR="00A77B3E" w:rsidRDefault="00AE5348">
      <w:pPr>
        <w:spacing w:line="360" w:lineRule="auto"/>
        <w:jc w:val="both"/>
      </w:pPr>
      <w:r>
        <w:rPr>
          <w:rFonts w:ascii="Book Antiqua" w:eastAsia="Book Antiqua" w:hAnsi="Book Antiqua" w:cs="Book Antiqua"/>
          <w:b/>
          <w:color w:val="000000"/>
        </w:rPr>
        <w:t>Peer-review report’s scientific quality classification</w:t>
      </w:r>
    </w:p>
    <w:p w14:paraId="0E6AE483" w14:textId="77777777" w:rsidR="00A77B3E" w:rsidRDefault="00AE5348">
      <w:pPr>
        <w:spacing w:line="360" w:lineRule="auto"/>
        <w:jc w:val="both"/>
      </w:pPr>
      <w:r>
        <w:rPr>
          <w:rFonts w:ascii="Book Antiqua" w:eastAsia="Book Antiqua" w:hAnsi="Book Antiqua" w:cs="Book Antiqua"/>
          <w:color w:val="000000"/>
        </w:rPr>
        <w:lastRenderedPageBreak/>
        <w:t>Grade A (Excellent): 0</w:t>
      </w:r>
    </w:p>
    <w:p w14:paraId="35CD2F23" w14:textId="77777777" w:rsidR="00A77B3E" w:rsidRDefault="00AE5348">
      <w:pPr>
        <w:spacing w:line="360" w:lineRule="auto"/>
        <w:jc w:val="both"/>
      </w:pPr>
      <w:r>
        <w:rPr>
          <w:rFonts w:ascii="Book Antiqua" w:eastAsia="Book Antiqua" w:hAnsi="Book Antiqua" w:cs="Book Antiqua"/>
          <w:color w:val="000000"/>
        </w:rPr>
        <w:t>Grade B (Very good): 0</w:t>
      </w:r>
    </w:p>
    <w:p w14:paraId="1B962F61" w14:textId="587EC56F" w:rsidR="00A77B3E" w:rsidRDefault="00AE5348">
      <w:pPr>
        <w:spacing w:line="360" w:lineRule="auto"/>
        <w:jc w:val="both"/>
      </w:pPr>
      <w:r>
        <w:rPr>
          <w:rFonts w:ascii="Book Antiqua" w:eastAsia="Book Antiqua" w:hAnsi="Book Antiqua" w:cs="Book Antiqua"/>
          <w:color w:val="000000"/>
        </w:rPr>
        <w:t>Grade C (Good): C</w:t>
      </w:r>
      <w:r w:rsidR="0095298E">
        <w:rPr>
          <w:rFonts w:ascii="Book Antiqua" w:eastAsia="Book Antiqua" w:hAnsi="Book Antiqua" w:cs="Book Antiqua"/>
          <w:color w:val="000000"/>
        </w:rPr>
        <w:t>, C</w:t>
      </w:r>
    </w:p>
    <w:p w14:paraId="6BA451A9" w14:textId="77777777" w:rsidR="00A77B3E" w:rsidRDefault="00AE5348">
      <w:pPr>
        <w:spacing w:line="360" w:lineRule="auto"/>
        <w:jc w:val="both"/>
      </w:pPr>
      <w:r>
        <w:rPr>
          <w:rFonts w:ascii="Book Antiqua" w:eastAsia="Book Antiqua" w:hAnsi="Book Antiqua" w:cs="Book Antiqua"/>
          <w:color w:val="000000"/>
        </w:rPr>
        <w:t>Grade D (Fair): 0</w:t>
      </w:r>
    </w:p>
    <w:p w14:paraId="19DDADCB" w14:textId="77777777" w:rsidR="00A77B3E" w:rsidRDefault="00AE5348">
      <w:pPr>
        <w:spacing w:line="360" w:lineRule="auto"/>
        <w:jc w:val="both"/>
      </w:pPr>
      <w:r>
        <w:rPr>
          <w:rFonts w:ascii="Book Antiqua" w:eastAsia="Book Antiqua" w:hAnsi="Book Antiqua" w:cs="Book Antiqua"/>
          <w:color w:val="000000"/>
        </w:rPr>
        <w:t>Grade E (Poor): 0</w:t>
      </w:r>
    </w:p>
    <w:p w14:paraId="6860FFB6" w14:textId="77777777" w:rsidR="00A77B3E" w:rsidRDefault="00A77B3E">
      <w:pPr>
        <w:spacing w:line="360" w:lineRule="auto"/>
        <w:jc w:val="both"/>
      </w:pPr>
    </w:p>
    <w:p w14:paraId="6C3EE772" w14:textId="6EB875AE" w:rsidR="00A77B3E" w:rsidRDefault="00AE53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Mrzljak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6706B">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9A171EB" w14:textId="77777777" w:rsidR="008D7F9F" w:rsidRDefault="008D7F9F">
      <w:pPr>
        <w:spacing w:line="360" w:lineRule="auto"/>
        <w:jc w:val="both"/>
        <w:sectPr w:rsidR="008D7F9F">
          <w:pgSz w:w="12240" w:h="15840"/>
          <w:pgMar w:top="1440" w:right="1440" w:bottom="1440" w:left="1440" w:header="720" w:footer="720" w:gutter="0"/>
          <w:cols w:space="720"/>
          <w:docGrid w:linePitch="360"/>
        </w:sectPr>
      </w:pPr>
    </w:p>
    <w:p w14:paraId="4441E3B2" w14:textId="34D54652" w:rsidR="00A77B3E" w:rsidRDefault="00AE53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4F78CD4" w14:textId="5F864013" w:rsidR="00DF3A7D" w:rsidRDefault="00DF3A7D">
      <w:pPr>
        <w:spacing w:line="360" w:lineRule="auto"/>
        <w:jc w:val="both"/>
      </w:pPr>
      <w:r>
        <w:rPr>
          <w:noProof/>
          <w:lang w:eastAsia="zh-CN"/>
        </w:rPr>
        <w:drawing>
          <wp:inline distT="0" distB="0" distL="0" distR="0" wp14:anchorId="3C550373" wp14:editId="51227F3E">
            <wp:extent cx="5943600" cy="4382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82770"/>
                    </a:xfrm>
                    <a:prstGeom prst="rect">
                      <a:avLst/>
                    </a:prstGeom>
                  </pic:spPr>
                </pic:pic>
              </a:graphicData>
            </a:graphic>
          </wp:inline>
        </w:drawing>
      </w:r>
    </w:p>
    <w:p w14:paraId="2EC8F111" w14:textId="247E7383" w:rsidR="00A77B3E" w:rsidRDefault="00AE5348">
      <w:pPr>
        <w:spacing w:line="360" w:lineRule="auto"/>
        <w:jc w:val="both"/>
      </w:pPr>
      <w:r>
        <w:rPr>
          <w:rFonts w:ascii="Book Antiqua" w:eastAsia="Book Antiqua" w:hAnsi="Book Antiqua" w:cs="Book Antiqua"/>
          <w:b/>
          <w:bCs/>
          <w:color w:val="000000"/>
        </w:rPr>
        <w:t>Figure 1</w:t>
      </w:r>
      <w:r w:rsidR="00DF3A7D">
        <w:rPr>
          <w:rFonts w:ascii="Book Antiqua" w:eastAsia="Book Antiqua" w:hAnsi="Book Antiqua" w:cs="Book Antiqua"/>
          <w:b/>
          <w:bCs/>
          <w:color w:val="000000"/>
        </w:rPr>
        <w:t xml:space="preserve"> </w:t>
      </w:r>
      <w:r w:rsidRPr="00DF3A7D">
        <w:rPr>
          <w:rFonts w:ascii="Book Antiqua" w:eastAsia="Book Antiqua" w:hAnsi="Book Antiqua" w:cs="Book Antiqua"/>
          <w:b/>
          <w:bCs/>
          <w:color w:val="000000"/>
        </w:rPr>
        <w:t>Histopathologic findings, explanted liver and controls.</w:t>
      </w:r>
      <w:r>
        <w:rPr>
          <w:rFonts w:ascii="Book Antiqua" w:eastAsia="Book Antiqua" w:hAnsi="Book Antiqua" w:cs="Book Antiqua"/>
          <w:color w:val="000000"/>
        </w:rPr>
        <w:t xml:space="preserve"> A</w:t>
      </w:r>
      <w:r w:rsidR="00DF3A7D">
        <w:rPr>
          <w:rFonts w:ascii="Book Antiqua" w:eastAsia="Book Antiqua" w:hAnsi="Book Antiqua" w:cs="Book Antiqua"/>
          <w:color w:val="000000"/>
        </w:rPr>
        <w:t xml:space="preserve">: </w:t>
      </w:r>
      <w:r>
        <w:rPr>
          <w:rFonts w:ascii="Book Antiqua" w:eastAsia="Book Antiqua" w:hAnsi="Book Antiqua" w:cs="Book Antiqua"/>
          <w:color w:val="000000"/>
        </w:rPr>
        <w:t>Fibrosis and nodularity with steatosis and substantial lobular disarray, explanted liver. Pronounced cholestasis spares portal tracts. Hematoxylin</w:t>
      </w:r>
      <w:r w:rsidR="003B6B80">
        <w:rPr>
          <w:rFonts w:ascii="Book Antiqua" w:eastAsia="Book Antiqua" w:hAnsi="Book Antiqua" w:cs="Book Antiqua"/>
          <w:color w:val="000000"/>
        </w:rPr>
        <w:t xml:space="preserve"> &amp; </w:t>
      </w:r>
      <w:r>
        <w:rPr>
          <w:rFonts w:ascii="Book Antiqua" w:eastAsia="Book Antiqua" w:hAnsi="Book Antiqua" w:cs="Book Antiqua"/>
          <w:color w:val="000000"/>
        </w:rPr>
        <w:t>eosin; main image 100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inset 200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original magnifications</w:t>
      </w:r>
      <w:r w:rsidR="00521AAB">
        <w:rPr>
          <w:rFonts w:ascii="Book Antiqua" w:eastAsia="Book Antiqua" w:hAnsi="Book Antiqua" w:cs="Book Antiqua"/>
          <w:color w:val="000000"/>
        </w:rPr>
        <w:t>;</w:t>
      </w:r>
      <w:r>
        <w:rPr>
          <w:rFonts w:ascii="Book Antiqua" w:eastAsia="Book Antiqua" w:hAnsi="Book Antiqua" w:cs="Book Antiqua"/>
          <w:color w:val="000000"/>
        </w:rPr>
        <w:t xml:space="preserve"> B</w:t>
      </w:r>
      <w:r w:rsidR="00521AAB">
        <w:rPr>
          <w:rFonts w:ascii="Book Antiqua" w:eastAsia="Book Antiqua" w:hAnsi="Book Antiqua" w:cs="Book Antiqua"/>
          <w:color w:val="000000"/>
        </w:rPr>
        <w:t xml:space="preserve">: </w:t>
      </w:r>
      <w:r>
        <w:rPr>
          <w:rFonts w:ascii="Book Antiqua" w:eastAsia="Book Antiqua" w:hAnsi="Book Antiqua" w:cs="Book Antiqua"/>
          <w:color w:val="000000"/>
        </w:rPr>
        <w:t>Bile salt export pump expression in normal liver (“control”) and explanted liver. No expression in explanted liver (main image); the pigment seen is bile. Control (inset), crisp expression along an unremarkable bile-canaliculus network. Anti-bile salt export pump antibody (Santa Cruz Biotechnology, Dallas, TX</w:t>
      </w:r>
      <w:r w:rsidR="00521AAB">
        <w:rPr>
          <w:rFonts w:ascii="Book Antiqua" w:eastAsia="Book Antiqua" w:hAnsi="Book Antiqua" w:cs="Book Antiqua"/>
          <w:color w:val="000000"/>
        </w:rPr>
        <w:t>, United States</w:t>
      </w:r>
      <w:r>
        <w:rPr>
          <w:rFonts w:ascii="Book Antiqua" w:eastAsia="Book Antiqua" w:hAnsi="Book Antiqua" w:cs="Book Antiqua"/>
          <w:color w:val="000000"/>
        </w:rPr>
        <w:t>; sc-74500)/hematoxylin; both main image and inset 200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original magnifications</w:t>
      </w:r>
      <w:r w:rsidR="00521AAB">
        <w:rPr>
          <w:rFonts w:ascii="Book Antiqua" w:eastAsia="Book Antiqua" w:hAnsi="Book Antiqua" w:cs="Book Antiqua"/>
          <w:color w:val="000000"/>
        </w:rPr>
        <w:t xml:space="preserve">; </w:t>
      </w:r>
      <w:r>
        <w:rPr>
          <w:rFonts w:ascii="Book Antiqua" w:eastAsia="Book Antiqua" w:hAnsi="Book Antiqua" w:cs="Book Antiqua"/>
          <w:color w:val="000000"/>
        </w:rPr>
        <w:t>C</w:t>
      </w:r>
      <w:r w:rsidR="00521AAB">
        <w:rPr>
          <w:rFonts w:ascii="Book Antiqua" w:eastAsia="Book Antiqua" w:hAnsi="Book Antiqua" w:cs="Book Antiqua"/>
          <w:color w:val="000000"/>
        </w:rPr>
        <w:t>:</w:t>
      </w:r>
      <w:r>
        <w:rPr>
          <w:rFonts w:ascii="Book Antiqua" w:eastAsia="Book Antiqua" w:hAnsi="Book Antiqua" w:cs="Book Antiqua"/>
          <w:color w:val="000000"/>
        </w:rPr>
        <w:t xml:space="preserve"> Farnesoid X receptor expression in normal liver (“control”) and explanted liver. No expression in explanted liver (main image); the pigment seen is bile. Control (inset), nuclear expression evident in most hepatocytes. Anti-farnesoid X receptor antibody (Santa Cruz Biotechnology</w:t>
      </w:r>
      <w:r w:rsidR="00521AAB">
        <w:rPr>
          <w:rFonts w:ascii="Book Antiqua" w:eastAsia="Book Antiqua" w:hAnsi="Book Antiqua" w:cs="Book Antiqua"/>
          <w:color w:val="000000"/>
        </w:rPr>
        <w:t>;</w:t>
      </w:r>
      <w:r>
        <w:rPr>
          <w:rFonts w:ascii="Book Antiqua" w:eastAsia="Book Antiqua" w:hAnsi="Book Antiqua" w:cs="Book Antiqua"/>
          <w:color w:val="000000"/>
        </w:rPr>
        <w:t xml:space="preserve"> sc-25309)/hematoxylin; both main image and inset 400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original magnifications</w:t>
      </w:r>
      <w:r w:rsidR="00521AAB">
        <w:rPr>
          <w:rFonts w:ascii="Book Antiqua" w:eastAsia="Book Antiqua" w:hAnsi="Book Antiqua" w:cs="Book Antiqua"/>
          <w:color w:val="000000"/>
        </w:rPr>
        <w:t xml:space="preserve">; </w:t>
      </w:r>
      <w:r>
        <w:rPr>
          <w:rFonts w:ascii="Book Antiqua" w:eastAsia="Book Antiqua" w:hAnsi="Book Antiqua" w:cs="Book Antiqua"/>
          <w:color w:val="000000"/>
        </w:rPr>
        <w:t>D</w:t>
      </w:r>
      <w:r w:rsidR="00521AAB">
        <w:rPr>
          <w:rFonts w:ascii="Book Antiqua" w:eastAsia="Book Antiqua" w:hAnsi="Book Antiqua" w:cs="Book Antiqua"/>
          <w:color w:val="000000"/>
        </w:rPr>
        <w:t>:</w:t>
      </w:r>
      <w:r>
        <w:rPr>
          <w:rFonts w:ascii="Book Antiqua" w:eastAsia="Book Antiqua" w:hAnsi="Book Antiqua" w:cs="Book Antiqua"/>
          <w:color w:val="000000"/>
        </w:rPr>
        <w:t xml:space="preserve"> Gamma-glutamyl transpeptidase expression in normal liver (“control”) and explanted liver. Control (main image), crisp expression at apices of cholangiocytes (arrow) and along an unremarkable bile-canaliculus network, with faint perisinusoidal staining. Explanted liver (inset), blurred marking at severely distorted canalicular network with pronounced cytoplasmic and basolateral staining, abnormalities that reflect the extent of hepatocellular injury and disarray. Anti-gamma-glutamyl transpeptidase 1 (Abnova, Taipei, Taiwan; H00002678-M01)/hematoxylin; both main image and inset 200</w:t>
      </w:r>
      <w:r w:rsidR="00521AAB">
        <w:rPr>
          <w:rFonts w:ascii="Book Antiqua" w:eastAsia="Book Antiqua" w:hAnsi="Book Antiqua" w:cs="Book Antiqua"/>
          <w:color w:val="000000"/>
        </w:rPr>
        <w:t xml:space="preserve"> ×</w:t>
      </w:r>
      <w:r>
        <w:rPr>
          <w:rFonts w:ascii="Book Antiqua" w:eastAsia="Book Antiqua" w:hAnsi="Book Antiqua" w:cs="Book Antiqua"/>
          <w:color w:val="000000"/>
        </w:rPr>
        <w:t xml:space="preserve"> original magnifications.</w:t>
      </w:r>
    </w:p>
    <w:p w14:paraId="1B622A50" w14:textId="32B96F7B" w:rsidR="00A77B3E" w:rsidRDefault="009763AB">
      <w:pPr>
        <w:spacing w:line="360" w:lineRule="auto"/>
        <w:jc w:val="both"/>
        <w:rPr>
          <w:rFonts w:ascii="Book Antiqua" w:eastAsia="Book Antiqua" w:hAnsi="Book Antiqua" w:cs="Book Antiqua"/>
          <w:b/>
          <w:bCs/>
          <w:color w:val="000000"/>
        </w:rPr>
      </w:pPr>
      <w:r>
        <w:br w:type="page"/>
      </w:r>
      <w:r w:rsidR="00AE5348">
        <w:rPr>
          <w:rFonts w:ascii="Book Antiqua" w:eastAsia="Book Antiqua" w:hAnsi="Book Antiqua" w:cs="Book Antiqua"/>
          <w:b/>
          <w:bCs/>
          <w:color w:val="000000"/>
        </w:rPr>
        <w:lastRenderedPageBreak/>
        <w:t xml:space="preserve">Table </w:t>
      </w:r>
      <w:r w:rsidR="00AE5348" w:rsidRPr="009763AB">
        <w:rPr>
          <w:rFonts w:ascii="Book Antiqua" w:eastAsia="Book Antiqua" w:hAnsi="Book Antiqua" w:cs="Book Antiqua"/>
          <w:b/>
          <w:bCs/>
          <w:color w:val="000000"/>
        </w:rPr>
        <w:t>1</w:t>
      </w:r>
      <w:r w:rsidRPr="009763AB">
        <w:rPr>
          <w:rFonts w:ascii="Book Antiqua" w:eastAsia="Book Antiqua" w:hAnsi="Book Antiqua" w:cs="Book Antiqua"/>
          <w:b/>
          <w:bCs/>
          <w:color w:val="000000"/>
        </w:rPr>
        <w:t xml:space="preserve"> </w:t>
      </w:r>
      <w:r w:rsidR="00AE5348" w:rsidRPr="009763AB">
        <w:rPr>
          <w:rFonts w:ascii="Book Antiqua" w:eastAsia="Book Antiqua" w:hAnsi="Book Antiqua" w:cs="Book Antiqua"/>
          <w:b/>
          <w:bCs/>
          <w:color w:val="000000"/>
        </w:rPr>
        <w:t>Summary of laboratory data</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581"/>
        <w:gridCol w:w="1850"/>
        <w:gridCol w:w="2126"/>
      </w:tblGrid>
      <w:tr w:rsidR="009763AB" w:rsidRPr="009763AB" w14:paraId="51567229" w14:textId="77777777" w:rsidTr="00B8726B">
        <w:tc>
          <w:tcPr>
            <w:tcW w:w="3794" w:type="dxa"/>
            <w:tcBorders>
              <w:top w:val="single" w:sz="4" w:space="0" w:color="auto"/>
              <w:bottom w:val="single" w:sz="4" w:space="0" w:color="auto"/>
            </w:tcBorders>
          </w:tcPr>
          <w:p w14:paraId="26125158" w14:textId="77777777"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Serum analyte</w:t>
            </w:r>
          </w:p>
        </w:tc>
        <w:tc>
          <w:tcPr>
            <w:tcW w:w="1581" w:type="dxa"/>
            <w:tcBorders>
              <w:top w:val="single" w:sz="4" w:space="0" w:color="auto"/>
              <w:bottom w:val="single" w:sz="4" w:space="0" w:color="auto"/>
            </w:tcBorders>
          </w:tcPr>
          <w:p w14:paraId="27C769B2" w14:textId="25C49DB3"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Reference range</w:t>
            </w:r>
          </w:p>
        </w:tc>
        <w:tc>
          <w:tcPr>
            <w:tcW w:w="1850" w:type="dxa"/>
            <w:tcBorders>
              <w:top w:val="single" w:sz="4" w:space="0" w:color="auto"/>
              <w:bottom w:val="single" w:sz="4" w:space="0" w:color="auto"/>
            </w:tcBorders>
          </w:tcPr>
          <w:p w14:paraId="282EAB81" w14:textId="4C3D1048"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Age 7 w</w:t>
            </w:r>
            <w:r>
              <w:rPr>
                <w:rFonts w:ascii="Book Antiqua" w:hAnsi="Book Antiqua" w:cs="Arial"/>
                <w:b/>
                <w:bCs/>
                <w:lang w:val="en-GB"/>
              </w:rPr>
              <w:t>k</w:t>
            </w:r>
            <w:r w:rsidRPr="009763AB">
              <w:rPr>
                <w:rFonts w:ascii="Book Antiqua" w:hAnsi="Book Antiqua" w:cs="Arial"/>
                <w:b/>
                <w:bCs/>
                <w:lang w:val="en-GB"/>
              </w:rPr>
              <w:t xml:space="preserve"> (presentation)</w:t>
            </w:r>
          </w:p>
        </w:tc>
        <w:tc>
          <w:tcPr>
            <w:tcW w:w="2126" w:type="dxa"/>
            <w:tcBorders>
              <w:top w:val="single" w:sz="4" w:space="0" w:color="auto"/>
              <w:bottom w:val="single" w:sz="4" w:space="0" w:color="auto"/>
            </w:tcBorders>
          </w:tcPr>
          <w:p w14:paraId="2176458A" w14:textId="5421D8CE" w:rsidR="009763AB" w:rsidRPr="009763AB" w:rsidRDefault="009763AB" w:rsidP="009763AB">
            <w:pPr>
              <w:spacing w:before="20" w:after="20" w:line="360" w:lineRule="auto"/>
              <w:jc w:val="both"/>
              <w:rPr>
                <w:rFonts w:ascii="Book Antiqua" w:hAnsi="Book Antiqua" w:cs="Arial"/>
                <w:b/>
                <w:bCs/>
                <w:lang w:val="en-GB"/>
              </w:rPr>
            </w:pPr>
            <w:r w:rsidRPr="009763AB">
              <w:rPr>
                <w:rFonts w:ascii="Book Antiqua" w:hAnsi="Book Antiqua" w:cs="Arial"/>
                <w:b/>
                <w:bCs/>
                <w:lang w:val="en-GB"/>
              </w:rPr>
              <w:t>Age 22 w</w:t>
            </w:r>
            <w:r>
              <w:rPr>
                <w:rFonts w:ascii="Book Antiqua" w:hAnsi="Book Antiqua" w:cs="Arial"/>
                <w:b/>
                <w:bCs/>
                <w:lang w:val="en-GB"/>
              </w:rPr>
              <w:t>k</w:t>
            </w:r>
            <w:r w:rsidRPr="009763AB">
              <w:rPr>
                <w:rFonts w:ascii="Book Antiqua" w:hAnsi="Book Antiqua" w:cs="Arial"/>
                <w:b/>
                <w:bCs/>
                <w:lang w:val="en-GB"/>
              </w:rPr>
              <w:t xml:space="preserve"> (before liver transplantation)</w:t>
            </w:r>
          </w:p>
        </w:tc>
      </w:tr>
      <w:tr w:rsidR="009763AB" w:rsidRPr="009763AB" w14:paraId="647A57BF" w14:textId="77777777" w:rsidTr="00B8726B">
        <w:tc>
          <w:tcPr>
            <w:tcW w:w="3794" w:type="dxa"/>
            <w:tcBorders>
              <w:top w:val="single" w:sz="4" w:space="0" w:color="auto"/>
            </w:tcBorders>
          </w:tcPr>
          <w:p w14:paraId="7C665D1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Hematocrit (%)</w:t>
            </w:r>
          </w:p>
        </w:tc>
        <w:tc>
          <w:tcPr>
            <w:tcW w:w="1581" w:type="dxa"/>
            <w:tcBorders>
              <w:top w:val="single" w:sz="4" w:space="0" w:color="auto"/>
            </w:tcBorders>
          </w:tcPr>
          <w:p w14:paraId="7E0F3A0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33.0-39.0</w:t>
            </w:r>
          </w:p>
        </w:tc>
        <w:tc>
          <w:tcPr>
            <w:tcW w:w="1850" w:type="dxa"/>
            <w:tcBorders>
              <w:top w:val="single" w:sz="4" w:space="0" w:color="auto"/>
            </w:tcBorders>
          </w:tcPr>
          <w:p w14:paraId="29317782"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29.2</w:t>
            </w:r>
          </w:p>
        </w:tc>
        <w:tc>
          <w:tcPr>
            <w:tcW w:w="2126" w:type="dxa"/>
            <w:tcBorders>
              <w:top w:val="single" w:sz="4" w:space="0" w:color="auto"/>
            </w:tcBorders>
          </w:tcPr>
          <w:p w14:paraId="69C277C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29.6</w:t>
            </w:r>
          </w:p>
        </w:tc>
      </w:tr>
      <w:tr w:rsidR="009763AB" w:rsidRPr="009763AB" w14:paraId="3372B803" w14:textId="77777777" w:rsidTr="00B8726B">
        <w:tc>
          <w:tcPr>
            <w:tcW w:w="3794" w:type="dxa"/>
          </w:tcPr>
          <w:p w14:paraId="448532A6" w14:textId="699BFB33"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Hemoglobin (g/d</w:t>
            </w:r>
            <w:r>
              <w:rPr>
                <w:rFonts w:ascii="Book Antiqua" w:hAnsi="Book Antiqua" w:cs="Arial"/>
                <w:lang w:val="en-GB"/>
              </w:rPr>
              <w:t>L</w:t>
            </w:r>
            <w:r w:rsidRPr="009763AB">
              <w:rPr>
                <w:rFonts w:ascii="Book Antiqua" w:hAnsi="Book Antiqua" w:cs="Arial"/>
                <w:lang w:val="en-GB"/>
              </w:rPr>
              <w:t>)</w:t>
            </w:r>
          </w:p>
        </w:tc>
        <w:tc>
          <w:tcPr>
            <w:tcW w:w="1581" w:type="dxa"/>
          </w:tcPr>
          <w:p w14:paraId="44F4D23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10.5-13.5</w:t>
            </w:r>
          </w:p>
        </w:tc>
        <w:tc>
          <w:tcPr>
            <w:tcW w:w="1850" w:type="dxa"/>
          </w:tcPr>
          <w:p w14:paraId="7F32300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10.1</w:t>
            </w:r>
          </w:p>
        </w:tc>
        <w:tc>
          <w:tcPr>
            <w:tcW w:w="2126" w:type="dxa"/>
          </w:tcPr>
          <w:p w14:paraId="4369230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10.1</w:t>
            </w:r>
          </w:p>
        </w:tc>
      </w:tr>
      <w:tr w:rsidR="009763AB" w:rsidRPr="009763AB" w14:paraId="0A7C73D5" w14:textId="77777777" w:rsidTr="00B8726B">
        <w:tc>
          <w:tcPr>
            <w:tcW w:w="3794" w:type="dxa"/>
          </w:tcPr>
          <w:p w14:paraId="530A227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White-cell count (per mm</w:t>
            </w:r>
            <w:r w:rsidRPr="009763AB">
              <w:rPr>
                <w:rFonts w:ascii="Book Antiqua" w:hAnsi="Book Antiqua" w:cs="Arial"/>
                <w:vertAlign w:val="superscript"/>
                <w:lang w:val="en-GB"/>
              </w:rPr>
              <w:t>3</w:t>
            </w:r>
            <w:r w:rsidRPr="009763AB">
              <w:rPr>
                <w:rFonts w:ascii="Book Antiqua" w:hAnsi="Book Antiqua" w:cs="Arial"/>
                <w:lang w:val="en-GB"/>
              </w:rPr>
              <w:t>)</w:t>
            </w:r>
          </w:p>
        </w:tc>
        <w:tc>
          <w:tcPr>
            <w:tcW w:w="1581" w:type="dxa"/>
          </w:tcPr>
          <w:p w14:paraId="46D8B46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6.0-17.5</w:t>
            </w:r>
          </w:p>
        </w:tc>
        <w:tc>
          <w:tcPr>
            <w:tcW w:w="1850" w:type="dxa"/>
          </w:tcPr>
          <w:p w14:paraId="028D9B5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9.1</w:t>
            </w:r>
          </w:p>
        </w:tc>
        <w:tc>
          <w:tcPr>
            <w:tcW w:w="2126" w:type="dxa"/>
          </w:tcPr>
          <w:p w14:paraId="0D8D8D9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11.4</w:t>
            </w:r>
          </w:p>
        </w:tc>
      </w:tr>
      <w:tr w:rsidR="009763AB" w:rsidRPr="009763AB" w14:paraId="5A46AE7B" w14:textId="77777777" w:rsidTr="00B8726B">
        <w:tc>
          <w:tcPr>
            <w:tcW w:w="3794" w:type="dxa"/>
          </w:tcPr>
          <w:p w14:paraId="6374646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Platelet count (per mm</w:t>
            </w:r>
            <w:r w:rsidRPr="009763AB">
              <w:rPr>
                <w:rFonts w:ascii="Book Antiqua" w:hAnsi="Book Antiqua" w:cs="Arial"/>
                <w:vertAlign w:val="superscript"/>
                <w:lang w:val="en-GB"/>
              </w:rPr>
              <w:t>3</w:t>
            </w:r>
            <w:r w:rsidRPr="009763AB">
              <w:rPr>
                <w:rFonts w:ascii="Book Antiqua" w:hAnsi="Book Antiqua" w:cs="Arial"/>
                <w:lang w:val="en-GB"/>
              </w:rPr>
              <w:t>)</w:t>
            </w:r>
          </w:p>
        </w:tc>
        <w:tc>
          <w:tcPr>
            <w:tcW w:w="1581" w:type="dxa"/>
          </w:tcPr>
          <w:p w14:paraId="033DB6B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150-400</w:t>
            </w:r>
          </w:p>
        </w:tc>
        <w:tc>
          <w:tcPr>
            <w:tcW w:w="1850" w:type="dxa"/>
          </w:tcPr>
          <w:p w14:paraId="719658E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184</w:t>
            </w:r>
          </w:p>
        </w:tc>
        <w:tc>
          <w:tcPr>
            <w:tcW w:w="2126" w:type="dxa"/>
          </w:tcPr>
          <w:p w14:paraId="2FDD5D0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154</w:t>
            </w:r>
          </w:p>
        </w:tc>
      </w:tr>
      <w:tr w:rsidR="009763AB" w:rsidRPr="009763AB" w14:paraId="0B6927DC" w14:textId="77777777" w:rsidTr="00B8726B">
        <w:tc>
          <w:tcPr>
            <w:tcW w:w="3794" w:type="dxa"/>
          </w:tcPr>
          <w:p w14:paraId="64A095D3" w14:textId="58B0D6A9"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Total bilirubin (mg/d</w:t>
            </w:r>
            <w:r>
              <w:rPr>
                <w:rFonts w:ascii="Book Antiqua" w:hAnsi="Book Antiqua" w:cs="Arial"/>
                <w:lang w:val="en-GB"/>
              </w:rPr>
              <w:t>L</w:t>
            </w:r>
            <w:r w:rsidRPr="009763AB">
              <w:rPr>
                <w:rFonts w:ascii="Book Antiqua" w:hAnsi="Book Antiqua" w:cs="Arial"/>
                <w:lang w:val="en-GB"/>
              </w:rPr>
              <w:t>)</w:t>
            </w:r>
          </w:p>
        </w:tc>
        <w:tc>
          <w:tcPr>
            <w:tcW w:w="1581" w:type="dxa"/>
          </w:tcPr>
          <w:p w14:paraId="7FA0A42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0.0-1.0</w:t>
            </w:r>
          </w:p>
        </w:tc>
        <w:tc>
          <w:tcPr>
            <w:tcW w:w="1850" w:type="dxa"/>
          </w:tcPr>
          <w:p w14:paraId="50C5761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9.4</w:t>
            </w:r>
          </w:p>
        </w:tc>
        <w:tc>
          <w:tcPr>
            <w:tcW w:w="2126" w:type="dxa"/>
          </w:tcPr>
          <w:p w14:paraId="424FD3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23.8</w:t>
            </w:r>
          </w:p>
        </w:tc>
      </w:tr>
      <w:tr w:rsidR="009763AB" w:rsidRPr="009763AB" w14:paraId="55E5F3D4" w14:textId="77777777" w:rsidTr="00B8726B">
        <w:tc>
          <w:tcPr>
            <w:tcW w:w="3794" w:type="dxa"/>
          </w:tcPr>
          <w:p w14:paraId="5C2AC6F6" w14:textId="7D4A3089"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Direct bilirubin (mg/d</w:t>
            </w:r>
            <w:r>
              <w:rPr>
                <w:rFonts w:ascii="Book Antiqua" w:hAnsi="Book Antiqua" w:cs="Arial"/>
                <w:lang w:val="en-GB"/>
              </w:rPr>
              <w:t>L</w:t>
            </w:r>
            <w:r w:rsidRPr="009763AB">
              <w:rPr>
                <w:rFonts w:ascii="Book Antiqua" w:hAnsi="Book Antiqua" w:cs="Arial"/>
                <w:lang w:val="en-GB"/>
              </w:rPr>
              <w:t xml:space="preserve">) </w:t>
            </w:r>
          </w:p>
        </w:tc>
        <w:tc>
          <w:tcPr>
            <w:tcW w:w="1581" w:type="dxa"/>
          </w:tcPr>
          <w:p w14:paraId="701FB35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0.0-0.4</w:t>
            </w:r>
          </w:p>
        </w:tc>
        <w:tc>
          <w:tcPr>
            <w:tcW w:w="1850" w:type="dxa"/>
          </w:tcPr>
          <w:p w14:paraId="0B30FB7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7.3</w:t>
            </w:r>
          </w:p>
        </w:tc>
        <w:tc>
          <w:tcPr>
            <w:tcW w:w="2126" w:type="dxa"/>
          </w:tcPr>
          <w:p w14:paraId="712C91E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14.0</w:t>
            </w:r>
          </w:p>
        </w:tc>
      </w:tr>
      <w:tr w:rsidR="009763AB" w:rsidRPr="009763AB" w14:paraId="613C4D38" w14:textId="77777777" w:rsidTr="00B8726B">
        <w:tc>
          <w:tcPr>
            <w:tcW w:w="3794" w:type="dxa"/>
          </w:tcPr>
          <w:p w14:paraId="71C7ECBF" w14:textId="31733F1C"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ALT (U/</w:t>
            </w:r>
            <w:r>
              <w:rPr>
                <w:rFonts w:ascii="Book Antiqua" w:hAnsi="Book Antiqua" w:cs="Arial"/>
                <w:lang w:val="en-GB"/>
              </w:rPr>
              <w:t>L</w:t>
            </w:r>
            <w:r w:rsidRPr="009763AB">
              <w:rPr>
                <w:rFonts w:ascii="Book Antiqua" w:hAnsi="Book Antiqua" w:cs="Arial"/>
                <w:lang w:val="en-GB"/>
              </w:rPr>
              <w:t>)</w:t>
            </w:r>
          </w:p>
        </w:tc>
        <w:tc>
          <w:tcPr>
            <w:tcW w:w="1581" w:type="dxa"/>
          </w:tcPr>
          <w:p w14:paraId="1DD2485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10-55</w:t>
            </w:r>
          </w:p>
        </w:tc>
        <w:tc>
          <w:tcPr>
            <w:tcW w:w="1850" w:type="dxa"/>
          </w:tcPr>
          <w:p w14:paraId="272DC2E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170</w:t>
            </w:r>
          </w:p>
        </w:tc>
        <w:tc>
          <w:tcPr>
            <w:tcW w:w="2126" w:type="dxa"/>
          </w:tcPr>
          <w:p w14:paraId="219B63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224</w:t>
            </w:r>
          </w:p>
        </w:tc>
      </w:tr>
      <w:tr w:rsidR="009763AB" w:rsidRPr="009763AB" w14:paraId="6DF96E31" w14:textId="77777777" w:rsidTr="00B8726B">
        <w:tc>
          <w:tcPr>
            <w:tcW w:w="3794" w:type="dxa"/>
          </w:tcPr>
          <w:p w14:paraId="616B408C" w14:textId="6128C1B8"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AST (U/</w:t>
            </w:r>
            <w:r>
              <w:rPr>
                <w:rFonts w:ascii="Book Antiqua" w:hAnsi="Book Antiqua" w:cs="Arial"/>
                <w:lang w:val="en-GB"/>
              </w:rPr>
              <w:t>L</w:t>
            </w:r>
            <w:r w:rsidRPr="009763AB">
              <w:rPr>
                <w:rFonts w:ascii="Book Antiqua" w:hAnsi="Book Antiqua" w:cs="Arial"/>
                <w:lang w:val="en-GB"/>
              </w:rPr>
              <w:t>)</w:t>
            </w:r>
          </w:p>
        </w:tc>
        <w:tc>
          <w:tcPr>
            <w:tcW w:w="1581" w:type="dxa"/>
          </w:tcPr>
          <w:p w14:paraId="6A98279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10-55</w:t>
            </w:r>
          </w:p>
        </w:tc>
        <w:tc>
          <w:tcPr>
            <w:tcW w:w="1850" w:type="dxa"/>
          </w:tcPr>
          <w:p w14:paraId="6A33481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260</w:t>
            </w:r>
          </w:p>
        </w:tc>
        <w:tc>
          <w:tcPr>
            <w:tcW w:w="2126" w:type="dxa"/>
          </w:tcPr>
          <w:p w14:paraId="4C6230D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456</w:t>
            </w:r>
          </w:p>
        </w:tc>
      </w:tr>
      <w:tr w:rsidR="009763AB" w:rsidRPr="009763AB" w14:paraId="27205642" w14:textId="77777777" w:rsidTr="00B8726B">
        <w:tc>
          <w:tcPr>
            <w:tcW w:w="3794" w:type="dxa"/>
          </w:tcPr>
          <w:p w14:paraId="15053AD3" w14:textId="58D91F0B"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GGT (U/</w:t>
            </w:r>
            <w:r>
              <w:rPr>
                <w:rFonts w:ascii="Book Antiqua" w:hAnsi="Book Antiqua" w:cs="Arial"/>
                <w:lang w:val="en-GB"/>
              </w:rPr>
              <w:t>L</w:t>
            </w:r>
            <w:r w:rsidRPr="009763AB">
              <w:rPr>
                <w:rFonts w:ascii="Book Antiqua" w:hAnsi="Book Antiqua" w:cs="Arial"/>
                <w:lang w:val="en-GB"/>
              </w:rPr>
              <w:t>)</w:t>
            </w:r>
          </w:p>
        </w:tc>
        <w:tc>
          <w:tcPr>
            <w:tcW w:w="1581" w:type="dxa"/>
          </w:tcPr>
          <w:p w14:paraId="04AE6F3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10-80</w:t>
            </w:r>
          </w:p>
        </w:tc>
        <w:tc>
          <w:tcPr>
            <w:tcW w:w="1850" w:type="dxa"/>
          </w:tcPr>
          <w:p w14:paraId="32ED848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35</w:t>
            </w:r>
          </w:p>
        </w:tc>
        <w:tc>
          <w:tcPr>
            <w:tcW w:w="2126" w:type="dxa"/>
          </w:tcPr>
          <w:p w14:paraId="5D01BF9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41</w:t>
            </w:r>
          </w:p>
        </w:tc>
      </w:tr>
      <w:tr w:rsidR="009763AB" w:rsidRPr="009763AB" w14:paraId="68616F41" w14:textId="77777777" w:rsidTr="00B8726B">
        <w:tc>
          <w:tcPr>
            <w:tcW w:w="3794" w:type="dxa"/>
          </w:tcPr>
          <w:p w14:paraId="1E99D741" w14:textId="49B22EDB"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Alkaline phosphatase (U/</w:t>
            </w:r>
            <w:r>
              <w:rPr>
                <w:rFonts w:ascii="Book Antiqua" w:hAnsi="Book Antiqua" w:cs="Arial"/>
                <w:lang w:val="en-GB"/>
              </w:rPr>
              <w:t>L</w:t>
            </w:r>
            <w:r w:rsidRPr="009763AB">
              <w:rPr>
                <w:rFonts w:ascii="Book Antiqua" w:hAnsi="Book Antiqua" w:cs="Arial"/>
                <w:lang w:val="en-GB"/>
              </w:rPr>
              <w:t>)</w:t>
            </w:r>
          </w:p>
        </w:tc>
        <w:tc>
          <w:tcPr>
            <w:tcW w:w="1581" w:type="dxa"/>
          </w:tcPr>
          <w:p w14:paraId="0EE391B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15-350</w:t>
            </w:r>
          </w:p>
        </w:tc>
        <w:tc>
          <w:tcPr>
            <w:tcW w:w="1850" w:type="dxa"/>
          </w:tcPr>
          <w:p w14:paraId="4B59B65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331</w:t>
            </w:r>
          </w:p>
        </w:tc>
        <w:tc>
          <w:tcPr>
            <w:tcW w:w="2126" w:type="dxa"/>
          </w:tcPr>
          <w:p w14:paraId="4BB48BB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356</w:t>
            </w:r>
          </w:p>
        </w:tc>
      </w:tr>
      <w:tr w:rsidR="009763AB" w:rsidRPr="009763AB" w14:paraId="57D6039E" w14:textId="77777777" w:rsidTr="00B8726B">
        <w:tc>
          <w:tcPr>
            <w:tcW w:w="3794" w:type="dxa"/>
          </w:tcPr>
          <w:p w14:paraId="7CF60725" w14:textId="636AB09A"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Bile acids (</w:t>
            </w:r>
            <w:r w:rsidRPr="009763AB">
              <w:rPr>
                <w:rFonts w:ascii="Book Antiqua" w:hAnsi="Book Antiqua" w:cs="Arial"/>
                <w:lang w:val="en-GB"/>
              </w:rPr>
              <w:sym w:font="Symbol" w:char="F06D"/>
            </w:r>
            <w:r w:rsidRPr="009763AB">
              <w:rPr>
                <w:rFonts w:ascii="Book Antiqua" w:hAnsi="Book Antiqua" w:cs="Arial"/>
                <w:lang w:val="en-GB"/>
              </w:rPr>
              <w:t>mol/</w:t>
            </w:r>
            <w:r>
              <w:rPr>
                <w:rFonts w:ascii="Book Antiqua" w:hAnsi="Book Antiqua" w:cs="Arial"/>
                <w:lang w:val="en-GB"/>
              </w:rPr>
              <w:t>L</w:t>
            </w:r>
            <w:r w:rsidRPr="009763AB">
              <w:rPr>
                <w:rFonts w:ascii="Book Antiqua" w:hAnsi="Book Antiqua" w:cs="Arial"/>
                <w:lang w:val="en-GB"/>
              </w:rPr>
              <w:t>)</w:t>
            </w:r>
          </w:p>
        </w:tc>
        <w:tc>
          <w:tcPr>
            <w:tcW w:w="1581" w:type="dxa"/>
          </w:tcPr>
          <w:p w14:paraId="057D244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0-11</w:t>
            </w:r>
          </w:p>
        </w:tc>
        <w:tc>
          <w:tcPr>
            <w:tcW w:w="1850" w:type="dxa"/>
          </w:tcPr>
          <w:p w14:paraId="2CE5B22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69</w:t>
            </w:r>
          </w:p>
        </w:tc>
        <w:tc>
          <w:tcPr>
            <w:tcW w:w="2126" w:type="dxa"/>
          </w:tcPr>
          <w:p w14:paraId="02F04D6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157</w:t>
            </w:r>
          </w:p>
        </w:tc>
      </w:tr>
      <w:tr w:rsidR="009763AB" w:rsidRPr="009763AB" w14:paraId="58CD7492" w14:textId="77777777" w:rsidTr="00B8726B">
        <w:tc>
          <w:tcPr>
            <w:tcW w:w="3794" w:type="dxa"/>
          </w:tcPr>
          <w:p w14:paraId="48559BC4" w14:textId="7EC302C6"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Cholesterol (mg/d</w:t>
            </w:r>
            <w:r>
              <w:rPr>
                <w:rFonts w:ascii="Book Antiqua" w:hAnsi="Book Antiqua" w:cs="Arial"/>
                <w:lang w:val="en-GB"/>
              </w:rPr>
              <w:t>L</w:t>
            </w:r>
            <w:r w:rsidRPr="009763AB">
              <w:rPr>
                <w:rFonts w:ascii="Book Antiqua" w:hAnsi="Book Antiqua" w:cs="Arial"/>
                <w:lang w:val="en-GB"/>
              </w:rPr>
              <w:t>)</w:t>
            </w:r>
          </w:p>
        </w:tc>
        <w:tc>
          <w:tcPr>
            <w:tcW w:w="1581" w:type="dxa"/>
          </w:tcPr>
          <w:p w14:paraId="1745971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80-170</w:t>
            </w:r>
          </w:p>
        </w:tc>
        <w:tc>
          <w:tcPr>
            <w:tcW w:w="1850" w:type="dxa"/>
          </w:tcPr>
          <w:p w14:paraId="63C2A5A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228</w:t>
            </w:r>
          </w:p>
        </w:tc>
        <w:tc>
          <w:tcPr>
            <w:tcW w:w="2126" w:type="dxa"/>
          </w:tcPr>
          <w:p w14:paraId="3D5AA08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220</w:t>
            </w:r>
          </w:p>
        </w:tc>
      </w:tr>
      <w:tr w:rsidR="009763AB" w:rsidRPr="009763AB" w14:paraId="7D5208B4" w14:textId="77777777" w:rsidTr="00B8726B">
        <w:tc>
          <w:tcPr>
            <w:tcW w:w="3794" w:type="dxa"/>
          </w:tcPr>
          <w:p w14:paraId="5CFDE5D8" w14:textId="4A4F9384"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Triglycerides (mg/d</w:t>
            </w:r>
            <w:r>
              <w:rPr>
                <w:rFonts w:ascii="Book Antiqua" w:hAnsi="Book Antiqua" w:cs="Arial"/>
                <w:lang w:val="en-GB"/>
              </w:rPr>
              <w:t>L</w:t>
            </w:r>
            <w:r w:rsidRPr="009763AB">
              <w:rPr>
                <w:rFonts w:ascii="Book Antiqua" w:hAnsi="Book Antiqua" w:cs="Arial"/>
                <w:lang w:val="en-GB"/>
              </w:rPr>
              <w:t>)</w:t>
            </w:r>
          </w:p>
        </w:tc>
        <w:tc>
          <w:tcPr>
            <w:tcW w:w="1581" w:type="dxa"/>
          </w:tcPr>
          <w:p w14:paraId="1367836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50-150</w:t>
            </w:r>
          </w:p>
        </w:tc>
        <w:tc>
          <w:tcPr>
            <w:tcW w:w="1850" w:type="dxa"/>
          </w:tcPr>
          <w:p w14:paraId="0528205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136</w:t>
            </w:r>
          </w:p>
        </w:tc>
        <w:tc>
          <w:tcPr>
            <w:tcW w:w="2126" w:type="dxa"/>
          </w:tcPr>
          <w:p w14:paraId="6F6E80D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137</w:t>
            </w:r>
          </w:p>
        </w:tc>
      </w:tr>
      <w:tr w:rsidR="009763AB" w:rsidRPr="009763AB" w14:paraId="31FA58F5" w14:textId="77777777" w:rsidTr="00B8726B">
        <w:tc>
          <w:tcPr>
            <w:tcW w:w="3794" w:type="dxa"/>
          </w:tcPr>
          <w:p w14:paraId="4F24D59B" w14:textId="1299C92C"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Creatine kinase (U/</w:t>
            </w:r>
            <w:r>
              <w:rPr>
                <w:rFonts w:ascii="Book Antiqua" w:hAnsi="Book Antiqua" w:cs="Arial"/>
                <w:lang w:val="en-GB"/>
              </w:rPr>
              <w:t>L</w:t>
            </w:r>
            <w:r w:rsidRPr="009763AB">
              <w:rPr>
                <w:rFonts w:ascii="Book Antiqua" w:hAnsi="Book Antiqua" w:cs="Arial"/>
                <w:lang w:val="en-GB"/>
              </w:rPr>
              <w:t>)</w:t>
            </w:r>
          </w:p>
        </w:tc>
        <w:tc>
          <w:tcPr>
            <w:tcW w:w="1581" w:type="dxa"/>
          </w:tcPr>
          <w:p w14:paraId="53236AA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60-400</w:t>
            </w:r>
          </w:p>
        </w:tc>
        <w:tc>
          <w:tcPr>
            <w:tcW w:w="1850" w:type="dxa"/>
          </w:tcPr>
          <w:p w14:paraId="10BF969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30</w:t>
            </w:r>
          </w:p>
        </w:tc>
        <w:tc>
          <w:tcPr>
            <w:tcW w:w="2126" w:type="dxa"/>
          </w:tcPr>
          <w:p w14:paraId="2100AD05" w14:textId="77777777" w:rsidR="009763AB" w:rsidRPr="009763AB" w:rsidRDefault="009763AB" w:rsidP="009763AB">
            <w:pPr>
              <w:spacing w:before="20" w:after="20" w:line="360" w:lineRule="auto"/>
              <w:jc w:val="both"/>
              <w:rPr>
                <w:rFonts w:ascii="Book Antiqua" w:hAnsi="Book Antiqua" w:cs="Arial"/>
                <w:lang w:val="en-GB"/>
              </w:rPr>
            </w:pPr>
          </w:p>
        </w:tc>
      </w:tr>
      <w:tr w:rsidR="009763AB" w:rsidRPr="009763AB" w14:paraId="0024A990" w14:textId="77777777" w:rsidTr="00B8726B">
        <w:tc>
          <w:tcPr>
            <w:tcW w:w="3794" w:type="dxa"/>
          </w:tcPr>
          <w:p w14:paraId="6C33750F" w14:textId="30C7546F"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Activated partial-thromboplastin time (s)</w:t>
            </w:r>
          </w:p>
        </w:tc>
        <w:tc>
          <w:tcPr>
            <w:tcW w:w="1581" w:type="dxa"/>
          </w:tcPr>
          <w:p w14:paraId="0D1EBA4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21-33</w:t>
            </w:r>
          </w:p>
        </w:tc>
        <w:tc>
          <w:tcPr>
            <w:tcW w:w="1850" w:type="dxa"/>
          </w:tcPr>
          <w:p w14:paraId="6EDD437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49</w:t>
            </w:r>
          </w:p>
        </w:tc>
        <w:tc>
          <w:tcPr>
            <w:tcW w:w="2126" w:type="dxa"/>
          </w:tcPr>
          <w:p w14:paraId="3972B20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59</w:t>
            </w:r>
          </w:p>
        </w:tc>
      </w:tr>
      <w:tr w:rsidR="009763AB" w:rsidRPr="009763AB" w14:paraId="7D4FF0CB" w14:textId="77777777" w:rsidTr="00B8726B">
        <w:tc>
          <w:tcPr>
            <w:tcW w:w="3794" w:type="dxa"/>
          </w:tcPr>
          <w:p w14:paraId="1989A5D3" w14:textId="69FEE9AF"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Prothrombin time (s)</w:t>
            </w:r>
          </w:p>
        </w:tc>
        <w:tc>
          <w:tcPr>
            <w:tcW w:w="1581" w:type="dxa"/>
          </w:tcPr>
          <w:p w14:paraId="50AB3F1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10-13</w:t>
            </w:r>
          </w:p>
        </w:tc>
        <w:tc>
          <w:tcPr>
            <w:tcW w:w="1850" w:type="dxa"/>
          </w:tcPr>
          <w:p w14:paraId="549FF00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w:t>
            </w:r>
          </w:p>
        </w:tc>
        <w:tc>
          <w:tcPr>
            <w:tcW w:w="2126" w:type="dxa"/>
          </w:tcPr>
          <w:p w14:paraId="16C777E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w:t>
            </w:r>
          </w:p>
        </w:tc>
      </w:tr>
      <w:tr w:rsidR="009763AB" w:rsidRPr="009763AB" w14:paraId="48E65B6F" w14:textId="77777777" w:rsidTr="00B8726B">
        <w:tc>
          <w:tcPr>
            <w:tcW w:w="3794" w:type="dxa"/>
          </w:tcPr>
          <w:p w14:paraId="7ED5A31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International normalized ratio</w:t>
            </w:r>
          </w:p>
        </w:tc>
        <w:tc>
          <w:tcPr>
            <w:tcW w:w="1581" w:type="dxa"/>
          </w:tcPr>
          <w:p w14:paraId="64DD9ED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&lt; 1.2</w:t>
            </w:r>
          </w:p>
        </w:tc>
        <w:tc>
          <w:tcPr>
            <w:tcW w:w="1850" w:type="dxa"/>
          </w:tcPr>
          <w:p w14:paraId="2522711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1.50</w:t>
            </w:r>
          </w:p>
        </w:tc>
        <w:tc>
          <w:tcPr>
            <w:tcW w:w="2126" w:type="dxa"/>
          </w:tcPr>
          <w:p w14:paraId="3559964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2.03</w:t>
            </w:r>
          </w:p>
        </w:tc>
      </w:tr>
      <w:tr w:rsidR="009763AB" w:rsidRPr="009763AB" w14:paraId="000F1C04" w14:textId="77777777" w:rsidTr="00B8726B">
        <w:tc>
          <w:tcPr>
            <w:tcW w:w="3794" w:type="dxa"/>
          </w:tcPr>
          <w:p w14:paraId="484E9C0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D-dimer</w:t>
            </w:r>
          </w:p>
        </w:tc>
        <w:tc>
          <w:tcPr>
            <w:tcW w:w="1581" w:type="dxa"/>
          </w:tcPr>
          <w:p w14:paraId="0AC45ED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&lt; 500</w:t>
            </w:r>
          </w:p>
        </w:tc>
        <w:tc>
          <w:tcPr>
            <w:tcW w:w="1850" w:type="dxa"/>
          </w:tcPr>
          <w:p w14:paraId="2A76E44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138</w:t>
            </w:r>
          </w:p>
        </w:tc>
        <w:tc>
          <w:tcPr>
            <w:tcW w:w="2126" w:type="dxa"/>
          </w:tcPr>
          <w:p w14:paraId="2E1F410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274</w:t>
            </w:r>
          </w:p>
        </w:tc>
      </w:tr>
      <w:tr w:rsidR="009763AB" w:rsidRPr="009763AB" w14:paraId="3DA8171F" w14:textId="77777777" w:rsidTr="00B8726B">
        <w:tc>
          <w:tcPr>
            <w:tcW w:w="3794" w:type="dxa"/>
          </w:tcPr>
          <w:p w14:paraId="5EB270D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Fibrinogen</w:t>
            </w:r>
          </w:p>
        </w:tc>
        <w:tc>
          <w:tcPr>
            <w:tcW w:w="1581" w:type="dxa"/>
          </w:tcPr>
          <w:p w14:paraId="7E9FA21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150-400</w:t>
            </w:r>
          </w:p>
        </w:tc>
        <w:tc>
          <w:tcPr>
            <w:tcW w:w="1850" w:type="dxa"/>
          </w:tcPr>
          <w:p w14:paraId="4D1A973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200</w:t>
            </w:r>
          </w:p>
        </w:tc>
        <w:tc>
          <w:tcPr>
            <w:tcW w:w="2126" w:type="dxa"/>
          </w:tcPr>
          <w:p w14:paraId="1026DAE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174</w:t>
            </w:r>
          </w:p>
        </w:tc>
      </w:tr>
      <w:tr w:rsidR="009763AB" w:rsidRPr="009763AB" w14:paraId="7D4A1DB3" w14:textId="77777777" w:rsidTr="00B8726B">
        <w:tc>
          <w:tcPr>
            <w:tcW w:w="3794" w:type="dxa"/>
          </w:tcPr>
          <w:p w14:paraId="748BE63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Factor V (%)</w:t>
            </w:r>
          </w:p>
        </w:tc>
        <w:tc>
          <w:tcPr>
            <w:tcW w:w="1581" w:type="dxa"/>
          </w:tcPr>
          <w:p w14:paraId="360C942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70-140</w:t>
            </w:r>
          </w:p>
        </w:tc>
        <w:tc>
          <w:tcPr>
            <w:tcW w:w="1850" w:type="dxa"/>
          </w:tcPr>
          <w:p w14:paraId="1B9CFF9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70.4</w:t>
            </w:r>
          </w:p>
        </w:tc>
        <w:tc>
          <w:tcPr>
            <w:tcW w:w="2126" w:type="dxa"/>
          </w:tcPr>
          <w:p w14:paraId="71058EF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1789CFF6" w14:textId="77777777" w:rsidTr="00B8726B">
        <w:tc>
          <w:tcPr>
            <w:tcW w:w="3794" w:type="dxa"/>
          </w:tcPr>
          <w:p w14:paraId="1F624DF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Factor VII (%)</w:t>
            </w:r>
          </w:p>
        </w:tc>
        <w:tc>
          <w:tcPr>
            <w:tcW w:w="1581" w:type="dxa"/>
          </w:tcPr>
          <w:p w14:paraId="1956EDC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70-120</w:t>
            </w:r>
          </w:p>
        </w:tc>
        <w:tc>
          <w:tcPr>
            <w:tcW w:w="1850" w:type="dxa"/>
          </w:tcPr>
          <w:p w14:paraId="36EBCED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36.9</w:t>
            </w:r>
          </w:p>
        </w:tc>
        <w:tc>
          <w:tcPr>
            <w:tcW w:w="2126" w:type="dxa"/>
          </w:tcPr>
          <w:p w14:paraId="0F6B041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28EC88F5" w14:textId="77777777" w:rsidTr="00B8726B">
        <w:tc>
          <w:tcPr>
            <w:tcW w:w="3794" w:type="dxa"/>
          </w:tcPr>
          <w:p w14:paraId="1CFBDAC6" w14:textId="48897AB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Ammonia (</w:t>
            </w:r>
            <w:r w:rsidRPr="009763AB">
              <w:rPr>
                <w:rFonts w:ascii="Book Antiqua" w:hAnsi="Book Antiqua" w:cs="Arial"/>
                <w:lang w:val="en-GB"/>
              </w:rPr>
              <w:sym w:font="Symbol" w:char="F06D"/>
            </w:r>
            <w:r w:rsidRPr="009763AB">
              <w:rPr>
                <w:rFonts w:ascii="Book Antiqua" w:hAnsi="Book Antiqua" w:cs="Arial"/>
                <w:lang w:val="en-GB"/>
              </w:rPr>
              <w:t>g/d</w:t>
            </w:r>
            <w:r>
              <w:rPr>
                <w:rFonts w:ascii="Book Antiqua" w:hAnsi="Book Antiqua" w:cs="Arial"/>
                <w:lang w:val="en-GB"/>
              </w:rPr>
              <w:t>L</w:t>
            </w:r>
            <w:r w:rsidRPr="009763AB">
              <w:rPr>
                <w:rFonts w:ascii="Book Antiqua" w:hAnsi="Book Antiqua" w:cs="Arial"/>
                <w:lang w:val="en-GB"/>
              </w:rPr>
              <w:t>)</w:t>
            </w:r>
          </w:p>
        </w:tc>
        <w:tc>
          <w:tcPr>
            <w:tcW w:w="1581" w:type="dxa"/>
          </w:tcPr>
          <w:p w14:paraId="05049F92"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12-48</w:t>
            </w:r>
          </w:p>
        </w:tc>
        <w:tc>
          <w:tcPr>
            <w:tcW w:w="1850" w:type="dxa"/>
          </w:tcPr>
          <w:p w14:paraId="1D6A5C03"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178</w:t>
            </w:r>
          </w:p>
        </w:tc>
        <w:tc>
          <w:tcPr>
            <w:tcW w:w="2126" w:type="dxa"/>
          </w:tcPr>
          <w:p w14:paraId="1458ACD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243</w:t>
            </w:r>
          </w:p>
        </w:tc>
      </w:tr>
      <w:tr w:rsidR="009763AB" w:rsidRPr="009763AB" w14:paraId="12579EA0" w14:textId="77777777" w:rsidTr="00B8726B">
        <w:tc>
          <w:tcPr>
            <w:tcW w:w="3794" w:type="dxa"/>
          </w:tcPr>
          <w:p w14:paraId="154EDD5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lastRenderedPageBreak/>
              <w:t>Glucose (mg%)</w:t>
            </w:r>
          </w:p>
        </w:tc>
        <w:tc>
          <w:tcPr>
            <w:tcW w:w="1581" w:type="dxa"/>
          </w:tcPr>
          <w:p w14:paraId="0D8E579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70-110</w:t>
            </w:r>
          </w:p>
        </w:tc>
        <w:tc>
          <w:tcPr>
            <w:tcW w:w="1850" w:type="dxa"/>
          </w:tcPr>
          <w:p w14:paraId="28C39899"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55</w:t>
            </w:r>
          </w:p>
        </w:tc>
        <w:tc>
          <w:tcPr>
            <w:tcW w:w="2126" w:type="dxa"/>
          </w:tcPr>
          <w:p w14:paraId="72C1DD6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30</w:t>
            </w:r>
          </w:p>
        </w:tc>
      </w:tr>
      <w:tr w:rsidR="009763AB" w:rsidRPr="009763AB" w14:paraId="7C9BF3AA" w14:textId="77777777" w:rsidTr="00B8726B">
        <w:tc>
          <w:tcPr>
            <w:tcW w:w="3794" w:type="dxa"/>
          </w:tcPr>
          <w:p w14:paraId="466D0A4F" w14:textId="6C40F209"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Creatinine (mg/d</w:t>
            </w:r>
            <w:r>
              <w:rPr>
                <w:rFonts w:ascii="Book Antiqua" w:hAnsi="Book Antiqua" w:cs="Arial"/>
                <w:lang w:val="en-GB"/>
              </w:rPr>
              <w:t>L</w:t>
            </w:r>
            <w:r w:rsidRPr="009763AB">
              <w:rPr>
                <w:rFonts w:ascii="Book Antiqua" w:hAnsi="Book Antiqua" w:cs="Arial"/>
                <w:lang w:val="en-GB"/>
              </w:rPr>
              <w:t>)</w:t>
            </w:r>
          </w:p>
        </w:tc>
        <w:tc>
          <w:tcPr>
            <w:tcW w:w="1581" w:type="dxa"/>
          </w:tcPr>
          <w:p w14:paraId="60315CA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0.3-1.0</w:t>
            </w:r>
          </w:p>
        </w:tc>
        <w:tc>
          <w:tcPr>
            <w:tcW w:w="1850" w:type="dxa"/>
          </w:tcPr>
          <w:p w14:paraId="60BC585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0.2</w:t>
            </w:r>
          </w:p>
        </w:tc>
        <w:tc>
          <w:tcPr>
            <w:tcW w:w="2126" w:type="dxa"/>
          </w:tcPr>
          <w:p w14:paraId="3496147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0.2</w:t>
            </w:r>
          </w:p>
        </w:tc>
      </w:tr>
      <w:tr w:rsidR="009763AB" w:rsidRPr="009763AB" w14:paraId="5249AC11" w14:textId="77777777" w:rsidTr="00B8726B">
        <w:tc>
          <w:tcPr>
            <w:tcW w:w="3794" w:type="dxa"/>
          </w:tcPr>
          <w:p w14:paraId="05DFCA2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Protein (g/L)</w:t>
            </w:r>
          </w:p>
        </w:tc>
        <w:tc>
          <w:tcPr>
            <w:tcW w:w="1581" w:type="dxa"/>
          </w:tcPr>
          <w:p w14:paraId="755BFF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60-83</w:t>
            </w:r>
          </w:p>
        </w:tc>
        <w:tc>
          <w:tcPr>
            <w:tcW w:w="1850" w:type="dxa"/>
          </w:tcPr>
          <w:p w14:paraId="655D4C5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45</w:t>
            </w:r>
          </w:p>
        </w:tc>
        <w:tc>
          <w:tcPr>
            <w:tcW w:w="2126" w:type="dxa"/>
          </w:tcPr>
          <w:p w14:paraId="47458D4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55</w:t>
            </w:r>
          </w:p>
        </w:tc>
      </w:tr>
      <w:tr w:rsidR="009763AB" w:rsidRPr="009763AB" w14:paraId="1182272D" w14:textId="77777777" w:rsidTr="00B8726B">
        <w:tc>
          <w:tcPr>
            <w:tcW w:w="3794" w:type="dxa"/>
          </w:tcPr>
          <w:p w14:paraId="6F5AE8C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Albumin (g/L)</w:t>
            </w:r>
          </w:p>
        </w:tc>
        <w:tc>
          <w:tcPr>
            <w:tcW w:w="1581" w:type="dxa"/>
          </w:tcPr>
          <w:p w14:paraId="0DA0397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33-50</w:t>
            </w:r>
          </w:p>
        </w:tc>
        <w:tc>
          <w:tcPr>
            <w:tcW w:w="1850" w:type="dxa"/>
          </w:tcPr>
          <w:p w14:paraId="56CA302C"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25</w:t>
            </w:r>
          </w:p>
        </w:tc>
        <w:tc>
          <w:tcPr>
            <w:tcW w:w="2126" w:type="dxa"/>
          </w:tcPr>
          <w:p w14:paraId="25A6F7EE"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34</w:t>
            </w:r>
          </w:p>
        </w:tc>
      </w:tr>
      <w:tr w:rsidR="009763AB" w:rsidRPr="009763AB" w14:paraId="3C22F36B" w14:textId="77777777" w:rsidTr="00B8726B">
        <w:tc>
          <w:tcPr>
            <w:tcW w:w="3794" w:type="dxa"/>
          </w:tcPr>
          <w:p w14:paraId="4925A84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Globulin (g/L)</w:t>
            </w:r>
          </w:p>
        </w:tc>
        <w:tc>
          <w:tcPr>
            <w:tcW w:w="1581" w:type="dxa"/>
          </w:tcPr>
          <w:p w14:paraId="44B5E88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26-41</w:t>
            </w:r>
          </w:p>
        </w:tc>
        <w:tc>
          <w:tcPr>
            <w:tcW w:w="1850" w:type="dxa"/>
          </w:tcPr>
          <w:p w14:paraId="11A6BED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w:t>
            </w:r>
          </w:p>
        </w:tc>
        <w:tc>
          <w:tcPr>
            <w:tcW w:w="2126" w:type="dxa"/>
          </w:tcPr>
          <w:p w14:paraId="44F312BF"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14</w:t>
            </w:r>
          </w:p>
        </w:tc>
      </w:tr>
      <w:tr w:rsidR="009763AB" w:rsidRPr="009763AB" w14:paraId="7F476470" w14:textId="77777777" w:rsidTr="00B8726B">
        <w:tc>
          <w:tcPr>
            <w:tcW w:w="3794" w:type="dxa"/>
          </w:tcPr>
          <w:p w14:paraId="23E11508" w14:textId="0F16B76F"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Immunoglobulin G (mg/d</w:t>
            </w:r>
            <w:r>
              <w:rPr>
                <w:rFonts w:ascii="Book Antiqua" w:hAnsi="Book Antiqua" w:cs="Arial"/>
                <w:lang w:val="en-GB"/>
              </w:rPr>
              <w:t>L</w:t>
            </w:r>
            <w:r w:rsidRPr="009763AB">
              <w:rPr>
                <w:rFonts w:ascii="Book Antiqua" w:hAnsi="Book Antiqua" w:cs="Arial"/>
                <w:lang w:val="en-GB"/>
              </w:rPr>
              <w:t>)</w:t>
            </w:r>
          </w:p>
        </w:tc>
        <w:tc>
          <w:tcPr>
            <w:tcW w:w="1581" w:type="dxa"/>
          </w:tcPr>
          <w:p w14:paraId="0CF0A07D"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231-1411</w:t>
            </w:r>
          </w:p>
        </w:tc>
        <w:tc>
          <w:tcPr>
            <w:tcW w:w="1850" w:type="dxa"/>
          </w:tcPr>
          <w:p w14:paraId="064980F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713</w:t>
            </w:r>
          </w:p>
        </w:tc>
        <w:tc>
          <w:tcPr>
            <w:tcW w:w="2126" w:type="dxa"/>
          </w:tcPr>
          <w:p w14:paraId="4CE4C431"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490C59A0" w14:textId="77777777" w:rsidTr="00B8726B">
        <w:tc>
          <w:tcPr>
            <w:tcW w:w="3794" w:type="dxa"/>
          </w:tcPr>
          <w:p w14:paraId="70E51851" w14:textId="79F710E3"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Immunoglobulin A (mg/d</w:t>
            </w:r>
            <w:r>
              <w:rPr>
                <w:rFonts w:ascii="Book Antiqua" w:hAnsi="Book Antiqua" w:cs="Arial"/>
                <w:lang w:val="en-GB"/>
              </w:rPr>
              <w:t>L</w:t>
            </w:r>
            <w:r w:rsidRPr="009763AB">
              <w:rPr>
                <w:rFonts w:ascii="Book Antiqua" w:hAnsi="Book Antiqua" w:cs="Arial"/>
                <w:lang w:val="en-GB"/>
              </w:rPr>
              <w:t>)</w:t>
            </w:r>
          </w:p>
        </w:tc>
        <w:tc>
          <w:tcPr>
            <w:tcW w:w="1581" w:type="dxa"/>
          </w:tcPr>
          <w:p w14:paraId="1FE2D08A"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0-83</w:t>
            </w:r>
          </w:p>
        </w:tc>
        <w:tc>
          <w:tcPr>
            <w:tcW w:w="1850" w:type="dxa"/>
          </w:tcPr>
          <w:p w14:paraId="5B67146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21</w:t>
            </w:r>
          </w:p>
        </w:tc>
        <w:tc>
          <w:tcPr>
            <w:tcW w:w="2126" w:type="dxa"/>
          </w:tcPr>
          <w:p w14:paraId="1C85835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62A0F969" w14:textId="77777777" w:rsidTr="00B8726B">
        <w:tc>
          <w:tcPr>
            <w:tcW w:w="3794" w:type="dxa"/>
          </w:tcPr>
          <w:p w14:paraId="79D731BA" w14:textId="0E06483C"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Immunoglobulin M (mg/d</w:t>
            </w:r>
            <w:r>
              <w:rPr>
                <w:rFonts w:ascii="Book Antiqua" w:hAnsi="Book Antiqua" w:cs="Arial"/>
                <w:lang w:val="en-GB"/>
              </w:rPr>
              <w:t>L</w:t>
            </w:r>
            <w:r w:rsidRPr="009763AB">
              <w:rPr>
                <w:rFonts w:ascii="Book Antiqua" w:hAnsi="Book Antiqua" w:cs="Arial"/>
                <w:lang w:val="en-GB"/>
              </w:rPr>
              <w:t>)</w:t>
            </w:r>
          </w:p>
        </w:tc>
        <w:tc>
          <w:tcPr>
            <w:tcW w:w="1581" w:type="dxa"/>
          </w:tcPr>
          <w:p w14:paraId="4F9BAE4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0-145</w:t>
            </w:r>
          </w:p>
        </w:tc>
        <w:tc>
          <w:tcPr>
            <w:tcW w:w="1850" w:type="dxa"/>
          </w:tcPr>
          <w:p w14:paraId="2279771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79</w:t>
            </w:r>
          </w:p>
        </w:tc>
        <w:tc>
          <w:tcPr>
            <w:tcW w:w="2126" w:type="dxa"/>
          </w:tcPr>
          <w:p w14:paraId="28DA8805"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15E11DD5" w14:textId="77777777" w:rsidTr="00B8726B">
        <w:tc>
          <w:tcPr>
            <w:tcW w:w="3794" w:type="dxa"/>
          </w:tcPr>
          <w:p w14:paraId="548D29EE" w14:textId="6EBBAE78"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vertAlign w:val="superscript"/>
                <w:lang w:val="en-GB"/>
              </w:rPr>
              <w:t>1</w:t>
            </w:r>
            <w:r w:rsidRPr="009763AB">
              <w:rPr>
                <w:rFonts w:ascii="Book Antiqua" w:hAnsi="Book Antiqua" w:cs="Arial"/>
                <w:lang w:val="en-GB"/>
              </w:rPr>
              <w:t>Alpha-fetoprotein (IU/m</w:t>
            </w:r>
            <w:r>
              <w:rPr>
                <w:rFonts w:ascii="Book Antiqua" w:hAnsi="Book Antiqua" w:cs="Arial"/>
                <w:lang w:val="en-GB"/>
              </w:rPr>
              <w:t>L</w:t>
            </w:r>
            <w:r w:rsidRPr="009763AB">
              <w:rPr>
                <w:rFonts w:ascii="Book Antiqua" w:hAnsi="Book Antiqua" w:cs="Arial"/>
                <w:lang w:val="en-GB"/>
              </w:rPr>
              <w:t>)</w:t>
            </w:r>
          </w:p>
        </w:tc>
        <w:tc>
          <w:tcPr>
            <w:tcW w:w="1581" w:type="dxa"/>
          </w:tcPr>
          <w:p w14:paraId="468E61CF" w14:textId="1395A3DA" w:rsidR="009763AB" w:rsidRPr="009763AB" w:rsidRDefault="009763AB" w:rsidP="009763AB">
            <w:pPr>
              <w:spacing w:before="20" w:after="20" w:line="360" w:lineRule="auto"/>
              <w:jc w:val="both"/>
              <w:rPr>
                <w:rFonts w:ascii="Book Antiqua" w:hAnsi="Book Antiqua" w:cs="Arial"/>
                <w:lang w:val="en-GB"/>
              </w:rPr>
            </w:pPr>
          </w:p>
        </w:tc>
        <w:tc>
          <w:tcPr>
            <w:tcW w:w="1850" w:type="dxa"/>
          </w:tcPr>
          <w:p w14:paraId="5F4B0D93" w14:textId="780031D1"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358000</w:t>
            </w:r>
          </w:p>
        </w:tc>
        <w:tc>
          <w:tcPr>
            <w:tcW w:w="2126" w:type="dxa"/>
          </w:tcPr>
          <w:p w14:paraId="5D54B643" w14:textId="3A841384"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230000</w:t>
            </w:r>
          </w:p>
        </w:tc>
      </w:tr>
      <w:tr w:rsidR="009763AB" w:rsidRPr="009763AB" w14:paraId="3D7C05D9" w14:textId="77777777" w:rsidTr="00B8726B">
        <w:tc>
          <w:tcPr>
            <w:tcW w:w="3794" w:type="dxa"/>
          </w:tcPr>
          <w:p w14:paraId="784220A9" w14:textId="7A9325F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Vitamin A (ng/m</w:t>
            </w:r>
            <w:r>
              <w:rPr>
                <w:rFonts w:ascii="Book Antiqua" w:hAnsi="Book Antiqua" w:cs="Arial"/>
                <w:lang w:val="en-GB"/>
              </w:rPr>
              <w:t>L</w:t>
            </w:r>
            <w:r w:rsidRPr="009763AB">
              <w:rPr>
                <w:rFonts w:ascii="Book Antiqua" w:hAnsi="Book Antiqua" w:cs="Arial"/>
                <w:lang w:val="en-GB"/>
              </w:rPr>
              <w:t>)</w:t>
            </w:r>
          </w:p>
        </w:tc>
        <w:tc>
          <w:tcPr>
            <w:tcW w:w="1581" w:type="dxa"/>
          </w:tcPr>
          <w:p w14:paraId="1BEBDAA6"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200-800</w:t>
            </w:r>
          </w:p>
        </w:tc>
        <w:tc>
          <w:tcPr>
            <w:tcW w:w="1850" w:type="dxa"/>
          </w:tcPr>
          <w:p w14:paraId="422FD178"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165</w:t>
            </w:r>
          </w:p>
        </w:tc>
        <w:tc>
          <w:tcPr>
            <w:tcW w:w="2126" w:type="dxa"/>
          </w:tcPr>
          <w:p w14:paraId="3F83C727"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2F717ED1" w14:textId="77777777" w:rsidTr="00B8726B">
        <w:tc>
          <w:tcPr>
            <w:tcW w:w="3794" w:type="dxa"/>
          </w:tcPr>
          <w:p w14:paraId="59F93823" w14:textId="62003981"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Vitamin E (</w:t>
            </w:r>
            <w:r w:rsidRPr="009763AB">
              <w:rPr>
                <w:rFonts w:ascii="Book Antiqua" w:hAnsi="Book Antiqua" w:cs="Arial"/>
                <w:lang w:val="en-GB"/>
              </w:rPr>
              <w:sym w:font="Symbol" w:char="F06D"/>
            </w:r>
            <w:r w:rsidRPr="009763AB">
              <w:rPr>
                <w:rFonts w:ascii="Book Antiqua" w:hAnsi="Book Antiqua" w:cs="Arial"/>
                <w:lang w:val="en-GB"/>
              </w:rPr>
              <w:t>g/m</w:t>
            </w:r>
            <w:r>
              <w:rPr>
                <w:rFonts w:ascii="Book Antiqua" w:hAnsi="Book Antiqua" w:cs="Arial"/>
                <w:lang w:val="en-GB"/>
              </w:rPr>
              <w:t>L</w:t>
            </w:r>
            <w:r w:rsidRPr="009763AB">
              <w:rPr>
                <w:rFonts w:ascii="Book Antiqua" w:hAnsi="Book Antiqua" w:cs="Arial"/>
                <w:lang w:val="en-GB"/>
              </w:rPr>
              <w:t>)</w:t>
            </w:r>
          </w:p>
        </w:tc>
        <w:tc>
          <w:tcPr>
            <w:tcW w:w="1581" w:type="dxa"/>
          </w:tcPr>
          <w:p w14:paraId="48EB7C8B"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3.8-16.0</w:t>
            </w:r>
          </w:p>
        </w:tc>
        <w:tc>
          <w:tcPr>
            <w:tcW w:w="1850" w:type="dxa"/>
          </w:tcPr>
          <w:p w14:paraId="0D15B492"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8.4</w:t>
            </w:r>
          </w:p>
        </w:tc>
        <w:tc>
          <w:tcPr>
            <w:tcW w:w="2126" w:type="dxa"/>
          </w:tcPr>
          <w:p w14:paraId="14BCF0E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r w:rsidR="009763AB" w:rsidRPr="009763AB" w14:paraId="7E81FD61" w14:textId="77777777" w:rsidTr="00B8726B">
        <w:tc>
          <w:tcPr>
            <w:tcW w:w="3794" w:type="dxa"/>
            <w:tcBorders>
              <w:bottom w:val="single" w:sz="4" w:space="0" w:color="auto"/>
            </w:tcBorders>
          </w:tcPr>
          <w:p w14:paraId="301AEFAB" w14:textId="646C0E55" w:rsidR="009763AB" w:rsidRPr="009763AB" w:rsidRDefault="009763AB" w:rsidP="009763AB">
            <w:pPr>
              <w:spacing w:before="20" w:after="20" w:line="360" w:lineRule="auto"/>
              <w:jc w:val="both"/>
              <w:rPr>
                <w:rFonts w:ascii="Book Antiqua" w:hAnsi="Book Antiqua" w:cs="Arial"/>
                <w:vertAlign w:val="subscript"/>
                <w:lang w:val="en-GB"/>
              </w:rPr>
            </w:pPr>
            <w:r w:rsidRPr="009763AB">
              <w:rPr>
                <w:rFonts w:ascii="Book Antiqua" w:hAnsi="Book Antiqua" w:cs="Arial"/>
                <w:lang w:val="en-GB"/>
              </w:rPr>
              <w:t>25OHD</w:t>
            </w:r>
            <w:r w:rsidRPr="009763AB">
              <w:rPr>
                <w:rFonts w:ascii="Book Antiqua" w:hAnsi="Book Antiqua" w:cs="Arial"/>
                <w:vertAlign w:val="subscript"/>
                <w:lang w:val="en-GB"/>
              </w:rPr>
              <w:t>3</w:t>
            </w:r>
            <w:r w:rsidRPr="009763AB">
              <w:rPr>
                <w:rFonts w:ascii="Book Antiqua" w:hAnsi="Book Antiqua" w:cs="Arial"/>
                <w:lang w:val="en-GB"/>
              </w:rPr>
              <w:t xml:space="preserve"> (ng/m</w:t>
            </w:r>
            <w:r>
              <w:rPr>
                <w:rFonts w:ascii="Book Antiqua" w:hAnsi="Book Antiqua" w:cs="Arial"/>
                <w:lang w:val="en-GB"/>
              </w:rPr>
              <w:t>L</w:t>
            </w:r>
            <w:r w:rsidRPr="009763AB">
              <w:rPr>
                <w:rFonts w:ascii="Book Antiqua" w:hAnsi="Book Antiqua" w:cs="Arial"/>
                <w:lang w:val="en-GB"/>
              </w:rPr>
              <w:t>)</w:t>
            </w:r>
          </w:p>
        </w:tc>
        <w:tc>
          <w:tcPr>
            <w:tcW w:w="1581" w:type="dxa"/>
            <w:tcBorders>
              <w:bottom w:val="single" w:sz="4" w:space="0" w:color="auto"/>
            </w:tcBorders>
          </w:tcPr>
          <w:p w14:paraId="1469418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11-54</w:t>
            </w:r>
          </w:p>
        </w:tc>
        <w:tc>
          <w:tcPr>
            <w:tcW w:w="1850" w:type="dxa"/>
            <w:tcBorders>
              <w:bottom w:val="single" w:sz="4" w:space="0" w:color="auto"/>
            </w:tcBorders>
          </w:tcPr>
          <w:p w14:paraId="25027ED4"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26</w:t>
            </w:r>
          </w:p>
        </w:tc>
        <w:tc>
          <w:tcPr>
            <w:tcW w:w="2126" w:type="dxa"/>
            <w:tcBorders>
              <w:bottom w:val="single" w:sz="4" w:space="0" w:color="auto"/>
            </w:tcBorders>
          </w:tcPr>
          <w:p w14:paraId="6BC84EC0" w14:textId="77777777" w:rsidR="009763AB" w:rsidRPr="009763AB" w:rsidRDefault="009763AB" w:rsidP="009763AB">
            <w:pPr>
              <w:spacing w:before="20" w:after="20" w:line="360" w:lineRule="auto"/>
              <w:jc w:val="both"/>
              <w:rPr>
                <w:rFonts w:ascii="Book Antiqua" w:hAnsi="Book Antiqua" w:cs="Arial"/>
                <w:lang w:val="en-GB"/>
              </w:rPr>
            </w:pPr>
            <w:r w:rsidRPr="009763AB">
              <w:rPr>
                <w:rFonts w:ascii="Book Antiqua" w:hAnsi="Book Antiqua" w:cs="Arial"/>
                <w:lang w:val="en-GB"/>
              </w:rPr>
              <w:t>-</w:t>
            </w:r>
          </w:p>
        </w:tc>
      </w:tr>
    </w:tbl>
    <w:p w14:paraId="0EF69DD9" w14:textId="1A8F849B" w:rsidR="009763AB" w:rsidRPr="009763AB" w:rsidRDefault="009763AB" w:rsidP="009763AB">
      <w:pPr>
        <w:spacing w:line="360" w:lineRule="auto"/>
        <w:jc w:val="both"/>
        <w:rPr>
          <w:b/>
          <w:bCs/>
          <w:lang w:val="en-GB"/>
        </w:rPr>
      </w:pPr>
      <w:r w:rsidRPr="009763AB">
        <w:rPr>
          <w:rFonts w:ascii="Book Antiqua" w:hAnsi="Book Antiqua" w:cs="Arial"/>
          <w:vertAlign w:val="superscript"/>
          <w:lang w:val="en-GB"/>
        </w:rPr>
        <w:t>1</w:t>
      </w:r>
      <w:r w:rsidRPr="009763AB">
        <w:rPr>
          <w:rFonts w:ascii="Book Antiqua" w:hAnsi="Book Antiqua" w:cs="Arial"/>
          <w:lang w:val="en-GB"/>
        </w:rPr>
        <w:t>Alpha-fetoprotein</w:t>
      </w:r>
      <w:r w:rsidRPr="003367D2">
        <w:rPr>
          <w:rFonts w:ascii="Book Antiqua" w:hAnsi="Book Antiqua" w:cs="Arial"/>
          <w:lang w:val="en-GB"/>
        </w:rPr>
        <w:t xml:space="preserve"> normal values according to age: Premature 95000-175000; term newborn 13000-83000; 2 wk-1 mo 20-19000; 3 mo 10-180; 8 mo 0-10.</w:t>
      </w:r>
      <w:r>
        <w:rPr>
          <w:rFonts w:ascii="Book Antiqua" w:hAnsi="Book Antiqua" w:cs="Arial"/>
          <w:lang w:val="en-GB"/>
        </w:rPr>
        <w:t xml:space="preserve"> </w:t>
      </w:r>
      <w:r w:rsidRPr="00460895">
        <w:rPr>
          <w:rFonts w:ascii="Book Antiqua" w:eastAsia="Book Antiqua" w:hAnsi="Book Antiqua" w:cs="Book Antiqua"/>
          <w:color w:val="000000"/>
        </w:rPr>
        <w:t>ALT: Alanine aminotransferase;</w:t>
      </w:r>
      <w:r>
        <w:rPr>
          <w:rFonts w:ascii="Book Antiqua" w:eastAsia="Book Antiqua" w:hAnsi="Book Antiqua" w:cs="Book Antiqua"/>
          <w:color w:val="000000"/>
        </w:rPr>
        <w:t xml:space="preserve"> </w:t>
      </w:r>
      <w:r w:rsidRPr="00460895">
        <w:rPr>
          <w:rFonts w:ascii="Book Antiqua" w:eastAsia="Book Antiqua" w:hAnsi="Book Antiqua" w:cs="Book Antiqua"/>
          <w:color w:val="000000"/>
        </w:rPr>
        <w:t>AST: Aspartate aminotransferase;</w:t>
      </w:r>
      <w:r>
        <w:rPr>
          <w:rFonts w:ascii="Book Antiqua" w:eastAsia="Book Antiqua" w:hAnsi="Book Antiqua" w:cs="Book Antiqua"/>
          <w:color w:val="000000"/>
        </w:rPr>
        <w:t xml:space="preserve"> GGT: Gamma-glutamyl transpeptidase.</w:t>
      </w:r>
    </w:p>
    <w:sectPr w:rsidR="009763AB" w:rsidRPr="009763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71D1F" w14:textId="77777777" w:rsidR="00BD02DE" w:rsidRDefault="00BD02DE" w:rsidP="00EF3A5C">
      <w:r>
        <w:separator/>
      </w:r>
    </w:p>
  </w:endnote>
  <w:endnote w:type="continuationSeparator" w:id="0">
    <w:p w14:paraId="3DB78B4A" w14:textId="77777777" w:rsidR="00BD02DE" w:rsidRDefault="00BD02DE" w:rsidP="00EF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965311289"/>
      <w:docPartObj>
        <w:docPartGallery w:val="Page Numbers (Bottom of Page)"/>
        <w:docPartUnique/>
      </w:docPartObj>
    </w:sdtPr>
    <w:sdtEndPr>
      <w:rPr>
        <w:noProof/>
      </w:rPr>
    </w:sdtEndPr>
    <w:sdtContent>
      <w:p w14:paraId="5A9CAE82" w14:textId="03D27F6E" w:rsidR="00D26CAE" w:rsidRPr="00131905" w:rsidRDefault="00D26CAE">
        <w:pPr>
          <w:pStyle w:val="Footer"/>
          <w:jc w:val="right"/>
          <w:rPr>
            <w:rFonts w:ascii="Book Antiqua" w:hAnsi="Book Antiqua"/>
            <w:sz w:val="24"/>
            <w:szCs w:val="24"/>
          </w:rPr>
        </w:pPr>
        <w:r w:rsidRPr="00131905">
          <w:rPr>
            <w:rFonts w:ascii="Book Antiqua" w:hAnsi="Book Antiqua"/>
            <w:sz w:val="24"/>
            <w:szCs w:val="24"/>
          </w:rPr>
          <w:fldChar w:fldCharType="begin"/>
        </w:r>
        <w:r w:rsidRPr="00131905">
          <w:rPr>
            <w:rFonts w:ascii="Book Antiqua" w:hAnsi="Book Antiqua"/>
            <w:sz w:val="24"/>
            <w:szCs w:val="24"/>
          </w:rPr>
          <w:instrText xml:space="preserve"> PAGE   \* MERGEFORMAT </w:instrText>
        </w:r>
        <w:r w:rsidRPr="00131905">
          <w:rPr>
            <w:rFonts w:ascii="Book Antiqua" w:hAnsi="Book Antiqua"/>
            <w:sz w:val="24"/>
            <w:szCs w:val="24"/>
          </w:rPr>
          <w:fldChar w:fldCharType="separate"/>
        </w:r>
        <w:r w:rsidRPr="00131905">
          <w:rPr>
            <w:rFonts w:ascii="Book Antiqua" w:hAnsi="Book Antiqua"/>
            <w:noProof/>
            <w:sz w:val="24"/>
            <w:szCs w:val="24"/>
          </w:rPr>
          <w:t>2</w:t>
        </w:r>
        <w:r w:rsidRPr="00131905">
          <w:rPr>
            <w:rFonts w:ascii="Book Antiqua" w:hAnsi="Book Antiqua"/>
            <w:noProof/>
            <w:sz w:val="24"/>
            <w:szCs w:val="24"/>
          </w:rPr>
          <w:fldChar w:fldCharType="end"/>
        </w:r>
        <w:r w:rsidRPr="00131905">
          <w:rPr>
            <w:rFonts w:ascii="Book Antiqua" w:hAnsi="Book Antiqua"/>
            <w:noProof/>
            <w:sz w:val="24"/>
            <w:szCs w:val="24"/>
          </w:rPr>
          <w:t xml:space="preserve"> / 16</w:t>
        </w:r>
      </w:p>
    </w:sdtContent>
  </w:sdt>
  <w:p w14:paraId="5EFD39F8" w14:textId="77777777" w:rsidR="001C1B80" w:rsidRPr="001C1B80" w:rsidRDefault="001C1B80" w:rsidP="001C1B80">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52205" w14:textId="77777777" w:rsidR="00BD02DE" w:rsidRDefault="00BD02DE" w:rsidP="00EF3A5C">
      <w:r>
        <w:separator/>
      </w:r>
    </w:p>
  </w:footnote>
  <w:footnote w:type="continuationSeparator" w:id="0">
    <w:p w14:paraId="1A906F55" w14:textId="77777777" w:rsidR="00BD02DE" w:rsidRDefault="00BD02DE" w:rsidP="00EF3A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810"/>
    <w:rsid w:val="00047EFB"/>
    <w:rsid w:val="00060E03"/>
    <w:rsid w:val="000A7FB9"/>
    <w:rsid w:val="00107EFB"/>
    <w:rsid w:val="00131905"/>
    <w:rsid w:val="00141D6E"/>
    <w:rsid w:val="00153B09"/>
    <w:rsid w:val="001A0C8D"/>
    <w:rsid w:val="001A514B"/>
    <w:rsid w:val="001C1B80"/>
    <w:rsid w:val="002E51D1"/>
    <w:rsid w:val="003B6B80"/>
    <w:rsid w:val="00521AAB"/>
    <w:rsid w:val="005438A9"/>
    <w:rsid w:val="00574C5F"/>
    <w:rsid w:val="005755F9"/>
    <w:rsid w:val="005A6883"/>
    <w:rsid w:val="00631824"/>
    <w:rsid w:val="00633402"/>
    <w:rsid w:val="00675D11"/>
    <w:rsid w:val="006B4972"/>
    <w:rsid w:val="006E4EF8"/>
    <w:rsid w:val="0076706B"/>
    <w:rsid w:val="007E5E72"/>
    <w:rsid w:val="0082455C"/>
    <w:rsid w:val="008B2D5F"/>
    <w:rsid w:val="008D7F9F"/>
    <w:rsid w:val="009354C7"/>
    <w:rsid w:val="0095298E"/>
    <w:rsid w:val="009763AB"/>
    <w:rsid w:val="009C0CA1"/>
    <w:rsid w:val="00A05DE7"/>
    <w:rsid w:val="00A77B3E"/>
    <w:rsid w:val="00AE5348"/>
    <w:rsid w:val="00AF5F76"/>
    <w:rsid w:val="00B2021E"/>
    <w:rsid w:val="00B8726B"/>
    <w:rsid w:val="00BD02DE"/>
    <w:rsid w:val="00C131F8"/>
    <w:rsid w:val="00C87DB8"/>
    <w:rsid w:val="00CA2A55"/>
    <w:rsid w:val="00D26CAE"/>
    <w:rsid w:val="00DF3A7D"/>
    <w:rsid w:val="00E82C87"/>
    <w:rsid w:val="00E927A8"/>
    <w:rsid w:val="00EE5675"/>
    <w:rsid w:val="00EF3A5C"/>
    <w:rsid w:val="00EF7DDA"/>
    <w:rsid w:val="00F36375"/>
    <w:rsid w:val="00F6016B"/>
    <w:rsid w:val="00FE63B6"/>
    <w:rsid w:val="00FF3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AE0FD9"/>
  <w15:docId w15:val="{7203C36A-60E1-48F0-A64F-88DE4389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3A5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3A5C"/>
    <w:rPr>
      <w:sz w:val="18"/>
      <w:szCs w:val="18"/>
    </w:rPr>
  </w:style>
  <w:style w:type="paragraph" w:styleId="Footer">
    <w:name w:val="footer"/>
    <w:basedOn w:val="Normal"/>
    <w:link w:val="FooterChar"/>
    <w:uiPriority w:val="99"/>
    <w:unhideWhenUsed/>
    <w:rsid w:val="00EF3A5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3A5C"/>
    <w:rPr>
      <w:sz w:val="18"/>
      <w:szCs w:val="18"/>
    </w:rPr>
  </w:style>
  <w:style w:type="table" w:styleId="TableGrid">
    <w:name w:val="Table Grid"/>
    <w:basedOn w:val="TableNormal"/>
    <w:uiPriority w:val="59"/>
    <w:rsid w:val="009763AB"/>
    <w:rPr>
      <w:rFonts w:asciiTheme="minorHAnsi" w:hAnsiTheme="minorHAnsi" w:cstheme="minorBid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31905"/>
    <w:rPr>
      <w:sz w:val="18"/>
      <w:szCs w:val="18"/>
    </w:rPr>
  </w:style>
  <w:style w:type="character" w:customStyle="1" w:styleId="BalloonTextChar">
    <w:name w:val="Balloon Text Char"/>
    <w:basedOn w:val="DefaultParagraphFont"/>
    <w:link w:val="BalloonText"/>
    <w:semiHidden/>
    <w:rsid w:val="00131905"/>
    <w:rPr>
      <w:sz w:val="18"/>
      <w:szCs w:val="18"/>
    </w:rPr>
  </w:style>
  <w:style w:type="paragraph" w:styleId="Revision">
    <w:name w:val="Revision"/>
    <w:hidden/>
    <w:uiPriority w:val="99"/>
    <w:semiHidden/>
    <w:rsid w:val="001319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458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2872</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2021-02-27T23:07:00Z</dcterms:created>
  <dcterms:modified xsi:type="dcterms:W3CDTF">2021-02-27T23:07:00Z</dcterms:modified>
</cp:coreProperties>
</file>