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8097D"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Name of Journal: </w:t>
      </w:r>
      <w:r w:rsidRPr="00F25B0E">
        <w:rPr>
          <w:rFonts w:ascii="Book Antiqua" w:eastAsia="Book Antiqua" w:hAnsi="Book Antiqua" w:cs="Book Antiqua"/>
          <w:i/>
          <w:color w:val="000000"/>
        </w:rPr>
        <w:t>World Journal of Orthopedics</w:t>
      </w:r>
    </w:p>
    <w:p w14:paraId="39E0E3B1"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Manuscript NO: </w:t>
      </w:r>
      <w:r w:rsidRPr="00F25B0E">
        <w:rPr>
          <w:rFonts w:ascii="Book Antiqua" w:eastAsia="Book Antiqua" w:hAnsi="Book Antiqua" w:cs="Book Antiqua"/>
          <w:color w:val="000000"/>
        </w:rPr>
        <w:t>59440</w:t>
      </w:r>
    </w:p>
    <w:p w14:paraId="038BCAB5"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Manuscript Type: </w:t>
      </w:r>
      <w:r w:rsidRPr="00F25B0E">
        <w:rPr>
          <w:rFonts w:ascii="Book Antiqua" w:eastAsia="Book Antiqua" w:hAnsi="Book Antiqua" w:cs="Book Antiqua"/>
          <w:color w:val="000000"/>
        </w:rPr>
        <w:t>ORIGINAL ARTICLE</w:t>
      </w:r>
    </w:p>
    <w:p w14:paraId="24EC2738" w14:textId="77777777" w:rsidR="00FB125B" w:rsidRPr="00F25B0E" w:rsidRDefault="00FB125B">
      <w:pPr>
        <w:adjustRightInd w:val="0"/>
        <w:snapToGrid w:val="0"/>
        <w:spacing w:line="360" w:lineRule="auto"/>
        <w:jc w:val="both"/>
        <w:rPr>
          <w:rFonts w:ascii="Book Antiqua" w:hAnsi="Book Antiqua"/>
        </w:rPr>
      </w:pPr>
    </w:p>
    <w:p w14:paraId="12A962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Basic Study</w:t>
      </w:r>
    </w:p>
    <w:p w14:paraId="072C8DA6"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Osseointegration of porous titanium and tantalum implants in ovariectomized rabbits: A biomechanical study</w:t>
      </w:r>
    </w:p>
    <w:p w14:paraId="5342C7D6" w14:textId="77777777" w:rsidR="00FB125B" w:rsidRPr="00F25B0E" w:rsidRDefault="00FB125B">
      <w:pPr>
        <w:adjustRightInd w:val="0"/>
        <w:snapToGrid w:val="0"/>
        <w:spacing w:line="360" w:lineRule="auto"/>
        <w:jc w:val="both"/>
        <w:rPr>
          <w:rFonts w:ascii="Book Antiqua" w:hAnsi="Book Antiqua"/>
        </w:rPr>
      </w:pPr>
    </w:p>
    <w:p w14:paraId="43F92EDD"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lang w:bidi="ar"/>
        </w:rPr>
        <w:t xml:space="preserve">Bondarenko S </w:t>
      </w:r>
      <w:r w:rsidRPr="00F25B0E">
        <w:rPr>
          <w:rFonts w:ascii="Book Antiqua" w:eastAsia="Book Antiqua" w:hAnsi="Book Antiqua" w:cs="Book Antiqua"/>
          <w:i/>
          <w:color w:val="000000"/>
          <w:lang w:bidi="ar"/>
        </w:rPr>
        <w:t>et al</w:t>
      </w:r>
      <w:r w:rsidRPr="00F25B0E">
        <w:rPr>
          <w:rFonts w:ascii="Book Antiqua" w:eastAsia="Book Antiqua" w:hAnsi="Book Antiqua" w:cs="Book Antiqua"/>
          <w:color w:val="000000"/>
          <w:lang w:bidi="ar"/>
        </w:rPr>
        <w:t>.</w:t>
      </w:r>
      <w:r w:rsidRPr="00F25B0E">
        <w:rPr>
          <w:rFonts w:ascii="Book Antiqua" w:eastAsia="SimSun" w:hAnsi="Book Antiqua" w:cs="Book Antiqua"/>
          <w:color w:val="000000"/>
          <w:lang w:eastAsia="zh-CN" w:bidi="ar"/>
        </w:rPr>
        <w:t xml:space="preserve"> </w:t>
      </w:r>
      <w:r w:rsidRPr="00F25B0E">
        <w:rPr>
          <w:rFonts w:ascii="Book Antiqua" w:eastAsia="Book Antiqua" w:hAnsi="Book Antiqua" w:cs="Book Antiqua"/>
          <w:color w:val="000000"/>
        </w:rPr>
        <w:t>Osseointegration of metal implants in ovariectomized rabbits</w:t>
      </w:r>
    </w:p>
    <w:p w14:paraId="4987B11F" w14:textId="77777777" w:rsidR="00FB125B" w:rsidRPr="00F25B0E" w:rsidRDefault="00FB125B">
      <w:pPr>
        <w:adjustRightInd w:val="0"/>
        <w:snapToGrid w:val="0"/>
        <w:spacing w:line="360" w:lineRule="auto"/>
        <w:jc w:val="both"/>
        <w:rPr>
          <w:rFonts w:ascii="Book Antiqua" w:hAnsi="Book Antiqua"/>
        </w:rPr>
      </w:pPr>
    </w:p>
    <w:p w14:paraId="75A2CE1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Stanislav Bondarenko, Volodymyr Filipenko, Michael Karpinsky, Olena Karpinska, Gennadiy Ivanov, Valentyna Maltseva, Ahmed Amine Badnaoui, Ran Schwarzkopf</w:t>
      </w:r>
    </w:p>
    <w:p w14:paraId="01CA6FA1" w14:textId="77777777" w:rsidR="00FB125B" w:rsidRPr="00F25B0E" w:rsidRDefault="00FB125B">
      <w:pPr>
        <w:adjustRightInd w:val="0"/>
        <w:snapToGrid w:val="0"/>
        <w:spacing w:line="360" w:lineRule="auto"/>
        <w:jc w:val="both"/>
        <w:rPr>
          <w:rFonts w:ascii="Book Antiqua" w:hAnsi="Book Antiqua"/>
        </w:rPr>
      </w:pPr>
    </w:p>
    <w:p w14:paraId="4E292A69"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Stanislav Bondarenko, Volodymyr Filipenko, Ahmed Amine Badnaoui, </w:t>
      </w:r>
      <w:r w:rsidRPr="00F25B0E">
        <w:rPr>
          <w:rFonts w:ascii="Book Antiqua" w:eastAsia="Book Antiqua" w:hAnsi="Book Antiqua" w:cs="Book Antiqua"/>
          <w:color w:val="000000"/>
        </w:rPr>
        <w:t>Department of Joint Pathology, Sytenko Institute of Spine and Joint Pathology, Kharkiv 61124, Ukraine</w:t>
      </w:r>
    </w:p>
    <w:p w14:paraId="1C4CDD75" w14:textId="77777777" w:rsidR="00FB125B" w:rsidRPr="00F25B0E" w:rsidRDefault="00FB125B">
      <w:pPr>
        <w:adjustRightInd w:val="0"/>
        <w:snapToGrid w:val="0"/>
        <w:spacing w:line="360" w:lineRule="auto"/>
        <w:jc w:val="both"/>
        <w:rPr>
          <w:rFonts w:ascii="Book Antiqua" w:hAnsi="Book Antiqua"/>
        </w:rPr>
      </w:pPr>
    </w:p>
    <w:p w14:paraId="4BD89DC8"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Michael Karpinsky, Olena Karpinska, </w:t>
      </w:r>
      <w:r w:rsidRPr="00F25B0E">
        <w:rPr>
          <w:rFonts w:ascii="Book Antiqua" w:eastAsia="Book Antiqua" w:hAnsi="Book Antiqua" w:cs="Book Antiqua"/>
          <w:color w:val="000000"/>
        </w:rPr>
        <w:t>Department of Biomechanics, Sytenko Institute of Spine and Joint Pathology, Kharkiv 61124, Ukraine</w:t>
      </w:r>
    </w:p>
    <w:p w14:paraId="5029D80C" w14:textId="77777777" w:rsidR="00FB125B" w:rsidRPr="00F25B0E" w:rsidRDefault="00FB125B">
      <w:pPr>
        <w:adjustRightInd w:val="0"/>
        <w:snapToGrid w:val="0"/>
        <w:spacing w:line="360" w:lineRule="auto"/>
        <w:jc w:val="both"/>
        <w:rPr>
          <w:rFonts w:ascii="Book Antiqua" w:hAnsi="Book Antiqua"/>
        </w:rPr>
      </w:pPr>
    </w:p>
    <w:p w14:paraId="70522EC1"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Gennadiy Ivanov, </w:t>
      </w:r>
      <w:r w:rsidRPr="00F25B0E">
        <w:rPr>
          <w:rFonts w:ascii="Book Antiqua" w:eastAsia="Book Antiqua" w:hAnsi="Book Antiqua" w:cs="Book Antiqua"/>
          <w:color w:val="000000"/>
        </w:rPr>
        <w:t>Department of Experimental Pathology, Sytenko Institute of Spine and Joint Pathology, Kharkiv 61124, Ukraine</w:t>
      </w:r>
    </w:p>
    <w:p w14:paraId="1BD89F9F" w14:textId="77777777" w:rsidR="00FB125B" w:rsidRPr="00F25B0E" w:rsidRDefault="00FB125B">
      <w:pPr>
        <w:adjustRightInd w:val="0"/>
        <w:snapToGrid w:val="0"/>
        <w:spacing w:line="360" w:lineRule="auto"/>
        <w:jc w:val="both"/>
        <w:rPr>
          <w:rFonts w:ascii="Book Antiqua" w:hAnsi="Book Antiqua"/>
        </w:rPr>
      </w:pPr>
    </w:p>
    <w:p w14:paraId="607053D4"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Valentyna Maltseva, </w:t>
      </w:r>
      <w:r w:rsidRPr="00F25B0E">
        <w:rPr>
          <w:rFonts w:ascii="Book Antiqua" w:eastAsia="Book Antiqua" w:hAnsi="Book Antiqua" w:cs="Book Antiqua"/>
          <w:color w:val="000000"/>
        </w:rPr>
        <w:t>Morphology of Connective Tissue Department, Sytenko Institute of Spine and Joint Pathology, Kharkiv 61124, Ukraine</w:t>
      </w:r>
    </w:p>
    <w:p w14:paraId="504CC747" w14:textId="77777777" w:rsidR="00FB125B" w:rsidRPr="00F25B0E" w:rsidRDefault="00FB125B">
      <w:pPr>
        <w:adjustRightInd w:val="0"/>
        <w:snapToGrid w:val="0"/>
        <w:spacing w:line="360" w:lineRule="auto"/>
        <w:jc w:val="both"/>
        <w:rPr>
          <w:rFonts w:ascii="Book Antiqua" w:hAnsi="Book Antiqua"/>
        </w:rPr>
      </w:pPr>
    </w:p>
    <w:p w14:paraId="2C85D1C6" w14:textId="19862FD8"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Ran Schwarzkopf, </w:t>
      </w:r>
      <w:r w:rsidRPr="00F25B0E">
        <w:rPr>
          <w:rFonts w:ascii="Book Antiqua" w:eastAsia="Book Antiqua" w:hAnsi="Book Antiqua" w:cs="Book Antiqua"/>
          <w:color w:val="000000"/>
        </w:rPr>
        <w:t>Department of Orthopedic Surgery, NYU Langone Orthopedic Hospital, Hospital for Joint Diseases, New York, NY 10003, United States</w:t>
      </w:r>
    </w:p>
    <w:p w14:paraId="24CD70BF" w14:textId="77777777" w:rsidR="00FB125B" w:rsidRPr="00F25B0E" w:rsidRDefault="00FB125B">
      <w:pPr>
        <w:adjustRightInd w:val="0"/>
        <w:snapToGrid w:val="0"/>
        <w:spacing w:line="360" w:lineRule="auto"/>
        <w:jc w:val="both"/>
        <w:rPr>
          <w:rFonts w:ascii="Book Antiqua" w:hAnsi="Book Antiqua"/>
        </w:rPr>
      </w:pPr>
    </w:p>
    <w:p w14:paraId="786B24BA" w14:textId="31E6EF70"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Author contributions: </w:t>
      </w:r>
      <w:r w:rsidRPr="00F25B0E">
        <w:rPr>
          <w:rFonts w:ascii="Book Antiqua" w:eastAsia="Book Antiqua" w:hAnsi="Book Antiqua" w:cs="Book Antiqua"/>
          <w:color w:val="000000"/>
        </w:rPr>
        <w:t>All authors contributed to the study conception and design; Bondarenko S, Maltseva V</w:t>
      </w:r>
      <w:r w:rsidR="00E14FE6"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Badnaoui AA wrote the first draft of the manuscript; </w:t>
      </w:r>
      <w:r w:rsidRPr="00F25B0E">
        <w:rPr>
          <w:rFonts w:ascii="Book Antiqua" w:eastAsia="Book Antiqua" w:hAnsi="Book Antiqua" w:cs="Book Antiqua"/>
          <w:color w:val="000000"/>
        </w:rPr>
        <w:lastRenderedPageBreak/>
        <w:t>Filipenko V supervised the study and performed critical revision</w:t>
      </w:r>
      <w:r w:rsidR="00E14FE6"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of the article; Karpinsky M and Karpinska O </w:t>
      </w:r>
      <w:r w:rsidR="00E14FE6" w:rsidRPr="00F25B0E">
        <w:rPr>
          <w:rFonts w:ascii="Book Antiqua" w:eastAsia="Book Antiqua" w:hAnsi="Book Antiqua" w:cs="Book Antiqua"/>
          <w:color w:val="000000"/>
        </w:rPr>
        <w:t xml:space="preserve">analyzed the </w:t>
      </w:r>
      <w:r w:rsidRPr="00F25B0E">
        <w:rPr>
          <w:rFonts w:ascii="Book Antiqua" w:eastAsia="Book Antiqua" w:hAnsi="Book Antiqua" w:cs="Book Antiqua"/>
          <w:color w:val="000000"/>
        </w:rPr>
        <w:t>data; Ivanov G performed experimental surgery, collect</w:t>
      </w:r>
      <w:r w:rsidR="00E14FE6" w:rsidRPr="00F25B0E">
        <w:rPr>
          <w:rFonts w:ascii="Book Antiqua" w:eastAsia="Book Antiqua" w:hAnsi="Book Antiqua" w:cs="Book Antiqua"/>
          <w:color w:val="000000"/>
        </w:rPr>
        <w:t>ed,</w:t>
      </w:r>
      <w:r w:rsidRPr="00F25B0E">
        <w:rPr>
          <w:rFonts w:ascii="Book Antiqua" w:eastAsia="Book Antiqua" w:hAnsi="Book Antiqua" w:cs="Book Antiqua"/>
          <w:color w:val="000000"/>
        </w:rPr>
        <w:t xml:space="preserve"> and </w:t>
      </w:r>
      <w:r w:rsidR="00E14FE6" w:rsidRPr="00F25B0E">
        <w:rPr>
          <w:rFonts w:ascii="Book Antiqua" w:eastAsia="Book Antiqua" w:hAnsi="Book Antiqua" w:cs="Book Antiqua"/>
          <w:color w:val="000000"/>
        </w:rPr>
        <w:t xml:space="preserve">interpreted </w:t>
      </w:r>
      <w:r w:rsidRPr="00F25B0E">
        <w:rPr>
          <w:rFonts w:ascii="Book Antiqua" w:eastAsia="Book Antiqua" w:hAnsi="Book Antiqua" w:cs="Book Antiqua"/>
          <w:color w:val="000000"/>
        </w:rPr>
        <w:t xml:space="preserve">data; Schwarzkopf </w:t>
      </w:r>
      <w:r w:rsidR="00C442BE">
        <w:rPr>
          <w:rFonts w:ascii="Book Antiqua" w:eastAsia="Book Antiqua" w:hAnsi="Book Antiqua" w:cs="Book Antiqua"/>
          <w:color w:val="000000"/>
        </w:rPr>
        <w:t xml:space="preserve">R </w:t>
      </w:r>
      <w:r w:rsidRPr="00F25B0E">
        <w:rPr>
          <w:rFonts w:ascii="Book Antiqua" w:eastAsia="Book Antiqua" w:hAnsi="Book Antiqua" w:cs="Book Antiqua"/>
          <w:color w:val="000000"/>
        </w:rPr>
        <w:t>performed critical revision</w:t>
      </w:r>
      <w:r w:rsidR="00E14FE6"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of the article</w:t>
      </w:r>
      <w:r w:rsidR="00FC59A2" w:rsidRPr="00F25B0E">
        <w:rPr>
          <w:rFonts w:ascii="Book Antiqua" w:eastAsia="Book Antiqua" w:hAnsi="Book Antiqua" w:cs="Book Antiqua"/>
          <w:color w:val="000000"/>
        </w:rPr>
        <w:t xml:space="preserve">; </w:t>
      </w:r>
      <w:r w:rsidR="00C442BE">
        <w:rPr>
          <w:rFonts w:ascii="Book Antiqua" w:eastAsia="Book Antiqua" w:hAnsi="Book Antiqua" w:cs="Book Antiqua"/>
          <w:color w:val="000000"/>
        </w:rPr>
        <w:t>A</w:t>
      </w:r>
      <w:r w:rsidRPr="00F25B0E">
        <w:rPr>
          <w:rFonts w:ascii="Book Antiqua" w:eastAsia="Book Antiqua" w:hAnsi="Book Antiqua" w:cs="Book Antiqua"/>
          <w:color w:val="000000"/>
        </w:rPr>
        <w:t>ll authors revised and approved the final version of the manuscript.</w:t>
      </w:r>
    </w:p>
    <w:p w14:paraId="416CEF81" w14:textId="77777777" w:rsidR="00FB125B" w:rsidRPr="00F25B0E" w:rsidRDefault="00FB125B">
      <w:pPr>
        <w:adjustRightInd w:val="0"/>
        <w:snapToGrid w:val="0"/>
        <w:spacing w:line="360" w:lineRule="auto"/>
        <w:jc w:val="both"/>
        <w:rPr>
          <w:rFonts w:ascii="Book Antiqua" w:hAnsi="Book Antiqua"/>
        </w:rPr>
      </w:pPr>
    </w:p>
    <w:p w14:paraId="0B2CEC20" w14:textId="556E337A"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Corresponding author: Stanislav Bondarenko, DSc, MD, PhD, Associate Professor, </w:t>
      </w:r>
      <w:r w:rsidRPr="00F25B0E">
        <w:rPr>
          <w:rFonts w:ascii="Book Antiqua" w:eastAsia="Book Antiqua" w:hAnsi="Book Antiqua" w:cs="Book Antiqua"/>
          <w:color w:val="000000"/>
        </w:rPr>
        <w:t xml:space="preserve">Department of Joint Pathology, Sytenko Institute of Spine and Joint Pathology, Pushkinska </w:t>
      </w:r>
      <w:r w:rsidR="00F25B0E">
        <w:rPr>
          <w:rFonts w:ascii="Book Antiqua" w:eastAsia="Book Antiqua" w:hAnsi="Book Antiqua" w:cs="Book Antiqua"/>
          <w:color w:val="000000"/>
        </w:rPr>
        <w:t>S</w:t>
      </w:r>
      <w:r w:rsidRPr="00F25B0E">
        <w:rPr>
          <w:rFonts w:ascii="Book Antiqua" w:eastAsia="Book Antiqua" w:hAnsi="Book Antiqua" w:cs="Book Antiqua"/>
          <w:color w:val="000000"/>
        </w:rPr>
        <w:t>t. 80, Kharkiv 61124</w:t>
      </w:r>
      <w:r w:rsidR="008C149E">
        <w:rPr>
          <w:rFonts w:ascii="Book Antiqua" w:eastAsia="Book Antiqua" w:hAnsi="Book Antiqua" w:cs="Book Antiqua"/>
          <w:color w:val="000000"/>
        </w:rPr>
        <w:t>.</w:t>
      </w:r>
      <w:r w:rsidRPr="00F25B0E">
        <w:rPr>
          <w:rFonts w:ascii="Book Antiqua" w:eastAsia="Book Antiqua" w:hAnsi="Book Antiqua" w:cs="Book Antiqua"/>
          <w:color w:val="000000"/>
        </w:rPr>
        <w:t xml:space="preserve"> Ukraine. bondarenke@gmail.com</w:t>
      </w:r>
    </w:p>
    <w:p w14:paraId="556B4D4F" w14:textId="77777777" w:rsidR="00FB125B" w:rsidRPr="00F25B0E" w:rsidRDefault="00FB125B">
      <w:pPr>
        <w:adjustRightInd w:val="0"/>
        <w:snapToGrid w:val="0"/>
        <w:spacing w:line="360" w:lineRule="auto"/>
        <w:jc w:val="both"/>
        <w:rPr>
          <w:rFonts w:ascii="Book Antiqua" w:hAnsi="Book Antiqua"/>
        </w:rPr>
      </w:pPr>
    </w:p>
    <w:p w14:paraId="1081A6B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Received: </w:t>
      </w:r>
      <w:r w:rsidRPr="00F25B0E">
        <w:rPr>
          <w:rFonts w:ascii="Book Antiqua" w:eastAsia="Book Antiqua" w:hAnsi="Book Antiqua" w:cs="Book Antiqua"/>
          <w:color w:val="000000"/>
        </w:rPr>
        <w:t>September 10, 2020</w:t>
      </w:r>
    </w:p>
    <w:p w14:paraId="58E4A9B8"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Revised: </w:t>
      </w:r>
      <w:r w:rsidRPr="00F25B0E">
        <w:rPr>
          <w:rFonts w:ascii="Book Antiqua" w:eastAsia="Book Antiqua" w:hAnsi="Book Antiqua" w:cs="Book Antiqua"/>
          <w:color w:val="000000"/>
        </w:rPr>
        <w:t>February 1, 2021</w:t>
      </w:r>
    </w:p>
    <w:p w14:paraId="574FD461" w14:textId="50E060A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Accepted:</w:t>
      </w:r>
      <w:r w:rsidRPr="00F25B0E">
        <w:rPr>
          <w:rFonts w:ascii="Book Antiqua" w:eastAsia="Book Antiqua" w:hAnsi="Book Antiqua" w:cs="Book Antiqua"/>
          <w:color w:val="000000"/>
        </w:rPr>
        <w:t xml:space="preserve"> </w:t>
      </w:r>
      <w:r w:rsidR="00D333F9" w:rsidRPr="00F25B0E">
        <w:rPr>
          <w:rFonts w:ascii="Book Antiqua" w:eastAsia="Book Antiqua" w:hAnsi="Book Antiqua" w:cs="Book Antiqua"/>
          <w:color w:val="000000"/>
        </w:rPr>
        <w:t>March 11, 2021</w:t>
      </w:r>
    </w:p>
    <w:p w14:paraId="2C937398" w14:textId="7FB9B6C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Published online:</w:t>
      </w:r>
    </w:p>
    <w:p w14:paraId="2FC64657" w14:textId="77777777" w:rsidR="00FB125B" w:rsidRPr="00F25B0E" w:rsidRDefault="00FB125B">
      <w:pPr>
        <w:adjustRightInd w:val="0"/>
        <w:snapToGrid w:val="0"/>
        <w:spacing w:line="360" w:lineRule="auto"/>
        <w:jc w:val="both"/>
        <w:rPr>
          <w:rFonts w:ascii="Book Antiqua" w:hAnsi="Book Antiqua"/>
        </w:rPr>
        <w:sectPr w:rsidR="00FB125B" w:rsidRPr="00F25B0E">
          <w:footerReference w:type="default" r:id="rId7"/>
          <w:pgSz w:w="12240" w:h="15840"/>
          <w:pgMar w:top="1440" w:right="1440" w:bottom="1440" w:left="1440" w:header="720" w:footer="720" w:gutter="0"/>
          <w:cols w:space="720"/>
          <w:docGrid w:linePitch="360"/>
        </w:sectPr>
      </w:pPr>
    </w:p>
    <w:p w14:paraId="64855351"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Abstract</w:t>
      </w:r>
    </w:p>
    <w:p w14:paraId="69DA30D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BACKGROUND</w:t>
      </w:r>
    </w:p>
    <w:p w14:paraId="729100A5" w14:textId="00D51E6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Today</w:t>
      </w:r>
      <w:r w:rsidR="004A130A"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biological fixation of uncemented press-fit acetabular components plays an important role in total hip arthroplasty. </w:t>
      </w:r>
      <w:r w:rsidR="004A130A" w:rsidRPr="00F25B0E">
        <w:rPr>
          <w:rFonts w:ascii="Book Antiqua" w:eastAsia="Book Antiqua" w:hAnsi="Book Antiqua" w:cs="Book Antiqua"/>
          <w:color w:val="000000"/>
        </w:rPr>
        <w:t>L</w:t>
      </w:r>
      <w:r w:rsidRPr="00F25B0E">
        <w:rPr>
          <w:rFonts w:ascii="Book Antiqua" w:eastAsia="Book Antiqua" w:hAnsi="Book Antiqua" w:cs="Book Antiqua"/>
          <w:color w:val="000000"/>
        </w:rPr>
        <w:t xml:space="preserve">ong-term stable fixation of these implants depends on the osseointegration of </w:t>
      </w:r>
      <w:r w:rsidR="004A130A" w:rsidRPr="00F25B0E">
        <w:rPr>
          <w:rFonts w:ascii="Book Antiqua" w:eastAsia="Book Antiqua" w:hAnsi="Book Antiqua" w:cs="Book Antiqua"/>
          <w:color w:val="000000"/>
        </w:rPr>
        <w:t xml:space="preserve">the acetabular cup </w:t>
      </w:r>
      <w:r w:rsidRPr="00F25B0E">
        <w:rPr>
          <w:rFonts w:ascii="Book Antiqua" w:eastAsia="Book Antiqua" w:hAnsi="Book Antiqua" w:cs="Book Antiqua"/>
          <w:color w:val="000000"/>
        </w:rPr>
        <w:t>bone tissue into the acetabular cup implant, and their ability to withstand functional loads.</w:t>
      </w:r>
    </w:p>
    <w:p w14:paraId="3FD2B7E5" w14:textId="77777777" w:rsidR="00FB125B" w:rsidRPr="00F25B0E" w:rsidRDefault="00FB125B">
      <w:pPr>
        <w:adjustRightInd w:val="0"/>
        <w:snapToGrid w:val="0"/>
        <w:spacing w:line="360" w:lineRule="auto"/>
        <w:jc w:val="both"/>
        <w:rPr>
          <w:rFonts w:ascii="Book Antiqua" w:hAnsi="Book Antiqua"/>
        </w:rPr>
      </w:pPr>
    </w:p>
    <w:p w14:paraId="11E5B31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AIM</w:t>
      </w:r>
    </w:p>
    <w:p w14:paraId="34137C14" w14:textId="0AFCA439"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To compare the strength of </w:t>
      </w:r>
      <w:r w:rsidR="004A130A" w:rsidRPr="00F25B0E">
        <w:rPr>
          <w:rFonts w:ascii="Book Antiqua" w:eastAsia="Book Antiqua" w:hAnsi="Book Antiqua" w:cs="Book Antiqua"/>
          <w:color w:val="000000"/>
        </w:rPr>
        <w:t>bone</w:t>
      </w:r>
      <w:r w:rsidRPr="00F25B0E">
        <w:rPr>
          <w:rFonts w:ascii="Book Antiqua" w:eastAsia="Book Antiqua" w:hAnsi="Book Antiqua" w:cs="Book Antiqua"/>
          <w:color w:val="000000"/>
        </w:rPr>
        <w:t>-implant osseointegration of four types of porous metal implants in normal and osteoporotic bone in rabbits.</w:t>
      </w:r>
    </w:p>
    <w:p w14:paraId="6A8BCA21" w14:textId="77777777" w:rsidR="00FB125B" w:rsidRPr="00F25B0E" w:rsidRDefault="00FB125B">
      <w:pPr>
        <w:adjustRightInd w:val="0"/>
        <w:snapToGrid w:val="0"/>
        <w:spacing w:line="360" w:lineRule="auto"/>
        <w:jc w:val="both"/>
        <w:rPr>
          <w:rFonts w:ascii="Book Antiqua" w:hAnsi="Book Antiqua"/>
        </w:rPr>
      </w:pPr>
    </w:p>
    <w:p w14:paraId="0FD63D0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METHODS</w:t>
      </w:r>
    </w:p>
    <w:p w14:paraId="28F07570" w14:textId="7BB8B601"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study was performed </w:t>
      </w:r>
      <w:r w:rsidR="004A130A"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50 female California rabbits divided into non-ovariectomized (non-OVX) and ovariectomized </w:t>
      </w:r>
      <w:r w:rsidR="004A130A" w:rsidRPr="00F25B0E">
        <w:rPr>
          <w:rFonts w:ascii="Book Antiqua" w:eastAsia="Book Antiqua" w:hAnsi="Book Antiqua" w:cs="Book Antiqua"/>
          <w:color w:val="000000"/>
        </w:rPr>
        <w:t xml:space="preserve">groups </w:t>
      </w:r>
      <w:r w:rsidRPr="00F25B0E">
        <w:rPr>
          <w:rFonts w:ascii="Book Antiqua" w:eastAsia="Book Antiqua" w:hAnsi="Book Antiqua" w:cs="Book Antiqua"/>
          <w:color w:val="000000"/>
        </w:rPr>
        <w:t>(OVX)</w:t>
      </w:r>
      <w:r w:rsidR="004A130A" w:rsidRPr="00F25B0E">
        <w:rPr>
          <w:rFonts w:ascii="Book Antiqua" w:eastAsia="Book Antiqua" w:hAnsi="Book Antiqua" w:cs="Book Antiqua"/>
          <w:color w:val="000000"/>
        </w:rPr>
        <w:t xml:space="preserve"> at 6 mo of age</w:t>
      </w:r>
      <w:r w:rsidRPr="00F25B0E">
        <w:rPr>
          <w:rFonts w:ascii="Book Antiqua" w:eastAsia="Book Antiqua" w:hAnsi="Book Antiqua" w:cs="Book Antiqua"/>
          <w:color w:val="000000"/>
        </w:rPr>
        <w:t xml:space="preserve">. Rabbits were sacrificed 8 wk after the implantation of four biomaterials [TTM, CONCELOC, Zimmer Biomet's Trabecular Metal (TANTALUM), and ATLANT] in a </w:t>
      </w:r>
      <w:r w:rsidR="004A130A" w:rsidRPr="00F25B0E">
        <w:rPr>
          <w:rFonts w:ascii="Book Antiqua" w:eastAsia="Book Antiqua" w:hAnsi="Book Antiqua" w:cs="Book Antiqua"/>
          <w:color w:val="000000"/>
        </w:rPr>
        <w:t xml:space="preserve">5-mm diameter </w:t>
      </w:r>
      <w:r w:rsidRPr="00F25B0E">
        <w:rPr>
          <w:rFonts w:ascii="Book Antiqua" w:eastAsia="Book Antiqua" w:hAnsi="Book Antiqua" w:cs="Book Antiqua"/>
          <w:color w:val="000000"/>
        </w:rPr>
        <w:t xml:space="preserve">defect created in the left femur. A biomechanical evaluation of the femur was carried out by testing implant breakout force. The force was gradually increased </w:t>
      </w:r>
      <w:r w:rsidR="004A130A" w:rsidRPr="00F25B0E">
        <w:rPr>
          <w:rFonts w:ascii="Book Antiqua" w:eastAsia="Book Antiqua" w:hAnsi="Book Antiqua" w:cs="Book Antiqua"/>
          <w:color w:val="000000"/>
        </w:rPr>
        <w:t>until</w:t>
      </w:r>
      <w:r w:rsidRPr="00F25B0E">
        <w:rPr>
          <w:rFonts w:ascii="Book Antiqua" w:eastAsia="Book Antiqua" w:hAnsi="Book Antiqua" w:cs="Book Antiqua"/>
          <w:color w:val="000000"/>
        </w:rPr>
        <w:t xml:space="preserve"> complete detachment of the implant from the bone</w:t>
      </w:r>
      <w:r w:rsidR="004A130A" w:rsidRPr="00F25B0E">
        <w:rPr>
          <w:rFonts w:ascii="Book Antiqua" w:eastAsia="Book Antiqua" w:hAnsi="Book Antiqua" w:cs="Book Antiqua"/>
          <w:color w:val="000000"/>
        </w:rPr>
        <w:t xml:space="preserve"> occurred</w:t>
      </w:r>
      <w:r w:rsidRPr="00F25B0E">
        <w:rPr>
          <w:rFonts w:ascii="Book Antiqua" w:eastAsia="Book Antiqua" w:hAnsi="Book Antiqua" w:cs="Book Antiqua"/>
          <w:color w:val="000000"/>
        </w:rPr>
        <w:t>.</w:t>
      </w:r>
    </w:p>
    <w:p w14:paraId="2BD60422" w14:textId="77777777" w:rsidR="00FB125B" w:rsidRPr="00F25B0E" w:rsidRDefault="00FB125B">
      <w:pPr>
        <w:adjustRightInd w:val="0"/>
        <w:snapToGrid w:val="0"/>
        <w:spacing w:line="360" w:lineRule="auto"/>
        <w:jc w:val="both"/>
        <w:rPr>
          <w:rFonts w:ascii="Book Antiqua" w:hAnsi="Book Antiqua"/>
        </w:rPr>
      </w:pPr>
    </w:p>
    <w:p w14:paraId="4C6959E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RESULTS</w:t>
      </w:r>
    </w:p>
    <w:p w14:paraId="00AACCB0" w14:textId="1A0D54E8"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breakout force needed for implant detachment was significantly higher in the non-OVX group, compared </w:t>
      </w:r>
      <w:r w:rsidR="004A130A"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OVX group for all implants </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TANTALUM</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194.7 ± 6.1</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181.3 ± 2.8</w:t>
      </w:r>
      <w:r w:rsidR="006F4B95"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0.005; CONCELOC</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190.8 ± 3.6</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180.9 ± 6.6</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0.019; TTM</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186.3 ± 1.8</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172.0 N ± 11.0</w:t>
      </w:r>
      <w:r w:rsidR="006F4B95"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0.043</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ATLANT</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104.9</w:t>
      </w:r>
      <w:r w:rsidR="006F4B95"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7.0</w:t>
      </w:r>
      <w:r w:rsidR="006F4B95" w:rsidRPr="00F25B0E">
        <w:rPr>
          <w:rFonts w:ascii="Book Antiqua" w:eastAsia="Book Antiqua" w:hAnsi="Book Antiqua" w:cs="Book Antiqua"/>
          <w:color w:val="000000"/>
        </w:rPr>
        <w:t xml:space="preserve"> N </w:t>
      </w:r>
      <w:r w:rsidR="006F4B95" w:rsidRPr="00F25B0E">
        <w:rPr>
          <w:rFonts w:ascii="Book Antiqua" w:eastAsia="Book Antiqua" w:hAnsi="Book Antiqua" w:cs="Book Antiqua"/>
          <w:i/>
          <w:iCs/>
          <w:color w:val="000000"/>
        </w:rPr>
        <w:t>vs</w:t>
      </w:r>
      <w:r w:rsidR="006F4B95"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78.9 N ± 4.5</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In the OVX group</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breakout force</w:t>
      </w:r>
      <w:r w:rsidR="006F4B95"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TANTALUM, TTM</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CONCELOC did not differ significantly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0.066). </w:t>
      </w:r>
      <w:r w:rsidR="006F4B95" w:rsidRPr="00F25B0E">
        <w:rPr>
          <w:rFonts w:ascii="Book Antiqua" w:eastAsia="Book Antiqua" w:hAnsi="Book Antiqua" w:cs="Book Antiqua"/>
          <w:color w:val="000000"/>
        </w:rPr>
        <w:t>The b</w:t>
      </w:r>
      <w:r w:rsidRPr="00F25B0E">
        <w:rPr>
          <w:rFonts w:ascii="Book Antiqua" w:eastAsia="Book Antiqua" w:hAnsi="Book Antiqua" w:cs="Book Antiqua"/>
          <w:color w:val="000000"/>
        </w:rPr>
        <w:t xml:space="preserve">reakout force for ATLANT in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OVX group was lower by a factor of 2.3 compared </w:t>
      </w:r>
      <w:r w:rsidR="006F4B95"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TANTALUM and CONCELOC</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by 2.2 compared </w:t>
      </w:r>
      <w:r w:rsidR="006F4B95"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TTM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In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non-OVX group</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lastRenderedPageBreak/>
        <w:t>breakout force for ATLANT was significantly different from all other implants</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with a reduction in fixation strength by a factor of 1.9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p>
    <w:p w14:paraId="337B2047" w14:textId="77777777" w:rsidR="00FB125B" w:rsidRPr="00F25B0E" w:rsidRDefault="00FB125B">
      <w:pPr>
        <w:adjustRightInd w:val="0"/>
        <w:snapToGrid w:val="0"/>
        <w:spacing w:line="360" w:lineRule="auto"/>
        <w:jc w:val="both"/>
        <w:rPr>
          <w:rFonts w:ascii="Book Antiqua" w:hAnsi="Book Antiqua"/>
        </w:rPr>
      </w:pPr>
    </w:p>
    <w:p w14:paraId="1592214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CONCLUSION</w:t>
      </w:r>
    </w:p>
    <w:p w14:paraId="221486B1" w14:textId="493AA950"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TANTALUM, TTM</w:t>
      </w:r>
      <w:r w:rsidR="004A130A"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CONCELOC had equal bone</w:t>
      </w:r>
      <w:r w:rsidR="006677B3">
        <w:rPr>
          <w:rFonts w:ascii="Book Antiqua" w:eastAsia="Book Antiqua" w:hAnsi="Book Antiqua" w:cs="Book Antiqua"/>
          <w:color w:val="000000"/>
        </w:rPr>
        <w:t>-implant</w:t>
      </w:r>
      <w:r w:rsidRPr="00F25B0E">
        <w:rPr>
          <w:rFonts w:ascii="Book Antiqua" w:eastAsia="Book Antiqua" w:hAnsi="Book Antiqua" w:cs="Book Antiqua"/>
          <w:color w:val="000000"/>
        </w:rPr>
        <w:t xml:space="preserve"> osseointegration in healthy and </w:t>
      </w:r>
      <w:r w:rsidR="006F4B95"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osteoporotic bone. ATLANT </w:t>
      </w:r>
      <w:r w:rsidR="006F4B95" w:rsidRPr="00F25B0E">
        <w:rPr>
          <w:rFonts w:ascii="Book Antiqua" w:eastAsia="Book Antiqua" w:hAnsi="Book Antiqua" w:cs="Book Antiqua"/>
          <w:color w:val="000000"/>
        </w:rPr>
        <w:t>had</w:t>
      </w:r>
      <w:r w:rsidRPr="00F25B0E">
        <w:rPr>
          <w:rFonts w:ascii="Book Antiqua" w:eastAsia="Book Antiqua" w:hAnsi="Book Antiqua" w:cs="Book Antiqua"/>
          <w:color w:val="000000"/>
        </w:rPr>
        <w:t xml:space="preserve"> significant</w:t>
      </w:r>
      <w:r w:rsidR="006F4B95" w:rsidRPr="00F25B0E">
        <w:rPr>
          <w:rFonts w:ascii="Book Antiqua" w:eastAsia="Book Antiqua" w:hAnsi="Book Antiqua" w:cs="Book Antiqua"/>
          <w:color w:val="000000"/>
        </w:rPr>
        <w:t>ly</w:t>
      </w:r>
      <w:r w:rsidRPr="00F25B0E">
        <w:rPr>
          <w:rFonts w:ascii="Book Antiqua" w:eastAsia="Book Antiqua" w:hAnsi="Book Antiqua" w:cs="Book Antiqua"/>
          <w:color w:val="000000"/>
        </w:rPr>
        <w:t xml:space="preserve"> decrease</w:t>
      </w:r>
      <w:r w:rsidR="006F4B95" w:rsidRPr="00F25B0E">
        <w:rPr>
          <w:rFonts w:ascii="Book Antiqua" w:eastAsia="Book Antiqua" w:hAnsi="Book Antiqua" w:cs="Book Antiqua"/>
          <w:color w:val="000000"/>
        </w:rPr>
        <w:t>d</w:t>
      </w:r>
      <w:r w:rsidRPr="00F25B0E">
        <w:rPr>
          <w:rFonts w:ascii="Book Antiqua" w:eastAsia="Book Antiqua" w:hAnsi="Book Antiqua" w:cs="Book Antiqua"/>
          <w:color w:val="000000"/>
        </w:rPr>
        <w:t xml:space="preserve"> osseointegration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in healthy and</w:t>
      </w:r>
      <w:r w:rsidR="006F4B95" w:rsidRPr="00F25B0E">
        <w:rPr>
          <w:rFonts w:ascii="Book Antiqua" w:eastAsia="Book Antiqua" w:hAnsi="Book Antiqua" w:cs="Book Antiqua"/>
          <w:color w:val="000000"/>
        </w:rPr>
        <w:t xml:space="preserve"> in</w:t>
      </w:r>
      <w:r w:rsidRPr="00F25B0E">
        <w:rPr>
          <w:rFonts w:ascii="Book Antiqua" w:eastAsia="Book Antiqua" w:hAnsi="Book Antiqua" w:cs="Book Antiqua"/>
          <w:color w:val="000000"/>
        </w:rPr>
        <w:t xml:space="preserve"> osteoporotic bone.</w:t>
      </w:r>
    </w:p>
    <w:p w14:paraId="087FEBDD" w14:textId="77777777" w:rsidR="00FB125B" w:rsidRPr="00F25B0E" w:rsidRDefault="00FB125B">
      <w:pPr>
        <w:adjustRightInd w:val="0"/>
        <w:snapToGrid w:val="0"/>
        <w:spacing w:line="360" w:lineRule="auto"/>
        <w:jc w:val="both"/>
        <w:rPr>
          <w:rFonts w:ascii="Book Antiqua" w:hAnsi="Book Antiqua"/>
        </w:rPr>
      </w:pPr>
    </w:p>
    <w:p w14:paraId="2E8837E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Key Words: </w:t>
      </w:r>
      <w:r w:rsidRPr="00F25B0E">
        <w:rPr>
          <w:rFonts w:ascii="Book Antiqua" w:eastAsia="Book Antiqua" w:hAnsi="Book Antiqua" w:cs="Book Antiqua"/>
          <w:color w:val="000000"/>
        </w:rPr>
        <w:t>Animals; Bone-implant interface; Osteoporosis; Femur; Tantalum; Titanium</w:t>
      </w:r>
    </w:p>
    <w:p w14:paraId="3AD5FE29" w14:textId="77777777" w:rsidR="00FB125B" w:rsidRPr="00F25B0E" w:rsidRDefault="00FB125B">
      <w:pPr>
        <w:adjustRightInd w:val="0"/>
        <w:snapToGrid w:val="0"/>
        <w:spacing w:line="360" w:lineRule="auto"/>
        <w:jc w:val="both"/>
        <w:rPr>
          <w:rFonts w:ascii="Book Antiqua" w:hAnsi="Book Antiqua"/>
        </w:rPr>
      </w:pPr>
    </w:p>
    <w:p w14:paraId="3E844D8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Bondarenko S, Filipenko V, Karpinsky M, Karpinska O, Ivanov G, Maltseva V, Badnaoui AA, Schwarzkopf R. Osseointegration of porous titanium and tantalum implants in ovariectomized rabbits: A biomechanical study. </w:t>
      </w:r>
      <w:r w:rsidRPr="00F25B0E">
        <w:rPr>
          <w:rFonts w:ascii="Book Antiqua" w:eastAsia="Book Antiqua" w:hAnsi="Book Antiqua" w:cs="Book Antiqua"/>
          <w:i/>
          <w:iCs/>
          <w:color w:val="000000"/>
        </w:rPr>
        <w:t>World J Orthop</w:t>
      </w:r>
      <w:r w:rsidRPr="00F25B0E">
        <w:rPr>
          <w:rFonts w:ascii="Book Antiqua" w:eastAsia="Book Antiqua" w:hAnsi="Book Antiqua" w:cs="Book Antiqua"/>
          <w:color w:val="000000"/>
        </w:rPr>
        <w:t xml:space="preserve"> 2021; In press</w:t>
      </w:r>
    </w:p>
    <w:p w14:paraId="749F72CF" w14:textId="77777777" w:rsidR="00FB125B" w:rsidRPr="00F25B0E" w:rsidRDefault="00FB125B">
      <w:pPr>
        <w:adjustRightInd w:val="0"/>
        <w:snapToGrid w:val="0"/>
        <w:spacing w:line="360" w:lineRule="auto"/>
        <w:jc w:val="both"/>
        <w:rPr>
          <w:rFonts w:ascii="Book Antiqua" w:hAnsi="Book Antiqua"/>
        </w:rPr>
      </w:pPr>
    </w:p>
    <w:p w14:paraId="24045A93" w14:textId="38A66072"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Core Tip: </w:t>
      </w:r>
      <w:r w:rsidRPr="00F25B0E">
        <w:rPr>
          <w:rFonts w:ascii="Book Antiqua" w:eastAsia="Book Antiqua" w:hAnsi="Book Antiqua" w:cs="Book Antiqua"/>
          <w:color w:val="000000"/>
        </w:rPr>
        <w:t xml:space="preserve">In an </w:t>
      </w:r>
      <w:r w:rsidRPr="00F25B0E">
        <w:rPr>
          <w:rFonts w:ascii="Book Antiqua" w:eastAsia="Book Antiqua" w:hAnsi="Book Antiqua" w:cs="Book Antiqua"/>
          <w:i/>
          <w:iCs/>
          <w:color w:val="000000"/>
        </w:rPr>
        <w:t>in</w:t>
      </w:r>
      <w:r w:rsidR="00D04F2C">
        <w:rPr>
          <w:rFonts w:ascii="Book Antiqua" w:eastAsia="Book Antiqua" w:hAnsi="Book Antiqua" w:cs="Book Antiqua"/>
          <w:i/>
          <w:iCs/>
          <w:color w:val="000000"/>
        </w:rPr>
        <w:t xml:space="preserve"> </w:t>
      </w:r>
      <w:r w:rsidRPr="00F25B0E">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model of osteoporosis</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it was found that some types of porous acetabular components are more compatible </w:t>
      </w:r>
      <w:r w:rsidR="006F4B95"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osteoporotic bone. The </w:t>
      </w:r>
      <w:r w:rsidR="006F4B95" w:rsidRPr="00F25B0E">
        <w:rPr>
          <w:rFonts w:ascii="Book Antiqua" w:eastAsia="Book Antiqua" w:hAnsi="Book Antiqua" w:cs="Book Antiqua"/>
          <w:color w:val="000000"/>
        </w:rPr>
        <w:t xml:space="preserve">study </w:t>
      </w:r>
      <w:r w:rsidRPr="00F25B0E">
        <w:rPr>
          <w:rFonts w:ascii="Book Antiqua" w:eastAsia="Book Antiqua" w:hAnsi="Book Antiqua" w:cs="Book Antiqua"/>
          <w:color w:val="000000"/>
        </w:rPr>
        <w:t xml:space="preserve">results can help to </w:t>
      </w:r>
      <w:r w:rsidR="006F4B95" w:rsidRPr="00F25B0E">
        <w:rPr>
          <w:rFonts w:ascii="Book Antiqua" w:eastAsia="Book Antiqua" w:hAnsi="Book Antiqua" w:cs="Book Antiqua"/>
          <w:color w:val="000000"/>
        </w:rPr>
        <w:t xml:space="preserve">select the </w:t>
      </w:r>
      <w:r w:rsidRPr="00F25B0E">
        <w:rPr>
          <w:rFonts w:ascii="Book Antiqua" w:eastAsia="Book Antiqua" w:hAnsi="Book Antiqua" w:cs="Book Antiqua"/>
          <w:color w:val="000000"/>
        </w:rPr>
        <w:t xml:space="preserve">right choice of acetabular components </w:t>
      </w:r>
      <w:r w:rsidR="006F4B95" w:rsidRPr="00F25B0E">
        <w:rPr>
          <w:rFonts w:ascii="Book Antiqua" w:eastAsia="Book Antiqua" w:hAnsi="Book Antiqua" w:cs="Book Antiqua"/>
          <w:color w:val="000000"/>
        </w:rPr>
        <w:t xml:space="preserve">for </w:t>
      </w:r>
      <w:r w:rsidRPr="00F25B0E">
        <w:rPr>
          <w:rFonts w:ascii="Book Antiqua" w:eastAsia="Book Antiqua" w:hAnsi="Book Antiqua" w:cs="Book Antiqua"/>
          <w:color w:val="000000"/>
        </w:rPr>
        <w:t xml:space="preserve">hip replacement </w:t>
      </w:r>
      <w:r w:rsidR="006F4B95"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patients with low bone mass.</w:t>
      </w:r>
    </w:p>
    <w:p w14:paraId="5613781E" w14:textId="408A7AC8" w:rsidR="005771AD" w:rsidRDefault="005771AD">
      <w:pPr>
        <w:rPr>
          <w:rFonts w:ascii="Book Antiqua" w:hAnsi="Book Antiqua"/>
        </w:rPr>
      </w:pPr>
      <w:r>
        <w:rPr>
          <w:rFonts w:ascii="Book Antiqua" w:hAnsi="Book Antiqua"/>
        </w:rPr>
        <w:br w:type="page"/>
      </w:r>
    </w:p>
    <w:p w14:paraId="43F3F20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lastRenderedPageBreak/>
        <w:t>INTRODUCTION</w:t>
      </w:r>
    </w:p>
    <w:p w14:paraId="00983223" w14:textId="5314C343"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Today</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biological fixation of uncemented press-fit acetabular components plays an important role in total hip arthroplasty. </w:t>
      </w:r>
      <w:r w:rsidR="006F4B95" w:rsidRPr="00F25B0E">
        <w:rPr>
          <w:rFonts w:ascii="Book Antiqua" w:eastAsia="Book Antiqua" w:hAnsi="Book Antiqua" w:cs="Book Antiqua"/>
          <w:color w:val="000000"/>
        </w:rPr>
        <w:t>L</w:t>
      </w:r>
      <w:r w:rsidRPr="00F25B0E">
        <w:rPr>
          <w:rFonts w:ascii="Book Antiqua" w:eastAsia="Book Antiqua" w:hAnsi="Book Antiqua" w:cs="Book Antiqua"/>
          <w:color w:val="000000"/>
        </w:rPr>
        <w:t>ong-term stable fixation of these implants largely depends on the osseointegration of bone tissue into the acetabular cup implant and their ability to withstand functional loads</w:t>
      </w:r>
      <w:r w:rsidRPr="00F25B0E">
        <w:rPr>
          <w:rFonts w:ascii="Book Antiqua" w:eastAsia="Book Antiqua" w:hAnsi="Book Antiqua" w:cs="Book Antiqua"/>
          <w:color w:val="000000"/>
          <w:vertAlign w:val="superscript"/>
        </w:rPr>
        <w:t>[1,2]</w:t>
      </w:r>
      <w:r w:rsidRPr="00F25B0E">
        <w:rPr>
          <w:rFonts w:ascii="Book Antiqua" w:eastAsia="Book Antiqua" w:hAnsi="Book Antiqua" w:cs="Book Antiqua"/>
          <w:color w:val="000000"/>
        </w:rPr>
        <w:t>.</w:t>
      </w:r>
    </w:p>
    <w:p w14:paraId="69C82268" w14:textId="180A0DDC" w:rsidR="00FB125B" w:rsidRPr="00F25B0E" w:rsidRDefault="00AD38B7">
      <w:pPr>
        <w:adjustRightInd w:val="0"/>
        <w:snapToGrid w:val="0"/>
        <w:spacing w:line="360" w:lineRule="auto"/>
        <w:ind w:firstLine="240"/>
        <w:jc w:val="both"/>
        <w:rPr>
          <w:rFonts w:ascii="Book Antiqua" w:hAnsi="Book Antiqua"/>
        </w:rPr>
      </w:pPr>
      <w:r w:rsidRPr="00F25B0E">
        <w:rPr>
          <w:rFonts w:ascii="Book Antiqua" w:eastAsia="Book Antiqua" w:hAnsi="Book Antiqua" w:cs="Book Antiqua"/>
          <w:color w:val="000000"/>
        </w:rPr>
        <w:t xml:space="preserve">It has been established that </w:t>
      </w:r>
      <w:r w:rsidR="006F4B95" w:rsidRPr="00F25B0E">
        <w:rPr>
          <w:rFonts w:ascii="Book Antiqua" w:eastAsia="Book Antiqua" w:hAnsi="Book Antiqua" w:cs="Book Antiqua"/>
          <w:color w:val="000000"/>
        </w:rPr>
        <w:t xml:space="preserve">both </w:t>
      </w:r>
      <w:r w:rsidRPr="00F25B0E">
        <w:rPr>
          <w:rFonts w:ascii="Book Antiqua" w:eastAsia="Book Antiqua" w:hAnsi="Book Antiqua" w:cs="Book Antiqua"/>
          <w:color w:val="000000"/>
        </w:rPr>
        <w:t xml:space="preserve">the implant surface and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condition of bone tissue </w:t>
      </w:r>
      <w:r w:rsidR="006F4B95" w:rsidRPr="00F25B0E">
        <w:rPr>
          <w:rFonts w:ascii="Book Antiqua" w:eastAsia="Book Antiqua" w:hAnsi="Book Antiqua" w:cs="Book Antiqua"/>
          <w:color w:val="000000"/>
        </w:rPr>
        <w:t>are of</w:t>
      </w:r>
      <w:r w:rsidRPr="00F25B0E">
        <w:rPr>
          <w:rFonts w:ascii="Book Antiqua" w:eastAsia="Book Antiqua" w:hAnsi="Book Antiqua" w:cs="Book Antiqua"/>
          <w:color w:val="000000"/>
        </w:rPr>
        <w:t xml:space="preserve"> great importance in the process of osseointegration</w:t>
      </w:r>
      <w:r w:rsidRPr="00F25B0E">
        <w:rPr>
          <w:rFonts w:ascii="Book Antiqua" w:eastAsia="Book Antiqua" w:hAnsi="Book Antiqua" w:cs="Book Antiqua"/>
          <w:color w:val="000000"/>
          <w:vertAlign w:val="superscript"/>
        </w:rPr>
        <w:t>[3]</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I</w:t>
      </w:r>
      <w:r w:rsidRPr="00F25B0E">
        <w:rPr>
          <w:rFonts w:ascii="Book Antiqua" w:eastAsia="Book Antiqua" w:hAnsi="Book Antiqua" w:cs="Book Antiqua"/>
          <w:color w:val="000000"/>
        </w:rPr>
        <w:t xml:space="preserve">mplant qualities </w:t>
      </w:r>
      <w:r w:rsidR="006F4B95" w:rsidRPr="00F25B0E">
        <w:rPr>
          <w:rFonts w:ascii="Book Antiqua" w:eastAsia="Book Antiqua" w:hAnsi="Book Antiqua" w:cs="Book Antiqua"/>
          <w:color w:val="000000"/>
        </w:rPr>
        <w:t>including</w:t>
      </w:r>
      <w:r w:rsidRPr="00F25B0E">
        <w:rPr>
          <w:rFonts w:ascii="Book Antiqua" w:eastAsia="Book Antiqua" w:hAnsi="Book Antiqua" w:cs="Book Antiqua"/>
          <w:color w:val="000000"/>
        </w:rPr>
        <w:t xml:space="preserve"> structure, strength, stiffness, porosity, coefficient of friction, and surface roughness have significant impact on the quality and quantity of bone osseointegration as well as the long-term survival of press</w:t>
      </w:r>
      <w:r w:rsidR="00306456" w:rsidRPr="00F25B0E">
        <w:rPr>
          <w:rFonts w:ascii="Book Antiqua" w:eastAsia="Book Antiqua" w:hAnsi="Book Antiqua" w:cs="Book Antiqua"/>
          <w:color w:val="000000"/>
        </w:rPr>
        <w:t>-</w:t>
      </w:r>
      <w:r w:rsidRPr="00F25B0E">
        <w:rPr>
          <w:rFonts w:ascii="Book Antiqua" w:eastAsia="Book Antiqua" w:hAnsi="Book Antiqua" w:cs="Book Antiqua"/>
          <w:color w:val="000000"/>
        </w:rPr>
        <w:t>fit implants</w:t>
      </w:r>
      <w:r w:rsidRPr="00F25B0E">
        <w:rPr>
          <w:rFonts w:ascii="Book Antiqua" w:eastAsia="Book Antiqua" w:hAnsi="Book Antiqua" w:cs="Book Antiqua"/>
          <w:color w:val="000000"/>
          <w:vertAlign w:val="superscript"/>
        </w:rPr>
        <w:t>[4,5]</w:t>
      </w:r>
      <w:r w:rsidRPr="00F25B0E">
        <w:rPr>
          <w:rFonts w:ascii="Book Antiqua" w:eastAsia="Book Antiqua" w:hAnsi="Book Antiqua" w:cs="Book Antiqua"/>
          <w:color w:val="000000"/>
        </w:rPr>
        <w:t xml:space="preserve">. In patients with osteopenia and osteoporosis, both qualitative and quantitative properties of bone tissue deteriorate, leading to a weakening of bone metabolism </w:t>
      </w:r>
      <w:r w:rsidR="00306456" w:rsidRPr="00F25B0E">
        <w:rPr>
          <w:rFonts w:ascii="Book Antiqua" w:eastAsia="Book Antiqua" w:hAnsi="Book Antiqua" w:cs="Book Antiqua"/>
          <w:color w:val="000000"/>
        </w:rPr>
        <w:t xml:space="preserve">that </w:t>
      </w:r>
      <w:r w:rsidRPr="00F25B0E">
        <w:rPr>
          <w:rFonts w:ascii="Book Antiqua" w:eastAsia="Book Antiqua" w:hAnsi="Book Antiqua" w:cs="Book Antiqua"/>
          <w:color w:val="000000"/>
        </w:rPr>
        <w:t>then leads to accelerated osteoclastogenesis and bone resorption</w:t>
      </w:r>
      <w:r w:rsidRPr="00F25B0E">
        <w:rPr>
          <w:rFonts w:ascii="Book Antiqua" w:eastAsia="Book Antiqua" w:hAnsi="Book Antiqua" w:cs="Book Antiqua"/>
          <w:color w:val="000000"/>
          <w:vertAlign w:val="superscript"/>
        </w:rPr>
        <w:t>[6,7]</w:t>
      </w:r>
      <w:r w:rsidRPr="00F25B0E">
        <w:rPr>
          <w:rFonts w:ascii="Book Antiqua" w:eastAsia="Book Antiqua" w:hAnsi="Book Antiqua" w:cs="Book Antiqua"/>
          <w:color w:val="000000"/>
        </w:rPr>
        <w:t>. The above situation is an unfavorable condition for the implantation of uncemented press-fit acetabular components</w:t>
      </w:r>
      <w:r w:rsidRPr="00F25B0E">
        <w:rPr>
          <w:rFonts w:ascii="Book Antiqua" w:eastAsia="Book Antiqua" w:hAnsi="Book Antiqua" w:cs="Book Antiqua"/>
          <w:color w:val="000000"/>
          <w:vertAlign w:val="superscript"/>
        </w:rPr>
        <w:t>[8]</w:t>
      </w:r>
      <w:r w:rsidRPr="00F25B0E">
        <w:rPr>
          <w:rFonts w:ascii="Book Antiqua" w:eastAsia="Book Antiqua" w:hAnsi="Book Antiqua" w:cs="Book Antiqua"/>
          <w:color w:val="000000"/>
        </w:rPr>
        <w:t>.</w:t>
      </w:r>
    </w:p>
    <w:p w14:paraId="5F263CBC" w14:textId="4C49D2A0" w:rsidR="00FB125B" w:rsidRPr="00F25B0E" w:rsidRDefault="00AD38B7">
      <w:pPr>
        <w:adjustRightInd w:val="0"/>
        <w:snapToGrid w:val="0"/>
        <w:spacing w:line="360" w:lineRule="auto"/>
        <w:ind w:firstLine="240"/>
        <w:jc w:val="both"/>
        <w:rPr>
          <w:rFonts w:ascii="Book Antiqua" w:hAnsi="Book Antiqua"/>
        </w:rPr>
      </w:pPr>
      <w:r w:rsidRPr="00F25B0E">
        <w:rPr>
          <w:rFonts w:ascii="Book Antiqua" w:eastAsia="Book Antiqua" w:hAnsi="Book Antiqua" w:cs="Book Antiqua"/>
          <w:color w:val="000000"/>
        </w:rPr>
        <w:t xml:space="preserve">In a previous experimental </w:t>
      </w:r>
      <w:r w:rsidR="00306456" w:rsidRPr="00F25B0E">
        <w:rPr>
          <w:rFonts w:ascii="Book Antiqua" w:eastAsia="Book Antiqua" w:hAnsi="Book Antiqua" w:cs="Book Antiqua"/>
          <w:color w:val="000000"/>
        </w:rPr>
        <w:t xml:space="preserve">animal </w:t>
      </w:r>
      <w:r w:rsidRPr="00F25B0E">
        <w:rPr>
          <w:rFonts w:ascii="Book Antiqua" w:eastAsia="Book Antiqua" w:hAnsi="Book Antiqua" w:cs="Book Antiqua"/>
          <w:color w:val="000000"/>
        </w:rPr>
        <w:t>study utilizing a rat model, it was shown that osseointegration of current porous acetabular implant materials</w:t>
      </w:r>
      <w:r w:rsidR="00306456"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as well as the possibility </w:t>
      </w:r>
      <w:r w:rsidR="00306456"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successful implantation and osseointegration in osteoporotic bone, directly depends on the structural characteristics of the porous implant</w:t>
      </w:r>
      <w:r w:rsidRPr="00F25B0E">
        <w:rPr>
          <w:rFonts w:ascii="Book Antiqua" w:eastAsia="Book Antiqua" w:hAnsi="Book Antiqua" w:cs="Book Antiqua"/>
          <w:color w:val="000000"/>
          <w:vertAlign w:val="superscript"/>
        </w:rPr>
        <w:t>[9]</w:t>
      </w:r>
      <w:r w:rsidRPr="00F25B0E">
        <w:rPr>
          <w:rFonts w:ascii="Book Antiqua" w:eastAsia="Book Antiqua" w:hAnsi="Book Antiqua" w:cs="Book Antiqua"/>
          <w:color w:val="000000"/>
        </w:rPr>
        <w:t>. However, there is a lack of comparative data of the strength and stability of the bonе-metal osseointegration of current porous materials used in acetabular components in both normal and in osteoporotic bones.</w:t>
      </w:r>
    </w:p>
    <w:p w14:paraId="58F4DD99" w14:textId="592343CD" w:rsidR="00FB125B" w:rsidRPr="00F25B0E" w:rsidRDefault="00AD38B7">
      <w:pPr>
        <w:adjustRightInd w:val="0"/>
        <w:snapToGrid w:val="0"/>
        <w:spacing w:line="360" w:lineRule="auto"/>
        <w:ind w:firstLine="240"/>
        <w:jc w:val="both"/>
        <w:rPr>
          <w:rFonts w:ascii="Book Antiqua" w:hAnsi="Book Antiqua"/>
        </w:rPr>
      </w:pPr>
      <w:r w:rsidRPr="00F25B0E">
        <w:rPr>
          <w:rFonts w:ascii="Book Antiqua" w:eastAsia="Book Antiqua" w:hAnsi="Book Antiqua" w:cs="Book Antiqua"/>
          <w:color w:val="000000"/>
        </w:rPr>
        <w:t xml:space="preserve">The study aim was to carry out a comparative analysis of the strength of the formed bonе-metal osseointegration among four types of porous metal implants in an </w:t>
      </w:r>
      <w:r w:rsidRPr="00CB2DF9">
        <w:rPr>
          <w:rFonts w:ascii="Book Antiqua" w:eastAsia="Book Antiqua" w:hAnsi="Book Antiqua" w:cs="Book Antiqua"/>
          <w:i/>
          <w:iCs/>
          <w:color w:val="000000"/>
        </w:rPr>
        <w:t>in</w:t>
      </w:r>
      <w:r w:rsidR="00D04F2C">
        <w:rPr>
          <w:rFonts w:ascii="Book Antiqua" w:eastAsia="Book Antiqua" w:hAnsi="Book Antiqua" w:cs="Book Antiqua"/>
          <w:i/>
          <w:iCs/>
          <w:color w:val="000000"/>
        </w:rPr>
        <w:t xml:space="preserve"> </w:t>
      </w:r>
      <w:r w:rsidRPr="00CB2DF9">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animal model with both normal bone and after the simulation of osteoporosis. Our hypothesis </w:t>
      </w:r>
      <w:r w:rsidR="001D4689" w:rsidRPr="00F25B0E">
        <w:rPr>
          <w:rFonts w:ascii="Book Antiqua" w:eastAsia="Book Antiqua" w:hAnsi="Book Antiqua" w:cs="Book Antiqua"/>
          <w:color w:val="000000"/>
        </w:rPr>
        <w:t xml:space="preserve">was </w:t>
      </w:r>
      <w:r w:rsidRPr="00F25B0E">
        <w:rPr>
          <w:rFonts w:ascii="Book Antiqua" w:eastAsia="Book Antiqua" w:hAnsi="Book Antiqua" w:cs="Book Antiqua"/>
          <w:color w:val="000000"/>
        </w:rPr>
        <w:t>that there will be a difference in the strength between the formed bone metal osseointegration between normal and osteoporotic bone models.</w:t>
      </w:r>
    </w:p>
    <w:p w14:paraId="44E6269A" w14:textId="77777777" w:rsidR="00FB125B" w:rsidRPr="00F25B0E" w:rsidRDefault="00FB125B">
      <w:pPr>
        <w:adjustRightInd w:val="0"/>
        <w:snapToGrid w:val="0"/>
        <w:spacing w:line="360" w:lineRule="auto"/>
        <w:ind w:firstLine="240"/>
        <w:jc w:val="both"/>
        <w:rPr>
          <w:rFonts w:ascii="Book Antiqua" w:hAnsi="Book Antiqua"/>
        </w:rPr>
      </w:pPr>
    </w:p>
    <w:p w14:paraId="4C63AAA0"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MATERIALS AND METHODS</w:t>
      </w:r>
    </w:p>
    <w:p w14:paraId="26959D4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Animals</w:t>
      </w:r>
    </w:p>
    <w:p w14:paraId="54C0A9BA" w14:textId="489B1541"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lastRenderedPageBreak/>
        <w:t>Fifty female California rabbits 6 mo</w:t>
      </w:r>
      <w:r w:rsidR="006E7658" w:rsidRPr="00F25B0E">
        <w:rPr>
          <w:rFonts w:ascii="Book Antiqua" w:eastAsia="Book Antiqua" w:hAnsi="Book Antiqua" w:cs="Book Antiqua"/>
          <w:color w:val="000000"/>
        </w:rPr>
        <w:t xml:space="preserve"> of age and</w:t>
      </w:r>
      <w:r w:rsidRPr="00F25B0E">
        <w:rPr>
          <w:rFonts w:ascii="Book Antiqua" w:eastAsia="Book Antiqua" w:hAnsi="Book Antiqua" w:cs="Book Antiqua"/>
          <w:color w:val="000000"/>
        </w:rPr>
        <w:t xml:space="preserve"> </w:t>
      </w:r>
      <w:r w:rsidR="006E7658" w:rsidRPr="00F25B0E">
        <w:rPr>
          <w:rFonts w:ascii="Book Antiqua" w:eastAsia="Book Antiqua" w:hAnsi="Book Antiqua" w:cs="Book Antiqua"/>
          <w:color w:val="000000"/>
        </w:rPr>
        <w:t xml:space="preserve">weighing </w:t>
      </w:r>
      <w:r w:rsidRPr="00F25B0E">
        <w:rPr>
          <w:rFonts w:ascii="Book Antiqua" w:eastAsia="Book Antiqua" w:hAnsi="Book Antiqua" w:cs="Book Antiqua"/>
          <w:color w:val="000000"/>
        </w:rPr>
        <w:t xml:space="preserve">4.5-5.0 kg) were kept in conditions of 24 °C, 12/12 h light/dark, </w:t>
      </w:r>
      <w:r w:rsidR="006E7658" w:rsidRPr="00F25B0E">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60% humidity, </w:t>
      </w:r>
      <w:r w:rsidR="006E7658" w:rsidRPr="00F25B0E">
        <w:rPr>
          <w:rFonts w:ascii="Book Antiqua" w:eastAsia="Book Antiqua" w:hAnsi="Book Antiqua" w:cs="Book Antiqua"/>
          <w:color w:val="000000"/>
        </w:rPr>
        <w:t xml:space="preserve">with </w:t>
      </w:r>
      <w:r w:rsidRPr="00F25B0E">
        <w:rPr>
          <w:rFonts w:ascii="Book Antiqua" w:eastAsia="Book Antiqua" w:hAnsi="Book Antiqua" w:cs="Book Antiqua"/>
          <w:i/>
          <w:iCs/>
          <w:color w:val="000000"/>
        </w:rPr>
        <w:t>ad libitum</w:t>
      </w:r>
      <w:r w:rsidRPr="00F25B0E">
        <w:rPr>
          <w:rFonts w:ascii="Book Antiqua" w:eastAsia="Book Antiqua" w:hAnsi="Book Antiqua" w:cs="Book Antiqua"/>
          <w:color w:val="000000"/>
        </w:rPr>
        <w:t xml:space="preserve"> access to food and water, and a standard diet. All surgeries (ovariectomy and implantation of materials) were performed under general intramuscular anesthesia (xylazine hydrochloride 15 mg/kg</w:t>
      </w:r>
      <w:r w:rsidR="006E7658" w:rsidRPr="00F25B0E">
        <w:rPr>
          <w:rFonts w:ascii="Book Antiqua" w:eastAsia="Book Antiqua" w:hAnsi="Book Antiqua" w:cs="Book Antiqua"/>
          <w:color w:val="000000"/>
        </w:rPr>
        <w:t xml:space="preserve"> and</w:t>
      </w:r>
      <w:r w:rsidRPr="00F25B0E">
        <w:rPr>
          <w:rFonts w:ascii="Book Antiqua" w:eastAsia="Book Antiqua" w:hAnsi="Book Antiqua" w:cs="Book Antiqua"/>
          <w:color w:val="000000"/>
        </w:rPr>
        <w:t xml:space="preserve"> ketamine 50 mg/kg). Euthanasia was carried out by overdosing of ketamine (50 mg/kg) and subsequent air embolism. All experiments were performed according to the national guidelines and all appropriate measures were taken to minimize pain or discomfort to the animals. The study design was approved by the local Bioethics Committee.</w:t>
      </w:r>
    </w:p>
    <w:p w14:paraId="7E3C3017" w14:textId="77777777" w:rsidR="00FB125B" w:rsidRPr="00F25B0E" w:rsidRDefault="00FB125B">
      <w:pPr>
        <w:adjustRightInd w:val="0"/>
        <w:snapToGrid w:val="0"/>
        <w:spacing w:line="360" w:lineRule="auto"/>
        <w:jc w:val="both"/>
        <w:rPr>
          <w:rFonts w:ascii="Book Antiqua" w:hAnsi="Book Antiqua"/>
        </w:rPr>
      </w:pPr>
    </w:p>
    <w:p w14:paraId="660DD5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Study design</w:t>
      </w:r>
    </w:p>
    <w:p w14:paraId="3BBC90AA" w14:textId="4B48F609" w:rsidR="00FB125B" w:rsidRPr="00F25B0E" w:rsidRDefault="006E7658">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w:t>
      </w:r>
      <w:r w:rsidR="00AD38B7" w:rsidRPr="00F25B0E">
        <w:rPr>
          <w:rFonts w:ascii="Book Antiqua" w:eastAsia="Book Antiqua" w:hAnsi="Book Antiqua" w:cs="Book Antiqua"/>
          <w:color w:val="000000"/>
        </w:rPr>
        <w:t xml:space="preserve">abbits were randomly divided into </w:t>
      </w:r>
      <w:r w:rsidRPr="00F25B0E">
        <w:rPr>
          <w:rFonts w:ascii="Book Antiqua" w:eastAsia="Book Antiqua" w:hAnsi="Book Antiqua" w:cs="Book Antiqua"/>
          <w:color w:val="000000"/>
        </w:rPr>
        <w:t xml:space="preserve">healthy </w:t>
      </w:r>
      <w:r w:rsidR="00AD38B7" w:rsidRPr="00F25B0E">
        <w:rPr>
          <w:rFonts w:ascii="Book Antiqua" w:eastAsia="Book Antiqua" w:hAnsi="Book Antiqua" w:cs="Book Antiqua"/>
          <w:color w:val="000000"/>
        </w:rPr>
        <w:t xml:space="preserve">control non-ovariectomized (non-OVX) and ovariectomized (OVX) </w:t>
      </w:r>
      <w:r w:rsidRPr="00F25B0E">
        <w:rPr>
          <w:rFonts w:ascii="Book Antiqua" w:eastAsia="Book Antiqua" w:hAnsi="Book Antiqua" w:cs="Book Antiqua"/>
          <w:color w:val="000000"/>
        </w:rPr>
        <w:t xml:space="preserve">groups </w:t>
      </w:r>
      <w:r w:rsidR="00AD38B7" w:rsidRPr="00F25B0E">
        <w:rPr>
          <w:rFonts w:ascii="Book Antiqua" w:eastAsia="Book Antiqua" w:hAnsi="Book Antiqua" w:cs="Book Antiqua"/>
          <w:color w:val="000000"/>
        </w:rPr>
        <w:t>of 25 each. To simulate osteoporosis</w:t>
      </w:r>
      <w:r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ovariectomy was performed in </w:t>
      </w:r>
      <w:r w:rsidRPr="00F25B0E">
        <w:rPr>
          <w:rFonts w:ascii="Book Antiqua" w:eastAsia="Book Antiqua" w:hAnsi="Book Antiqua" w:cs="Book Antiqua"/>
          <w:color w:val="000000"/>
        </w:rPr>
        <w:t xml:space="preserve">the </w:t>
      </w:r>
      <w:r w:rsidR="00AD38B7" w:rsidRPr="00F25B0E">
        <w:rPr>
          <w:rFonts w:ascii="Book Antiqua" w:eastAsia="Book Antiqua" w:hAnsi="Book Antiqua" w:cs="Book Antiqua"/>
          <w:color w:val="000000"/>
        </w:rPr>
        <w:t>OVX group. After 3 mo</w:t>
      </w:r>
      <w:r w:rsidR="005771AD">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10 rabbits (5 non-OVX and 5 OVX) were sacrificed to confirm of osteoporosis development. For the remaining rabbits</w:t>
      </w:r>
      <w:r w:rsidR="006060E1"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w:t>
      </w:r>
      <w:r w:rsidR="00AD38B7" w:rsidRPr="00F25B0E">
        <w:rPr>
          <w:rFonts w:ascii="Book Antiqua" w:eastAsia="Book Antiqua" w:hAnsi="Book Antiqua" w:cs="Book Antiqua"/>
          <w:i/>
          <w:iCs/>
          <w:color w:val="000000"/>
        </w:rPr>
        <w:t>n</w:t>
      </w:r>
      <w:r w:rsidR="00AD38B7" w:rsidRPr="00F25B0E">
        <w:rPr>
          <w:rFonts w:ascii="Book Antiqua" w:eastAsia="Book Antiqua" w:hAnsi="Book Antiqua" w:cs="Book Antiqua"/>
          <w:color w:val="000000"/>
        </w:rPr>
        <w:t xml:space="preserve"> = 40) one of the four types of porous materials were implanted. All rabbits with implants were sacrificed 8 wk after implantation.</w:t>
      </w:r>
    </w:p>
    <w:p w14:paraId="4C068B3F" w14:textId="77777777" w:rsidR="00FB125B" w:rsidRPr="00F25B0E" w:rsidRDefault="00FB125B">
      <w:pPr>
        <w:adjustRightInd w:val="0"/>
        <w:snapToGrid w:val="0"/>
        <w:spacing w:line="360" w:lineRule="auto"/>
        <w:jc w:val="both"/>
        <w:rPr>
          <w:rFonts w:ascii="Book Antiqua" w:hAnsi="Book Antiqua"/>
        </w:rPr>
      </w:pPr>
    </w:p>
    <w:p w14:paraId="3218C049"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Implants</w:t>
      </w:r>
    </w:p>
    <w:p w14:paraId="7A958689" w14:textId="20A6F2FB" w:rsidR="00FB125B" w:rsidRPr="00F25B0E" w:rsidRDefault="006060E1">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The f</w:t>
      </w:r>
      <w:r w:rsidR="00AD38B7" w:rsidRPr="00F25B0E">
        <w:rPr>
          <w:rFonts w:ascii="Book Antiqua" w:eastAsia="Book Antiqua" w:hAnsi="Book Antiqua" w:cs="Book Antiqua"/>
          <w:color w:val="000000"/>
        </w:rPr>
        <w:t xml:space="preserve">our </w:t>
      </w:r>
      <w:r w:rsidRPr="00F25B0E">
        <w:rPr>
          <w:rFonts w:ascii="Book Antiqua" w:eastAsia="Book Antiqua" w:hAnsi="Book Antiqua" w:cs="Book Antiqua"/>
          <w:color w:val="000000"/>
        </w:rPr>
        <w:t xml:space="preserve">types of </w:t>
      </w:r>
      <w:r w:rsidR="00AD38B7" w:rsidRPr="00F25B0E">
        <w:rPr>
          <w:rFonts w:ascii="Book Antiqua" w:eastAsia="Book Antiqua" w:hAnsi="Book Antiqua" w:cs="Book Antiqua"/>
          <w:color w:val="000000"/>
        </w:rPr>
        <w:t xml:space="preserve">implants used in this study </w:t>
      </w:r>
      <w:r w:rsidRPr="00F25B0E">
        <w:rPr>
          <w:rFonts w:ascii="Book Antiqua" w:eastAsia="Book Antiqua" w:hAnsi="Book Antiqua" w:cs="Book Antiqua"/>
          <w:color w:val="000000"/>
        </w:rPr>
        <w:t>were of</w:t>
      </w:r>
      <w:r w:rsidR="00AD38B7" w:rsidRPr="00F25B0E">
        <w:rPr>
          <w:rFonts w:ascii="Book Antiqua" w:eastAsia="Book Antiqua" w:hAnsi="Book Antiqua" w:cs="Book Antiqua"/>
          <w:color w:val="000000"/>
        </w:rPr>
        <w:t xml:space="preserve"> comparable 80% or </w:t>
      </w:r>
      <w:r w:rsidRPr="00F25B0E">
        <w:rPr>
          <w:rFonts w:ascii="Book Antiqua" w:eastAsia="Book Antiqua" w:hAnsi="Book Antiqua" w:cs="Book Antiqua"/>
          <w:color w:val="000000"/>
        </w:rPr>
        <w:t>greater porosity</w:t>
      </w:r>
      <w:r w:rsidR="00AD38B7" w:rsidRPr="00F25B0E">
        <w:rPr>
          <w:rFonts w:ascii="Book Antiqua" w:eastAsia="Book Antiqua" w:hAnsi="Book Antiqua" w:cs="Book Antiqua"/>
          <w:color w:val="000000"/>
        </w:rPr>
        <w:t xml:space="preserve">. Three were </w:t>
      </w:r>
      <w:r w:rsidRPr="00F25B0E">
        <w:rPr>
          <w:rFonts w:ascii="Book Antiqua" w:eastAsia="Book Antiqua" w:hAnsi="Book Antiqua" w:cs="Book Antiqua"/>
          <w:color w:val="000000"/>
        </w:rPr>
        <w:t xml:space="preserve">Ti6-Al4-V </w:t>
      </w:r>
      <w:r w:rsidR="00AD38B7" w:rsidRPr="00F25B0E">
        <w:rPr>
          <w:rFonts w:ascii="Book Antiqua" w:eastAsia="Book Antiqua" w:hAnsi="Book Antiqua" w:cs="Book Antiqua"/>
          <w:color w:val="000000"/>
        </w:rPr>
        <w:t>titanium alloy</w:t>
      </w:r>
      <w:r w:rsidRPr="00F25B0E">
        <w:rPr>
          <w:rFonts w:ascii="Book Antiqua" w:eastAsia="Book Antiqua" w:hAnsi="Book Antiqua" w:cs="Book Antiqua"/>
          <w:color w:val="000000"/>
        </w:rPr>
        <w:t xml:space="preserve">s: </w:t>
      </w:r>
      <w:r w:rsidR="00AD38B7" w:rsidRPr="00F25B0E">
        <w:rPr>
          <w:rFonts w:ascii="Book Antiqua" w:eastAsia="Book Antiqua" w:hAnsi="Book Antiqua" w:cs="Book Antiqua"/>
          <w:color w:val="000000"/>
        </w:rPr>
        <w:t xml:space="preserve">TTM (AK Medical, Beijing, China), CONCELOC (Smith &amp; Nephew, Memphis, TN, United States), ATLANT (TITAN-MED, Kyiv, Ukraine). </w:t>
      </w:r>
      <w:r w:rsidRPr="00F25B0E">
        <w:rPr>
          <w:rFonts w:ascii="Book Antiqua" w:eastAsia="Book Antiqua" w:hAnsi="Book Antiqua" w:cs="Book Antiqua"/>
          <w:color w:val="000000"/>
        </w:rPr>
        <w:t xml:space="preserve">The fourth was </w:t>
      </w:r>
      <w:r w:rsidR="00AD38B7" w:rsidRPr="00F25B0E">
        <w:rPr>
          <w:rFonts w:ascii="Book Antiqua" w:eastAsia="Book Antiqua" w:hAnsi="Book Antiqua" w:cs="Book Antiqua"/>
          <w:color w:val="000000"/>
        </w:rPr>
        <w:t xml:space="preserve">porous Zimmer Biomet's Trabecular Metal (TANTALUM) (Zimmer, Warsaw, United States). </w:t>
      </w:r>
      <w:r w:rsidRPr="00F25B0E">
        <w:rPr>
          <w:rFonts w:ascii="Book Antiqua" w:eastAsia="Book Antiqua" w:hAnsi="Book Antiqua" w:cs="Book Antiqua"/>
          <w:color w:val="000000"/>
        </w:rPr>
        <w:t>The elastic modul</w:t>
      </w:r>
      <w:r w:rsidR="00F51340" w:rsidRPr="00F25B0E">
        <w:rPr>
          <w:rFonts w:ascii="Book Antiqua" w:eastAsia="Book Antiqua" w:hAnsi="Book Antiqua" w:cs="Book Antiqua"/>
          <w:color w:val="000000"/>
        </w:rPr>
        <w:t>i</w:t>
      </w:r>
      <w:r w:rsidRPr="00F25B0E">
        <w:rPr>
          <w:rFonts w:ascii="Book Antiqua" w:eastAsia="Book Antiqua" w:hAnsi="Book Antiqua" w:cs="Book Antiqua"/>
          <w:color w:val="000000"/>
        </w:rPr>
        <w:t xml:space="preserve"> </w:t>
      </w:r>
      <w:r w:rsidR="00F51340" w:rsidRPr="00F25B0E">
        <w:rPr>
          <w:rFonts w:ascii="Book Antiqua" w:eastAsia="Book Antiqua" w:hAnsi="Book Antiqua" w:cs="Book Antiqua"/>
          <w:color w:val="000000"/>
        </w:rPr>
        <w:t xml:space="preserve">are </w:t>
      </w:r>
      <w:r w:rsidR="00AD38B7" w:rsidRPr="00F25B0E">
        <w:rPr>
          <w:rFonts w:ascii="Book Antiqua" w:eastAsia="Book Antiqua" w:hAnsi="Book Antiqua" w:cs="Book Antiqua"/>
          <w:color w:val="000000"/>
        </w:rPr>
        <w:t>3 GPa</w:t>
      </w:r>
      <w:r w:rsidR="00F51340" w:rsidRPr="00F25B0E">
        <w:rPr>
          <w:rFonts w:ascii="Book Antiqua" w:eastAsia="Book Antiqua" w:hAnsi="Book Antiqua" w:cs="Book Antiqua"/>
          <w:color w:val="000000"/>
        </w:rPr>
        <w:t xml:space="preserve"> for TANTALUM</w:t>
      </w:r>
      <w:r w:rsidR="00AD38B7" w:rsidRPr="00F25B0E">
        <w:rPr>
          <w:rFonts w:ascii="Book Antiqua" w:eastAsia="Book Antiqua" w:hAnsi="Book Antiqua" w:cs="Book Antiqua"/>
          <w:color w:val="000000"/>
          <w:vertAlign w:val="superscript"/>
        </w:rPr>
        <w:t>[10]</w:t>
      </w:r>
      <w:r w:rsidR="00F51340" w:rsidRPr="00F25B0E">
        <w:rPr>
          <w:rFonts w:ascii="Book Antiqua" w:eastAsia="Book Antiqua" w:hAnsi="Book Antiqua" w:cs="Book Antiqua"/>
          <w:color w:val="000000"/>
        </w:rPr>
        <w:t xml:space="preserve">, </w:t>
      </w:r>
      <w:r w:rsidR="00AD38B7" w:rsidRPr="00F25B0E">
        <w:rPr>
          <w:rFonts w:ascii="Book Antiqua" w:eastAsia="Book Antiqua" w:hAnsi="Book Antiqua" w:cs="Book Antiqua"/>
          <w:color w:val="000000"/>
        </w:rPr>
        <w:t xml:space="preserve">12.9 </w:t>
      </w:r>
      <w:r w:rsidR="00F51340" w:rsidRPr="00F25B0E">
        <w:rPr>
          <w:rFonts w:ascii="Book Antiqua" w:eastAsia="Book Antiqua" w:hAnsi="Book Antiqua" w:cs="Book Antiqua"/>
          <w:color w:val="000000"/>
        </w:rPr>
        <w:t xml:space="preserve">for </w:t>
      </w:r>
      <w:r w:rsidR="00AD38B7" w:rsidRPr="00F25B0E">
        <w:rPr>
          <w:rFonts w:ascii="Book Antiqua" w:eastAsia="Book Antiqua" w:hAnsi="Book Antiqua" w:cs="Book Antiqua"/>
          <w:color w:val="000000"/>
        </w:rPr>
        <w:t>GPa</w:t>
      </w:r>
      <w:r w:rsidR="00AD38B7" w:rsidRPr="00F25B0E">
        <w:rPr>
          <w:rFonts w:ascii="Book Antiqua" w:eastAsia="Book Antiqua" w:hAnsi="Book Antiqua" w:cs="Book Antiqua"/>
          <w:color w:val="000000"/>
          <w:vertAlign w:val="superscript"/>
        </w:rPr>
        <w:t>[11]</w:t>
      </w:r>
      <w:r w:rsidR="00AD38B7" w:rsidRPr="00F25B0E">
        <w:rPr>
          <w:rFonts w:ascii="Book Antiqua" w:eastAsia="Book Antiqua" w:hAnsi="Book Antiqua" w:cs="Book Antiqua"/>
          <w:color w:val="000000"/>
        </w:rPr>
        <w:t>, 4.3 GPa</w:t>
      </w:r>
      <w:r w:rsidR="00F51340" w:rsidRPr="00F25B0E">
        <w:rPr>
          <w:rFonts w:ascii="Book Antiqua" w:eastAsia="Book Antiqua" w:hAnsi="Book Antiqua" w:cs="Book Antiqua"/>
          <w:color w:val="000000"/>
        </w:rPr>
        <w:t xml:space="preserve"> for CONCELOC</w:t>
      </w:r>
      <w:r w:rsidR="00AD38B7" w:rsidRPr="00F25B0E">
        <w:rPr>
          <w:rFonts w:ascii="Book Antiqua" w:eastAsia="Book Antiqua" w:hAnsi="Book Antiqua" w:cs="Book Antiqua"/>
          <w:color w:val="000000"/>
          <w:vertAlign w:val="superscript"/>
        </w:rPr>
        <w:t>[12]</w:t>
      </w:r>
      <w:r w:rsidR="00AD38B7" w:rsidRPr="00F25B0E">
        <w:rPr>
          <w:rFonts w:ascii="Book Antiqua" w:eastAsia="Book Antiqua" w:hAnsi="Book Antiqua" w:cs="Book Antiqua"/>
          <w:color w:val="000000"/>
        </w:rPr>
        <w:t xml:space="preserve">, </w:t>
      </w:r>
      <w:r w:rsidR="00F51340" w:rsidRPr="00F25B0E">
        <w:rPr>
          <w:rFonts w:ascii="Book Antiqua" w:eastAsia="Book Antiqua" w:hAnsi="Book Antiqua" w:cs="Book Antiqua"/>
          <w:color w:val="000000"/>
        </w:rPr>
        <w:t xml:space="preserve">and </w:t>
      </w:r>
      <w:r w:rsidR="00AD38B7" w:rsidRPr="00F25B0E">
        <w:rPr>
          <w:rFonts w:ascii="Book Antiqua" w:eastAsia="Book Antiqua" w:hAnsi="Book Antiqua" w:cs="Book Antiqua"/>
          <w:color w:val="000000"/>
        </w:rPr>
        <w:t>113 GPa</w:t>
      </w:r>
      <w:r w:rsidR="00F51340" w:rsidRPr="00F25B0E">
        <w:rPr>
          <w:rFonts w:ascii="Book Antiqua" w:eastAsia="Book Antiqua" w:hAnsi="Book Antiqua" w:cs="Book Antiqua"/>
          <w:color w:val="000000"/>
        </w:rPr>
        <w:t xml:space="preserve"> for ATLANT</w:t>
      </w:r>
      <w:r w:rsidR="00AD38B7" w:rsidRPr="00F25B0E">
        <w:rPr>
          <w:rFonts w:ascii="Book Antiqua" w:eastAsia="Book Antiqua" w:hAnsi="Book Antiqua" w:cs="Book Antiqua"/>
          <w:color w:val="000000"/>
        </w:rPr>
        <w:t xml:space="preserve">. </w:t>
      </w:r>
      <w:r w:rsidR="00F51340" w:rsidRPr="00F25B0E">
        <w:rPr>
          <w:rFonts w:ascii="Book Antiqua" w:eastAsia="Book Antiqua" w:hAnsi="Book Antiqua" w:cs="Book Antiqua"/>
          <w:color w:val="000000"/>
        </w:rPr>
        <w:t xml:space="preserve">A </w:t>
      </w:r>
      <w:r w:rsidR="00AD38B7" w:rsidRPr="00F25B0E">
        <w:rPr>
          <w:rFonts w:ascii="Book Antiqua" w:eastAsia="Book Antiqua" w:hAnsi="Book Antiqua" w:cs="Book Antiqua"/>
          <w:color w:val="000000"/>
        </w:rPr>
        <w:t xml:space="preserve">1.2 mm diameter hole was </w:t>
      </w:r>
      <w:r w:rsidR="00F51340" w:rsidRPr="00F25B0E">
        <w:rPr>
          <w:rFonts w:ascii="Book Antiqua" w:eastAsia="Book Antiqua" w:hAnsi="Book Antiqua" w:cs="Book Antiqua"/>
          <w:color w:val="000000"/>
        </w:rPr>
        <w:t xml:space="preserve">drilled on one side of the implants </w:t>
      </w:r>
      <w:r w:rsidR="00AD38B7" w:rsidRPr="00F25B0E">
        <w:rPr>
          <w:rFonts w:ascii="Book Antiqua" w:eastAsia="Book Antiqua" w:hAnsi="Book Antiqua" w:cs="Book Antiqua"/>
          <w:color w:val="000000"/>
        </w:rPr>
        <w:t xml:space="preserve">to allow mounting of the testing jig. The testing jig that was attached to the implant was used </w:t>
      </w:r>
      <w:r w:rsidR="00F51340" w:rsidRPr="00F25B0E">
        <w:rPr>
          <w:rFonts w:ascii="Book Antiqua" w:eastAsia="Book Antiqua" w:hAnsi="Book Antiqua" w:cs="Book Antiqua"/>
          <w:color w:val="000000"/>
        </w:rPr>
        <w:t xml:space="preserve">to test </w:t>
      </w:r>
      <w:r w:rsidR="00AD38B7" w:rsidRPr="00F25B0E">
        <w:rPr>
          <w:rFonts w:ascii="Book Antiqua" w:eastAsia="Book Antiqua" w:hAnsi="Book Antiqua" w:cs="Book Antiqua"/>
          <w:color w:val="000000"/>
        </w:rPr>
        <w:t>breaking strength during the study (Figure 1 A). Prior to implantation</w:t>
      </w:r>
      <w:r w:rsidR="00F51340"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the biomaterials were sterilized by autoclaving at 132 °C for 20 min.</w:t>
      </w:r>
    </w:p>
    <w:p w14:paraId="555723B0" w14:textId="77777777" w:rsidR="00FB125B" w:rsidRPr="00F25B0E" w:rsidRDefault="00FB125B">
      <w:pPr>
        <w:adjustRightInd w:val="0"/>
        <w:snapToGrid w:val="0"/>
        <w:spacing w:line="360" w:lineRule="auto"/>
        <w:jc w:val="both"/>
        <w:rPr>
          <w:rFonts w:ascii="Book Antiqua" w:hAnsi="Book Antiqua"/>
        </w:rPr>
      </w:pPr>
    </w:p>
    <w:p w14:paraId="0B0102C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lastRenderedPageBreak/>
        <w:t>Surgical procedures</w:t>
      </w:r>
    </w:p>
    <w:p w14:paraId="40D3B4ED" w14:textId="785E24EB" w:rsidR="00FB125B" w:rsidRPr="00F25B0E" w:rsidRDefault="00AD38B7">
      <w:pPr>
        <w:adjustRightInd w:val="0"/>
        <w:snapToGrid w:val="0"/>
        <w:spacing w:line="360" w:lineRule="auto"/>
        <w:jc w:val="both"/>
        <w:rPr>
          <w:rFonts w:ascii="Book Antiqua" w:hAnsi="Book Antiqua"/>
        </w:rPr>
      </w:pPr>
      <w:r w:rsidRPr="00CB2DF9">
        <w:rPr>
          <w:rFonts w:ascii="Book Antiqua" w:eastAsia="Book Antiqua" w:hAnsi="Book Antiqua" w:cs="Book Antiqua"/>
          <w:color w:val="000000"/>
        </w:rPr>
        <w:t>Ovariectomy</w:t>
      </w:r>
      <w:r w:rsidRPr="00F25B0E">
        <w:rPr>
          <w:rFonts w:ascii="Book Antiqua" w:eastAsia="Book Antiqua" w:hAnsi="Book Antiqua" w:cs="Book Antiqua"/>
          <w:i/>
          <w:iCs/>
          <w:color w:val="000000"/>
        </w:rPr>
        <w:t xml:space="preserve"> </w:t>
      </w:r>
      <w:r w:rsidRPr="00F25B0E">
        <w:rPr>
          <w:rFonts w:ascii="Book Antiqua" w:eastAsia="Book Antiqua" w:hAnsi="Book Antiqua" w:cs="Book Antiqua"/>
          <w:color w:val="000000"/>
        </w:rPr>
        <w:t>(</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25)</w:t>
      </w:r>
      <w:r w:rsidRPr="00F25B0E">
        <w:rPr>
          <w:rFonts w:ascii="Book Antiqua" w:eastAsia="Book Antiqua" w:hAnsi="Book Antiqua" w:cs="Book Antiqua"/>
          <w:i/>
          <w:iCs/>
          <w:color w:val="000000"/>
        </w:rPr>
        <w:t xml:space="preserve"> </w:t>
      </w:r>
      <w:r w:rsidRPr="00F25B0E">
        <w:rPr>
          <w:rFonts w:ascii="Book Antiqua" w:eastAsia="Book Antiqua" w:hAnsi="Book Antiqua" w:cs="Book Antiqua"/>
          <w:color w:val="000000"/>
        </w:rPr>
        <w:t xml:space="preserve">was performed under general anesthesia by two dorsolateral </w:t>
      </w:r>
      <w:r w:rsidR="00F51340" w:rsidRPr="00F25B0E">
        <w:rPr>
          <w:rFonts w:ascii="Book Antiqua" w:eastAsia="Book Antiqua" w:hAnsi="Book Antiqua" w:cs="Book Antiqua"/>
          <w:color w:val="000000"/>
        </w:rPr>
        <w:t xml:space="preserve">2.5 cm </w:t>
      </w:r>
      <w:r w:rsidRPr="00F25B0E">
        <w:rPr>
          <w:rFonts w:ascii="Book Antiqua" w:eastAsia="Book Antiqua" w:hAnsi="Book Antiqua" w:cs="Book Antiqua"/>
          <w:color w:val="000000"/>
        </w:rPr>
        <w:t xml:space="preserve">incisions </w:t>
      </w:r>
      <w:r w:rsidR="00F51340" w:rsidRPr="00F25B0E">
        <w:rPr>
          <w:rFonts w:ascii="Book Antiqua" w:eastAsia="Book Antiqua" w:hAnsi="Book Antiqua" w:cs="Book Antiqua"/>
          <w:color w:val="000000"/>
        </w:rPr>
        <w:t>of</w:t>
      </w:r>
      <w:r w:rsidRPr="00F25B0E">
        <w:rPr>
          <w:rFonts w:ascii="Book Antiqua" w:eastAsia="Book Antiqua" w:hAnsi="Book Antiqua" w:cs="Book Antiqua"/>
          <w:color w:val="000000"/>
        </w:rPr>
        <w:t xml:space="preserve"> the skin and muscles </w:t>
      </w:r>
      <w:r w:rsidR="00F51340" w:rsidRPr="00F25B0E">
        <w:rPr>
          <w:rFonts w:ascii="Book Antiqua" w:eastAsia="Book Antiqua" w:hAnsi="Book Antiqua" w:cs="Book Antiqua"/>
          <w:color w:val="000000"/>
        </w:rPr>
        <w:t xml:space="preserve">following </w:t>
      </w:r>
      <w:r w:rsidR="00F25B0E" w:rsidRPr="00F25B0E">
        <w:rPr>
          <w:rFonts w:ascii="Book Antiqua" w:eastAsia="Book Antiqua" w:hAnsi="Book Antiqua" w:cs="Book Antiqua"/>
          <w:color w:val="000000"/>
        </w:rPr>
        <w:t>the</w:t>
      </w:r>
      <w:r w:rsidRPr="00F25B0E">
        <w:rPr>
          <w:rFonts w:ascii="Book Antiqua" w:eastAsia="Book Antiqua" w:hAnsi="Book Antiqua" w:cs="Book Antiqua"/>
          <w:color w:val="000000"/>
        </w:rPr>
        <w:t xml:space="preserve"> method described by Wanderman </w:t>
      </w:r>
      <w:r w:rsidRPr="00F25B0E">
        <w:rPr>
          <w:rFonts w:ascii="Book Antiqua" w:eastAsia="Book Antiqua" w:hAnsi="Book Antiqua" w:cs="Book Antiqua"/>
          <w:i/>
          <w:iCs/>
          <w:color w:val="000000"/>
        </w:rPr>
        <w:t>et al</w:t>
      </w:r>
      <w:r w:rsidRPr="00F25B0E">
        <w:rPr>
          <w:rFonts w:ascii="Book Antiqua" w:eastAsia="Book Antiqua" w:hAnsi="Book Antiqua" w:cs="Book Antiqua"/>
          <w:color w:val="000000"/>
          <w:vertAlign w:val="superscript"/>
        </w:rPr>
        <w:t>[13]</w:t>
      </w:r>
      <w:r w:rsidRPr="00F25B0E">
        <w:rPr>
          <w:rFonts w:ascii="Book Antiqua" w:eastAsia="Book Antiqua" w:hAnsi="Book Antiqua" w:cs="Book Antiqua"/>
          <w:color w:val="000000"/>
        </w:rPr>
        <w:t>.</w:t>
      </w:r>
    </w:p>
    <w:p w14:paraId="14D0C9E2" w14:textId="77777777" w:rsidR="00FB125B" w:rsidRPr="00F25B0E" w:rsidRDefault="00FB125B">
      <w:pPr>
        <w:adjustRightInd w:val="0"/>
        <w:snapToGrid w:val="0"/>
        <w:spacing w:line="360" w:lineRule="auto"/>
        <w:jc w:val="both"/>
        <w:rPr>
          <w:rFonts w:ascii="Book Antiqua" w:hAnsi="Book Antiqua"/>
        </w:rPr>
      </w:pPr>
    </w:p>
    <w:p w14:paraId="28DD9827" w14:textId="0B8FBD95" w:rsidR="00FB125B" w:rsidRPr="00F25B0E" w:rsidRDefault="00AD38B7">
      <w:pPr>
        <w:adjustRightInd w:val="0"/>
        <w:snapToGrid w:val="0"/>
        <w:spacing w:line="360" w:lineRule="auto"/>
        <w:jc w:val="both"/>
        <w:rPr>
          <w:rFonts w:ascii="Book Antiqua" w:hAnsi="Book Antiqua"/>
        </w:rPr>
      </w:pPr>
      <w:r w:rsidRPr="00CB2DF9">
        <w:rPr>
          <w:rFonts w:ascii="Book Antiqua" w:eastAsia="Book Antiqua" w:hAnsi="Book Antiqua" w:cs="Book Antiqua"/>
          <w:b/>
          <w:bCs/>
          <w:color w:val="000000"/>
        </w:rPr>
        <w:t>Implantation of materials</w:t>
      </w:r>
      <w:r w:rsidR="005771AD">
        <w:rPr>
          <w:rFonts w:ascii="Book Antiqua" w:eastAsia="Book Antiqua" w:hAnsi="Book Antiqua" w:cs="Book Antiqua"/>
          <w:b/>
          <w:bCs/>
          <w:color w:val="000000"/>
        </w:rPr>
        <w:t>:</w:t>
      </w:r>
      <w:r w:rsidRPr="00F25B0E">
        <w:rPr>
          <w:rFonts w:ascii="Book Antiqua" w:eastAsia="Book Antiqua" w:hAnsi="Book Antiqua" w:cs="Book Antiqua"/>
          <w:color w:val="000000"/>
        </w:rPr>
        <w:t xml:space="preserve"> Each type of porous material was implanted in 5 healthy and 5 ovariectomized rabbits (</w:t>
      </w:r>
      <w:r w:rsidRPr="00F25B0E">
        <w:rPr>
          <w:rFonts w:ascii="Book Antiqua" w:eastAsia="Book Antiqua" w:hAnsi="Book Antiqua" w:cs="Book Antiqua"/>
          <w:i/>
          <w:iCs/>
          <w:color w:val="000000"/>
        </w:rPr>
        <w:t xml:space="preserve">n </w:t>
      </w:r>
      <w:r w:rsidRPr="00F25B0E">
        <w:rPr>
          <w:rFonts w:ascii="Book Antiqua" w:eastAsia="Book Antiqua" w:hAnsi="Book Antiqua" w:cs="Book Antiqua"/>
          <w:color w:val="000000"/>
        </w:rPr>
        <w:t xml:space="preserve">= 40) under general anesthesia </w:t>
      </w:r>
      <w:r w:rsidR="00F51340" w:rsidRPr="00F25B0E">
        <w:rPr>
          <w:rFonts w:ascii="Book Antiqua" w:eastAsia="Book Antiqua" w:hAnsi="Book Antiqua" w:cs="Book Antiqua"/>
          <w:color w:val="000000"/>
        </w:rPr>
        <w:t xml:space="preserve">under sterile </w:t>
      </w:r>
      <w:r w:rsidRPr="00F25B0E">
        <w:rPr>
          <w:rFonts w:ascii="Book Antiqua" w:eastAsia="Book Antiqua" w:hAnsi="Book Antiqua" w:cs="Book Antiqua"/>
          <w:color w:val="000000"/>
        </w:rPr>
        <w:t xml:space="preserve">conditions. The surgical field in the proximal part of the left femur was treated with Betadine antiseptic solution, after which the skin was incised from the lateral approach along the anterior femoral region above the greater trochanter. </w:t>
      </w:r>
      <w:r w:rsidR="00F51340" w:rsidRPr="00F25B0E">
        <w:rPr>
          <w:rFonts w:ascii="Book Antiqua" w:eastAsia="Book Antiqua" w:hAnsi="Book Antiqua" w:cs="Book Antiqua"/>
          <w:color w:val="000000"/>
        </w:rPr>
        <w:t xml:space="preserve">The </w:t>
      </w:r>
      <w:r w:rsidR="006677B3">
        <w:rPr>
          <w:rFonts w:ascii="Book Antiqua" w:eastAsia="Book Antiqua" w:hAnsi="Book Antiqua" w:cs="Book Antiqua"/>
          <w:color w:val="000000"/>
        </w:rPr>
        <w:t>musculus</w:t>
      </w:r>
      <w:r w:rsidRPr="00CB2DF9">
        <w:rPr>
          <w:rFonts w:ascii="Book Antiqua" w:eastAsia="Book Antiqua" w:hAnsi="Book Antiqua" w:cs="Book Antiqua"/>
          <w:color w:val="000000"/>
        </w:rPr>
        <w:t xml:space="preserve"> tensor fasciae latae</w:t>
      </w:r>
      <w:r w:rsidRPr="00F25B0E">
        <w:rPr>
          <w:rFonts w:ascii="Book Antiqua" w:eastAsia="Book Antiqua" w:hAnsi="Book Antiqua" w:cs="Book Antiqua"/>
          <w:color w:val="000000"/>
        </w:rPr>
        <w:t xml:space="preserve"> and </w:t>
      </w:r>
      <w:r w:rsidRPr="00CB2DF9">
        <w:rPr>
          <w:rFonts w:ascii="Book Antiqua" w:eastAsia="Book Antiqua" w:hAnsi="Book Antiqua" w:cs="Book Antiqua"/>
          <w:color w:val="000000"/>
        </w:rPr>
        <w:t>musculus quadriceps femoris</w:t>
      </w:r>
      <w:r w:rsidRPr="00F25B0E">
        <w:rPr>
          <w:rFonts w:ascii="Book Antiqua" w:eastAsia="Book Antiqua" w:hAnsi="Book Antiqua" w:cs="Book Antiqua"/>
          <w:color w:val="000000"/>
        </w:rPr>
        <w:t xml:space="preserve"> were bluntly dissected and sequentially fixed. The greater trochanteric area was perforated by a burr to create a bone defect to match the biomaterial samples (diameter of 5 mm, length of 6 mm). After that</w:t>
      </w:r>
      <w:r w:rsidR="00F5134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the wound was sutured in layers</w:t>
      </w:r>
      <w:r w:rsidR="00F51340" w:rsidRPr="00F25B0E">
        <w:rPr>
          <w:rFonts w:ascii="Book Antiqua" w:eastAsia="Book Antiqua" w:hAnsi="Book Antiqua" w:cs="Book Antiqua"/>
          <w:color w:val="000000"/>
        </w:rPr>
        <w:t xml:space="preserve"> and</w:t>
      </w:r>
      <w:r w:rsidRPr="00F25B0E">
        <w:rPr>
          <w:rFonts w:ascii="Book Antiqua" w:eastAsia="Book Antiqua" w:hAnsi="Book Antiqua" w:cs="Book Antiqua"/>
          <w:color w:val="000000"/>
        </w:rPr>
        <w:t xml:space="preserve"> the skin was treated with Betadine antiseptic. As postoperative pharmacological therapy</w:t>
      </w:r>
      <w:r w:rsidR="00F5134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benzylpenicillin, dihydrostreptomycin (combikel 40) and meloxicam were administered.</w:t>
      </w:r>
    </w:p>
    <w:p w14:paraId="5822DAB8" w14:textId="77777777" w:rsidR="00FB125B" w:rsidRPr="00F25B0E" w:rsidRDefault="00FB125B">
      <w:pPr>
        <w:adjustRightInd w:val="0"/>
        <w:snapToGrid w:val="0"/>
        <w:spacing w:line="360" w:lineRule="auto"/>
        <w:jc w:val="both"/>
        <w:rPr>
          <w:rFonts w:ascii="Book Antiqua" w:hAnsi="Book Antiqua"/>
        </w:rPr>
      </w:pPr>
    </w:p>
    <w:p w14:paraId="4C2DBAC8" w14:textId="2468C669"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X-ray radiograph</w:t>
      </w:r>
      <w:r w:rsidR="00F51340" w:rsidRPr="00F25B0E">
        <w:rPr>
          <w:rFonts w:ascii="Book Antiqua" w:eastAsia="Book Antiqua" w:hAnsi="Book Antiqua" w:cs="Book Antiqua"/>
          <w:b/>
          <w:bCs/>
          <w:i/>
          <w:iCs/>
          <w:color w:val="000000"/>
        </w:rPr>
        <w:t>ic evaluation</w:t>
      </w:r>
    </w:p>
    <w:p w14:paraId="116360C1" w14:textId="0560D52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Radiographic evaluation was performed three times</w:t>
      </w:r>
      <w:r w:rsidR="005771AD">
        <w:rPr>
          <w:rFonts w:ascii="Book Antiqua" w:eastAsia="Book Antiqua" w:hAnsi="Book Antiqua" w:cs="Book Antiqua"/>
          <w:color w:val="000000"/>
        </w:rPr>
        <w:t>.</w:t>
      </w:r>
      <w:r w:rsidRPr="00F25B0E">
        <w:rPr>
          <w:rFonts w:ascii="Book Antiqua" w:eastAsia="Book Antiqua" w:hAnsi="Book Antiqua" w:cs="Book Antiqua"/>
          <w:color w:val="000000"/>
        </w:rPr>
        <w:t xml:space="preserve"> Three months after ovariectomy to control osteoporosis development </w:t>
      </w:r>
      <w:r w:rsidR="00632BA1" w:rsidRPr="00F25B0E">
        <w:rPr>
          <w:rFonts w:ascii="Book Antiqua" w:eastAsia="Book Antiqua" w:hAnsi="Book Antiqua" w:cs="Book Antiqua"/>
          <w:color w:val="000000"/>
        </w:rPr>
        <w:t xml:space="preserve">in </w:t>
      </w:r>
      <w:r w:rsidR="005771AD">
        <w:rPr>
          <w:rFonts w:ascii="Book Antiqua" w:eastAsia="Book Antiqua" w:hAnsi="Book Antiqua" w:cs="Book Antiqua"/>
          <w:color w:val="000000"/>
        </w:rPr>
        <w:t>5</w:t>
      </w:r>
      <w:r w:rsidRPr="00F25B0E">
        <w:rPr>
          <w:rFonts w:ascii="Book Antiqua" w:eastAsia="Book Antiqua" w:hAnsi="Book Antiqua" w:cs="Book Antiqua"/>
          <w:color w:val="000000"/>
        </w:rPr>
        <w:t xml:space="preserve"> OVX and 5 non-OVX</w:t>
      </w:r>
      <w:r w:rsidR="00632BA1" w:rsidRPr="00F25B0E">
        <w:rPr>
          <w:rFonts w:ascii="Book Antiqua" w:eastAsia="Book Antiqua" w:hAnsi="Book Antiqua" w:cs="Book Antiqua"/>
          <w:color w:val="000000"/>
        </w:rPr>
        <w:t xml:space="preserve"> rabbits,</w:t>
      </w:r>
      <w:r w:rsidRPr="00F25B0E">
        <w:rPr>
          <w:rFonts w:ascii="Book Antiqua" w:eastAsia="Book Antiqua" w:hAnsi="Book Antiqua" w:cs="Book Antiqua"/>
          <w:color w:val="000000"/>
        </w:rPr>
        <w:t xml:space="preserve"> immediately after implantation to evaluate the position of implants</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at 8 wk after implantation for all 20 OVX and 20 non-OVX</w:t>
      </w:r>
      <w:r w:rsidR="00632BA1" w:rsidRPr="00F25B0E">
        <w:rPr>
          <w:rFonts w:ascii="Book Antiqua" w:eastAsia="Book Antiqua" w:hAnsi="Book Antiqua" w:cs="Book Antiqua"/>
          <w:color w:val="000000"/>
        </w:rPr>
        <w:t xml:space="preserve"> rabbits</w:t>
      </w:r>
      <w:r w:rsidRPr="00F25B0E">
        <w:rPr>
          <w:rFonts w:ascii="Book Antiqua" w:eastAsia="Book Antiqua" w:hAnsi="Book Antiqua" w:cs="Book Antiqua"/>
          <w:color w:val="000000"/>
        </w:rPr>
        <w:t xml:space="preserve"> (Figure 2). In all cases</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 digital X-ray diagnostic system </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OPERA T90cex</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General Medical Merate S.p.A., Italy) was used.</w:t>
      </w:r>
    </w:p>
    <w:p w14:paraId="4A10890E" w14:textId="77777777" w:rsidR="00FB125B" w:rsidRPr="00F25B0E" w:rsidRDefault="00FB125B">
      <w:pPr>
        <w:adjustRightInd w:val="0"/>
        <w:snapToGrid w:val="0"/>
        <w:spacing w:line="360" w:lineRule="auto"/>
        <w:jc w:val="both"/>
        <w:rPr>
          <w:rFonts w:ascii="Book Antiqua" w:hAnsi="Book Antiqua"/>
        </w:rPr>
      </w:pPr>
    </w:p>
    <w:p w14:paraId="7766BFF0" w14:textId="6EDDE692"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The analysis of cortical thickness index</w:t>
      </w:r>
    </w:p>
    <w:p w14:paraId="3BDE62EF" w14:textId="6DB2E4C2" w:rsidR="00FB125B" w:rsidRPr="00F25B0E" w:rsidRDefault="00632BA1">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w:t>
      </w:r>
      <w:r w:rsidR="00AD38B7" w:rsidRPr="00F25B0E">
        <w:rPr>
          <w:rFonts w:ascii="Book Antiqua" w:eastAsia="Book Antiqua" w:hAnsi="Book Antiqua" w:cs="Book Antiqua"/>
          <w:color w:val="000000"/>
        </w:rPr>
        <w:t xml:space="preserve">adiographs of the femur was </w:t>
      </w:r>
      <w:r w:rsidRPr="00F25B0E">
        <w:rPr>
          <w:rFonts w:ascii="Book Antiqua" w:eastAsia="Book Antiqua" w:hAnsi="Book Antiqua" w:cs="Book Antiqua"/>
          <w:color w:val="000000"/>
        </w:rPr>
        <w:t xml:space="preserve">obtained </w:t>
      </w:r>
      <w:r w:rsidR="00AD38B7" w:rsidRPr="00F25B0E">
        <w:rPr>
          <w:rFonts w:ascii="Book Antiqua" w:eastAsia="Book Antiqua" w:hAnsi="Book Antiqua" w:cs="Book Antiqua"/>
          <w:color w:val="000000"/>
        </w:rPr>
        <w:t>in 10 rabbits (5 OVX and 5 non-OVX) before implantation of materials to verify the osteoporosis model (Figure 3)</w:t>
      </w:r>
      <w:r w:rsidRPr="00F25B0E">
        <w:rPr>
          <w:rFonts w:ascii="Book Antiqua" w:eastAsia="Book Antiqua" w:hAnsi="Book Antiqua" w:cs="Book Antiqua"/>
          <w:color w:val="000000"/>
          <w:vertAlign w:val="superscript"/>
        </w:rPr>
        <w:t>[14]</w:t>
      </w:r>
      <w:r w:rsidR="00AD38B7" w:rsidRPr="00F25B0E">
        <w:rPr>
          <w:rFonts w:ascii="Book Antiqua" w:eastAsia="Book Antiqua" w:hAnsi="Book Antiqua" w:cs="Book Antiqua"/>
          <w:color w:val="000000"/>
        </w:rPr>
        <w:t>. This method is used as an alternative to measure</w:t>
      </w:r>
      <w:r w:rsidRPr="00F25B0E">
        <w:rPr>
          <w:rFonts w:ascii="Book Antiqua" w:eastAsia="Book Antiqua" w:hAnsi="Book Antiqua" w:cs="Book Antiqua"/>
          <w:color w:val="000000"/>
        </w:rPr>
        <w:t>ment of</w:t>
      </w:r>
      <w:r w:rsidR="00AD38B7" w:rsidRPr="00F25B0E">
        <w:rPr>
          <w:rFonts w:ascii="Book Antiqua" w:eastAsia="Book Antiqua" w:hAnsi="Book Antiqua" w:cs="Book Antiqua"/>
          <w:color w:val="000000"/>
        </w:rPr>
        <w:t xml:space="preserve"> bone mineral density in diagnosis of osteoporosis</w:t>
      </w:r>
      <w:r w:rsidR="00AD38B7" w:rsidRPr="00F25B0E">
        <w:rPr>
          <w:rFonts w:ascii="Book Antiqua" w:eastAsia="Book Antiqua" w:hAnsi="Book Antiqua" w:cs="Book Antiqua"/>
          <w:color w:val="000000"/>
          <w:vertAlign w:val="superscript"/>
        </w:rPr>
        <w:t>[14]</w:t>
      </w:r>
      <w:r w:rsidR="00AD38B7" w:rsidRPr="00F25B0E">
        <w:rPr>
          <w:rFonts w:ascii="Book Antiqua" w:eastAsia="Book Antiqua" w:hAnsi="Book Antiqua" w:cs="Book Antiqua"/>
          <w:color w:val="000000"/>
        </w:rPr>
        <w:t>. Using “X-Rays” software (Kharkiv National University of Radioelectronics, Ukraine)</w:t>
      </w:r>
      <w:r w:rsidR="00AD38B7" w:rsidRPr="00F25B0E">
        <w:rPr>
          <w:rFonts w:ascii="Book Antiqua" w:eastAsia="Book Antiqua" w:hAnsi="Book Antiqua" w:cs="Book Antiqua"/>
          <w:color w:val="000000"/>
          <w:vertAlign w:val="superscript"/>
        </w:rPr>
        <w:t>[15,16]</w:t>
      </w:r>
      <w:r w:rsidR="00AD38B7" w:rsidRPr="00F25B0E">
        <w:rPr>
          <w:rFonts w:ascii="Book Antiqua" w:eastAsia="Book Antiqua" w:hAnsi="Book Antiqua" w:cs="Book Antiqua"/>
          <w:color w:val="000000"/>
        </w:rPr>
        <w:t xml:space="preserve">, the </w:t>
      </w:r>
      <w:r w:rsidRPr="00F25B0E">
        <w:rPr>
          <w:rFonts w:ascii="Book Antiqua" w:eastAsia="Book Antiqua" w:hAnsi="Book Antiqua" w:cs="Book Antiqua"/>
          <w:color w:val="000000"/>
        </w:rPr>
        <w:t>c</w:t>
      </w:r>
      <w:r w:rsidR="00AD38B7" w:rsidRPr="00F25B0E">
        <w:rPr>
          <w:rFonts w:ascii="Book Antiqua" w:eastAsia="Book Antiqua" w:hAnsi="Book Antiqua" w:cs="Book Antiqua"/>
          <w:color w:val="000000"/>
        </w:rPr>
        <w:t xml:space="preserve">ortical </w:t>
      </w:r>
      <w:r w:rsidRPr="00F25B0E">
        <w:rPr>
          <w:rFonts w:ascii="Book Antiqua" w:eastAsia="Book Antiqua" w:hAnsi="Book Antiqua" w:cs="Book Antiqua"/>
          <w:color w:val="000000"/>
        </w:rPr>
        <w:t>t</w:t>
      </w:r>
      <w:r w:rsidR="00AD38B7" w:rsidRPr="00F25B0E">
        <w:rPr>
          <w:rFonts w:ascii="Book Antiqua" w:eastAsia="Book Antiqua" w:hAnsi="Book Antiqua" w:cs="Book Antiqua"/>
          <w:color w:val="000000"/>
        </w:rPr>
        <w:t xml:space="preserve">hickness </w:t>
      </w:r>
      <w:r w:rsidRPr="00F25B0E">
        <w:rPr>
          <w:rFonts w:ascii="Book Antiqua" w:eastAsia="Book Antiqua" w:hAnsi="Book Antiqua" w:cs="Book Antiqua"/>
          <w:color w:val="000000"/>
        </w:rPr>
        <w:t>i</w:t>
      </w:r>
      <w:r w:rsidR="00AD38B7" w:rsidRPr="00F25B0E">
        <w:rPr>
          <w:rFonts w:ascii="Book Antiqua" w:eastAsia="Book Antiqua" w:hAnsi="Book Antiqua" w:cs="Book Antiqua"/>
          <w:color w:val="000000"/>
        </w:rPr>
        <w:t xml:space="preserve">ndex was automatically calculated </w:t>
      </w:r>
      <w:r w:rsidR="00AD38B7" w:rsidRPr="00F25B0E">
        <w:rPr>
          <w:rFonts w:ascii="Book Antiqua" w:eastAsia="Book Antiqua" w:hAnsi="Book Antiqua" w:cs="Book Antiqua"/>
          <w:color w:val="000000"/>
        </w:rPr>
        <w:lastRenderedPageBreak/>
        <w:t>bas</w:t>
      </w:r>
      <w:r w:rsidRPr="00F25B0E">
        <w:rPr>
          <w:rFonts w:ascii="Book Antiqua" w:eastAsia="Book Antiqua" w:hAnsi="Book Antiqua" w:cs="Book Antiqua"/>
          <w:color w:val="000000"/>
        </w:rPr>
        <w:t>ed</w:t>
      </w:r>
      <w:r w:rsidR="00AD38B7" w:rsidRPr="00F25B0E">
        <w:rPr>
          <w:rFonts w:ascii="Book Antiqua" w:eastAsia="Book Antiqua" w:hAnsi="Book Antiqua" w:cs="Book Antiqua"/>
          <w:color w:val="000000"/>
        </w:rPr>
        <w:t xml:space="preserve"> on the measurement of the thickness of the cortical layer of the femur under the lesser trochanter in 10 rabbits. This software allows perform</w:t>
      </w:r>
      <w:r w:rsidRPr="00F25B0E">
        <w:rPr>
          <w:rFonts w:ascii="Book Antiqua" w:eastAsia="Book Antiqua" w:hAnsi="Book Antiqua" w:cs="Book Antiqua"/>
          <w:color w:val="000000"/>
        </w:rPr>
        <w:t>ing</w:t>
      </w:r>
      <w:r w:rsidR="00AD38B7" w:rsidRPr="00F25B0E">
        <w:rPr>
          <w:rFonts w:ascii="Book Antiqua" w:eastAsia="Book Antiqua" w:hAnsi="Book Antiqua" w:cs="Book Antiqua"/>
          <w:color w:val="000000"/>
        </w:rPr>
        <w:t xml:space="preserve"> a coordinate-brightness analysis of digital radiographs</w:t>
      </w:r>
      <w:r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and provide</w:t>
      </w:r>
      <w:r w:rsidRPr="00F25B0E">
        <w:rPr>
          <w:rFonts w:ascii="Book Antiqua" w:eastAsia="Book Antiqua" w:hAnsi="Book Antiqua" w:cs="Book Antiqua"/>
          <w:color w:val="000000"/>
        </w:rPr>
        <w:t>s</w:t>
      </w:r>
      <w:r w:rsidR="00AD38B7" w:rsidRPr="00F25B0E">
        <w:rPr>
          <w:rFonts w:ascii="Book Antiqua" w:eastAsia="Book Antiqua" w:hAnsi="Book Antiqua" w:cs="Book Antiqua"/>
          <w:color w:val="000000"/>
        </w:rPr>
        <w:t xml:space="preserve"> spatial sampling with </w:t>
      </w:r>
      <w:r w:rsidRPr="00F25B0E">
        <w:rPr>
          <w:rFonts w:ascii="Book Antiqua" w:eastAsia="Book Antiqua" w:hAnsi="Book Antiqua" w:cs="Book Antiqua"/>
          <w:color w:val="000000"/>
        </w:rPr>
        <w:t xml:space="preserve">0.042 mm </w:t>
      </w:r>
      <w:r w:rsidR="00AD38B7" w:rsidRPr="00F25B0E">
        <w:rPr>
          <w:rFonts w:ascii="Book Antiqua" w:eastAsia="Book Antiqua" w:hAnsi="Book Antiqua" w:cs="Book Antiqua"/>
          <w:color w:val="000000"/>
        </w:rPr>
        <w:t>element</w:t>
      </w:r>
      <w:r w:rsidRPr="00F25B0E">
        <w:rPr>
          <w:rFonts w:ascii="Book Antiqua" w:eastAsia="Book Antiqua" w:hAnsi="Book Antiqua" w:cs="Book Antiqua"/>
          <w:color w:val="000000"/>
        </w:rPr>
        <w:t>s</w:t>
      </w:r>
      <w:r w:rsidR="00AD38B7" w:rsidRPr="00F25B0E">
        <w:rPr>
          <w:rFonts w:ascii="Book Antiqua" w:eastAsia="Book Antiqua" w:hAnsi="Book Antiqua" w:cs="Book Antiqua"/>
          <w:color w:val="000000"/>
        </w:rPr>
        <w:t xml:space="preserve"> and brightness quantization </w:t>
      </w:r>
      <w:r w:rsidR="001B47FD" w:rsidRPr="00F25B0E">
        <w:rPr>
          <w:rFonts w:ascii="Book Antiqua" w:eastAsia="Book Antiqua" w:hAnsi="Book Antiqua" w:cs="Book Antiqua"/>
          <w:color w:val="000000"/>
        </w:rPr>
        <w:t xml:space="preserve">with a </w:t>
      </w:r>
      <w:r w:rsidR="00AD38B7" w:rsidRPr="00F25B0E">
        <w:rPr>
          <w:rFonts w:ascii="Book Antiqua" w:eastAsia="Book Antiqua" w:hAnsi="Book Antiqua" w:cs="Book Antiqua"/>
          <w:color w:val="000000"/>
        </w:rPr>
        <w:t xml:space="preserve">grayscale </w:t>
      </w:r>
      <w:r w:rsidR="001B47FD" w:rsidRPr="00F25B0E">
        <w:rPr>
          <w:rFonts w:ascii="Book Antiqua" w:eastAsia="Book Antiqua" w:hAnsi="Book Antiqua" w:cs="Book Antiqua"/>
          <w:color w:val="000000"/>
        </w:rPr>
        <w:t>of 256 intensities</w:t>
      </w:r>
      <w:r w:rsidR="00AD38B7" w:rsidRPr="00F25B0E">
        <w:rPr>
          <w:rFonts w:ascii="Book Antiqua" w:eastAsia="Book Antiqua" w:hAnsi="Book Antiqua" w:cs="Book Antiqua"/>
          <w:color w:val="000000"/>
        </w:rPr>
        <w:t>. The analysis was performed by two independent experts.</w:t>
      </w:r>
    </w:p>
    <w:p w14:paraId="5D863155" w14:textId="77777777" w:rsidR="00FB125B" w:rsidRPr="00F25B0E" w:rsidRDefault="00FB125B">
      <w:pPr>
        <w:adjustRightInd w:val="0"/>
        <w:snapToGrid w:val="0"/>
        <w:spacing w:line="360" w:lineRule="auto"/>
        <w:jc w:val="both"/>
        <w:rPr>
          <w:rFonts w:ascii="Book Antiqua" w:hAnsi="Book Antiqua"/>
        </w:rPr>
      </w:pPr>
    </w:p>
    <w:p w14:paraId="001F60CD"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Biomechanical testing</w:t>
      </w:r>
    </w:p>
    <w:p w14:paraId="4ED1408F" w14:textId="528E346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The implanted materials were rigidly fixed to the testing jig and breakout force testing was performed to detach the implant from the bone tissue (Figure 1 B). We applied a breakout force to the implant at a constant speed of 1 mm per minute</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which was gradually increased </w:t>
      </w:r>
      <w:r w:rsidR="001B47FD" w:rsidRPr="00F25B0E">
        <w:rPr>
          <w:rFonts w:ascii="Book Antiqua" w:eastAsia="Book Antiqua" w:hAnsi="Book Antiqua" w:cs="Book Antiqua"/>
          <w:color w:val="000000"/>
        </w:rPr>
        <w:t xml:space="preserve">until </w:t>
      </w:r>
      <w:r w:rsidRPr="00F25B0E">
        <w:rPr>
          <w:rFonts w:ascii="Book Antiqua" w:eastAsia="Book Antiqua" w:hAnsi="Book Antiqua" w:cs="Book Antiqua"/>
          <w:color w:val="000000"/>
        </w:rPr>
        <w:t xml:space="preserve">complete detachment of the implant from the bone. The maximum value of the breakout force (N) was recorded with a strain gauge (SBA-100L) and </w:t>
      </w:r>
      <w:r w:rsidR="001B47FD" w:rsidRPr="00F25B0E">
        <w:rPr>
          <w:rFonts w:ascii="Book Antiqua" w:eastAsia="Book Antiqua" w:hAnsi="Book Antiqua" w:cs="Book Antiqua"/>
          <w:color w:val="000000"/>
        </w:rPr>
        <w:t xml:space="preserve">a </w:t>
      </w:r>
      <w:r w:rsidRPr="00F25B0E">
        <w:rPr>
          <w:rFonts w:ascii="Book Antiqua" w:eastAsia="Book Antiqua" w:hAnsi="Book Antiqua" w:cs="Book Antiqua"/>
          <w:color w:val="000000"/>
        </w:rPr>
        <w:t xml:space="preserve">CAS type CI-2001A </w:t>
      </w:r>
      <w:r w:rsidR="001B47FD" w:rsidRPr="00F25B0E">
        <w:rPr>
          <w:rFonts w:ascii="Book Antiqua" w:eastAsia="Book Antiqua" w:hAnsi="Book Antiqua" w:cs="Book Antiqua"/>
          <w:color w:val="000000"/>
        </w:rPr>
        <w:t xml:space="preserve">registration device </w:t>
      </w:r>
      <w:r w:rsidRPr="00F25B0E">
        <w:rPr>
          <w:rFonts w:ascii="Book Antiqua" w:eastAsia="Book Antiqua" w:hAnsi="Book Antiqua" w:cs="Book Antiqua"/>
          <w:color w:val="000000"/>
        </w:rPr>
        <w:t>(South Korea) (Figure 4).</w:t>
      </w:r>
    </w:p>
    <w:p w14:paraId="4CA68E9C" w14:textId="77777777" w:rsidR="00FB125B" w:rsidRPr="00F25B0E" w:rsidRDefault="00FB125B">
      <w:pPr>
        <w:adjustRightInd w:val="0"/>
        <w:snapToGrid w:val="0"/>
        <w:spacing w:line="360" w:lineRule="auto"/>
        <w:jc w:val="both"/>
        <w:rPr>
          <w:rFonts w:ascii="Book Antiqua" w:hAnsi="Book Antiqua"/>
        </w:rPr>
      </w:pPr>
    </w:p>
    <w:p w14:paraId="2CB9C4A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Statistical analysis</w:t>
      </w:r>
    </w:p>
    <w:p w14:paraId="6DBAD7B1" w14:textId="1949120D"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Data were </w:t>
      </w:r>
      <w:r w:rsidR="001B47FD" w:rsidRPr="00F25B0E">
        <w:rPr>
          <w:rFonts w:ascii="Book Antiqua" w:eastAsia="Book Antiqua" w:hAnsi="Book Antiqua" w:cs="Book Antiqua"/>
          <w:color w:val="000000"/>
        </w:rPr>
        <w:t xml:space="preserve">reported </w:t>
      </w:r>
      <w:r w:rsidRPr="00F25B0E">
        <w:rPr>
          <w:rFonts w:ascii="Book Antiqua" w:eastAsia="Book Antiqua" w:hAnsi="Book Antiqua" w:cs="Book Antiqua"/>
          <w:color w:val="000000"/>
        </w:rPr>
        <w:t>as mean</w:t>
      </w:r>
      <w:r w:rsidR="001B47FD"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 </w:t>
      </w:r>
      <w:r w:rsidR="001B47FD" w:rsidRPr="00F25B0E">
        <w:rPr>
          <w:rFonts w:ascii="Book Antiqua" w:eastAsia="Book Antiqua" w:hAnsi="Book Antiqua" w:cs="Book Antiqua"/>
          <w:color w:val="000000"/>
        </w:rPr>
        <w:t>standard deviation</w:t>
      </w:r>
      <w:r w:rsidRPr="00F25B0E">
        <w:rPr>
          <w:rFonts w:ascii="Book Antiqua" w:eastAsia="Book Antiqua" w:hAnsi="Book Antiqua" w:cs="Book Antiqua"/>
          <w:color w:val="000000"/>
        </w:rPr>
        <w:t xml:space="preserve">. Unpaired </w:t>
      </w:r>
      <w:r w:rsidRPr="00F25B0E">
        <w:rPr>
          <w:rFonts w:ascii="Book Antiqua" w:eastAsia="Book Antiqua" w:hAnsi="Book Antiqua" w:cs="Book Antiqua"/>
          <w:i/>
          <w:iCs/>
          <w:color w:val="000000"/>
        </w:rPr>
        <w:t>t</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test</w:t>
      </w:r>
      <w:r w:rsidR="001B47FD"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1B47FD"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used to evaluate the effect of osteoporosis on the stability of the same type of implant. </w:t>
      </w:r>
      <w:r w:rsidR="001B47FD" w:rsidRPr="00F25B0E">
        <w:rPr>
          <w:rFonts w:ascii="Book Antiqua" w:eastAsia="Book Antiqua" w:hAnsi="Book Antiqua" w:cs="Book Antiqua"/>
          <w:color w:val="000000"/>
        </w:rPr>
        <w:t>U</w:t>
      </w:r>
      <w:r w:rsidRPr="00F25B0E">
        <w:rPr>
          <w:rFonts w:ascii="Book Antiqua" w:eastAsia="Book Antiqua" w:hAnsi="Book Antiqua" w:cs="Book Antiqua"/>
          <w:color w:val="000000"/>
        </w:rPr>
        <w:t xml:space="preserve">npaired </w:t>
      </w:r>
      <w:r w:rsidRPr="00F25B0E">
        <w:rPr>
          <w:rFonts w:ascii="Book Antiqua" w:eastAsia="Book Antiqua" w:hAnsi="Book Antiqua" w:cs="Book Antiqua"/>
          <w:i/>
          <w:iCs/>
          <w:color w:val="000000"/>
        </w:rPr>
        <w:t>t</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test</w:t>
      </w:r>
      <w:r w:rsidR="001B47FD"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1B47FD"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performed for verification of osteoporosis model. To analyze the effect of the type of material on the strength of osseointegration in the non-OVX and OVX groups</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one-way </w:t>
      </w:r>
      <w:r w:rsidR="001B47FD" w:rsidRPr="00F25B0E">
        <w:rPr>
          <w:rFonts w:ascii="Book Antiqua" w:eastAsia="Book Antiqua" w:hAnsi="Book Antiqua" w:cs="Book Antiqua"/>
          <w:color w:val="000000"/>
        </w:rPr>
        <w:t xml:space="preserve">analysis of variance </w:t>
      </w:r>
      <w:r w:rsidR="00FA4F4C" w:rsidRPr="00F25B0E">
        <w:rPr>
          <w:rFonts w:ascii="Book Antiqua" w:eastAsia="Book Antiqua" w:hAnsi="Book Antiqua" w:cs="Book Antiqua"/>
          <w:color w:val="000000"/>
        </w:rPr>
        <w:t xml:space="preserve">(ANOVA) </w:t>
      </w:r>
      <w:r w:rsidR="001B47FD" w:rsidRPr="00F25B0E">
        <w:rPr>
          <w:rFonts w:ascii="Book Antiqua" w:eastAsia="Book Antiqua" w:hAnsi="Book Antiqua" w:cs="Book Antiqua"/>
          <w:color w:val="000000"/>
        </w:rPr>
        <w:t xml:space="preserve">was carried out </w:t>
      </w:r>
      <w:r w:rsidRPr="00F25B0E">
        <w:rPr>
          <w:rFonts w:ascii="Book Antiqua" w:eastAsia="Book Antiqua" w:hAnsi="Book Antiqua" w:cs="Book Antiqua"/>
          <w:color w:val="000000"/>
        </w:rPr>
        <w:t xml:space="preserve">with </w:t>
      </w:r>
      <w:r w:rsidR="001B47FD"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post-hoc Duncan test. </w:t>
      </w:r>
      <w:r w:rsidR="001B47FD"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critical level of significance was accepted as 0.05. The analysis was performed </w:t>
      </w:r>
      <w:r w:rsidR="001B47FD" w:rsidRPr="00F25B0E">
        <w:rPr>
          <w:rFonts w:ascii="Book Antiqua" w:eastAsia="Book Antiqua" w:hAnsi="Book Antiqua" w:cs="Book Antiqua"/>
          <w:color w:val="000000"/>
        </w:rPr>
        <w:t>with</w:t>
      </w:r>
      <w:r w:rsidRPr="00F25B0E">
        <w:rPr>
          <w:rFonts w:ascii="Book Antiqua" w:eastAsia="Book Antiqua" w:hAnsi="Book Antiqua" w:cs="Book Antiqua"/>
          <w:color w:val="000000"/>
        </w:rPr>
        <w:t xml:space="preserve"> IBM SPSS Statistics 19.0 software. The statistical methods were reviewed by Olena Karpinska and Michael Karpinsky </w:t>
      </w:r>
      <w:r w:rsidR="00EA4AB8" w:rsidRPr="00F25B0E">
        <w:rPr>
          <w:rFonts w:ascii="Book Antiqua" w:eastAsia="Book Antiqua" w:hAnsi="Book Antiqua" w:cs="Book Antiqua"/>
          <w:color w:val="000000"/>
        </w:rPr>
        <w:t xml:space="preserve">of the </w:t>
      </w:r>
      <w:r w:rsidRPr="00F25B0E">
        <w:rPr>
          <w:rFonts w:ascii="Book Antiqua" w:eastAsia="Book Antiqua" w:hAnsi="Book Antiqua" w:cs="Book Antiqua"/>
          <w:color w:val="000000"/>
        </w:rPr>
        <w:t>Department of Biomechanics</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Sytenko Institute of Spine and Joint Pathology</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National Academy of Medical Sciences of Ukraine.</w:t>
      </w:r>
    </w:p>
    <w:p w14:paraId="33F1A001" w14:textId="77777777" w:rsidR="00FB125B" w:rsidRPr="00F25B0E" w:rsidRDefault="00FB125B">
      <w:pPr>
        <w:adjustRightInd w:val="0"/>
        <w:snapToGrid w:val="0"/>
        <w:spacing w:line="360" w:lineRule="auto"/>
        <w:jc w:val="both"/>
        <w:rPr>
          <w:rFonts w:ascii="Book Antiqua" w:hAnsi="Book Antiqua"/>
        </w:rPr>
      </w:pPr>
    </w:p>
    <w:p w14:paraId="5794263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RESULTS</w:t>
      </w:r>
    </w:p>
    <w:p w14:paraId="698A3237" w14:textId="2346415C"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Analysis of cortical thickness index</w:t>
      </w:r>
    </w:p>
    <w:p w14:paraId="75B550F4" w14:textId="5B2F5A6E"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In the OVX group (</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5), the </w:t>
      </w:r>
      <w:r w:rsidR="00EA4AB8" w:rsidRPr="00F25B0E">
        <w:rPr>
          <w:rFonts w:ascii="Book Antiqua" w:eastAsia="Book Antiqua" w:hAnsi="Book Antiqua" w:cs="Book Antiqua"/>
          <w:color w:val="000000"/>
        </w:rPr>
        <w:t>c</w:t>
      </w:r>
      <w:r w:rsidRPr="00F25B0E">
        <w:rPr>
          <w:rFonts w:ascii="Book Antiqua" w:eastAsia="Book Antiqua" w:hAnsi="Book Antiqua" w:cs="Book Antiqua"/>
          <w:color w:val="000000"/>
        </w:rPr>
        <w:t xml:space="preserve">ortical </w:t>
      </w:r>
      <w:r w:rsidR="00EA4AB8" w:rsidRPr="00F25B0E">
        <w:rPr>
          <w:rFonts w:ascii="Book Antiqua" w:eastAsia="Book Antiqua" w:hAnsi="Book Antiqua" w:cs="Book Antiqua"/>
          <w:color w:val="000000"/>
        </w:rPr>
        <w:t>t</w:t>
      </w:r>
      <w:r w:rsidRPr="00F25B0E">
        <w:rPr>
          <w:rFonts w:ascii="Book Antiqua" w:eastAsia="Book Antiqua" w:hAnsi="Book Antiqua" w:cs="Book Antiqua"/>
          <w:color w:val="000000"/>
        </w:rPr>
        <w:t xml:space="preserve">hickness </w:t>
      </w:r>
      <w:r w:rsidR="00EA4AB8" w:rsidRPr="00F25B0E">
        <w:rPr>
          <w:rFonts w:ascii="Book Antiqua" w:eastAsia="Book Antiqua" w:hAnsi="Book Antiqua" w:cs="Book Antiqua"/>
          <w:color w:val="000000"/>
        </w:rPr>
        <w:t>i</w:t>
      </w:r>
      <w:r w:rsidRPr="00F25B0E">
        <w:rPr>
          <w:rFonts w:ascii="Book Antiqua" w:eastAsia="Book Antiqua" w:hAnsi="Book Antiqua" w:cs="Book Antiqua"/>
          <w:color w:val="000000"/>
        </w:rPr>
        <w:t>ndex of the proximal femur was 1.4 times lower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w:t>
      </w:r>
      <w:r w:rsidR="00EA4AB8" w:rsidRPr="00F25B0E">
        <w:rPr>
          <w:rFonts w:ascii="Book Antiqua" w:eastAsia="Book Antiqua" w:hAnsi="Book Antiqua" w:cs="Book Antiqua"/>
          <w:color w:val="000000"/>
        </w:rPr>
        <w:t>than that in</w:t>
      </w:r>
      <w:r w:rsidRPr="00F25B0E">
        <w:rPr>
          <w:rFonts w:ascii="Book Antiqua" w:eastAsia="Book Antiqua" w:hAnsi="Book Antiqua" w:cs="Book Antiqua"/>
          <w:color w:val="000000"/>
        </w:rPr>
        <w:t xml:space="preserve"> the non-OVX group (</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5) (0.482 ± 0.033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0.660 ± 0.007</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unpaired </w:t>
      </w:r>
      <w:r w:rsidRPr="00F25B0E">
        <w:rPr>
          <w:rFonts w:ascii="Book Antiqua" w:eastAsia="Book Antiqua" w:hAnsi="Book Antiqua" w:cs="Book Antiqua"/>
          <w:i/>
          <w:iCs/>
          <w:color w:val="000000"/>
        </w:rPr>
        <w:t>t</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test).</w:t>
      </w:r>
    </w:p>
    <w:p w14:paraId="47EF8CD6" w14:textId="77777777" w:rsidR="00FB125B" w:rsidRPr="00F25B0E" w:rsidRDefault="00FB125B">
      <w:pPr>
        <w:adjustRightInd w:val="0"/>
        <w:snapToGrid w:val="0"/>
        <w:spacing w:line="360" w:lineRule="auto"/>
        <w:jc w:val="both"/>
        <w:rPr>
          <w:rFonts w:ascii="Book Antiqua" w:hAnsi="Book Antiqua"/>
        </w:rPr>
      </w:pPr>
    </w:p>
    <w:p w14:paraId="4BFAD2A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Biomechanical testing</w:t>
      </w:r>
    </w:p>
    <w:p w14:paraId="34F479AE" w14:textId="677D5C8D" w:rsidR="00FB125B" w:rsidRPr="00F25B0E" w:rsidRDefault="00AD38B7" w:rsidP="00CB2DF9">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Data </w:t>
      </w:r>
      <w:r w:rsidR="00EA4AB8"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obtained on the maximum breakout force that led to detachment of the implant from the femoral bone </w:t>
      </w:r>
      <w:r w:rsidR="00EA4AB8"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both normal and osteoporotic bone tissue. The strength of the implant attachment in the femoral bone tissue was significantly higher in non-OVX group (</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20), compared </w:t>
      </w:r>
      <w:r w:rsidR="00EA4AB8"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OVX </w:t>
      </w:r>
      <w:r w:rsidR="00EA4AB8" w:rsidRPr="00F25B0E">
        <w:rPr>
          <w:rFonts w:ascii="Book Antiqua" w:eastAsia="Book Antiqua" w:hAnsi="Book Antiqua" w:cs="Book Antiqua"/>
          <w:color w:val="000000"/>
        </w:rPr>
        <w:t xml:space="preserve">group </w:t>
      </w:r>
      <w:r w:rsidRPr="00F25B0E">
        <w:rPr>
          <w:rFonts w:ascii="Book Antiqua" w:eastAsia="Book Antiqua" w:hAnsi="Book Antiqua" w:cs="Book Antiqua"/>
          <w:color w:val="000000"/>
        </w:rPr>
        <w:t>(</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20) for all materials (Figure 5, unpaired </w:t>
      </w:r>
      <w:r w:rsidR="00EA4AB8" w:rsidRPr="00F25B0E">
        <w:rPr>
          <w:rFonts w:ascii="Book Antiqua" w:eastAsia="Book Antiqua" w:hAnsi="Book Antiqua" w:cs="Book Antiqua"/>
          <w:i/>
          <w:iCs/>
          <w:color w:val="000000"/>
        </w:rPr>
        <w:t>t</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test). When evaluating each implanted material</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EA4AB8" w:rsidRPr="00F25B0E">
        <w:rPr>
          <w:rFonts w:ascii="Book Antiqua" w:eastAsia="Book Antiqua" w:hAnsi="Book Antiqua" w:cs="Book Antiqua"/>
          <w:color w:val="000000"/>
        </w:rPr>
        <w:t>the</w:t>
      </w:r>
      <w:r w:rsidRPr="00F25B0E">
        <w:rPr>
          <w:rFonts w:ascii="Book Antiqua" w:eastAsia="Book Antiqua" w:hAnsi="Book Antiqua" w:cs="Book Antiqua"/>
          <w:color w:val="000000"/>
        </w:rPr>
        <w:t xml:space="preserve"> breakout force was higher in the non-OVX group by a factor of 1.1 </w:t>
      </w:r>
      <w:r w:rsidR="00EA4AB8" w:rsidRPr="00F25B0E">
        <w:rPr>
          <w:rFonts w:ascii="Book Antiqua" w:eastAsia="Book Antiqua" w:hAnsi="Book Antiqua" w:cs="Book Antiqua"/>
          <w:color w:val="000000"/>
        </w:rPr>
        <w:t>for TANTALUM (</w:t>
      </w:r>
      <w:r w:rsidRPr="00F25B0E">
        <w:rPr>
          <w:rFonts w:ascii="Book Antiqua" w:eastAsia="Book Antiqua" w:hAnsi="Book Antiqua" w:cs="Book Antiqua"/>
          <w:color w:val="000000"/>
        </w:rPr>
        <w:t>194.7 ± 6.1</w:t>
      </w:r>
      <w:r w:rsidR="00EA4AB8"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181.3 ± 2.8;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0.005</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CONCELOC </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190.8 ± 3.6</w:t>
      </w:r>
      <w:r w:rsidR="00EA4AB8" w:rsidRPr="00F25B0E">
        <w:rPr>
          <w:rFonts w:ascii="Book Antiqua" w:eastAsia="Book Antiqua" w:hAnsi="Book Antiqua" w:cs="Book Antiqua"/>
          <w:color w:val="000000"/>
        </w:rPr>
        <w:t xml:space="preserve"> N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180.9 ± 6.6</w:t>
      </w:r>
      <w:r w:rsidR="00EA4AB8"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0.019</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EA4AB8" w:rsidRPr="00F25B0E">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TTM </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186.3 ± 1.8</w:t>
      </w:r>
      <w:r w:rsidR="00EA4AB8"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172.0 ± 11.0</w:t>
      </w:r>
      <w:r w:rsidR="00EA4AB8"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0.043</w:t>
      </w:r>
      <w:r w:rsidR="006677B3">
        <w:rPr>
          <w:rFonts w:ascii="Book Antiqua" w:eastAsia="Book Antiqua" w:hAnsi="Book Antiqua" w:cs="Book Antiqua"/>
          <w:color w:val="000000"/>
        </w:rPr>
        <w:t>)</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by a factor of 1.3 </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104.9 ± 7.0</w:t>
      </w:r>
      <w:r w:rsidR="00EA4AB8" w:rsidRPr="00F25B0E">
        <w:rPr>
          <w:rFonts w:ascii="Book Antiqua" w:eastAsia="Book Antiqua" w:hAnsi="Book Antiqua" w:cs="Book Antiqua"/>
          <w:color w:val="000000"/>
        </w:rPr>
        <w:t xml:space="preserve"> N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78.9 ± 4.5</w:t>
      </w:r>
      <w:r w:rsidR="00EA4AB8"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r w:rsidR="00EA4AB8" w:rsidRPr="00F25B0E">
        <w:rPr>
          <w:rFonts w:ascii="Book Antiqua" w:eastAsia="Book Antiqua" w:hAnsi="Book Antiqua" w:cs="Book Antiqua"/>
          <w:color w:val="000000"/>
        </w:rPr>
        <w:t>) for ATLANT</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compared </w:t>
      </w:r>
      <w:r w:rsidR="00EA4AB8"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the OVX group.</w:t>
      </w:r>
    </w:p>
    <w:p w14:paraId="24C33DFE" w14:textId="61F42C86"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TANTALUM implants had the highest breakout strength in osteoporotic bone tissue at a load of 181.3 ± 2.8</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and in normal bone tissue at a load of 194.7 ± 6.1</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(Figure 5). The lowest breakout strength was shown in ATLANT implants</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FA4F4C" w:rsidRPr="00F25B0E">
        <w:rPr>
          <w:rFonts w:ascii="Book Antiqua" w:eastAsia="Book Antiqua" w:hAnsi="Book Antiqua" w:cs="Book Antiqua"/>
          <w:color w:val="000000"/>
        </w:rPr>
        <w:t xml:space="preserve">Failure </w:t>
      </w:r>
      <w:r w:rsidRPr="00F25B0E">
        <w:rPr>
          <w:rFonts w:ascii="Book Antiqua" w:eastAsia="Book Antiqua" w:hAnsi="Book Antiqua" w:cs="Book Antiqua"/>
          <w:color w:val="000000"/>
        </w:rPr>
        <w:t>was observed in normal bone tissue at a load of 104.9 N</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7.0</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and in osteoporotic bone at 78.9 ± 4.5</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In the OVX group (osteoporotic bone)</w:t>
      </w:r>
      <w:r w:rsidR="00FA4F4C" w:rsidRPr="00F25B0E">
        <w:rPr>
          <w:rFonts w:ascii="Book Antiqua" w:eastAsia="Book Antiqua" w:hAnsi="Book Antiqua" w:cs="Book Antiqua"/>
          <w:color w:val="000000"/>
        </w:rPr>
        <w:t>, the</w:t>
      </w:r>
      <w:r w:rsidRPr="00F25B0E">
        <w:rPr>
          <w:rFonts w:ascii="Book Antiqua" w:eastAsia="Book Antiqua" w:hAnsi="Book Antiqua" w:cs="Book Antiqua"/>
          <w:color w:val="000000"/>
        </w:rPr>
        <w:t xml:space="preserve"> breakout force</w:t>
      </w:r>
      <w:r w:rsidR="00FA4F4C"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of TANTALUM, TTM</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CONCELOC did not differ significantly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0.066</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Figure 5, one-way ANOVA). On the contrary, </w:t>
      </w:r>
      <w:r w:rsidR="00FA4F4C"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breakout force </w:t>
      </w:r>
      <w:r w:rsidR="00FA4F4C" w:rsidRPr="00F25B0E">
        <w:rPr>
          <w:rFonts w:ascii="Book Antiqua" w:eastAsia="Book Antiqua" w:hAnsi="Book Antiqua" w:cs="Book Antiqua"/>
          <w:color w:val="000000"/>
        </w:rPr>
        <w:t xml:space="preserve">of ATLANT implants </w:t>
      </w:r>
      <w:r w:rsidRPr="00F25B0E">
        <w:rPr>
          <w:rFonts w:ascii="Book Antiqua" w:eastAsia="Book Antiqua" w:hAnsi="Book Antiqua" w:cs="Book Antiqua"/>
          <w:color w:val="000000"/>
        </w:rPr>
        <w:t xml:space="preserve">was lower by a factor of 2.3 compared </w:t>
      </w:r>
      <w:r w:rsidR="0088020E" w:rsidRPr="00F25B0E">
        <w:rPr>
          <w:rFonts w:ascii="Book Antiqua" w:eastAsia="Book Antiqua" w:hAnsi="Book Antiqua" w:cs="Book Antiqua"/>
          <w:color w:val="000000"/>
        </w:rPr>
        <w:t>with</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TANTALUM and CONCELOC</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and by </w:t>
      </w:r>
      <w:r w:rsidR="00FA4F4C" w:rsidRPr="00F25B0E">
        <w:rPr>
          <w:rFonts w:ascii="Book Antiqua" w:eastAsia="Book Antiqua" w:hAnsi="Book Antiqua" w:cs="Book Antiqua"/>
          <w:color w:val="000000"/>
        </w:rPr>
        <w:t xml:space="preserve">a factor of </w:t>
      </w:r>
      <w:r w:rsidRPr="00F25B0E">
        <w:rPr>
          <w:rFonts w:ascii="Book Antiqua" w:eastAsia="Book Antiqua" w:hAnsi="Book Antiqua" w:cs="Book Antiqua"/>
          <w:color w:val="000000"/>
        </w:rPr>
        <w:t xml:space="preserve">2.2 compared </w:t>
      </w:r>
      <w:r w:rsidR="00FA4F4C"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TTM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w:t>
      </w:r>
      <w:r w:rsidR="00FA4F4C" w:rsidRPr="00F25B0E">
        <w:rPr>
          <w:rFonts w:ascii="Book Antiqua" w:eastAsia="Book Antiqua" w:hAnsi="Book Antiqua" w:cs="Book Antiqua"/>
          <w:color w:val="000000"/>
        </w:rPr>
        <w:t>Results i</w:t>
      </w:r>
      <w:r w:rsidRPr="00F25B0E">
        <w:rPr>
          <w:rFonts w:ascii="Book Antiqua" w:eastAsia="Book Antiqua" w:hAnsi="Book Antiqua" w:cs="Book Antiqua"/>
          <w:color w:val="000000"/>
        </w:rPr>
        <w:t xml:space="preserve">n the non-OVX group (normal bone) </w:t>
      </w:r>
      <w:r w:rsidR="00FA4F4C" w:rsidRPr="00F25B0E">
        <w:rPr>
          <w:rFonts w:ascii="Book Antiqua" w:eastAsia="Book Antiqua" w:hAnsi="Book Antiqua" w:cs="Book Antiqua"/>
          <w:color w:val="000000"/>
        </w:rPr>
        <w:t>were</w:t>
      </w:r>
      <w:r w:rsidRPr="00F25B0E">
        <w:rPr>
          <w:rFonts w:ascii="Book Antiqua" w:eastAsia="Book Antiqua" w:hAnsi="Book Antiqua" w:cs="Book Antiqua"/>
          <w:color w:val="000000"/>
        </w:rPr>
        <w:t xml:space="preserve"> similar to </w:t>
      </w:r>
      <w:r w:rsidR="00FA4F4C" w:rsidRPr="00F25B0E">
        <w:rPr>
          <w:rFonts w:ascii="Book Antiqua" w:eastAsia="Book Antiqua" w:hAnsi="Book Antiqua" w:cs="Book Antiqua"/>
          <w:color w:val="000000"/>
        </w:rPr>
        <w:t xml:space="preserve">those in </w:t>
      </w:r>
      <w:r w:rsidRPr="00F25B0E">
        <w:rPr>
          <w:rFonts w:ascii="Book Antiqua" w:eastAsia="Book Antiqua" w:hAnsi="Book Antiqua" w:cs="Book Antiqua"/>
          <w:color w:val="000000"/>
        </w:rPr>
        <w:t>the OVX group with minor differences (Figure 5, one-way ANOVA). The breakout force for TANTALUM and CONCELOC implants did not differ significantly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0.239). ATLANT implants were significantly different from all other implants</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with a reduction in fixation strength of approximately 1.9 times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p>
    <w:p w14:paraId="712DFCDB" w14:textId="77777777" w:rsidR="00FB125B" w:rsidRPr="00F25B0E" w:rsidRDefault="00FB125B">
      <w:pPr>
        <w:adjustRightInd w:val="0"/>
        <w:snapToGrid w:val="0"/>
        <w:spacing w:line="360" w:lineRule="auto"/>
        <w:ind w:firstLine="480"/>
        <w:jc w:val="both"/>
        <w:rPr>
          <w:rFonts w:ascii="Book Antiqua" w:hAnsi="Book Antiqua"/>
        </w:rPr>
      </w:pPr>
    </w:p>
    <w:p w14:paraId="0C4A579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DISCUSSION</w:t>
      </w:r>
    </w:p>
    <w:p w14:paraId="1B101E32" w14:textId="77BB07EF"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In this biomechanical study, we examined the strength of osseointegration of three porous titanium and one porous tantalum materials. We studied the breakout strength of the implanted materials 8 wk after their implantation in the metaphysis of the greater trochanter of the femur in an </w:t>
      </w:r>
      <w:r w:rsidRPr="00CB2DF9">
        <w:rPr>
          <w:rFonts w:ascii="Book Antiqua" w:eastAsia="Book Antiqua" w:hAnsi="Book Antiqua" w:cs="Book Antiqua"/>
          <w:i/>
          <w:iCs/>
          <w:color w:val="000000"/>
        </w:rPr>
        <w:t>in</w:t>
      </w:r>
      <w:r w:rsidR="00D04F2C" w:rsidRPr="00CB2DF9">
        <w:rPr>
          <w:rFonts w:ascii="Book Antiqua" w:eastAsia="Book Antiqua" w:hAnsi="Book Antiqua" w:cs="Book Antiqua"/>
          <w:i/>
          <w:iCs/>
          <w:color w:val="000000"/>
        </w:rPr>
        <w:t xml:space="preserve"> </w:t>
      </w:r>
      <w:r w:rsidRPr="00CB2DF9">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rabbit model. Three of the studied materials in this </w:t>
      </w:r>
      <w:r w:rsidRPr="00F25B0E">
        <w:rPr>
          <w:rFonts w:ascii="Book Antiqua" w:eastAsia="Book Antiqua" w:hAnsi="Book Antiqua" w:cs="Book Antiqua"/>
          <w:color w:val="000000"/>
        </w:rPr>
        <w:lastRenderedPageBreak/>
        <w:t xml:space="preserve">study (TANTALUM, CONCELOC, TTM) are used </w:t>
      </w:r>
      <w:r w:rsidR="00FA4F4C"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the manufactur</w:t>
      </w:r>
      <w:r w:rsidR="00FA4F4C" w:rsidRPr="00F25B0E">
        <w:rPr>
          <w:rFonts w:ascii="Book Antiqua" w:eastAsia="Book Antiqua" w:hAnsi="Book Antiqua" w:cs="Book Antiqua"/>
          <w:color w:val="000000"/>
        </w:rPr>
        <w:t>e</w:t>
      </w:r>
      <w:r w:rsidRPr="00F25B0E">
        <w:rPr>
          <w:rFonts w:ascii="Book Antiqua" w:eastAsia="Book Antiqua" w:hAnsi="Book Antiqua" w:cs="Book Antiqua"/>
          <w:color w:val="000000"/>
        </w:rPr>
        <w:t xml:space="preserve"> of acetabular components for total hip replacement and are currently used in clinical practice. The fourth studied sample (ATLANT) is a new material used </w:t>
      </w:r>
      <w:r w:rsidR="00FA4F4C" w:rsidRPr="00F25B0E">
        <w:rPr>
          <w:rFonts w:ascii="Book Antiqua" w:eastAsia="Book Antiqua" w:hAnsi="Book Antiqua" w:cs="Book Antiqua"/>
          <w:color w:val="000000"/>
        </w:rPr>
        <w:t xml:space="preserve">in the manufacture of </w:t>
      </w:r>
      <w:r w:rsidRPr="00F25B0E">
        <w:rPr>
          <w:rFonts w:ascii="Book Antiqua" w:eastAsia="Book Antiqua" w:hAnsi="Book Antiqua" w:cs="Book Antiqua"/>
          <w:color w:val="000000"/>
        </w:rPr>
        <w:t>acetabular cup</w:t>
      </w:r>
      <w:r w:rsidR="00FA4F4C"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A unique aspect of our study is the comparison of the breakout strength </w:t>
      </w:r>
      <w:r w:rsidR="00FA4F4C" w:rsidRPr="00F25B0E">
        <w:rPr>
          <w:rFonts w:ascii="Book Antiqua" w:eastAsia="Book Antiqua" w:hAnsi="Book Antiqua" w:cs="Book Antiqua"/>
          <w:color w:val="000000"/>
        </w:rPr>
        <w:t xml:space="preserve">among </w:t>
      </w:r>
      <w:r w:rsidRPr="00F25B0E">
        <w:rPr>
          <w:rFonts w:ascii="Book Antiqua" w:eastAsia="Book Antiqua" w:hAnsi="Book Antiqua" w:cs="Book Antiqua"/>
          <w:color w:val="000000"/>
        </w:rPr>
        <w:t xml:space="preserve">the </w:t>
      </w:r>
      <w:r w:rsidR="00FA4F4C" w:rsidRPr="00F25B0E">
        <w:rPr>
          <w:rFonts w:ascii="Book Antiqua" w:eastAsia="Book Antiqua" w:hAnsi="Book Antiqua" w:cs="Book Antiqua"/>
          <w:color w:val="000000"/>
        </w:rPr>
        <w:t xml:space="preserve">four </w:t>
      </w:r>
      <w:r w:rsidRPr="00F25B0E">
        <w:rPr>
          <w:rFonts w:ascii="Book Antiqua" w:eastAsia="Book Antiqua" w:hAnsi="Book Antiqua" w:cs="Book Antiqua"/>
          <w:color w:val="000000"/>
        </w:rPr>
        <w:t xml:space="preserve">studied materials in both normal and osteoporotic bone </w:t>
      </w:r>
      <w:r w:rsidR="00FA4F4C" w:rsidRPr="00F25B0E">
        <w:rPr>
          <w:rFonts w:ascii="Book Antiqua" w:eastAsia="Book Antiqua" w:hAnsi="Book Antiqua" w:cs="Book Antiqua"/>
          <w:color w:val="000000"/>
        </w:rPr>
        <w:t xml:space="preserve">in a rabbit </w:t>
      </w:r>
      <w:r w:rsidRPr="00F25B0E">
        <w:rPr>
          <w:rFonts w:ascii="Book Antiqua" w:eastAsia="Book Antiqua" w:hAnsi="Book Antiqua" w:cs="Book Antiqua"/>
          <w:color w:val="000000"/>
        </w:rPr>
        <w:t>ovariectomy model.</w:t>
      </w:r>
    </w:p>
    <w:p w14:paraId="786F21AB" w14:textId="34F02536"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The importance of bone quality for osseointegration of porous implants has been shown both in cadaver studies</w:t>
      </w:r>
      <w:r w:rsidRPr="00F25B0E">
        <w:rPr>
          <w:rFonts w:ascii="Book Antiqua" w:eastAsia="Book Antiqua" w:hAnsi="Book Antiqua" w:cs="Book Antiqua"/>
          <w:color w:val="000000"/>
          <w:vertAlign w:val="superscript"/>
        </w:rPr>
        <w:t>[17,18]</w:t>
      </w:r>
      <w:r w:rsidRPr="00F25B0E">
        <w:rPr>
          <w:rFonts w:ascii="Book Antiqua" w:eastAsia="Book Antiqua" w:hAnsi="Book Antiqua" w:cs="Book Antiqua"/>
          <w:color w:val="000000"/>
        </w:rPr>
        <w:t xml:space="preserve"> and in an animal model</w:t>
      </w:r>
      <w:r w:rsidRPr="00F25B0E">
        <w:rPr>
          <w:rFonts w:ascii="Book Antiqua" w:eastAsia="Book Antiqua" w:hAnsi="Book Antiqua" w:cs="Book Antiqua"/>
          <w:color w:val="000000"/>
          <w:vertAlign w:val="superscript"/>
        </w:rPr>
        <w:t>[19]</w:t>
      </w:r>
      <w:r w:rsidRPr="00F25B0E">
        <w:rPr>
          <w:rFonts w:ascii="Book Antiqua" w:eastAsia="Book Antiqua" w:hAnsi="Book Antiqua" w:cs="Book Antiqua"/>
          <w:color w:val="000000"/>
        </w:rPr>
        <w:t xml:space="preserve">. Beckmann </w:t>
      </w:r>
      <w:r w:rsidRPr="00F25B0E">
        <w:rPr>
          <w:rFonts w:ascii="Book Antiqua" w:eastAsia="Book Antiqua" w:hAnsi="Book Antiqua" w:cs="Book Antiqua"/>
          <w:i/>
          <w:iCs/>
          <w:color w:val="000000"/>
        </w:rPr>
        <w:t>et al</w:t>
      </w:r>
      <w:r w:rsidRPr="00F25B0E">
        <w:rPr>
          <w:rFonts w:ascii="Book Antiqua" w:eastAsia="Book Antiqua" w:hAnsi="Book Antiqua" w:cs="Book Antiqua"/>
          <w:color w:val="000000"/>
          <w:vertAlign w:val="superscript"/>
        </w:rPr>
        <w:t xml:space="preserve">[18] </w:t>
      </w:r>
      <w:r w:rsidRPr="00F25B0E">
        <w:rPr>
          <w:rFonts w:ascii="Book Antiqua" w:eastAsia="Book Antiqua" w:hAnsi="Book Antiqua" w:cs="Book Antiqua"/>
          <w:color w:val="000000"/>
        </w:rPr>
        <w:t>reported the results of a biomechanical study (multi-axial testing machine) that examined the mobility of an acetabular titanium cup with a porous surface in 10 cadaveric pelvises</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011DF0" w:rsidRPr="00F25B0E">
        <w:rPr>
          <w:rFonts w:ascii="Book Antiqua" w:eastAsia="Book Antiqua" w:hAnsi="Book Antiqua" w:cs="Book Antiqua"/>
          <w:color w:val="000000"/>
        </w:rPr>
        <w:t>T</w:t>
      </w:r>
      <w:r w:rsidRPr="00F25B0E">
        <w:rPr>
          <w:rFonts w:ascii="Book Antiqua" w:eastAsia="Book Antiqua" w:hAnsi="Book Antiqua" w:cs="Book Antiqua"/>
          <w:color w:val="000000"/>
        </w:rPr>
        <w:t xml:space="preserve">hey found an inverse relationship between the bone mineral density (BMD) of the femoral neck and the mobility of the acetabular cup. Similar data </w:t>
      </w:r>
      <w:r w:rsidR="00011DF0"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obtained </w:t>
      </w:r>
      <w:r w:rsidR="00011DF0" w:rsidRPr="00F25B0E">
        <w:rPr>
          <w:rFonts w:ascii="Book Antiqua" w:eastAsia="Book Antiqua" w:hAnsi="Book Antiqua" w:cs="Book Antiqua"/>
          <w:color w:val="000000"/>
        </w:rPr>
        <w:t xml:space="preserve">when </w:t>
      </w:r>
      <w:r w:rsidRPr="00F25B0E">
        <w:rPr>
          <w:rFonts w:ascii="Book Antiqua" w:eastAsia="Book Antiqua" w:hAnsi="Book Antiqua" w:cs="Book Antiqua"/>
          <w:color w:val="000000"/>
        </w:rPr>
        <w:t>using an additional acetabular porous augment</w:t>
      </w:r>
      <w:r w:rsidRPr="00F25B0E">
        <w:rPr>
          <w:rFonts w:ascii="Book Antiqua" w:eastAsia="Book Antiqua" w:hAnsi="Book Antiqua" w:cs="Book Antiqua"/>
          <w:color w:val="000000"/>
          <w:vertAlign w:val="superscript"/>
        </w:rPr>
        <w:t>[18]</w:t>
      </w:r>
      <w:r w:rsidRPr="00F25B0E">
        <w:rPr>
          <w:rFonts w:ascii="Book Antiqua" w:eastAsia="Book Antiqua" w:hAnsi="Book Antiqua" w:cs="Book Antiqua"/>
          <w:color w:val="000000"/>
        </w:rPr>
        <w:t>.</w:t>
      </w:r>
      <w:r w:rsidR="00011DF0"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The differences in osseointegration and breakout strength between different commercial acetabular cup materials are especially important in patients with low BMD. It has been found that patients with low BMD have an increased risk of migration of </w:t>
      </w:r>
      <w:r w:rsidR="00011DF0" w:rsidRPr="00F25B0E">
        <w:rPr>
          <w:rFonts w:ascii="Book Antiqua" w:eastAsia="Book Antiqua" w:hAnsi="Book Antiqua" w:cs="Book Antiqua"/>
          <w:color w:val="000000"/>
        </w:rPr>
        <w:t xml:space="preserve">uncemented </w:t>
      </w:r>
      <w:r w:rsidRPr="00F25B0E">
        <w:rPr>
          <w:rFonts w:ascii="Book Antiqua" w:eastAsia="Book Antiqua" w:hAnsi="Book Antiqua" w:cs="Book Antiqua"/>
          <w:color w:val="000000"/>
        </w:rPr>
        <w:t>hydroxyapatite-coated titanium alloy acetabular cups 3</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12 mo after total hip arthroplasty (THA) compared </w:t>
      </w:r>
      <w:r w:rsidR="00011DF0"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patients with normal BMD</w:t>
      </w:r>
      <w:r w:rsidRPr="00F25B0E">
        <w:rPr>
          <w:rFonts w:ascii="Book Antiqua" w:eastAsia="Book Antiqua" w:hAnsi="Book Antiqua" w:cs="Book Antiqua"/>
          <w:color w:val="000000"/>
          <w:vertAlign w:val="superscript"/>
        </w:rPr>
        <w:t>[8]</w:t>
      </w:r>
      <w:r w:rsidRPr="00F25B0E">
        <w:rPr>
          <w:rFonts w:ascii="Book Antiqua" w:eastAsia="Book Antiqua" w:hAnsi="Book Antiqua" w:cs="Book Antiqua"/>
          <w:color w:val="000000"/>
        </w:rPr>
        <w:t xml:space="preserve">. According to a clinical study of 283 patients evaluated 2 years after revision THA, it was found that porous tantalum acetabular cups </w:t>
      </w:r>
      <w:r w:rsidR="00011DF0"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more stable than porous titanium cups in patients with low BMD</w:t>
      </w:r>
      <w:r w:rsidRPr="00F25B0E">
        <w:rPr>
          <w:rFonts w:ascii="Book Antiqua" w:eastAsia="Book Antiqua" w:hAnsi="Book Antiqua" w:cs="Book Antiqua"/>
          <w:color w:val="000000"/>
          <w:vertAlign w:val="superscript"/>
        </w:rPr>
        <w:t>[20]</w:t>
      </w:r>
      <w:r w:rsidRPr="00F25B0E">
        <w:rPr>
          <w:rFonts w:ascii="Book Antiqua" w:eastAsia="Book Antiqua" w:hAnsi="Book Antiqua" w:cs="Book Antiqua"/>
          <w:color w:val="000000"/>
        </w:rPr>
        <w:t>. However, the long-term survivorship of acetabular cups in patients with osteoporosis is poorly understood in comparison with patients with normal BMD</w:t>
      </w:r>
      <w:r w:rsidRPr="00F25B0E">
        <w:rPr>
          <w:rFonts w:ascii="Book Antiqua" w:eastAsia="Book Antiqua" w:hAnsi="Book Antiqua" w:cs="Book Antiqua"/>
          <w:color w:val="000000"/>
          <w:vertAlign w:val="superscript"/>
        </w:rPr>
        <w:t>[21]</w:t>
      </w:r>
      <w:r w:rsidRPr="00F25B0E">
        <w:rPr>
          <w:rFonts w:ascii="Book Antiqua" w:eastAsia="Book Antiqua" w:hAnsi="Book Antiqua" w:cs="Book Antiqua"/>
          <w:color w:val="000000"/>
        </w:rPr>
        <w:t>.</w:t>
      </w:r>
    </w:p>
    <w:p w14:paraId="6E795FB8" w14:textId="790D58AB"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 xml:space="preserve">According to our data, the stability of implants in the OVX group was lower for all materials studied compared </w:t>
      </w:r>
      <w:r w:rsidR="00011DF0"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non-OVX group. Similar results were obtained by Fujimoto </w:t>
      </w:r>
      <w:r w:rsidRPr="00F25B0E">
        <w:rPr>
          <w:rFonts w:ascii="Book Antiqua" w:eastAsia="Book Antiqua" w:hAnsi="Book Antiqua" w:cs="Book Antiqua"/>
          <w:i/>
          <w:iCs/>
          <w:color w:val="000000"/>
        </w:rPr>
        <w:t>et al</w:t>
      </w:r>
      <w:r w:rsidRPr="00F25B0E">
        <w:rPr>
          <w:rFonts w:ascii="Book Antiqua" w:eastAsia="Book Antiqua" w:hAnsi="Book Antiqua" w:cs="Book Antiqua"/>
          <w:color w:val="000000"/>
          <w:vertAlign w:val="superscript"/>
        </w:rPr>
        <w:t>[19]</w:t>
      </w:r>
      <w:r w:rsidRPr="00F25B0E">
        <w:rPr>
          <w:rFonts w:ascii="Book Antiqua" w:eastAsia="Book Antiqua" w:hAnsi="Book Antiqua" w:cs="Book Antiqua"/>
          <w:color w:val="000000"/>
        </w:rPr>
        <w:t xml:space="preserve"> when evaluating titanium implants in an experimental model of glucocorticoid-induced osteoporosis in rabbits.</w:t>
      </w:r>
      <w:r w:rsidR="00011DF0"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Similar to our results of the non-OVX group, Duan </w:t>
      </w:r>
      <w:r w:rsidRPr="00F25B0E">
        <w:rPr>
          <w:rFonts w:ascii="Book Antiqua" w:eastAsia="Book Antiqua" w:hAnsi="Book Antiqua" w:cs="Book Antiqua"/>
          <w:i/>
          <w:iCs/>
          <w:color w:val="000000"/>
        </w:rPr>
        <w:t>et al</w:t>
      </w:r>
      <w:r w:rsidRPr="00F25B0E">
        <w:rPr>
          <w:rFonts w:ascii="Book Antiqua" w:eastAsia="Book Antiqua" w:hAnsi="Book Antiqua" w:cs="Book Antiqua"/>
          <w:color w:val="000000"/>
          <w:vertAlign w:val="superscript"/>
        </w:rPr>
        <w:t xml:space="preserve">[22] </w:t>
      </w:r>
      <w:r w:rsidRPr="00F25B0E">
        <w:rPr>
          <w:rFonts w:ascii="Book Antiqua" w:eastAsia="Book Antiqua" w:hAnsi="Book Antiqua" w:cs="Book Antiqua"/>
          <w:color w:val="000000"/>
        </w:rPr>
        <w:t>presented biomechanical testing (push-out test) of medical Ti-6Al-4V substrate</w:t>
      </w:r>
      <w:r w:rsidR="00011DF0"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with titanium and tantalum coated implants. Their results showed that </w:t>
      </w:r>
      <w:r w:rsidR="00011DF0" w:rsidRPr="00F25B0E">
        <w:rPr>
          <w:rFonts w:ascii="Book Antiqua" w:eastAsia="Book Antiqua" w:hAnsi="Book Antiqua" w:cs="Book Antiqua"/>
          <w:color w:val="000000"/>
        </w:rPr>
        <w:t xml:space="preserve">at 9 wk after implantation, </w:t>
      </w:r>
      <w:r w:rsidRPr="00F25B0E">
        <w:rPr>
          <w:rFonts w:ascii="Book Antiqua" w:eastAsia="Book Antiqua" w:hAnsi="Book Antiqua" w:cs="Book Antiqua"/>
          <w:color w:val="000000"/>
        </w:rPr>
        <w:t xml:space="preserve">the titanium and tantalum </w:t>
      </w:r>
      <w:r w:rsidR="00011DF0" w:rsidRPr="00F25B0E">
        <w:rPr>
          <w:rFonts w:ascii="Book Antiqua" w:eastAsia="Book Antiqua" w:hAnsi="Book Antiqua" w:cs="Book Antiqua"/>
          <w:color w:val="000000"/>
        </w:rPr>
        <w:t>implants</w:t>
      </w:r>
      <w:r w:rsidRPr="00F25B0E">
        <w:rPr>
          <w:rFonts w:ascii="Book Antiqua" w:eastAsia="Book Antiqua" w:hAnsi="Book Antiqua" w:cs="Book Antiqua"/>
          <w:color w:val="000000"/>
        </w:rPr>
        <w:t xml:space="preserve"> had similar push</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out strength</w:t>
      </w:r>
      <w:r w:rsidR="00011DF0"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when evaluated in New Zealand white rabbit femurs.</w:t>
      </w:r>
    </w:p>
    <w:p w14:paraId="38153BCB" w14:textId="1189D381"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lastRenderedPageBreak/>
        <w:t>Our findings of similar breakout force</w:t>
      </w:r>
      <w:r w:rsidR="00011DF0"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011DF0"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tantalum (TANTALUM) and titanium implants (TTM and CONCELOC) in the OVX group may </w:t>
      </w:r>
      <w:r w:rsidR="00011DF0" w:rsidRPr="00F25B0E">
        <w:rPr>
          <w:rFonts w:ascii="Book Antiqua" w:eastAsia="Book Antiqua" w:hAnsi="Book Antiqua" w:cs="Book Antiqua"/>
          <w:color w:val="000000"/>
        </w:rPr>
        <w:t xml:space="preserve">have occurred because </w:t>
      </w:r>
      <w:r w:rsidRPr="00F25B0E">
        <w:rPr>
          <w:rFonts w:ascii="Book Antiqua" w:eastAsia="Book Antiqua" w:hAnsi="Book Antiqua" w:cs="Book Antiqua"/>
          <w:color w:val="000000"/>
        </w:rPr>
        <w:t>the evaluated titanium implants had similar porosity</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highlighting the importance of high porosity </w:t>
      </w:r>
      <w:r w:rsidR="00A15198" w:rsidRPr="00F25B0E">
        <w:rPr>
          <w:rFonts w:ascii="Book Antiqua" w:eastAsia="Book Antiqua" w:hAnsi="Book Antiqua" w:cs="Book Antiqua"/>
          <w:color w:val="000000"/>
        </w:rPr>
        <w:t xml:space="preserve">percentage </w:t>
      </w:r>
      <w:r w:rsidRPr="00F25B0E">
        <w:rPr>
          <w:rFonts w:ascii="Book Antiqua" w:eastAsia="Book Antiqua" w:hAnsi="Book Antiqua" w:cs="Book Antiqua"/>
          <w:color w:val="000000"/>
        </w:rPr>
        <w:t>in these implants. It has been shown that high porosity improves osseointegration compared to nonporous implants</w:t>
      </w:r>
      <w:r w:rsidRPr="00F25B0E">
        <w:rPr>
          <w:rFonts w:ascii="Book Antiqua" w:eastAsia="Book Antiqua" w:hAnsi="Book Antiqua" w:cs="Book Antiqua"/>
          <w:color w:val="000000"/>
          <w:vertAlign w:val="superscript"/>
        </w:rPr>
        <w:t>[23,24]</w:t>
      </w:r>
      <w:r w:rsidRPr="00F25B0E">
        <w:rPr>
          <w:rFonts w:ascii="Book Antiqua" w:eastAsia="Book Antiqua" w:hAnsi="Book Antiqua" w:cs="Book Antiqua"/>
          <w:color w:val="000000"/>
        </w:rPr>
        <w:t>.</w:t>
      </w:r>
      <w:r w:rsidRPr="00F25B0E">
        <w:rPr>
          <w:rFonts w:ascii="Book Antiqua" w:eastAsia="Book Antiqua" w:hAnsi="Book Antiqua" w:cs="Book Antiqua"/>
          <w:color w:val="000000"/>
          <w:vertAlign w:val="superscript"/>
        </w:rPr>
        <w:t xml:space="preserve"> </w:t>
      </w:r>
      <w:r w:rsidRPr="00F25B0E">
        <w:rPr>
          <w:rFonts w:ascii="Book Antiqua" w:eastAsia="Book Antiqua" w:hAnsi="Book Antiqua" w:cs="Book Antiqua"/>
          <w:color w:val="000000"/>
        </w:rPr>
        <w:t>Pore size is also an important factor affecting osseointegration of the implant</w:t>
      </w:r>
      <w:r w:rsidRPr="00F25B0E">
        <w:rPr>
          <w:rFonts w:ascii="Book Antiqua" w:eastAsia="Book Antiqua" w:hAnsi="Book Antiqua" w:cs="Book Antiqua"/>
          <w:color w:val="000000"/>
          <w:vertAlign w:val="superscript"/>
        </w:rPr>
        <w:t>[23,24]</w:t>
      </w:r>
      <w:r w:rsidRPr="00F25B0E">
        <w:rPr>
          <w:rFonts w:ascii="Book Antiqua" w:eastAsia="Book Antiqua" w:hAnsi="Book Antiqua" w:cs="Book Antiqua"/>
          <w:color w:val="000000"/>
        </w:rPr>
        <w:t xml:space="preserve">. These variables probably explain the lower values of breakout force exhibited by the ATLANT component material compared with the other implants </w:t>
      </w:r>
      <w:r w:rsidR="00011DF0"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both OVX and non-OVX models. A recent study in rabbits that compared titanium implants manufactured by additive technology </w:t>
      </w:r>
      <w:r w:rsidR="00011DF0" w:rsidRPr="00F25B0E">
        <w:rPr>
          <w:rFonts w:ascii="Book Antiqua" w:eastAsia="Book Antiqua" w:hAnsi="Book Antiqua" w:cs="Book Antiqua"/>
          <w:color w:val="000000"/>
        </w:rPr>
        <w:t xml:space="preserve">and </w:t>
      </w:r>
      <w:r w:rsidRPr="00F25B0E">
        <w:rPr>
          <w:rFonts w:ascii="Book Antiqua" w:eastAsia="Book Antiqua" w:hAnsi="Book Antiqua" w:cs="Book Antiqua"/>
          <w:color w:val="000000"/>
        </w:rPr>
        <w:t>with three different pore sizes (500 μm, 700 μm and 900 μm)</w:t>
      </w:r>
      <w:r w:rsidRPr="00F25B0E">
        <w:rPr>
          <w:rFonts w:ascii="Book Antiqua" w:eastAsia="Book Antiqua" w:hAnsi="Book Antiqua" w:cs="Book Antiqua"/>
          <w:color w:val="000000"/>
          <w:vertAlign w:val="superscript"/>
        </w:rPr>
        <w:t>[25]</w:t>
      </w:r>
      <w:r w:rsidRPr="00F25B0E">
        <w:rPr>
          <w:rFonts w:ascii="Book Antiqua" w:eastAsia="Book Antiqua" w:hAnsi="Book Antiqua" w:cs="Book Antiqua"/>
          <w:color w:val="000000"/>
        </w:rPr>
        <w:t xml:space="preserve"> </w:t>
      </w:r>
      <w:r w:rsidR="00011DF0" w:rsidRPr="00F25B0E">
        <w:rPr>
          <w:rFonts w:ascii="Book Antiqua" w:eastAsia="Book Antiqua" w:hAnsi="Book Antiqua" w:cs="Book Antiqua"/>
          <w:color w:val="000000"/>
        </w:rPr>
        <w:t xml:space="preserve">showed </w:t>
      </w:r>
      <w:r w:rsidRPr="00F25B0E">
        <w:rPr>
          <w:rFonts w:ascii="Book Antiqua" w:eastAsia="Book Antiqua" w:hAnsi="Book Antiqua" w:cs="Book Antiqua"/>
          <w:color w:val="000000"/>
        </w:rPr>
        <w:t xml:space="preserve">that the best interfacial strength was </w:t>
      </w:r>
      <w:r w:rsidR="00011DF0" w:rsidRPr="00F25B0E">
        <w:rPr>
          <w:rFonts w:ascii="Book Antiqua" w:eastAsia="Book Antiqua" w:hAnsi="Book Antiqua" w:cs="Book Antiqua"/>
          <w:color w:val="000000"/>
        </w:rPr>
        <w:t xml:space="preserve">achieved </w:t>
      </w:r>
      <w:r w:rsidRPr="00F25B0E">
        <w:rPr>
          <w:rFonts w:ascii="Book Antiqua" w:eastAsia="Book Antiqua" w:hAnsi="Book Antiqua" w:cs="Book Antiqua"/>
          <w:color w:val="000000"/>
        </w:rPr>
        <w:t xml:space="preserve">when the pore size was 700 μm, when evaluated by </w:t>
      </w:r>
      <w:r w:rsidR="00A15198" w:rsidRPr="00F25B0E">
        <w:rPr>
          <w:rFonts w:ascii="Book Antiqua" w:eastAsia="Book Antiqua" w:hAnsi="Book Antiqua" w:cs="Book Antiqua"/>
          <w:color w:val="000000"/>
        </w:rPr>
        <w:t xml:space="preserve">a </w:t>
      </w:r>
      <w:r w:rsidRPr="00F25B0E">
        <w:rPr>
          <w:rFonts w:ascii="Book Antiqua" w:eastAsia="Book Antiqua" w:hAnsi="Book Antiqua" w:cs="Book Antiqua"/>
          <w:color w:val="000000"/>
        </w:rPr>
        <w:t>push-out test at weeks 4 and 12 after implantation. This emphasizes the importance of the material pore size for its osseointegrative qualities. This knowledge may help manufacturers design materials made with similar technology and from different alloy materials.</w:t>
      </w:r>
      <w:r w:rsidR="00A15198" w:rsidRPr="00F25B0E">
        <w:rPr>
          <w:rFonts w:ascii="Book Antiqua" w:eastAsia="Book Antiqua" w:hAnsi="Book Antiqua" w:cs="Book Antiqua"/>
          <w:color w:val="000000"/>
        </w:rPr>
        <w:t xml:space="preserve"> Nevertheless</w:t>
      </w:r>
      <w:r w:rsidRPr="00F25B0E">
        <w:rPr>
          <w:rFonts w:ascii="Book Antiqua" w:eastAsia="Book Antiqua" w:hAnsi="Book Antiqua" w:cs="Book Antiqua"/>
          <w:color w:val="000000"/>
        </w:rPr>
        <w:t xml:space="preserve">, when comparing tantalum and titanium implants with the same </w:t>
      </w:r>
      <w:r w:rsidR="00A15198" w:rsidRPr="00F25B0E">
        <w:rPr>
          <w:rFonts w:ascii="Book Antiqua" w:eastAsia="Book Antiqua" w:hAnsi="Book Antiqua" w:cs="Book Antiqua"/>
          <w:color w:val="000000"/>
        </w:rPr>
        <w:t xml:space="preserve">500 µM </w:t>
      </w:r>
      <w:r w:rsidRPr="00F25B0E">
        <w:rPr>
          <w:rFonts w:ascii="Book Antiqua" w:eastAsia="Book Antiqua" w:hAnsi="Book Antiqua" w:cs="Book Antiqua"/>
          <w:color w:val="000000"/>
        </w:rPr>
        <w:t xml:space="preserve">pore size and </w:t>
      </w:r>
      <w:r w:rsidR="00A15198" w:rsidRPr="00F25B0E">
        <w:rPr>
          <w:rFonts w:ascii="Book Antiqua" w:eastAsia="Book Antiqua" w:hAnsi="Book Antiqua" w:cs="Book Antiqua"/>
          <w:color w:val="000000"/>
        </w:rPr>
        <w:t xml:space="preserve">70% </w:t>
      </w:r>
      <w:r w:rsidRPr="00F25B0E">
        <w:rPr>
          <w:rFonts w:ascii="Book Antiqua" w:eastAsia="Book Antiqua" w:hAnsi="Book Antiqua" w:cs="Book Antiqua"/>
          <w:color w:val="000000"/>
        </w:rPr>
        <w:t>porosity in a rabbit model, the authors did not find any differences in the push-out test indices at 2 wk, 4 wk, and 8 wk after implantation</w:t>
      </w:r>
      <w:r w:rsidRPr="00F25B0E">
        <w:rPr>
          <w:rFonts w:ascii="Book Antiqua" w:eastAsia="Book Antiqua" w:hAnsi="Book Antiqua" w:cs="Book Antiqua"/>
          <w:color w:val="000000"/>
          <w:vertAlign w:val="superscript"/>
        </w:rPr>
        <w:t>[26]</w:t>
      </w:r>
      <w:r w:rsidRPr="00F25B0E">
        <w:rPr>
          <w:rFonts w:ascii="Book Antiqua" w:eastAsia="Book Antiqua" w:hAnsi="Book Antiqua" w:cs="Book Antiqua"/>
          <w:color w:val="000000"/>
        </w:rPr>
        <w:t xml:space="preserve">. The same results were reported in a similar study by Su </w:t>
      </w:r>
      <w:r w:rsidRPr="00F25B0E">
        <w:rPr>
          <w:rFonts w:ascii="Book Antiqua" w:eastAsia="Book Antiqua" w:hAnsi="Book Antiqua" w:cs="Book Antiqua"/>
          <w:i/>
          <w:iCs/>
          <w:color w:val="000000"/>
        </w:rPr>
        <w:t>et al</w:t>
      </w:r>
      <w:r w:rsidRPr="00F25B0E">
        <w:rPr>
          <w:rFonts w:ascii="Book Antiqua" w:eastAsia="Book Antiqua" w:hAnsi="Book Antiqua" w:cs="Book Antiqua"/>
          <w:color w:val="000000"/>
          <w:vertAlign w:val="superscript"/>
        </w:rPr>
        <w:t>[27]</w:t>
      </w:r>
      <w:r w:rsidRPr="00F25B0E">
        <w:rPr>
          <w:rFonts w:ascii="Book Antiqua" w:eastAsia="Book Antiqua" w:hAnsi="Book Antiqua" w:cs="Book Antiqua"/>
          <w:color w:val="000000"/>
        </w:rPr>
        <w:t xml:space="preserve"> when comparing tantalum and titanium implants with the same pore size.</w:t>
      </w:r>
    </w:p>
    <w:p w14:paraId="21A3B5B6" w14:textId="4E6BF6B0"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A limitation of our study was the use of one type of test to evaluate implant stability. However, our study is one of the few studies comparing tantalum and titanium materials in a low bone</w:t>
      </w:r>
      <w:r w:rsidR="00A1519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mass model. Thus, these results will help expand the current knowledge </w:t>
      </w:r>
      <w:r w:rsidR="00A15198"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the stability of the studied materials in cases of osteoporosis.</w:t>
      </w:r>
    </w:p>
    <w:p w14:paraId="207ECE3A" w14:textId="77777777" w:rsidR="00FB125B" w:rsidRPr="00F25B0E" w:rsidRDefault="00FB125B" w:rsidP="00A4040A">
      <w:pPr>
        <w:adjustRightInd w:val="0"/>
        <w:snapToGrid w:val="0"/>
        <w:spacing w:line="360" w:lineRule="auto"/>
        <w:jc w:val="both"/>
        <w:rPr>
          <w:rFonts w:ascii="Book Antiqua" w:hAnsi="Book Antiqua"/>
        </w:rPr>
      </w:pPr>
    </w:p>
    <w:p w14:paraId="3BBA490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CONCLUSION</w:t>
      </w:r>
    </w:p>
    <w:p w14:paraId="748FA592" w14:textId="1EE3A172"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TANTALUM, TTM and CONCELOC had equal bone-implant osseointegration in both healthy and osteoporotic bones. ATLANT showed a significant decrease in osseointegration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in both healthy and osteoporotic bone.</w:t>
      </w:r>
    </w:p>
    <w:p w14:paraId="45CFB5B2" w14:textId="77777777" w:rsidR="00FB125B" w:rsidRPr="00F25B0E" w:rsidRDefault="00FB125B">
      <w:pPr>
        <w:adjustRightInd w:val="0"/>
        <w:snapToGrid w:val="0"/>
        <w:spacing w:line="360" w:lineRule="auto"/>
        <w:jc w:val="both"/>
        <w:rPr>
          <w:rFonts w:ascii="Book Antiqua" w:hAnsi="Book Antiqua"/>
        </w:rPr>
      </w:pPr>
    </w:p>
    <w:p w14:paraId="4C7A379E"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ARTICLE HIGHLIGHTS</w:t>
      </w:r>
    </w:p>
    <w:p w14:paraId="07B48CF5"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lastRenderedPageBreak/>
        <w:t>Research background</w:t>
      </w:r>
    </w:p>
    <w:p w14:paraId="34903D5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Highly porous metal acetabular components are widely used in patients with low bone mass, but the strength of osseointegration may differ.</w:t>
      </w:r>
    </w:p>
    <w:p w14:paraId="1C8DFE23" w14:textId="77777777" w:rsidR="00FB125B" w:rsidRPr="00F25B0E" w:rsidRDefault="00FB125B">
      <w:pPr>
        <w:adjustRightInd w:val="0"/>
        <w:snapToGrid w:val="0"/>
        <w:spacing w:line="360" w:lineRule="auto"/>
        <w:jc w:val="both"/>
        <w:rPr>
          <w:rFonts w:ascii="Book Antiqua" w:hAnsi="Book Antiqua"/>
        </w:rPr>
      </w:pPr>
    </w:p>
    <w:p w14:paraId="0E5B3BC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motivation</w:t>
      </w:r>
    </w:p>
    <w:p w14:paraId="5D117B4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There is a need to perform studies to compare the strength of osseintegration of new porous metal biomaterials used in total hip arthroplasty of patients with low bone mass.</w:t>
      </w:r>
    </w:p>
    <w:p w14:paraId="02B2B31A" w14:textId="77777777" w:rsidR="00FB125B" w:rsidRPr="00F25B0E" w:rsidRDefault="00FB125B">
      <w:pPr>
        <w:adjustRightInd w:val="0"/>
        <w:snapToGrid w:val="0"/>
        <w:spacing w:line="360" w:lineRule="auto"/>
        <w:jc w:val="both"/>
        <w:rPr>
          <w:rFonts w:ascii="Book Antiqua" w:hAnsi="Book Antiqua"/>
        </w:rPr>
      </w:pPr>
    </w:p>
    <w:p w14:paraId="1C8DA6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objectives</w:t>
      </w:r>
    </w:p>
    <w:p w14:paraId="0131476C" w14:textId="1DB54E49"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objective of this study was to compare the strength of the formed bonе-metal osseointegration among four types of porous metal biomaterials in an </w:t>
      </w:r>
      <w:r w:rsidRPr="00CB2DF9">
        <w:rPr>
          <w:rFonts w:ascii="Book Antiqua" w:eastAsia="Book Antiqua" w:hAnsi="Book Antiqua" w:cs="Book Antiqua"/>
          <w:i/>
          <w:iCs/>
          <w:color w:val="000000"/>
        </w:rPr>
        <w:t>in</w:t>
      </w:r>
      <w:r w:rsidR="00D04F2C" w:rsidRPr="00CB2DF9">
        <w:rPr>
          <w:rFonts w:ascii="Book Antiqua" w:eastAsia="Book Antiqua" w:hAnsi="Book Antiqua" w:cs="Book Antiqua"/>
          <w:i/>
          <w:iCs/>
          <w:color w:val="000000"/>
        </w:rPr>
        <w:t xml:space="preserve"> </w:t>
      </w:r>
      <w:r w:rsidRPr="00CB2DF9">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animal model with both normal bone and after simulation of osteoporosis</w:t>
      </w:r>
    </w:p>
    <w:p w14:paraId="5A8D98E1" w14:textId="77777777" w:rsidR="00FB125B" w:rsidRPr="00F25B0E" w:rsidRDefault="00FB125B">
      <w:pPr>
        <w:adjustRightInd w:val="0"/>
        <w:snapToGrid w:val="0"/>
        <w:spacing w:line="360" w:lineRule="auto"/>
        <w:jc w:val="both"/>
        <w:rPr>
          <w:rFonts w:ascii="Book Antiqua" w:hAnsi="Book Antiqua"/>
        </w:rPr>
      </w:pPr>
    </w:p>
    <w:p w14:paraId="052ED4B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methods</w:t>
      </w:r>
    </w:p>
    <w:p w14:paraId="70A45CA1" w14:textId="20ECA22D"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experimental study was performed </w:t>
      </w:r>
      <w:r w:rsidR="00A15198" w:rsidRPr="00F25B0E">
        <w:rPr>
          <w:rFonts w:ascii="Book Antiqua" w:eastAsia="Book Antiqua" w:hAnsi="Book Antiqua" w:cs="Book Antiqua"/>
          <w:color w:val="000000"/>
        </w:rPr>
        <w:t xml:space="preserve">in a </w:t>
      </w:r>
      <w:r w:rsidRPr="00F25B0E">
        <w:rPr>
          <w:rFonts w:ascii="Book Antiqua" w:eastAsia="Book Antiqua" w:hAnsi="Book Antiqua" w:cs="Book Antiqua"/>
          <w:color w:val="000000"/>
        </w:rPr>
        <w:t xml:space="preserve">rabbit model </w:t>
      </w:r>
      <w:r w:rsidR="00A15198"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 xml:space="preserve">postmenopausal osteoporosis. </w:t>
      </w:r>
      <w:r w:rsidR="00A15198" w:rsidRPr="00F25B0E">
        <w:rPr>
          <w:rFonts w:ascii="Book Antiqua" w:eastAsia="Book Antiqua" w:hAnsi="Book Antiqua" w:cs="Book Antiqua"/>
          <w:color w:val="000000"/>
        </w:rPr>
        <w:t>B</w:t>
      </w:r>
      <w:r w:rsidRPr="00F25B0E">
        <w:rPr>
          <w:rFonts w:ascii="Book Antiqua" w:eastAsia="Book Antiqua" w:hAnsi="Book Antiqua" w:cs="Book Antiqua"/>
          <w:color w:val="000000"/>
        </w:rPr>
        <w:t>iomechanical evaluation of the femur was carried out by testing the implant breakout force 8 wk after implantation of four types of biomaterials</w:t>
      </w:r>
      <w:r w:rsidR="006677B3">
        <w:rPr>
          <w:rFonts w:ascii="Book Antiqua" w:eastAsia="Book Antiqua" w:hAnsi="Book Antiqua" w:cs="Book Antiqua"/>
          <w:color w:val="000000"/>
        </w:rPr>
        <w:t>:</w:t>
      </w:r>
      <w:r w:rsidRPr="00F25B0E">
        <w:rPr>
          <w:rFonts w:ascii="Book Antiqua" w:eastAsia="Book Antiqua" w:hAnsi="Book Antiqua" w:cs="Book Antiqua"/>
          <w:color w:val="000000"/>
        </w:rPr>
        <w:t xml:space="preserve"> TTM, CONCELOC, Zimmer Biomet's Trabecular Metal (TANTALUM</w:t>
      </w:r>
      <w:r w:rsidR="006677B3">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6677B3">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ATLANT. The force was gradually increased </w:t>
      </w:r>
      <w:r w:rsidR="00A15198" w:rsidRPr="00F25B0E">
        <w:rPr>
          <w:rFonts w:ascii="Book Antiqua" w:eastAsia="Book Antiqua" w:hAnsi="Book Antiqua" w:cs="Book Antiqua"/>
          <w:color w:val="000000"/>
        </w:rPr>
        <w:t>until</w:t>
      </w:r>
      <w:r w:rsidRPr="00F25B0E">
        <w:rPr>
          <w:rFonts w:ascii="Book Antiqua" w:eastAsia="Book Antiqua" w:hAnsi="Book Antiqua" w:cs="Book Antiqua"/>
          <w:color w:val="000000"/>
        </w:rPr>
        <w:t xml:space="preserve"> complete detachment of the implant from the bone.</w:t>
      </w:r>
    </w:p>
    <w:p w14:paraId="6C8283FF" w14:textId="77777777" w:rsidR="00FB125B" w:rsidRPr="00F25B0E" w:rsidRDefault="00FB125B">
      <w:pPr>
        <w:adjustRightInd w:val="0"/>
        <w:snapToGrid w:val="0"/>
        <w:spacing w:line="360" w:lineRule="auto"/>
        <w:jc w:val="both"/>
        <w:rPr>
          <w:rFonts w:ascii="Book Antiqua" w:hAnsi="Book Antiqua"/>
        </w:rPr>
      </w:pPr>
    </w:p>
    <w:p w14:paraId="660EC30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results</w:t>
      </w:r>
    </w:p>
    <w:p w14:paraId="5F5D9579" w14:textId="547FFA76"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The breakout force needed for implant detachment was significantly higher in health</w:t>
      </w:r>
      <w:r w:rsidR="00A15198" w:rsidRPr="00F25B0E">
        <w:rPr>
          <w:rFonts w:ascii="Book Antiqua" w:eastAsia="Book Antiqua" w:hAnsi="Book Antiqua" w:cs="Book Antiqua"/>
          <w:color w:val="000000"/>
        </w:rPr>
        <w:t>y</w:t>
      </w:r>
      <w:r w:rsidRPr="00F25B0E">
        <w:rPr>
          <w:rFonts w:ascii="Book Antiqua" w:eastAsia="Book Antiqua" w:hAnsi="Book Antiqua" w:cs="Book Antiqua"/>
          <w:color w:val="000000"/>
        </w:rPr>
        <w:t xml:space="preserve"> </w:t>
      </w:r>
      <w:r w:rsidR="00A15198" w:rsidRPr="00F25B0E">
        <w:rPr>
          <w:rFonts w:ascii="Book Antiqua" w:eastAsia="Book Antiqua" w:hAnsi="Book Antiqua" w:cs="Book Antiqua"/>
          <w:color w:val="000000"/>
        </w:rPr>
        <w:t>controls</w:t>
      </w:r>
      <w:r w:rsidRPr="00F25B0E">
        <w:rPr>
          <w:rFonts w:ascii="Book Antiqua" w:eastAsia="Book Antiqua" w:hAnsi="Book Antiqua" w:cs="Book Antiqua"/>
          <w:color w:val="000000"/>
        </w:rPr>
        <w:t xml:space="preserve">, compared </w:t>
      </w:r>
      <w:r w:rsidR="00A15198"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ovariectomized group for all implants. The breakout force for ATLANT in </w:t>
      </w:r>
      <w:r w:rsidR="00A15198"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ovariectomized group was lower </w:t>
      </w:r>
      <w:r w:rsidR="00A15198" w:rsidRPr="00F25B0E">
        <w:rPr>
          <w:rFonts w:ascii="Book Antiqua" w:eastAsia="Book Antiqua" w:hAnsi="Book Antiqua" w:cs="Book Antiqua"/>
          <w:color w:val="000000"/>
        </w:rPr>
        <w:t xml:space="preserve">than that observed with </w:t>
      </w:r>
      <w:r w:rsidRPr="00F25B0E">
        <w:rPr>
          <w:rFonts w:ascii="Book Antiqua" w:eastAsia="Book Antiqua" w:hAnsi="Book Antiqua" w:cs="Book Antiqua"/>
          <w:color w:val="000000"/>
        </w:rPr>
        <w:t>TANTALUM, CONCELOC</w:t>
      </w:r>
      <w:r w:rsidR="00A1519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TTM.</w:t>
      </w:r>
    </w:p>
    <w:p w14:paraId="243C354D" w14:textId="77777777" w:rsidR="00FB125B" w:rsidRPr="00F25B0E" w:rsidRDefault="00FB125B">
      <w:pPr>
        <w:adjustRightInd w:val="0"/>
        <w:snapToGrid w:val="0"/>
        <w:spacing w:line="360" w:lineRule="auto"/>
        <w:jc w:val="both"/>
        <w:rPr>
          <w:rFonts w:ascii="Book Antiqua" w:hAnsi="Book Antiqua"/>
        </w:rPr>
      </w:pPr>
    </w:p>
    <w:p w14:paraId="34D5857E"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conclusions</w:t>
      </w:r>
    </w:p>
    <w:p w14:paraId="7E6F074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TANTALUM, TTM and CONCELOC had equal bone-implant osseointegration in healthy and osteoporotic bones. ATLANT showed a significant decrease in osseointegration in healthy and osteoporotic bone.</w:t>
      </w:r>
    </w:p>
    <w:p w14:paraId="04779DE5" w14:textId="77777777" w:rsidR="00FB125B" w:rsidRPr="00F25B0E" w:rsidRDefault="00FB125B">
      <w:pPr>
        <w:adjustRightInd w:val="0"/>
        <w:snapToGrid w:val="0"/>
        <w:spacing w:line="360" w:lineRule="auto"/>
        <w:jc w:val="both"/>
        <w:rPr>
          <w:rFonts w:ascii="Book Antiqua" w:hAnsi="Book Antiqua"/>
        </w:rPr>
      </w:pPr>
    </w:p>
    <w:p w14:paraId="7BF0FEF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perspectives</w:t>
      </w:r>
    </w:p>
    <w:p w14:paraId="6772C424" w14:textId="5AB87E2E"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Further studies on the use of other biomechanical methods will expand the knowledge </w:t>
      </w:r>
      <w:r w:rsidR="00A15198"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 xml:space="preserve">the strength of osseointegration of modern porous materials, which will help in choosing optimal materials </w:t>
      </w:r>
      <w:r w:rsidR="00A15198" w:rsidRPr="00F25B0E">
        <w:rPr>
          <w:rFonts w:ascii="Book Antiqua" w:eastAsia="Book Antiqua" w:hAnsi="Book Antiqua" w:cs="Book Antiqua"/>
          <w:color w:val="000000"/>
        </w:rPr>
        <w:t xml:space="preserve">for </w:t>
      </w:r>
      <w:r w:rsidRPr="00F25B0E">
        <w:rPr>
          <w:rFonts w:ascii="Book Antiqua" w:eastAsia="Book Antiqua" w:hAnsi="Book Antiqua" w:cs="Book Antiqua"/>
          <w:color w:val="000000"/>
        </w:rPr>
        <w:t>acetabular implants when performing total hip arthroplasty in patients with osteoporosis.</w:t>
      </w:r>
    </w:p>
    <w:p w14:paraId="38DB74B7" w14:textId="77777777" w:rsidR="00FB125B" w:rsidRPr="00F25B0E" w:rsidRDefault="00FB125B">
      <w:pPr>
        <w:adjustRightInd w:val="0"/>
        <w:snapToGrid w:val="0"/>
        <w:spacing w:line="360" w:lineRule="auto"/>
        <w:jc w:val="both"/>
        <w:rPr>
          <w:rFonts w:ascii="Book Antiqua" w:hAnsi="Book Antiqua"/>
        </w:rPr>
      </w:pPr>
    </w:p>
    <w:p w14:paraId="56196FF0"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REFERENCES</w:t>
      </w:r>
    </w:p>
    <w:p w14:paraId="28E833C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 </w:t>
      </w:r>
      <w:r w:rsidRPr="00F25B0E">
        <w:rPr>
          <w:rFonts w:ascii="Book Antiqua" w:eastAsia="Book Antiqua" w:hAnsi="Book Antiqua" w:cs="Book Antiqua"/>
          <w:b/>
          <w:lang w:eastAsia="zh-CN" w:bidi="ar"/>
        </w:rPr>
        <w:t>Gruen TA</w:t>
      </w:r>
      <w:r w:rsidRPr="00F25B0E">
        <w:rPr>
          <w:rFonts w:ascii="Book Antiqua" w:eastAsia="Book Antiqua" w:hAnsi="Book Antiqua" w:cs="Book Antiqua"/>
          <w:lang w:eastAsia="zh-CN" w:bidi="ar"/>
        </w:rPr>
        <w:t xml:space="preserve">, Poggie RA, Lewallen DG, Hanssen AD, Lewis RJ, O'Keefe TJ, Stulberg SD, Sutherland CJ. Radiographic evaluation of a monoblock acetabular component: a multicenter study with 2- to 5-year results. </w:t>
      </w:r>
      <w:r w:rsidRPr="00F25B0E">
        <w:rPr>
          <w:rFonts w:ascii="Book Antiqua" w:eastAsia="Book Antiqua" w:hAnsi="Book Antiqua" w:cs="Book Antiqua"/>
          <w:i/>
          <w:lang w:eastAsia="zh-CN" w:bidi="ar"/>
        </w:rPr>
        <w:t>J Arthroplasty</w:t>
      </w:r>
      <w:r w:rsidRPr="00F25B0E">
        <w:rPr>
          <w:rFonts w:ascii="Book Antiqua" w:eastAsia="Book Antiqua" w:hAnsi="Book Antiqua" w:cs="Book Antiqua"/>
          <w:lang w:eastAsia="zh-CN" w:bidi="ar"/>
        </w:rPr>
        <w:t xml:space="preserve"> 2005; </w:t>
      </w:r>
      <w:r w:rsidRPr="00F25B0E">
        <w:rPr>
          <w:rFonts w:ascii="Book Antiqua" w:eastAsia="Book Antiqua" w:hAnsi="Book Antiqua" w:cs="Book Antiqua"/>
          <w:b/>
          <w:lang w:eastAsia="zh-CN" w:bidi="ar"/>
        </w:rPr>
        <w:t>20</w:t>
      </w:r>
      <w:r w:rsidRPr="00F25B0E">
        <w:rPr>
          <w:rFonts w:ascii="Book Antiqua" w:eastAsia="Book Antiqua" w:hAnsi="Book Antiqua" w:cs="Book Antiqua"/>
          <w:lang w:eastAsia="zh-CN" w:bidi="ar"/>
        </w:rPr>
        <w:t>: 369-378 [PMID: 15809957 DOI: 10.1016/j.arth.2004.12.049]</w:t>
      </w:r>
    </w:p>
    <w:p w14:paraId="6F16970E"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 </w:t>
      </w:r>
      <w:r w:rsidRPr="00F25B0E">
        <w:rPr>
          <w:rFonts w:ascii="Book Antiqua" w:eastAsia="Book Antiqua" w:hAnsi="Book Antiqua" w:cs="Book Antiqua"/>
          <w:b/>
          <w:lang w:eastAsia="zh-CN" w:bidi="ar"/>
        </w:rPr>
        <w:t>Yuan BJ</w:t>
      </w:r>
      <w:r w:rsidRPr="00F25B0E">
        <w:rPr>
          <w:rFonts w:ascii="Book Antiqua" w:eastAsia="Book Antiqua" w:hAnsi="Book Antiqua" w:cs="Book Antiqua"/>
          <w:lang w:eastAsia="zh-CN" w:bidi="ar"/>
        </w:rPr>
        <w:t xml:space="preserve">, Lewallen DG, Hanssen AD. Porous metal acetabular components have a low rate of mechanical failure in THA after operatively treated acetabular fracture. </w:t>
      </w:r>
      <w:r w:rsidRPr="00F25B0E">
        <w:rPr>
          <w:rFonts w:ascii="Book Antiqua" w:eastAsia="Book Antiqua" w:hAnsi="Book Antiqua" w:cs="Book Antiqua"/>
          <w:i/>
          <w:lang w:eastAsia="zh-CN" w:bidi="ar"/>
        </w:rPr>
        <w:t>Clin Orthop Relat Res</w:t>
      </w:r>
      <w:r w:rsidRPr="00F25B0E">
        <w:rPr>
          <w:rFonts w:ascii="Book Antiqua" w:eastAsia="Book Antiqua" w:hAnsi="Book Antiqua" w:cs="Book Antiqua"/>
          <w:lang w:eastAsia="zh-CN" w:bidi="ar"/>
        </w:rPr>
        <w:t xml:space="preserve"> 2015; </w:t>
      </w:r>
      <w:r w:rsidRPr="00F25B0E">
        <w:rPr>
          <w:rFonts w:ascii="Book Antiqua" w:eastAsia="Book Antiqua" w:hAnsi="Book Antiqua" w:cs="Book Antiqua"/>
          <w:b/>
          <w:lang w:eastAsia="zh-CN" w:bidi="ar"/>
        </w:rPr>
        <w:t>473</w:t>
      </w:r>
      <w:r w:rsidRPr="00F25B0E">
        <w:rPr>
          <w:rFonts w:ascii="Book Antiqua" w:eastAsia="Book Antiqua" w:hAnsi="Book Antiqua" w:cs="Book Antiqua"/>
          <w:lang w:eastAsia="zh-CN" w:bidi="ar"/>
        </w:rPr>
        <w:t>: 536-542 [PMID: 25106802 DOI: 10.1007/s11999-014-3852-y]</w:t>
      </w:r>
    </w:p>
    <w:p w14:paraId="50ADDE69" w14:textId="72CD867F"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3 </w:t>
      </w:r>
      <w:r w:rsidRPr="00F25B0E">
        <w:rPr>
          <w:rFonts w:ascii="Book Antiqua" w:eastAsia="Book Antiqua" w:hAnsi="Book Antiqua" w:cs="Book Antiqua"/>
          <w:b/>
          <w:lang w:eastAsia="zh-CN" w:bidi="ar"/>
        </w:rPr>
        <w:t xml:space="preserve">Karachalios T. </w:t>
      </w:r>
      <w:r w:rsidRPr="00F25B0E">
        <w:rPr>
          <w:rFonts w:ascii="Book Antiqua" w:eastAsia="Book Antiqua" w:hAnsi="Book Antiqua" w:cs="Book Antiqua"/>
          <w:bCs/>
          <w:lang w:eastAsia="zh-CN" w:bidi="ar"/>
        </w:rPr>
        <w:t>Bone-implant interface in orthopedic surgery: basic science to clinical applications. London: Springer-Verlag,</w:t>
      </w:r>
      <w:r w:rsidRPr="00F25B0E">
        <w:rPr>
          <w:rFonts w:ascii="Book Antiqua" w:eastAsia="Book Antiqua" w:hAnsi="Book Antiqua" w:cs="Book Antiqua"/>
          <w:lang w:eastAsia="zh-CN" w:bidi="ar"/>
        </w:rPr>
        <w:t xml:space="preserve"> 2014: 13-26 [DOI: 10.1007/978-1-4471-5409-9]</w:t>
      </w:r>
    </w:p>
    <w:p w14:paraId="393A3265"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4 </w:t>
      </w:r>
      <w:r w:rsidRPr="00F25B0E">
        <w:rPr>
          <w:rFonts w:ascii="Book Antiqua" w:eastAsia="Book Antiqua" w:hAnsi="Book Antiqua" w:cs="Book Antiqua"/>
          <w:b/>
          <w:lang w:eastAsia="zh-CN" w:bidi="ar"/>
        </w:rPr>
        <w:t>Naziri Q</w:t>
      </w:r>
      <w:r w:rsidRPr="00F25B0E">
        <w:rPr>
          <w:rFonts w:ascii="Book Antiqua" w:eastAsia="Book Antiqua" w:hAnsi="Book Antiqua" w:cs="Book Antiqua"/>
          <w:lang w:eastAsia="zh-CN" w:bidi="ar"/>
        </w:rPr>
        <w:t xml:space="preserve">, Issa K, Pivec R, Harwin SF, Delanois RE, Mont MA. Excellent results of primary THA using a highly porous titanium cup. </w:t>
      </w:r>
      <w:r w:rsidRPr="00F25B0E">
        <w:rPr>
          <w:rFonts w:ascii="Book Antiqua" w:eastAsia="Book Antiqua" w:hAnsi="Book Antiqua" w:cs="Book Antiqua"/>
          <w:i/>
          <w:lang w:eastAsia="zh-CN" w:bidi="ar"/>
        </w:rPr>
        <w:t>Orthopedics</w:t>
      </w:r>
      <w:r w:rsidRPr="00F25B0E">
        <w:rPr>
          <w:rFonts w:ascii="Book Antiqua" w:eastAsia="Book Antiqua" w:hAnsi="Book Antiqua" w:cs="Book Antiqua"/>
          <w:lang w:eastAsia="zh-CN" w:bidi="ar"/>
        </w:rPr>
        <w:t xml:space="preserve"> 2013; </w:t>
      </w:r>
      <w:r w:rsidRPr="00F25B0E">
        <w:rPr>
          <w:rFonts w:ascii="Book Antiqua" w:eastAsia="Book Antiqua" w:hAnsi="Book Antiqua" w:cs="Book Antiqua"/>
          <w:b/>
          <w:lang w:eastAsia="zh-CN" w:bidi="ar"/>
        </w:rPr>
        <w:t>36</w:t>
      </w:r>
      <w:r w:rsidRPr="00F25B0E">
        <w:rPr>
          <w:rFonts w:ascii="Book Antiqua" w:eastAsia="Book Antiqua" w:hAnsi="Book Antiqua" w:cs="Book Antiqua"/>
          <w:lang w:eastAsia="zh-CN" w:bidi="ar"/>
        </w:rPr>
        <w:t>: e390-e394 [PMID: 23590774 DOI: 10.3928/01477447-20130327-10]</w:t>
      </w:r>
    </w:p>
    <w:p w14:paraId="08AC14C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5 </w:t>
      </w:r>
      <w:r w:rsidRPr="00F25B0E">
        <w:rPr>
          <w:rFonts w:ascii="Book Antiqua" w:eastAsia="Book Antiqua" w:hAnsi="Book Antiqua" w:cs="Book Antiqua"/>
          <w:b/>
          <w:lang w:eastAsia="zh-CN" w:bidi="ar"/>
        </w:rPr>
        <w:t>Marin E,</w:t>
      </w:r>
      <w:r w:rsidRPr="00F25B0E">
        <w:rPr>
          <w:rFonts w:ascii="Book Antiqua" w:eastAsia="Book Antiqua" w:hAnsi="Book Antiqua" w:cs="Book Antiqua"/>
          <w:lang w:eastAsia="zh-CN" w:bidi="ar"/>
        </w:rPr>
        <w:t xml:space="preserve"> Fedrizzi L, Zagra L. Porous metallic structures for orthopaedic applications: a short review of materials and technologies. </w:t>
      </w:r>
      <w:r w:rsidRPr="00F25B0E">
        <w:rPr>
          <w:rFonts w:ascii="Book Antiqua" w:eastAsia="Book Antiqua" w:hAnsi="Book Antiqua" w:cs="Book Antiqua"/>
          <w:i/>
          <w:lang w:eastAsia="zh-CN" w:bidi="ar"/>
        </w:rPr>
        <w:t>Eur Orthop Traumatol</w:t>
      </w:r>
      <w:r w:rsidRPr="00F25B0E">
        <w:rPr>
          <w:rFonts w:ascii="Book Antiqua" w:eastAsia="Book Antiqua" w:hAnsi="Book Antiqua" w:cs="Book Antiqua"/>
          <w:lang w:eastAsia="zh-CN" w:bidi="ar"/>
        </w:rPr>
        <w:t xml:space="preserve"> 2010; </w:t>
      </w:r>
      <w:r w:rsidRPr="00F25B0E">
        <w:rPr>
          <w:rFonts w:ascii="Book Antiqua" w:eastAsia="Book Antiqua" w:hAnsi="Book Antiqua" w:cs="Book Antiqua"/>
          <w:b/>
          <w:lang w:eastAsia="zh-CN" w:bidi="ar"/>
        </w:rPr>
        <w:t>1</w:t>
      </w:r>
      <w:r w:rsidRPr="00F25B0E">
        <w:rPr>
          <w:rFonts w:ascii="Book Antiqua" w:eastAsia="Book Antiqua" w:hAnsi="Book Antiqua" w:cs="Book Antiqua"/>
          <w:lang w:eastAsia="zh-CN" w:bidi="ar"/>
        </w:rPr>
        <w:t>: 103109 [DOI: 10.1007/s12570-010-0020-z]</w:t>
      </w:r>
    </w:p>
    <w:p w14:paraId="4CA5BFBA"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6 </w:t>
      </w:r>
      <w:r w:rsidRPr="00F25B0E">
        <w:rPr>
          <w:rFonts w:ascii="Book Antiqua" w:eastAsia="Book Antiqua" w:hAnsi="Book Antiqua" w:cs="Book Antiqua"/>
          <w:b/>
          <w:lang w:eastAsia="zh-CN" w:bidi="ar"/>
        </w:rPr>
        <w:t>Fini M</w:t>
      </w:r>
      <w:r w:rsidRPr="00F25B0E">
        <w:rPr>
          <w:rFonts w:ascii="Book Antiqua" w:eastAsia="Book Antiqua" w:hAnsi="Book Antiqua" w:cs="Book Antiqua"/>
          <w:lang w:eastAsia="zh-CN" w:bidi="ar"/>
        </w:rPr>
        <w:t xml:space="preserve">, Giavaresi G, Torricelli P, Borsari V, Giardino R, Nicolini A, Carpi A. Osteoporosis and biomaterial osteointegration. </w:t>
      </w:r>
      <w:r w:rsidRPr="00F25B0E">
        <w:rPr>
          <w:rFonts w:ascii="Book Antiqua" w:eastAsia="Book Antiqua" w:hAnsi="Book Antiqua" w:cs="Book Antiqua"/>
          <w:i/>
          <w:lang w:eastAsia="zh-CN" w:bidi="ar"/>
        </w:rPr>
        <w:t>Biomed Pharmacother</w:t>
      </w:r>
      <w:r w:rsidRPr="00F25B0E">
        <w:rPr>
          <w:rFonts w:ascii="Book Antiqua" w:eastAsia="Book Antiqua" w:hAnsi="Book Antiqua" w:cs="Book Antiqua"/>
          <w:lang w:eastAsia="zh-CN" w:bidi="ar"/>
        </w:rPr>
        <w:t xml:space="preserve"> 2004; </w:t>
      </w:r>
      <w:r w:rsidRPr="00F25B0E">
        <w:rPr>
          <w:rFonts w:ascii="Book Antiqua" w:eastAsia="Book Antiqua" w:hAnsi="Book Antiqua" w:cs="Book Antiqua"/>
          <w:b/>
          <w:lang w:eastAsia="zh-CN" w:bidi="ar"/>
        </w:rPr>
        <w:t>58</w:t>
      </w:r>
      <w:r w:rsidRPr="00F25B0E">
        <w:rPr>
          <w:rFonts w:ascii="Book Antiqua" w:eastAsia="Book Antiqua" w:hAnsi="Book Antiqua" w:cs="Book Antiqua"/>
          <w:lang w:eastAsia="zh-CN" w:bidi="ar"/>
        </w:rPr>
        <w:t>: 487-493 [PMID: 15511604 DOI: 10.1016/j.biopha.2004.08.016]</w:t>
      </w:r>
    </w:p>
    <w:p w14:paraId="0DB92D92"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7 </w:t>
      </w:r>
      <w:r w:rsidRPr="00F25B0E">
        <w:rPr>
          <w:rFonts w:ascii="Book Antiqua" w:eastAsia="Book Antiqua" w:hAnsi="Book Antiqua" w:cs="Book Antiqua"/>
          <w:b/>
          <w:lang w:eastAsia="zh-CN" w:bidi="ar"/>
        </w:rPr>
        <w:t>Anderson KD</w:t>
      </w:r>
      <w:r w:rsidRPr="00F25B0E">
        <w:rPr>
          <w:rFonts w:ascii="Book Antiqua" w:eastAsia="Book Antiqua" w:hAnsi="Book Antiqua" w:cs="Book Antiqua"/>
          <w:lang w:eastAsia="zh-CN" w:bidi="ar"/>
        </w:rPr>
        <w:t xml:space="preserve">, Ko FC, Virdi AS, Sumner DR, Ross RD. Biomechanics of Implant Fixation in Osteoporotic Bone. </w:t>
      </w:r>
      <w:r w:rsidRPr="00F25B0E">
        <w:rPr>
          <w:rFonts w:ascii="Book Antiqua" w:eastAsia="Book Antiqua" w:hAnsi="Book Antiqua" w:cs="Book Antiqua"/>
          <w:i/>
          <w:lang w:eastAsia="zh-CN" w:bidi="ar"/>
        </w:rPr>
        <w:t>Curr Osteoporos Rep</w:t>
      </w:r>
      <w:r w:rsidRPr="00F25B0E">
        <w:rPr>
          <w:rFonts w:ascii="Book Antiqua" w:eastAsia="Book Antiqua" w:hAnsi="Book Antiqua" w:cs="Book Antiqua"/>
          <w:lang w:eastAsia="zh-CN" w:bidi="ar"/>
        </w:rPr>
        <w:t xml:space="preserve"> 2020; </w:t>
      </w:r>
      <w:r w:rsidRPr="00F25B0E">
        <w:rPr>
          <w:rFonts w:ascii="Book Antiqua" w:eastAsia="Book Antiqua" w:hAnsi="Book Antiqua" w:cs="Book Antiqua"/>
          <w:b/>
          <w:lang w:eastAsia="zh-CN" w:bidi="ar"/>
        </w:rPr>
        <w:t>18</w:t>
      </w:r>
      <w:r w:rsidRPr="00F25B0E">
        <w:rPr>
          <w:rFonts w:ascii="Book Antiqua" w:eastAsia="Book Antiqua" w:hAnsi="Book Antiqua" w:cs="Book Antiqua"/>
          <w:lang w:eastAsia="zh-CN" w:bidi="ar"/>
        </w:rPr>
        <w:t>: 577-586 [PMID: 32734511 DOI: 10.1007/s11914-020-00614-2]</w:t>
      </w:r>
    </w:p>
    <w:p w14:paraId="1415FC34"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lastRenderedPageBreak/>
        <w:t xml:space="preserve">8 </w:t>
      </w:r>
      <w:r w:rsidRPr="00F25B0E">
        <w:rPr>
          <w:rFonts w:ascii="Book Antiqua" w:eastAsia="Book Antiqua" w:hAnsi="Book Antiqua" w:cs="Book Antiqua"/>
          <w:b/>
          <w:lang w:eastAsia="zh-CN" w:bidi="ar"/>
        </w:rPr>
        <w:t>Finnilä S</w:t>
      </w:r>
      <w:r w:rsidRPr="00F25B0E">
        <w:rPr>
          <w:rFonts w:ascii="Book Antiqua" w:eastAsia="Book Antiqua" w:hAnsi="Book Antiqua" w:cs="Book Antiqua"/>
          <w:lang w:eastAsia="zh-CN" w:bidi="ar"/>
        </w:rPr>
        <w:t xml:space="preserve">, Moritz N, SvedströM E, Alm JJ, Aro HT. Increased migration of uncemented acetabular cups in female total hip arthroplasty patients with low systemic bone mineral density. A 2-year RSA and 8-year radiographic follow-up study of 34 patients. </w:t>
      </w:r>
      <w:r w:rsidRPr="00F25B0E">
        <w:rPr>
          <w:rFonts w:ascii="Book Antiqua" w:eastAsia="Book Antiqua" w:hAnsi="Book Antiqua" w:cs="Book Antiqua"/>
          <w:i/>
          <w:lang w:eastAsia="zh-CN" w:bidi="ar"/>
        </w:rPr>
        <w:t>Acta Orthop</w:t>
      </w:r>
      <w:r w:rsidRPr="00F25B0E">
        <w:rPr>
          <w:rFonts w:ascii="Book Antiqua" w:eastAsia="Book Antiqua" w:hAnsi="Book Antiqua" w:cs="Book Antiqua"/>
          <w:lang w:eastAsia="zh-CN" w:bidi="ar"/>
        </w:rPr>
        <w:t xml:space="preserve"> 2016; </w:t>
      </w:r>
      <w:r w:rsidRPr="00F25B0E">
        <w:rPr>
          <w:rFonts w:ascii="Book Antiqua" w:eastAsia="Book Antiqua" w:hAnsi="Book Antiqua" w:cs="Book Antiqua"/>
          <w:b/>
          <w:lang w:eastAsia="zh-CN" w:bidi="ar"/>
        </w:rPr>
        <w:t>87</w:t>
      </w:r>
      <w:r w:rsidRPr="00F25B0E">
        <w:rPr>
          <w:rFonts w:ascii="Book Antiqua" w:eastAsia="Book Antiqua" w:hAnsi="Book Antiqua" w:cs="Book Antiqua"/>
          <w:lang w:eastAsia="zh-CN" w:bidi="ar"/>
        </w:rPr>
        <w:t>: 48-54 [PMID: 26569616 DOI: 10.3109/17453674.2015.1115312]</w:t>
      </w:r>
    </w:p>
    <w:p w14:paraId="2A79194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9 </w:t>
      </w:r>
      <w:r w:rsidRPr="00F25B0E">
        <w:rPr>
          <w:rFonts w:ascii="Book Antiqua" w:eastAsia="Book Antiqua" w:hAnsi="Book Antiqua" w:cs="Book Antiqua"/>
          <w:b/>
          <w:lang w:eastAsia="zh-CN" w:bidi="ar"/>
        </w:rPr>
        <w:t>Bondarenko S</w:t>
      </w:r>
      <w:r w:rsidRPr="00F25B0E">
        <w:rPr>
          <w:rFonts w:ascii="Book Antiqua" w:eastAsia="Book Antiqua" w:hAnsi="Book Antiqua" w:cs="Book Antiqua"/>
          <w:lang w:eastAsia="zh-CN" w:bidi="ar"/>
        </w:rPr>
        <w:t xml:space="preserve">, Ashukina N, Maltseva V, Ivanov G, Badnaoui AA, Schwarzkopf R. Evaluation of the bone morphology around four types of porous metal implants placed in distal femur of ovariectomized rats. </w:t>
      </w:r>
      <w:r w:rsidRPr="00F25B0E">
        <w:rPr>
          <w:rFonts w:ascii="Book Antiqua" w:eastAsia="Book Antiqua" w:hAnsi="Book Antiqua" w:cs="Book Antiqua"/>
          <w:i/>
          <w:lang w:eastAsia="zh-CN" w:bidi="ar"/>
        </w:rPr>
        <w:t>J Orthop Surg Res</w:t>
      </w:r>
      <w:r w:rsidRPr="00F25B0E">
        <w:rPr>
          <w:rFonts w:ascii="Book Antiqua" w:eastAsia="Book Antiqua" w:hAnsi="Book Antiqua" w:cs="Book Antiqua"/>
          <w:lang w:eastAsia="zh-CN" w:bidi="ar"/>
        </w:rPr>
        <w:t xml:space="preserve"> 2020; </w:t>
      </w:r>
      <w:r w:rsidRPr="00F25B0E">
        <w:rPr>
          <w:rFonts w:ascii="Book Antiqua" w:eastAsia="Book Antiqua" w:hAnsi="Book Antiqua" w:cs="Book Antiqua"/>
          <w:b/>
          <w:lang w:eastAsia="zh-CN" w:bidi="ar"/>
        </w:rPr>
        <w:t>15</w:t>
      </w:r>
      <w:r w:rsidRPr="00F25B0E">
        <w:rPr>
          <w:rFonts w:ascii="Book Antiqua" w:eastAsia="Book Antiqua" w:hAnsi="Book Antiqua" w:cs="Book Antiqua"/>
          <w:lang w:eastAsia="zh-CN" w:bidi="ar"/>
        </w:rPr>
        <w:t>: 296 [PMID: 32746931 DOI: 10.1186/s13018-020-01822-3]</w:t>
      </w:r>
    </w:p>
    <w:p w14:paraId="02CB901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10 </w:t>
      </w:r>
      <w:r w:rsidRPr="00F25B0E">
        <w:rPr>
          <w:rFonts w:ascii="Book Antiqua" w:eastAsia="Book Antiqua" w:hAnsi="Book Antiqua" w:cs="Book Antiqua"/>
          <w:b/>
          <w:lang w:eastAsia="zh-CN" w:bidi="ar"/>
        </w:rPr>
        <w:t>Yang J</w:t>
      </w:r>
      <w:r w:rsidRPr="00F25B0E">
        <w:rPr>
          <w:rFonts w:ascii="Book Antiqua" w:eastAsia="Book Antiqua" w:hAnsi="Book Antiqua" w:cs="Book Antiqua"/>
          <w:lang w:eastAsia="zh-CN" w:bidi="ar"/>
        </w:rPr>
        <w:t xml:space="preserve">, Cai H, Lv J, Zhang K, Leng H, Sun C, Wang Z, Liu Z. In vivo study of a self-stabilizing artificial vertebral body fabricated by electron beam melting. </w:t>
      </w:r>
      <w:r w:rsidRPr="00F25B0E">
        <w:rPr>
          <w:rFonts w:ascii="Book Antiqua" w:eastAsia="Book Antiqua" w:hAnsi="Book Antiqua" w:cs="Book Antiqua"/>
          <w:i/>
          <w:lang w:eastAsia="zh-CN" w:bidi="ar"/>
        </w:rPr>
        <w:t>Spine (Phila Pa 1976)</w:t>
      </w:r>
      <w:r w:rsidRPr="00F25B0E">
        <w:rPr>
          <w:rFonts w:ascii="Book Antiqua" w:eastAsia="Book Antiqua" w:hAnsi="Book Antiqua" w:cs="Book Antiqua"/>
          <w:lang w:eastAsia="zh-CN" w:bidi="ar"/>
        </w:rPr>
        <w:t xml:space="preserve"> 2014; </w:t>
      </w:r>
      <w:r w:rsidRPr="00F25B0E">
        <w:rPr>
          <w:rFonts w:ascii="Book Antiqua" w:eastAsia="Book Antiqua" w:hAnsi="Book Antiqua" w:cs="Book Antiqua"/>
          <w:b/>
          <w:lang w:eastAsia="zh-CN" w:bidi="ar"/>
        </w:rPr>
        <w:t>39</w:t>
      </w:r>
      <w:r w:rsidRPr="00F25B0E">
        <w:rPr>
          <w:rFonts w:ascii="Book Antiqua" w:eastAsia="Book Antiqua" w:hAnsi="Book Antiqua" w:cs="Book Antiqua"/>
          <w:lang w:eastAsia="zh-CN" w:bidi="ar"/>
        </w:rPr>
        <w:t>: E486-E492 [PMID: 24430723 DOI: 10.1097/BRS.0000000000000211]</w:t>
      </w:r>
    </w:p>
    <w:p w14:paraId="566366EB"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highlight w:val="yellow"/>
          <w:lang w:eastAsia="zh-CN" w:bidi="ar"/>
        </w:rPr>
        <w:t xml:space="preserve">11 </w:t>
      </w:r>
      <w:r w:rsidRPr="00F25B0E">
        <w:rPr>
          <w:rFonts w:ascii="Book Antiqua" w:eastAsia="Book Antiqua" w:hAnsi="Book Antiqua" w:cs="Book Antiqua"/>
          <w:b/>
          <w:highlight w:val="yellow"/>
          <w:lang w:eastAsia="zh-CN" w:bidi="ar"/>
        </w:rPr>
        <w:t>Smith &amp; Nephew Material specifications</w:t>
      </w:r>
      <w:r w:rsidRPr="00F25B0E">
        <w:rPr>
          <w:rFonts w:ascii="Book Antiqua" w:eastAsia="Book Antiqua" w:hAnsi="Book Antiqua" w:cs="Book Antiqua"/>
          <w:highlight w:val="yellow"/>
          <w:lang w:eastAsia="zh-CN" w:bidi="ar"/>
        </w:rPr>
        <w:t xml:space="preserve">. Research report OR-14-106; 2016. [accessed February 24, 2021]. In smith-nephew.com [Internet]. Available from: </w:t>
      </w:r>
      <w:hyperlink r:id="rId8" w:history="1">
        <w:r w:rsidRPr="00F25B0E">
          <w:rPr>
            <w:rStyle w:val="Hyperlink"/>
            <w:rFonts w:ascii="Book Antiqua" w:eastAsia="Book Antiqua" w:hAnsi="Book Antiqua" w:cs="Book Antiqua"/>
            <w:color w:val="auto"/>
            <w:highlight w:val="yellow"/>
            <w:u w:val="none"/>
          </w:rPr>
          <w:t>https://www.smith-nephew.com/global/assets/pdf/products/conceloc-material-data-sheet-03955.pdf</w:t>
        </w:r>
      </w:hyperlink>
    </w:p>
    <w:p w14:paraId="3E7037CA"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12 </w:t>
      </w:r>
      <w:r w:rsidRPr="00F25B0E">
        <w:rPr>
          <w:rFonts w:ascii="Book Antiqua" w:eastAsia="Book Antiqua" w:hAnsi="Book Antiqua" w:cs="Book Antiqua"/>
          <w:b/>
          <w:lang w:eastAsia="zh-CN" w:bidi="ar"/>
        </w:rPr>
        <w:t>Beckmann NA</w:t>
      </w:r>
      <w:r w:rsidRPr="00F25B0E">
        <w:rPr>
          <w:rFonts w:ascii="Book Antiqua" w:eastAsia="Book Antiqua" w:hAnsi="Book Antiqua" w:cs="Book Antiqua"/>
          <w:lang w:eastAsia="zh-CN" w:bidi="ar"/>
        </w:rPr>
        <w:t xml:space="preserve">, Jaeger S, Janoszka MB, Klotz MC, Bruckner T, Bitsch RG. Comparison of the Primary Stability of a Porous Coated Acetabular Revision Cup With a Standard Cup. </w:t>
      </w:r>
      <w:r w:rsidRPr="00F25B0E">
        <w:rPr>
          <w:rFonts w:ascii="Book Antiqua" w:eastAsia="Book Antiqua" w:hAnsi="Book Antiqua" w:cs="Book Antiqua"/>
          <w:i/>
          <w:lang w:eastAsia="zh-CN" w:bidi="ar"/>
        </w:rPr>
        <w:t>J Arthroplasty</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33</w:t>
      </w:r>
      <w:r w:rsidRPr="00F25B0E">
        <w:rPr>
          <w:rFonts w:ascii="Book Antiqua" w:eastAsia="Book Antiqua" w:hAnsi="Book Antiqua" w:cs="Book Antiqua"/>
          <w:lang w:eastAsia="zh-CN" w:bidi="ar"/>
        </w:rPr>
        <w:t>: 580-585 [PMID: 29108792 DOI: 10.1016/j.arth.2017.09.023]</w:t>
      </w:r>
    </w:p>
    <w:p w14:paraId="721918DF"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13 </w:t>
      </w:r>
      <w:r w:rsidRPr="00F25B0E">
        <w:rPr>
          <w:rFonts w:ascii="Book Antiqua" w:eastAsia="Book Antiqua" w:hAnsi="Book Antiqua" w:cs="Book Antiqua"/>
          <w:b/>
          <w:lang w:eastAsia="zh-CN" w:bidi="ar"/>
        </w:rPr>
        <w:t>Wanderman NR</w:t>
      </w:r>
      <w:r w:rsidRPr="00F25B0E">
        <w:rPr>
          <w:rFonts w:ascii="Book Antiqua" w:eastAsia="Book Antiqua" w:hAnsi="Book Antiqua" w:cs="Book Antiqua"/>
          <w:lang w:eastAsia="zh-CN" w:bidi="ar"/>
        </w:rPr>
        <w:t xml:space="preserve">, Mallet C, Giambini H, Bao N, Zhao C, An KN, Freedman BA, Nassr A. An Ovariectomy-Induced Rabbit Osteoporotic Model: A New Perspective. </w:t>
      </w:r>
      <w:r w:rsidRPr="00F25B0E">
        <w:rPr>
          <w:rFonts w:ascii="Book Antiqua" w:eastAsia="Book Antiqua" w:hAnsi="Book Antiqua" w:cs="Book Antiqua"/>
          <w:i/>
          <w:lang w:eastAsia="zh-CN" w:bidi="ar"/>
        </w:rPr>
        <w:t>Asian Spine J</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12</w:t>
      </w:r>
      <w:r w:rsidRPr="00F25B0E">
        <w:rPr>
          <w:rFonts w:ascii="Book Antiqua" w:eastAsia="Book Antiqua" w:hAnsi="Book Antiqua" w:cs="Book Antiqua"/>
          <w:lang w:eastAsia="zh-CN" w:bidi="ar"/>
        </w:rPr>
        <w:t>: 12-17 [PMID: 29503677 DOI: 10.4184/asj.2018.12.1.12]</w:t>
      </w:r>
    </w:p>
    <w:p w14:paraId="47DC10B5"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14 </w:t>
      </w:r>
      <w:r w:rsidRPr="00F25B0E">
        <w:rPr>
          <w:rFonts w:ascii="Book Antiqua" w:eastAsia="Book Antiqua" w:hAnsi="Book Antiqua" w:cs="Book Antiqua"/>
          <w:b/>
          <w:lang w:eastAsia="zh-CN" w:bidi="ar"/>
        </w:rPr>
        <w:t>Nguyen BN</w:t>
      </w:r>
      <w:r w:rsidRPr="00F25B0E">
        <w:rPr>
          <w:rFonts w:ascii="Book Antiqua" w:eastAsia="Book Antiqua" w:hAnsi="Book Antiqua" w:cs="Book Antiqua"/>
          <w:lang w:eastAsia="zh-CN" w:bidi="ar"/>
        </w:rPr>
        <w:t xml:space="preserve">, Hoshino H, Togawa D, Matsuyama Y. Cortical Thickness Index of the Proximal Femur: A Radiographic Parameter for Preliminary Assessment of Bone Mineral Density and Osteoporosis Status in the Age 50 Years and Over Population. </w:t>
      </w:r>
      <w:r w:rsidRPr="00F25B0E">
        <w:rPr>
          <w:rFonts w:ascii="Book Antiqua" w:eastAsia="Book Antiqua" w:hAnsi="Book Antiqua" w:cs="Book Antiqua"/>
          <w:i/>
          <w:lang w:eastAsia="zh-CN" w:bidi="ar"/>
        </w:rPr>
        <w:t>Clin Orthop Surg</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10</w:t>
      </w:r>
      <w:r w:rsidRPr="00F25B0E">
        <w:rPr>
          <w:rFonts w:ascii="Book Antiqua" w:eastAsia="Book Antiqua" w:hAnsi="Book Antiqua" w:cs="Book Antiqua"/>
          <w:lang w:eastAsia="zh-CN" w:bidi="ar"/>
        </w:rPr>
        <w:t>: 149-156 [PMID: 29854337 DOI: 10.4055/cios.2018.10.2.149]</w:t>
      </w:r>
    </w:p>
    <w:p w14:paraId="6079C698"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highlight w:val="yellow"/>
          <w:lang w:eastAsia="zh-CN" w:bidi="ar"/>
        </w:rPr>
        <w:t xml:space="preserve">15 </w:t>
      </w:r>
      <w:r w:rsidRPr="00F25B0E">
        <w:rPr>
          <w:rFonts w:ascii="Book Antiqua" w:eastAsia="Book Antiqua" w:hAnsi="Book Antiqua" w:cs="Book Antiqua"/>
          <w:b/>
          <w:highlight w:val="yellow"/>
          <w:lang w:eastAsia="zh-CN" w:bidi="ar"/>
        </w:rPr>
        <w:t>Arsenidze TO,</w:t>
      </w:r>
      <w:r w:rsidRPr="00F25B0E">
        <w:rPr>
          <w:rFonts w:ascii="Book Antiqua" w:eastAsia="Book Antiqua" w:hAnsi="Book Antiqua" w:cs="Book Antiqua"/>
          <w:highlight w:val="yellow"/>
          <w:lang w:eastAsia="zh-CN" w:bidi="ar"/>
        </w:rPr>
        <w:t xml:space="preserve"> Sharmazanova OP, Avrunin OH, inventors; Kharkiv Medical Academy of Postgraduate Education, D Inc., assignee. Method for Diagnosing Osteoporosis. Ukraine Patent UA 105663. 2016 Mar 25. [accessed February 24, 2021]. In Specialized Data Base: Inventions (Utility Models) in Ukraine [Internet]. Available from: </w:t>
      </w:r>
      <w:hyperlink r:id="rId9" w:history="1">
        <w:r w:rsidRPr="00F25B0E">
          <w:rPr>
            <w:rStyle w:val="Hyperlink"/>
            <w:rFonts w:ascii="Book Antiqua" w:eastAsia="Book Antiqua" w:hAnsi="Book Antiqua" w:cs="Book Antiqua"/>
            <w:color w:val="auto"/>
            <w:highlight w:val="yellow"/>
            <w:u w:val="none"/>
          </w:rPr>
          <w:t>https://base.uipv.org/searchINV/search.php?action=viewdetails&amp;IdClaim=221648&amp;chapter=biblio</w:t>
        </w:r>
      </w:hyperlink>
    </w:p>
    <w:p w14:paraId="3AC4A310"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highlight w:val="yellow"/>
          <w:lang w:eastAsia="zh-CN" w:bidi="ar"/>
        </w:rPr>
        <w:t xml:space="preserve">16 </w:t>
      </w:r>
      <w:r w:rsidRPr="00F25B0E">
        <w:rPr>
          <w:rFonts w:ascii="Book Antiqua" w:eastAsia="Book Antiqua" w:hAnsi="Book Antiqua" w:cs="Book Antiqua"/>
          <w:b/>
          <w:highlight w:val="yellow"/>
          <w:lang w:eastAsia="zh-CN" w:bidi="ar"/>
        </w:rPr>
        <w:t>Arsenіdze TO,</w:t>
      </w:r>
      <w:r w:rsidRPr="00F25B0E">
        <w:rPr>
          <w:rFonts w:ascii="Book Antiqua" w:eastAsia="Book Antiqua" w:hAnsi="Book Antiqua" w:cs="Book Antiqua"/>
          <w:highlight w:val="yellow"/>
          <w:lang w:eastAsia="zh-CN" w:bidi="ar"/>
        </w:rPr>
        <w:t xml:space="preserve"> Avrunіn OG, Aver'yanova LO. [Comparative Analysis of Automated and Manual Definition of Cortical Index for Femur in Infants by X-Ray Data]. Radiation diagnostics, radiation therapy 2016; 3-4: 121-124. [Russian] [accessed February 24, 2021]. In Open Electronic Archive of Kharkov National University of Radio Electronics [Internet]. Available from: </w:t>
      </w:r>
      <w:hyperlink r:id="rId10" w:history="1">
        <w:r w:rsidRPr="00F25B0E">
          <w:rPr>
            <w:rStyle w:val="Hyperlink"/>
            <w:rFonts w:ascii="Book Antiqua" w:eastAsia="Book Antiqua" w:hAnsi="Book Antiqua" w:cs="Book Antiqua"/>
            <w:color w:val="auto"/>
            <w:highlight w:val="yellow"/>
            <w:u w:val="none"/>
          </w:rPr>
          <w:t>https://openarchive.nure.ua/handle/document/4012</w:t>
        </w:r>
      </w:hyperlink>
    </w:p>
    <w:p w14:paraId="24B08198"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17 </w:t>
      </w:r>
      <w:r w:rsidRPr="00F25B0E">
        <w:rPr>
          <w:rFonts w:ascii="Book Antiqua" w:eastAsia="Book Antiqua" w:hAnsi="Book Antiqua" w:cs="Book Antiqua"/>
          <w:b/>
          <w:lang w:eastAsia="zh-CN" w:bidi="ar"/>
        </w:rPr>
        <w:t>Zhang Y,</w:t>
      </w:r>
      <w:r w:rsidRPr="00F25B0E">
        <w:rPr>
          <w:rFonts w:ascii="Book Antiqua" w:eastAsia="Book Antiqua" w:hAnsi="Book Antiqua" w:cs="Book Antiqua"/>
          <w:lang w:eastAsia="zh-CN" w:bidi="ar"/>
        </w:rPr>
        <w:t xml:space="preserve"> Ahn PB, Fitzpatrick DC, Heiner AD, Poggie RA, Brown TD. Interfacial frictional behavior: cancellous bone, cortical bone, and a novel porous tantalum biomaterial. </w:t>
      </w:r>
      <w:r w:rsidRPr="00F25B0E">
        <w:rPr>
          <w:rFonts w:ascii="Book Antiqua" w:eastAsia="Book Antiqua" w:hAnsi="Book Antiqua" w:cs="Book Antiqua"/>
          <w:i/>
          <w:lang w:eastAsia="zh-CN" w:bidi="ar"/>
        </w:rPr>
        <w:t>J Musculoskelet Res</w:t>
      </w:r>
      <w:r w:rsidRPr="00F25B0E">
        <w:rPr>
          <w:rFonts w:ascii="Book Antiqua" w:eastAsia="Book Antiqua" w:hAnsi="Book Antiqua" w:cs="Book Antiqua"/>
          <w:lang w:eastAsia="zh-CN" w:bidi="ar"/>
        </w:rPr>
        <w:t xml:space="preserve"> 1999; </w:t>
      </w:r>
      <w:r w:rsidRPr="00F25B0E">
        <w:rPr>
          <w:rFonts w:ascii="Book Antiqua" w:eastAsia="Book Antiqua" w:hAnsi="Book Antiqua" w:cs="Book Antiqua"/>
          <w:b/>
          <w:lang w:eastAsia="zh-CN" w:bidi="ar"/>
        </w:rPr>
        <w:t>3</w:t>
      </w:r>
      <w:r w:rsidRPr="00F25B0E">
        <w:rPr>
          <w:rFonts w:ascii="Book Antiqua" w:eastAsia="Book Antiqua" w:hAnsi="Book Antiqua" w:cs="Book Antiqua"/>
          <w:lang w:eastAsia="zh-CN" w:bidi="ar"/>
        </w:rPr>
        <w:t>: 245-251 [DOI: 10.1142/S0218957799000269]</w:t>
      </w:r>
    </w:p>
    <w:p w14:paraId="22686376"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18 </w:t>
      </w:r>
      <w:r w:rsidRPr="00F25B0E">
        <w:rPr>
          <w:rFonts w:ascii="Book Antiqua" w:eastAsia="Book Antiqua" w:hAnsi="Book Antiqua" w:cs="Book Antiqua"/>
          <w:b/>
          <w:lang w:eastAsia="zh-CN" w:bidi="ar"/>
        </w:rPr>
        <w:t>Beckmann NA</w:t>
      </w:r>
      <w:r w:rsidRPr="00F25B0E">
        <w:rPr>
          <w:rFonts w:ascii="Book Antiqua" w:eastAsia="Book Antiqua" w:hAnsi="Book Antiqua" w:cs="Book Antiqua"/>
          <w:lang w:eastAsia="zh-CN" w:bidi="ar"/>
        </w:rPr>
        <w:t xml:space="preserve">, Bitsch RG, Janoszka MB, Klotz MC, Bruckner T, Jaeger S. Treatment of High-Grade Acetabular Defects: Do Porous Titanium Cups Provide Better Stability Than Traditional Titanium Cups When Combined With an Augment? </w:t>
      </w:r>
      <w:r w:rsidRPr="00F25B0E">
        <w:rPr>
          <w:rFonts w:ascii="Book Antiqua" w:eastAsia="Book Antiqua" w:hAnsi="Book Antiqua" w:cs="Book Antiqua"/>
          <w:i/>
          <w:lang w:eastAsia="zh-CN" w:bidi="ar"/>
        </w:rPr>
        <w:t>J Arthroplasty</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33</w:t>
      </w:r>
      <w:r w:rsidRPr="00F25B0E">
        <w:rPr>
          <w:rFonts w:ascii="Book Antiqua" w:eastAsia="Book Antiqua" w:hAnsi="Book Antiqua" w:cs="Book Antiqua"/>
          <w:lang w:eastAsia="zh-CN" w:bidi="ar"/>
        </w:rPr>
        <w:t>: 1838-1843 [PMID: 29510951 DOI: 10.1016/j.arth.2018.01.068]</w:t>
      </w:r>
    </w:p>
    <w:p w14:paraId="19BC6509"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19 </w:t>
      </w:r>
      <w:r w:rsidRPr="00F25B0E">
        <w:rPr>
          <w:rFonts w:ascii="Book Antiqua" w:eastAsia="Book Antiqua" w:hAnsi="Book Antiqua" w:cs="Book Antiqua"/>
          <w:b/>
          <w:lang w:eastAsia="zh-CN" w:bidi="ar"/>
        </w:rPr>
        <w:t>Fujimoto T</w:t>
      </w:r>
      <w:r w:rsidRPr="00F25B0E">
        <w:rPr>
          <w:rFonts w:ascii="Book Antiqua" w:eastAsia="Book Antiqua" w:hAnsi="Book Antiqua" w:cs="Book Antiqua"/>
          <w:lang w:eastAsia="zh-CN" w:bidi="ar"/>
        </w:rPr>
        <w:t xml:space="preserve">, Niimi A, Sawai T, Ueda M. Effects of steroid-induced osteoporosis on osseointegration of titanium implants. </w:t>
      </w:r>
      <w:r w:rsidRPr="00F25B0E">
        <w:rPr>
          <w:rFonts w:ascii="Book Antiqua" w:eastAsia="Book Antiqua" w:hAnsi="Book Antiqua" w:cs="Book Antiqua"/>
          <w:i/>
          <w:lang w:eastAsia="zh-CN" w:bidi="ar"/>
        </w:rPr>
        <w:t>Int J Oral Maxillofac Implants</w:t>
      </w:r>
      <w:r w:rsidRPr="00F25B0E">
        <w:rPr>
          <w:rFonts w:ascii="Book Antiqua" w:eastAsia="Book Antiqua" w:hAnsi="Book Antiqua" w:cs="Book Antiqua"/>
          <w:lang w:eastAsia="zh-CN" w:bidi="ar"/>
        </w:rPr>
        <w:t xml:space="preserve"> 1998; </w:t>
      </w:r>
      <w:r w:rsidRPr="00F25B0E">
        <w:rPr>
          <w:rFonts w:ascii="Book Antiqua" w:eastAsia="Book Antiqua" w:hAnsi="Book Antiqua" w:cs="Book Antiqua"/>
          <w:b/>
          <w:lang w:eastAsia="zh-CN" w:bidi="ar"/>
        </w:rPr>
        <w:t>13</w:t>
      </w:r>
      <w:r w:rsidRPr="00F25B0E">
        <w:rPr>
          <w:rFonts w:ascii="Book Antiqua" w:eastAsia="Book Antiqua" w:hAnsi="Book Antiqua" w:cs="Book Antiqua"/>
          <w:lang w:eastAsia="zh-CN" w:bidi="ar"/>
        </w:rPr>
        <w:t>: 183-189 [PMID: 9581403]</w:t>
      </w:r>
    </w:p>
    <w:p w14:paraId="6B7CC27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20 </w:t>
      </w:r>
      <w:r w:rsidRPr="00F25B0E">
        <w:rPr>
          <w:rFonts w:ascii="Book Antiqua" w:eastAsia="Book Antiqua" w:hAnsi="Book Antiqua" w:cs="Book Antiqua"/>
          <w:b/>
          <w:lang w:eastAsia="zh-CN" w:bidi="ar"/>
        </w:rPr>
        <w:t>Jafari SM</w:t>
      </w:r>
      <w:r w:rsidRPr="00F25B0E">
        <w:rPr>
          <w:rFonts w:ascii="Book Antiqua" w:eastAsia="Book Antiqua" w:hAnsi="Book Antiqua" w:cs="Book Antiqua"/>
          <w:lang w:eastAsia="zh-CN" w:bidi="ar"/>
        </w:rPr>
        <w:t xml:space="preserve">, Bender B, Coyle C, Parvizi J, Sharkey PF, Hozack WJ. Do tantalum and titanium cups show similar results in revision hip arthroplasty? </w:t>
      </w:r>
      <w:r w:rsidRPr="00F25B0E">
        <w:rPr>
          <w:rFonts w:ascii="Book Antiqua" w:eastAsia="Book Antiqua" w:hAnsi="Book Antiqua" w:cs="Book Antiqua"/>
          <w:i/>
          <w:lang w:eastAsia="zh-CN" w:bidi="ar"/>
        </w:rPr>
        <w:t>Clin Orthop Relat Res</w:t>
      </w:r>
      <w:r w:rsidRPr="00F25B0E">
        <w:rPr>
          <w:rFonts w:ascii="Book Antiqua" w:eastAsia="Book Antiqua" w:hAnsi="Book Antiqua" w:cs="Book Antiqua"/>
          <w:lang w:eastAsia="zh-CN" w:bidi="ar"/>
        </w:rPr>
        <w:t xml:space="preserve"> 2010; </w:t>
      </w:r>
      <w:r w:rsidRPr="00F25B0E">
        <w:rPr>
          <w:rFonts w:ascii="Book Antiqua" w:eastAsia="Book Antiqua" w:hAnsi="Book Antiqua" w:cs="Book Antiqua"/>
          <w:b/>
          <w:lang w:eastAsia="zh-CN" w:bidi="ar"/>
        </w:rPr>
        <w:t>468</w:t>
      </w:r>
      <w:r w:rsidRPr="00F25B0E">
        <w:rPr>
          <w:rFonts w:ascii="Book Antiqua" w:eastAsia="Book Antiqua" w:hAnsi="Book Antiqua" w:cs="Book Antiqua"/>
          <w:lang w:eastAsia="zh-CN" w:bidi="ar"/>
        </w:rPr>
        <w:t>: 459-465 [PMID: 19809857 DOI: 10.1007/s11999-009-1090-5]</w:t>
      </w:r>
    </w:p>
    <w:p w14:paraId="2C3D31EA"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21 </w:t>
      </w:r>
      <w:r w:rsidRPr="00F25B0E">
        <w:rPr>
          <w:rFonts w:ascii="Book Antiqua" w:eastAsia="Book Antiqua" w:hAnsi="Book Antiqua" w:cs="Book Antiqua"/>
          <w:b/>
          <w:lang w:eastAsia="zh-CN" w:bidi="ar"/>
        </w:rPr>
        <w:t>Karachalios TS,</w:t>
      </w:r>
      <w:r w:rsidRPr="00F25B0E">
        <w:rPr>
          <w:rFonts w:ascii="Book Antiqua" w:eastAsia="Book Antiqua" w:hAnsi="Book Antiqua" w:cs="Book Antiqua"/>
          <w:lang w:eastAsia="zh-CN" w:bidi="ar"/>
        </w:rPr>
        <w:t xml:space="preserve"> Koutalos AA, Komnos GA (2019) Total hip arthroplasty in patients with osteoporosis. </w:t>
      </w:r>
      <w:r w:rsidRPr="00F25B0E">
        <w:rPr>
          <w:rFonts w:ascii="Book Antiqua" w:eastAsia="Book Antiqua" w:hAnsi="Book Antiqua" w:cs="Book Antiqua"/>
          <w:i/>
          <w:lang w:eastAsia="zh-CN" w:bidi="ar"/>
        </w:rPr>
        <w:t>Hip Int</w:t>
      </w:r>
      <w:r w:rsidRPr="00F25B0E">
        <w:rPr>
          <w:rFonts w:ascii="Book Antiqua" w:eastAsia="Book Antiqua" w:hAnsi="Book Antiqua" w:cs="Book Antiqua"/>
          <w:lang w:eastAsia="zh-CN" w:bidi="ar"/>
        </w:rPr>
        <w:t xml:space="preserve"> 2020; </w:t>
      </w:r>
      <w:r w:rsidRPr="00F25B0E">
        <w:rPr>
          <w:rFonts w:ascii="Book Antiqua" w:eastAsia="Book Antiqua" w:hAnsi="Book Antiqua" w:cs="Book Antiqua"/>
          <w:b/>
          <w:lang w:eastAsia="zh-CN" w:bidi="ar"/>
        </w:rPr>
        <w:t>30</w:t>
      </w:r>
      <w:r w:rsidRPr="00F25B0E">
        <w:rPr>
          <w:rFonts w:ascii="Book Antiqua" w:eastAsia="Book Antiqua" w:hAnsi="Book Antiqua" w:cs="Book Antiqua"/>
          <w:lang w:eastAsia="zh-CN" w:bidi="ar"/>
        </w:rPr>
        <w:t>: 370-379 [PMID: 31672068 DOI: 10.1177/1120700019883244]</w:t>
      </w:r>
    </w:p>
    <w:p w14:paraId="42B09A0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22 </w:t>
      </w:r>
      <w:r w:rsidRPr="00F25B0E">
        <w:rPr>
          <w:rFonts w:ascii="Book Antiqua" w:eastAsia="Book Antiqua" w:hAnsi="Book Antiqua" w:cs="Book Antiqua"/>
          <w:b/>
          <w:lang w:eastAsia="zh-CN" w:bidi="ar"/>
        </w:rPr>
        <w:t>Duan Y</w:t>
      </w:r>
      <w:r w:rsidRPr="00F25B0E">
        <w:rPr>
          <w:rFonts w:ascii="Book Antiqua" w:eastAsia="Book Antiqua" w:hAnsi="Book Antiqua" w:cs="Book Antiqua"/>
          <w:lang w:eastAsia="zh-CN" w:bidi="ar"/>
        </w:rPr>
        <w:t xml:space="preserve">, Liu L, Wang L, Guo F, Li H, Shi L, Li M, Yin D, Jiang C, Zhu Q. Preliminary study of the biomechanical behavior and physical characteristics of tantalum (Ta)-coated prostheses. </w:t>
      </w:r>
      <w:r w:rsidRPr="00F25B0E">
        <w:rPr>
          <w:rFonts w:ascii="Book Antiqua" w:eastAsia="Book Antiqua" w:hAnsi="Book Antiqua" w:cs="Book Antiqua"/>
          <w:i/>
          <w:lang w:eastAsia="zh-CN" w:bidi="ar"/>
        </w:rPr>
        <w:t>J Orthop Sci</w:t>
      </w:r>
      <w:r w:rsidRPr="00F25B0E">
        <w:rPr>
          <w:rFonts w:ascii="Book Antiqua" w:eastAsia="Book Antiqua" w:hAnsi="Book Antiqua" w:cs="Book Antiqua"/>
          <w:lang w:eastAsia="zh-CN" w:bidi="ar"/>
        </w:rPr>
        <w:t xml:space="preserve"> 2012; </w:t>
      </w:r>
      <w:r w:rsidRPr="00F25B0E">
        <w:rPr>
          <w:rFonts w:ascii="Book Antiqua" w:eastAsia="Book Antiqua" w:hAnsi="Book Antiqua" w:cs="Book Antiqua"/>
          <w:b/>
          <w:lang w:eastAsia="zh-CN" w:bidi="ar"/>
        </w:rPr>
        <w:t>17</w:t>
      </w:r>
      <w:r w:rsidRPr="00F25B0E">
        <w:rPr>
          <w:rFonts w:ascii="Book Antiqua" w:eastAsia="Book Antiqua" w:hAnsi="Book Antiqua" w:cs="Book Antiqua"/>
          <w:lang w:eastAsia="zh-CN" w:bidi="ar"/>
        </w:rPr>
        <w:t>: 173-185 [PMID: 22234374 DOI: 10.1007/s00776-011-0191-7]</w:t>
      </w:r>
    </w:p>
    <w:p w14:paraId="0C11C4FB"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23 </w:t>
      </w:r>
      <w:r w:rsidRPr="00F25B0E">
        <w:rPr>
          <w:rFonts w:ascii="Book Antiqua" w:eastAsia="Book Antiqua" w:hAnsi="Book Antiqua" w:cs="Book Antiqua"/>
          <w:b/>
          <w:lang w:eastAsia="zh-CN" w:bidi="ar"/>
        </w:rPr>
        <w:t>Bandyopadhyay A</w:t>
      </w:r>
      <w:r w:rsidRPr="00F25B0E">
        <w:rPr>
          <w:rFonts w:ascii="Book Antiqua" w:eastAsia="Book Antiqua" w:hAnsi="Book Antiqua" w:cs="Book Antiqua"/>
          <w:lang w:eastAsia="zh-CN" w:bidi="ar"/>
        </w:rPr>
        <w:t xml:space="preserve">, Shivaram A, Tarafder S, Sahasrabudhe H, Banerjee D, Bose S. In Vivo Response of Laser Processed Porous Titanium Implants for Load-Bearing Implants. </w:t>
      </w:r>
      <w:r w:rsidRPr="00F25B0E">
        <w:rPr>
          <w:rFonts w:ascii="Book Antiqua" w:eastAsia="Book Antiqua" w:hAnsi="Book Antiqua" w:cs="Book Antiqua"/>
          <w:i/>
          <w:lang w:eastAsia="zh-CN" w:bidi="ar"/>
        </w:rPr>
        <w:t>Ann Biomed Eng</w:t>
      </w:r>
      <w:r w:rsidRPr="00F25B0E">
        <w:rPr>
          <w:rFonts w:ascii="Book Antiqua" w:eastAsia="Book Antiqua" w:hAnsi="Book Antiqua" w:cs="Book Antiqua"/>
          <w:lang w:eastAsia="zh-CN" w:bidi="ar"/>
        </w:rPr>
        <w:t xml:space="preserve"> 2017; </w:t>
      </w:r>
      <w:r w:rsidRPr="00F25B0E">
        <w:rPr>
          <w:rFonts w:ascii="Book Antiqua" w:eastAsia="Book Antiqua" w:hAnsi="Book Antiqua" w:cs="Book Antiqua"/>
          <w:b/>
          <w:lang w:eastAsia="zh-CN" w:bidi="ar"/>
        </w:rPr>
        <w:t>45</w:t>
      </w:r>
      <w:r w:rsidRPr="00F25B0E">
        <w:rPr>
          <w:rFonts w:ascii="Book Antiqua" w:eastAsia="Book Antiqua" w:hAnsi="Book Antiqua" w:cs="Book Antiqua"/>
          <w:lang w:eastAsia="zh-CN" w:bidi="ar"/>
        </w:rPr>
        <w:t>: 249-260 [PMID: 27307009 DOI: 10.1007/s10439-016-1673-8]</w:t>
      </w:r>
    </w:p>
    <w:p w14:paraId="20BE7AC5"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lastRenderedPageBreak/>
        <w:t xml:space="preserve">24 </w:t>
      </w:r>
      <w:r w:rsidRPr="00F25B0E">
        <w:rPr>
          <w:rFonts w:ascii="Book Antiqua" w:eastAsia="Book Antiqua" w:hAnsi="Book Antiqua" w:cs="Book Antiqua"/>
          <w:b/>
          <w:lang w:eastAsia="zh-CN" w:bidi="ar"/>
        </w:rPr>
        <w:t>Cohen DJ</w:t>
      </w:r>
      <w:r w:rsidRPr="00F25B0E">
        <w:rPr>
          <w:rFonts w:ascii="Book Antiqua" w:eastAsia="Book Antiqua" w:hAnsi="Book Antiqua" w:cs="Book Antiqua"/>
          <w:lang w:eastAsia="zh-CN" w:bidi="ar"/>
        </w:rPr>
        <w:t xml:space="preserve">, Cheng A, Sahingur K, Clohessy RM, Hopkins LB, Boyan BD, Schwartz Z. Performance of laser sintered Ti-6Al-4V implants with bone-inspired porosity and micro/nanoscale surface roughness in the rabbit femur. </w:t>
      </w:r>
      <w:r w:rsidRPr="00F25B0E">
        <w:rPr>
          <w:rFonts w:ascii="Book Antiqua" w:eastAsia="Book Antiqua" w:hAnsi="Book Antiqua" w:cs="Book Antiqua"/>
          <w:i/>
          <w:lang w:eastAsia="zh-CN" w:bidi="ar"/>
        </w:rPr>
        <w:t>Biomed Mater</w:t>
      </w:r>
      <w:r w:rsidRPr="00F25B0E">
        <w:rPr>
          <w:rFonts w:ascii="Book Antiqua" w:eastAsia="Book Antiqua" w:hAnsi="Book Antiqua" w:cs="Book Antiqua"/>
          <w:lang w:eastAsia="zh-CN" w:bidi="ar"/>
        </w:rPr>
        <w:t xml:space="preserve"> 2017; </w:t>
      </w:r>
      <w:r w:rsidRPr="00F25B0E">
        <w:rPr>
          <w:rFonts w:ascii="Book Antiqua" w:eastAsia="Book Antiqua" w:hAnsi="Book Antiqua" w:cs="Book Antiqua"/>
          <w:b/>
          <w:lang w:eastAsia="zh-CN" w:bidi="ar"/>
        </w:rPr>
        <w:t>12</w:t>
      </w:r>
      <w:r w:rsidRPr="00F25B0E">
        <w:rPr>
          <w:rFonts w:ascii="Book Antiqua" w:eastAsia="Book Antiqua" w:hAnsi="Book Antiqua" w:cs="Book Antiqua"/>
          <w:lang w:eastAsia="zh-CN" w:bidi="ar"/>
        </w:rPr>
        <w:t>: 025021 [PMID: 28452335 DOI: 10.1088/1748-605X/aa6810]</w:t>
      </w:r>
    </w:p>
    <w:p w14:paraId="4678AA2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25 </w:t>
      </w:r>
      <w:r w:rsidRPr="00F25B0E">
        <w:rPr>
          <w:rFonts w:ascii="Book Antiqua" w:eastAsia="Book Antiqua" w:hAnsi="Book Antiqua" w:cs="Book Antiqua"/>
          <w:b/>
          <w:lang w:eastAsia="zh-CN" w:bidi="ar"/>
        </w:rPr>
        <w:t>Ran Q</w:t>
      </w:r>
      <w:r w:rsidRPr="00F25B0E">
        <w:rPr>
          <w:rFonts w:ascii="Book Antiqua" w:eastAsia="Book Antiqua" w:hAnsi="Book Antiqua" w:cs="Book Antiqua"/>
          <w:lang w:eastAsia="zh-CN" w:bidi="ar"/>
        </w:rPr>
        <w:t xml:space="preserve">, Yang W, Hu Y, Shen X, Yu Y, Xiang Y, Cai K. Osteogenesis of 3D printed porous Ti6Al4V implants with different pore sizes. </w:t>
      </w:r>
      <w:r w:rsidRPr="00F25B0E">
        <w:rPr>
          <w:rFonts w:ascii="Book Antiqua" w:eastAsia="Book Antiqua" w:hAnsi="Book Antiqua" w:cs="Book Antiqua"/>
          <w:i/>
          <w:lang w:eastAsia="zh-CN" w:bidi="ar"/>
        </w:rPr>
        <w:t>J Mech Behav Biomed Mater</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84</w:t>
      </w:r>
      <w:r w:rsidRPr="00F25B0E">
        <w:rPr>
          <w:rFonts w:ascii="Book Antiqua" w:eastAsia="Book Antiqua" w:hAnsi="Book Antiqua" w:cs="Book Antiqua"/>
          <w:lang w:eastAsia="zh-CN" w:bidi="ar"/>
        </w:rPr>
        <w:t>: 1-11 [PMID: 29709846 DOI: 10.1016/j.jmbbm.2018.04.010]</w:t>
      </w:r>
    </w:p>
    <w:p w14:paraId="1E23E100"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26 </w:t>
      </w:r>
      <w:r w:rsidRPr="00F25B0E">
        <w:rPr>
          <w:rFonts w:ascii="Book Antiqua" w:eastAsia="Book Antiqua" w:hAnsi="Book Antiqua" w:cs="Book Antiqua"/>
          <w:b/>
          <w:lang w:eastAsia="zh-CN" w:bidi="ar"/>
        </w:rPr>
        <w:t>Wang H</w:t>
      </w:r>
      <w:r w:rsidRPr="00F25B0E">
        <w:rPr>
          <w:rFonts w:ascii="Book Antiqua" w:eastAsia="Book Antiqua" w:hAnsi="Book Antiqua" w:cs="Book Antiqua"/>
          <w:lang w:eastAsia="zh-CN" w:bidi="ar"/>
        </w:rPr>
        <w:t xml:space="preserve">, Su K, Su L, Liang P, Ji P, Wang C. Comparison of 3D-printed porous tantalum and titanium scaffolds on osteointegration and osteogenesis. </w:t>
      </w:r>
      <w:r w:rsidRPr="00F25B0E">
        <w:rPr>
          <w:rFonts w:ascii="Book Antiqua" w:eastAsia="Book Antiqua" w:hAnsi="Book Antiqua" w:cs="Book Antiqua"/>
          <w:i/>
          <w:lang w:eastAsia="zh-CN" w:bidi="ar"/>
        </w:rPr>
        <w:t>Mater Sci Eng C Mater Biol Appl</w:t>
      </w:r>
      <w:r w:rsidRPr="00F25B0E">
        <w:rPr>
          <w:rFonts w:ascii="Book Antiqua" w:eastAsia="Book Antiqua" w:hAnsi="Book Antiqua" w:cs="Book Antiqua"/>
          <w:lang w:eastAsia="zh-CN" w:bidi="ar"/>
        </w:rPr>
        <w:t xml:space="preserve"> 2019; </w:t>
      </w:r>
      <w:r w:rsidRPr="00F25B0E">
        <w:rPr>
          <w:rFonts w:ascii="Book Antiqua" w:eastAsia="Book Antiqua" w:hAnsi="Book Antiqua" w:cs="Book Antiqua"/>
          <w:b/>
          <w:lang w:eastAsia="zh-CN" w:bidi="ar"/>
        </w:rPr>
        <w:t>104</w:t>
      </w:r>
      <w:r w:rsidRPr="00F25B0E">
        <w:rPr>
          <w:rFonts w:ascii="Book Antiqua" w:eastAsia="Book Antiqua" w:hAnsi="Book Antiqua" w:cs="Book Antiqua"/>
          <w:lang w:eastAsia="zh-CN" w:bidi="ar"/>
        </w:rPr>
        <w:t>: 109908 [PMID: 31499974 DOI: 10.1016/j.msec.2019.109908]</w:t>
      </w:r>
    </w:p>
    <w:p w14:paraId="617B8022"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27 </w:t>
      </w:r>
      <w:r w:rsidRPr="00F25B0E">
        <w:rPr>
          <w:rFonts w:ascii="Book Antiqua" w:eastAsia="Book Antiqua" w:hAnsi="Book Antiqua" w:cs="Book Antiqua"/>
          <w:b/>
          <w:lang w:eastAsia="zh-CN" w:bidi="ar"/>
        </w:rPr>
        <w:t>Su KX</w:t>
      </w:r>
      <w:r w:rsidRPr="00F25B0E">
        <w:rPr>
          <w:rFonts w:ascii="Book Antiqua" w:eastAsia="Book Antiqua" w:hAnsi="Book Antiqua" w:cs="Book Antiqua"/>
          <w:lang w:eastAsia="zh-CN" w:bidi="ar"/>
        </w:rPr>
        <w:t xml:space="preserve">, Ji P, Wang H, Li LL, Su LZ, Wang C. [In vivo study of 3D printed porous tantalum implant on osseointegration]. </w:t>
      </w:r>
      <w:r w:rsidRPr="00F25B0E">
        <w:rPr>
          <w:rFonts w:ascii="Book Antiqua" w:eastAsia="Book Antiqua" w:hAnsi="Book Antiqua" w:cs="Book Antiqua"/>
          <w:i/>
          <w:lang w:eastAsia="zh-CN" w:bidi="ar"/>
        </w:rPr>
        <w:t>Hua Xi Kou Qiang Yi Xue Za Zhi</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36</w:t>
      </w:r>
      <w:r w:rsidRPr="00F25B0E">
        <w:rPr>
          <w:rFonts w:ascii="Book Antiqua" w:eastAsia="Book Antiqua" w:hAnsi="Book Antiqua" w:cs="Book Antiqua"/>
          <w:lang w:eastAsia="zh-CN" w:bidi="ar"/>
        </w:rPr>
        <w:t>: 291-295 [PMID: 29984931 DOI: 10.7518/hxkq.2018.03.012]</w:t>
      </w:r>
    </w:p>
    <w:p w14:paraId="59EF8EF6" w14:textId="77777777" w:rsidR="00FB125B" w:rsidRPr="00F25B0E" w:rsidRDefault="00FB125B">
      <w:pPr>
        <w:adjustRightInd w:val="0"/>
        <w:snapToGrid w:val="0"/>
        <w:spacing w:line="360" w:lineRule="auto"/>
        <w:jc w:val="both"/>
        <w:rPr>
          <w:rFonts w:ascii="Book Antiqua" w:hAnsi="Book Antiqua"/>
        </w:rPr>
        <w:sectPr w:rsidR="00FB125B" w:rsidRPr="00F25B0E">
          <w:pgSz w:w="12240" w:h="15840"/>
          <w:pgMar w:top="1440" w:right="1440" w:bottom="1440" w:left="1440" w:header="720" w:footer="720" w:gutter="0"/>
          <w:cols w:space="720"/>
          <w:docGrid w:linePitch="360"/>
        </w:sectPr>
      </w:pPr>
    </w:p>
    <w:p w14:paraId="564C61C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Footnotes</w:t>
      </w:r>
    </w:p>
    <w:p w14:paraId="4B51385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Institutional review board statement: </w:t>
      </w:r>
      <w:r w:rsidRPr="00F25B0E">
        <w:rPr>
          <w:rFonts w:ascii="Book Antiqua" w:eastAsia="Book Antiqua" w:hAnsi="Book Antiqua" w:cs="Book Antiqua"/>
          <w:color w:val="000000"/>
        </w:rPr>
        <w:t>Sytenko Institute of Spine and Joint Pathology Review board.</w:t>
      </w:r>
    </w:p>
    <w:p w14:paraId="05EC0C6C" w14:textId="77777777" w:rsidR="00FB125B" w:rsidRPr="00F25B0E" w:rsidRDefault="00FB125B">
      <w:pPr>
        <w:adjustRightInd w:val="0"/>
        <w:snapToGrid w:val="0"/>
        <w:spacing w:line="360" w:lineRule="auto"/>
        <w:jc w:val="both"/>
        <w:rPr>
          <w:rFonts w:ascii="Book Antiqua" w:hAnsi="Book Antiqua"/>
        </w:rPr>
      </w:pPr>
    </w:p>
    <w:p w14:paraId="4BA54D65" w14:textId="55B61FA0"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Institutional animal care and use committee statement: </w:t>
      </w:r>
      <w:r w:rsidRPr="00F25B0E">
        <w:rPr>
          <w:rFonts w:ascii="Book Antiqua" w:eastAsia="Book Antiqua" w:hAnsi="Book Antiqua" w:cs="Book Antiqua"/>
          <w:color w:val="000000"/>
        </w:rPr>
        <w:t>All applicable national guidelines for the care and use of animals were followed</w:t>
      </w:r>
      <w:r w:rsidRPr="00F25B0E">
        <w:rPr>
          <w:rFonts w:ascii="Book Antiqua" w:eastAsia="Book Antiqua" w:hAnsi="Book Antiqua" w:cs="Book Antiqua"/>
          <w:b/>
          <w:bCs/>
          <w:color w:val="000000"/>
        </w:rPr>
        <w:t xml:space="preserve">. </w:t>
      </w:r>
      <w:r w:rsidRPr="00F25B0E">
        <w:rPr>
          <w:rFonts w:ascii="Book Antiqua" w:eastAsia="Book Antiqua" w:hAnsi="Book Antiqua" w:cs="Book Antiqua"/>
          <w:color w:val="000000"/>
        </w:rPr>
        <w:t xml:space="preserve">The </w:t>
      </w:r>
      <w:r w:rsidRPr="00F25B0E">
        <w:rPr>
          <w:rFonts w:ascii="Book Antiqua" w:eastAsia="Book Antiqua" w:hAnsi="Book Antiqua" w:cs="Book Antiqua"/>
          <w:i/>
          <w:iCs/>
          <w:color w:val="000000"/>
        </w:rPr>
        <w:t>in</w:t>
      </w:r>
      <w:r w:rsidR="00D04F2C">
        <w:rPr>
          <w:rFonts w:ascii="Book Antiqua" w:eastAsia="Book Antiqua" w:hAnsi="Book Antiqua" w:cs="Book Antiqua"/>
          <w:i/>
          <w:iCs/>
          <w:color w:val="000000"/>
        </w:rPr>
        <w:t xml:space="preserve"> </w:t>
      </w:r>
      <w:r w:rsidRPr="00F25B0E">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study was approved by the Ethical Clearance Bioethics Committee State Institution “Sytenko Institute of Spine and Joint Pathology NAMS of Ukraine”, Kharkiv, Ukraine (</w:t>
      </w:r>
      <w:r w:rsidR="005771AD">
        <w:rPr>
          <w:rFonts w:ascii="Book Antiqua" w:eastAsia="Book Antiqua" w:hAnsi="Book Antiqua" w:cs="Book Antiqua"/>
          <w:color w:val="000000"/>
        </w:rPr>
        <w:t>P</w:t>
      </w:r>
      <w:r w:rsidRPr="00F25B0E">
        <w:rPr>
          <w:rFonts w:ascii="Book Antiqua" w:eastAsia="Book Antiqua" w:hAnsi="Book Antiqua" w:cs="Book Antiqua"/>
          <w:color w:val="000000"/>
        </w:rPr>
        <w:t xml:space="preserve">rotocol </w:t>
      </w:r>
      <w:r w:rsidR="005771AD">
        <w:rPr>
          <w:rFonts w:ascii="Book Antiqua" w:eastAsia="Book Antiqua" w:hAnsi="Book Antiqua" w:cs="Book Antiqua"/>
          <w:color w:val="000000"/>
        </w:rPr>
        <w:t>No.</w:t>
      </w:r>
      <w:r w:rsidR="005771AD"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175 of 26 Feb 2018).</w:t>
      </w:r>
    </w:p>
    <w:p w14:paraId="1F970472" w14:textId="77777777" w:rsidR="00FB125B" w:rsidRPr="00F25B0E" w:rsidRDefault="00FB125B">
      <w:pPr>
        <w:adjustRightInd w:val="0"/>
        <w:snapToGrid w:val="0"/>
        <w:spacing w:line="360" w:lineRule="auto"/>
        <w:jc w:val="both"/>
        <w:rPr>
          <w:rFonts w:ascii="Book Antiqua" w:hAnsi="Book Antiqua"/>
        </w:rPr>
      </w:pPr>
    </w:p>
    <w:p w14:paraId="7F923A57" w14:textId="46E82068"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Conflict-of-interest statement: </w:t>
      </w:r>
      <w:r w:rsidRPr="00F25B0E">
        <w:rPr>
          <w:rFonts w:ascii="Book Antiqua" w:eastAsia="Book Antiqua" w:hAnsi="Book Antiqua" w:cs="Book Antiqua"/>
          <w:color w:val="000000"/>
        </w:rPr>
        <w:t xml:space="preserve">Bondarenko S, Filipenko V, Karpinsky M, Karpinska O, Ivanov G, Maltseva V, and Badnaoui AA declare that they have no conflict of interest. Schwarzkopf R has potential competing interests; he is a paid consultant of Smith &amp; Nephew, Memphis, </w:t>
      </w:r>
      <w:r w:rsidR="00AA3D9E">
        <w:rPr>
          <w:rFonts w:ascii="Book Antiqua" w:eastAsia="Book Antiqua" w:hAnsi="Book Antiqua" w:cs="Book Antiqua"/>
          <w:color w:val="000000"/>
        </w:rPr>
        <w:t xml:space="preserve">TN, </w:t>
      </w:r>
      <w:r w:rsidRPr="00F25B0E">
        <w:rPr>
          <w:rFonts w:ascii="Book Antiqua" w:eastAsia="Book Antiqua" w:hAnsi="Book Antiqua" w:cs="Book Antiqua"/>
          <w:color w:val="000000"/>
        </w:rPr>
        <w:t>United State</w:t>
      </w:r>
      <w:r w:rsidR="00AA3D9E">
        <w:rPr>
          <w:rFonts w:ascii="Book Antiqua" w:eastAsia="Book Antiqua" w:hAnsi="Book Antiqua" w:cs="Book Antiqua"/>
          <w:color w:val="000000"/>
        </w:rPr>
        <w:t>s</w:t>
      </w:r>
      <w:r w:rsidRPr="00F25B0E">
        <w:rPr>
          <w:rFonts w:ascii="Book Antiqua" w:eastAsia="Book Antiqua" w:hAnsi="Book Antiqua" w:cs="Book Antiqua"/>
          <w:color w:val="000000"/>
        </w:rPr>
        <w:t>.</w:t>
      </w:r>
    </w:p>
    <w:p w14:paraId="27D50CE6" w14:textId="77777777" w:rsidR="00FB125B" w:rsidRPr="00F25B0E" w:rsidRDefault="00FB125B">
      <w:pPr>
        <w:adjustRightInd w:val="0"/>
        <w:snapToGrid w:val="0"/>
        <w:spacing w:line="360" w:lineRule="auto"/>
        <w:jc w:val="both"/>
        <w:rPr>
          <w:rFonts w:ascii="Book Antiqua" w:hAnsi="Book Antiqua"/>
        </w:rPr>
      </w:pPr>
    </w:p>
    <w:p w14:paraId="335C9F9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Data sharing statement: </w:t>
      </w:r>
      <w:r w:rsidRPr="00F25B0E">
        <w:rPr>
          <w:rFonts w:ascii="Book Antiqua" w:eastAsia="Book Antiqua" w:hAnsi="Book Antiqua" w:cs="Book Antiqua"/>
          <w:color w:val="000000"/>
        </w:rPr>
        <w:t>No additional data are available.</w:t>
      </w:r>
    </w:p>
    <w:p w14:paraId="0363E52A" w14:textId="77777777" w:rsidR="00FB125B" w:rsidRPr="00F25B0E" w:rsidRDefault="00FB125B">
      <w:pPr>
        <w:adjustRightInd w:val="0"/>
        <w:snapToGrid w:val="0"/>
        <w:spacing w:line="360" w:lineRule="auto"/>
        <w:jc w:val="both"/>
        <w:rPr>
          <w:rFonts w:ascii="Book Antiqua" w:hAnsi="Book Antiqua"/>
        </w:rPr>
      </w:pPr>
    </w:p>
    <w:p w14:paraId="2A5B26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ARRIVE guidelines statement: </w:t>
      </w:r>
      <w:r w:rsidRPr="00F25B0E">
        <w:rPr>
          <w:rFonts w:ascii="Book Antiqua" w:eastAsia="Book Antiqua" w:hAnsi="Book Antiqua" w:cs="Book Antiqua"/>
          <w:color w:val="000000"/>
        </w:rPr>
        <w:t>The authors have read the ARRIVE guidelines, and the manuscript was prepared and revised according to the ARRIVE guidelines.</w:t>
      </w:r>
    </w:p>
    <w:p w14:paraId="05D8E145" w14:textId="77777777" w:rsidR="00FB125B" w:rsidRPr="00F25B0E" w:rsidRDefault="00FB125B">
      <w:pPr>
        <w:adjustRightInd w:val="0"/>
        <w:snapToGrid w:val="0"/>
        <w:spacing w:line="360" w:lineRule="auto"/>
        <w:jc w:val="both"/>
        <w:rPr>
          <w:rFonts w:ascii="Book Antiqua" w:hAnsi="Book Antiqua"/>
        </w:rPr>
      </w:pPr>
    </w:p>
    <w:p w14:paraId="6C46B54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Open-Access: </w:t>
      </w:r>
      <w:r w:rsidRPr="00F25B0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A490B9" w14:textId="77777777" w:rsidR="00FB125B" w:rsidRPr="00F25B0E" w:rsidRDefault="00FB125B">
      <w:pPr>
        <w:adjustRightInd w:val="0"/>
        <w:snapToGrid w:val="0"/>
        <w:spacing w:line="360" w:lineRule="auto"/>
        <w:jc w:val="both"/>
        <w:rPr>
          <w:rFonts w:ascii="Book Antiqua" w:hAnsi="Book Antiqua"/>
        </w:rPr>
      </w:pPr>
    </w:p>
    <w:p w14:paraId="1750EAD7" w14:textId="5230031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Manuscript source: </w:t>
      </w:r>
      <w:r w:rsidRPr="00F25B0E">
        <w:rPr>
          <w:rFonts w:ascii="Book Antiqua" w:eastAsia="Book Antiqua" w:hAnsi="Book Antiqua" w:cs="Book Antiqua"/>
          <w:color w:val="000000"/>
        </w:rPr>
        <w:t xml:space="preserve">Unsolicited </w:t>
      </w:r>
      <w:r w:rsidR="005771AD">
        <w:rPr>
          <w:rFonts w:ascii="Book Antiqua" w:eastAsia="Book Antiqua" w:hAnsi="Book Antiqua" w:cs="Book Antiqua"/>
          <w:color w:val="000000"/>
        </w:rPr>
        <w:t>m</w:t>
      </w:r>
      <w:r w:rsidRPr="00F25B0E">
        <w:rPr>
          <w:rFonts w:ascii="Book Antiqua" w:eastAsia="Book Antiqua" w:hAnsi="Book Antiqua" w:cs="Book Antiqua"/>
          <w:color w:val="000000"/>
        </w:rPr>
        <w:t>anuscript</w:t>
      </w:r>
    </w:p>
    <w:p w14:paraId="164E07A9" w14:textId="77777777" w:rsidR="00FB125B" w:rsidRPr="00F25B0E" w:rsidRDefault="00FB125B">
      <w:pPr>
        <w:adjustRightInd w:val="0"/>
        <w:snapToGrid w:val="0"/>
        <w:spacing w:line="360" w:lineRule="auto"/>
        <w:jc w:val="both"/>
        <w:rPr>
          <w:rFonts w:ascii="Book Antiqua" w:hAnsi="Book Antiqua"/>
        </w:rPr>
      </w:pPr>
    </w:p>
    <w:p w14:paraId="4A8891C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Peer-review started: </w:t>
      </w:r>
      <w:r w:rsidRPr="00F25B0E">
        <w:rPr>
          <w:rFonts w:ascii="Book Antiqua" w:eastAsia="Book Antiqua" w:hAnsi="Book Antiqua" w:cs="Book Antiqua"/>
          <w:color w:val="000000"/>
        </w:rPr>
        <w:t>September 10, 2020</w:t>
      </w:r>
    </w:p>
    <w:p w14:paraId="744E09C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 xml:space="preserve">First decision: </w:t>
      </w:r>
      <w:r w:rsidRPr="00F25B0E">
        <w:rPr>
          <w:rFonts w:ascii="Book Antiqua" w:eastAsia="Book Antiqua" w:hAnsi="Book Antiqua" w:cs="Book Antiqua"/>
          <w:color w:val="000000"/>
        </w:rPr>
        <w:t>January 27, 2021</w:t>
      </w:r>
    </w:p>
    <w:p w14:paraId="70DB4E12" w14:textId="16F40E09"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Article in press:</w:t>
      </w:r>
    </w:p>
    <w:p w14:paraId="284EFCC1" w14:textId="77777777" w:rsidR="00FB125B" w:rsidRPr="00F25B0E" w:rsidRDefault="00FB125B">
      <w:pPr>
        <w:adjustRightInd w:val="0"/>
        <w:snapToGrid w:val="0"/>
        <w:spacing w:line="360" w:lineRule="auto"/>
        <w:jc w:val="both"/>
        <w:rPr>
          <w:rFonts w:ascii="Book Antiqua" w:hAnsi="Book Antiqua"/>
        </w:rPr>
      </w:pPr>
    </w:p>
    <w:p w14:paraId="79434776"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Specialty type: </w:t>
      </w:r>
      <w:r w:rsidRPr="00F25B0E">
        <w:rPr>
          <w:rFonts w:ascii="Book Antiqua" w:eastAsia="Book Antiqua" w:hAnsi="Book Antiqua" w:cs="Book Antiqua"/>
          <w:color w:val="000000"/>
        </w:rPr>
        <w:t>Biochemical Research Methods</w:t>
      </w:r>
    </w:p>
    <w:p w14:paraId="2519616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Country/Territory of origin: </w:t>
      </w:r>
      <w:r w:rsidRPr="00F25B0E">
        <w:rPr>
          <w:rFonts w:ascii="Book Antiqua" w:eastAsia="Book Antiqua" w:hAnsi="Book Antiqua" w:cs="Book Antiqua"/>
          <w:color w:val="000000"/>
        </w:rPr>
        <w:t>Ukraine</w:t>
      </w:r>
    </w:p>
    <w:p w14:paraId="59BB20E8"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Peer-review report’s scientific quality classification</w:t>
      </w:r>
    </w:p>
    <w:p w14:paraId="7AEA58B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A (Excellent): 0</w:t>
      </w:r>
    </w:p>
    <w:p w14:paraId="0B5A6F0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B (Very good): 0</w:t>
      </w:r>
    </w:p>
    <w:p w14:paraId="27620D7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C (Good): C</w:t>
      </w:r>
    </w:p>
    <w:p w14:paraId="77ABC20E"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D (Fair): 0</w:t>
      </w:r>
    </w:p>
    <w:p w14:paraId="134090E5"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E (Poor): 0</w:t>
      </w:r>
    </w:p>
    <w:p w14:paraId="2F0353C5" w14:textId="77777777" w:rsidR="00FB125B" w:rsidRPr="00F25B0E" w:rsidRDefault="00FB125B">
      <w:pPr>
        <w:adjustRightInd w:val="0"/>
        <w:snapToGrid w:val="0"/>
        <w:spacing w:line="360" w:lineRule="auto"/>
        <w:jc w:val="both"/>
        <w:rPr>
          <w:rFonts w:ascii="Book Antiqua" w:hAnsi="Book Antiqua"/>
        </w:rPr>
      </w:pPr>
    </w:p>
    <w:p w14:paraId="2DB17759" w14:textId="1BC60DA0" w:rsidR="00FB125B" w:rsidRPr="00F25B0E" w:rsidRDefault="00AD38B7">
      <w:pPr>
        <w:adjustRightInd w:val="0"/>
        <w:snapToGrid w:val="0"/>
        <w:spacing w:line="360" w:lineRule="auto"/>
        <w:jc w:val="both"/>
        <w:rPr>
          <w:rFonts w:ascii="Book Antiqua" w:hAnsi="Book Antiqua"/>
        </w:rPr>
        <w:sectPr w:rsidR="00FB125B" w:rsidRPr="00F25B0E">
          <w:pgSz w:w="12240" w:h="15840"/>
          <w:pgMar w:top="1440" w:right="1440" w:bottom="1440" w:left="1440" w:header="720" w:footer="720" w:gutter="0"/>
          <w:cols w:space="720"/>
          <w:docGrid w:linePitch="360"/>
        </w:sectPr>
      </w:pPr>
      <w:r w:rsidRPr="00F25B0E">
        <w:rPr>
          <w:rFonts w:ascii="Book Antiqua" w:eastAsia="Book Antiqua" w:hAnsi="Book Antiqua" w:cs="Book Antiqua"/>
          <w:b/>
          <w:color w:val="000000"/>
        </w:rPr>
        <w:t xml:space="preserve">P-Reviewer: </w:t>
      </w:r>
      <w:r w:rsidRPr="00F25B0E">
        <w:rPr>
          <w:rFonts w:ascii="Book Antiqua" w:eastAsia="Book Antiqua" w:hAnsi="Book Antiqua" w:cs="Book Antiqua"/>
          <w:color w:val="000000"/>
        </w:rPr>
        <w:t>Jennane R</w:t>
      </w:r>
      <w:r w:rsidRPr="00F25B0E">
        <w:rPr>
          <w:rFonts w:ascii="Book Antiqua" w:eastAsia="Book Antiqua" w:hAnsi="Book Antiqua" w:cs="Book Antiqua"/>
          <w:b/>
          <w:color w:val="000000"/>
        </w:rPr>
        <w:t xml:space="preserve"> S-Editor: </w:t>
      </w:r>
      <w:r w:rsidRPr="00F25B0E">
        <w:rPr>
          <w:rFonts w:ascii="Book Antiqua" w:eastAsia="Book Antiqua" w:hAnsi="Book Antiqua" w:cs="Book Antiqua"/>
          <w:color w:val="000000"/>
        </w:rPr>
        <w:t>Liu M</w:t>
      </w:r>
      <w:r w:rsidRPr="00F25B0E">
        <w:rPr>
          <w:rFonts w:ascii="Book Antiqua" w:eastAsia="Book Antiqua" w:hAnsi="Book Antiqua" w:cs="Book Antiqua"/>
          <w:b/>
          <w:color w:val="000000"/>
        </w:rPr>
        <w:t xml:space="preserve"> L-Editor: </w:t>
      </w:r>
      <w:r w:rsidR="00A5438D" w:rsidRPr="00F25B0E">
        <w:rPr>
          <w:rFonts w:ascii="Book Antiqua" w:eastAsia="Book Antiqua" w:hAnsi="Book Antiqua" w:cs="Book Antiqua"/>
          <w:bCs/>
          <w:color w:val="000000"/>
        </w:rPr>
        <w:t>Filipodia</w:t>
      </w:r>
      <w:r w:rsidRPr="00F25B0E">
        <w:rPr>
          <w:rFonts w:ascii="Book Antiqua" w:eastAsia="Book Antiqua" w:hAnsi="Book Antiqua" w:cs="Book Antiqua"/>
          <w:b/>
          <w:color w:val="000000"/>
        </w:rPr>
        <w:t xml:space="preserve"> P-Editor: </w:t>
      </w:r>
    </w:p>
    <w:p w14:paraId="0C3C4F7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Figure Legends</w:t>
      </w:r>
    </w:p>
    <w:p w14:paraId="00C0B88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noProof/>
          <w:lang w:eastAsia="zh-CN"/>
        </w:rPr>
        <w:drawing>
          <wp:inline distT="0" distB="0" distL="114300" distR="114300" wp14:anchorId="37EAA10E" wp14:editId="3F3171E0">
            <wp:extent cx="3931920" cy="3299460"/>
            <wp:effectExtent l="0" t="0" r="0" b="762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a:blip r:embed="rId11"/>
                    <a:stretch>
                      <a:fillRect/>
                    </a:stretch>
                  </pic:blipFill>
                  <pic:spPr>
                    <a:xfrm>
                      <a:off x="0" y="0"/>
                      <a:ext cx="3931920" cy="3299460"/>
                    </a:xfrm>
                    <a:prstGeom prst="rect">
                      <a:avLst/>
                    </a:prstGeom>
                    <a:noFill/>
                    <a:ln>
                      <a:noFill/>
                    </a:ln>
                  </pic:spPr>
                </pic:pic>
              </a:graphicData>
            </a:graphic>
          </wp:inline>
        </w:drawing>
      </w:r>
    </w:p>
    <w:p w14:paraId="7C7322DF" w14:textId="684D89E2" w:rsidR="00FB125B" w:rsidRPr="00F25B0E" w:rsidRDefault="00AD38B7">
      <w:pPr>
        <w:adjustRightInd w:val="0"/>
        <w:snapToGrid w:val="0"/>
        <w:spacing w:line="360" w:lineRule="auto"/>
        <w:jc w:val="both"/>
        <w:rPr>
          <w:rFonts w:ascii="Book Antiqua" w:eastAsia="Book Antiqua" w:hAnsi="Book Antiqua" w:cs="Book Antiqua"/>
          <w:b/>
          <w:color w:val="000000"/>
        </w:rPr>
      </w:pPr>
      <w:r w:rsidRPr="00F25B0E">
        <w:rPr>
          <w:rFonts w:ascii="Book Antiqua" w:eastAsia="Book Antiqua" w:hAnsi="Book Antiqua" w:cs="Book Antiqua"/>
          <w:b/>
          <w:color w:val="000000"/>
          <w:lang w:eastAsia="zh-CN" w:bidi="ar"/>
        </w:rPr>
        <w:t xml:space="preserve">Figure 1 </w:t>
      </w:r>
      <w:r w:rsidR="006D518D">
        <w:rPr>
          <w:rFonts w:ascii="Book Antiqua" w:eastAsia="Book Antiqua" w:hAnsi="Book Antiqua" w:cs="Book Antiqua"/>
          <w:b/>
          <w:color w:val="000000"/>
          <w:lang w:eastAsia="zh-CN" w:bidi="ar"/>
        </w:rPr>
        <w:t>S</w:t>
      </w:r>
      <w:r w:rsidRPr="00F25B0E">
        <w:rPr>
          <w:rFonts w:ascii="Book Antiqua" w:eastAsia="Book Antiqua" w:hAnsi="Book Antiqua" w:cs="Book Antiqua"/>
          <w:b/>
          <w:color w:val="000000"/>
          <w:lang w:eastAsia="zh-CN" w:bidi="ar"/>
        </w:rPr>
        <w:t>cheme of biomechanical testing and biomechanical testing.</w:t>
      </w:r>
      <w:r w:rsidRPr="00F25B0E">
        <w:rPr>
          <w:rFonts w:ascii="Book Antiqua" w:eastAsia="Book Antiqua" w:hAnsi="Book Antiqua" w:cs="Book Antiqua"/>
          <w:color w:val="000000"/>
          <w:lang w:eastAsia="zh-CN" w:bidi="ar"/>
        </w:rPr>
        <w:t xml:space="preserve"> A:</w:t>
      </w:r>
      <w:r w:rsidRPr="00F25B0E">
        <w:rPr>
          <w:rFonts w:ascii="Book Antiqua" w:eastAsia="Book Antiqua" w:hAnsi="Book Antiqua" w:cs="Book Antiqua"/>
          <w:b/>
          <w:color w:val="000000"/>
          <w:lang w:eastAsia="zh-CN" w:bidi="ar"/>
        </w:rPr>
        <w:t xml:space="preserve"> </w:t>
      </w:r>
      <w:r w:rsidRPr="00F25B0E">
        <w:rPr>
          <w:rFonts w:ascii="Book Antiqua" w:eastAsia="Book Antiqua" w:hAnsi="Book Antiqua" w:cs="Book Antiqua"/>
          <w:color w:val="000000"/>
          <w:lang w:eastAsia="zh-CN" w:bidi="ar"/>
        </w:rPr>
        <w:t>The geometric dimension of the implants; B: Rabbit femur with implant on the stand during test</w:t>
      </w:r>
      <w:r w:rsidR="008C149E">
        <w:rPr>
          <w:rFonts w:ascii="Book Antiqua" w:eastAsia="Book Antiqua" w:hAnsi="Book Antiqua" w:cs="Book Antiqua"/>
          <w:color w:val="000000"/>
          <w:lang w:eastAsia="zh-CN" w:bidi="ar"/>
        </w:rPr>
        <w:t>ing</w:t>
      </w:r>
      <w:r w:rsidRPr="00F25B0E">
        <w:rPr>
          <w:rFonts w:ascii="Book Antiqua" w:eastAsia="Book Antiqua" w:hAnsi="Book Antiqua" w:cs="Book Antiqua"/>
          <w:b/>
          <w:color w:val="000000"/>
          <w:lang w:eastAsia="zh-CN" w:bidi="ar"/>
        </w:rPr>
        <w:t>.</w:t>
      </w:r>
    </w:p>
    <w:p w14:paraId="680DC86F"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b/>
          <w:color w:val="000000"/>
          <w:lang w:bidi="ar"/>
        </w:rPr>
        <w:br w:type="page"/>
      </w:r>
      <w:r w:rsidRPr="00F25B0E">
        <w:rPr>
          <w:rFonts w:ascii="Book Antiqua" w:eastAsia="Book Antiqua" w:hAnsi="Book Antiqua" w:cs="Book Antiqua"/>
          <w:b/>
          <w:noProof/>
          <w:color w:val="000000"/>
          <w:lang w:eastAsia="zh-CN"/>
        </w:rPr>
        <w:lastRenderedPageBreak/>
        <w:drawing>
          <wp:inline distT="0" distB="0" distL="114300" distR="114300" wp14:anchorId="66EA6568" wp14:editId="4941281D">
            <wp:extent cx="2941320" cy="3649980"/>
            <wp:effectExtent l="0" t="0" r="0" b="762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pic:cNvPicPr>
                  </pic:nvPicPr>
                  <pic:blipFill>
                    <a:blip r:embed="rId12"/>
                    <a:stretch>
                      <a:fillRect/>
                    </a:stretch>
                  </pic:blipFill>
                  <pic:spPr>
                    <a:xfrm>
                      <a:off x="0" y="0"/>
                      <a:ext cx="2941320" cy="3649980"/>
                    </a:xfrm>
                    <a:prstGeom prst="rect">
                      <a:avLst/>
                    </a:prstGeom>
                    <a:noFill/>
                    <a:ln>
                      <a:noFill/>
                    </a:ln>
                  </pic:spPr>
                </pic:pic>
              </a:graphicData>
            </a:graphic>
          </wp:inline>
        </w:drawing>
      </w:r>
    </w:p>
    <w:p w14:paraId="73CF46A1" w14:textId="01AF89D5" w:rsidR="00FB125B" w:rsidRPr="00F25B0E" w:rsidRDefault="00AD38B7">
      <w:pPr>
        <w:adjustRightInd w:val="0"/>
        <w:snapToGrid w:val="0"/>
        <w:spacing w:line="360" w:lineRule="auto"/>
        <w:jc w:val="both"/>
        <w:rPr>
          <w:rFonts w:ascii="Book Antiqua" w:eastAsia="Book Antiqua" w:hAnsi="Book Antiqua" w:cs="Book Antiqua"/>
          <w:color w:val="000000"/>
        </w:rPr>
      </w:pPr>
      <w:r w:rsidRPr="00F25B0E">
        <w:rPr>
          <w:rFonts w:ascii="Book Antiqua" w:eastAsia="Book Antiqua" w:hAnsi="Book Antiqua" w:cs="Book Antiqua"/>
          <w:b/>
          <w:color w:val="000000"/>
          <w:lang w:eastAsia="zh-CN" w:bidi="ar"/>
        </w:rPr>
        <w:t xml:space="preserve">Figure 2 Х-ray images of rabbits after implanted CONCELOC material (arrow) in the proximal femur. </w:t>
      </w:r>
      <w:r w:rsidRPr="00F25B0E">
        <w:rPr>
          <w:rFonts w:ascii="Book Antiqua" w:eastAsia="Book Antiqua" w:hAnsi="Book Antiqua" w:cs="Book Antiqua"/>
          <w:bCs/>
          <w:color w:val="000000"/>
          <w:lang w:eastAsia="zh-CN" w:bidi="ar"/>
        </w:rPr>
        <w:t>А: Non-ovariectomized (non-OVX) rabbit after surgery; B: Non-OVX rabbit at 8 wk after surgery; C: Ovariectomized (OVX) rabbit after surgery</w:t>
      </w:r>
      <w:r w:rsidRPr="00F25B0E">
        <w:rPr>
          <w:rFonts w:ascii="Book Antiqua" w:eastAsia="Book Antiqua" w:hAnsi="Book Antiqua" w:cs="Book Antiqua"/>
          <w:color w:val="000000"/>
          <w:lang w:eastAsia="zh-CN" w:bidi="ar"/>
        </w:rPr>
        <w:t xml:space="preserve">; </w:t>
      </w:r>
      <w:r w:rsidRPr="00F25B0E">
        <w:rPr>
          <w:rFonts w:ascii="Book Antiqua" w:eastAsia="Book Antiqua" w:hAnsi="Book Antiqua" w:cs="Book Antiqua"/>
          <w:bCs/>
          <w:color w:val="000000"/>
          <w:lang w:eastAsia="zh-CN" w:bidi="ar"/>
        </w:rPr>
        <w:t>D: OVX rabbit at 8 wk after surgery</w:t>
      </w:r>
      <w:r w:rsidRPr="00F25B0E">
        <w:rPr>
          <w:rFonts w:ascii="Book Antiqua" w:eastAsia="Book Antiqua" w:hAnsi="Book Antiqua" w:cs="Book Antiqua"/>
          <w:color w:val="000000"/>
          <w:lang w:eastAsia="zh-CN" w:bidi="ar"/>
        </w:rPr>
        <w:t>.</w:t>
      </w:r>
    </w:p>
    <w:p w14:paraId="71D57570"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color w:val="000000"/>
          <w:lang w:bidi="ar"/>
        </w:rPr>
        <w:br w:type="page"/>
      </w:r>
      <w:r w:rsidRPr="00F25B0E">
        <w:rPr>
          <w:rFonts w:ascii="Book Antiqua" w:eastAsia="Book Antiqua" w:hAnsi="Book Antiqua" w:cs="Book Antiqua"/>
          <w:noProof/>
          <w:color w:val="000000"/>
          <w:lang w:eastAsia="zh-CN"/>
        </w:rPr>
        <w:lastRenderedPageBreak/>
        <w:drawing>
          <wp:inline distT="0" distB="0" distL="114300" distR="114300" wp14:anchorId="63ACB880" wp14:editId="742EE9C7">
            <wp:extent cx="5623560" cy="295656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pic:cNvPicPr>
                  </pic:nvPicPr>
                  <pic:blipFill>
                    <a:blip r:embed="rId13"/>
                    <a:stretch>
                      <a:fillRect/>
                    </a:stretch>
                  </pic:blipFill>
                  <pic:spPr>
                    <a:xfrm>
                      <a:off x="0" y="0"/>
                      <a:ext cx="5623560" cy="2956560"/>
                    </a:xfrm>
                    <a:prstGeom prst="rect">
                      <a:avLst/>
                    </a:prstGeom>
                    <a:noFill/>
                    <a:ln>
                      <a:noFill/>
                    </a:ln>
                  </pic:spPr>
                </pic:pic>
              </a:graphicData>
            </a:graphic>
          </wp:inline>
        </w:drawing>
      </w:r>
    </w:p>
    <w:p w14:paraId="250739B5" w14:textId="6541F1E6" w:rsidR="00FB125B" w:rsidRPr="00F25B0E" w:rsidRDefault="00AD38B7">
      <w:pPr>
        <w:adjustRightInd w:val="0"/>
        <w:snapToGrid w:val="0"/>
        <w:spacing w:line="360" w:lineRule="auto"/>
        <w:jc w:val="both"/>
        <w:rPr>
          <w:rFonts w:ascii="Book Antiqua" w:eastAsia="Book Antiqua" w:hAnsi="Book Antiqua" w:cs="Book Antiqua"/>
          <w:b/>
          <w:color w:val="000000"/>
        </w:rPr>
      </w:pPr>
      <w:r w:rsidRPr="00F25B0E">
        <w:rPr>
          <w:rFonts w:ascii="Book Antiqua" w:eastAsia="Book Antiqua" w:hAnsi="Book Antiqua" w:cs="Book Antiqua"/>
          <w:b/>
          <w:color w:val="000000"/>
          <w:lang w:eastAsia="zh-CN" w:bidi="ar"/>
        </w:rPr>
        <w:t xml:space="preserve">Figure 3 Evaluation of the </w:t>
      </w:r>
      <w:r w:rsidR="00AA3D9E">
        <w:rPr>
          <w:rFonts w:ascii="Book Antiqua" w:eastAsia="Book Antiqua" w:hAnsi="Book Antiqua" w:cs="Book Antiqua"/>
          <w:b/>
          <w:color w:val="000000"/>
          <w:lang w:eastAsia="zh-CN" w:bidi="ar"/>
        </w:rPr>
        <w:t>c</w:t>
      </w:r>
      <w:r w:rsidRPr="00F25B0E">
        <w:rPr>
          <w:rFonts w:ascii="Book Antiqua" w:eastAsia="Book Antiqua" w:hAnsi="Book Antiqua" w:cs="Book Antiqua"/>
          <w:b/>
          <w:color w:val="000000"/>
          <w:lang w:eastAsia="zh-CN" w:bidi="ar"/>
        </w:rPr>
        <w:t xml:space="preserve">ortical </w:t>
      </w:r>
      <w:r w:rsidR="00AA3D9E">
        <w:rPr>
          <w:rFonts w:ascii="Book Antiqua" w:eastAsia="Book Antiqua" w:hAnsi="Book Antiqua" w:cs="Book Antiqua"/>
          <w:b/>
          <w:color w:val="000000"/>
          <w:lang w:eastAsia="zh-CN" w:bidi="ar"/>
        </w:rPr>
        <w:t>t</w:t>
      </w:r>
      <w:r w:rsidRPr="00F25B0E">
        <w:rPr>
          <w:rFonts w:ascii="Book Antiqua" w:eastAsia="Book Antiqua" w:hAnsi="Book Antiqua" w:cs="Book Antiqua"/>
          <w:b/>
          <w:color w:val="000000"/>
          <w:lang w:eastAsia="zh-CN" w:bidi="ar"/>
        </w:rPr>
        <w:t xml:space="preserve">hickness </w:t>
      </w:r>
      <w:r w:rsidR="00AA3D9E">
        <w:rPr>
          <w:rFonts w:ascii="Book Antiqua" w:eastAsia="Book Antiqua" w:hAnsi="Book Antiqua" w:cs="Book Antiqua"/>
          <w:b/>
          <w:color w:val="000000"/>
          <w:lang w:eastAsia="zh-CN" w:bidi="ar"/>
        </w:rPr>
        <w:t>i</w:t>
      </w:r>
      <w:r w:rsidRPr="00F25B0E">
        <w:rPr>
          <w:rFonts w:ascii="Book Antiqua" w:eastAsia="Book Antiqua" w:hAnsi="Book Antiqua" w:cs="Book Antiqua"/>
          <w:b/>
          <w:color w:val="000000"/>
          <w:lang w:eastAsia="zh-CN" w:bidi="ar"/>
        </w:rPr>
        <w:t xml:space="preserve">ndex of the proximal femur of rabbit </w:t>
      </w:r>
      <w:r w:rsidR="008C149E">
        <w:rPr>
          <w:rFonts w:ascii="Book Antiqua" w:eastAsia="Book Antiqua" w:hAnsi="Book Antiqua" w:cs="Book Antiqua"/>
          <w:b/>
          <w:color w:val="000000"/>
          <w:lang w:eastAsia="zh-CN" w:bidi="ar"/>
        </w:rPr>
        <w:t>with</w:t>
      </w:r>
      <w:r w:rsidR="008C149E" w:rsidRPr="00F25B0E">
        <w:rPr>
          <w:rFonts w:ascii="Book Antiqua" w:eastAsia="Book Antiqua" w:hAnsi="Book Antiqua" w:cs="Book Antiqua"/>
          <w:b/>
          <w:color w:val="000000"/>
          <w:lang w:eastAsia="zh-CN" w:bidi="ar"/>
        </w:rPr>
        <w:t xml:space="preserve"> </w:t>
      </w:r>
      <w:r w:rsidRPr="00F25B0E">
        <w:rPr>
          <w:rFonts w:ascii="Book Antiqua" w:eastAsia="Book Antiqua" w:hAnsi="Book Antiqua" w:cs="Book Antiqua"/>
          <w:b/>
          <w:color w:val="000000"/>
          <w:lang w:eastAsia="zh-CN" w:bidi="ar"/>
        </w:rPr>
        <w:t xml:space="preserve">"X-Rays" </w:t>
      </w:r>
      <w:r w:rsidR="00AA3D9E" w:rsidRPr="00F25B0E">
        <w:rPr>
          <w:rFonts w:ascii="Book Antiqua" w:eastAsia="Book Antiqua" w:hAnsi="Book Antiqua" w:cs="Book Antiqua"/>
          <w:b/>
          <w:color w:val="000000"/>
          <w:lang w:eastAsia="zh-CN" w:bidi="ar"/>
        </w:rPr>
        <w:t xml:space="preserve">software </w:t>
      </w:r>
      <w:r w:rsidRPr="00F25B0E">
        <w:rPr>
          <w:rFonts w:ascii="Book Antiqua" w:eastAsia="Book Antiqua" w:hAnsi="Book Antiqua" w:cs="Book Antiqua"/>
          <w:b/>
          <w:color w:val="000000"/>
          <w:lang w:eastAsia="zh-CN" w:bidi="ar"/>
        </w:rPr>
        <w:t>(Kharkiv National University of Radioelectronics</w:t>
      </w:r>
      <w:r w:rsidR="00AA3D9E">
        <w:rPr>
          <w:rFonts w:ascii="Book Antiqua" w:eastAsia="Book Antiqua" w:hAnsi="Book Antiqua" w:cs="Book Antiqua"/>
          <w:b/>
          <w:color w:val="000000"/>
          <w:lang w:eastAsia="zh-CN" w:bidi="ar"/>
        </w:rPr>
        <w:t>,</w:t>
      </w:r>
      <w:r w:rsidRPr="00F25B0E">
        <w:rPr>
          <w:rFonts w:ascii="Book Antiqua" w:eastAsia="Book Antiqua" w:hAnsi="Book Antiqua" w:cs="Book Antiqua"/>
          <w:b/>
          <w:color w:val="000000"/>
          <w:lang w:eastAsia="zh-CN" w:bidi="ar"/>
        </w:rPr>
        <w:t xml:space="preserve"> Ukraine) 3 mo after ovariectomy.</w:t>
      </w:r>
    </w:p>
    <w:p w14:paraId="213D9D8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b/>
          <w:color w:val="000000"/>
          <w:lang w:bidi="ar"/>
        </w:rPr>
        <w:br w:type="page"/>
      </w:r>
      <w:r w:rsidRPr="00F25B0E">
        <w:rPr>
          <w:rFonts w:ascii="Book Antiqua" w:eastAsia="Book Antiqua" w:hAnsi="Book Antiqua" w:cs="Book Antiqua"/>
          <w:b/>
          <w:noProof/>
          <w:color w:val="000000"/>
          <w:lang w:eastAsia="zh-CN"/>
        </w:rPr>
        <w:lastRenderedPageBreak/>
        <w:drawing>
          <wp:inline distT="0" distB="0" distL="114300" distR="114300" wp14:anchorId="46CB6AFB" wp14:editId="04D40A69">
            <wp:extent cx="3238500" cy="3497580"/>
            <wp:effectExtent l="0" t="0" r="7620" b="762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pic:cNvPicPr>
                  </pic:nvPicPr>
                  <pic:blipFill>
                    <a:blip r:embed="rId14"/>
                    <a:stretch>
                      <a:fillRect/>
                    </a:stretch>
                  </pic:blipFill>
                  <pic:spPr>
                    <a:xfrm>
                      <a:off x="0" y="0"/>
                      <a:ext cx="3238500" cy="3497580"/>
                    </a:xfrm>
                    <a:prstGeom prst="rect">
                      <a:avLst/>
                    </a:prstGeom>
                    <a:noFill/>
                    <a:ln>
                      <a:noFill/>
                    </a:ln>
                  </pic:spPr>
                </pic:pic>
              </a:graphicData>
            </a:graphic>
          </wp:inline>
        </w:drawing>
      </w:r>
    </w:p>
    <w:p w14:paraId="53D06C60" w14:textId="0266FEF3" w:rsidR="00FB125B" w:rsidRPr="00F25B0E" w:rsidRDefault="00AD38B7">
      <w:pPr>
        <w:adjustRightInd w:val="0"/>
        <w:snapToGrid w:val="0"/>
        <w:spacing w:line="360" w:lineRule="auto"/>
        <w:jc w:val="both"/>
        <w:rPr>
          <w:rFonts w:ascii="Book Antiqua" w:eastAsia="Book Antiqua" w:hAnsi="Book Antiqua" w:cs="Book Antiqua"/>
          <w:b/>
          <w:color w:val="000000"/>
        </w:rPr>
      </w:pPr>
      <w:r w:rsidRPr="00F25B0E">
        <w:rPr>
          <w:rFonts w:ascii="Book Antiqua" w:eastAsia="Book Antiqua" w:hAnsi="Book Antiqua" w:cs="Book Antiqua"/>
          <w:b/>
          <w:color w:val="000000"/>
          <w:lang w:eastAsia="zh-CN" w:bidi="ar"/>
        </w:rPr>
        <w:t xml:space="preserve">Figure 4 </w:t>
      </w:r>
      <w:r w:rsidR="006D518D">
        <w:rPr>
          <w:rFonts w:ascii="Book Antiqua" w:eastAsia="Book Antiqua" w:hAnsi="Book Antiqua" w:cs="Book Antiqua"/>
          <w:b/>
          <w:color w:val="000000"/>
          <w:lang w:eastAsia="zh-CN" w:bidi="ar"/>
        </w:rPr>
        <w:t>D</w:t>
      </w:r>
      <w:r w:rsidRPr="00F25B0E">
        <w:rPr>
          <w:rFonts w:ascii="Book Antiqua" w:eastAsia="Book Antiqua" w:hAnsi="Book Antiqua" w:cs="Book Antiqua"/>
          <w:b/>
          <w:color w:val="000000"/>
          <w:lang w:eastAsia="zh-CN" w:bidi="ar"/>
        </w:rPr>
        <w:t>evice for recording breakout force with a strain gauge.</w:t>
      </w:r>
    </w:p>
    <w:p w14:paraId="7DDA8B25" w14:textId="77777777" w:rsidR="00FB125B" w:rsidRPr="00F25B0E" w:rsidRDefault="00AD38B7">
      <w:pPr>
        <w:adjustRightInd w:val="0"/>
        <w:snapToGrid w:val="0"/>
        <w:spacing w:line="360" w:lineRule="auto"/>
        <w:ind w:left="120" w:hangingChars="50" w:hanging="120"/>
        <w:jc w:val="both"/>
        <w:rPr>
          <w:rFonts w:ascii="Book Antiqua" w:eastAsia="Book Antiqua" w:hAnsi="Book Antiqua" w:cs="Book Antiqua"/>
        </w:rPr>
      </w:pPr>
      <w:r w:rsidRPr="00F25B0E">
        <w:rPr>
          <w:rFonts w:ascii="Book Antiqua" w:eastAsia="Book Antiqua" w:hAnsi="Book Antiqua" w:cs="Book Antiqua"/>
          <w:b/>
          <w:color w:val="000000"/>
          <w:lang w:bidi="ar"/>
        </w:rPr>
        <w:br w:type="page"/>
      </w:r>
      <w:r w:rsidRPr="00F25B0E">
        <w:rPr>
          <w:rFonts w:ascii="Book Antiqua" w:eastAsia="Book Antiqua" w:hAnsi="Book Antiqua" w:cs="Book Antiqua"/>
          <w:b/>
          <w:noProof/>
          <w:color w:val="000000"/>
          <w:lang w:eastAsia="zh-CN"/>
        </w:rPr>
        <w:lastRenderedPageBreak/>
        <w:drawing>
          <wp:inline distT="0" distB="0" distL="114300" distR="114300" wp14:anchorId="55A00ED9" wp14:editId="78667737">
            <wp:extent cx="5890440" cy="22514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902346" cy="2256045"/>
                    </a:xfrm>
                    <a:prstGeom prst="rect">
                      <a:avLst/>
                    </a:prstGeom>
                    <a:noFill/>
                    <a:ln>
                      <a:noFill/>
                    </a:ln>
                  </pic:spPr>
                </pic:pic>
              </a:graphicData>
            </a:graphic>
          </wp:inline>
        </w:drawing>
      </w:r>
    </w:p>
    <w:p w14:paraId="4418F657" w14:textId="7F0985FB"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b/>
          <w:color w:val="000000"/>
          <w:lang w:eastAsia="zh-CN" w:bidi="ar"/>
        </w:rPr>
        <w:t>Figure 5</w:t>
      </w:r>
      <w:r w:rsidRPr="00F25B0E">
        <w:rPr>
          <w:rFonts w:ascii="Book Antiqua" w:eastAsia="Book Antiqua" w:hAnsi="Book Antiqua" w:cs="Book Antiqua"/>
          <w:color w:val="000000"/>
          <w:lang w:eastAsia="zh-CN" w:bidi="ar"/>
        </w:rPr>
        <w:t xml:space="preserve"> </w:t>
      </w:r>
      <w:r w:rsidRPr="00F25B0E">
        <w:rPr>
          <w:rFonts w:ascii="Book Antiqua" w:eastAsia="Book Antiqua" w:hAnsi="Book Antiqua" w:cs="Book Antiqua"/>
          <w:b/>
          <w:color w:val="000000"/>
          <w:lang w:eastAsia="zh-CN" w:bidi="ar"/>
        </w:rPr>
        <w:t>Results of breakout force testing of four type</w:t>
      </w:r>
      <w:r w:rsidR="008C149E">
        <w:rPr>
          <w:rFonts w:ascii="Book Antiqua" w:eastAsia="Book Antiqua" w:hAnsi="Book Antiqua" w:cs="Book Antiqua"/>
          <w:b/>
          <w:color w:val="000000"/>
          <w:lang w:eastAsia="zh-CN" w:bidi="ar"/>
        </w:rPr>
        <w:t>s of</w:t>
      </w:r>
      <w:r w:rsidRPr="00F25B0E">
        <w:rPr>
          <w:rFonts w:ascii="Book Antiqua" w:eastAsia="Book Antiqua" w:hAnsi="Book Antiqua" w:cs="Book Antiqua"/>
          <w:b/>
          <w:color w:val="000000"/>
          <w:lang w:eastAsia="zh-CN" w:bidi="ar"/>
        </w:rPr>
        <w:t xml:space="preserve"> porous materials in ovariectomized (OVX, </w:t>
      </w:r>
      <w:r w:rsidRPr="00F25B0E">
        <w:rPr>
          <w:rFonts w:ascii="Book Antiqua" w:eastAsia="Book Antiqua" w:hAnsi="Book Antiqua" w:cs="Book Antiqua"/>
          <w:b/>
          <w:i/>
          <w:color w:val="000000"/>
          <w:lang w:eastAsia="zh-CN" w:bidi="ar"/>
        </w:rPr>
        <w:t>n</w:t>
      </w:r>
      <w:r w:rsidRPr="00F25B0E">
        <w:rPr>
          <w:rFonts w:ascii="Book Antiqua" w:eastAsia="Book Antiqua" w:hAnsi="Book Antiqua" w:cs="Book Antiqua"/>
          <w:b/>
          <w:color w:val="000000"/>
          <w:lang w:eastAsia="zh-CN" w:bidi="ar"/>
        </w:rPr>
        <w:t xml:space="preserve"> = 20) and health</w:t>
      </w:r>
      <w:r w:rsidR="008C149E">
        <w:rPr>
          <w:rFonts w:ascii="Book Antiqua" w:eastAsia="Book Antiqua" w:hAnsi="Book Antiqua" w:cs="Book Antiqua"/>
          <w:b/>
          <w:color w:val="000000"/>
          <w:lang w:eastAsia="zh-CN" w:bidi="ar"/>
        </w:rPr>
        <w:t>y</w:t>
      </w:r>
      <w:r w:rsidRPr="00F25B0E">
        <w:rPr>
          <w:rFonts w:ascii="Book Antiqua" w:eastAsia="Book Antiqua" w:hAnsi="Book Antiqua" w:cs="Book Antiqua"/>
          <w:b/>
          <w:color w:val="000000"/>
          <w:lang w:eastAsia="zh-CN" w:bidi="ar"/>
        </w:rPr>
        <w:t xml:space="preserve"> rabbits (non-OVX, </w:t>
      </w:r>
      <w:r w:rsidRPr="00F25B0E">
        <w:rPr>
          <w:rFonts w:ascii="Book Antiqua" w:eastAsia="Book Antiqua" w:hAnsi="Book Antiqua" w:cs="Book Antiqua"/>
          <w:b/>
          <w:i/>
          <w:color w:val="000000"/>
          <w:lang w:eastAsia="zh-CN" w:bidi="ar"/>
        </w:rPr>
        <w:t>n</w:t>
      </w:r>
      <w:r w:rsidRPr="00F25B0E">
        <w:rPr>
          <w:rFonts w:ascii="Book Antiqua" w:eastAsia="Book Antiqua" w:hAnsi="Book Antiqua" w:cs="Book Antiqua"/>
          <w:b/>
          <w:color w:val="000000"/>
          <w:lang w:eastAsia="zh-CN" w:bidi="ar"/>
        </w:rPr>
        <w:t xml:space="preserve"> = 20) 8 wk after implantation. </w:t>
      </w:r>
      <w:r w:rsidRPr="00F25B0E">
        <w:rPr>
          <w:rFonts w:ascii="Book Antiqua" w:eastAsia="Book Antiqua" w:hAnsi="Book Antiqua" w:cs="Book Antiqua"/>
          <w:color w:val="000000"/>
          <w:lang w:eastAsia="zh-CN" w:bidi="ar"/>
        </w:rPr>
        <w:t xml:space="preserve">А: Unpaired </w:t>
      </w:r>
      <w:r w:rsidRPr="00F25B0E">
        <w:rPr>
          <w:rFonts w:ascii="Book Antiqua" w:eastAsia="Book Antiqua" w:hAnsi="Book Antiqua" w:cs="Book Antiqua"/>
          <w:i/>
          <w:color w:val="000000"/>
          <w:lang w:eastAsia="zh-CN" w:bidi="ar"/>
        </w:rPr>
        <w:t>t</w:t>
      </w:r>
      <w:r w:rsidR="006677B3">
        <w:rPr>
          <w:rFonts w:ascii="Book Antiqua" w:eastAsia="Book Antiqua" w:hAnsi="Book Antiqua" w:cs="Book Antiqua"/>
          <w:color w:val="000000"/>
          <w:lang w:eastAsia="zh-CN" w:bidi="ar"/>
        </w:rPr>
        <w:t>-</w:t>
      </w:r>
      <w:r w:rsidRPr="00F25B0E">
        <w:rPr>
          <w:rFonts w:ascii="Book Antiqua" w:eastAsia="Book Antiqua" w:hAnsi="Book Antiqua" w:cs="Book Antiqua"/>
          <w:color w:val="000000"/>
          <w:lang w:eastAsia="zh-CN" w:bidi="ar"/>
        </w:rPr>
        <w:t>test: Analysis of the effect of osteoporosis (OVX group) on the bone-implant strength and osseointegration for the same type of implant; B: ANOVA with post-hoc Duncan test evaluation of the effect of the implant material on</w:t>
      </w:r>
      <w:r w:rsidRPr="00F25B0E">
        <w:rPr>
          <w:rFonts w:ascii="Book Antiqua" w:eastAsia="Book Antiqua" w:hAnsi="Book Antiqua" w:cs="Book Antiqua"/>
          <w:b/>
          <w:color w:val="000000"/>
          <w:lang w:eastAsia="zh-CN" w:bidi="ar"/>
        </w:rPr>
        <w:t xml:space="preserve"> </w:t>
      </w:r>
      <w:r w:rsidRPr="00F25B0E">
        <w:rPr>
          <w:rFonts w:ascii="Book Antiqua" w:eastAsia="Book Antiqua" w:hAnsi="Book Antiqua" w:cs="Book Antiqua"/>
          <w:color w:val="000000"/>
          <w:lang w:eastAsia="zh-CN" w:bidi="ar"/>
        </w:rPr>
        <w:t xml:space="preserve">bone-implant strength and osseointegration in ovariectomized and non-ovariectomized rabbits. </w:t>
      </w:r>
      <w:r w:rsidRPr="00F25B0E">
        <w:rPr>
          <w:rFonts w:ascii="Book Antiqua" w:eastAsia="Book Antiqua" w:hAnsi="Book Antiqua" w:cs="Book Antiqua"/>
          <w:color w:val="000000"/>
          <w:vertAlign w:val="superscript"/>
          <w:lang w:eastAsia="zh-CN" w:bidi="ar"/>
        </w:rPr>
        <w:t>a</w:t>
      </w:r>
      <w:r w:rsidRPr="00F25B0E">
        <w:rPr>
          <w:rFonts w:ascii="Book Antiqua" w:eastAsia="Book Antiqua" w:hAnsi="Book Antiqua" w:cs="Book Antiqua"/>
          <w:i/>
          <w:color w:val="000000"/>
          <w:lang w:eastAsia="zh-CN" w:bidi="ar"/>
        </w:rPr>
        <w:t>P</w:t>
      </w:r>
      <w:r w:rsidRPr="00F25B0E">
        <w:rPr>
          <w:rFonts w:ascii="Book Antiqua" w:eastAsia="Book Antiqua" w:hAnsi="Book Antiqua" w:cs="Book Antiqua"/>
          <w:color w:val="000000"/>
          <w:lang w:eastAsia="zh-CN" w:bidi="ar"/>
        </w:rPr>
        <w:t xml:space="preserve"> &lt; 0.05; </w:t>
      </w:r>
      <w:r w:rsidRPr="00F25B0E">
        <w:rPr>
          <w:rFonts w:ascii="Book Antiqua" w:eastAsia="Book Antiqua" w:hAnsi="Book Antiqua" w:cs="Book Antiqua"/>
          <w:color w:val="000000"/>
          <w:vertAlign w:val="superscript"/>
          <w:lang w:eastAsia="zh-CN" w:bidi="ar"/>
        </w:rPr>
        <w:t>b</w:t>
      </w:r>
      <w:r w:rsidRPr="00F25B0E">
        <w:rPr>
          <w:rFonts w:ascii="Book Antiqua" w:eastAsia="Book Antiqua" w:hAnsi="Book Antiqua" w:cs="Book Antiqua"/>
          <w:i/>
          <w:color w:val="000000"/>
          <w:lang w:eastAsia="zh-CN" w:bidi="ar"/>
        </w:rPr>
        <w:t>P</w:t>
      </w:r>
      <w:r w:rsidRPr="00F25B0E">
        <w:rPr>
          <w:rFonts w:ascii="Book Antiqua" w:eastAsia="Book Antiqua" w:hAnsi="Book Antiqua" w:cs="Book Antiqua"/>
          <w:color w:val="000000"/>
          <w:lang w:eastAsia="zh-CN" w:bidi="ar"/>
        </w:rPr>
        <w:t xml:space="preserve"> &lt; 0.01; </w:t>
      </w:r>
      <w:r w:rsidRPr="00F25B0E">
        <w:rPr>
          <w:rFonts w:ascii="Book Antiqua" w:eastAsia="Book Antiqua" w:hAnsi="Book Antiqua" w:cs="Book Antiqua"/>
          <w:color w:val="000000"/>
          <w:vertAlign w:val="superscript"/>
          <w:lang w:eastAsia="zh-CN" w:bidi="ar"/>
        </w:rPr>
        <w:t>c</w:t>
      </w:r>
      <w:r w:rsidRPr="00F25B0E">
        <w:rPr>
          <w:rFonts w:ascii="Book Antiqua" w:eastAsia="Book Antiqua" w:hAnsi="Book Antiqua" w:cs="Book Antiqua"/>
          <w:i/>
          <w:color w:val="000000"/>
          <w:lang w:eastAsia="zh-CN" w:bidi="ar"/>
        </w:rPr>
        <w:t>P</w:t>
      </w:r>
      <w:r w:rsidRPr="00F25B0E">
        <w:rPr>
          <w:rFonts w:ascii="Book Antiqua" w:eastAsia="Book Antiqua" w:hAnsi="Book Antiqua" w:cs="Book Antiqua"/>
          <w:color w:val="000000"/>
          <w:lang w:eastAsia="zh-CN" w:bidi="ar"/>
        </w:rPr>
        <w:t xml:space="preserve"> &lt; 0.001. ns: </w:t>
      </w:r>
      <w:r w:rsidR="008C149E">
        <w:rPr>
          <w:rFonts w:ascii="Book Antiqua" w:eastAsia="Book Antiqua" w:hAnsi="Book Antiqua" w:cs="Book Antiqua"/>
          <w:color w:val="000000"/>
          <w:lang w:eastAsia="zh-CN" w:bidi="ar"/>
        </w:rPr>
        <w:t>n</w:t>
      </w:r>
      <w:r w:rsidRPr="00F25B0E">
        <w:rPr>
          <w:rFonts w:ascii="Book Antiqua" w:eastAsia="Book Antiqua" w:hAnsi="Book Antiqua" w:cs="Book Antiqua"/>
          <w:color w:val="000000"/>
          <w:lang w:eastAsia="zh-CN" w:bidi="ar"/>
        </w:rPr>
        <w:t xml:space="preserve">ot significant; </w:t>
      </w:r>
      <w:r w:rsidR="008C149E">
        <w:rPr>
          <w:rFonts w:ascii="Book Antiqua" w:eastAsia="Book Antiqua" w:hAnsi="Book Antiqua" w:cs="Book Antiqua"/>
          <w:lang w:eastAsia="zh-CN" w:bidi="ar"/>
        </w:rPr>
        <w:t>n</w:t>
      </w:r>
      <w:r w:rsidRPr="00F25B0E">
        <w:rPr>
          <w:rFonts w:ascii="Book Antiqua" w:eastAsia="Book Antiqua" w:hAnsi="Book Antiqua" w:cs="Book Antiqua"/>
          <w:lang w:eastAsia="zh-CN" w:bidi="ar"/>
        </w:rPr>
        <w:t xml:space="preserve">on-OVX: </w:t>
      </w:r>
      <w:r w:rsidR="008C149E">
        <w:rPr>
          <w:rFonts w:ascii="Book Antiqua" w:eastAsia="Book Antiqua" w:hAnsi="Book Antiqua" w:cs="Book Antiqua"/>
          <w:lang w:eastAsia="zh-CN" w:bidi="ar"/>
        </w:rPr>
        <w:t>n</w:t>
      </w:r>
      <w:r w:rsidRPr="00F25B0E">
        <w:rPr>
          <w:rFonts w:ascii="Book Antiqua" w:eastAsia="Book Antiqua" w:hAnsi="Book Antiqua" w:cs="Book Antiqua"/>
          <w:lang w:eastAsia="zh-CN" w:bidi="ar"/>
        </w:rPr>
        <w:t xml:space="preserve">on-ovariectomized; OVX: </w:t>
      </w:r>
      <w:r w:rsidR="008C149E">
        <w:rPr>
          <w:rFonts w:ascii="Book Antiqua" w:eastAsia="Book Antiqua" w:hAnsi="Book Antiqua" w:cs="Book Antiqua"/>
          <w:lang w:eastAsia="zh-CN" w:bidi="ar"/>
        </w:rPr>
        <w:t>o</w:t>
      </w:r>
      <w:r w:rsidRPr="00F25B0E">
        <w:rPr>
          <w:rFonts w:ascii="Book Antiqua" w:eastAsia="Book Antiqua" w:hAnsi="Book Antiqua" w:cs="Book Antiqua"/>
          <w:lang w:eastAsia="zh-CN" w:bidi="ar"/>
        </w:rPr>
        <w:t>variectomized.</w:t>
      </w:r>
    </w:p>
    <w:p w14:paraId="0CAF30AA" w14:textId="77777777" w:rsidR="00FB125B" w:rsidRPr="00F25B0E" w:rsidRDefault="00FB125B">
      <w:pPr>
        <w:adjustRightInd w:val="0"/>
        <w:snapToGrid w:val="0"/>
        <w:spacing w:line="360" w:lineRule="auto"/>
        <w:jc w:val="both"/>
        <w:rPr>
          <w:rFonts w:ascii="Book Antiqua" w:hAnsi="Book Antiqua"/>
        </w:rPr>
      </w:pPr>
    </w:p>
    <w:sectPr w:rsidR="00FB125B" w:rsidRPr="00F25B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CCABE" w14:textId="77777777" w:rsidR="00EB19CA" w:rsidRDefault="00EB19CA">
      <w:r>
        <w:separator/>
      </w:r>
    </w:p>
  </w:endnote>
  <w:endnote w:type="continuationSeparator" w:id="0">
    <w:p w14:paraId="37B4D7C4" w14:textId="77777777" w:rsidR="00EB19CA" w:rsidRDefault="00EB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094D3" w14:textId="2B78766C" w:rsidR="001B47FD" w:rsidRDefault="001B47FD">
    <w:pPr>
      <w:pStyle w:val="Footer"/>
    </w:pPr>
    <w:r>
      <w:rPr>
        <w:noProof/>
      </w:rPr>
      <mc:AlternateContent>
        <mc:Choice Requires="wps">
          <w:drawing>
            <wp:anchor distT="0" distB="0" distL="114300" distR="114300" simplePos="0" relativeHeight="251658240" behindDoc="0" locked="0" layoutInCell="1" allowOverlap="1" wp14:anchorId="060C1B45" wp14:editId="7798E001">
              <wp:simplePos x="0" y="0"/>
              <wp:positionH relativeFrom="margin">
                <wp:posOffset>5427088</wp:posOffset>
              </wp:positionH>
              <wp:positionV relativeFrom="paragraph">
                <wp:posOffset>463</wp:posOffset>
              </wp:positionV>
              <wp:extent cx="820488" cy="189230"/>
              <wp:effectExtent l="0" t="0" r="5080" b="698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88"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D75F" w14:textId="73AB5864" w:rsidR="001B47FD" w:rsidRDefault="001B47FD">
                          <w:pPr>
                            <w:pStyle w:val="Footer"/>
                            <w:rPr>
                              <w:rFonts w:ascii="Book Antiqua" w:eastAsia="SimSun" w:hAnsi="Book Antiqua" w:cs="Book Antiqua"/>
                              <w:sz w:val="24"/>
                              <w:lang w:eastAsia="zh-CN"/>
                            </w:rPr>
                          </w:pPr>
                          <w:r>
                            <w:rPr>
                              <w:rFonts w:ascii="Book Antiqua" w:eastAsia="SimSun" w:hAnsi="Book Antiqua" w:cs="Book Antiqua"/>
                              <w:sz w:val="24"/>
                              <w:lang w:eastAsia="zh-CN"/>
                            </w:rPr>
                            <w:fldChar w:fldCharType="begin"/>
                          </w:r>
                          <w:r>
                            <w:rPr>
                              <w:rFonts w:ascii="Book Antiqua" w:eastAsia="SimSun" w:hAnsi="Book Antiqua" w:cs="Book Antiqua"/>
                              <w:sz w:val="24"/>
                              <w:lang w:eastAsia="zh-CN"/>
                            </w:rPr>
                            <w:instrText xml:space="preserve"> PAGE  \* MERGEFORMAT </w:instrText>
                          </w:r>
                          <w:r>
                            <w:rPr>
                              <w:rFonts w:ascii="Book Antiqua" w:eastAsia="SimSun" w:hAnsi="Book Antiqua" w:cs="Book Antiqua"/>
                              <w:sz w:val="24"/>
                              <w:lang w:eastAsia="zh-CN"/>
                            </w:rPr>
                            <w:fldChar w:fldCharType="separate"/>
                          </w:r>
                          <w:r>
                            <w:rPr>
                              <w:rFonts w:ascii="Book Antiqua" w:eastAsia="SimSun" w:hAnsi="Book Antiqua" w:cs="Book Antiqua"/>
                              <w:noProof/>
                              <w:sz w:val="24"/>
                              <w:lang w:eastAsia="zh-CN"/>
                            </w:rPr>
                            <w:t>23</w:t>
                          </w:r>
                          <w:r>
                            <w:rPr>
                              <w:rFonts w:ascii="Book Antiqua" w:eastAsia="SimSun" w:hAnsi="Book Antiqua" w:cs="Book Antiqua"/>
                              <w:sz w:val="24"/>
                              <w:lang w:eastAsia="zh-CN"/>
                            </w:rPr>
                            <w:fldChar w:fldCharType="end"/>
                          </w:r>
                          <w:r w:rsidR="00C442BE">
                            <w:rPr>
                              <w:rFonts w:ascii="Book Antiqua" w:eastAsia="SimSun" w:hAnsi="Book Antiqua" w:cs="Book Antiqua"/>
                              <w:sz w:val="24"/>
                              <w:lang w:eastAsia="zh-CN"/>
                            </w:rPr>
                            <w:t xml:space="preserve"> </w:t>
                          </w:r>
                          <w:r>
                            <w:rPr>
                              <w:rFonts w:ascii="Book Antiqua" w:eastAsia="SimSun" w:hAnsi="Book Antiqua" w:cs="Book Antiqua"/>
                              <w:sz w:val="24"/>
                              <w:lang w:eastAsia="zh-CN"/>
                            </w:rPr>
                            <w:t>/</w:t>
                          </w:r>
                          <w:r w:rsidR="00C442BE">
                            <w:rPr>
                              <w:rFonts w:ascii="Book Antiqua" w:eastAsia="SimSun" w:hAnsi="Book Antiqua" w:cs="Book Antiqua"/>
                              <w:sz w:val="24"/>
                              <w:lang w:eastAsia="zh-CN"/>
                            </w:rPr>
                            <w:t xml:space="preserve"> </w:t>
                          </w:r>
                          <w:r>
                            <w:rPr>
                              <w:rFonts w:ascii="Book Antiqua" w:eastAsia="SimSun" w:hAnsi="Book Antiqua" w:cs="Book Antiqua"/>
                              <w:sz w:val="24"/>
                              <w:lang w:eastAsia="zh-CN"/>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0C1B45" id="_x0000_t202" coordsize="21600,21600" o:spt="202" path="m,l,21600r21600,l21600,xe">
              <v:stroke joinstyle="miter"/>
              <v:path gradientshapeok="t" o:connecttype="rect"/>
            </v:shapetype>
            <v:shape id="Text Box 1" o:spid="_x0000_s1026" type="#_x0000_t202" style="position:absolute;margin-left:427.35pt;margin-top:.05pt;width:64.6pt;height:1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" filled="f" stroked="f">
              <v:textbox style="mso-fit-shape-to-text:t" inset="0,0,0,0">
                <w:txbxContent>
                  <w:p w14:paraId="197ED75F" w14:textId="73AB5864" w:rsidR="001B47FD" w:rsidRDefault="001B47FD">
                    <w:pPr>
                      <w:pStyle w:val="Footer"/>
                      <w:rPr>
                        <w:rFonts w:ascii="Book Antiqua" w:eastAsia="SimSun" w:hAnsi="Book Antiqua" w:cs="Book Antiqua"/>
                        <w:sz w:val="24"/>
                        <w:lang w:eastAsia="zh-CN"/>
                      </w:rPr>
                    </w:pPr>
                    <w:r>
                      <w:rPr>
                        <w:rFonts w:ascii="Book Antiqua" w:eastAsia="SimSun" w:hAnsi="Book Antiqua" w:cs="Book Antiqua"/>
                        <w:sz w:val="24"/>
                        <w:lang w:eastAsia="zh-CN"/>
                      </w:rPr>
                      <w:fldChar w:fldCharType="begin"/>
                    </w:r>
                    <w:r>
                      <w:rPr>
                        <w:rFonts w:ascii="Book Antiqua" w:eastAsia="SimSun" w:hAnsi="Book Antiqua" w:cs="Book Antiqua"/>
                        <w:sz w:val="24"/>
                        <w:lang w:eastAsia="zh-CN"/>
                      </w:rPr>
                      <w:instrText xml:space="preserve"> PAGE  \* MERGEFORMAT </w:instrText>
                    </w:r>
                    <w:r>
                      <w:rPr>
                        <w:rFonts w:ascii="Book Antiqua" w:eastAsia="SimSun" w:hAnsi="Book Antiqua" w:cs="Book Antiqua"/>
                        <w:sz w:val="24"/>
                        <w:lang w:eastAsia="zh-CN"/>
                      </w:rPr>
                      <w:fldChar w:fldCharType="separate"/>
                    </w:r>
                    <w:r>
                      <w:rPr>
                        <w:rFonts w:ascii="Book Antiqua" w:eastAsia="SimSun" w:hAnsi="Book Antiqua" w:cs="Book Antiqua"/>
                        <w:noProof/>
                        <w:sz w:val="24"/>
                        <w:lang w:eastAsia="zh-CN"/>
                      </w:rPr>
                      <w:t>23</w:t>
                    </w:r>
                    <w:r>
                      <w:rPr>
                        <w:rFonts w:ascii="Book Antiqua" w:eastAsia="SimSun" w:hAnsi="Book Antiqua" w:cs="Book Antiqua"/>
                        <w:sz w:val="24"/>
                        <w:lang w:eastAsia="zh-CN"/>
                      </w:rPr>
                      <w:fldChar w:fldCharType="end"/>
                    </w:r>
                    <w:r w:rsidR="00C442BE">
                      <w:rPr>
                        <w:rFonts w:ascii="Book Antiqua" w:eastAsia="SimSun" w:hAnsi="Book Antiqua" w:cs="Book Antiqua"/>
                        <w:sz w:val="24"/>
                        <w:lang w:eastAsia="zh-CN"/>
                      </w:rPr>
                      <w:t xml:space="preserve"> </w:t>
                    </w:r>
                    <w:r>
                      <w:rPr>
                        <w:rFonts w:ascii="Book Antiqua" w:eastAsia="SimSun" w:hAnsi="Book Antiqua" w:cs="Book Antiqua"/>
                        <w:sz w:val="24"/>
                        <w:lang w:eastAsia="zh-CN"/>
                      </w:rPr>
                      <w:t>/</w:t>
                    </w:r>
                    <w:r w:rsidR="00C442BE">
                      <w:rPr>
                        <w:rFonts w:ascii="Book Antiqua" w:eastAsia="SimSun" w:hAnsi="Book Antiqua" w:cs="Book Antiqua"/>
                        <w:sz w:val="24"/>
                        <w:lang w:eastAsia="zh-CN"/>
                      </w:rPr>
                      <w:t xml:space="preserve"> </w:t>
                    </w:r>
                    <w:r>
                      <w:rPr>
                        <w:rFonts w:ascii="Book Antiqua" w:eastAsia="SimSun" w:hAnsi="Book Antiqua" w:cs="Book Antiqua"/>
                        <w:sz w:val="24"/>
                        <w:lang w:eastAsia="zh-CN"/>
                      </w:rPr>
                      <w:t>23</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6CA64" w14:textId="77777777" w:rsidR="00EB19CA" w:rsidRDefault="00EB19CA">
      <w:r>
        <w:separator/>
      </w:r>
    </w:p>
  </w:footnote>
  <w:footnote w:type="continuationSeparator" w:id="0">
    <w:p w14:paraId="2C348049" w14:textId="77777777" w:rsidR="00EB19CA" w:rsidRDefault="00EB19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bordersDoNotSurroundHeader/>
  <w:bordersDoNotSurroundFooter/>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DF0"/>
    <w:rsid w:val="000B156A"/>
    <w:rsid w:val="00187709"/>
    <w:rsid w:val="001B1C6A"/>
    <w:rsid w:val="001B47FD"/>
    <w:rsid w:val="001D4689"/>
    <w:rsid w:val="00306456"/>
    <w:rsid w:val="00352C9B"/>
    <w:rsid w:val="004A130A"/>
    <w:rsid w:val="0056108C"/>
    <w:rsid w:val="005771AD"/>
    <w:rsid w:val="005A00B2"/>
    <w:rsid w:val="006060E1"/>
    <w:rsid w:val="00613CEC"/>
    <w:rsid w:val="00632BA1"/>
    <w:rsid w:val="006677B3"/>
    <w:rsid w:val="006D518D"/>
    <w:rsid w:val="006E7658"/>
    <w:rsid w:val="006F4B95"/>
    <w:rsid w:val="00717B28"/>
    <w:rsid w:val="00875FC4"/>
    <w:rsid w:val="0088020E"/>
    <w:rsid w:val="008C149E"/>
    <w:rsid w:val="00A15198"/>
    <w:rsid w:val="00A4040A"/>
    <w:rsid w:val="00A5438D"/>
    <w:rsid w:val="00A77B3E"/>
    <w:rsid w:val="00AA3D9E"/>
    <w:rsid w:val="00AD38B7"/>
    <w:rsid w:val="00B8381A"/>
    <w:rsid w:val="00BB08DE"/>
    <w:rsid w:val="00C442BE"/>
    <w:rsid w:val="00C87946"/>
    <w:rsid w:val="00CA2A55"/>
    <w:rsid w:val="00CB2DF9"/>
    <w:rsid w:val="00D04F2C"/>
    <w:rsid w:val="00D05C53"/>
    <w:rsid w:val="00D2344F"/>
    <w:rsid w:val="00D333F9"/>
    <w:rsid w:val="00D65292"/>
    <w:rsid w:val="00E14FE6"/>
    <w:rsid w:val="00EA4AB8"/>
    <w:rsid w:val="00EB19CA"/>
    <w:rsid w:val="00ED0032"/>
    <w:rsid w:val="00F25B0E"/>
    <w:rsid w:val="00F51340"/>
    <w:rsid w:val="00FA4F4C"/>
    <w:rsid w:val="00FB125B"/>
    <w:rsid w:val="00FC59A2"/>
    <w:rsid w:val="039F07D4"/>
    <w:rsid w:val="2EC10062"/>
    <w:rsid w:val="3A143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12707A"/>
  <w15:docId w15:val="{2FAE0742-E785-4FFB-9DCF-B5106643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rPr>
  </w:style>
  <w:style w:type="paragraph" w:styleId="Footer">
    <w:name w:val="footer"/>
    <w:basedOn w:val="Normal"/>
    <w:link w:val="FooterChar"/>
    <w:pPr>
      <w:tabs>
        <w:tab w:val="center" w:pos="4153"/>
        <w:tab w:val="right" w:pos="8306"/>
      </w:tabs>
      <w:snapToGrid w:val="0"/>
    </w:pPr>
    <w:rPr>
      <w:sz w:val="18"/>
    </w:rPr>
  </w:style>
  <w:style w:type="paragraph" w:styleId="Header">
    <w:name w:val="header"/>
    <w:basedOn w:val="Normal"/>
    <w:link w:val="HeaderChar"/>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CommentSubject">
    <w:name w:val="annotation subject"/>
    <w:basedOn w:val="CommentText"/>
    <w:next w:val="CommentText"/>
    <w:link w:val="CommentSubjectChar"/>
    <w:rPr>
      <w:b/>
    </w:rPr>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character" w:styleId="CommentReference">
    <w:name w:val="annotation reference"/>
    <w:basedOn w:val="DefaultParagraphFont"/>
    <w:rPr>
      <w:sz w:val="21"/>
      <w:szCs w:val="21"/>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sz w:val="24"/>
      <w:szCs w:val="24"/>
    </w:rPr>
  </w:style>
  <w:style w:type="character" w:customStyle="1" w:styleId="FooterChar">
    <w:name w:val="Footer Char"/>
    <w:basedOn w:val="DefaultParagraphFont"/>
    <w:link w:val="Footer"/>
    <w:rPr>
      <w:sz w:val="18"/>
      <w:szCs w:val="18"/>
    </w:rPr>
  </w:style>
  <w:style w:type="character" w:customStyle="1" w:styleId="HeaderChar">
    <w:name w:val="Header Char"/>
    <w:basedOn w:val="DefaultParagraphFont"/>
    <w:link w:val="Header"/>
    <w:rPr>
      <w:sz w:val="18"/>
      <w:szCs w:val="18"/>
    </w:rPr>
  </w:style>
  <w:style w:type="character" w:customStyle="1" w:styleId="BalloonTextChar">
    <w:name w:val="Balloon Text Char"/>
    <w:basedOn w:val="DefaultParagraphFont"/>
    <w:link w:val="BalloonText"/>
    <w:qFormat/>
    <w:rPr>
      <w:rFonts w:ascii="Tahoma" w:eastAsia="Tahoma" w:hAnsi="Tahoma" w:cs="Tahoma" w:hint="default"/>
      <w:sz w:val="16"/>
      <w:szCs w:val="16"/>
    </w:rPr>
  </w:style>
  <w:style w:type="character" w:customStyle="1" w:styleId="apple-converted-space">
    <w:name w:val="apple-converted-space"/>
    <w:basedOn w:val="DefaultParagraphFont"/>
  </w:style>
  <w:style w:type="paragraph" w:styleId="Revision">
    <w:name w:val="Revision"/>
    <w:hidden/>
    <w:uiPriority w:val="99"/>
    <w:semiHidden/>
    <w:rsid w:val="005771A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ith-nephew.com/global/assets/pdf/products/conceloc-material-data-sheet-03955.pdf"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openarchive.nure.ua/handle/document/4012" TargetMode="External"/><Relationship Id="rId4" Type="http://schemas.openxmlformats.org/officeDocument/2006/relationships/webSettings" Target="webSettings.xml"/><Relationship Id="rId9" Type="http://schemas.openxmlformats.org/officeDocument/2006/relationships/hyperlink" Target="https://base.uipv.org/searchINV/search.php?action=viewdetails&amp;IdClaim=221648&amp;chapter=biblio"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Donna Fox</cp:lastModifiedBy>
  <cp:revision>2</cp:revision>
  <dcterms:created xsi:type="dcterms:W3CDTF">2021-03-15T17:17:00Z</dcterms:created>
  <dcterms:modified xsi:type="dcterms:W3CDTF">2021-03-15T17:17:00Z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